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45E8" w14:textId="77777777" w:rsidR="002A4CBC" w:rsidRPr="002A4CBC" w:rsidRDefault="002A4CBC" w:rsidP="002A4CBC">
      <w:pPr>
        <w:spacing w:after="240"/>
        <w:jc w:val="right"/>
        <w:rPr>
          <w:rFonts w:ascii="Arial" w:hAnsi="Arial" w:cs="Arial"/>
          <w:b/>
          <w:bCs/>
          <w:sz w:val="36"/>
          <w:szCs w:val="36"/>
        </w:rPr>
      </w:pPr>
      <w:r w:rsidRPr="002A4CBC">
        <w:rPr>
          <w:rFonts w:ascii="Arial" w:hAnsi="Arial" w:cs="Arial"/>
          <w:b/>
          <w:sz w:val="36"/>
          <w:szCs w:val="36"/>
        </w:rPr>
        <w:t>Assessing Industry Employer Involvement in Enhancing Quality of Training in Ugandan TVET Colleges</w:t>
      </w:r>
      <w:r w:rsidRPr="002A4CBC">
        <w:rPr>
          <w:rFonts w:ascii="Arial" w:hAnsi="Arial" w:cs="Arial"/>
          <w:b/>
          <w:bCs/>
          <w:sz w:val="36"/>
          <w:szCs w:val="36"/>
        </w:rPr>
        <w:t xml:space="preserve"> </w:t>
      </w:r>
    </w:p>
    <w:p w14:paraId="7C03B145" w14:textId="77777777" w:rsidR="00092201" w:rsidRPr="002A4CBC" w:rsidRDefault="00092201" w:rsidP="002A4CBC">
      <w:pPr>
        <w:spacing w:after="240"/>
        <w:jc w:val="right"/>
        <w:rPr>
          <w:rFonts w:ascii="Arial" w:hAnsi="Arial" w:cs="Arial"/>
          <w:bCs/>
          <w:lang w:val="en-GB"/>
        </w:rPr>
      </w:pPr>
    </w:p>
    <w:p w14:paraId="1B6B5158" w14:textId="1EFD8AAB" w:rsidR="0060063A" w:rsidRDefault="0060063A" w:rsidP="002A4CBC">
      <w:pPr>
        <w:pStyle w:val="AbstHead"/>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60063A" w14:paraId="7DD3A53C" w14:textId="77777777" w:rsidTr="00ED7BEE">
        <w:tc>
          <w:tcPr>
            <w:tcW w:w="9576" w:type="dxa"/>
            <w:shd w:val="clear" w:color="auto" w:fill="F2F2F2"/>
          </w:tcPr>
          <w:p w14:paraId="7F1C5AC8" w14:textId="77777777" w:rsidR="0060063A" w:rsidRDefault="0060063A" w:rsidP="00ED7BEE">
            <w:pPr>
              <w:pStyle w:val="Body"/>
              <w:spacing w:after="0"/>
              <w:rPr>
                <w:rFonts w:ascii="Arial" w:eastAsia="Calibri" w:hAnsi="Arial" w:cs="Arial"/>
                <w:szCs w:val="22"/>
              </w:rPr>
            </w:pPr>
            <w:r w:rsidRPr="00082019">
              <w:rPr>
                <w:rFonts w:ascii="Arial" w:eastAsia="Calibri" w:hAnsi="Arial" w:cs="Arial"/>
                <w:b/>
                <w:iCs/>
                <w:szCs w:val="22"/>
                <w:lang w:val="en-GB"/>
              </w:rPr>
              <w:t xml:space="preserve">This study focused on assessing the industry employer involvement in enhancing the quality of TVET in public TVET colleges in Uganda. A mixed methods design and stratified random sampling with a lottery and purposive approaches were used. A closed-ended questionnaire was used to collect data from 102 trainers, and was analysed using SPSS version 25 to generate both zero-order correlations and regression results. Interviews and focus group discussions facilitated data collection from 13 college managers, </w:t>
            </w:r>
            <w:r w:rsidRPr="00082019">
              <w:rPr>
                <w:rFonts w:ascii="Arial" w:eastAsia="Calibri" w:hAnsi="Arial" w:cs="Arial"/>
                <w:b/>
                <w:szCs w:val="22"/>
              </w:rPr>
              <w:t>8 industry managers, and 68 trainers respectively</w:t>
            </w:r>
            <w:r w:rsidRPr="00082019">
              <w:rPr>
                <w:rFonts w:ascii="Arial" w:eastAsia="Calibri" w:hAnsi="Arial" w:cs="Arial"/>
                <w:b/>
                <w:iCs/>
                <w:szCs w:val="22"/>
                <w:lang w:val="en-GB"/>
              </w:rPr>
              <w:t xml:space="preserve">. The findings from quantitative data show that industry employers enhanced quality of TVET through </w:t>
            </w:r>
            <w:r w:rsidRPr="00082019">
              <w:rPr>
                <w:rFonts w:ascii="Arial" w:eastAsia="Calibri" w:hAnsi="Arial" w:cs="Arial"/>
                <w:b/>
                <w:szCs w:val="22"/>
                <w:lang w:val="en-GB"/>
              </w:rPr>
              <w:t>curriculum development (mean = 3.8056, SD = 0.98780) and review (mean = 3.7222, SD = 1.06443) to align training with labour market needs</w:t>
            </w:r>
            <w:r w:rsidRPr="00082019">
              <w:rPr>
                <w:rFonts w:ascii="Arial" w:eastAsia="Calibri" w:hAnsi="Arial" w:cs="Arial"/>
                <w:b/>
                <w:iCs/>
                <w:szCs w:val="22"/>
                <w:lang w:val="en-GB"/>
              </w:rPr>
              <w:t xml:space="preserve">. The correlation analysis revealed a significant positive association between industry employer involvement and TVET outcomes </w:t>
            </w:r>
            <w:r w:rsidRPr="00082019">
              <w:rPr>
                <w:rFonts w:ascii="Arial" w:eastAsia="Calibri" w:hAnsi="Arial" w:cs="Arial"/>
                <w:b/>
                <w:szCs w:val="22"/>
                <w:lang w:val="en-GB"/>
              </w:rPr>
              <w:t>(r=0.623; P&lt;0.01)</w:t>
            </w:r>
            <w:r w:rsidRPr="00082019">
              <w:rPr>
                <w:rFonts w:ascii="Arial" w:eastAsia="Calibri" w:hAnsi="Arial" w:cs="Arial"/>
                <w:b/>
                <w:iCs/>
                <w:szCs w:val="22"/>
                <w:lang w:val="en-GB"/>
              </w:rPr>
              <w:t xml:space="preserve"> and a significant positive influence on TVET outcomes </w:t>
            </w:r>
            <w:r w:rsidRPr="00082019">
              <w:rPr>
                <w:rFonts w:ascii="Arial" w:eastAsia="Calibri" w:hAnsi="Arial" w:cs="Arial"/>
                <w:b/>
                <w:szCs w:val="22"/>
              </w:rPr>
              <w:t xml:space="preserve">(Beta=0.623; P&lt;0.01). Qualitative findings revealed five major areas where industry employers were effectively involved in enhancing TVET outcomes, which include; industrial attachments, curriculum development and review, partnerships with practitioners and professional bodies, collaborative community-based training projects, and awareness creation and outreach engagement. </w:t>
            </w:r>
            <w:r w:rsidRPr="00082019">
              <w:rPr>
                <w:rFonts w:ascii="Arial" w:eastAsia="Calibri" w:hAnsi="Arial" w:cs="Arial"/>
                <w:b/>
                <w:iCs/>
                <w:szCs w:val="22"/>
                <w:lang w:val="en-GB"/>
              </w:rPr>
              <w:t>The study concluded that effective industry employer involvement in TVET activities is crucial for quality TVET outcomes in public TVET colleges in Uganda</w:t>
            </w:r>
            <w:r w:rsidRPr="00082019">
              <w:rPr>
                <w:rFonts w:ascii="Arial" w:eastAsia="Calibri" w:hAnsi="Arial" w:cs="Arial"/>
                <w:b/>
                <w:szCs w:val="22"/>
              </w:rPr>
              <w:t>. The study recommends clear policy frameworks and guidelines that encourage the establishment of formal partnership agreements,</w:t>
            </w:r>
            <w:r w:rsidRPr="00082019">
              <w:rPr>
                <w:rFonts w:ascii="Arial" w:eastAsia="Calibri" w:hAnsi="Arial" w:cs="Arial"/>
                <w:b/>
                <w:bCs/>
                <w:szCs w:val="22"/>
              </w:rPr>
              <w:t xml:space="preserve"> addressing </w:t>
            </w:r>
            <w:r w:rsidRPr="00082019">
              <w:rPr>
                <w:rFonts w:ascii="Arial" w:eastAsia="Calibri" w:hAnsi="Arial" w:cs="Arial"/>
                <w:b/>
                <w:iCs/>
                <w:szCs w:val="22"/>
                <w:lang w:val="en-GB"/>
              </w:rPr>
              <w:t>systemic and policy challenges and improving communication and collaboration between TVET institutions and industry</w:t>
            </w:r>
            <w:r>
              <w:rPr>
                <w:rFonts w:ascii="Arial" w:eastAsia="Calibri" w:hAnsi="Arial" w:cs="Arial"/>
                <w:b/>
                <w:iCs/>
                <w:szCs w:val="22"/>
                <w:lang w:val="en-GB"/>
              </w:rPr>
              <w:t>.</w:t>
            </w:r>
          </w:p>
        </w:tc>
      </w:tr>
    </w:tbl>
    <w:p w14:paraId="6A88A185" w14:textId="29B44455" w:rsidR="0060063A" w:rsidRDefault="0060063A" w:rsidP="0060063A">
      <w:pPr>
        <w:pStyle w:val="Body"/>
        <w:spacing w:after="0"/>
        <w:rPr>
          <w:rFonts w:ascii="Arial" w:hAnsi="Arial" w:cs="Arial"/>
          <w:i/>
        </w:rPr>
      </w:pPr>
      <w:r>
        <w:rPr>
          <w:rFonts w:ascii="Arial" w:hAnsi="Arial" w:cs="Arial"/>
          <w:i/>
        </w:rPr>
        <w:t>Keywords:</w:t>
      </w:r>
      <w:r w:rsidRPr="00082019">
        <w:rPr>
          <w:rFonts w:ascii="Arial" w:eastAsiaTheme="minorHAnsi" w:hAnsi="Arial" w:cs="Arial"/>
          <w:bCs/>
          <w:i/>
          <w:iCs/>
          <w:color w:val="000000" w:themeColor="text1"/>
          <w:lang w:val="en-GB"/>
        </w:rPr>
        <w:t xml:space="preserve"> </w:t>
      </w:r>
      <w:r w:rsidRPr="00082019">
        <w:rPr>
          <w:rFonts w:ascii="Arial" w:hAnsi="Arial" w:cs="Arial"/>
          <w:bCs/>
          <w:i/>
          <w:iCs/>
          <w:lang w:val="en-GB"/>
        </w:rPr>
        <w:t>Employability, industry employer involvement, public TVET Colleges, quality of TVET</w:t>
      </w:r>
      <w:r>
        <w:rPr>
          <w:rFonts w:ascii="Arial" w:hAnsi="Arial" w:cs="Arial"/>
          <w:i/>
        </w:rPr>
        <w:t xml:space="preserve"> </w:t>
      </w:r>
    </w:p>
    <w:p w14:paraId="16A968E6" w14:textId="77777777" w:rsidR="0060063A" w:rsidRDefault="0060063A" w:rsidP="0060063A">
      <w:pPr>
        <w:pStyle w:val="AbstHead"/>
        <w:jc w:val="both"/>
        <w:rPr>
          <w:rFonts w:ascii="Arial" w:hAnsi="Arial" w:cs="Arial"/>
        </w:rPr>
      </w:pPr>
      <w:r>
        <w:rPr>
          <w:rFonts w:ascii="Arial" w:hAnsi="Arial" w:cs="Arial"/>
        </w:rPr>
        <w:t xml:space="preserve">1. INTRODUCTION </w:t>
      </w:r>
    </w:p>
    <w:p w14:paraId="7C2A0383" w14:textId="77777777" w:rsidR="0060063A" w:rsidRPr="00082019" w:rsidRDefault="0060063A" w:rsidP="0060063A">
      <w:pPr>
        <w:pStyle w:val="Body"/>
        <w:rPr>
          <w:rFonts w:ascii="Arial" w:hAnsi="Arial" w:cs="Arial"/>
          <w:lang w:val="en-GB"/>
        </w:rPr>
      </w:pPr>
      <w:r w:rsidRPr="00082019">
        <w:rPr>
          <w:rFonts w:ascii="Arial" w:hAnsi="Arial" w:cs="Arial"/>
        </w:rPr>
        <w:t xml:space="preserve">The major objective of </w:t>
      </w:r>
      <w:r w:rsidRPr="00082019">
        <w:rPr>
          <w:rFonts w:ascii="Arial" w:hAnsi="Arial" w:cs="Arial"/>
          <w:lang w:val="en-GB"/>
        </w:rPr>
        <w:t>Technical Vocational Education and Training (TVET)</w:t>
      </w:r>
      <w:r w:rsidRPr="00082019">
        <w:rPr>
          <w:rFonts w:ascii="Arial" w:hAnsi="Arial" w:cs="Arial"/>
        </w:rPr>
        <w:t xml:space="preserve"> is to offer skills and knowledge, support and promote creativity and entrepreneurship to create employment opportunities (</w:t>
      </w:r>
      <w:proofErr w:type="spellStart"/>
      <w:r w:rsidRPr="00082019">
        <w:rPr>
          <w:rFonts w:ascii="Arial" w:hAnsi="Arial" w:cs="Arial"/>
        </w:rPr>
        <w:t>Akunda</w:t>
      </w:r>
      <w:proofErr w:type="spellEnd"/>
      <w:r w:rsidRPr="00082019">
        <w:rPr>
          <w:rFonts w:ascii="Arial" w:hAnsi="Arial" w:cs="Arial"/>
        </w:rPr>
        <w:t xml:space="preserve"> et al., 2024). </w:t>
      </w:r>
      <w:proofErr w:type="spellStart"/>
      <w:r w:rsidRPr="00082019">
        <w:rPr>
          <w:rFonts w:ascii="Arial" w:hAnsi="Arial" w:cs="Arial"/>
        </w:rPr>
        <w:t>Akunda</w:t>
      </w:r>
      <w:proofErr w:type="spellEnd"/>
      <w:r w:rsidRPr="00082019">
        <w:rPr>
          <w:rFonts w:ascii="Arial" w:hAnsi="Arial" w:cs="Arial"/>
        </w:rPr>
        <w:t xml:space="preserve"> et al. asserts that TVET encompasses studying various aspects such as technologies and science, providing youth the chance to acquire practical skills, knowledge and attitude (competencies) for several jobs in the productive fields. </w:t>
      </w:r>
      <w:r w:rsidRPr="00082019">
        <w:rPr>
          <w:rFonts w:ascii="Arial" w:hAnsi="Arial" w:cs="Arial"/>
          <w:lang w:val="en-GB"/>
        </w:rPr>
        <w:t>The integration of Quality Assurance (QA) systems in TVET institutions has been widely recognized for its role in improving the quality of education and training, and ensuring alignment with industry demands (</w:t>
      </w:r>
      <w:sdt>
        <w:sdtPr>
          <w:rPr>
            <w:rFonts w:ascii="Arial" w:hAnsi="Arial" w:cs="Arial"/>
            <w:lang w:val="en-GB"/>
          </w:rPr>
          <w:id w:val="1006403291"/>
        </w:sdtPr>
        <w:sdtContent>
          <w:r w:rsidRPr="00082019">
            <w:rPr>
              <w:rFonts w:ascii="Arial" w:hAnsi="Arial" w:cs="Arial"/>
              <w:lang w:val="en-GB"/>
            </w:rPr>
            <w:fldChar w:fldCharType="begin"/>
          </w:r>
          <w:r w:rsidRPr="00082019">
            <w:rPr>
              <w:rFonts w:ascii="Arial" w:hAnsi="Arial" w:cs="Arial"/>
              <w:lang w:val="en-GB"/>
            </w:rPr>
            <w:instrText xml:space="preserve">CITATION Odj24 \l 2057 </w:instrText>
          </w:r>
          <w:r w:rsidRPr="00082019">
            <w:rPr>
              <w:rFonts w:ascii="Arial" w:hAnsi="Arial" w:cs="Arial"/>
              <w:lang w:val="en-GB"/>
            </w:rPr>
            <w:fldChar w:fldCharType="separate"/>
          </w:r>
          <w:r w:rsidRPr="00082019">
            <w:rPr>
              <w:rFonts w:ascii="Arial" w:hAnsi="Arial" w:cs="Arial"/>
              <w:lang w:val="en-GB"/>
            </w:rPr>
            <w:t xml:space="preserve"> Odjo et al., 2024</w:t>
          </w:r>
          <w:r w:rsidRPr="00082019">
            <w:rPr>
              <w:rFonts w:ascii="Arial" w:hAnsi="Arial" w:cs="Arial"/>
            </w:rPr>
            <w:fldChar w:fldCharType="end"/>
          </w:r>
        </w:sdtContent>
      </w:sdt>
      <w:r w:rsidRPr="00082019">
        <w:rPr>
          <w:rFonts w:ascii="Arial" w:hAnsi="Arial" w:cs="Arial"/>
          <w:lang w:val="en-GB"/>
        </w:rPr>
        <w:t xml:space="preserve">; </w:t>
      </w:r>
      <w:sdt>
        <w:sdtPr>
          <w:rPr>
            <w:rFonts w:ascii="Arial" w:hAnsi="Arial" w:cs="Arial"/>
            <w:lang w:val="en-GB"/>
          </w:rPr>
          <w:id w:val="258705661"/>
        </w:sdtPr>
        <w:sdtContent>
          <w:r w:rsidRPr="00082019">
            <w:rPr>
              <w:rFonts w:ascii="Arial" w:hAnsi="Arial" w:cs="Arial"/>
              <w:lang w:val="en-GB"/>
            </w:rPr>
            <w:fldChar w:fldCharType="begin"/>
          </w:r>
          <w:r w:rsidRPr="00082019">
            <w:rPr>
              <w:rFonts w:ascii="Arial" w:hAnsi="Arial" w:cs="Arial"/>
              <w:lang w:val="en-GB"/>
            </w:rPr>
            <w:instrText xml:space="preserve"> CITATION Asi22 \l 2057 </w:instrText>
          </w:r>
          <w:r w:rsidRPr="00082019">
            <w:rPr>
              <w:rFonts w:ascii="Arial" w:hAnsi="Arial" w:cs="Arial"/>
              <w:lang w:val="en-GB"/>
            </w:rPr>
            <w:fldChar w:fldCharType="separate"/>
          </w:r>
          <w:r w:rsidRPr="00082019">
            <w:rPr>
              <w:rFonts w:ascii="Arial" w:hAnsi="Arial" w:cs="Arial"/>
              <w:lang w:val="en-GB"/>
            </w:rPr>
            <w:t>Asiyai, 2022)</w:t>
          </w:r>
          <w:r w:rsidRPr="00082019">
            <w:rPr>
              <w:rFonts w:ascii="Arial" w:hAnsi="Arial" w:cs="Arial"/>
            </w:rPr>
            <w:fldChar w:fldCharType="end"/>
          </w:r>
        </w:sdtContent>
      </w:sdt>
      <w:r w:rsidRPr="00082019">
        <w:rPr>
          <w:rFonts w:ascii="Arial" w:hAnsi="Arial" w:cs="Arial"/>
          <w:lang w:val="en-GB"/>
        </w:rPr>
        <w:t xml:space="preserve">. </w:t>
      </w:r>
      <w:r w:rsidRPr="00082019">
        <w:rPr>
          <w:rFonts w:ascii="Arial" w:hAnsi="Arial" w:cs="Arial"/>
        </w:rPr>
        <w:t xml:space="preserve">According to International </w:t>
      </w:r>
      <w:proofErr w:type="spellStart"/>
      <w:r w:rsidRPr="00082019">
        <w:rPr>
          <w:rFonts w:ascii="Arial" w:hAnsi="Arial" w:cs="Arial"/>
        </w:rPr>
        <w:t>Labour</w:t>
      </w:r>
      <w:proofErr w:type="spellEnd"/>
      <w:r w:rsidRPr="00082019">
        <w:rPr>
          <w:rFonts w:ascii="Arial" w:hAnsi="Arial" w:cs="Arial"/>
        </w:rPr>
        <w:t xml:space="preserve"> </w:t>
      </w:r>
      <w:proofErr w:type="spellStart"/>
      <w:r w:rsidRPr="00082019">
        <w:rPr>
          <w:rFonts w:ascii="Arial" w:hAnsi="Arial" w:cs="Arial"/>
        </w:rPr>
        <w:t>Organisation</w:t>
      </w:r>
      <w:proofErr w:type="spellEnd"/>
      <w:r w:rsidRPr="00082019">
        <w:rPr>
          <w:rFonts w:ascii="Arial" w:hAnsi="Arial" w:cs="Arial"/>
        </w:rPr>
        <w:t xml:space="preserve"> (ILO, 2020), industry partnerships ensure that training is relevant, up-to-date, and aligned with real-world job requirements</w:t>
      </w:r>
      <w:r w:rsidRPr="00082019">
        <w:rPr>
          <w:rFonts w:ascii="Arial" w:hAnsi="Arial" w:cs="Arial"/>
          <w:lang w:val="en-GB"/>
        </w:rPr>
        <w:t>. Organisation for Economic Corporation and Development</w:t>
      </w:r>
      <w:r w:rsidRPr="00082019">
        <w:rPr>
          <w:rFonts w:ascii="Arial" w:hAnsi="Arial" w:cs="Arial"/>
          <w:bCs/>
        </w:rPr>
        <w:t xml:space="preserve"> (OECD, 2019)</w:t>
      </w:r>
      <w:r w:rsidRPr="00082019">
        <w:rPr>
          <w:rFonts w:ascii="Arial" w:hAnsi="Arial" w:cs="Arial"/>
        </w:rPr>
        <w:t xml:space="preserve"> reinforces this view, highlighting that, countries with strong employer engagement in vocational education - such as Germany, Switzerland, and Australia-consistently report high employment rates among graduates and stronger </w:t>
      </w:r>
      <w:proofErr w:type="spellStart"/>
      <w:r w:rsidRPr="00082019">
        <w:rPr>
          <w:rFonts w:ascii="Arial" w:hAnsi="Arial" w:cs="Arial"/>
        </w:rPr>
        <w:t>labour</w:t>
      </w:r>
      <w:proofErr w:type="spellEnd"/>
      <w:r w:rsidRPr="00082019">
        <w:rPr>
          <w:rFonts w:ascii="Arial" w:hAnsi="Arial" w:cs="Arial"/>
        </w:rPr>
        <w:t xml:space="preserve"> market alignment. </w:t>
      </w:r>
      <w:r w:rsidRPr="00082019">
        <w:rPr>
          <w:rFonts w:ascii="Arial" w:hAnsi="Arial" w:cs="Arial"/>
          <w:lang w:val="en-GB"/>
        </w:rPr>
        <w:t xml:space="preserve">The main assertation in this paper, is not about the critical role TVET plays in equipping individuals with skills and creating opportunities for employment, but the emphasis is </w:t>
      </w:r>
      <w:commentRangeStart w:id="0"/>
      <w:r w:rsidRPr="00082019">
        <w:rPr>
          <w:rFonts w:ascii="Arial" w:hAnsi="Arial" w:cs="Arial"/>
          <w:lang w:val="en-GB"/>
        </w:rPr>
        <w:t xml:space="preserve">how effectively </w:t>
      </w:r>
      <w:commentRangeEnd w:id="0"/>
      <w:r w:rsidR="0067563E">
        <w:rPr>
          <w:rStyle w:val="CommentReference"/>
        </w:rPr>
        <w:commentReference w:id="0"/>
      </w:r>
      <w:r w:rsidRPr="00082019">
        <w:rPr>
          <w:rFonts w:ascii="Arial" w:hAnsi="Arial" w:cs="Arial"/>
          <w:lang w:val="en-GB"/>
        </w:rPr>
        <w:t xml:space="preserve">employers are involved in enhancing the quality of training in public TVET colleges to make them responsive to the labour market needs. Mohamed (2023) argues that employer involvement in TVET, is crucial for curriculum relevance and soliciting their support. </w:t>
      </w:r>
      <w:r w:rsidRPr="00082019">
        <w:rPr>
          <w:rFonts w:ascii="Arial" w:hAnsi="Arial" w:cs="Arial"/>
        </w:rPr>
        <w:t xml:space="preserve">The East African Community (EAC) Vision 2050 guides partner states on strategies to increase human capital, reduce unemployment, ensure high levels of industrialization, and competitiveness (EAC., 2016). The low levels of these drivers of development are attributed to the mismatch between training and </w:t>
      </w:r>
      <w:proofErr w:type="spellStart"/>
      <w:r w:rsidRPr="00082019">
        <w:rPr>
          <w:rFonts w:ascii="Arial" w:hAnsi="Arial" w:cs="Arial"/>
        </w:rPr>
        <w:t>labour</w:t>
      </w:r>
      <w:proofErr w:type="spellEnd"/>
      <w:r w:rsidRPr="00082019">
        <w:rPr>
          <w:rFonts w:ascii="Arial" w:hAnsi="Arial" w:cs="Arial"/>
        </w:rPr>
        <w:t xml:space="preserve"> market demands particularly for skills development (Kobugabe, 2024; </w:t>
      </w:r>
      <w:proofErr w:type="spellStart"/>
      <w:r w:rsidRPr="00082019">
        <w:rPr>
          <w:rFonts w:ascii="Arial" w:hAnsi="Arial" w:cs="Arial"/>
        </w:rPr>
        <w:t>Akunda</w:t>
      </w:r>
      <w:proofErr w:type="spellEnd"/>
      <w:r w:rsidRPr="00082019">
        <w:rPr>
          <w:rFonts w:ascii="Arial" w:hAnsi="Arial" w:cs="Arial"/>
        </w:rPr>
        <w:t xml:space="preserve"> et al, 2024).  </w:t>
      </w:r>
    </w:p>
    <w:p w14:paraId="72D5AF20" w14:textId="77777777" w:rsidR="0060063A" w:rsidRPr="00082019" w:rsidRDefault="0060063A" w:rsidP="0060063A">
      <w:pPr>
        <w:pStyle w:val="Body"/>
        <w:rPr>
          <w:rFonts w:ascii="Arial" w:hAnsi="Arial" w:cs="Arial"/>
          <w:lang w:val="en-GB"/>
        </w:rPr>
      </w:pPr>
      <w:r w:rsidRPr="00082019">
        <w:rPr>
          <w:rFonts w:ascii="Arial" w:hAnsi="Arial" w:cs="Arial"/>
        </w:rPr>
        <w:t xml:space="preserve">In Uganda, TVET is delivered through Skills Development Centers, Technical Vocational Institutes, and Technical Colleges, to develop a pool of artisans, craftsmen and technicians respectively. To align these institutions with the needs of employers, the Ugandan government developed an employer-led TVET </w:t>
      </w:r>
      <w:r w:rsidRPr="00082019">
        <w:rPr>
          <w:rFonts w:ascii="Arial" w:hAnsi="Arial" w:cs="Arial"/>
        </w:rPr>
        <w:lastRenderedPageBreak/>
        <w:t>policy (GOU, 2019), that ensures quality and relevance of education and training. The policy was to facilitate legal reforms to allow employer participation, and it stresses a sixty six percent (66%) portion of council and board members of all TVET institutions to be drawn from</w:t>
      </w:r>
      <w:r w:rsidRPr="00082019">
        <w:rPr>
          <w:rFonts w:ascii="Arial" w:hAnsi="Arial" w:cs="Arial"/>
          <w:lang w:val="en-GB"/>
        </w:rPr>
        <w:t xml:space="preserve"> employers. However, </w:t>
      </w:r>
      <w:r w:rsidRPr="00082019">
        <w:rPr>
          <w:rFonts w:ascii="Arial" w:hAnsi="Arial" w:cs="Arial"/>
        </w:rPr>
        <w:t xml:space="preserve">most employer collaborations and involvement in Uganda, remain informal, short-term, and not integrated into the strategic planning of institutions (Muwonge &amp; Kintu, 2021). </w:t>
      </w:r>
      <w:r w:rsidRPr="00082019">
        <w:rPr>
          <w:rFonts w:ascii="Arial" w:hAnsi="Arial" w:cs="Arial"/>
          <w:lang w:val="en-GB"/>
        </w:rPr>
        <w:t xml:space="preserve">The Ugandan TVET policy also provides for a TVET system that ensures well-coordinated delivery, assessment and regulation of TVET, and advocates for a quality assurance body and framework. Nonetheless, the regulations to facilitate establishment of an employer led regulatory body, and a quality assurance framework were not made (Mutebi &amp; Ferej, 2023). </w:t>
      </w:r>
      <w:proofErr w:type="spellStart"/>
      <w:r w:rsidRPr="00082019">
        <w:rPr>
          <w:rFonts w:ascii="Arial" w:hAnsi="Arial" w:cs="Arial"/>
          <w:lang w:val="en-GB"/>
        </w:rPr>
        <w:t>Afeti</w:t>
      </w:r>
      <w:proofErr w:type="spellEnd"/>
      <w:r w:rsidRPr="00082019">
        <w:rPr>
          <w:rFonts w:ascii="Arial" w:hAnsi="Arial" w:cs="Arial"/>
          <w:lang w:val="en-GB"/>
        </w:rPr>
        <w:t xml:space="preserve"> and </w:t>
      </w:r>
      <w:proofErr w:type="spellStart"/>
      <w:r w:rsidRPr="00082019">
        <w:rPr>
          <w:rFonts w:ascii="Arial" w:hAnsi="Arial" w:cs="Arial"/>
          <w:lang w:val="en-GB"/>
        </w:rPr>
        <w:t>Adubra</w:t>
      </w:r>
      <w:proofErr w:type="spellEnd"/>
      <w:r w:rsidRPr="00082019">
        <w:rPr>
          <w:rFonts w:ascii="Arial" w:hAnsi="Arial" w:cs="Arial"/>
          <w:lang w:val="en-GB"/>
        </w:rPr>
        <w:t xml:space="preserve"> (2020) observe that while policy frameworks advocate for employer engagement, implementation is frequently ad hoc, and industry contributions to curriculum or assessment remain minimal. The TVET sector, therefore, continue to face systemic challenges, including obsolete curricula, limited access to modern equipment, insufficient practical training, and weak involvement of employers in the education and training process (ILO, 2020; Namatovu et al., 2023). These deficiencies highlighted by scholars, contribute to a persistent skills mismatch between TVET outcomes and the needs of industry. Therefore, this study was carried out to assess the industry-employer involvement in enhancing the quality of TVET outcomes in Uganda. By assessing the industry-employer involvement in enhancing the quality of TVET outcomes in selected public TVET colleges,</w:t>
      </w:r>
      <w:r w:rsidRPr="00082019">
        <w:rPr>
          <w:rFonts w:ascii="Arial" w:hAnsi="Arial" w:cs="Arial"/>
        </w:rPr>
        <w:t xml:space="preserve"> existing strengths, weaknesses, and areas for improvement were identified. The study contributes to national efforts aimed at strengthening collaborative and partnerships between TVET institutions and employers, that can make TVET more responsive to Uganda’s socio-economic development goals.</w:t>
      </w:r>
    </w:p>
    <w:p w14:paraId="0AAC4641" w14:textId="77777777" w:rsidR="0060063A" w:rsidRPr="00082019" w:rsidRDefault="0060063A" w:rsidP="0060063A">
      <w:pPr>
        <w:pStyle w:val="Body"/>
        <w:rPr>
          <w:rFonts w:ascii="Arial" w:hAnsi="Arial" w:cs="Arial"/>
        </w:rPr>
      </w:pPr>
      <w:r w:rsidRPr="00082019">
        <w:rPr>
          <w:rFonts w:ascii="Arial" w:hAnsi="Arial" w:cs="Arial"/>
        </w:rPr>
        <w:t xml:space="preserve">This study is grounded in </w:t>
      </w:r>
      <w:r w:rsidRPr="00082019">
        <w:rPr>
          <w:rFonts w:ascii="Arial" w:hAnsi="Arial" w:cs="Arial"/>
          <w:bCs/>
        </w:rPr>
        <w:t>Human Capital Theory (HCT)</w:t>
      </w:r>
      <w:r w:rsidRPr="00082019">
        <w:rPr>
          <w:rFonts w:ascii="Arial" w:hAnsi="Arial" w:cs="Arial"/>
        </w:rPr>
        <w:t>, a foundational concept in education economics (</w:t>
      </w:r>
      <w:r w:rsidRPr="00082019">
        <w:rPr>
          <w:rFonts w:ascii="Arial" w:hAnsi="Arial" w:cs="Arial"/>
          <w:bCs/>
        </w:rPr>
        <w:t>Becker, 1964)</w:t>
      </w:r>
      <w:r w:rsidRPr="00082019">
        <w:rPr>
          <w:rFonts w:ascii="Arial" w:hAnsi="Arial" w:cs="Arial"/>
        </w:rPr>
        <w:t xml:space="preserve">. The theory posits that individuals and societies derive economic value from investing in education, training, health, and experience - collectively referred to as "human capital." </w:t>
      </w:r>
      <w:r w:rsidRPr="00082019">
        <w:rPr>
          <w:rFonts w:ascii="Arial" w:hAnsi="Arial" w:cs="Arial"/>
          <w:bCs/>
        </w:rPr>
        <w:t>Human Capital Theory</w:t>
      </w:r>
      <w:r w:rsidRPr="00082019">
        <w:rPr>
          <w:rFonts w:ascii="Arial" w:hAnsi="Arial" w:cs="Arial"/>
        </w:rPr>
        <w:t xml:space="preserve"> views education not merely as a social good, but as an economic investment with measurable returns. These returns include higher wages, increased employment prospects, and enhanced national productivity (</w:t>
      </w:r>
      <w:proofErr w:type="spellStart"/>
      <w:r w:rsidRPr="00082019">
        <w:rPr>
          <w:rFonts w:ascii="Arial" w:hAnsi="Arial" w:cs="Arial"/>
        </w:rPr>
        <w:t>Ziderman</w:t>
      </w:r>
      <w:proofErr w:type="spellEnd"/>
      <w:r w:rsidRPr="00082019">
        <w:rPr>
          <w:rFonts w:ascii="Arial" w:hAnsi="Arial" w:cs="Arial"/>
        </w:rPr>
        <w:t xml:space="preserve">, 2020). From this perspective, the alignment of TVET with labor market needs, through industry, employer involvement, is critical in ensuring that the investment in education yields meaningful outcomes. Compared to other learning and development theories such as </w:t>
      </w:r>
      <w:r w:rsidRPr="00082019">
        <w:rPr>
          <w:rFonts w:ascii="Arial" w:hAnsi="Arial" w:cs="Arial"/>
          <w:bCs/>
        </w:rPr>
        <w:t>Experiential Learning Theory (Kolb, 1984)</w:t>
      </w:r>
      <w:r w:rsidRPr="00082019">
        <w:rPr>
          <w:rFonts w:ascii="Arial" w:hAnsi="Arial" w:cs="Arial"/>
        </w:rPr>
        <w:t xml:space="preserve">, or </w:t>
      </w:r>
      <w:r w:rsidRPr="00082019">
        <w:rPr>
          <w:rFonts w:ascii="Arial" w:hAnsi="Arial" w:cs="Arial"/>
          <w:bCs/>
        </w:rPr>
        <w:t>Social Learning Theory (Bandura, 1977)</w:t>
      </w:r>
      <w:r w:rsidRPr="00082019">
        <w:rPr>
          <w:rFonts w:ascii="Arial" w:hAnsi="Arial" w:cs="Arial"/>
        </w:rPr>
        <w:t xml:space="preserve">, Human Capital Theory offers a </w:t>
      </w:r>
      <w:r w:rsidRPr="00082019">
        <w:rPr>
          <w:rFonts w:ascii="Arial" w:hAnsi="Arial" w:cs="Arial"/>
          <w:bCs/>
        </w:rPr>
        <w:t>more direct economic justification</w:t>
      </w:r>
      <w:r w:rsidRPr="00082019">
        <w:rPr>
          <w:rFonts w:ascii="Arial" w:hAnsi="Arial" w:cs="Arial"/>
        </w:rPr>
        <w:t xml:space="preserve"> for aligning education with industry demands. HCT provides a robust policy and planning framework that connects training outputs to workforce productivity and national development (OECD, 2019). Because of its usefulness for policymakers, planners, and institutional managers concerned with the economic efficiency and labor market responsiveness, the theory supports strategic workforce development and links education investment to national economic growth. This is in line with Uganda’s Vision 2040 and National Development Plan IV (</w:t>
      </w:r>
      <w:proofErr w:type="spellStart"/>
      <w:r w:rsidRPr="00082019">
        <w:rPr>
          <w:rFonts w:ascii="Arial" w:hAnsi="Arial" w:cs="Arial"/>
        </w:rPr>
        <w:t>GoU</w:t>
      </w:r>
      <w:proofErr w:type="spellEnd"/>
      <w:r w:rsidRPr="00082019">
        <w:rPr>
          <w:rFonts w:ascii="Arial" w:hAnsi="Arial" w:cs="Arial"/>
        </w:rPr>
        <w:t xml:space="preserve">, 2025). </w:t>
      </w:r>
    </w:p>
    <w:p w14:paraId="0E0FE72F" w14:textId="77777777" w:rsidR="0060063A" w:rsidRPr="00082019" w:rsidRDefault="0060063A" w:rsidP="0060063A">
      <w:pPr>
        <w:pStyle w:val="Body"/>
        <w:rPr>
          <w:rFonts w:ascii="Arial" w:hAnsi="Arial" w:cs="Arial"/>
        </w:rPr>
      </w:pPr>
      <w:r w:rsidRPr="00082019">
        <w:rPr>
          <w:rFonts w:ascii="Arial" w:hAnsi="Arial" w:cs="Arial"/>
        </w:rPr>
        <w:t xml:space="preserve">Research underscores the mutual dependency between TVET institutions and industry. For instance, in a study conducted in Sierra Leone where Eastern Polytechnic successfully partnered with industry actors in joint program design, teaching, and practical training, higher post-graduation employment rates and improved job-readiness of students were reported (Ahmadu, 2021). Similarly, research by </w:t>
      </w:r>
      <w:proofErr w:type="spellStart"/>
      <w:r w:rsidRPr="00082019">
        <w:rPr>
          <w:rFonts w:ascii="Arial" w:hAnsi="Arial" w:cs="Arial"/>
        </w:rPr>
        <w:t>Jahonga</w:t>
      </w:r>
      <w:proofErr w:type="spellEnd"/>
      <w:r w:rsidRPr="00082019">
        <w:rPr>
          <w:rFonts w:ascii="Arial" w:hAnsi="Arial" w:cs="Arial"/>
        </w:rPr>
        <w:t xml:space="preserve"> et al. (2022) in Kenya, highlights collaborative practices in electronics and electrical engineering training, where industry supported laboratory development, provided training materials, and covered insurance for student attachments. As asserted by Mohamed (2023), this kind of employer participation in TVET is very crucial, and yields better outcomes. This can be associated well with the results of an Internal Quality Assurance (IQA) survey done in Kenya, in six selected institutions with established Board Committees on QA, which identified limited curriculum delivery methods and scarce training resources to deliver the curriculum (TVETA, 2019). </w:t>
      </w:r>
    </w:p>
    <w:p w14:paraId="1324B910" w14:textId="77777777" w:rsidR="0060063A" w:rsidRPr="00ED7BEE" w:rsidRDefault="0060063A" w:rsidP="0060063A">
      <w:pPr>
        <w:pStyle w:val="Body"/>
        <w:rPr>
          <w:rFonts w:ascii="Arial" w:hAnsi="Arial" w:cs="Arial"/>
        </w:rPr>
      </w:pPr>
      <w:r w:rsidRPr="00ED7BEE">
        <w:rPr>
          <w:rFonts w:ascii="Arial" w:hAnsi="Arial" w:cs="Arial"/>
        </w:rPr>
        <w:t xml:space="preserve">In Uganda, </w:t>
      </w:r>
      <w:r w:rsidRPr="00ED7BEE">
        <w:rPr>
          <w:rFonts w:ascii="Arial" w:hAnsi="Arial" w:cs="Arial"/>
          <w:bCs/>
        </w:rPr>
        <w:t>Namatovu et al. (2023),</w:t>
      </w:r>
      <w:r w:rsidRPr="00ED7BEE">
        <w:rPr>
          <w:rFonts w:ascii="Arial" w:hAnsi="Arial" w:cs="Arial"/>
        </w:rPr>
        <w:t xml:space="preserve"> found that institutions that involved employers in reviewing training content observed higher student performance in internships and improved employment outcomes. This example reflects the tangible benefits of structured industry engagement in improving training quality and educational outcomes. Despite the benefits of involving employers in TVET, several barriers hinder the effectiveness of industry-TVET institutions partnerships. </w:t>
      </w:r>
      <w:proofErr w:type="spellStart"/>
      <w:r w:rsidRPr="00ED7BEE">
        <w:rPr>
          <w:rFonts w:ascii="Arial" w:hAnsi="Arial" w:cs="Arial"/>
          <w:bCs/>
        </w:rPr>
        <w:t>Jahonga</w:t>
      </w:r>
      <w:proofErr w:type="spellEnd"/>
      <w:r w:rsidRPr="00ED7BEE">
        <w:rPr>
          <w:rFonts w:ascii="Arial" w:hAnsi="Arial" w:cs="Arial"/>
          <w:bCs/>
        </w:rPr>
        <w:t xml:space="preserve"> et al. (2022),</w:t>
      </w:r>
      <w:r w:rsidRPr="00ED7BEE">
        <w:rPr>
          <w:rFonts w:ascii="Arial" w:hAnsi="Arial" w:cs="Arial"/>
        </w:rPr>
        <w:t xml:space="preserve"> cite the reluctance of small and medium enterprises (SMEs) to host interns due to limited resources, insurance challenges, and time constraints. In addition, a report by Ministry of Education and Sports, Uganda (</w:t>
      </w:r>
      <w:proofErr w:type="spellStart"/>
      <w:r w:rsidRPr="00ED7BEE">
        <w:rPr>
          <w:rFonts w:ascii="Arial" w:hAnsi="Arial" w:cs="Arial"/>
        </w:rPr>
        <w:t>MoES</w:t>
      </w:r>
      <w:proofErr w:type="spellEnd"/>
      <w:r w:rsidRPr="00ED7BEE">
        <w:rPr>
          <w:rFonts w:ascii="Arial" w:hAnsi="Arial" w:cs="Arial"/>
        </w:rPr>
        <w:t xml:space="preserve">, 2022), highlights bureaucratic hurdles and funding limitations that restrict external engagements as some of the challenges faced by institutional leaders. To </w:t>
      </w:r>
      <w:proofErr w:type="gramStart"/>
      <w:r w:rsidRPr="00ED7BEE">
        <w:rPr>
          <w:rFonts w:ascii="Arial" w:hAnsi="Arial" w:cs="Arial"/>
        </w:rPr>
        <w:t>address  some</w:t>
      </w:r>
      <w:proofErr w:type="gramEnd"/>
      <w:r w:rsidRPr="00ED7BEE">
        <w:rPr>
          <w:rFonts w:ascii="Arial" w:hAnsi="Arial" w:cs="Arial"/>
        </w:rPr>
        <w:t xml:space="preserve"> of these challenges, researchers </w:t>
      </w:r>
      <w:r w:rsidRPr="00ED7BEE">
        <w:rPr>
          <w:rFonts w:ascii="Arial" w:hAnsi="Arial" w:cs="Arial"/>
        </w:rPr>
        <w:lastRenderedPageBreak/>
        <w:t>suggest establishing formal frameworks for engagement, including Memoranda of Understanding (MoUs), industry advisory boards, and co-managed training centers (</w:t>
      </w:r>
      <w:proofErr w:type="spellStart"/>
      <w:r w:rsidRPr="00ED7BEE">
        <w:rPr>
          <w:rFonts w:ascii="Arial" w:hAnsi="Arial" w:cs="Arial"/>
        </w:rPr>
        <w:t>Ziderman</w:t>
      </w:r>
      <w:proofErr w:type="spellEnd"/>
      <w:r w:rsidRPr="00ED7BEE">
        <w:rPr>
          <w:rFonts w:ascii="Arial" w:hAnsi="Arial" w:cs="Arial"/>
        </w:rPr>
        <w:t xml:space="preserve">, 2020; </w:t>
      </w:r>
      <w:proofErr w:type="spellStart"/>
      <w:r w:rsidRPr="00ED7BEE">
        <w:rPr>
          <w:rFonts w:ascii="Arial" w:hAnsi="Arial" w:cs="Arial"/>
        </w:rPr>
        <w:t>Afeti</w:t>
      </w:r>
      <w:proofErr w:type="spellEnd"/>
      <w:r w:rsidRPr="00ED7BEE">
        <w:rPr>
          <w:rFonts w:ascii="Arial" w:hAnsi="Arial" w:cs="Arial"/>
        </w:rPr>
        <w:t xml:space="preserve"> &amp; </w:t>
      </w:r>
      <w:proofErr w:type="spellStart"/>
      <w:r w:rsidRPr="00ED7BEE">
        <w:rPr>
          <w:rFonts w:ascii="Arial" w:hAnsi="Arial" w:cs="Arial"/>
        </w:rPr>
        <w:t>Adubra</w:t>
      </w:r>
      <w:proofErr w:type="spellEnd"/>
      <w:r w:rsidRPr="00ED7BEE">
        <w:rPr>
          <w:rFonts w:ascii="Arial" w:hAnsi="Arial" w:cs="Arial"/>
        </w:rPr>
        <w:t>, 2020).</w:t>
      </w:r>
    </w:p>
    <w:p w14:paraId="02DC5D21" w14:textId="77777777" w:rsidR="0060063A" w:rsidRDefault="0060063A" w:rsidP="0060063A">
      <w:pPr>
        <w:pStyle w:val="Body"/>
        <w:rPr>
          <w:rFonts w:ascii="Arial" w:hAnsi="Arial" w:cs="Arial"/>
        </w:rPr>
      </w:pPr>
      <w:r w:rsidRPr="00082019">
        <w:rPr>
          <w:rFonts w:ascii="Arial" w:hAnsi="Arial" w:cs="Arial"/>
        </w:rPr>
        <w:t>The reviewed literature affirmed the significant role industry employers play in enhancing the quality of TVET outcomes, particularly in terms</w:t>
      </w:r>
      <w:r w:rsidRPr="00ED7BEE">
        <w:rPr>
          <w:rFonts w:ascii="Arial" w:hAnsi="Arial" w:cs="Arial"/>
          <w:color w:val="000000" w:themeColor="text1"/>
        </w:rPr>
        <w:t xml:space="preserve"> of curriculum relevance, quality, and graduate employability. While literature reviewed offered valuable insights, there is limited empirical evidence assessing the industry employer </w:t>
      </w:r>
      <w:r w:rsidRPr="00ED7BEE">
        <w:rPr>
          <w:rFonts w:ascii="Arial" w:hAnsi="Arial" w:cs="Arial"/>
          <w:bCs/>
          <w:color w:val="000000" w:themeColor="text1"/>
        </w:rPr>
        <w:t>involvement</w:t>
      </w:r>
      <w:r w:rsidRPr="00ED7BEE">
        <w:rPr>
          <w:rFonts w:ascii="Arial" w:hAnsi="Arial" w:cs="Arial"/>
          <w:color w:val="000000" w:themeColor="text1"/>
        </w:rPr>
        <w:t xml:space="preserve"> in Uganda’s public TVET colleges for quality outcomes. Specifically, few studies have explored the </w:t>
      </w:r>
      <w:r w:rsidRPr="00ED7BEE">
        <w:rPr>
          <w:rFonts w:ascii="Arial" w:hAnsi="Arial" w:cs="Arial"/>
          <w:bCs/>
          <w:color w:val="000000" w:themeColor="text1"/>
        </w:rPr>
        <w:t>scope, quality, and impact</w:t>
      </w:r>
      <w:r w:rsidRPr="00ED7BEE">
        <w:rPr>
          <w:rFonts w:ascii="Arial" w:hAnsi="Arial" w:cs="Arial"/>
          <w:color w:val="000000" w:themeColor="text1"/>
        </w:rPr>
        <w:t xml:space="preserve"> of such employer involvement and collaboration from a multi-stakeholder perspective. This study addresses this gap by assessing the industry employer involvement in enhancing the quality of TVET outcomes in public TVET colleges in Uganda, using data from selected colleges. </w:t>
      </w:r>
      <w:commentRangeStart w:id="1"/>
      <w:r w:rsidRPr="00ED7BEE">
        <w:rPr>
          <w:rFonts w:ascii="Arial" w:hAnsi="Arial" w:cs="Arial"/>
          <w:color w:val="000000" w:themeColor="text1"/>
        </w:rPr>
        <w:t xml:space="preserve">It aims to provide evidence-based recommendations for strengthening collaborative and partnership mechanisms that will improve the performance </w:t>
      </w:r>
      <w:commentRangeEnd w:id="1"/>
      <w:r w:rsidR="0067563E">
        <w:rPr>
          <w:rStyle w:val="CommentReference"/>
        </w:rPr>
        <w:commentReference w:id="1"/>
      </w:r>
      <w:r w:rsidRPr="00ED7BEE">
        <w:rPr>
          <w:rFonts w:ascii="Arial" w:hAnsi="Arial" w:cs="Arial"/>
          <w:color w:val="000000" w:themeColor="text1"/>
        </w:rPr>
        <w:t>and relevance of Uganda’s TVET sub-sector</w:t>
      </w:r>
      <w:r>
        <w:rPr>
          <w:rFonts w:ascii="Arial" w:hAnsi="Arial" w:cs="Arial"/>
        </w:rPr>
        <w:t>.</w:t>
      </w:r>
    </w:p>
    <w:p w14:paraId="5AED64F2" w14:textId="77777777" w:rsidR="0060063A" w:rsidRDefault="0060063A" w:rsidP="0060063A">
      <w:pPr>
        <w:pStyle w:val="AbstHead"/>
        <w:spacing w:after="0"/>
        <w:jc w:val="both"/>
        <w:rPr>
          <w:rFonts w:ascii="Arial" w:hAnsi="Arial" w:cs="Arial"/>
        </w:rPr>
      </w:pPr>
      <w:r>
        <w:rPr>
          <w:rFonts w:ascii="Arial" w:hAnsi="Arial" w:cs="Arial"/>
        </w:rPr>
        <w:t xml:space="preserve">2. methodology </w:t>
      </w:r>
    </w:p>
    <w:p w14:paraId="60468D54" w14:textId="77777777" w:rsidR="0060063A" w:rsidRDefault="0060063A" w:rsidP="0060063A">
      <w:pPr>
        <w:pStyle w:val="AbstHead"/>
        <w:spacing w:after="0"/>
        <w:jc w:val="both"/>
        <w:rPr>
          <w:rFonts w:ascii="Arial" w:hAnsi="Arial" w:cs="Arial"/>
        </w:rPr>
      </w:pPr>
    </w:p>
    <w:p w14:paraId="0DA8B233" w14:textId="77777777" w:rsidR="0060063A" w:rsidRPr="00DF692C" w:rsidRDefault="0060063A" w:rsidP="0060063A">
      <w:pPr>
        <w:pStyle w:val="Body"/>
        <w:rPr>
          <w:rFonts w:ascii="Arial" w:hAnsi="Arial" w:cs="Arial"/>
        </w:rPr>
      </w:pPr>
      <w:r w:rsidRPr="00DF692C">
        <w:rPr>
          <w:rFonts w:ascii="Arial" w:hAnsi="Arial" w:cs="Arial"/>
        </w:rPr>
        <w:t>This current study is grounded in the pragmatic philosophical research paradigm, which supports a practical and outcome-oriented approach to understanding complex real-world problems (Sohail &amp; Salter, 2022). Pragmatism allowed for methodological flexibility, making it appropriate for a study that aimed at assessing the industry employer involvement in enhancing the quality of TVET outcomes in Ugandan colleges. By adopting a mixed-methods design, specifically a convergent parallel design, the study collected both qualitative and quantitative data concurrently. Quantitative data was used to assess the extent of industry employer involvement and its effectiveness on TVET outcomes, while qualitative data helped to uncover the contextual realities, challenges, and perceptions surrounding these engagements.</w:t>
      </w:r>
    </w:p>
    <w:p w14:paraId="1BC90A79" w14:textId="77777777" w:rsidR="0060063A" w:rsidRPr="00DF692C" w:rsidRDefault="0060063A" w:rsidP="0060063A">
      <w:pPr>
        <w:pStyle w:val="Body"/>
        <w:rPr>
          <w:rFonts w:ascii="Arial" w:eastAsia="Calibri" w:hAnsi="Arial" w:cs="Arial"/>
          <w:szCs w:val="22"/>
          <w:lang w:val="en-GB"/>
        </w:rPr>
      </w:pPr>
      <w:r w:rsidRPr="00DF692C">
        <w:rPr>
          <w:rFonts w:ascii="Arial" w:eastAsia="Calibri" w:hAnsi="Arial" w:cs="Arial"/>
          <w:szCs w:val="22"/>
        </w:rPr>
        <w:t xml:space="preserve">The study was conducted in five public TVET colleges purposively selected. Given the study area, “assessing the industry employer involvement in enhancing quality of TVET outcomes” the study identified the key study variables of interest as attributes of quality TVET outcomes. </w:t>
      </w:r>
      <w:proofErr w:type="spellStart"/>
      <w:r w:rsidRPr="00DF692C">
        <w:rPr>
          <w:rFonts w:ascii="Arial" w:eastAsia="Calibri" w:hAnsi="Arial" w:cs="Arial"/>
          <w:szCs w:val="22"/>
        </w:rPr>
        <w:t>Marudhar</w:t>
      </w:r>
      <w:proofErr w:type="spellEnd"/>
      <w:r w:rsidRPr="00DF692C">
        <w:rPr>
          <w:rFonts w:ascii="Arial" w:eastAsia="Calibri" w:hAnsi="Arial" w:cs="Arial"/>
          <w:szCs w:val="22"/>
        </w:rPr>
        <w:t xml:space="preserve"> (2023) defines a variable as the characteristic or attribute of an individual, group, educational system, or the environment that is of interest in the research study. The independent variable was identified as ‘industry employer involvement’, and the resultant measure that depends on the effectiveness of industry employer involvement was ‘TVET outcomes’ defined by employability skills.</w:t>
      </w:r>
    </w:p>
    <w:p w14:paraId="0AA3836D" w14:textId="77777777" w:rsidR="0060063A" w:rsidRPr="009E4E3D" w:rsidRDefault="0060063A" w:rsidP="0060063A">
      <w:pPr>
        <w:pStyle w:val="Body"/>
        <w:rPr>
          <w:rFonts w:ascii="Arial" w:eastAsia="Calibri" w:hAnsi="Arial" w:cs="Arial"/>
          <w:szCs w:val="22"/>
        </w:rPr>
      </w:pPr>
      <w:r w:rsidRPr="00DF692C">
        <w:rPr>
          <w:rFonts w:ascii="Arial" w:eastAsia="Calibri" w:hAnsi="Arial" w:cs="Arial"/>
          <w:szCs w:val="22"/>
        </w:rPr>
        <w:t xml:space="preserve">Primary quantitative data was collected using a closed-ended questionnaire anchored on a 5-point Likert scale ranging from 1-strongly disagree to 5-strongly agree, from a sample of 102 trainers. Qualitative data was collected by use of interviews and focus group discussions from 13 college managers, 8 industry managers, and 34 trainers respectively. Proportionate stratified random sampling method was employed to ensure equal representation </w:t>
      </w:r>
      <w:proofErr w:type="gramStart"/>
      <w:r w:rsidRPr="00DF692C">
        <w:rPr>
          <w:rFonts w:ascii="Arial" w:eastAsia="Calibri" w:hAnsi="Arial" w:cs="Arial"/>
          <w:szCs w:val="22"/>
        </w:rPr>
        <w:t>of  all</w:t>
      </w:r>
      <w:proofErr w:type="gramEnd"/>
      <w:r w:rsidRPr="00DF692C">
        <w:rPr>
          <w:rFonts w:ascii="Arial" w:eastAsia="Calibri" w:hAnsi="Arial" w:cs="Arial"/>
          <w:szCs w:val="22"/>
        </w:rPr>
        <w:t xml:space="preserve"> the five TVET colleges considered in the study, but individual trainers to participate were selected using lottery sampling technique. All participants for interviews and focus group discussions were purposively selected due to their role in ensuring quality TVET outcomes. Purposive sampling ensured inclusion of regionally diverse institutions while random lottery eliminated selection bias. Data collection instruments were all in English due to high level industry-institutional stakeholders targeted, with items on the extent to which employers are involved in enhancing the quality of TVET outcomes. Instruments were tested for validity and reliability before use, and the Content Validity Index and Cronbach’s Alpha coefficients were above the threshold of 0.7. Quantitative data was then analyzed using SPSS version 25, to generate both correlations and regression results, and qualitative data populated in NVIVO software version 15 for analysis, using thematic data analysis technique</w:t>
      </w:r>
      <w:r>
        <w:rPr>
          <w:rFonts w:ascii="Arial" w:hAnsi="Arial" w:cs="Arial"/>
        </w:rPr>
        <w:t>.</w:t>
      </w:r>
    </w:p>
    <w:p w14:paraId="3DF59A4E" w14:textId="77777777" w:rsidR="0060063A" w:rsidRDefault="0060063A" w:rsidP="0060063A">
      <w:pPr>
        <w:pStyle w:val="Head1"/>
        <w:jc w:val="both"/>
        <w:rPr>
          <w:rFonts w:ascii="Arial" w:hAnsi="Arial" w:cs="Arial"/>
        </w:rPr>
      </w:pPr>
      <w:r>
        <w:rPr>
          <w:rFonts w:ascii="Arial" w:hAnsi="Arial" w:cs="Arial"/>
        </w:rPr>
        <w:t>3. results and discussion</w:t>
      </w:r>
    </w:p>
    <w:p w14:paraId="122D7489" w14:textId="77777777" w:rsidR="0060063A" w:rsidRPr="00DF692C" w:rsidRDefault="0060063A" w:rsidP="0060063A">
      <w:pPr>
        <w:pStyle w:val="Body"/>
        <w:rPr>
          <w:rFonts w:ascii="Arial" w:hAnsi="Arial" w:cs="Arial"/>
          <w:lang w:val="en-GB"/>
        </w:rPr>
      </w:pPr>
      <w:r w:rsidRPr="00DF692C">
        <w:rPr>
          <w:rFonts w:ascii="Arial" w:hAnsi="Arial" w:cs="Arial"/>
          <w:lang w:val="en-GB"/>
        </w:rPr>
        <w:t xml:space="preserve">This section presents the study results on descriptive statistics of industry employer involvement in enhancing the quality of TVET outcomes, correlation and linear regression results, qualitative results as well as the discussion of the findings. </w:t>
      </w:r>
    </w:p>
    <w:p w14:paraId="74DC6935" w14:textId="77777777" w:rsidR="0060063A" w:rsidRPr="00DF692C" w:rsidRDefault="0060063A" w:rsidP="0060063A">
      <w:pPr>
        <w:pStyle w:val="Body"/>
        <w:rPr>
          <w:rFonts w:ascii="Arial" w:hAnsi="Arial" w:cs="Arial"/>
          <w:b/>
          <w:sz w:val="22"/>
          <w:lang w:val="en-GB"/>
        </w:rPr>
      </w:pPr>
      <w:r>
        <w:rPr>
          <w:rFonts w:ascii="Arial" w:hAnsi="Arial" w:cs="Arial"/>
          <w:b/>
          <w:caps/>
          <w:sz w:val="22"/>
        </w:rPr>
        <w:t xml:space="preserve">3.1 </w:t>
      </w:r>
      <w:r w:rsidRPr="00DF692C">
        <w:rPr>
          <w:rFonts w:ascii="Arial" w:hAnsi="Arial" w:cs="Arial"/>
          <w:b/>
          <w:sz w:val="22"/>
          <w:lang w:val="en-GB"/>
        </w:rPr>
        <w:t xml:space="preserve">Descriptive Statistics </w:t>
      </w:r>
    </w:p>
    <w:p w14:paraId="46BD145C" w14:textId="77777777" w:rsidR="0060063A" w:rsidRPr="00DF692C" w:rsidRDefault="0060063A" w:rsidP="0060063A">
      <w:pPr>
        <w:pStyle w:val="Body"/>
        <w:rPr>
          <w:rFonts w:ascii="Arial" w:hAnsi="Arial" w:cs="Arial"/>
          <w:i/>
          <w:lang w:val="en-GB"/>
        </w:rPr>
      </w:pPr>
      <w:r w:rsidRPr="00DF692C">
        <w:rPr>
          <w:rFonts w:ascii="Arial" w:hAnsi="Arial" w:cs="Arial"/>
          <w:lang w:val="en-GB"/>
        </w:rPr>
        <w:lastRenderedPageBreak/>
        <w:t xml:space="preserve">The analysis of the trainers’ descriptive responses offered a clearer picture of existing linkages, areas of employer contribution, and potential gaps in industry employer involvement that could impact the quality, relevance and effectiveness of TVET in public </w:t>
      </w:r>
      <w:r w:rsidRPr="00DF692C">
        <w:rPr>
          <w:rFonts w:ascii="Arial" w:hAnsi="Arial" w:cs="Arial"/>
        </w:rPr>
        <w:t>colleges</w:t>
      </w:r>
      <w:r w:rsidRPr="00DF692C">
        <w:rPr>
          <w:rFonts w:ascii="Arial" w:hAnsi="Arial" w:cs="Arial"/>
          <w:lang w:val="en-GB"/>
        </w:rPr>
        <w:t xml:space="preserve">. The findings revealed a mean </w:t>
      </w:r>
      <w:r w:rsidRPr="00DF692C">
        <w:rPr>
          <w:rFonts w:ascii="Arial" w:hAnsi="Arial" w:cs="Arial"/>
        </w:rPr>
        <w:t xml:space="preserve">range </w:t>
      </w:r>
      <w:r w:rsidRPr="00DF692C">
        <w:rPr>
          <w:rFonts w:ascii="Arial" w:hAnsi="Arial" w:cs="Arial"/>
          <w:lang w:val="en-GB"/>
        </w:rPr>
        <w:t>of 3.</w:t>
      </w:r>
      <w:r w:rsidRPr="00DF692C">
        <w:rPr>
          <w:rFonts w:ascii="Arial" w:hAnsi="Arial" w:cs="Arial"/>
        </w:rPr>
        <w:t>8056</w:t>
      </w:r>
      <w:r w:rsidRPr="00DF692C">
        <w:rPr>
          <w:rFonts w:ascii="Arial" w:hAnsi="Arial" w:cs="Arial"/>
          <w:lang w:val="en-GB"/>
        </w:rPr>
        <w:t xml:space="preserve"> </w:t>
      </w:r>
      <w:r w:rsidRPr="00DF692C">
        <w:rPr>
          <w:rFonts w:ascii="Arial" w:hAnsi="Arial" w:cs="Arial"/>
        </w:rPr>
        <w:t xml:space="preserve">- 3.0563, </w:t>
      </w:r>
      <w:r w:rsidRPr="00DF692C">
        <w:rPr>
          <w:rFonts w:ascii="Arial" w:hAnsi="Arial" w:cs="Arial"/>
          <w:lang w:val="en-GB"/>
        </w:rPr>
        <w:t>and a standard deviation</w:t>
      </w:r>
      <w:r w:rsidRPr="00DF692C">
        <w:rPr>
          <w:rFonts w:ascii="Arial" w:hAnsi="Arial" w:cs="Arial"/>
        </w:rPr>
        <w:t xml:space="preserve"> range </w:t>
      </w:r>
      <w:r w:rsidRPr="00DF692C">
        <w:rPr>
          <w:rFonts w:ascii="Arial" w:hAnsi="Arial" w:cs="Arial"/>
          <w:lang w:val="en-GB"/>
        </w:rPr>
        <w:t xml:space="preserve">of </w:t>
      </w:r>
      <w:r w:rsidRPr="00DF692C">
        <w:rPr>
          <w:rFonts w:ascii="Arial" w:hAnsi="Arial" w:cs="Arial"/>
        </w:rPr>
        <w:t xml:space="preserve">1.2970 - </w:t>
      </w:r>
      <w:r w:rsidRPr="00DF692C">
        <w:rPr>
          <w:rFonts w:ascii="Arial" w:hAnsi="Arial" w:cs="Arial"/>
          <w:lang w:val="en-GB"/>
        </w:rPr>
        <w:t>0.6</w:t>
      </w:r>
      <w:r w:rsidRPr="00DF692C">
        <w:rPr>
          <w:rFonts w:ascii="Arial" w:hAnsi="Arial" w:cs="Arial"/>
        </w:rPr>
        <w:t>84679 across the items presented</w:t>
      </w:r>
      <w:r w:rsidRPr="00DF692C">
        <w:rPr>
          <w:rFonts w:ascii="Arial" w:hAnsi="Arial" w:cs="Arial"/>
          <w:lang w:val="en-GB"/>
        </w:rPr>
        <w:t>. According to the rating scale used in this study, this indicates that, on average, trainers agreed with the items related to industry employer involvement in TVET</w:t>
      </w:r>
      <w:r w:rsidRPr="00DF692C">
        <w:rPr>
          <w:rFonts w:ascii="Arial" w:hAnsi="Arial" w:cs="Arial"/>
        </w:rPr>
        <w:t>, though there were variations in their level of agreement</w:t>
      </w:r>
      <w:r w:rsidRPr="00DF692C">
        <w:rPr>
          <w:rFonts w:ascii="Arial" w:hAnsi="Arial" w:cs="Arial"/>
          <w:lang w:val="en-GB"/>
        </w:rPr>
        <w:t>.</w:t>
      </w:r>
      <w:r w:rsidRPr="00DF692C">
        <w:rPr>
          <w:rFonts w:ascii="Arial" w:hAnsi="Arial" w:cs="Arial"/>
        </w:rPr>
        <w:t xml:space="preserve"> A </w:t>
      </w:r>
      <w:r w:rsidRPr="00DF692C">
        <w:rPr>
          <w:rFonts w:ascii="Arial" w:hAnsi="Arial" w:cs="Arial"/>
          <w:lang w:val="en-GB"/>
        </w:rPr>
        <w:t xml:space="preserve">moderate-to-high level of perceived involvement of employers in supporting and enhancing the quality of </w:t>
      </w:r>
      <w:r w:rsidRPr="00DF692C">
        <w:rPr>
          <w:rFonts w:ascii="Arial" w:hAnsi="Arial" w:cs="Arial"/>
        </w:rPr>
        <w:t>TVET outcomes</w:t>
      </w:r>
      <w:r w:rsidRPr="00DF692C">
        <w:rPr>
          <w:rFonts w:ascii="Arial" w:hAnsi="Arial" w:cs="Arial"/>
          <w:lang w:val="en-GB"/>
        </w:rPr>
        <w:t xml:space="preserve"> in public TVET </w:t>
      </w:r>
      <w:r w:rsidRPr="00DF692C">
        <w:rPr>
          <w:rFonts w:ascii="Arial" w:hAnsi="Arial" w:cs="Arial"/>
        </w:rPr>
        <w:t>colleges is suggested by these findings</w:t>
      </w:r>
      <w:r w:rsidRPr="00DF692C">
        <w:rPr>
          <w:rFonts w:ascii="Arial" w:hAnsi="Arial" w:cs="Arial"/>
          <w:lang w:val="en-GB"/>
        </w:rPr>
        <w:t>.</w:t>
      </w:r>
      <w:r w:rsidRPr="00DF692C">
        <w:rPr>
          <w:rFonts w:ascii="Arial" w:hAnsi="Arial" w:cs="Arial"/>
        </w:rPr>
        <w:t xml:space="preserve"> </w:t>
      </w:r>
      <w:r w:rsidRPr="00DF692C">
        <w:rPr>
          <w:rFonts w:ascii="Arial" w:hAnsi="Arial" w:cs="Arial"/>
          <w:lang w:val="en-GB"/>
        </w:rPr>
        <w:t>Analysing individual items, trainers reported strong agreement with several key areas of industry involvement.</w:t>
      </w:r>
      <w:r w:rsidRPr="00DF692C">
        <w:rPr>
          <w:rFonts w:ascii="Arial" w:hAnsi="Arial" w:cs="Arial"/>
        </w:rPr>
        <w:t xml:space="preserve"> </w:t>
      </w:r>
      <w:r w:rsidRPr="00DF692C">
        <w:rPr>
          <w:rFonts w:ascii="Arial" w:hAnsi="Arial" w:cs="Arial"/>
          <w:lang w:val="en-GB"/>
        </w:rPr>
        <w:t>These include the active participation of employers in the development (mean = 3.8056, SD = 0.98780)</w:t>
      </w:r>
      <w:r w:rsidRPr="00DF692C">
        <w:rPr>
          <w:rFonts w:ascii="Arial" w:hAnsi="Arial" w:cs="Arial"/>
        </w:rPr>
        <w:t>,</w:t>
      </w:r>
      <w:r w:rsidRPr="00DF692C">
        <w:rPr>
          <w:rFonts w:ascii="Arial" w:hAnsi="Arial" w:cs="Arial"/>
          <w:lang w:val="en-GB"/>
        </w:rPr>
        <w:t xml:space="preserve"> and review (mean = 3.7222, SD = 1.06443) of curriculum to align training with labour market needs. Industry-employers were also seen to be actively involved in delivering workplace-based training (mean = 3.6806, SD = 0.85294), and colleges were perceived to maintain linkages with enterprises and companies (mean = 3.6250, SD = 0.84649). Trainers also agreed that they regularly gather information on industry trends and future workforce needs (mean = 3.5833, SD = 0.91544), and that employers participate in assessing curriculum implementation (mean = 3.5278, SD = 1.08734) and providing occupational profiles and standards (mean = 3.4722, SD = 0.91885).</w:t>
      </w:r>
    </w:p>
    <w:p w14:paraId="5EC2DBDF" w14:textId="77777777" w:rsidR="0060063A" w:rsidRDefault="0060063A" w:rsidP="0060063A">
      <w:pPr>
        <w:pStyle w:val="Body"/>
        <w:rPr>
          <w:rFonts w:ascii="Arial" w:hAnsi="Arial" w:cs="Arial"/>
          <w:lang w:val="en-GB"/>
        </w:rPr>
      </w:pPr>
      <w:r w:rsidRPr="00DF692C">
        <w:rPr>
          <w:rFonts w:ascii="Arial" w:hAnsi="Arial" w:cs="Arial"/>
          <w:lang w:val="en-GB"/>
        </w:rPr>
        <w:t>However, the data also reveal</w:t>
      </w:r>
      <w:r w:rsidRPr="00DF692C">
        <w:rPr>
          <w:rFonts w:ascii="Arial" w:hAnsi="Arial" w:cs="Arial"/>
        </w:rPr>
        <w:t>ed</w:t>
      </w:r>
      <w:r w:rsidRPr="00DF692C">
        <w:rPr>
          <w:rFonts w:ascii="Arial" w:hAnsi="Arial" w:cs="Arial"/>
          <w:lang w:val="en-GB"/>
        </w:rPr>
        <w:t xml:space="preserve"> areas where respondents were less certain or less aware of employer involvement. These included participation in advisory committees for sector-specific training (mean = 3.4225, SD = 0.98813), direct involvement in training delivery within the colleges (mean = 3.4028, SD = 1.05697), and provision of workplaces and equipment for practice (mean = 3.3611, SD = 1.12970). Trainers also expressed uncertainty about whether the</w:t>
      </w:r>
      <w:r w:rsidRPr="00DF692C">
        <w:rPr>
          <w:rFonts w:ascii="Arial" w:hAnsi="Arial" w:cs="Arial"/>
        </w:rPr>
        <w:t>re is effort to</w:t>
      </w:r>
      <w:r w:rsidRPr="00DF692C">
        <w:rPr>
          <w:rFonts w:ascii="Arial" w:hAnsi="Arial" w:cs="Arial"/>
          <w:lang w:val="en-GB"/>
        </w:rPr>
        <w:t xml:space="preserve"> seek exchange programs for trainees (mean = 3.3194, SD = 1.01851), and whether employers contribute financial resources, such as scholarships and bursaries (mean = 3.1667, SD = 1.19859), or support trainer exchange programs (mean = 3.0563, SD = 1.03308). </w:t>
      </w:r>
      <w:r w:rsidRPr="00DF692C">
        <w:rPr>
          <w:rFonts w:ascii="Arial" w:hAnsi="Arial" w:cs="Arial"/>
        </w:rPr>
        <w:t xml:space="preserve">These particular findings could imply that there may be lack of information flow within colleges or indeed the employers are less involved in these areas. Overall, </w:t>
      </w:r>
      <w:r w:rsidRPr="00DF692C">
        <w:rPr>
          <w:rFonts w:ascii="Arial" w:hAnsi="Arial" w:cs="Arial"/>
          <w:lang w:val="en-GB"/>
        </w:rPr>
        <w:t>findings highlight</w:t>
      </w:r>
      <w:r w:rsidRPr="00DF692C">
        <w:rPr>
          <w:rFonts w:ascii="Arial" w:hAnsi="Arial" w:cs="Arial"/>
        </w:rPr>
        <w:t>ed</w:t>
      </w:r>
      <w:r w:rsidRPr="00DF692C">
        <w:rPr>
          <w:rFonts w:ascii="Arial" w:hAnsi="Arial" w:cs="Arial"/>
          <w:lang w:val="en-GB"/>
        </w:rPr>
        <w:t xml:space="preserve"> a recognizable level of industry engagement in some key </w:t>
      </w:r>
      <w:r w:rsidRPr="00DF692C">
        <w:rPr>
          <w:rFonts w:ascii="Arial" w:hAnsi="Arial" w:cs="Arial"/>
        </w:rPr>
        <w:t>aspects of TVET</w:t>
      </w:r>
      <w:r w:rsidRPr="00DF692C">
        <w:rPr>
          <w:rFonts w:ascii="Arial" w:hAnsi="Arial" w:cs="Arial"/>
          <w:lang w:val="en-GB"/>
        </w:rPr>
        <w:t>, especially those related to curriculum design and work-based training. Nonetheless, the lower awareness or agreement on other items suggest</w:t>
      </w:r>
      <w:r w:rsidRPr="00DF692C">
        <w:rPr>
          <w:rFonts w:ascii="Arial" w:hAnsi="Arial" w:cs="Arial"/>
        </w:rPr>
        <w:t>ed</w:t>
      </w:r>
      <w:r w:rsidRPr="00DF692C">
        <w:rPr>
          <w:rFonts w:ascii="Arial" w:hAnsi="Arial" w:cs="Arial"/>
          <w:lang w:val="en-GB"/>
        </w:rPr>
        <w:t xml:space="preserve"> gaps in deeper, more sustain</w:t>
      </w:r>
      <w:r w:rsidRPr="00DF692C">
        <w:rPr>
          <w:rFonts w:ascii="Arial" w:hAnsi="Arial" w:cs="Arial"/>
        </w:rPr>
        <w:t>able</w:t>
      </w:r>
      <w:r w:rsidRPr="00DF692C">
        <w:rPr>
          <w:rFonts w:ascii="Arial" w:hAnsi="Arial" w:cs="Arial"/>
          <w:lang w:val="en-GB"/>
        </w:rPr>
        <w:t xml:space="preserve"> involvement and partnerships, such as infrastructure sharing, financial support, and long-term collaborative planning. This </w:t>
      </w:r>
      <w:r w:rsidRPr="00DF692C">
        <w:rPr>
          <w:rFonts w:ascii="Arial" w:hAnsi="Arial" w:cs="Arial"/>
        </w:rPr>
        <w:t xml:space="preserve">further </w:t>
      </w:r>
      <w:r w:rsidRPr="00DF692C">
        <w:rPr>
          <w:rFonts w:ascii="Arial" w:hAnsi="Arial" w:cs="Arial"/>
          <w:lang w:val="en-GB"/>
        </w:rPr>
        <w:t xml:space="preserve">points to a need for enhanced coordination mechanisms between TVET </w:t>
      </w:r>
      <w:r w:rsidRPr="00DF692C">
        <w:rPr>
          <w:rFonts w:ascii="Arial" w:hAnsi="Arial" w:cs="Arial"/>
        </w:rPr>
        <w:t>institutions</w:t>
      </w:r>
      <w:r w:rsidRPr="00DF692C">
        <w:rPr>
          <w:rFonts w:ascii="Arial" w:hAnsi="Arial" w:cs="Arial"/>
          <w:lang w:val="en-GB"/>
        </w:rPr>
        <w:t xml:space="preserve"> and industry to broaden the scope of employer participation, ensuring that TVET is holistically supported and better aligned with evolving labour market demands</w:t>
      </w:r>
      <w:r>
        <w:rPr>
          <w:rFonts w:ascii="Arial" w:hAnsi="Arial" w:cs="Arial"/>
          <w:lang w:val="en-GB"/>
        </w:rPr>
        <w:t>.</w:t>
      </w:r>
    </w:p>
    <w:p w14:paraId="7479DAAB" w14:textId="77777777" w:rsidR="0060063A" w:rsidRPr="009E4E3D" w:rsidRDefault="0060063A" w:rsidP="0060063A">
      <w:pPr>
        <w:pStyle w:val="Body"/>
        <w:rPr>
          <w:rFonts w:ascii="Arial" w:hAnsi="Arial" w:cs="Arial"/>
        </w:rPr>
      </w:pPr>
      <w:r w:rsidRPr="00AD2F4A">
        <w:rPr>
          <w:rFonts w:ascii="Arial" w:hAnsi="Arial" w:cs="Arial"/>
          <w:lang w:val="en-GB"/>
        </w:rPr>
        <w:t>Correlation results were generated to examine the association Industry-Employer Involvement in TVET (independent variable) and TVET Outcomes (dependent variable). The correlation results are indicated in Table 1</w:t>
      </w:r>
      <w:r>
        <w:rPr>
          <w:rFonts w:ascii="Arial" w:hAnsi="Arial" w:cs="Arial"/>
          <w:lang w:val="en-GB"/>
        </w:rPr>
        <w:t xml:space="preserve"> below</w:t>
      </w:r>
      <w:r w:rsidRPr="00AD2F4A">
        <w:rPr>
          <w:rFonts w:ascii="Arial" w:hAnsi="Arial" w:cs="Arial"/>
          <w:lang w:val="en-GB"/>
        </w:rPr>
        <w:t xml:space="preserve">.  </w:t>
      </w:r>
      <w:r w:rsidRPr="00D801D1">
        <w:rPr>
          <w:rFonts w:ascii="Arial" w:hAnsi="Arial" w:cs="Arial"/>
          <w:lang w:val="en-GB"/>
        </w:rPr>
        <w:t xml:space="preserve">The findings in </w:t>
      </w:r>
      <w:r>
        <w:rPr>
          <w:rFonts w:ascii="Arial" w:hAnsi="Arial" w:cs="Arial"/>
          <w:lang w:val="en-GB"/>
        </w:rPr>
        <w:t xml:space="preserve">the </w:t>
      </w:r>
      <w:r w:rsidRPr="00D801D1">
        <w:rPr>
          <w:rFonts w:ascii="Arial" w:hAnsi="Arial" w:cs="Arial"/>
          <w:lang w:val="en-GB"/>
        </w:rPr>
        <w:t>Table, show that there is a significant positive association between Industry Employer Involvement and TVET Outcomes (r=0.623; P&lt;0.01). This implies that Industry Employer Involvement and TVET outcomes move in one direction. In other words, changes in Industry Employer Involvement are associated with changes in the quality of TVET outcomes.</w:t>
      </w:r>
    </w:p>
    <w:p w14:paraId="01C6B81A" w14:textId="77777777" w:rsidR="0060063A" w:rsidRPr="00AD2F4A" w:rsidRDefault="0060063A" w:rsidP="0060063A">
      <w:pPr>
        <w:pStyle w:val="Body"/>
        <w:rPr>
          <w:rFonts w:ascii="Arial" w:hAnsi="Arial"/>
          <w:b/>
        </w:rPr>
      </w:pPr>
      <w:r w:rsidRPr="00AD2F4A">
        <w:rPr>
          <w:rFonts w:ascii="Arial" w:hAnsi="Arial"/>
          <w:b/>
        </w:rPr>
        <w:t>Table 1.</w:t>
      </w:r>
      <w:r w:rsidRPr="00AD2F4A">
        <w:rPr>
          <w:rFonts w:ascii="Arial" w:hAnsi="Arial"/>
          <w:b/>
        </w:rPr>
        <w:tab/>
      </w:r>
      <w:r w:rsidRPr="00AD2F4A">
        <w:rPr>
          <w:rFonts w:ascii="Arial" w:hAnsi="Arial"/>
          <w:b/>
          <w:lang w:val="en-GB"/>
        </w:rPr>
        <w:t xml:space="preserve">Correlation results </w:t>
      </w: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1186"/>
        <w:gridCol w:w="1186"/>
        <w:gridCol w:w="1090"/>
        <w:gridCol w:w="1092"/>
      </w:tblGrid>
      <w:tr w:rsidR="0060063A" w:rsidRPr="00AD2F4A" w14:paraId="42CBBD72" w14:textId="77777777" w:rsidTr="00ED7BEE">
        <w:tc>
          <w:tcPr>
            <w:tcW w:w="2477" w:type="pct"/>
            <w:tcBorders>
              <w:bottom w:val="single" w:sz="4" w:space="0" w:color="auto"/>
            </w:tcBorders>
          </w:tcPr>
          <w:p w14:paraId="3F91792A" w14:textId="77777777" w:rsidR="0060063A" w:rsidRPr="00AD2F4A" w:rsidRDefault="0060063A" w:rsidP="00ED7BEE">
            <w:pPr>
              <w:pStyle w:val="Body"/>
              <w:rPr>
                <w:rFonts w:ascii="Arial" w:hAnsi="Arial" w:cs="Arial"/>
                <w:b/>
                <w:lang w:val="en-GB"/>
              </w:rPr>
            </w:pPr>
            <w:r w:rsidRPr="00AD2F4A">
              <w:rPr>
                <w:rFonts w:ascii="Arial" w:hAnsi="Arial" w:cs="Arial"/>
                <w:b/>
                <w:lang w:val="en-GB"/>
              </w:rPr>
              <w:t xml:space="preserve">Variable </w:t>
            </w:r>
          </w:p>
        </w:tc>
        <w:tc>
          <w:tcPr>
            <w:tcW w:w="657" w:type="pct"/>
            <w:tcBorders>
              <w:bottom w:val="single" w:sz="4" w:space="0" w:color="auto"/>
            </w:tcBorders>
          </w:tcPr>
          <w:p w14:paraId="4AE2112F" w14:textId="77777777" w:rsidR="0060063A" w:rsidRPr="00AD2F4A" w:rsidRDefault="0060063A" w:rsidP="00ED7BEE">
            <w:pPr>
              <w:pStyle w:val="Body"/>
              <w:rPr>
                <w:rFonts w:ascii="Arial" w:hAnsi="Arial" w:cs="Arial"/>
                <w:b/>
                <w:lang w:val="en-GB"/>
              </w:rPr>
            </w:pPr>
            <w:r w:rsidRPr="00AD2F4A">
              <w:rPr>
                <w:rFonts w:ascii="Arial" w:hAnsi="Arial" w:cs="Arial"/>
                <w:b/>
                <w:lang w:val="en-GB"/>
              </w:rPr>
              <w:t>Mean</w:t>
            </w:r>
          </w:p>
        </w:tc>
        <w:tc>
          <w:tcPr>
            <w:tcW w:w="657" w:type="pct"/>
            <w:tcBorders>
              <w:bottom w:val="single" w:sz="4" w:space="0" w:color="auto"/>
            </w:tcBorders>
          </w:tcPr>
          <w:p w14:paraId="5DBA0925" w14:textId="77777777" w:rsidR="0060063A" w:rsidRPr="00AD2F4A" w:rsidRDefault="0060063A" w:rsidP="00ED7BEE">
            <w:pPr>
              <w:pStyle w:val="Body"/>
              <w:rPr>
                <w:rFonts w:ascii="Arial" w:hAnsi="Arial" w:cs="Arial"/>
                <w:b/>
                <w:lang w:val="en-GB"/>
              </w:rPr>
            </w:pPr>
            <w:r w:rsidRPr="00AD2F4A">
              <w:rPr>
                <w:rFonts w:ascii="Arial" w:hAnsi="Arial" w:cs="Arial"/>
                <w:b/>
                <w:lang w:val="en-GB"/>
              </w:rPr>
              <w:t>SD</w:t>
            </w:r>
          </w:p>
        </w:tc>
        <w:tc>
          <w:tcPr>
            <w:tcW w:w="604" w:type="pct"/>
            <w:tcBorders>
              <w:bottom w:val="single" w:sz="4" w:space="0" w:color="auto"/>
            </w:tcBorders>
          </w:tcPr>
          <w:p w14:paraId="44FDBED0" w14:textId="77777777" w:rsidR="0060063A" w:rsidRPr="00AD2F4A" w:rsidRDefault="0060063A" w:rsidP="00ED7BEE">
            <w:pPr>
              <w:pStyle w:val="Body"/>
              <w:rPr>
                <w:rFonts w:ascii="Arial" w:hAnsi="Arial" w:cs="Arial"/>
                <w:b/>
                <w:lang w:val="en-GB"/>
              </w:rPr>
            </w:pPr>
            <w:r w:rsidRPr="00AD2F4A">
              <w:rPr>
                <w:rFonts w:ascii="Arial" w:hAnsi="Arial" w:cs="Arial"/>
                <w:b/>
                <w:lang w:val="en-GB"/>
              </w:rPr>
              <w:t>1</w:t>
            </w:r>
          </w:p>
        </w:tc>
        <w:tc>
          <w:tcPr>
            <w:tcW w:w="604" w:type="pct"/>
            <w:tcBorders>
              <w:bottom w:val="single" w:sz="4" w:space="0" w:color="auto"/>
            </w:tcBorders>
          </w:tcPr>
          <w:p w14:paraId="558DFA64" w14:textId="77777777" w:rsidR="0060063A" w:rsidRPr="00AD2F4A" w:rsidRDefault="0060063A" w:rsidP="00ED7BEE">
            <w:pPr>
              <w:pStyle w:val="Body"/>
              <w:rPr>
                <w:rFonts w:ascii="Arial" w:hAnsi="Arial" w:cs="Arial"/>
                <w:b/>
                <w:lang w:val="en-GB"/>
              </w:rPr>
            </w:pPr>
            <w:r w:rsidRPr="00AD2F4A">
              <w:rPr>
                <w:rFonts w:ascii="Arial" w:hAnsi="Arial" w:cs="Arial"/>
                <w:b/>
                <w:lang w:val="en-GB"/>
              </w:rPr>
              <w:t>2</w:t>
            </w:r>
          </w:p>
        </w:tc>
      </w:tr>
      <w:tr w:rsidR="0060063A" w:rsidRPr="00AD2F4A" w14:paraId="57B5904F" w14:textId="77777777" w:rsidTr="00ED7BEE">
        <w:tc>
          <w:tcPr>
            <w:tcW w:w="2477" w:type="pct"/>
            <w:tcBorders>
              <w:top w:val="single" w:sz="4" w:space="0" w:color="auto"/>
              <w:bottom w:val="nil"/>
            </w:tcBorders>
          </w:tcPr>
          <w:p w14:paraId="1D2FA691" w14:textId="77777777" w:rsidR="0060063A" w:rsidRPr="00AD2F4A" w:rsidRDefault="0060063A" w:rsidP="00ED7BEE">
            <w:pPr>
              <w:pStyle w:val="Body"/>
              <w:rPr>
                <w:rFonts w:ascii="Arial" w:hAnsi="Arial" w:cs="Arial"/>
              </w:rPr>
            </w:pPr>
            <w:r w:rsidRPr="00AD2F4A">
              <w:rPr>
                <w:rFonts w:ascii="Arial" w:hAnsi="Arial" w:cs="Arial"/>
              </w:rPr>
              <w:t>Industry Employer Involvement (1)</w:t>
            </w:r>
          </w:p>
        </w:tc>
        <w:tc>
          <w:tcPr>
            <w:tcW w:w="657" w:type="pct"/>
            <w:tcBorders>
              <w:top w:val="single" w:sz="4" w:space="0" w:color="auto"/>
              <w:bottom w:val="nil"/>
            </w:tcBorders>
          </w:tcPr>
          <w:p w14:paraId="4815CE95" w14:textId="77777777" w:rsidR="0060063A" w:rsidRPr="00AD2F4A" w:rsidRDefault="0060063A" w:rsidP="00ED7BEE">
            <w:pPr>
              <w:pStyle w:val="Body"/>
              <w:rPr>
                <w:rFonts w:ascii="Arial" w:hAnsi="Arial" w:cs="Arial"/>
              </w:rPr>
            </w:pPr>
            <w:r w:rsidRPr="00AD2F4A">
              <w:rPr>
                <w:rFonts w:ascii="Arial" w:hAnsi="Arial" w:cs="Arial"/>
              </w:rPr>
              <w:t>3.4727</w:t>
            </w:r>
          </w:p>
        </w:tc>
        <w:tc>
          <w:tcPr>
            <w:tcW w:w="657" w:type="pct"/>
            <w:tcBorders>
              <w:top w:val="single" w:sz="4" w:space="0" w:color="auto"/>
              <w:bottom w:val="nil"/>
            </w:tcBorders>
          </w:tcPr>
          <w:p w14:paraId="07A31608" w14:textId="77777777" w:rsidR="0060063A" w:rsidRPr="00AD2F4A" w:rsidRDefault="0060063A" w:rsidP="00ED7BEE">
            <w:pPr>
              <w:pStyle w:val="Body"/>
              <w:rPr>
                <w:rFonts w:ascii="Arial" w:hAnsi="Arial" w:cs="Arial"/>
              </w:rPr>
            </w:pPr>
            <w:r w:rsidRPr="00AD2F4A">
              <w:rPr>
                <w:rFonts w:ascii="Arial" w:hAnsi="Arial" w:cs="Arial"/>
              </w:rPr>
              <w:t>.68715</w:t>
            </w:r>
          </w:p>
        </w:tc>
        <w:tc>
          <w:tcPr>
            <w:tcW w:w="604" w:type="pct"/>
            <w:tcBorders>
              <w:top w:val="single" w:sz="4" w:space="0" w:color="auto"/>
              <w:bottom w:val="nil"/>
            </w:tcBorders>
          </w:tcPr>
          <w:p w14:paraId="1690D39A" w14:textId="77777777" w:rsidR="0060063A" w:rsidRPr="00AD2F4A" w:rsidRDefault="0060063A" w:rsidP="00ED7BEE">
            <w:pPr>
              <w:pStyle w:val="Body"/>
              <w:rPr>
                <w:rFonts w:ascii="Arial" w:hAnsi="Arial" w:cs="Arial"/>
              </w:rPr>
            </w:pPr>
            <w:r w:rsidRPr="00AD2F4A">
              <w:rPr>
                <w:rFonts w:ascii="Arial" w:hAnsi="Arial" w:cs="Arial"/>
              </w:rPr>
              <w:t>1</w:t>
            </w:r>
          </w:p>
        </w:tc>
        <w:tc>
          <w:tcPr>
            <w:tcW w:w="604" w:type="pct"/>
            <w:tcBorders>
              <w:top w:val="single" w:sz="4" w:space="0" w:color="auto"/>
              <w:bottom w:val="nil"/>
            </w:tcBorders>
          </w:tcPr>
          <w:p w14:paraId="4D12723E" w14:textId="77777777" w:rsidR="0060063A" w:rsidRPr="00AD2F4A" w:rsidRDefault="0060063A" w:rsidP="00ED7BEE">
            <w:pPr>
              <w:pStyle w:val="Body"/>
              <w:rPr>
                <w:rFonts w:ascii="Arial" w:hAnsi="Arial" w:cs="Arial"/>
              </w:rPr>
            </w:pPr>
            <w:r w:rsidRPr="00AD2F4A">
              <w:rPr>
                <w:rFonts w:ascii="Arial" w:hAnsi="Arial" w:cs="Arial"/>
              </w:rPr>
              <w:t>.623</w:t>
            </w:r>
            <w:r w:rsidRPr="00AD2F4A">
              <w:rPr>
                <w:rFonts w:ascii="Arial" w:hAnsi="Arial" w:cs="Arial"/>
                <w:vertAlign w:val="superscript"/>
              </w:rPr>
              <w:t>**</w:t>
            </w:r>
          </w:p>
        </w:tc>
      </w:tr>
      <w:tr w:rsidR="0060063A" w:rsidRPr="00AD2F4A" w14:paraId="443B9D4F" w14:textId="77777777" w:rsidTr="00ED7BEE">
        <w:tc>
          <w:tcPr>
            <w:tcW w:w="2477" w:type="pct"/>
            <w:tcBorders>
              <w:top w:val="nil"/>
              <w:bottom w:val="single" w:sz="4" w:space="0" w:color="auto"/>
            </w:tcBorders>
          </w:tcPr>
          <w:p w14:paraId="6B6E1418" w14:textId="77777777" w:rsidR="0060063A" w:rsidRPr="00AD2F4A" w:rsidRDefault="0060063A" w:rsidP="00ED7BEE">
            <w:pPr>
              <w:pStyle w:val="Body"/>
              <w:rPr>
                <w:rFonts w:ascii="Arial" w:hAnsi="Arial" w:cs="Arial"/>
              </w:rPr>
            </w:pPr>
            <w:r w:rsidRPr="00AD2F4A">
              <w:rPr>
                <w:rFonts w:ascii="Arial" w:hAnsi="Arial" w:cs="Arial"/>
              </w:rPr>
              <w:t>TVET Outcomes (2)</w:t>
            </w:r>
          </w:p>
        </w:tc>
        <w:tc>
          <w:tcPr>
            <w:tcW w:w="657" w:type="pct"/>
            <w:tcBorders>
              <w:top w:val="nil"/>
              <w:bottom w:val="single" w:sz="4" w:space="0" w:color="auto"/>
            </w:tcBorders>
          </w:tcPr>
          <w:p w14:paraId="7905BE0C" w14:textId="77777777" w:rsidR="0060063A" w:rsidRPr="00AD2F4A" w:rsidRDefault="0060063A" w:rsidP="00ED7BEE">
            <w:pPr>
              <w:pStyle w:val="Body"/>
              <w:rPr>
                <w:rFonts w:ascii="Arial" w:hAnsi="Arial" w:cs="Arial"/>
              </w:rPr>
            </w:pPr>
            <w:r w:rsidRPr="00AD2F4A">
              <w:rPr>
                <w:rFonts w:ascii="Arial" w:hAnsi="Arial" w:cs="Arial"/>
              </w:rPr>
              <w:t>3.7514</w:t>
            </w:r>
          </w:p>
        </w:tc>
        <w:tc>
          <w:tcPr>
            <w:tcW w:w="657" w:type="pct"/>
            <w:tcBorders>
              <w:top w:val="nil"/>
              <w:bottom w:val="single" w:sz="4" w:space="0" w:color="auto"/>
            </w:tcBorders>
          </w:tcPr>
          <w:p w14:paraId="6C58D0C3" w14:textId="77777777" w:rsidR="0060063A" w:rsidRPr="00AD2F4A" w:rsidRDefault="0060063A" w:rsidP="00ED7BEE">
            <w:pPr>
              <w:pStyle w:val="Body"/>
              <w:rPr>
                <w:rFonts w:ascii="Arial" w:hAnsi="Arial" w:cs="Arial"/>
              </w:rPr>
            </w:pPr>
            <w:r w:rsidRPr="00AD2F4A">
              <w:rPr>
                <w:rFonts w:ascii="Arial" w:hAnsi="Arial" w:cs="Arial"/>
              </w:rPr>
              <w:t>.54999</w:t>
            </w:r>
          </w:p>
        </w:tc>
        <w:tc>
          <w:tcPr>
            <w:tcW w:w="604" w:type="pct"/>
            <w:tcBorders>
              <w:top w:val="nil"/>
              <w:bottom w:val="single" w:sz="4" w:space="0" w:color="auto"/>
            </w:tcBorders>
          </w:tcPr>
          <w:p w14:paraId="264DB32A" w14:textId="77777777" w:rsidR="0060063A" w:rsidRPr="00AD2F4A" w:rsidRDefault="0060063A" w:rsidP="00ED7BEE">
            <w:pPr>
              <w:pStyle w:val="Body"/>
              <w:rPr>
                <w:rFonts w:ascii="Arial" w:hAnsi="Arial" w:cs="Arial"/>
              </w:rPr>
            </w:pPr>
            <w:r w:rsidRPr="00AD2F4A">
              <w:rPr>
                <w:rFonts w:ascii="Arial" w:hAnsi="Arial" w:cs="Arial"/>
              </w:rPr>
              <w:t>.623</w:t>
            </w:r>
            <w:r w:rsidRPr="00AD2F4A">
              <w:rPr>
                <w:rFonts w:ascii="Arial" w:hAnsi="Arial" w:cs="Arial"/>
                <w:vertAlign w:val="superscript"/>
              </w:rPr>
              <w:t>**</w:t>
            </w:r>
          </w:p>
        </w:tc>
        <w:tc>
          <w:tcPr>
            <w:tcW w:w="604" w:type="pct"/>
            <w:tcBorders>
              <w:top w:val="nil"/>
              <w:bottom w:val="single" w:sz="4" w:space="0" w:color="auto"/>
            </w:tcBorders>
          </w:tcPr>
          <w:p w14:paraId="0DDF2282" w14:textId="77777777" w:rsidR="0060063A" w:rsidRPr="00AD2F4A" w:rsidRDefault="0060063A" w:rsidP="00ED7BEE">
            <w:pPr>
              <w:pStyle w:val="Body"/>
              <w:rPr>
                <w:rFonts w:ascii="Arial" w:hAnsi="Arial" w:cs="Arial"/>
              </w:rPr>
            </w:pPr>
            <w:r w:rsidRPr="00AD2F4A">
              <w:rPr>
                <w:rFonts w:ascii="Arial" w:hAnsi="Arial" w:cs="Arial"/>
              </w:rPr>
              <w:t>1</w:t>
            </w:r>
          </w:p>
        </w:tc>
      </w:tr>
      <w:tr w:rsidR="0060063A" w:rsidRPr="00AD2F4A" w14:paraId="546F8622" w14:textId="77777777" w:rsidTr="00ED7BEE">
        <w:tc>
          <w:tcPr>
            <w:tcW w:w="5000" w:type="pct"/>
            <w:gridSpan w:val="5"/>
            <w:tcBorders>
              <w:top w:val="single" w:sz="4" w:space="0" w:color="auto"/>
            </w:tcBorders>
          </w:tcPr>
          <w:p w14:paraId="3E0EAF80" w14:textId="77777777" w:rsidR="0060063A" w:rsidRPr="00AD2F4A" w:rsidRDefault="0060063A" w:rsidP="00ED7BEE">
            <w:pPr>
              <w:pStyle w:val="Body"/>
              <w:rPr>
                <w:rFonts w:ascii="Arial" w:hAnsi="Arial" w:cs="Arial"/>
                <w:lang w:val="en-GB"/>
              </w:rPr>
            </w:pPr>
            <w:r w:rsidRPr="00AD2F4A">
              <w:rPr>
                <w:rFonts w:ascii="Arial" w:hAnsi="Arial" w:cs="Arial"/>
                <w:lang w:val="en-GB"/>
              </w:rPr>
              <w:t>**. Correlation is significant at the 0.01 level (2-tailed).</w:t>
            </w:r>
          </w:p>
        </w:tc>
      </w:tr>
    </w:tbl>
    <w:p w14:paraId="5579AEE0" w14:textId="77777777" w:rsidR="0060063A" w:rsidRPr="00AD2F4A" w:rsidRDefault="0060063A" w:rsidP="0060063A">
      <w:pPr>
        <w:pStyle w:val="Body"/>
        <w:rPr>
          <w:rFonts w:ascii="Arial" w:hAnsi="Arial" w:cs="Arial"/>
          <w:i/>
          <w:iCs/>
          <w:lang w:val="en-GB"/>
        </w:rPr>
      </w:pPr>
      <w:r w:rsidRPr="00AD2F4A">
        <w:rPr>
          <w:rFonts w:ascii="Arial" w:hAnsi="Arial" w:cs="Arial"/>
          <w:i/>
          <w:iCs/>
          <w:lang w:val="en-GB"/>
        </w:rPr>
        <w:t>Source: Primary data, 2024</w:t>
      </w:r>
    </w:p>
    <w:p w14:paraId="3836B020" w14:textId="77777777" w:rsidR="0060063A" w:rsidRPr="005875B7" w:rsidRDefault="0060063A" w:rsidP="0060063A">
      <w:pPr>
        <w:pStyle w:val="Body"/>
        <w:rPr>
          <w:rFonts w:ascii="Arial" w:hAnsi="Arial" w:cs="Arial"/>
          <w:lang w:val="en-GB"/>
        </w:rPr>
      </w:pPr>
      <w:r w:rsidRPr="00AD2F4A">
        <w:rPr>
          <w:rFonts w:ascii="Arial" w:hAnsi="Arial" w:cs="Arial"/>
          <w:lang w:val="en-GB"/>
        </w:rPr>
        <w:t xml:space="preserve">To establish the effectiveness of Industry Employer Involvement on TVET outcomes, regression analysis was conducted and the results are presented in Table 2. </w:t>
      </w:r>
      <w:r w:rsidRPr="00D66D69">
        <w:rPr>
          <w:rFonts w:ascii="Arial" w:hAnsi="Arial" w:cs="Arial"/>
        </w:rPr>
        <w:t xml:space="preserve">The findings indicate that effective industry employer involvement has a significant positive influence on TVET outcomes (Beta=0.623; P&lt;0.01). This implies that every unit change in Industry Employer Involvement, results into an improvement in the TVET outcomes. The findings further indicate that the predictor variable (Employer </w:t>
      </w:r>
      <w:r w:rsidRPr="00D66D69">
        <w:rPr>
          <w:rFonts w:ascii="Arial" w:hAnsi="Arial" w:cs="Arial"/>
        </w:rPr>
        <w:lastRenderedPageBreak/>
        <w:t>Involvement) account for 37.9% (Adjusted R</w:t>
      </w:r>
      <w:r w:rsidRPr="00D66D69">
        <w:rPr>
          <w:rFonts w:ascii="Arial" w:hAnsi="Arial" w:cs="Arial"/>
          <w:vertAlign w:val="superscript"/>
        </w:rPr>
        <w:t>2</w:t>
      </w:r>
      <w:r w:rsidRPr="00D66D69">
        <w:rPr>
          <w:rFonts w:ascii="Arial" w:hAnsi="Arial" w:cs="Arial"/>
        </w:rPr>
        <w:t>=.379) in TVET outcomes and the remaining percentage of 62.1% could be explained by other factors that were not considered in this study.</w:t>
      </w:r>
    </w:p>
    <w:p w14:paraId="250F92EB" w14:textId="77777777" w:rsidR="0060063A" w:rsidRDefault="0060063A" w:rsidP="0060063A">
      <w:pPr>
        <w:tabs>
          <w:tab w:val="left" w:pos="1080"/>
        </w:tabs>
        <w:jc w:val="both"/>
        <w:rPr>
          <w:rFonts w:ascii="Arial" w:hAnsi="Arial"/>
          <w:b/>
        </w:rPr>
      </w:pPr>
      <w:r>
        <w:rPr>
          <w:rFonts w:ascii="Arial" w:hAnsi="Arial"/>
          <w:b/>
        </w:rPr>
        <w:t>Table 2.</w:t>
      </w:r>
      <w:r>
        <w:rPr>
          <w:rFonts w:ascii="Arial" w:hAnsi="Arial"/>
          <w:b/>
        </w:rPr>
        <w:tab/>
      </w:r>
      <w:r w:rsidRPr="00D66D69">
        <w:rPr>
          <w:rFonts w:ascii="Arial" w:hAnsi="Arial"/>
          <w:b/>
        </w:rPr>
        <w:t>Linear regression results</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37"/>
        <w:gridCol w:w="1228"/>
        <w:gridCol w:w="635"/>
        <w:gridCol w:w="928"/>
        <w:gridCol w:w="1330"/>
        <w:gridCol w:w="635"/>
        <w:gridCol w:w="522"/>
        <w:gridCol w:w="612"/>
        <w:gridCol w:w="704"/>
        <w:gridCol w:w="524"/>
        <w:gridCol w:w="1034"/>
        <w:gridCol w:w="637"/>
      </w:tblGrid>
      <w:tr w:rsidR="0060063A" w:rsidRPr="00DC442B" w14:paraId="05FCA724" w14:textId="77777777" w:rsidTr="00ED7BEE">
        <w:trPr>
          <w:cantSplit/>
        </w:trPr>
        <w:tc>
          <w:tcPr>
            <w:tcW w:w="811" w:type="pct"/>
            <w:gridSpan w:val="2"/>
            <w:vMerge w:val="restart"/>
            <w:shd w:val="clear" w:color="auto" w:fill="FFFFFF"/>
            <w:vAlign w:val="bottom"/>
          </w:tcPr>
          <w:p w14:paraId="61840C4C" w14:textId="77777777" w:rsidR="0060063A" w:rsidRPr="00DC442B" w:rsidRDefault="0060063A" w:rsidP="00ED7BEE">
            <w:pPr>
              <w:ind w:left="60" w:right="60"/>
              <w:rPr>
                <w:rFonts w:ascii="Arial" w:hAnsi="Arial" w:cs="Arial"/>
              </w:rPr>
            </w:pPr>
            <w:r w:rsidRPr="00DC442B">
              <w:rPr>
                <w:rFonts w:ascii="Arial" w:hAnsi="Arial" w:cs="Arial"/>
              </w:rPr>
              <w:t>Model</w:t>
            </w:r>
          </w:p>
        </w:tc>
        <w:tc>
          <w:tcPr>
            <w:tcW w:w="866" w:type="pct"/>
            <w:gridSpan w:val="2"/>
            <w:shd w:val="clear" w:color="auto" w:fill="FFFFFF"/>
            <w:vAlign w:val="bottom"/>
          </w:tcPr>
          <w:p w14:paraId="21D8B207" w14:textId="77777777" w:rsidR="0060063A" w:rsidRPr="00DC442B" w:rsidRDefault="0060063A" w:rsidP="00ED7BEE">
            <w:pPr>
              <w:ind w:left="60" w:right="60"/>
              <w:jc w:val="center"/>
              <w:rPr>
                <w:rFonts w:ascii="Arial" w:hAnsi="Arial" w:cs="Arial"/>
              </w:rPr>
            </w:pPr>
            <w:r w:rsidRPr="00DC442B">
              <w:rPr>
                <w:rFonts w:ascii="Arial" w:hAnsi="Arial" w:cs="Arial"/>
              </w:rPr>
              <w:t>Unstandardized Coefficients</w:t>
            </w:r>
          </w:p>
        </w:tc>
        <w:tc>
          <w:tcPr>
            <w:tcW w:w="737" w:type="pct"/>
            <w:shd w:val="clear" w:color="auto" w:fill="FFFFFF"/>
            <w:vAlign w:val="bottom"/>
          </w:tcPr>
          <w:p w14:paraId="11327809" w14:textId="77777777" w:rsidR="0060063A" w:rsidRPr="00DC442B" w:rsidRDefault="0060063A" w:rsidP="00ED7BEE">
            <w:pPr>
              <w:ind w:left="60" w:right="60"/>
              <w:jc w:val="center"/>
              <w:rPr>
                <w:rFonts w:ascii="Arial" w:hAnsi="Arial" w:cs="Arial"/>
              </w:rPr>
            </w:pPr>
            <w:r w:rsidRPr="00DC442B">
              <w:rPr>
                <w:rFonts w:ascii="Arial" w:hAnsi="Arial" w:cs="Arial"/>
              </w:rPr>
              <w:t>Standardized Coefficients</w:t>
            </w:r>
          </w:p>
        </w:tc>
        <w:tc>
          <w:tcPr>
            <w:tcW w:w="352" w:type="pct"/>
            <w:vMerge w:val="restart"/>
            <w:shd w:val="clear" w:color="auto" w:fill="FFFFFF"/>
            <w:vAlign w:val="bottom"/>
          </w:tcPr>
          <w:p w14:paraId="58339B4E" w14:textId="77777777" w:rsidR="0060063A" w:rsidRPr="00DC442B" w:rsidRDefault="0060063A" w:rsidP="00ED7BEE">
            <w:pPr>
              <w:ind w:left="60" w:right="60"/>
              <w:jc w:val="center"/>
              <w:rPr>
                <w:rFonts w:ascii="Arial" w:hAnsi="Arial" w:cs="Arial"/>
              </w:rPr>
            </w:pPr>
            <w:r w:rsidRPr="00DC442B">
              <w:rPr>
                <w:rFonts w:ascii="Arial" w:hAnsi="Arial" w:cs="Arial"/>
              </w:rPr>
              <w:t>t</w:t>
            </w:r>
          </w:p>
        </w:tc>
        <w:tc>
          <w:tcPr>
            <w:tcW w:w="289" w:type="pct"/>
            <w:vMerge w:val="restart"/>
            <w:shd w:val="clear" w:color="auto" w:fill="FFFFFF"/>
            <w:vAlign w:val="bottom"/>
          </w:tcPr>
          <w:p w14:paraId="4ED9D55A" w14:textId="77777777" w:rsidR="0060063A" w:rsidRPr="00DC442B" w:rsidRDefault="0060063A" w:rsidP="00ED7BEE">
            <w:pPr>
              <w:ind w:left="60" w:right="60"/>
              <w:jc w:val="center"/>
              <w:rPr>
                <w:rFonts w:ascii="Arial" w:hAnsi="Arial" w:cs="Arial"/>
              </w:rPr>
            </w:pPr>
            <w:r w:rsidRPr="00DC442B">
              <w:rPr>
                <w:rFonts w:ascii="Arial" w:hAnsi="Arial" w:cs="Arial"/>
              </w:rPr>
              <w:t>Sig.</w:t>
            </w:r>
          </w:p>
        </w:tc>
        <w:tc>
          <w:tcPr>
            <w:tcW w:w="1019" w:type="pct"/>
            <w:gridSpan w:val="3"/>
            <w:shd w:val="clear" w:color="auto" w:fill="FFFFFF"/>
            <w:vAlign w:val="bottom"/>
          </w:tcPr>
          <w:p w14:paraId="15DACB9E" w14:textId="77777777" w:rsidR="0060063A" w:rsidRPr="00DC442B" w:rsidRDefault="0060063A" w:rsidP="00ED7BEE">
            <w:pPr>
              <w:ind w:left="60" w:right="60"/>
              <w:jc w:val="center"/>
              <w:rPr>
                <w:rFonts w:ascii="Arial" w:hAnsi="Arial" w:cs="Arial"/>
              </w:rPr>
            </w:pPr>
            <w:r w:rsidRPr="00DC442B">
              <w:rPr>
                <w:rFonts w:ascii="Arial" w:hAnsi="Arial" w:cs="Arial"/>
              </w:rPr>
              <w:t>Correlations</w:t>
            </w:r>
          </w:p>
        </w:tc>
        <w:tc>
          <w:tcPr>
            <w:tcW w:w="925" w:type="pct"/>
            <w:gridSpan w:val="2"/>
            <w:shd w:val="clear" w:color="auto" w:fill="FFFFFF"/>
            <w:vAlign w:val="bottom"/>
          </w:tcPr>
          <w:p w14:paraId="05C231C9" w14:textId="77777777" w:rsidR="0060063A" w:rsidRPr="00DC442B" w:rsidRDefault="0060063A" w:rsidP="00ED7BEE">
            <w:pPr>
              <w:ind w:left="60" w:right="60"/>
              <w:jc w:val="center"/>
              <w:rPr>
                <w:rFonts w:ascii="Arial" w:hAnsi="Arial" w:cs="Arial"/>
              </w:rPr>
            </w:pPr>
            <w:r w:rsidRPr="00DC442B">
              <w:rPr>
                <w:rFonts w:ascii="Arial" w:hAnsi="Arial" w:cs="Arial"/>
              </w:rPr>
              <w:t>Collinearity Statistics</w:t>
            </w:r>
          </w:p>
        </w:tc>
      </w:tr>
      <w:tr w:rsidR="0060063A" w:rsidRPr="00DC442B" w14:paraId="616B0AD3" w14:textId="77777777" w:rsidTr="00ED7BEE">
        <w:trPr>
          <w:cantSplit/>
        </w:trPr>
        <w:tc>
          <w:tcPr>
            <w:tcW w:w="811" w:type="pct"/>
            <w:gridSpan w:val="2"/>
            <w:vMerge/>
            <w:tcBorders>
              <w:bottom w:val="single" w:sz="4" w:space="0" w:color="auto"/>
            </w:tcBorders>
            <w:shd w:val="clear" w:color="auto" w:fill="FFFFFF"/>
            <w:vAlign w:val="bottom"/>
          </w:tcPr>
          <w:p w14:paraId="48A4CF9E" w14:textId="77777777" w:rsidR="0060063A" w:rsidRPr="00DC442B" w:rsidRDefault="0060063A" w:rsidP="00ED7BEE">
            <w:pPr>
              <w:rPr>
                <w:rFonts w:ascii="Arial" w:hAnsi="Arial" w:cs="Arial"/>
              </w:rPr>
            </w:pPr>
          </w:p>
        </w:tc>
        <w:tc>
          <w:tcPr>
            <w:tcW w:w="352" w:type="pct"/>
            <w:tcBorders>
              <w:bottom w:val="single" w:sz="4" w:space="0" w:color="auto"/>
            </w:tcBorders>
            <w:shd w:val="clear" w:color="auto" w:fill="FFFFFF"/>
            <w:vAlign w:val="bottom"/>
          </w:tcPr>
          <w:p w14:paraId="75BDBB6F" w14:textId="77777777" w:rsidR="0060063A" w:rsidRPr="00DC442B" w:rsidRDefault="0060063A" w:rsidP="00ED7BEE">
            <w:pPr>
              <w:ind w:left="60" w:right="60"/>
              <w:jc w:val="center"/>
              <w:rPr>
                <w:rFonts w:ascii="Arial" w:hAnsi="Arial" w:cs="Arial"/>
              </w:rPr>
            </w:pPr>
            <w:r w:rsidRPr="00DC442B">
              <w:rPr>
                <w:rFonts w:ascii="Arial" w:hAnsi="Arial" w:cs="Arial"/>
              </w:rPr>
              <w:t>B</w:t>
            </w:r>
          </w:p>
        </w:tc>
        <w:tc>
          <w:tcPr>
            <w:tcW w:w="514" w:type="pct"/>
            <w:tcBorders>
              <w:bottom w:val="single" w:sz="4" w:space="0" w:color="auto"/>
            </w:tcBorders>
            <w:shd w:val="clear" w:color="auto" w:fill="FFFFFF"/>
            <w:vAlign w:val="bottom"/>
          </w:tcPr>
          <w:p w14:paraId="0ACC85C4" w14:textId="77777777" w:rsidR="0060063A" w:rsidRPr="00DC442B" w:rsidRDefault="0060063A" w:rsidP="00ED7BEE">
            <w:pPr>
              <w:ind w:left="60" w:right="60"/>
              <w:jc w:val="center"/>
              <w:rPr>
                <w:rFonts w:ascii="Arial" w:hAnsi="Arial" w:cs="Arial"/>
              </w:rPr>
            </w:pPr>
            <w:r w:rsidRPr="00DC442B">
              <w:rPr>
                <w:rFonts w:ascii="Arial" w:hAnsi="Arial" w:cs="Arial"/>
              </w:rPr>
              <w:t>Std. Error</w:t>
            </w:r>
          </w:p>
        </w:tc>
        <w:tc>
          <w:tcPr>
            <w:tcW w:w="737" w:type="pct"/>
            <w:tcBorders>
              <w:bottom w:val="single" w:sz="4" w:space="0" w:color="auto"/>
            </w:tcBorders>
            <w:shd w:val="clear" w:color="auto" w:fill="FFFFFF"/>
            <w:vAlign w:val="bottom"/>
          </w:tcPr>
          <w:p w14:paraId="63346E2B" w14:textId="77777777" w:rsidR="0060063A" w:rsidRPr="00DC442B" w:rsidRDefault="0060063A" w:rsidP="00ED7BEE">
            <w:pPr>
              <w:ind w:left="60" w:right="60"/>
              <w:jc w:val="center"/>
              <w:rPr>
                <w:rFonts w:ascii="Arial" w:hAnsi="Arial" w:cs="Arial"/>
              </w:rPr>
            </w:pPr>
            <w:r w:rsidRPr="00DC442B">
              <w:rPr>
                <w:rFonts w:ascii="Arial" w:hAnsi="Arial" w:cs="Arial"/>
              </w:rPr>
              <w:t>Beta</w:t>
            </w:r>
          </w:p>
        </w:tc>
        <w:tc>
          <w:tcPr>
            <w:tcW w:w="352" w:type="pct"/>
            <w:vMerge/>
            <w:tcBorders>
              <w:bottom w:val="single" w:sz="4" w:space="0" w:color="auto"/>
            </w:tcBorders>
            <w:shd w:val="clear" w:color="auto" w:fill="FFFFFF"/>
            <w:vAlign w:val="bottom"/>
          </w:tcPr>
          <w:p w14:paraId="6D7349C6" w14:textId="77777777" w:rsidR="0060063A" w:rsidRPr="00DC442B" w:rsidRDefault="0060063A" w:rsidP="00ED7BEE">
            <w:pPr>
              <w:jc w:val="center"/>
              <w:rPr>
                <w:rFonts w:ascii="Arial" w:hAnsi="Arial" w:cs="Arial"/>
              </w:rPr>
            </w:pPr>
          </w:p>
        </w:tc>
        <w:tc>
          <w:tcPr>
            <w:tcW w:w="289" w:type="pct"/>
            <w:vMerge/>
            <w:tcBorders>
              <w:bottom w:val="single" w:sz="4" w:space="0" w:color="auto"/>
            </w:tcBorders>
            <w:shd w:val="clear" w:color="auto" w:fill="FFFFFF"/>
            <w:vAlign w:val="bottom"/>
          </w:tcPr>
          <w:p w14:paraId="7AE22F2E" w14:textId="77777777" w:rsidR="0060063A" w:rsidRPr="00DC442B" w:rsidRDefault="0060063A" w:rsidP="00ED7BEE">
            <w:pPr>
              <w:jc w:val="center"/>
              <w:rPr>
                <w:rFonts w:ascii="Arial" w:hAnsi="Arial" w:cs="Arial"/>
              </w:rPr>
            </w:pPr>
          </w:p>
        </w:tc>
        <w:tc>
          <w:tcPr>
            <w:tcW w:w="339" w:type="pct"/>
            <w:tcBorders>
              <w:bottom w:val="single" w:sz="4" w:space="0" w:color="auto"/>
            </w:tcBorders>
            <w:shd w:val="clear" w:color="auto" w:fill="FFFFFF"/>
            <w:vAlign w:val="bottom"/>
          </w:tcPr>
          <w:p w14:paraId="5238FA76" w14:textId="77777777" w:rsidR="0060063A" w:rsidRPr="00DC442B" w:rsidRDefault="0060063A" w:rsidP="00ED7BEE">
            <w:pPr>
              <w:ind w:left="60" w:right="60"/>
              <w:jc w:val="center"/>
              <w:rPr>
                <w:rFonts w:ascii="Arial" w:hAnsi="Arial" w:cs="Arial"/>
              </w:rPr>
            </w:pPr>
            <w:r w:rsidRPr="00DC442B">
              <w:rPr>
                <w:rFonts w:ascii="Arial" w:hAnsi="Arial" w:cs="Arial"/>
              </w:rPr>
              <w:t>Zero-order</w:t>
            </w:r>
          </w:p>
        </w:tc>
        <w:tc>
          <w:tcPr>
            <w:tcW w:w="390" w:type="pct"/>
            <w:tcBorders>
              <w:bottom w:val="single" w:sz="4" w:space="0" w:color="auto"/>
            </w:tcBorders>
            <w:shd w:val="clear" w:color="auto" w:fill="FFFFFF"/>
            <w:vAlign w:val="bottom"/>
          </w:tcPr>
          <w:p w14:paraId="6EED595B" w14:textId="77777777" w:rsidR="0060063A" w:rsidRPr="00DC442B" w:rsidRDefault="0060063A" w:rsidP="00ED7BEE">
            <w:pPr>
              <w:ind w:left="60" w:right="60"/>
              <w:jc w:val="center"/>
              <w:rPr>
                <w:rFonts w:ascii="Arial" w:hAnsi="Arial" w:cs="Arial"/>
              </w:rPr>
            </w:pPr>
            <w:r w:rsidRPr="00DC442B">
              <w:rPr>
                <w:rFonts w:ascii="Arial" w:hAnsi="Arial" w:cs="Arial"/>
              </w:rPr>
              <w:t>Partial</w:t>
            </w:r>
          </w:p>
        </w:tc>
        <w:tc>
          <w:tcPr>
            <w:tcW w:w="289" w:type="pct"/>
            <w:tcBorders>
              <w:bottom w:val="single" w:sz="4" w:space="0" w:color="auto"/>
            </w:tcBorders>
            <w:shd w:val="clear" w:color="auto" w:fill="FFFFFF"/>
            <w:vAlign w:val="bottom"/>
          </w:tcPr>
          <w:p w14:paraId="2289E5C1" w14:textId="77777777" w:rsidR="0060063A" w:rsidRPr="00DC442B" w:rsidRDefault="0060063A" w:rsidP="00ED7BEE">
            <w:pPr>
              <w:ind w:left="60" w:right="60"/>
              <w:jc w:val="center"/>
              <w:rPr>
                <w:rFonts w:ascii="Arial" w:hAnsi="Arial" w:cs="Arial"/>
              </w:rPr>
            </w:pPr>
            <w:r w:rsidRPr="00DC442B">
              <w:rPr>
                <w:rFonts w:ascii="Arial" w:hAnsi="Arial" w:cs="Arial"/>
              </w:rPr>
              <w:t>Part</w:t>
            </w:r>
          </w:p>
        </w:tc>
        <w:tc>
          <w:tcPr>
            <w:tcW w:w="573" w:type="pct"/>
            <w:tcBorders>
              <w:bottom w:val="single" w:sz="4" w:space="0" w:color="auto"/>
            </w:tcBorders>
            <w:shd w:val="clear" w:color="auto" w:fill="FFFFFF"/>
            <w:vAlign w:val="bottom"/>
          </w:tcPr>
          <w:p w14:paraId="1F3FF3F5" w14:textId="77777777" w:rsidR="0060063A" w:rsidRPr="00DC442B" w:rsidRDefault="0060063A" w:rsidP="00ED7BEE">
            <w:pPr>
              <w:ind w:left="60" w:right="60"/>
              <w:jc w:val="center"/>
              <w:rPr>
                <w:rFonts w:ascii="Arial" w:hAnsi="Arial" w:cs="Arial"/>
              </w:rPr>
            </w:pPr>
            <w:r w:rsidRPr="00DC442B">
              <w:rPr>
                <w:rFonts w:ascii="Arial" w:hAnsi="Arial" w:cs="Arial"/>
              </w:rPr>
              <w:t>Tolerance</w:t>
            </w:r>
          </w:p>
        </w:tc>
        <w:tc>
          <w:tcPr>
            <w:tcW w:w="352" w:type="pct"/>
            <w:tcBorders>
              <w:bottom w:val="single" w:sz="4" w:space="0" w:color="auto"/>
            </w:tcBorders>
            <w:shd w:val="clear" w:color="auto" w:fill="FFFFFF"/>
            <w:vAlign w:val="bottom"/>
          </w:tcPr>
          <w:p w14:paraId="737EC57C" w14:textId="77777777" w:rsidR="0060063A" w:rsidRPr="00DC442B" w:rsidRDefault="0060063A" w:rsidP="00ED7BEE">
            <w:pPr>
              <w:ind w:left="60" w:right="60"/>
              <w:jc w:val="center"/>
              <w:rPr>
                <w:rFonts w:ascii="Arial" w:hAnsi="Arial" w:cs="Arial"/>
              </w:rPr>
            </w:pPr>
            <w:r w:rsidRPr="00DC442B">
              <w:rPr>
                <w:rFonts w:ascii="Arial" w:hAnsi="Arial" w:cs="Arial"/>
              </w:rPr>
              <w:t>VIF</w:t>
            </w:r>
          </w:p>
        </w:tc>
      </w:tr>
      <w:tr w:rsidR="0060063A" w:rsidRPr="00DC442B" w14:paraId="6144995E" w14:textId="77777777" w:rsidTr="00ED7BEE">
        <w:trPr>
          <w:cantSplit/>
        </w:trPr>
        <w:tc>
          <w:tcPr>
            <w:tcW w:w="131" w:type="pct"/>
            <w:vMerge w:val="restart"/>
            <w:tcBorders>
              <w:top w:val="single" w:sz="4" w:space="0" w:color="auto"/>
              <w:bottom w:val="nil"/>
            </w:tcBorders>
          </w:tcPr>
          <w:p w14:paraId="628B2654" w14:textId="77777777" w:rsidR="0060063A" w:rsidRPr="00DC442B" w:rsidRDefault="0060063A" w:rsidP="00ED7BEE">
            <w:pPr>
              <w:ind w:left="60" w:right="60"/>
              <w:rPr>
                <w:rFonts w:ascii="Arial" w:hAnsi="Arial" w:cs="Arial"/>
              </w:rPr>
            </w:pPr>
            <w:r w:rsidRPr="00DC442B">
              <w:rPr>
                <w:rFonts w:ascii="Arial" w:hAnsi="Arial" w:cs="Arial"/>
              </w:rPr>
              <w:t>1</w:t>
            </w:r>
          </w:p>
        </w:tc>
        <w:tc>
          <w:tcPr>
            <w:tcW w:w="680" w:type="pct"/>
            <w:tcBorders>
              <w:top w:val="single" w:sz="4" w:space="0" w:color="auto"/>
              <w:bottom w:val="nil"/>
            </w:tcBorders>
          </w:tcPr>
          <w:p w14:paraId="0F4A5104" w14:textId="77777777" w:rsidR="0060063A" w:rsidRPr="00DC442B" w:rsidRDefault="0060063A" w:rsidP="00ED7BEE">
            <w:pPr>
              <w:ind w:left="60" w:right="60"/>
              <w:rPr>
                <w:rFonts w:ascii="Arial" w:hAnsi="Arial" w:cs="Arial"/>
              </w:rPr>
            </w:pPr>
            <w:r w:rsidRPr="00DC442B">
              <w:rPr>
                <w:rFonts w:ascii="Arial" w:hAnsi="Arial" w:cs="Arial"/>
              </w:rPr>
              <w:t>(Constant)</w:t>
            </w:r>
          </w:p>
        </w:tc>
        <w:tc>
          <w:tcPr>
            <w:tcW w:w="352" w:type="pct"/>
            <w:tcBorders>
              <w:top w:val="single" w:sz="4" w:space="0" w:color="auto"/>
              <w:bottom w:val="nil"/>
            </w:tcBorders>
            <w:shd w:val="clear" w:color="auto" w:fill="FFFFFF"/>
          </w:tcPr>
          <w:p w14:paraId="3112BA88" w14:textId="77777777" w:rsidR="0060063A" w:rsidRPr="00DC442B" w:rsidRDefault="0060063A" w:rsidP="00ED7BEE">
            <w:pPr>
              <w:ind w:left="60" w:right="60"/>
              <w:jc w:val="center"/>
              <w:rPr>
                <w:rFonts w:ascii="Arial" w:hAnsi="Arial" w:cs="Arial"/>
              </w:rPr>
            </w:pPr>
            <w:r w:rsidRPr="00DC442B">
              <w:rPr>
                <w:rFonts w:ascii="Arial" w:hAnsi="Arial" w:cs="Arial"/>
              </w:rPr>
              <w:t>2.020</w:t>
            </w:r>
          </w:p>
        </w:tc>
        <w:tc>
          <w:tcPr>
            <w:tcW w:w="514" w:type="pct"/>
            <w:tcBorders>
              <w:top w:val="single" w:sz="4" w:space="0" w:color="auto"/>
              <w:bottom w:val="nil"/>
            </w:tcBorders>
            <w:shd w:val="clear" w:color="auto" w:fill="FFFFFF"/>
          </w:tcPr>
          <w:p w14:paraId="368AB019" w14:textId="77777777" w:rsidR="0060063A" w:rsidRPr="00DC442B" w:rsidRDefault="0060063A" w:rsidP="00ED7BEE">
            <w:pPr>
              <w:ind w:left="60" w:right="60"/>
              <w:jc w:val="center"/>
              <w:rPr>
                <w:rFonts w:ascii="Arial" w:hAnsi="Arial" w:cs="Arial"/>
              </w:rPr>
            </w:pPr>
            <w:r w:rsidRPr="00DC442B">
              <w:rPr>
                <w:rFonts w:ascii="Arial" w:hAnsi="Arial" w:cs="Arial"/>
              </w:rPr>
              <w:t>.265</w:t>
            </w:r>
          </w:p>
        </w:tc>
        <w:tc>
          <w:tcPr>
            <w:tcW w:w="737" w:type="pct"/>
            <w:tcBorders>
              <w:top w:val="single" w:sz="4" w:space="0" w:color="auto"/>
              <w:bottom w:val="nil"/>
            </w:tcBorders>
            <w:shd w:val="clear" w:color="auto" w:fill="FFFFFF"/>
            <w:vAlign w:val="center"/>
          </w:tcPr>
          <w:p w14:paraId="01928DDF" w14:textId="77777777" w:rsidR="0060063A" w:rsidRPr="00DC442B" w:rsidRDefault="0060063A" w:rsidP="00ED7BEE">
            <w:pPr>
              <w:jc w:val="center"/>
              <w:rPr>
                <w:rFonts w:ascii="Arial" w:hAnsi="Arial" w:cs="Arial"/>
              </w:rPr>
            </w:pPr>
          </w:p>
        </w:tc>
        <w:tc>
          <w:tcPr>
            <w:tcW w:w="352" w:type="pct"/>
            <w:tcBorders>
              <w:top w:val="single" w:sz="4" w:space="0" w:color="auto"/>
              <w:bottom w:val="nil"/>
            </w:tcBorders>
            <w:shd w:val="clear" w:color="auto" w:fill="FFFFFF"/>
          </w:tcPr>
          <w:p w14:paraId="6E594EDE" w14:textId="77777777" w:rsidR="0060063A" w:rsidRPr="00DC442B" w:rsidRDefault="0060063A" w:rsidP="00ED7BEE">
            <w:pPr>
              <w:ind w:left="60" w:right="60"/>
              <w:jc w:val="center"/>
              <w:rPr>
                <w:rFonts w:ascii="Arial" w:hAnsi="Arial" w:cs="Arial"/>
              </w:rPr>
            </w:pPr>
            <w:r w:rsidRPr="00DC442B">
              <w:rPr>
                <w:rFonts w:ascii="Arial" w:hAnsi="Arial" w:cs="Arial"/>
              </w:rPr>
              <w:t>7.626</w:t>
            </w:r>
          </w:p>
        </w:tc>
        <w:tc>
          <w:tcPr>
            <w:tcW w:w="289" w:type="pct"/>
            <w:tcBorders>
              <w:top w:val="single" w:sz="4" w:space="0" w:color="auto"/>
              <w:bottom w:val="nil"/>
            </w:tcBorders>
            <w:shd w:val="clear" w:color="auto" w:fill="FFFFFF"/>
          </w:tcPr>
          <w:p w14:paraId="733396F4" w14:textId="77777777" w:rsidR="0060063A" w:rsidRPr="00DC442B" w:rsidRDefault="0060063A" w:rsidP="00ED7BEE">
            <w:pPr>
              <w:ind w:left="60" w:right="60"/>
              <w:jc w:val="center"/>
              <w:rPr>
                <w:rFonts w:ascii="Arial" w:hAnsi="Arial" w:cs="Arial"/>
              </w:rPr>
            </w:pPr>
            <w:r w:rsidRPr="00DC442B">
              <w:rPr>
                <w:rFonts w:ascii="Arial" w:hAnsi="Arial" w:cs="Arial"/>
              </w:rPr>
              <w:t>.000</w:t>
            </w:r>
          </w:p>
        </w:tc>
        <w:tc>
          <w:tcPr>
            <w:tcW w:w="339" w:type="pct"/>
            <w:tcBorders>
              <w:top w:val="single" w:sz="4" w:space="0" w:color="auto"/>
              <w:bottom w:val="nil"/>
            </w:tcBorders>
            <w:shd w:val="clear" w:color="auto" w:fill="FFFFFF"/>
            <w:vAlign w:val="center"/>
          </w:tcPr>
          <w:p w14:paraId="1D330135" w14:textId="77777777" w:rsidR="0060063A" w:rsidRPr="00DC442B" w:rsidRDefault="0060063A" w:rsidP="00ED7BEE">
            <w:pPr>
              <w:jc w:val="center"/>
              <w:rPr>
                <w:rFonts w:ascii="Arial" w:hAnsi="Arial" w:cs="Arial"/>
              </w:rPr>
            </w:pPr>
          </w:p>
        </w:tc>
        <w:tc>
          <w:tcPr>
            <w:tcW w:w="390" w:type="pct"/>
            <w:tcBorders>
              <w:top w:val="single" w:sz="4" w:space="0" w:color="auto"/>
              <w:bottom w:val="nil"/>
            </w:tcBorders>
            <w:shd w:val="clear" w:color="auto" w:fill="FFFFFF"/>
            <w:vAlign w:val="center"/>
          </w:tcPr>
          <w:p w14:paraId="48C21DC1" w14:textId="77777777" w:rsidR="0060063A" w:rsidRPr="00DC442B" w:rsidRDefault="0060063A" w:rsidP="00ED7BEE">
            <w:pPr>
              <w:jc w:val="center"/>
              <w:rPr>
                <w:rFonts w:ascii="Arial" w:hAnsi="Arial" w:cs="Arial"/>
              </w:rPr>
            </w:pPr>
          </w:p>
        </w:tc>
        <w:tc>
          <w:tcPr>
            <w:tcW w:w="289" w:type="pct"/>
            <w:tcBorders>
              <w:top w:val="single" w:sz="4" w:space="0" w:color="auto"/>
              <w:bottom w:val="nil"/>
            </w:tcBorders>
            <w:shd w:val="clear" w:color="auto" w:fill="FFFFFF"/>
            <w:vAlign w:val="center"/>
          </w:tcPr>
          <w:p w14:paraId="59FC443C" w14:textId="77777777" w:rsidR="0060063A" w:rsidRPr="00DC442B" w:rsidRDefault="0060063A" w:rsidP="00ED7BEE">
            <w:pPr>
              <w:jc w:val="center"/>
              <w:rPr>
                <w:rFonts w:ascii="Arial" w:hAnsi="Arial" w:cs="Arial"/>
              </w:rPr>
            </w:pPr>
          </w:p>
        </w:tc>
        <w:tc>
          <w:tcPr>
            <w:tcW w:w="573" w:type="pct"/>
            <w:tcBorders>
              <w:top w:val="single" w:sz="4" w:space="0" w:color="auto"/>
              <w:bottom w:val="nil"/>
            </w:tcBorders>
            <w:shd w:val="clear" w:color="auto" w:fill="FFFFFF"/>
            <w:vAlign w:val="center"/>
          </w:tcPr>
          <w:p w14:paraId="3DD2AACE" w14:textId="77777777" w:rsidR="0060063A" w:rsidRPr="00DC442B" w:rsidRDefault="0060063A" w:rsidP="00ED7BEE">
            <w:pPr>
              <w:jc w:val="center"/>
              <w:rPr>
                <w:rFonts w:ascii="Arial" w:hAnsi="Arial" w:cs="Arial"/>
              </w:rPr>
            </w:pPr>
          </w:p>
        </w:tc>
        <w:tc>
          <w:tcPr>
            <w:tcW w:w="352" w:type="pct"/>
            <w:tcBorders>
              <w:top w:val="single" w:sz="4" w:space="0" w:color="auto"/>
              <w:bottom w:val="nil"/>
            </w:tcBorders>
            <w:shd w:val="clear" w:color="auto" w:fill="FFFFFF"/>
            <w:vAlign w:val="center"/>
          </w:tcPr>
          <w:p w14:paraId="55EF8816" w14:textId="77777777" w:rsidR="0060063A" w:rsidRPr="00DC442B" w:rsidRDefault="0060063A" w:rsidP="00ED7BEE">
            <w:pPr>
              <w:jc w:val="center"/>
              <w:rPr>
                <w:rFonts w:ascii="Arial" w:hAnsi="Arial" w:cs="Arial"/>
              </w:rPr>
            </w:pPr>
          </w:p>
        </w:tc>
      </w:tr>
      <w:tr w:rsidR="0060063A" w:rsidRPr="00DC442B" w14:paraId="251855C6" w14:textId="77777777" w:rsidTr="00ED7BEE">
        <w:trPr>
          <w:cantSplit/>
        </w:trPr>
        <w:tc>
          <w:tcPr>
            <w:tcW w:w="131" w:type="pct"/>
            <w:vMerge/>
            <w:tcBorders>
              <w:top w:val="nil"/>
              <w:bottom w:val="nil"/>
            </w:tcBorders>
          </w:tcPr>
          <w:p w14:paraId="1FBCA223" w14:textId="77777777" w:rsidR="0060063A" w:rsidRPr="00DC442B" w:rsidRDefault="0060063A" w:rsidP="00ED7BEE">
            <w:pPr>
              <w:rPr>
                <w:rFonts w:ascii="Arial" w:hAnsi="Arial" w:cs="Arial"/>
              </w:rPr>
            </w:pPr>
          </w:p>
        </w:tc>
        <w:tc>
          <w:tcPr>
            <w:tcW w:w="680" w:type="pct"/>
            <w:tcBorders>
              <w:top w:val="nil"/>
              <w:bottom w:val="nil"/>
            </w:tcBorders>
          </w:tcPr>
          <w:p w14:paraId="22A4DD47" w14:textId="77777777" w:rsidR="0060063A" w:rsidRPr="00DC442B" w:rsidRDefault="0060063A" w:rsidP="00ED7BEE">
            <w:pPr>
              <w:ind w:left="60" w:right="60"/>
              <w:rPr>
                <w:rFonts w:ascii="Arial" w:hAnsi="Arial" w:cs="Arial"/>
              </w:rPr>
            </w:pPr>
            <w:r w:rsidRPr="00DC442B">
              <w:rPr>
                <w:rFonts w:ascii="Arial" w:hAnsi="Arial" w:cs="Arial"/>
              </w:rPr>
              <w:t>Industry Employer Involvement</w:t>
            </w:r>
          </w:p>
        </w:tc>
        <w:tc>
          <w:tcPr>
            <w:tcW w:w="352" w:type="pct"/>
            <w:tcBorders>
              <w:top w:val="nil"/>
              <w:bottom w:val="nil"/>
            </w:tcBorders>
            <w:shd w:val="clear" w:color="auto" w:fill="FFFFFF"/>
          </w:tcPr>
          <w:p w14:paraId="29C9A7FD" w14:textId="77777777" w:rsidR="0060063A" w:rsidRPr="00DC442B" w:rsidRDefault="0060063A" w:rsidP="00ED7BEE">
            <w:pPr>
              <w:ind w:left="60" w:right="60"/>
              <w:jc w:val="center"/>
              <w:rPr>
                <w:rFonts w:ascii="Arial" w:hAnsi="Arial" w:cs="Arial"/>
              </w:rPr>
            </w:pPr>
            <w:r w:rsidRPr="00DC442B">
              <w:rPr>
                <w:rFonts w:ascii="Arial" w:hAnsi="Arial" w:cs="Arial"/>
              </w:rPr>
              <w:t>.499</w:t>
            </w:r>
          </w:p>
        </w:tc>
        <w:tc>
          <w:tcPr>
            <w:tcW w:w="514" w:type="pct"/>
            <w:tcBorders>
              <w:top w:val="nil"/>
              <w:bottom w:val="nil"/>
            </w:tcBorders>
            <w:shd w:val="clear" w:color="auto" w:fill="FFFFFF"/>
          </w:tcPr>
          <w:p w14:paraId="383E5B6B" w14:textId="77777777" w:rsidR="0060063A" w:rsidRPr="00DC442B" w:rsidRDefault="0060063A" w:rsidP="00ED7BEE">
            <w:pPr>
              <w:ind w:left="60" w:right="60"/>
              <w:jc w:val="center"/>
              <w:rPr>
                <w:rFonts w:ascii="Arial" w:hAnsi="Arial" w:cs="Arial"/>
              </w:rPr>
            </w:pPr>
            <w:r w:rsidRPr="00DC442B">
              <w:rPr>
                <w:rFonts w:ascii="Arial" w:hAnsi="Arial" w:cs="Arial"/>
              </w:rPr>
              <w:t>.075</w:t>
            </w:r>
          </w:p>
        </w:tc>
        <w:tc>
          <w:tcPr>
            <w:tcW w:w="737" w:type="pct"/>
            <w:tcBorders>
              <w:top w:val="nil"/>
              <w:bottom w:val="nil"/>
            </w:tcBorders>
            <w:shd w:val="clear" w:color="auto" w:fill="FFFFFF"/>
          </w:tcPr>
          <w:p w14:paraId="4B45EECA"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352" w:type="pct"/>
            <w:tcBorders>
              <w:top w:val="nil"/>
              <w:bottom w:val="nil"/>
            </w:tcBorders>
            <w:shd w:val="clear" w:color="auto" w:fill="FFFFFF"/>
          </w:tcPr>
          <w:p w14:paraId="54E689D5" w14:textId="77777777" w:rsidR="0060063A" w:rsidRPr="00DC442B" w:rsidRDefault="0060063A" w:rsidP="00ED7BEE">
            <w:pPr>
              <w:ind w:left="60" w:right="60"/>
              <w:jc w:val="center"/>
              <w:rPr>
                <w:rFonts w:ascii="Arial" w:hAnsi="Arial" w:cs="Arial"/>
              </w:rPr>
            </w:pPr>
            <w:r w:rsidRPr="00DC442B">
              <w:rPr>
                <w:rFonts w:ascii="Arial" w:hAnsi="Arial" w:cs="Arial"/>
              </w:rPr>
              <w:t>6.662</w:t>
            </w:r>
          </w:p>
        </w:tc>
        <w:tc>
          <w:tcPr>
            <w:tcW w:w="289" w:type="pct"/>
            <w:tcBorders>
              <w:top w:val="nil"/>
              <w:bottom w:val="nil"/>
            </w:tcBorders>
            <w:shd w:val="clear" w:color="auto" w:fill="FFFFFF"/>
          </w:tcPr>
          <w:p w14:paraId="2B42910A" w14:textId="77777777" w:rsidR="0060063A" w:rsidRPr="00DC442B" w:rsidRDefault="0060063A" w:rsidP="00ED7BEE">
            <w:pPr>
              <w:ind w:left="60" w:right="60"/>
              <w:jc w:val="center"/>
              <w:rPr>
                <w:rFonts w:ascii="Arial" w:hAnsi="Arial" w:cs="Arial"/>
              </w:rPr>
            </w:pPr>
            <w:r w:rsidRPr="00DC442B">
              <w:rPr>
                <w:rFonts w:ascii="Arial" w:hAnsi="Arial" w:cs="Arial"/>
              </w:rPr>
              <w:t>.000</w:t>
            </w:r>
          </w:p>
        </w:tc>
        <w:tc>
          <w:tcPr>
            <w:tcW w:w="339" w:type="pct"/>
            <w:tcBorders>
              <w:top w:val="nil"/>
              <w:bottom w:val="nil"/>
            </w:tcBorders>
            <w:shd w:val="clear" w:color="auto" w:fill="FFFFFF"/>
          </w:tcPr>
          <w:p w14:paraId="33C2EC3F"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390" w:type="pct"/>
            <w:tcBorders>
              <w:top w:val="nil"/>
              <w:bottom w:val="nil"/>
            </w:tcBorders>
            <w:shd w:val="clear" w:color="auto" w:fill="FFFFFF"/>
          </w:tcPr>
          <w:p w14:paraId="57EE0EE4"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289" w:type="pct"/>
            <w:tcBorders>
              <w:top w:val="nil"/>
              <w:bottom w:val="nil"/>
            </w:tcBorders>
            <w:shd w:val="clear" w:color="auto" w:fill="FFFFFF"/>
          </w:tcPr>
          <w:p w14:paraId="62BE3125"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573" w:type="pct"/>
            <w:tcBorders>
              <w:top w:val="nil"/>
              <w:bottom w:val="nil"/>
            </w:tcBorders>
            <w:shd w:val="clear" w:color="auto" w:fill="FFFFFF"/>
          </w:tcPr>
          <w:p w14:paraId="35703CFF" w14:textId="77777777" w:rsidR="0060063A" w:rsidRPr="00DC442B" w:rsidRDefault="0060063A" w:rsidP="00ED7BEE">
            <w:pPr>
              <w:ind w:left="60" w:right="60"/>
              <w:jc w:val="center"/>
              <w:rPr>
                <w:rFonts w:ascii="Arial" w:hAnsi="Arial" w:cs="Arial"/>
              </w:rPr>
            </w:pPr>
            <w:r w:rsidRPr="00DC442B">
              <w:rPr>
                <w:rFonts w:ascii="Arial" w:hAnsi="Arial" w:cs="Arial"/>
              </w:rPr>
              <w:t>1.000</w:t>
            </w:r>
          </w:p>
        </w:tc>
        <w:tc>
          <w:tcPr>
            <w:tcW w:w="352" w:type="pct"/>
            <w:tcBorders>
              <w:top w:val="nil"/>
              <w:bottom w:val="nil"/>
            </w:tcBorders>
            <w:shd w:val="clear" w:color="auto" w:fill="FFFFFF"/>
          </w:tcPr>
          <w:p w14:paraId="2DE0D356" w14:textId="77777777" w:rsidR="0060063A" w:rsidRPr="00DC442B" w:rsidRDefault="0060063A" w:rsidP="00ED7BEE">
            <w:pPr>
              <w:ind w:left="60" w:right="60"/>
              <w:jc w:val="center"/>
              <w:rPr>
                <w:rFonts w:ascii="Arial" w:hAnsi="Arial" w:cs="Arial"/>
              </w:rPr>
            </w:pPr>
            <w:r w:rsidRPr="00DC442B">
              <w:rPr>
                <w:rFonts w:ascii="Arial" w:hAnsi="Arial" w:cs="Arial"/>
              </w:rPr>
              <w:t>1.000</w:t>
            </w:r>
          </w:p>
        </w:tc>
      </w:tr>
      <w:tr w:rsidR="0060063A" w:rsidRPr="00DC442B" w14:paraId="3435EDF3" w14:textId="77777777" w:rsidTr="00ED7BEE">
        <w:trPr>
          <w:cantSplit/>
        </w:trPr>
        <w:tc>
          <w:tcPr>
            <w:tcW w:w="131" w:type="pct"/>
            <w:tcBorders>
              <w:top w:val="nil"/>
              <w:bottom w:val="nil"/>
            </w:tcBorders>
          </w:tcPr>
          <w:p w14:paraId="319F4401" w14:textId="77777777" w:rsidR="0060063A" w:rsidRPr="00DC442B" w:rsidRDefault="0060063A" w:rsidP="00ED7BEE">
            <w:pPr>
              <w:rPr>
                <w:rFonts w:ascii="Arial" w:hAnsi="Arial" w:cs="Arial"/>
              </w:rPr>
            </w:pPr>
          </w:p>
        </w:tc>
        <w:tc>
          <w:tcPr>
            <w:tcW w:w="680" w:type="pct"/>
            <w:tcBorders>
              <w:top w:val="nil"/>
              <w:bottom w:val="nil"/>
            </w:tcBorders>
          </w:tcPr>
          <w:p w14:paraId="4600A13F" w14:textId="77777777" w:rsidR="0060063A" w:rsidRPr="00DC442B" w:rsidRDefault="0060063A" w:rsidP="00ED7BEE">
            <w:pPr>
              <w:ind w:left="60" w:right="60"/>
              <w:rPr>
                <w:rFonts w:ascii="Arial" w:hAnsi="Arial" w:cs="Arial"/>
                <w:vertAlign w:val="superscript"/>
              </w:rPr>
            </w:pPr>
            <w:r w:rsidRPr="00DC442B">
              <w:rPr>
                <w:rFonts w:ascii="Arial" w:hAnsi="Arial" w:cs="Arial"/>
              </w:rPr>
              <w:t>R</w:t>
            </w:r>
          </w:p>
        </w:tc>
        <w:tc>
          <w:tcPr>
            <w:tcW w:w="352" w:type="pct"/>
            <w:tcBorders>
              <w:top w:val="nil"/>
              <w:bottom w:val="nil"/>
            </w:tcBorders>
            <w:shd w:val="clear" w:color="auto" w:fill="FFFFFF"/>
          </w:tcPr>
          <w:p w14:paraId="2136C149"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4CA1C75D" w14:textId="77777777" w:rsidR="0060063A" w:rsidRPr="00DC442B" w:rsidRDefault="0060063A" w:rsidP="00ED7BEE">
            <w:pPr>
              <w:ind w:left="60" w:right="60"/>
              <w:jc w:val="center"/>
              <w:rPr>
                <w:rFonts w:ascii="Arial" w:hAnsi="Arial" w:cs="Arial"/>
              </w:rPr>
            </w:pPr>
            <w:r w:rsidRPr="00DC442B">
              <w:rPr>
                <w:rFonts w:ascii="Arial" w:hAnsi="Arial" w:cs="Arial"/>
              </w:rPr>
              <w:t>.623</w:t>
            </w:r>
          </w:p>
        </w:tc>
        <w:tc>
          <w:tcPr>
            <w:tcW w:w="737" w:type="pct"/>
            <w:tcBorders>
              <w:top w:val="nil"/>
              <w:bottom w:val="nil"/>
            </w:tcBorders>
            <w:shd w:val="clear" w:color="auto" w:fill="FFFFFF"/>
          </w:tcPr>
          <w:p w14:paraId="756A1D50"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02F380CD"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52A0D9F7"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7FD6B9FC"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6BAA06E9"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74D7F6FA"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1C2AC909"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306F2D9F" w14:textId="77777777" w:rsidR="0060063A" w:rsidRPr="00DC442B" w:rsidRDefault="0060063A" w:rsidP="00ED7BEE">
            <w:pPr>
              <w:ind w:left="60" w:right="60"/>
              <w:jc w:val="center"/>
              <w:rPr>
                <w:rFonts w:ascii="Arial" w:hAnsi="Arial" w:cs="Arial"/>
              </w:rPr>
            </w:pPr>
          </w:p>
        </w:tc>
      </w:tr>
      <w:tr w:rsidR="0060063A" w:rsidRPr="00DC442B" w14:paraId="17F5FA0A" w14:textId="77777777" w:rsidTr="00ED7BEE">
        <w:trPr>
          <w:cantSplit/>
        </w:trPr>
        <w:tc>
          <w:tcPr>
            <w:tcW w:w="131" w:type="pct"/>
            <w:tcBorders>
              <w:top w:val="nil"/>
              <w:bottom w:val="nil"/>
            </w:tcBorders>
          </w:tcPr>
          <w:p w14:paraId="13F65E2B" w14:textId="77777777" w:rsidR="0060063A" w:rsidRPr="00DC442B" w:rsidRDefault="0060063A" w:rsidP="00ED7BEE">
            <w:pPr>
              <w:rPr>
                <w:rFonts w:ascii="Arial" w:hAnsi="Arial" w:cs="Arial"/>
              </w:rPr>
            </w:pPr>
          </w:p>
        </w:tc>
        <w:tc>
          <w:tcPr>
            <w:tcW w:w="680" w:type="pct"/>
            <w:tcBorders>
              <w:top w:val="nil"/>
              <w:bottom w:val="nil"/>
            </w:tcBorders>
          </w:tcPr>
          <w:p w14:paraId="6D8757C2" w14:textId="77777777" w:rsidR="0060063A" w:rsidRPr="00DC442B" w:rsidRDefault="0060063A" w:rsidP="00ED7BEE">
            <w:pPr>
              <w:ind w:left="60" w:right="60"/>
              <w:rPr>
                <w:rFonts w:ascii="Arial" w:hAnsi="Arial" w:cs="Arial"/>
                <w:vertAlign w:val="superscript"/>
              </w:rPr>
            </w:pPr>
            <w:r w:rsidRPr="00DC442B">
              <w:rPr>
                <w:rFonts w:ascii="Arial" w:hAnsi="Arial" w:cs="Arial"/>
              </w:rPr>
              <w:t>R</w:t>
            </w:r>
            <w:r w:rsidRPr="00DC442B">
              <w:rPr>
                <w:rFonts w:ascii="Arial" w:hAnsi="Arial" w:cs="Arial"/>
                <w:vertAlign w:val="superscript"/>
              </w:rPr>
              <w:t>2</w:t>
            </w:r>
          </w:p>
        </w:tc>
        <w:tc>
          <w:tcPr>
            <w:tcW w:w="352" w:type="pct"/>
            <w:tcBorders>
              <w:top w:val="nil"/>
              <w:bottom w:val="nil"/>
            </w:tcBorders>
            <w:shd w:val="clear" w:color="auto" w:fill="FFFFFF"/>
          </w:tcPr>
          <w:p w14:paraId="7C3E99E5"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08A2E01A" w14:textId="77777777" w:rsidR="0060063A" w:rsidRPr="00DC442B" w:rsidRDefault="0060063A" w:rsidP="00ED7BEE">
            <w:pPr>
              <w:ind w:left="60" w:right="60"/>
              <w:jc w:val="center"/>
              <w:rPr>
                <w:rFonts w:ascii="Arial" w:hAnsi="Arial" w:cs="Arial"/>
              </w:rPr>
            </w:pPr>
            <w:r w:rsidRPr="00DC442B">
              <w:rPr>
                <w:rFonts w:ascii="Arial" w:hAnsi="Arial" w:cs="Arial"/>
              </w:rPr>
              <w:t>.388</w:t>
            </w:r>
          </w:p>
        </w:tc>
        <w:tc>
          <w:tcPr>
            <w:tcW w:w="737" w:type="pct"/>
            <w:tcBorders>
              <w:top w:val="nil"/>
              <w:bottom w:val="nil"/>
            </w:tcBorders>
            <w:shd w:val="clear" w:color="auto" w:fill="FFFFFF"/>
          </w:tcPr>
          <w:p w14:paraId="6B7C0D4D"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1117243C"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3FD5BC95"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05B06F1B"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5CA32384"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79966E71"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1B17F00C"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0060ADBE" w14:textId="77777777" w:rsidR="0060063A" w:rsidRPr="00DC442B" w:rsidRDefault="0060063A" w:rsidP="00ED7BEE">
            <w:pPr>
              <w:ind w:left="60" w:right="60"/>
              <w:jc w:val="center"/>
              <w:rPr>
                <w:rFonts w:ascii="Arial" w:hAnsi="Arial" w:cs="Arial"/>
              </w:rPr>
            </w:pPr>
          </w:p>
        </w:tc>
      </w:tr>
      <w:tr w:rsidR="0060063A" w:rsidRPr="00DC442B" w14:paraId="03625747" w14:textId="77777777" w:rsidTr="00ED7BEE">
        <w:trPr>
          <w:cantSplit/>
        </w:trPr>
        <w:tc>
          <w:tcPr>
            <w:tcW w:w="131" w:type="pct"/>
            <w:tcBorders>
              <w:top w:val="nil"/>
              <w:bottom w:val="nil"/>
            </w:tcBorders>
          </w:tcPr>
          <w:p w14:paraId="528604F6" w14:textId="77777777" w:rsidR="0060063A" w:rsidRPr="00DC442B" w:rsidRDefault="0060063A" w:rsidP="00ED7BEE">
            <w:pPr>
              <w:rPr>
                <w:rFonts w:ascii="Arial" w:hAnsi="Arial" w:cs="Arial"/>
              </w:rPr>
            </w:pPr>
          </w:p>
        </w:tc>
        <w:tc>
          <w:tcPr>
            <w:tcW w:w="680" w:type="pct"/>
            <w:tcBorders>
              <w:top w:val="nil"/>
              <w:bottom w:val="nil"/>
            </w:tcBorders>
          </w:tcPr>
          <w:p w14:paraId="7A792377" w14:textId="77777777" w:rsidR="0060063A" w:rsidRPr="00DC442B" w:rsidRDefault="0060063A" w:rsidP="00ED7BEE">
            <w:pPr>
              <w:ind w:left="60" w:right="60"/>
              <w:rPr>
                <w:rFonts w:ascii="Arial" w:hAnsi="Arial" w:cs="Arial"/>
                <w:vertAlign w:val="superscript"/>
              </w:rPr>
            </w:pPr>
            <w:r w:rsidRPr="00DC442B">
              <w:rPr>
                <w:rFonts w:ascii="Arial" w:hAnsi="Arial" w:cs="Arial"/>
              </w:rPr>
              <w:t>Adjusted R</w:t>
            </w:r>
            <w:r w:rsidRPr="00DC442B">
              <w:rPr>
                <w:rFonts w:ascii="Arial" w:hAnsi="Arial" w:cs="Arial"/>
                <w:vertAlign w:val="superscript"/>
              </w:rPr>
              <w:t>2</w:t>
            </w:r>
          </w:p>
        </w:tc>
        <w:tc>
          <w:tcPr>
            <w:tcW w:w="352" w:type="pct"/>
            <w:tcBorders>
              <w:top w:val="nil"/>
              <w:bottom w:val="nil"/>
            </w:tcBorders>
            <w:shd w:val="clear" w:color="auto" w:fill="FFFFFF"/>
          </w:tcPr>
          <w:p w14:paraId="1452974D"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3F831D3F" w14:textId="77777777" w:rsidR="0060063A" w:rsidRPr="00DC442B" w:rsidRDefault="0060063A" w:rsidP="00ED7BEE">
            <w:pPr>
              <w:ind w:left="60" w:right="60"/>
              <w:jc w:val="center"/>
              <w:rPr>
                <w:rFonts w:ascii="Arial" w:hAnsi="Arial" w:cs="Arial"/>
              </w:rPr>
            </w:pPr>
            <w:r w:rsidRPr="00DC442B">
              <w:rPr>
                <w:rFonts w:ascii="Arial" w:hAnsi="Arial" w:cs="Arial"/>
              </w:rPr>
              <w:t>.379</w:t>
            </w:r>
          </w:p>
        </w:tc>
        <w:tc>
          <w:tcPr>
            <w:tcW w:w="737" w:type="pct"/>
            <w:tcBorders>
              <w:top w:val="nil"/>
              <w:bottom w:val="nil"/>
            </w:tcBorders>
            <w:shd w:val="clear" w:color="auto" w:fill="FFFFFF"/>
          </w:tcPr>
          <w:p w14:paraId="2405BD2D"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0B371F2C"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5CB39AD2"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71476133"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5A68C57B"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006CE584"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6CADA6A8"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5CDF7397" w14:textId="77777777" w:rsidR="0060063A" w:rsidRPr="00DC442B" w:rsidRDefault="0060063A" w:rsidP="00ED7BEE">
            <w:pPr>
              <w:ind w:left="60" w:right="60"/>
              <w:jc w:val="center"/>
              <w:rPr>
                <w:rFonts w:ascii="Arial" w:hAnsi="Arial" w:cs="Arial"/>
              </w:rPr>
            </w:pPr>
          </w:p>
        </w:tc>
      </w:tr>
      <w:tr w:rsidR="0060063A" w:rsidRPr="00DC442B" w14:paraId="72651DD4" w14:textId="77777777" w:rsidTr="00ED7BEE">
        <w:trPr>
          <w:cantSplit/>
        </w:trPr>
        <w:tc>
          <w:tcPr>
            <w:tcW w:w="131" w:type="pct"/>
            <w:tcBorders>
              <w:top w:val="nil"/>
              <w:bottom w:val="nil"/>
            </w:tcBorders>
          </w:tcPr>
          <w:p w14:paraId="6EBAF616" w14:textId="77777777" w:rsidR="0060063A" w:rsidRPr="00DC442B" w:rsidRDefault="0060063A" w:rsidP="00ED7BEE">
            <w:pPr>
              <w:rPr>
                <w:rFonts w:ascii="Arial" w:hAnsi="Arial" w:cs="Arial"/>
              </w:rPr>
            </w:pPr>
          </w:p>
        </w:tc>
        <w:tc>
          <w:tcPr>
            <w:tcW w:w="680" w:type="pct"/>
            <w:tcBorders>
              <w:top w:val="nil"/>
              <w:bottom w:val="nil"/>
            </w:tcBorders>
          </w:tcPr>
          <w:p w14:paraId="157FAC25" w14:textId="77777777" w:rsidR="0060063A" w:rsidRPr="00DC442B" w:rsidRDefault="0060063A" w:rsidP="00ED7BEE">
            <w:pPr>
              <w:ind w:left="60" w:right="60"/>
              <w:rPr>
                <w:rFonts w:ascii="Arial" w:hAnsi="Arial" w:cs="Arial"/>
              </w:rPr>
            </w:pPr>
            <w:r w:rsidRPr="00DC442B">
              <w:rPr>
                <w:rFonts w:ascii="Arial" w:hAnsi="Arial" w:cs="Arial"/>
              </w:rPr>
              <w:t>Std. Error of the Estimate</w:t>
            </w:r>
          </w:p>
        </w:tc>
        <w:tc>
          <w:tcPr>
            <w:tcW w:w="352" w:type="pct"/>
            <w:tcBorders>
              <w:top w:val="nil"/>
              <w:bottom w:val="nil"/>
            </w:tcBorders>
            <w:shd w:val="clear" w:color="auto" w:fill="FFFFFF"/>
          </w:tcPr>
          <w:p w14:paraId="5DFBCE8C"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202FB929" w14:textId="77777777" w:rsidR="0060063A" w:rsidRPr="00DC442B" w:rsidRDefault="0060063A" w:rsidP="00ED7BEE">
            <w:pPr>
              <w:ind w:left="60" w:right="60"/>
              <w:jc w:val="center"/>
              <w:rPr>
                <w:rFonts w:ascii="Arial" w:hAnsi="Arial" w:cs="Arial"/>
              </w:rPr>
            </w:pPr>
            <w:r w:rsidRPr="00DC442B">
              <w:rPr>
                <w:rFonts w:ascii="Arial" w:hAnsi="Arial" w:cs="Arial"/>
              </w:rPr>
              <w:t>.433</w:t>
            </w:r>
          </w:p>
        </w:tc>
        <w:tc>
          <w:tcPr>
            <w:tcW w:w="737" w:type="pct"/>
            <w:tcBorders>
              <w:top w:val="nil"/>
              <w:bottom w:val="nil"/>
            </w:tcBorders>
            <w:shd w:val="clear" w:color="auto" w:fill="FFFFFF"/>
          </w:tcPr>
          <w:p w14:paraId="61DF2DBD"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49EA8F51"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4688E03B"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0C0F0E0E"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389AE1AA"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28D0018A"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4ED7C93F"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475065FB" w14:textId="77777777" w:rsidR="0060063A" w:rsidRPr="00DC442B" w:rsidRDefault="0060063A" w:rsidP="00ED7BEE">
            <w:pPr>
              <w:ind w:left="60" w:right="60"/>
              <w:jc w:val="center"/>
              <w:rPr>
                <w:rFonts w:ascii="Arial" w:hAnsi="Arial" w:cs="Arial"/>
              </w:rPr>
            </w:pPr>
          </w:p>
        </w:tc>
      </w:tr>
      <w:tr w:rsidR="0060063A" w:rsidRPr="00DC442B" w14:paraId="6F577C94" w14:textId="77777777" w:rsidTr="00ED7BEE">
        <w:trPr>
          <w:cantSplit/>
        </w:trPr>
        <w:tc>
          <w:tcPr>
            <w:tcW w:w="131" w:type="pct"/>
            <w:tcBorders>
              <w:top w:val="nil"/>
              <w:bottom w:val="nil"/>
            </w:tcBorders>
          </w:tcPr>
          <w:p w14:paraId="2C365171" w14:textId="77777777" w:rsidR="0060063A" w:rsidRPr="00DC442B" w:rsidRDefault="0060063A" w:rsidP="00ED7BEE">
            <w:pPr>
              <w:rPr>
                <w:rFonts w:ascii="Arial" w:hAnsi="Arial" w:cs="Arial"/>
              </w:rPr>
            </w:pPr>
          </w:p>
        </w:tc>
        <w:tc>
          <w:tcPr>
            <w:tcW w:w="680" w:type="pct"/>
            <w:tcBorders>
              <w:top w:val="nil"/>
              <w:bottom w:val="nil"/>
            </w:tcBorders>
          </w:tcPr>
          <w:p w14:paraId="3ADF269B" w14:textId="77777777" w:rsidR="0060063A" w:rsidRPr="00DC442B" w:rsidRDefault="0060063A" w:rsidP="00ED7BEE">
            <w:pPr>
              <w:ind w:left="60" w:right="60"/>
              <w:rPr>
                <w:rFonts w:ascii="Arial" w:hAnsi="Arial" w:cs="Arial"/>
              </w:rPr>
            </w:pPr>
            <w:r w:rsidRPr="00DC442B">
              <w:rPr>
                <w:rFonts w:ascii="Arial" w:hAnsi="Arial" w:cs="Arial"/>
              </w:rPr>
              <w:t>F</w:t>
            </w:r>
          </w:p>
        </w:tc>
        <w:tc>
          <w:tcPr>
            <w:tcW w:w="352" w:type="pct"/>
            <w:tcBorders>
              <w:top w:val="nil"/>
              <w:bottom w:val="nil"/>
            </w:tcBorders>
            <w:shd w:val="clear" w:color="auto" w:fill="FFFFFF"/>
          </w:tcPr>
          <w:p w14:paraId="1DD8D7E3"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22DECF32" w14:textId="77777777" w:rsidR="0060063A" w:rsidRPr="00DC442B" w:rsidRDefault="0060063A" w:rsidP="00ED7BEE">
            <w:pPr>
              <w:ind w:left="60" w:right="60"/>
              <w:jc w:val="center"/>
              <w:rPr>
                <w:rFonts w:ascii="Arial" w:hAnsi="Arial" w:cs="Arial"/>
              </w:rPr>
            </w:pPr>
            <w:r w:rsidRPr="00DC442B">
              <w:rPr>
                <w:rFonts w:ascii="Arial" w:hAnsi="Arial" w:cs="Arial"/>
              </w:rPr>
              <w:t>44.385</w:t>
            </w:r>
          </w:p>
        </w:tc>
        <w:tc>
          <w:tcPr>
            <w:tcW w:w="737" w:type="pct"/>
            <w:tcBorders>
              <w:top w:val="nil"/>
              <w:bottom w:val="nil"/>
            </w:tcBorders>
            <w:shd w:val="clear" w:color="auto" w:fill="FFFFFF"/>
          </w:tcPr>
          <w:p w14:paraId="58BF7FB0"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45926A90"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1D0EF82C"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62536C00"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356328CC"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3820EA0F"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61C01405"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20CCE41A" w14:textId="77777777" w:rsidR="0060063A" w:rsidRPr="00DC442B" w:rsidRDefault="0060063A" w:rsidP="00ED7BEE">
            <w:pPr>
              <w:ind w:left="60" w:right="60"/>
              <w:jc w:val="center"/>
              <w:rPr>
                <w:rFonts w:ascii="Arial" w:hAnsi="Arial" w:cs="Arial"/>
              </w:rPr>
            </w:pPr>
          </w:p>
        </w:tc>
      </w:tr>
      <w:tr w:rsidR="0060063A" w:rsidRPr="00DC442B" w14:paraId="7DA0E420" w14:textId="77777777" w:rsidTr="00ED7BEE">
        <w:trPr>
          <w:cantSplit/>
        </w:trPr>
        <w:tc>
          <w:tcPr>
            <w:tcW w:w="131" w:type="pct"/>
            <w:tcBorders>
              <w:top w:val="nil"/>
              <w:bottom w:val="nil"/>
            </w:tcBorders>
          </w:tcPr>
          <w:p w14:paraId="0A533061" w14:textId="77777777" w:rsidR="0060063A" w:rsidRPr="00DC442B" w:rsidRDefault="0060063A" w:rsidP="00ED7BEE">
            <w:pPr>
              <w:rPr>
                <w:rFonts w:ascii="Arial" w:hAnsi="Arial" w:cs="Arial"/>
              </w:rPr>
            </w:pPr>
          </w:p>
        </w:tc>
        <w:tc>
          <w:tcPr>
            <w:tcW w:w="680" w:type="pct"/>
            <w:tcBorders>
              <w:top w:val="nil"/>
              <w:bottom w:val="nil"/>
            </w:tcBorders>
          </w:tcPr>
          <w:p w14:paraId="3473C165" w14:textId="77777777" w:rsidR="0060063A" w:rsidRPr="00DC442B" w:rsidRDefault="0060063A" w:rsidP="00ED7BEE">
            <w:pPr>
              <w:ind w:left="60" w:right="60"/>
              <w:rPr>
                <w:rFonts w:ascii="Arial" w:hAnsi="Arial" w:cs="Arial"/>
              </w:rPr>
            </w:pPr>
            <w:r w:rsidRPr="00DC442B">
              <w:rPr>
                <w:rFonts w:ascii="Arial" w:hAnsi="Arial" w:cs="Arial"/>
              </w:rPr>
              <w:t>Sig</w:t>
            </w:r>
          </w:p>
        </w:tc>
        <w:tc>
          <w:tcPr>
            <w:tcW w:w="352" w:type="pct"/>
            <w:tcBorders>
              <w:top w:val="nil"/>
              <w:bottom w:val="nil"/>
            </w:tcBorders>
            <w:shd w:val="clear" w:color="auto" w:fill="FFFFFF"/>
          </w:tcPr>
          <w:p w14:paraId="57CF1675" w14:textId="77777777" w:rsidR="0060063A" w:rsidRPr="00DC442B" w:rsidRDefault="0060063A" w:rsidP="00ED7BEE">
            <w:pPr>
              <w:ind w:left="60" w:right="60"/>
              <w:jc w:val="center"/>
              <w:rPr>
                <w:rFonts w:ascii="Arial" w:hAnsi="Arial" w:cs="Arial"/>
              </w:rPr>
            </w:pPr>
          </w:p>
        </w:tc>
        <w:tc>
          <w:tcPr>
            <w:tcW w:w="514" w:type="pct"/>
            <w:tcBorders>
              <w:top w:val="nil"/>
              <w:bottom w:val="nil"/>
            </w:tcBorders>
            <w:shd w:val="clear" w:color="auto" w:fill="FFFFFF"/>
          </w:tcPr>
          <w:p w14:paraId="3E9D6D62" w14:textId="77777777" w:rsidR="0060063A" w:rsidRPr="00DC442B" w:rsidRDefault="0060063A" w:rsidP="00ED7BEE">
            <w:pPr>
              <w:ind w:left="60" w:right="60"/>
              <w:jc w:val="center"/>
              <w:rPr>
                <w:rFonts w:ascii="Arial" w:hAnsi="Arial" w:cs="Arial"/>
              </w:rPr>
            </w:pPr>
            <w:r w:rsidRPr="00DC442B">
              <w:rPr>
                <w:rFonts w:ascii="Arial" w:hAnsi="Arial" w:cs="Arial"/>
              </w:rPr>
              <w:t>.000</w:t>
            </w:r>
          </w:p>
        </w:tc>
        <w:tc>
          <w:tcPr>
            <w:tcW w:w="737" w:type="pct"/>
            <w:tcBorders>
              <w:top w:val="nil"/>
              <w:bottom w:val="nil"/>
            </w:tcBorders>
            <w:shd w:val="clear" w:color="auto" w:fill="FFFFFF"/>
          </w:tcPr>
          <w:p w14:paraId="387A0B24"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3D0A22F2"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48EB609A" w14:textId="77777777" w:rsidR="0060063A" w:rsidRPr="00DC442B" w:rsidRDefault="0060063A" w:rsidP="00ED7BEE">
            <w:pPr>
              <w:ind w:left="60" w:right="60"/>
              <w:jc w:val="center"/>
              <w:rPr>
                <w:rFonts w:ascii="Arial" w:hAnsi="Arial" w:cs="Arial"/>
              </w:rPr>
            </w:pPr>
          </w:p>
        </w:tc>
        <w:tc>
          <w:tcPr>
            <w:tcW w:w="339" w:type="pct"/>
            <w:tcBorders>
              <w:top w:val="nil"/>
              <w:bottom w:val="nil"/>
            </w:tcBorders>
            <w:shd w:val="clear" w:color="auto" w:fill="FFFFFF"/>
          </w:tcPr>
          <w:p w14:paraId="08E5C0C0" w14:textId="77777777" w:rsidR="0060063A" w:rsidRPr="00DC442B" w:rsidRDefault="0060063A" w:rsidP="00ED7BEE">
            <w:pPr>
              <w:ind w:left="60" w:right="60"/>
              <w:jc w:val="center"/>
              <w:rPr>
                <w:rFonts w:ascii="Arial" w:hAnsi="Arial" w:cs="Arial"/>
              </w:rPr>
            </w:pPr>
          </w:p>
        </w:tc>
        <w:tc>
          <w:tcPr>
            <w:tcW w:w="390" w:type="pct"/>
            <w:tcBorders>
              <w:top w:val="nil"/>
              <w:bottom w:val="nil"/>
            </w:tcBorders>
            <w:shd w:val="clear" w:color="auto" w:fill="FFFFFF"/>
          </w:tcPr>
          <w:p w14:paraId="71204031" w14:textId="77777777" w:rsidR="0060063A" w:rsidRPr="00DC442B" w:rsidRDefault="0060063A" w:rsidP="00ED7BEE">
            <w:pPr>
              <w:ind w:left="60" w:right="60"/>
              <w:jc w:val="center"/>
              <w:rPr>
                <w:rFonts w:ascii="Arial" w:hAnsi="Arial" w:cs="Arial"/>
              </w:rPr>
            </w:pPr>
          </w:p>
        </w:tc>
        <w:tc>
          <w:tcPr>
            <w:tcW w:w="289" w:type="pct"/>
            <w:tcBorders>
              <w:top w:val="nil"/>
              <w:bottom w:val="nil"/>
            </w:tcBorders>
            <w:shd w:val="clear" w:color="auto" w:fill="FFFFFF"/>
          </w:tcPr>
          <w:p w14:paraId="7D4B8BB6" w14:textId="77777777" w:rsidR="0060063A" w:rsidRPr="00DC442B" w:rsidRDefault="0060063A" w:rsidP="00ED7BEE">
            <w:pPr>
              <w:ind w:left="60" w:right="60"/>
              <w:jc w:val="center"/>
              <w:rPr>
                <w:rFonts w:ascii="Arial" w:hAnsi="Arial" w:cs="Arial"/>
              </w:rPr>
            </w:pPr>
          </w:p>
        </w:tc>
        <w:tc>
          <w:tcPr>
            <w:tcW w:w="573" w:type="pct"/>
            <w:tcBorders>
              <w:top w:val="nil"/>
              <w:bottom w:val="nil"/>
            </w:tcBorders>
            <w:shd w:val="clear" w:color="auto" w:fill="FFFFFF"/>
          </w:tcPr>
          <w:p w14:paraId="563BC552" w14:textId="77777777" w:rsidR="0060063A" w:rsidRPr="00DC442B" w:rsidRDefault="0060063A" w:rsidP="00ED7BEE">
            <w:pPr>
              <w:ind w:left="60" w:right="60"/>
              <w:jc w:val="center"/>
              <w:rPr>
                <w:rFonts w:ascii="Arial" w:hAnsi="Arial" w:cs="Arial"/>
              </w:rPr>
            </w:pPr>
          </w:p>
        </w:tc>
        <w:tc>
          <w:tcPr>
            <w:tcW w:w="352" w:type="pct"/>
            <w:tcBorders>
              <w:top w:val="nil"/>
              <w:bottom w:val="nil"/>
            </w:tcBorders>
            <w:shd w:val="clear" w:color="auto" w:fill="FFFFFF"/>
          </w:tcPr>
          <w:p w14:paraId="4E0DAC89" w14:textId="77777777" w:rsidR="0060063A" w:rsidRPr="00DC442B" w:rsidRDefault="0060063A" w:rsidP="00ED7BEE">
            <w:pPr>
              <w:ind w:left="60" w:right="60"/>
              <w:jc w:val="center"/>
              <w:rPr>
                <w:rFonts w:ascii="Arial" w:hAnsi="Arial" w:cs="Arial"/>
              </w:rPr>
            </w:pPr>
          </w:p>
        </w:tc>
      </w:tr>
      <w:tr w:rsidR="0060063A" w:rsidRPr="00DC442B" w14:paraId="1A10B4EC" w14:textId="77777777" w:rsidTr="00ED7BEE">
        <w:trPr>
          <w:cantSplit/>
        </w:trPr>
        <w:tc>
          <w:tcPr>
            <w:tcW w:w="5000" w:type="pct"/>
            <w:gridSpan w:val="12"/>
            <w:tcBorders>
              <w:top w:val="nil"/>
              <w:bottom w:val="single" w:sz="4" w:space="0" w:color="auto"/>
            </w:tcBorders>
            <w:shd w:val="clear" w:color="auto" w:fill="FFFFFF"/>
          </w:tcPr>
          <w:p w14:paraId="205C9018" w14:textId="77777777" w:rsidR="0060063A" w:rsidRPr="00DC442B" w:rsidRDefault="0060063A" w:rsidP="00ED7BEE">
            <w:pPr>
              <w:ind w:left="60" w:right="60"/>
              <w:rPr>
                <w:rFonts w:ascii="Arial" w:hAnsi="Arial" w:cs="Arial"/>
              </w:rPr>
            </w:pPr>
            <w:r w:rsidRPr="00DC442B">
              <w:rPr>
                <w:rFonts w:ascii="Arial" w:hAnsi="Arial" w:cs="Arial"/>
              </w:rPr>
              <w:t>a. Dependent Variable: Educational outcomes</w:t>
            </w:r>
          </w:p>
        </w:tc>
      </w:tr>
    </w:tbl>
    <w:p w14:paraId="0DF99129" w14:textId="77777777" w:rsidR="0060063A" w:rsidRPr="005875B7" w:rsidRDefault="0060063A" w:rsidP="0060063A">
      <w:pPr>
        <w:pStyle w:val="Body"/>
        <w:spacing w:before="240"/>
        <w:rPr>
          <w:rFonts w:ascii="Arial" w:hAnsi="Arial" w:cs="Arial"/>
        </w:rPr>
      </w:pPr>
      <w:r w:rsidRPr="005875B7">
        <w:rPr>
          <w:rFonts w:ascii="Arial" w:hAnsi="Arial" w:cs="Arial"/>
        </w:rPr>
        <w:t>TVET outcome improves if employers are fully involved in; the curriculum development and review as this helps in specifying key skill sets (hard and soft) necessary for trainees, and updated technology so as to meet the market standards. The study also confirms that involving employers in the training delivery in the college and at the work place contributes significantly in improving TVET outcomes. In the same way, the practice of linking colleges to industries/ enterprises, gathering information on future needs of the industry regularly, seeking for exchange programs for trainees between the college and the industry, providing upskilling programs for trainers, employers offering their workplaces and equipment for learners to practice while at college, employers contributing funding resources to TVET training delivery such as scholarships and bursaries, greatly improve the quality of employability skills trainees acquire from TVET institutions.</w:t>
      </w:r>
    </w:p>
    <w:p w14:paraId="3A429A0D" w14:textId="77777777" w:rsidR="0060063A" w:rsidRPr="005875B7" w:rsidRDefault="0060063A" w:rsidP="0060063A">
      <w:pPr>
        <w:pStyle w:val="Body"/>
        <w:rPr>
          <w:rFonts w:ascii="Arial" w:hAnsi="Arial" w:cs="Arial"/>
          <w:b/>
          <w:sz w:val="22"/>
          <w:lang w:val="en-GB"/>
        </w:rPr>
      </w:pPr>
      <w:r>
        <w:rPr>
          <w:rFonts w:ascii="Arial" w:hAnsi="Arial" w:cs="Arial"/>
          <w:b/>
          <w:caps/>
          <w:sz w:val="22"/>
        </w:rPr>
        <w:t xml:space="preserve">3.2 </w:t>
      </w:r>
      <w:r w:rsidRPr="005875B7">
        <w:rPr>
          <w:rFonts w:ascii="Arial" w:hAnsi="Arial" w:cs="Arial"/>
          <w:b/>
          <w:bCs/>
          <w:sz w:val="22"/>
          <w:lang w:val="en-GB"/>
        </w:rPr>
        <w:t>Qualitative Findings</w:t>
      </w:r>
    </w:p>
    <w:p w14:paraId="281CBB7E" w14:textId="77777777" w:rsidR="0060063A" w:rsidRPr="00F60687" w:rsidRDefault="0060063A" w:rsidP="0060063A">
      <w:pPr>
        <w:pStyle w:val="Body"/>
        <w:rPr>
          <w:rFonts w:ascii="Arial" w:hAnsi="Arial" w:cs="Arial"/>
        </w:rPr>
      </w:pPr>
      <w:r w:rsidRPr="00F60687">
        <w:rPr>
          <w:rFonts w:ascii="Arial" w:hAnsi="Arial" w:cs="Arial"/>
        </w:rPr>
        <w:t xml:space="preserve">Analysis of interview and focus group discussion responses revealed five major themes that reflected how industry employers were effectively involved in enhancing TVET outcomes. These included: Industrial attachments; Curriculum development, review and delivery; Partnerships with practitioners and professional bodies; Collaborative community-based training projects; and Awareness creation and outreach engagement. </w:t>
      </w:r>
    </w:p>
    <w:p w14:paraId="71519149" w14:textId="77777777" w:rsidR="0060063A" w:rsidRPr="00F60687" w:rsidRDefault="0060063A" w:rsidP="0060063A">
      <w:pPr>
        <w:pStyle w:val="Body"/>
        <w:rPr>
          <w:rFonts w:ascii="Arial" w:hAnsi="Arial" w:cs="Arial"/>
        </w:rPr>
      </w:pPr>
      <w:r w:rsidRPr="00F60687">
        <w:rPr>
          <w:rFonts w:ascii="Arial" w:hAnsi="Arial" w:cs="Arial"/>
        </w:rPr>
        <w:t>Trainers emphasized that industrial training and placement experiences, offered students direct exposure to workplace practices. They also noted that the partnerships with industry fostered collaboration with practitioners who often assumed partial supervisory roles during internships.</w:t>
      </w:r>
    </w:p>
    <w:p w14:paraId="613F866B" w14:textId="77777777" w:rsidR="0060063A" w:rsidRDefault="0060063A" w:rsidP="0060063A">
      <w:pPr>
        <w:pStyle w:val="Body"/>
        <w:rPr>
          <w:rFonts w:ascii="Arial" w:hAnsi="Arial" w:cs="Arial"/>
          <w:i/>
        </w:rPr>
      </w:pPr>
      <w:r>
        <w:rPr>
          <w:rFonts w:ascii="Arial" w:hAnsi="Arial" w:cs="Arial"/>
          <w:iCs/>
        </w:rPr>
        <w:t xml:space="preserve">A trainer noted: </w:t>
      </w:r>
      <w:r w:rsidRPr="00F60687">
        <w:rPr>
          <w:rFonts w:ascii="Arial" w:hAnsi="Arial" w:cs="Arial"/>
          <w:i/>
        </w:rPr>
        <w:t xml:space="preserve">“In most cases, what was on the ground was through industrial placement. We always reached out to companies for placement spaces for our learners.” </w:t>
      </w:r>
    </w:p>
    <w:p w14:paraId="5D149C19" w14:textId="77777777" w:rsidR="0060063A" w:rsidRPr="00F60687" w:rsidRDefault="0060063A" w:rsidP="0060063A">
      <w:pPr>
        <w:pStyle w:val="Body"/>
        <w:rPr>
          <w:rFonts w:ascii="Arial" w:hAnsi="Arial" w:cs="Arial"/>
          <w:iCs/>
        </w:rPr>
      </w:pPr>
      <w:r w:rsidRPr="00F60687">
        <w:rPr>
          <w:rFonts w:ascii="Arial" w:hAnsi="Arial" w:cs="Arial"/>
        </w:rPr>
        <w:t>Another added:</w:t>
      </w:r>
      <w:r w:rsidRPr="00F60687">
        <w:rPr>
          <w:rFonts w:ascii="Arial" w:hAnsi="Arial" w:cs="Arial"/>
          <w:i/>
        </w:rPr>
        <w:t xml:space="preserve"> “Every end of the year, we normally encouraged our students to go for industrial training… lecturers would go there and supervise them</w:t>
      </w:r>
      <w:r>
        <w:rPr>
          <w:rFonts w:ascii="Arial" w:hAnsi="Arial" w:cs="Arial"/>
          <w:i/>
        </w:rPr>
        <w:t>”</w:t>
      </w:r>
      <w:r>
        <w:rPr>
          <w:rFonts w:ascii="Arial" w:hAnsi="Arial" w:cs="Arial"/>
          <w:iCs/>
        </w:rPr>
        <w:t xml:space="preserve"> </w:t>
      </w:r>
    </w:p>
    <w:p w14:paraId="7AB55421" w14:textId="77777777" w:rsidR="0060063A" w:rsidRDefault="0060063A" w:rsidP="0060063A">
      <w:pPr>
        <w:pStyle w:val="Body"/>
        <w:spacing w:after="0"/>
        <w:rPr>
          <w:rFonts w:ascii="Arial" w:hAnsi="Arial" w:cs="Arial"/>
          <w:i/>
        </w:rPr>
      </w:pPr>
      <w:r w:rsidRPr="00F60687">
        <w:rPr>
          <w:rFonts w:ascii="Arial" w:hAnsi="Arial" w:cs="Arial"/>
        </w:rPr>
        <w:t>Another trainer said: “</w:t>
      </w:r>
      <w:r w:rsidRPr="00F60687">
        <w:rPr>
          <w:rFonts w:ascii="Arial" w:hAnsi="Arial" w:cs="Arial"/>
          <w:i/>
        </w:rPr>
        <w:t>One way to ensure that industrial practitioners came in, was by inviting them to give special lectures to provide our students with an overview.”</w:t>
      </w:r>
      <w:r w:rsidRPr="00F60687">
        <w:rPr>
          <w:rFonts w:ascii="Arial" w:hAnsi="Arial" w:cs="Arial"/>
        </w:rPr>
        <w:t xml:space="preserve"> </w:t>
      </w:r>
      <w:r>
        <w:rPr>
          <w:rFonts w:ascii="Arial" w:hAnsi="Arial" w:cs="Arial"/>
          <w:iCs/>
        </w:rPr>
        <w:t>………he continued</w:t>
      </w:r>
      <w:r>
        <w:rPr>
          <w:rFonts w:ascii="Arial" w:hAnsi="Arial" w:cs="Arial"/>
          <w:i/>
        </w:rPr>
        <w:t xml:space="preserve">. </w:t>
      </w:r>
      <w:r w:rsidRPr="00FB02FA">
        <w:rPr>
          <w:rFonts w:ascii="Arial" w:hAnsi="Arial" w:cs="Arial"/>
          <w:i/>
        </w:rPr>
        <w:t>“During curriculum review, we always invited the employers or associations to participate or come and talk to the students.”</w:t>
      </w:r>
    </w:p>
    <w:p w14:paraId="19696928" w14:textId="77777777" w:rsidR="0060063A" w:rsidRPr="00FB02FA" w:rsidRDefault="0060063A" w:rsidP="0060063A">
      <w:pPr>
        <w:pStyle w:val="Body"/>
        <w:rPr>
          <w:rFonts w:ascii="Arial" w:hAnsi="Arial" w:cs="Arial"/>
          <w:iCs/>
        </w:rPr>
      </w:pPr>
      <w:r w:rsidRPr="00FB02FA">
        <w:rPr>
          <w:rFonts w:ascii="Arial" w:hAnsi="Arial" w:cs="Arial"/>
          <w:iCs/>
        </w:rPr>
        <w:t>These responses affirmed the findings from the descriptive statistics that employers were effectively involved in curriculum development, review and implementation.</w:t>
      </w:r>
    </w:p>
    <w:p w14:paraId="7BF3DE0C" w14:textId="77777777" w:rsidR="0060063A" w:rsidRPr="00FB02FA" w:rsidRDefault="0060063A" w:rsidP="0060063A">
      <w:pPr>
        <w:jc w:val="both"/>
        <w:outlineLvl w:val="2"/>
        <w:rPr>
          <w:rFonts w:ascii="Arial" w:hAnsi="Arial" w:cs="Arial"/>
        </w:rPr>
      </w:pPr>
      <w:r w:rsidRPr="00FB02FA">
        <w:rPr>
          <w:rFonts w:ascii="Arial" w:hAnsi="Arial" w:cs="Arial"/>
        </w:rPr>
        <w:t>The interview responses by college managers revealed a growing reliance on institutional structures such as Industrial Liaison Officers, Industrial Training Coordinators, and Industry-Awareness Committees.</w:t>
      </w:r>
    </w:p>
    <w:p w14:paraId="559A6D3E" w14:textId="77777777" w:rsidR="0060063A" w:rsidRDefault="0060063A" w:rsidP="0060063A">
      <w:pPr>
        <w:pStyle w:val="Body"/>
        <w:spacing w:after="0"/>
        <w:rPr>
          <w:rFonts w:ascii="Arial" w:hAnsi="Arial" w:cs="Arial"/>
        </w:rPr>
      </w:pPr>
      <w:r w:rsidRPr="00FB02FA">
        <w:rPr>
          <w:rFonts w:ascii="Arial" w:hAnsi="Arial" w:cs="Arial"/>
          <w:i/>
        </w:rPr>
        <w:lastRenderedPageBreak/>
        <w:t>“We moved to a stage of having a committee called the Industrial Training and Awareness Committee… so that the industrial training was effectively conducted… At that time, we had like only five partnerships, but we believed that we could do more.”</w:t>
      </w:r>
      <w:r w:rsidRPr="00FB02FA">
        <w:rPr>
          <w:rFonts w:ascii="Arial" w:hAnsi="Arial" w:cs="Arial"/>
        </w:rPr>
        <w:t xml:space="preserve"> </w:t>
      </w:r>
    </w:p>
    <w:p w14:paraId="205DB92B" w14:textId="77777777" w:rsidR="0060063A" w:rsidRDefault="0060063A" w:rsidP="0060063A">
      <w:pPr>
        <w:pStyle w:val="Body"/>
        <w:spacing w:after="0"/>
        <w:rPr>
          <w:rFonts w:ascii="Arial" w:hAnsi="Arial" w:cs="Arial"/>
        </w:rPr>
      </w:pPr>
      <w:r w:rsidRPr="00FB02FA">
        <w:rPr>
          <w:rFonts w:ascii="Arial" w:hAnsi="Arial" w:cs="Arial"/>
        </w:rPr>
        <w:t>College managers also described industry employers being involving in curriculum development and inviting them to deliver guest lectures.</w:t>
      </w:r>
    </w:p>
    <w:p w14:paraId="469571B3" w14:textId="77777777" w:rsidR="0060063A" w:rsidRDefault="0060063A" w:rsidP="0060063A">
      <w:pPr>
        <w:pStyle w:val="Body"/>
        <w:spacing w:after="0"/>
        <w:rPr>
          <w:rFonts w:ascii="Arial" w:hAnsi="Arial" w:cs="Arial"/>
          <w:i/>
        </w:rPr>
      </w:pPr>
      <w:r w:rsidRPr="00FB02FA">
        <w:rPr>
          <w:rFonts w:ascii="Arial" w:hAnsi="Arial" w:cs="Arial"/>
          <w:i/>
        </w:rPr>
        <w:t>“We also involve the industrial people in the curriculum development because at the end of it all… the skills that we were providing should meet the demand which was in the world of work.”</w:t>
      </w:r>
    </w:p>
    <w:p w14:paraId="6E37BA04" w14:textId="77777777" w:rsidR="0060063A" w:rsidRPr="00FB02FA" w:rsidRDefault="0060063A" w:rsidP="0060063A">
      <w:pPr>
        <w:pStyle w:val="Body"/>
        <w:rPr>
          <w:rFonts w:ascii="Arial" w:hAnsi="Arial" w:cs="Arial"/>
          <w:iCs/>
        </w:rPr>
      </w:pPr>
      <w:r w:rsidRPr="009A47F4">
        <w:rPr>
          <w:rFonts w:ascii="Arial" w:hAnsi="Arial" w:cs="Arial"/>
          <w:bCs/>
          <w:iCs/>
        </w:rPr>
        <w:t xml:space="preserve">Another respondent added: </w:t>
      </w:r>
      <w:r w:rsidRPr="009A47F4">
        <w:rPr>
          <w:rFonts w:ascii="Arial" w:hAnsi="Arial" w:cs="Arial"/>
          <w:bCs/>
          <w:i/>
          <w:iCs/>
        </w:rPr>
        <w:t>“The more we engage with the industry—right from designing the curriculum to organizing industrial placements—the more our graduates become competitive. They gain confidence and job-ready skills.</w:t>
      </w:r>
      <w:r>
        <w:rPr>
          <w:rFonts w:ascii="Arial" w:hAnsi="Arial" w:cs="Arial"/>
          <w:bCs/>
          <w:i/>
          <w:iCs/>
        </w:rPr>
        <w:t xml:space="preserve"> </w:t>
      </w:r>
      <w:proofErr w:type="gramStart"/>
      <w:r w:rsidRPr="009A47F4">
        <w:rPr>
          <w:rFonts w:ascii="Arial" w:hAnsi="Arial" w:cs="Arial"/>
          <w:bCs/>
          <w:i/>
          <w:iCs/>
        </w:rPr>
        <w:t>”</w:t>
      </w:r>
      <w:r w:rsidRPr="00FB02FA">
        <w:rPr>
          <w:rFonts w:ascii="Arial" w:hAnsi="Arial" w:cs="Arial"/>
          <w:iCs/>
        </w:rPr>
        <w:t>These</w:t>
      </w:r>
      <w:proofErr w:type="gramEnd"/>
      <w:r w:rsidRPr="00FB02FA">
        <w:rPr>
          <w:rFonts w:ascii="Arial" w:hAnsi="Arial" w:cs="Arial"/>
          <w:iCs/>
        </w:rPr>
        <w:t xml:space="preserve"> responses correspond well with responses by trainers during the focus group discussions.</w:t>
      </w:r>
    </w:p>
    <w:p w14:paraId="6AE80B0F" w14:textId="77777777" w:rsidR="0060063A" w:rsidRDefault="0060063A" w:rsidP="0060063A">
      <w:pPr>
        <w:pStyle w:val="Body"/>
        <w:spacing w:after="0"/>
        <w:rPr>
          <w:rFonts w:ascii="Arial" w:hAnsi="Arial" w:cs="Arial"/>
          <w:lang w:val="en-GB"/>
        </w:rPr>
      </w:pPr>
      <w:r w:rsidRPr="00FB02FA">
        <w:rPr>
          <w:rFonts w:ascii="Arial" w:hAnsi="Arial" w:cs="Arial"/>
          <w:lang w:val="en-GB"/>
        </w:rPr>
        <w:t>Industry managers agreed on established links with colleges, and acknowledged involvement in curriculum development and review processes.</w:t>
      </w:r>
    </w:p>
    <w:p w14:paraId="62FD35F5" w14:textId="77777777" w:rsidR="0060063A" w:rsidRPr="00FB02FA" w:rsidRDefault="0060063A" w:rsidP="0060063A">
      <w:pPr>
        <w:pStyle w:val="Body"/>
        <w:spacing w:after="0"/>
        <w:rPr>
          <w:rFonts w:ascii="Arial" w:hAnsi="Arial" w:cs="Arial"/>
        </w:rPr>
      </w:pPr>
      <w:r w:rsidRPr="00FB02FA">
        <w:rPr>
          <w:rFonts w:ascii="Arial" w:hAnsi="Arial" w:cs="Arial"/>
          <w:i/>
          <w:iCs/>
          <w:lang w:val="en-GB"/>
        </w:rPr>
        <w:t>“When there is a curriculum review… we take part. If there’s any improvement needed, we contribute because the college is ours.”</w:t>
      </w:r>
      <w:r>
        <w:rPr>
          <w:rFonts w:ascii="Arial" w:hAnsi="Arial" w:cs="Arial"/>
          <w:i/>
          <w:iCs/>
          <w:lang w:val="en-GB"/>
        </w:rPr>
        <w:t xml:space="preserve"> </w:t>
      </w:r>
      <w:r w:rsidRPr="00FB02FA">
        <w:rPr>
          <w:rFonts w:ascii="Arial" w:hAnsi="Arial" w:cs="Arial"/>
          <w:lang w:val="en-GB"/>
        </w:rPr>
        <w:t>An industry manager revealed.</w:t>
      </w:r>
    </w:p>
    <w:p w14:paraId="270BED6B" w14:textId="77777777" w:rsidR="0060063A" w:rsidRDefault="0060063A" w:rsidP="0060063A">
      <w:pPr>
        <w:pStyle w:val="Body"/>
        <w:spacing w:after="0"/>
        <w:rPr>
          <w:rFonts w:ascii="Arial" w:hAnsi="Arial" w:cs="Arial"/>
        </w:rPr>
      </w:pPr>
      <w:r w:rsidRPr="00FB02FA">
        <w:rPr>
          <w:rFonts w:ascii="Arial" w:hAnsi="Arial" w:cs="Arial"/>
          <w:lang w:val="en-GB"/>
        </w:rPr>
        <w:t>Industry practitioners also reported being involved in post-industrial attachment assessment to ascertain whether trainees have achieved their expectations, and developed employability skills that meet the labour market needs.</w:t>
      </w:r>
    </w:p>
    <w:p w14:paraId="0F9FED8D" w14:textId="77777777" w:rsidR="0060063A" w:rsidRDefault="0060063A" w:rsidP="0060063A">
      <w:pPr>
        <w:pStyle w:val="Body"/>
        <w:spacing w:after="0"/>
        <w:rPr>
          <w:rFonts w:ascii="Arial" w:hAnsi="Arial" w:cs="Arial"/>
        </w:rPr>
      </w:pPr>
      <w:r>
        <w:rPr>
          <w:rFonts w:ascii="Arial" w:hAnsi="Arial" w:cs="Arial"/>
          <w:lang w:val="en-GB"/>
        </w:rPr>
        <w:t>A</w:t>
      </w:r>
      <w:r w:rsidRPr="00FB02FA">
        <w:rPr>
          <w:rFonts w:ascii="Arial" w:hAnsi="Arial" w:cs="Arial"/>
          <w:lang w:val="en-GB"/>
        </w:rPr>
        <w:t>n</w:t>
      </w:r>
      <w:r>
        <w:rPr>
          <w:rFonts w:ascii="Arial" w:hAnsi="Arial" w:cs="Arial"/>
          <w:lang w:val="en-GB"/>
        </w:rPr>
        <w:t>other</w:t>
      </w:r>
      <w:r w:rsidRPr="00FB02FA">
        <w:rPr>
          <w:rFonts w:ascii="Arial" w:hAnsi="Arial" w:cs="Arial"/>
          <w:lang w:val="en-GB"/>
        </w:rPr>
        <w:t xml:space="preserve"> industry manager explained: </w:t>
      </w:r>
      <w:r w:rsidRPr="00FB02FA">
        <w:rPr>
          <w:rFonts w:ascii="Arial" w:hAnsi="Arial" w:cs="Arial"/>
          <w:i/>
          <w:lang w:val="en-GB"/>
        </w:rPr>
        <w:t>“We evaluate trainees after the industrial training period to ascertain… whether they have acquired relevant skills.”</w:t>
      </w:r>
    </w:p>
    <w:p w14:paraId="0568FF3C" w14:textId="77777777" w:rsidR="0060063A" w:rsidRDefault="0060063A" w:rsidP="0060063A">
      <w:pPr>
        <w:autoSpaceDE w:val="0"/>
        <w:autoSpaceDN w:val="0"/>
        <w:adjustRightInd w:val="0"/>
        <w:jc w:val="both"/>
        <w:rPr>
          <w:rFonts w:ascii="Arial" w:hAnsi="Arial" w:cs="Arial"/>
          <w:iCs/>
        </w:rPr>
      </w:pPr>
      <w:r w:rsidRPr="001A40D6">
        <w:rPr>
          <w:rFonts w:ascii="Arial" w:hAnsi="Arial" w:cs="Arial"/>
          <w:iCs/>
        </w:rPr>
        <w:t>These reports were said to contribute to final assessment of trainees at TVET colleges. Industry respondents revealed that trainees who were committed to their industrial training, had their employability skills enhanced.</w:t>
      </w:r>
    </w:p>
    <w:p w14:paraId="28145F70" w14:textId="77777777" w:rsidR="0060063A" w:rsidRDefault="0060063A" w:rsidP="0060063A">
      <w:pPr>
        <w:autoSpaceDE w:val="0"/>
        <w:autoSpaceDN w:val="0"/>
        <w:adjustRightInd w:val="0"/>
        <w:jc w:val="both"/>
        <w:rPr>
          <w:rFonts w:ascii="Arial" w:hAnsi="Arial" w:cs="Arial"/>
          <w:iCs/>
        </w:rPr>
      </w:pPr>
      <w:r w:rsidRPr="009A47F4">
        <w:rPr>
          <w:rFonts w:ascii="Arial" w:hAnsi="Arial" w:cs="Arial"/>
          <w:i/>
          <w:iCs/>
        </w:rPr>
        <w:t>“They learn more during their two-month internship than what they did in the whole year of class. It helps them understand how the machines work and what employers expect.”</w:t>
      </w:r>
      <w:r w:rsidRPr="009A47F4">
        <w:rPr>
          <w:rFonts w:ascii="Arial" w:hAnsi="Arial" w:cs="Arial"/>
          <w:iCs/>
        </w:rPr>
        <w:t xml:space="preserve"> An industry manager explained.</w:t>
      </w:r>
    </w:p>
    <w:p w14:paraId="309E1FD5" w14:textId="77777777" w:rsidR="0060063A" w:rsidRDefault="0060063A" w:rsidP="0060063A">
      <w:pPr>
        <w:autoSpaceDE w:val="0"/>
        <w:autoSpaceDN w:val="0"/>
        <w:adjustRightInd w:val="0"/>
        <w:spacing w:after="240"/>
        <w:jc w:val="both"/>
        <w:rPr>
          <w:rFonts w:ascii="Arial" w:hAnsi="Arial" w:cs="Arial"/>
          <w:iCs/>
        </w:rPr>
      </w:pPr>
      <w:r w:rsidRPr="009A47F4">
        <w:rPr>
          <w:rFonts w:ascii="Arial" w:hAnsi="Arial" w:cs="Arial"/>
          <w:iCs/>
        </w:rPr>
        <w:t>These testimonies illustrate that involvement of industry employers do not only bridge the gap between theory and practice but also offer opportunities to develop job-specific skills, interact with modern technology, and understand professional expectations.</w:t>
      </w:r>
    </w:p>
    <w:p w14:paraId="3D38078B" w14:textId="77777777" w:rsidR="0060063A" w:rsidRPr="009A47F4" w:rsidRDefault="0060063A" w:rsidP="0060063A">
      <w:pPr>
        <w:autoSpaceDE w:val="0"/>
        <w:autoSpaceDN w:val="0"/>
        <w:adjustRightInd w:val="0"/>
        <w:spacing w:after="240"/>
        <w:jc w:val="both"/>
        <w:rPr>
          <w:rFonts w:ascii="Arial" w:hAnsi="Arial" w:cs="Arial"/>
          <w:bCs/>
          <w:iCs/>
        </w:rPr>
      </w:pPr>
      <w:r w:rsidRPr="009A47F4">
        <w:rPr>
          <w:rFonts w:ascii="Arial" w:hAnsi="Arial" w:cs="Arial"/>
          <w:bCs/>
          <w:iCs/>
        </w:rPr>
        <w:t xml:space="preserve">Qualitative findings also provided deeper insight into stakeholder experiences and recommendations. One TVET manager expressed a strong preference for a more comprehensive form of collaboration. </w:t>
      </w:r>
      <w:r w:rsidRPr="009A47F4">
        <w:rPr>
          <w:rFonts w:ascii="Arial" w:hAnsi="Arial" w:cs="Arial"/>
          <w:bCs/>
          <w:i/>
          <w:iCs/>
        </w:rPr>
        <w:t xml:space="preserve">“What we need is not just internships but real collaboration—like working together on curriculum development, setting training goals, and even co-hosting innovation events. That would make the partnership meaningful.” </w:t>
      </w:r>
      <w:r w:rsidRPr="009A47F4">
        <w:rPr>
          <w:rFonts w:ascii="Arial" w:hAnsi="Arial" w:cs="Arial"/>
          <w:bCs/>
          <w:iCs/>
        </w:rPr>
        <w:t xml:space="preserve">He asserted. </w:t>
      </w:r>
    </w:p>
    <w:p w14:paraId="29863F2E" w14:textId="77777777" w:rsidR="0060063A" w:rsidRPr="00561218" w:rsidRDefault="0060063A" w:rsidP="0060063A">
      <w:pPr>
        <w:autoSpaceDE w:val="0"/>
        <w:autoSpaceDN w:val="0"/>
        <w:adjustRightInd w:val="0"/>
        <w:spacing w:after="240"/>
        <w:jc w:val="both"/>
        <w:rPr>
          <w:rFonts w:ascii="Arial" w:hAnsi="Arial" w:cs="Arial"/>
          <w:bCs/>
          <w:iCs/>
        </w:rPr>
      </w:pPr>
      <w:r w:rsidRPr="00561218">
        <w:rPr>
          <w:rFonts w:ascii="Arial" w:hAnsi="Arial" w:cs="Arial"/>
          <w:bCs/>
          <w:iCs/>
        </w:rPr>
        <w:t>The findings revealed that industry employers were involved in curriculum development and review which enhances TVET outcomes, although most engagements are informal, event-based, lacking sustainability and clear structured long-term collaboration. These findings confirm global concerns regarding the limited institutionalization of industry–TVET institutions collaboration, as observed by Billet et al. (2018). They assert that successful vocational education hinges on long-term and mutually beneficial industry links. This implies that Uganda’s TVET colleges must formalize partnership agreements and introduce policy frameworks to guide consistent industry engagement. The moderate industry involvement in curriculum development and review, is consistent with Maclean and Wilson (2019), who argue that without regular curriculum audits involving employers, training programs quickly become outdated. Findings also indicate that work-based training and industrial attachment enhanced job ready skills, and helped trainees to gain confidence and understanding of workplace expectations. These results support Pilz et al. (2020), who argued that embedded industrial experience, such as internships and apprenticeships, significantly enhances students’ employability skills, and ability to transition from school to work.</w:t>
      </w:r>
    </w:p>
    <w:p w14:paraId="1E329FD4" w14:textId="77777777" w:rsidR="0060063A" w:rsidRPr="00D21935" w:rsidRDefault="0060063A" w:rsidP="0060063A">
      <w:pPr>
        <w:autoSpaceDE w:val="0"/>
        <w:autoSpaceDN w:val="0"/>
        <w:adjustRightInd w:val="0"/>
        <w:spacing w:after="240"/>
        <w:jc w:val="both"/>
        <w:rPr>
          <w:rFonts w:ascii="Arial" w:hAnsi="Arial" w:cs="Arial"/>
          <w:iCs/>
          <w:lang w:val="en-GB"/>
        </w:rPr>
      </w:pPr>
      <w:r w:rsidRPr="00561218">
        <w:rPr>
          <w:rFonts w:ascii="Arial" w:hAnsi="Arial" w:cs="Arial"/>
          <w:iCs/>
          <w:lang w:val="en-GB"/>
        </w:rPr>
        <w:t>Respondents further identified challenges hindering industry employer involvement in enhancing TVET outcomes related to</w:t>
      </w:r>
      <w:r w:rsidRPr="00561218">
        <w:rPr>
          <w:rFonts w:ascii="Arial" w:hAnsi="Arial" w:cs="Arial"/>
          <w:bCs/>
          <w:iCs/>
        </w:rPr>
        <w:t xml:space="preserve"> structural and systemic barriers such as lack of funding, poor communication, misaligned priorities, and unclear government guidelines. These are consistent with OECD (2021), that attributes failure in TVET-industry cooperation to fragmented policy environments and competing institutional priorities. Similarly, </w:t>
      </w:r>
      <w:proofErr w:type="spellStart"/>
      <w:r w:rsidRPr="00561218">
        <w:rPr>
          <w:rFonts w:ascii="Arial" w:hAnsi="Arial" w:cs="Arial"/>
          <w:bCs/>
          <w:iCs/>
        </w:rPr>
        <w:t>Tripney</w:t>
      </w:r>
      <w:proofErr w:type="spellEnd"/>
      <w:r w:rsidRPr="00561218">
        <w:rPr>
          <w:rFonts w:ascii="Arial" w:hAnsi="Arial" w:cs="Arial"/>
          <w:bCs/>
          <w:iCs/>
        </w:rPr>
        <w:t xml:space="preserve"> et al. (2013) note that successful employer involvement requires a regulatory framework that balances academic freedom with labor market needs. The study also gathered good recommendations from respondents which may be useful to improve industry employer involvement in enhancing the quality of TVET outcomes. Participants proposed several measures such </w:t>
      </w:r>
      <w:r w:rsidRPr="00561218">
        <w:rPr>
          <w:rFonts w:ascii="Arial" w:hAnsi="Arial" w:cs="Arial"/>
          <w:bCs/>
          <w:iCs/>
        </w:rPr>
        <w:lastRenderedPageBreak/>
        <w:t>as co-teaching arrangements, shared innovation labs, and tax incentives for industries that support TVET initiatives.</w:t>
      </w:r>
    </w:p>
    <w:p w14:paraId="172A52DF" w14:textId="77777777" w:rsidR="0060063A" w:rsidRDefault="0060063A" w:rsidP="0060063A">
      <w:pPr>
        <w:pStyle w:val="Body"/>
        <w:spacing w:after="0"/>
        <w:rPr>
          <w:rFonts w:ascii="Arial" w:hAnsi="Arial" w:cs="Arial"/>
        </w:rPr>
      </w:pPr>
    </w:p>
    <w:p w14:paraId="4DB9FA18" w14:textId="77777777" w:rsidR="0060063A" w:rsidRDefault="0060063A" w:rsidP="0060063A">
      <w:pPr>
        <w:pStyle w:val="ConcHead"/>
        <w:spacing w:after="0"/>
        <w:jc w:val="both"/>
        <w:rPr>
          <w:rFonts w:ascii="Arial" w:hAnsi="Arial" w:cs="Arial"/>
        </w:rPr>
      </w:pPr>
      <w:r>
        <w:rPr>
          <w:rFonts w:ascii="Arial" w:hAnsi="Arial" w:cs="Arial"/>
        </w:rPr>
        <w:t>4. Conclusion AND RECOMMENDATIONS</w:t>
      </w:r>
    </w:p>
    <w:p w14:paraId="72BC56B0" w14:textId="77777777" w:rsidR="0060063A" w:rsidRDefault="0060063A" w:rsidP="0060063A">
      <w:pPr>
        <w:pStyle w:val="ConcHead"/>
        <w:spacing w:after="0"/>
        <w:jc w:val="both"/>
        <w:rPr>
          <w:rFonts w:ascii="Arial" w:hAnsi="Arial" w:cs="Arial"/>
        </w:rPr>
      </w:pPr>
    </w:p>
    <w:p w14:paraId="3E569453" w14:textId="77777777" w:rsidR="0060063A" w:rsidRDefault="0060063A" w:rsidP="0060063A">
      <w:pPr>
        <w:pStyle w:val="Body"/>
        <w:rPr>
          <w:rFonts w:ascii="Arial" w:hAnsi="Arial" w:cs="Arial"/>
          <w:bCs/>
        </w:rPr>
      </w:pPr>
      <w:r>
        <w:rPr>
          <w:rFonts w:ascii="Arial" w:hAnsi="Arial" w:cs="Arial"/>
        </w:rPr>
        <w:t>[</w:t>
      </w:r>
      <w:r w:rsidRPr="00D21935">
        <w:rPr>
          <w:rFonts w:ascii="Arial" w:hAnsi="Arial" w:cs="Arial"/>
          <w:bCs/>
        </w:rPr>
        <w:t xml:space="preserve">This study set out to assess the industry employer involvement in enhancing the quality of TVET in Uganda, focusing on their impact on curriculum relevance, graduate employability, and institutional development. </w:t>
      </w:r>
      <w:r w:rsidRPr="00D21935">
        <w:rPr>
          <w:rFonts w:ascii="Arial" w:hAnsi="Arial" w:cs="Arial"/>
          <w:lang w:val="en-GB"/>
        </w:rPr>
        <w:t xml:space="preserve">The study confirms that there is effective industry involvement in curriculum development, review and implementation as well as providing information on industry trends and future workforce needs. </w:t>
      </w:r>
      <w:r w:rsidRPr="00D21935">
        <w:rPr>
          <w:rFonts w:ascii="Arial" w:hAnsi="Arial" w:cs="Arial"/>
          <w:bCs/>
        </w:rPr>
        <w:t>The study also confirms that although partnerships between TVET colleges and industry employers exist, most of them are informal, inconsistent, and lack sustainability. Formal agreements such as M</w:t>
      </w:r>
      <w:r>
        <w:rPr>
          <w:rFonts w:ascii="Arial" w:hAnsi="Arial" w:cs="Arial"/>
          <w:bCs/>
        </w:rPr>
        <w:t xml:space="preserve">emorandum </w:t>
      </w:r>
      <w:r w:rsidRPr="00D21935">
        <w:rPr>
          <w:rFonts w:ascii="Arial" w:hAnsi="Arial" w:cs="Arial"/>
          <w:bCs/>
        </w:rPr>
        <w:t>o</w:t>
      </w:r>
      <w:r>
        <w:rPr>
          <w:rFonts w:ascii="Arial" w:hAnsi="Arial" w:cs="Arial"/>
          <w:bCs/>
        </w:rPr>
        <w:t xml:space="preserve">f </w:t>
      </w:r>
      <w:r w:rsidRPr="00D21935">
        <w:rPr>
          <w:rFonts w:ascii="Arial" w:hAnsi="Arial" w:cs="Arial"/>
          <w:bCs/>
        </w:rPr>
        <w:t>U</w:t>
      </w:r>
      <w:r>
        <w:rPr>
          <w:rFonts w:ascii="Arial" w:hAnsi="Arial" w:cs="Arial"/>
          <w:bCs/>
        </w:rPr>
        <w:t>nderstanding</w:t>
      </w:r>
      <w:r w:rsidRPr="00D21935">
        <w:rPr>
          <w:rFonts w:ascii="Arial" w:hAnsi="Arial" w:cs="Arial"/>
          <w:bCs/>
        </w:rPr>
        <w:t>s are limited, resulting in irregular engagement that undermines the potential benefits of collaboration. This reflects a general lack of institutionalized frameworks to support long-term partnerships. Experiential learning components like internships significantly enhanced student confidence and workplace readiness, an area that industry employers have enhanced substantively.</w:t>
      </w:r>
      <w:r w:rsidRPr="00D21935">
        <w:rPr>
          <w:rFonts w:ascii="Arial" w:hAnsi="Arial" w:cs="Arial"/>
          <w:lang w:val="en-GB"/>
        </w:rPr>
        <w:t xml:space="preserve"> It can be concluded from the study findings that there is effective industry employer involvement that significantly and positively influence TVET outcomes in public TVET colleges in Uganda. Employer involvement has the potential to improve the quality and relevancy of TVET outcomes, especially the employability and job-ready skills through the work-based training. </w:t>
      </w:r>
      <w:r w:rsidRPr="00D21935">
        <w:rPr>
          <w:rFonts w:ascii="Arial" w:hAnsi="Arial" w:cs="Arial"/>
          <w:bCs/>
        </w:rPr>
        <w:t>Future studies could explore the long-term impact of industry employer involvement on employment rates and career progression of TVET graduates. Comparative studies between public and private TVET institutions may also reveal differential approaches and best practices in partnership development if undertaken.</w:t>
      </w:r>
    </w:p>
    <w:p w14:paraId="1A850DB2" w14:textId="77777777" w:rsidR="0060063A" w:rsidRPr="00676519" w:rsidRDefault="0060063A" w:rsidP="0060063A">
      <w:pPr>
        <w:pStyle w:val="Body"/>
        <w:rPr>
          <w:rFonts w:ascii="Arial" w:hAnsi="Arial" w:cs="Arial"/>
          <w:bCs/>
          <w:lang w:val="en-GB"/>
        </w:rPr>
      </w:pPr>
      <w:r w:rsidRPr="00676519">
        <w:rPr>
          <w:rFonts w:ascii="Arial" w:hAnsi="Arial" w:cs="Arial"/>
          <w:bCs/>
          <w:lang w:val="en-GB"/>
        </w:rPr>
        <w:t>The study recommends the following;</w:t>
      </w:r>
    </w:p>
    <w:p w14:paraId="7D6B1B76" w14:textId="77777777" w:rsidR="0060063A" w:rsidRPr="00676519" w:rsidRDefault="0060063A" w:rsidP="0060063A">
      <w:pPr>
        <w:pStyle w:val="Body"/>
        <w:numPr>
          <w:ilvl w:val="0"/>
          <w:numId w:val="1"/>
        </w:numPr>
        <w:rPr>
          <w:rFonts w:ascii="Arial" w:hAnsi="Arial" w:cs="Arial"/>
          <w:bCs/>
          <w:lang w:val="en-GB"/>
        </w:rPr>
      </w:pPr>
      <w:r w:rsidRPr="00676519">
        <w:rPr>
          <w:rFonts w:ascii="Arial" w:hAnsi="Arial" w:cs="Arial"/>
          <w:bCs/>
          <w:lang w:val="en-GB"/>
        </w:rPr>
        <w:t>Public TVET colleges should develop and implement clear policy frameworks and guidelines that encourage the establishment of formal partnership agreements such as MOUs to coordinate industry engagement efforts systematically.</w:t>
      </w:r>
    </w:p>
    <w:p w14:paraId="110967BE" w14:textId="77777777" w:rsidR="0060063A" w:rsidRPr="00676519" w:rsidRDefault="0060063A" w:rsidP="0060063A">
      <w:pPr>
        <w:pStyle w:val="Body"/>
        <w:numPr>
          <w:ilvl w:val="0"/>
          <w:numId w:val="1"/>
        </w:numPr>
        <w:rPr>
          <w:rFonts w:ascii="Arial" w:hAnsi="Arial" w:cs="Arial"/>
          <w:bCs/>
          <w:lang w:val="en-GB"/>
        </w:rPr>
      </w:pPr>
      <w:r w:rsidRPr="00676519">
        <w:rPr>
          <w:rFonts w:ascii="Arial" w:hAnsi="Arial" w:cs="Arial"/>
          <w:bCs/>
          <w:lang w:val="en-GB"/>
        </w:rPr>
        <w:t>There is need to address systemic and policy challenges by increasing funding specifically dedicated to support industry partnerships and collaborative TVET projects</w:t>
      </w:r>
    </w:p>
    <w:p w14:paraId="30DDB0D4" w14:textId="77777777" w:rsidR="0060063A" w:rsidRPr="00676519" w:rsidRDefault="0060063A" w:rsidP="0060063A">
      <w:pPr>
        <w:pStyle w:val="Body"/>
        <w:numPr>
          <w:ilvl w:val="0"/>
          <w:numId w:val="1"/>
        </w:numPr>
        <w:rPr>
          <w:rFonts w:ascii="Arial" w:hAnsi="Arial" w:cs="Arial"/>
          <w:bCs/>
          <w:lang w:val="en-GB"/>
        </w:rPr>
      </w:pPr>
      <w:r w:rsidRPr="00676519">
        <w:rPr>
          <w:rFonts w:ascii="Arial" w:hAnsi="Arial" w:cs="Arial"/>
          <w:bCs/>
          <w:lang w:val="en-GB"/>
        </w:rPr>
        <w:t>The is need to improve communication channels between TVET colleges and industry players through regular stakeholder forums and digital platforms, and align national TVET policies with industry needs, promoting a coherent strategy for workforce development.</w:t>
      </w:r>
    </w:p>
    <w:p w14:paraId="64298CA5" w14:textId="77777777" w:rsidR="0038731F" w:rsidRPr="0038731F" w:rsidRDefault="0038731F" w:rsidP="0038731F">
      <w:pPr>
        <w:pStyle w:val="Body"/>
        <w:rPr>
          <w:rFonts w:ascii="Arial" w:hAnsi="Arial" w:cs="Arial"/>
        </w:rPr>
      </w:pPr>
      <w:r w:rsidRPr="0038731F">
        <w:rPr>
          <w:rFonts w:ascii="Arial" w:hAnsi="Arial" w:cs="Arial"/>
        </w:rPr>
        <w:t>COMPETING INTERESTS DISCLAIMER:</w:t>
      </w:r>
    </w:p>
    <w:p w14:paraId="53384C1B" w14:textId="29057B3F" w:rsidR="0038731F" w:rsidRPr="00BA2879" w:rsidRDefault="0038731F" w:rsidP="0038731F">
      <w:pPr>
        <w:pStyle w:val="Body"/>
        <w:rPr>
          <w:rFonts w:ascii="Arial" w:hAnsi="Arial" w:cs="Arial"/>
        </w:rPr>
      </w:pPr>
      <w:r w:rsidRPr="0038731F">
        <w:rPr>
          <w:rFonts w:ascii="Arial" w:hAnsi="Arial" w:cs="Arial"/>
        </w:rPr>
        <w:t>Authors have declared that they have no known competing financial interests OR non-financial interests OR personal relationships that could have appeared to influence the work reported in this paper.</w:t>
      </w:r>
    </w:p>
    <w:p w14:paraId="1D8DD912" w14:textId="77777777" w:rsidR="00BA2879" w:rsidRPr="00BA2879" w:rsidRDefault="00BA2879" w:rsidP="00BA2879">
      <w:pPr>
        <w:pStyle w:val="AcknHead"/>
        <w:jc w:val="both"/>
        <w:rPr>
          <w:rFonts w:ascii="Arial" w:hAnsi="Arial" w:cs="Arial"/>
        </w:rPr>
      </w:pPr>
      <w:commentRangeStart w:id="2"/>
      <w:r w:rsidRPr="00BA2879">
        <w:rPr>
          <w:rFonts w:ascii="Arial" w:hAnsi="Arial" w:cs="Arial"/>
        </w:rPr>
        <w:t>References</w:t>
      </w:r>
      <w:commentRangeEnd w:id="2"/>
      <w:r w:rsidR="0067563E">
        <w:rPr>
          <w:rStyle w:val="CommentReference"/>
          <w:b w:val="0"/>
          <w:caps w:val="0"/>
        </w:rPr>
        <w:commentReference w:id="2"/>
      </w:r>
    </w:p>
    <w:p w14:paraId="65CD4C9F" w14:textId="77777777" w:rsidR="00BA2879" w:rsidRPr="00BA2879" w:rsidRDefault="00BA2879" w:rsidP="00BA2879">
      <w:pPr>
        <w:ind w:left="1080" w:hanging="1080"/>
        <w:jc w:val="both"/>
        <w:rPr>
          <w:rFonts w:ascii="Arial" w:hAnsi="Arial" w:cs="Arial"/>
          <w:bCs/>
          <w:i/>
          <w:iCs/>
        </w:rPr>
      </w:pPr>
      <w:proofErr w:type="spellStart"/>
      <w:r w:rsidRPr="00BA2879">
        <w:rPr>
          <w:rFonts w:ascii="Arial" w:hAnsi="Arial" w:cs="Arial"/>
          <w:bCs/>
        </w:rPr>
        <w:t>Afeti</w:t>
      </w:r>
      <w:proofErr w:type="spellEnd"/>
      <w:r w:rsidRPr="00BA2879">
        <w:rPr>
          <w:rFonts w:ascii="Arial" w:hAnsi="Arial" w:cs="Arial"/>
          <w:bCs/>
        </w:rPr>
        <w:t xml:space="preserve">, G., &amp; </w:t>
      </w:r>
      <w:proofErr w:type="spellStart"/>
      <w:r w:rsidRPr="00BA2879">
        <w:rPr>
          <w:rFonts w:ascii="Arial" w:hAnsi="Arial" w:cs="Arial"/>
          <w:bCs/>
        </w:rPr>
        <w:t>Adubra</w:t>
      </w:r>
      <w:proofErr w:type="spellEnd"/>
      <w:r w:rsidRPr="00BA2879">
        <w:rPr>
          <w:rFonts w:ascii="Arial" w:hAnsi="Arial" w:cs="Arial"/>
          <w:bCs/>
        </w:rPr>
        <w:t xml:space="preserve">, A. L. (2020). </w:t>
      </w:r>
      <w:r w:rsidRPr="00BA2879">
        <w:rPr>
          <w:rFonts w:ascii="Arial" w:hAnsi="Arial" w:cs="Arial"/>
          <w:bCs/>
          <w:i/>
          <w:iCs/>
        </w:rPr>
        <w:t>Reengineering TVET in Africa for the 21st century:</w:t>
      </w:r>
    </w:p>
    <w:p w14:paraId="10015BBD"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Towards improved relevance, quality, and impact</w:t>
      </w:r>
      <w:r w:rsidRPr="00BA2879">
        <w:rPr>
          <w:rFonts w:ascii="Arial" w:hAnsi="Arial" w:cs="Arial"/>
          <w:bCs/>
        </w:rPr>
        <w:t>. UNESCO-UNEVOC.</w:t>
      </w:r>
    </w:p>
    <w:p w14:paraId="1F290B53" w14:textId="77777777" w:rsidR="00BA2879" w:rsidRPr="00BA2879" w:rsidRDefault="00BA2879" w:rsidP="00BA2879">
      <w:pPr>
        <w:ind w:left="1080" w:hanging="1080"/>
        <w:jc w:val="both"/>
        <w:rPr>
          <w:rFonts w:ascii="Arial" w:hAnsi="Arial" w:cs="Arial"/>
          <w:bCs/>
        </w:rPr>
      </w:pPr>
      <w:r w:rsidRPr="00BA2879">
        <w:rPr>
          <w:rFonts w:ascii="Arial" w:hAnsi="Arial" w:cs="Arial"/>
          <w:bCs/>
        </w:rPr>
        <w:t xml:space="preserve">Ahmadu, M. (2021). Industry-academia collaboration for improved TVET delivery: A </w:t>
      </w:r>
    </w:p>
    <w:p w14:paraId="04A42255" w14:textId="77777777" w:rsidR="00BA2879" w:rsidRPr="00BA2879" w:rsidRDefault="00BA2879" w:rsidP="00BA2879">
      <w:pPr>
        <w:ind w:left="1080" w:hanging="360"/>
        <w:jc w:val="both"/>
        <w:rPr>
          <w:rFonts w:ascii="Arial" w:hAnsi="Arial" w:cs="Arial"/>
          <w:bCs/>
          <w:i/>
          <w:iCs/>
        </w:rPr>
      </w:pPr>
      <w:r w:rsidRPr="00BA2879">
        <w:rPr>
          <w:rFonts w:ascii="Arial" w:hAnsi="Arial" w:cs="Arial"/>
          <w:bCs/>
        </w:rPr>
        <w:t xml:space="preserve">case study of Eastern Polytechnic in Sierra Leone. </w:t>
      </w:r>
      <w:r w:rsidRPr="00BA2879">
        <w:rPr>
          <w:rFonts w:ascii="Arial" w:hAnsi="Arial" w:cs="Arial"/>
          <w:bCs/>
          <w:i/>
          <w:iCs/>
        </w:rPr>
        <w:t xml:space="preserve">African Journal of Vocational </w:t>
      </w:r>
    </w:p>
    <w:p w14:paraId="27C5CCAE"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Education</w:t>
      </w:r>
      <w:r w:rsidRPr="00BA2879">
        <w:rPr>
          <w:rFonts w:ascii="Arial" w:hAnsi="Arial" w:cs="Arial"/>
          <w:bCs/>
        </w:rPr>
        <w:t xml:space="preserve">, </w:t>
      </w:r>
      <w:r w:rsidRPr="00BA2879">
        <w:rPr>
          <w:rFonts w:ascii="Arial" w:hAnsi="Arial" w:cs="Arial"/>
          <w:bCs/>
          <w:i/>
          <w:iCs/>
        </w:rPr>
        <w:t>7</w:t>
      </w:r>
      <w:r w:rsidRPr="00BA2879">
        <w:rPr>
          <w:rFonts w:ascii="Arial" w:hAnsi="Arial" w:cs="Arial"/>
          <w:bCs/>
        </w:rPr>
        <w:t>(2), 45–57.</w:t>
      </w:r>
    </w:p>
    <w:p w14:paraId="6A49F2B8" w14:textId="77777777" w:rsidR="00BA2879" w:rsidRPr="00BA2879" w:rsidRDefault="00BA2879" w:rsidP="00BA2879">
      <w:pPr>
        <w:ind w:left="720" w:hanging="720"/>
        <w:jc w:val="both"/>
        <w:rPr>
          <w:rFonts w:ascii="Arial" w:hAnsi="Arial" w:cs="Arial"/>
        </w:rPr>
      </w:pPr>
      <w:r w:rsidRPr="0067563E">
        <w:rPr>
          <w:rFonts w:ascii="Arial" w:hAnsi="Arial" w:cs="Arial"/>
          <w:lang w:val="pl-PL"/>
        </w:rPr>
        <w:t xml:space="preserve">Akunda, T., Ouma, P., &amp; Wanjala, K. B. (2024). </w:t>
      </w:r>
      <w:r w:rsidRPr="00BA2879">
        <w:rPr>
          <w:rFonts w:ascii="Arial" w:hAnsi="Arial" w:cs="Arial"/>
        </w:rPr>
        <w:t>An Exploration of The Factors Affecting Skills Development Amongst Trainees of Building and Civil Engineering in Technical and Vocational Institutions in Uganda.</w:t>
      </w:r>
    </w:p>
    <w:p w14:paraId="31F16FEF" w14:textId="77777777" w:rsidR="00BA2879" w:rsidRPr="00BA2879" w:rsidRDefault="00BA2879" w:rsidP="00BA2879">
      <w:pPr>
        <w:pStyle w:val="Bibliography1"/>
        <w:spacing w:before="0" w:beforeAutospacing="0" w:after="0" w:line="240" w:lineRule="auto"/>
        <w:ind w:left="720" w:hanging="720"/>
        <w:jc w:val="both"/>
        <w:rPr>
          <w:rFonts w:ascii="Arial" w:hAnsi="Arial" w:cs="Arial"/>
          <w:sz w:val="20"/>
          <w:szCs w:val="20"/>
        </w:rPr>
      </w:pPr>
      <w:proofErr w:type="spellStart"/>
      <w:r w:rsidRPr="00BA2879">
        <w:rPr>
          <w:rFonts w:ascii="Arial" w:hAnsi="Arial" w:cs="Arial"/>
          <w:sz w:val="20"/>
          <w:szCs w:val="20"/>
        </w:rPr>
        <w:t>Asiyai</w:t>
      </w:r>
      <w:proofErr w:type="spellEnd"/>
      <w:r w:rsidRPr="00BA2879">
        <w:rPr>
          <w:rFonts w:ascii="Arial" w:hAnsi="Arial" w:cs="Arial"/>
          <w:sz w:val="20"/>
          <w:szCs w:val="20"/>
        </w:rPr>
        <w:t xml:space="preserve">, R. I. (2022). Best practices for quality assurance in higher education: implications for educational administration. </w:t>
      </w:r>
      <w:r w:rsidRPr="00BA2879">
        <w:rPr>
          <w:rFonts w:ascii="Arial" w:hAnsi="Arial" w:cs="Arial"/>
          <w:i/>
          <w:iCs/>
          <w:sz w:val="20"/>
          <w:szCs w:val="20"/>
        </w:rPr>
        <w:t>International Journal of Leadership in Education, 25</w:t>
      </w:r>
      <w:r w:rsidRPr="00BA2879">
        <w:rPr>
          <w:rFonts w:ascii="Arial" w:hAnsi="Arial" w:cs="Arial"/>
          <w:sz w:val="20"/>
          <w:szCs w:val="20"/>
        </w:rPr>
        <w:t>(5), 843-854. https://doi.org/10.1080/13603124.2019.1710569</w:t>
      </w:r>
    </w:p>
    <w:p w14:paraId="165FFDAB" w14:textId="77777777" w:rsidR="00BA2879" w:rsidRPr="00BA2879" w:rsidRDefault="00BA2879" w:rsidP="00BA2879">
      <w:pPr>
        <w:ind w:left="720" w:hanging="720"/>
        <w:jc w:val="both"/>
        <w:rPr>
          <w:rFonts w:ascii="Arial" w:hAnsi="Arial" w:cs="Arial"/>
        </w:rPr>
      </w:pPr>
      <w:r w:rsidRPr="00BA2879">
        <w:rPr>
          <w:rFonts w:ascii="Arial" w:hAnsi="Arial" w:cs="Arial"/>
          <w:color w:val="222222"/>
          <w:shd w:val="clear" w:color="auto" w:fill="FFFFFF"/>
        </w:rPr>
        <w:t>Bandura, A., &amp; Walters, R. H. (1977). </w:t>
      </w:r>
      <w:r w:rsidRPr="00BA2879">
        <w:rPr>
          <w:rFonts w:ascii="Arial" w:hAnsi="Arial" w:cs="Arial"/>
          <w:i/>
          <w:iCs/>
          <w:color w:val="222222"/>
          <w:shd w:val="clear" w:color="auto" w:fill="FFFFFF"/>
        </w:rPr>
        <w:t>Social learning theory</w:t>
      </w:r>
      <w:r w:rsidRPr="00BA2879">
        <w:rPr>
          <w:rFonts w:ascii="Arial" w:hAnsi="Arial" w:cs="Arial"/>
          <w:color w:val="222222"/>
          <w:shd w:val="clear" w:color="auto" w:fill="FFFFFF"/>
        </w:rPr>
        <w:t>,</w:t>
      </w:r>
      <w:r w:rsidRPr="00BA2879">
        <w:rPr>
          <w:rFonts w:ascii="Arial" w:hAnsi="Arial" w:cs="Arial"/>
          <w:i/>
          <w:iCs/>
          <w:color w:val="222222"/>
          <w:shd w:val="clear" w:color="auto" w:fill="FFFFFF"/>
        </w:rPr>
        <w:t>1</w:t>
      </w:r>
      <w:r w:rsidRPr="00BA2879">
        <w:rPr>
          <w:rFonts w:ascii="Arial" w:hAnsi="Arial" w:cs="Arial"/>
          <w:color w:val="222222"/>
          <w:shd w:val="clear" w:color="auto" w:fill="FFFFFF"/>
        </w:rPr>
        <w:t>,141-154. Englewood Cliffs, NJ: Prentice Hall.</w:t>
      </w:r>
    </w:p>
    <w:p w14:paraId="7B93346D" w14:textId="77777777" w:rsidR="00BA2879" w:rsidRPr="00BA2879" w:rsidRDefault="00BA2879" w:rsidP="00BA2879">
      <w:pPr>
        <w:ind w:left="720" w:hanging="720"/>
        <w:jc w:val="both"/>
        <w:rPr>
          <w:rFonts w:ascii="Arial" w:hAnsi="Arial" w:cs="Arial"/>
          <w:color w:val="222222"/>
          <w:shd w:val="clear" w:color="auto" w:fill="FFFFFF"/>
        </w:rPr>
      </w:pPr>
      <w:r w:rsidRPr="00BA2879">
        <w:rPr>
          <w:rFonts w:ascii="Arial" w:hAnsi="Arial" w:cs="Arial"/>
          <w:color w:val="222222"/>
          <w:shd w:val="clear" w:color="auto" w:fill="FFFFFF"/>
        </w:rPr>
        <w:t>Becker, G. S. (1964). Human capita. </w:t>
      </w:r>
      <w:r w:rsidRPr="00BA2879">
        <w:rPr>
          <w:rFonts w:ascii="Arial" w:hAnsi="Arial" w:cs="Arial"/>
          <w:i/>
          <w:iCs/>
          <w:color w:val="222222"/>
          <w:shd w:val="clear" w:color="auto" w:fill="FFFFFF"/>
        </w:rPr>
        <w:t>New York: National Bureau of Economic Research</w:t>
      </w:r>
      <w:r w:rsidRPr="00BA2879">
        <w:rPr>
          <w:rFonts w:ascii="Arial" w:hAnsi="Arial" w:cs="Arial"/>
          <w:color w:val="222222"/>
          <w:shd w:val="clear" w:color="auto" w:fill="FFFFFF"/>
        </w:rPr>
        <w:t>.</w:t>
      </w:r>
    </w:p>
    <w:p w14:paraId="594F3959" w14:textId="77777777" w:rsidR="00BA2879" w:rsidRPr="00BA2879" w:rsidRDefault="00BA2879" w:rsidP="00BA2879">
      <w:pPr>
        <w:ind w:left="1080" w:hanging="1080"/>
        <w:jc w:val="both"/>
        <w:rPr>
          <w:rFonts w:ascii="Arial" w:hAnsi="Arial" w:cs="Arial"/>
          <w:bCs/>
        </w:rPr>
      </w:pPr>
      <w:r w:rsidRPr="00BA2879">
        <w:rPr>
          <w:rFonts w:ascii="Arial" w:hAnsi="Arial" w:cs="Arial"/>
          <w:bCs/>
        </w:rPr>
        <w:t xml:space="preserve">Billet, S., Choy, S., &amp; Smith, R. (2018). Integrating industry experience in vocational </w:t>
      </w:r>
    </w:p>
    <w:p w14:paraId="4F57FFFF" w14:textId="77777777" w:rsidR="00BA2879" w:rsidRPr="00BA2879" w:rsidRDefault="00BA2879" w:rsidP="00BA2879">
      <w:pPr>
        <w:ind w:left="1080" w:hanging="360"/>
        <w:jc w:val="both"/>
        <w:rPr>
          <w:rFonts w:ascii="Arial" w:hAnsi="Arial" w:cs="Arial"/>
          <w:bCs/>
          <w:i/>
          <w:iCs/>
        </w:rPr>
      </w:pPr>
      <w:r w:rsidRPr="00BA2879">
        <w:rPr>
          <w:rFonts w:ascii="Arial" w:hAnsi="Arial" w:cs="Arial"/>
          <w:bCs/>
        </w:rPr>
        <w:lastRenderedPageBreak/>
        <w:t xml:space="preserve">education: Sustaining learning outcomes. </w:t>
      </w:r>
      <w:r w:rsidRPr="00BA2879">
        <w:rPr>
          <w:rFonts w:ascii="Arial" w:hAnsi="Arial" w:cs="Arial"/>
          <w:bCs/>
          <w:i/>
          <w:iCs/>
        </w:rPr>
        <w:t>International Journal of Training</w:t>
      </w:r>
    </w:p>
    <w:p w14:paraId="7E04AC5B"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Research</w:t>
      </w:r>
      <w:r w:rsidRPr="00BA2879">
        <w:rPr>
          <w:rFonts w:ascii="Arial" w:hAnsi="Arial" w:cs="Arial"/>
          <w:bCs/>
        </w:rPr>
        <w:t>, 16(3), 201–218.</w:t>
      </w:r>
    </w:p>
    <w:p w14:paraId="14550D48" w14:textId="77777777" w:rsidR="00BA2879" w:rsidRPr="00BA2879" w:rsidRDefault="00BA2879" w:rsidP="00BA2879">
      <w:pPr>
        <w:ind w:left="720" w:hanging="720"/>
        <w:jc w:val="both"/>
        <w:rPr>
          <w:rFonts w:ascii="Arial" w:eastAsia="SimSun" w:hAnsi="Arial" w:cs="Arial"/>
          <w:lang w:val="en-GB" w:eastAsia="en-GB"/>
        </w:rPr>
      </w:pPr>
      <w:proofErr w:type="spellStart"/>
      <w:r w:rsidRPr="00BA2879">
        <w:rPr>
          <w:rFonts w:ascii="Arial" w:eastAsia="SimSun" w:hAnsi="Arial" w:cs="Arial"/>
          <w:lang w:val="en-GB" w:eastAsia="en-GB"/>
        </w:rPr>
        <w:t>GoU</w:t>
      </w:r>
      <w:proofErr w:type="spellEnd"/>
      <w:r w:rsidRPr="00BA2879">
        <w:rPr>
          <w:rFonts w:ascii="Arial" w:eastAsia="SimSun" w:hAnsi="Arial" w:cs="Arial"/>
          <w:lang w:val="en-GB" w:eastAsia="en-GB"/>
        </w:rPr>
        <w:t xml:space="preserve">. (2013). </w:t>
      </w:r>
      <w:r w:rsidRPr="00BA2879">
        <w:rPr>
          <w:rFonts w:ascii="Arial" w:eastAsia="SimSun" w:hAnsi="Arial" w:cs="Arial"/>
          <w:i/>
          <w:iCs/>
          <w:lang w:val="en-GB" w:eastAsia="en-GB"/>
        </w:rPr>
        <w:t>Uganda Vision 2040.</w:t>
      </w:r>
      <w:r w:rsidRPr="00BA2879">
        <w:rPr>
          <w:rFonts w:ascii="Arial" w:eastAsia="SimSun" w:hAnsi="Arial" w:cs="Arial"/>
          <w:lang w:val="en-GB" w:eastAsia="en-GB"/>
        </w:rPr>
        <w:t xml:space="preserve"> </w:t>
      </w:r>
    </w:p>
    <w:p w14:paraId="1DEB3E21" w14:textId="77777777" w:rsidR="00BA2879" w:rsidRPr="00BA2879" w:rsidRDefault="00BA2879" w:rsidP="00BA2879">
      <w:pPr>
        <w:ind w:left="720" w:hanging="720"/>
        <w:jc w:val="both"/>
        <w:rPr>
          <w:rFonts w:ascii="Arial" w:eastAsia="SimSun" w:hAnsi="Arial" w:cs="Arial"/>
          <w:lang w:val="en-GB" w:eastAsia="en-GB"/>
        </w:rPr>
      </w:pPr>
      <w:proofErr w:type="spellStart"/>
      <w:r w:rsidRPr="00BA2879">
        <w:rPr>
          <w:rFonts w:ascii="Arial" w:eastAsia="SimSun" w:hAnsi="Arial" w:cs="Arial"/>
          <w:lang w:val="en-GB" w:eastAsia="en-GB"/>
        </w:rPr>
        <w:t>GoU</w:t>
      </w:r>
      <w:proofErr w:type="spellEnd"/>
      <w:r w:rsidRPr="00BA2879">
        <w:rPr>
          <w:rFonts w:ascii="Arial" w:eastAsia="SimSun" w:hAnsi="Arial" w:cs="Arial"/>
          <w:lang w:val="en-GB" w:eastAsia="en-GB"/>
        </w:rPr>
        <w:t xml:space="preserve">. (2019). </w:t>
      </w:r>
      <w:r w:rsidRPr="00BA2879">
        <w:rPr>
          <w:rFonts w:ascii="Arial" w:eastAsia="SimSun" w:hAnsi="Arial" w:cs="Arial"/>
          <w:i/>
          <w:iCs/>
          <w:lang w:val="en-GB" w:eastAsia="en-GB"/>
        </w:rPr>
        <w:t>The Technical Vocational Education and Training Policy</w:t>
      </w:r>
      <w:r w:rsidRPr="00BA2879">
        <w:rPr>
          <w:rFonts w:ascii="Arial" w:eastAsia="SimSun" w:hAnsi="Arial" w:cs="Arial"/>
          <w:lang w:val="en-GB" w:eastAsia="en-GB"/>
        </w:rPr>
        <w:t xml:space="preserve"> (1st ed.).</w:t>
      </w:r>
    </w:p>
    <w:p w14:paraId="64BB2997" w14:textId="77777777" w:rsidR="00BA2879" w:rsidRPr="00BA2879" w:rsidRDefault="00BA2879" w:rsidP="00BA2879">
      <w:pPr>
        <w:ind w:left="720" w:hanging="720"/>
        <w:jc w:val="both"/>
        <w:rPr>
          <w:rFonts w:ascii="Arial" w:eastAsia="SimSun" w:hAnsi="Arial" w:cs="Arial"/>
          <w:color w:val="000000" w:themeColor="text1"/>
          <w:lang w:val="en-GB" w:eastAsia="en-GB"/>
        </w:rPr>
      </w:pPr>
      <w:proofErr w:type="spellStart"/>
      <w:r w:rsidRPr="00BA2879">
        <w:rPr>
          <w:rFonts w:ascii="Arial" w:eastAsia="SimSun" w:hAnsi="Arial" w:cs="Arial"/>
          <w:lang w:val="en-GB" w:eastAsia="en-GB"/>
        </w:rPr>
        <w:t>GoU</w:t>
      </w:r>
      <w:proofErr w:type="spellEnd"/>
      <w:r w:rsidRPr="00BA2879">
        <w:rPr>
          <w:rFonts w:ascii="Arial" w:eastAsia="SimSun" w:hAnsi="Arial" w:cs="Arial"/>
          <w:lang w:val="en-GB" w:eastAsia="en-GB"/>
        </w:rPr>
        <w:t xml:space="preserve">. (2025). </w:t>
      </w:r>
      <w:r w:rsidRPr="00BA2879">
        <w:rPr>
          <w:rFonts w:ascii="Arial" w:eastAsia="SimSun" w:hAnsi="Arial" w:cs="Arial"/>
          <w:i/>
          <w:iCs/>
          <w:lang w:val="en-GB" w:eastAsia="en-GB"/>
        </w:rPr>
        <w:t>Fourth National Development Plan (NDP IV</w:t>
      </w:r>
      <w:r w:rsidRPr="00BA2879">
        <w:rPr>
          <w:rFonts w:ascii="Arial" w:eastAsia="SimSun" w:hAnsi="Arial" w:cs="Arial"/>
          <w:i/>
          <w:iCs/>
          <w:color w:val="000000" w:themeColor="text1"/>
          <w:lang w:val="en-GB" w:eastAsia="en-GB"/>
        </w:rPr>
        <w:t>) 2025/26- 2029/30.</w:t>
      </w:r>
      <w:r w:rsidRPr="00BA2879">
        <w:rPr>
          <w:rFonts w:ascii="Arial" w:eastAsia="SimSun" w:hAnsi="Arial" w:cs="Arial"/>
          <w:color w:val="000000" w:themeColor="text1"/>
          <w:lang w:val="en-GB" w:eastAsia="en-GB"/>
        </w:rPr>
        <w:t xml:space="preserve"> </w:t>
      </w:r>
    </w:p>
    <w:p w14:paraId="7B376922" w14:textId="77777777" w:rsidR="00BA2879" w:rsidRPr="00BA2879" w:rsidRDefault="00BA2879" w:rsidP="00BA2879">
      <w:pPr>
        <w:ind w:left="1080" w:hanging="1080"/>
        <w:jc w:val="both"/>
        <w:rPr>
          <w:rFonts w:ascii="Arial" w:hAnsi="Arial" w:cs="Arial"/>
          <w:bCs/>
          <w:i/>
          <w:iCs/>
        </w:rPr>
      </w:pPr>
      <w:r w:rsidRPr="00BA2879">
        <w:rPr>
          <w:rFonts w:ascii="Arial" w:hAnsi="Arial" w:cs="Arial"/>
          <w:bCs/>
        </w:rPr>
        <w:t xml:space="preserve">International </w:t>
      </w:r>
      <w:proofErr w:type="spellStart"/>
      <w:r w:rsidRPr="00BA2879">
        <w:rPr>
          <w:rFonts w:ascii="Arial" w:hAnsi="Arial" w:cs="Arial"/>
          <w:bCs/>
        </w:rPr>
        <w:t>Labour</w:t>
      </w:r>
      <w:proofErr w:type="spellEnd"/>
      <w:r w:rsidRPr="00BA2879">
        <w:rPr>
          <w:rFonts w:ascii="Arial" w:hAnsi="Arial" w:cs="Arial"/>
          <w:bCs/>
        </w:rPr>
        <w:t xml:space="preserve"> Organization (ILO). (2020). </w:t>
      </w:r>
      <w:r w:rsidRPr="00BA2879">
        <w:rPr>
          <w:rFonts w:ascii="Arial" w:hAnsi="Arial" w:cs="Arial"/>
          <w:bCs/>
          <w:i/>
          <w:iCs/>
        </w:rPr>
        <w:t>Skills for a resilient youth: TVET systems</w:t>
      </w:r>
    </w:p>
    <w:p w14:paraId="17C9310B" w14:textId="77777777" w:rsidR="00BA2879" w:rsidRPr="00BA2879" w:rsidRDefault="00BA2879" w:rsidP="00BA2879">
      <w:pPr>
        <w:ind w:left="1080" w:hanging="360"/>
        <w:jc w:val="both"/>
        <w:rPr>
          <w:rFonts w:ascii="Arial" w:hAnsi="Arial" w:cs="Arial"/>
          <w:bCs/>
          <w:i/>
          <w:iCs/>
        </w:rPr>
      </w:pPr>
      <w:r w:rsidRPr="00BA2879">
        <w:rPr>
          <w:rFonts w:ascii="Arial" w:hAnsi="Arial" w:cs="Arial"/>
          <w:bCs/>
          <w:i/>
          <w:iCs/>
        </w:rPr>
        <w:t xml:space="preserve">and </w:t>
      </w:r>
      <w:proofErr w:type="spellStart"/>
      <w:r w:rsidRPr="00BA2879">
        <w:rPr>
          <w:rFonts w:ascii="Arial" w:hAnsi="Arial" w:cs="Arial"/>
          <w:bCs/>
          <w:i/>
          <w:iCs/>
        </w:rPr>
        <w:t>labour</w:t>
      </w:r>
      <w:proofErr w:type="spellEnd"/>
      <w:r w:rsidRPr="00BA2879">
        <w:rPr>
          <w:rFonts w:ascii="Arial" w:hAnsi="Arial" w:cs="Arial"/>
          <w:bCs/>
          <w:i/>
          <w:iCs/>
        </w:rPr>
        <w:t xml:space="preserve"> market needs in Africa</w:t>
      </w:r>
      <w:r w:rsidRPr="00BA2879">
        <w:rPr>
          <w:rFonts w:ascii="Arial" w:hAnsi="Arial" w:cs="Arial"/>
          <w:bCs/>
        </w:rPr>
        <w:t>. ILO Publications.</w:t>
      </w:r>
    </w:p>
    <w:p w14:paraId="1C6B37DC" w14:textId="77777777" w:rsidR="00BA2879" w:rsidRPr="00BA2879" w:rsidRDefault="00BA2879" w:rsidP="00BA2879">
      <w:pPr>
        <w:ind w:left="1080" w:hanging="1080"/>
        <w:jc w:val="both"/>
        <w:rPr>
          <w:rFonts w:ascii="Arial" w:hAnsi="Arial" w:cs="Arial"/>
          <w:bCs/>
        </w:rPr>
      </w:pPr>
      <w:proofErr w:type="spellStart"/>
      <w:r w:rsidRPr="00BA2879">
        <w:rPr>
          <w:rFonts w:ascii="Arial" w:hAnsi="Arial" w:cs="Arial"/>
          <w:bCs/>
        </w:rPr>
        <w:t>Jahonga</w:t>
      </w:r>
      <w:proofErr w:type="spellEnd"/>
      <w:r w:rsidRPr="00BA2879">
        <w:rPr>
          <w:rFonts w:ascii="Arial" w:hAnsi="Arial" w:cs="Arial"/>
          <w:bCs/>
        </w:rPr>
        <w:t xml:space="preserve">, M., Mutiso, J., &amp; Otieno, B. (2022). Enhancing technical skills through industry </w:t>
      </w:r>
    </w:p>
    <w:p w14:paraId="584AA3A0" w14:textId="77777777" w:rsidR="00BA2879" w:rsidRPr="00BA2879" w:rsidRDefault="00BA2879" w:rsidP="00BA2879">
      <w:pPr>
        <w:ind w:left="1080" w:hanging="360"/>
        <w:jc w:val="both"/>
        <w:rPr>
          <w:rFonts w:ascii="Arial" w:hAnsi="Arial" w:cs="Arial"/>
          <w:bCs/>
          <w:i/>
          <w:iCs/>
        </w:rPr>
      </w:pPr>
      <w:r w:rsidRPr="00BA2879">
        <w:rPr>
          <w:rFonts w:ascii="Arial" w:hAnsi="Arial" w:cs="Arial"/>
          <w:bCs/>
        </w:rPr>
        <w:t xml:space="preserve">collaboration: A case of electrical and electronics engineering in Kenya. </w:t>
      </w:r>
      <w:r w:rsidRPr="00BA2879">
        <w:rPr>
          <w:rFonts w:ascii="Arial" w:hAnsi="Arial" w:cs="Arial"/>
          <w:bCs/>
          <w:i/>
          <w:iCs/>
        </w:rPr>
        <w:t>TVET</w:t>
      </w:r>
    </w:p>
    <w:p w14:paraId="42740D83" w14:textId="77777777" w:rsidR="00BA2879" w:rsidRPr="00BA2879" w:rsidRDefault="00BA2879" w:rsidP="00BA2879">
      <w:pPr>
        <w:ind w:left="1080" w:hanging="360"/>
        <w:jc w:val="both"/>
        <w:rPr>
          <w:rFonts w:ascii="Arial" w:hAnsi="Arial" w:cs="Arial"/>
          <w:bCs/>
          <w:i/>
          <w:iCs/>
        </w:rPr>
      </w:pPr>
      <w:r w:rsidRPr="00BA2879">
        <w:rPr>
          <w:rFonts w:ascii="Arial" w:hAnsi="Arial" w:cs="Arial"/>
          <w:bCs/>
          <w:i/>
          <w:iCs/>
        </w:rPr>
        <w:t>Africa Research Journal</w:t>
      </w:r>
      <w:r w:rsidRPr="00BA2879">
        <w:rPr>
          <w:rFonts w:ascii="Arial" w:hAnsi="Arial" w:cs="Arial"/>
          <w:bCs/>
        </w:rPr>
        <w:t xml:space="preserve">, </w:t>
      </w:r>
      <w:r w:rsidRPr="00BA2879">
        <w:rPr>
          <w:rFonts w:ascii="Arial" w:hAnsi="Arial" w:cs="Arial"/>
          <w:bCs/>
          <w:i/>
          <w:iCs/>
        </w:rPr>
        <w:t>4</w:t>
      </w:r>
      <w:r w:rsidRPr="00BA2879">
        <w:rPr>
          <w:rFonts w:ascii="Arial" w:hAnsi="Arial" w:cs="Arial"/>
          <w:bCs/>
        </w:rPr>
        <w:t>(1), 23–36.</w:t>
      </w:r>
    </w:p>
    <w:p w14:paraId="79373301" w14:textId="77777777" w:rsidR="00BA2879" w:rsidRPr="00BA2879" w:rsidRDefault="00BA2879" w:rsidP="00BA2879">
      <w:pPr>
        <w:ind w:left="720" w:hanging="720"/>
        <w:jc w:val="both"/>
        <w:rPr>
          <w:rFonts w:ascii="Arial" w:hAnsi="Arial" w:cs="Arial"/>
        </w:rPr>
      </w:pPr>
      <w:r w:rsidRPr="00BA2879">
        <w:rPr>
          <w:rFonts w:ascii="Arial" w:hAnsi="Arial" w:cs="Arial"/>
        </w:rPr>
        <w:t>Kobugabe, R. L. (2024). Skill gap and employability of higher education graduates in Uganda.</w:t>
      </w:r>
    </w:p>
    <w:p w14:paraId="55AC9417" w14:textId="77777777" w:rsidR="00BA2879" w:rsidRPr="00BA2879" w:rsidRDefault="00BA2879" w:rsidP="00BA2879">
      <w:pPr>
        <w:ind w:left="720" w:hanging="720"/>
        <w:jc w:val="both"/>
        <w:rPr>
          <w:rFonts w:ascii="Arial" w:hAnsi="Arial" w:cs="Arial"/>
        </w:rPr>
      </w:pPr>
      <w:r w:rsidRPr="00BA2879">
        <w:rPr>
          <w:rFonts w:ascii="Arial" w:hAnsi="Arial" w:cs="Arial"/>
          <w:color w:val="222222"/>
          <w:shd w:val="clear" w:color="auto" w:fill="FFFFFF"/>
        </w:rPr>
        <w:t>Kolb, D. A. (1984). </w:t>
      </w:r>
      <w:r w:rsidRPr="00BA2879">
        <w:rPr>
          <w:rFonts w:ascii="Arial" w:hAnsi="Arial" w:cs="Arial"/>
          <w:i/>
          <w:iCs/>
          <w:color w:val="222222"/>
          <w:shd w:val="clear" w:color="auto" w:fill="FFFFFF"/>
        </w:rPr>
        <w:t>Experiential learning: Experience as the source of learning and development</w:t>
      </w:r>
      <w:r w:rsidRPr="00BA2879">
        <w:rPr>
          <w:rFonts w:ascii="Arial" w:hAnsi="Arial" w:cs="Arial"/>
          <w:color w:val="222222"/>
          <w:shd w:val="clear" w:color="auto" w:fill="FFFFFF"/>
        </w:rPr>
        <w:t>. Prentice – Hall, Inc. Englewood Cliffs, NJ.</w:t>
      </w:r>
      <w:r w:rsidRPr="00BA2879">
        <w:rPr>
          <w:rFonts w:ascii="Arial" w:hAnsi="Arial" w:cs="Arial"/>
        </w:rPr>
        <w:t xml:space="preserve"> </w:t>
      </w:r>
    </w:p>
    <w:p w14:paraId="58BA1164" w14:textId="77777777" w:rsidR="00BA2879" w:rsidRPr="00BA2879" w:rsidRDefault="00BA2879" w:rsidP="00BA2879">
      <w:pPr>
        <w:ind w:left="1080" w:hanging="1080"/>
        <w:jc w:val="both"/>
        <w:rPr>
          <w:rFonts w:ascii="Arial" w:hAnsi="Arial" w:cs="Arial"/>
          <w:bCs/>
        </w:rPr>
      </w:pPr>
      <w:r w:rsidRPr="00BA2879">
        <w:rPr>
          <w:rFonts w:ascii="Arial" w:hAnsi="Arial" w:cs="Arial"/>
          <w:bCs/>
        </w:rPr>
        <w:t xml:space="preserve">Maclean, R., &amp; Wilson, D. (2019). Skills development and TVET in developing countries. </w:t>
      </w:r>
    </w:p>
    <w:p w14:paraId="753A1DC4"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International Handbook of Education for the Changing World of Work</w:t>
      </w:r>
      <w:r w:rsidRPr="00BA2879">
        <w:rPr>
          <w:rFonts w:ascii="Arial" w:hAnsi="Arial" w:cs="Arial"/>
          <w:bCs/>
        </w:rPr>
        <w:t>, 1097–1112.</w:t>
      </w:r>
    </w:p>
    <w:p w14:paraId="5194CC62" w14:textId="77777777" w:rsidR="00BA2879" w:rsidRPr="00BA2879" w:rsidRDefault="00BA2879" w:rsidP="00BA2879">
      <w:pPr>
        <w:ind w:left="1080" w:hanging="1080"/>
        <w:jc w:val="both"/>
        <w:rPr>
          <w:rFonts w:ascii="Arial" w:hAnsi="Arial" w:cs="Arial"/>
          <w:bCs/>
          <w:i/>
          <w:iCs/>
        </w:rPr>
      </w:pPr>
      <w:r w:rsidRPr="00BA2879">
        <w:rPr>
          <w:rFonts w:ascii="Arial" w:hAnsi="Arial" w:cs="Arial"/>
          <w:bCs/>
        </w:rPr>
        <w:t>Ministry of Education and Sports (</w:t>
      </w:r>
      <w:proofErr w:type="spellStart"/>
      <w:r w:rsidRPr="00BA2879">
        <w:rPr>
          <w:rFonts w:ascii="Arial" w:hAnsi="Arial" w:cs="Arial"/>
          <w:bCs/>
        </w:rPr>
        <w:t>MoES</w:t>
      </w:r>
      <w:proofErr w:type="spellEnd"/>
      <w:r w:rsidRPr="00BA2879">
        <w:rPr>
          <w:rFonts w:ascii="Arial" w:hAnsi="Arial" w:cs="Arial"/>
          <w:bCs/>
        </w:rPr>
        <w:t xml:space="preserve">). (2022). </w:t>
      </w:r>
      <w:r w:rsidRPr="00BA2879">
        <w:rPr>
          <w:rFonts w:ascii="Arial" w:hAnsi="Arial" w:cs="Arial"/>
          <w:bCs/>
          <w:i/>
          <w:iCs/>
        </w:rPr>
        <w:t xml:space="preserve">TVET progress report: Institutional </w:t>
      </w:r>
    </w:p>
    <w:p w14:paraId="54719FE5"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partnerships and placements</w:t>
      </w:r>
      <w:r w:rsidRPr="00BA2879">
        <w:rPr>
          <w:rFonts w:ascii="Arial" w:hAnsi="Arial" w:cs="Arial"/>
          <w:bCs/>
        </w:rPr>
        <w:t>. Government of Uganda.</w:t>
      </w:r>
    </w:p>
    <w:p w14:paraId="260FFB4B" w14:textId="77777777" w:rsidR="00BA2879" w:rsidRPr="00BA2879" w:rsidRDefault="00BA2879" w:rsidP="00BA2879">
      <w:pPr>
        <w:pStyle w:val="Bibliography1"/>
        <w:spacing w:before="0" w:beforeAutospacing="0" w:after="0" w:line="240" w:lineRule="auto"/>
        <w:ind w:left="720" w:hanging="720"/>
        <w:jc w:val="both"/>
        <w:rPr>
          <w:rFonts w:ascii="Arial" w:hAnsi="Arial" w:cs="Arial"/>
          <w:sz w:val="20"/>
          <w:szCs w:val="20"/>
        </w:rPr>
      </w:pPr>
      <w:r w:rsidRPr="00BA2879">
        <w:rPr>
          <w:rFonts w:ascii="Arial" w:hAnsi="Arial" w:cs="Arial"/>
          <w:sz w:val="20"/>
          <w:szCs w:val="20"/>
        </w:rPr>
        <w:t>Mohamed, I. (2023). Employer Engagement in Technical Vocational Training and Education Curriculum Development in Sudan. Doi: 10.13140/RG.2.2.26363.22561/1</w:t>
      </w:r>
    </w:p>
    <w:p w14:paraId="4E2843B0" w14:textId="77777777" w:rsidR="00BA2879" w:rsidRPr="00BA2879" w:rsidRDefault="00BA2879" w:rsidP="00BA2879">
      <w:pPr>
        <w:pStyle w:val="Bibliography1"/>
        <w:spacing w:before="0" w:beforeAutospacing="0" w:after="0" w:line="240" w:lineRule="auto"/>
        <w:ind w:left="720" w:hanging="720"/>
        <w:jc w:val="both"/>
        <w:rPr>
          <w:rFonts w:ascii="Arial" w:hAnsi="Arial" w:cs="Arial"/>
          <w:sz w:val="20"/>
          <w:szCs w:val="20"/>
        </w:rPr>
      </w:pPr>
      <w:r w:rsidRPr="00BA2879">
        <w:rPr>
          <w:rFonts w:ascii="Arial" w:hAnsi="Arial" w:cs="Arial"/>
          <w:sz w:val="20"/>
          <w:szCs w:val="20"/>
        </w:rPr>
        <w:t xml:space="preserve">Mutebi, R. &amp; Ferej, A. (2023). A Review of TVET Quality Assurance Practice in Uganda. </w:t>
      </w:r>
      <w:r w:rsidRPr="00BA2879">
        <w:rPr>
          <w:rFonts w:ascii="Arial" w:hAnsi="Arial" w:cs="Arial"/>
          <w:i/>
          <w:iCs/>
          <w:sz w:val="20"/>
          <w:szCs w:val="20"/>
        </w:rPr>
        <w:t>East African Journal of Interdisciplinary Studies, 6</w:t>
      </w:r>
      <w:r w:rsidRPr="00BA2879">
        <w:rPr>
          <w:rFonts w:ascii="Arial" w:hAnsi="Arial" w:cs="Arial"/>
          <w:sz w:val="20"/>
          <w:szCs w:val="20"/>
        </w:rPr>
        <w:t>(1). doi:182-196</w:t>
      </w:r>
    </w:p>
    <w:p w14:paraId="79B98FCD" w14:textId="77777777" w:rsidR="00BA2879" w:rsidRPr="00BA2879" w:rsidRDefault="00BA2879" w:rsidP="00BA2879">
      <w:pPr>
        <w:ind w:left="1080" w:hanging="1080"/>
        <w:jc w:val="both"/>
        <w:rPr>
          <w:rFonts w:ascii="Arial" w:hAnsi="Arial" w:cs="Arial"/>
          <w:bCs/>
        </w:rPr>
      </w:pPr>
      <w:r w:rsidRPr="00BA2879">
        <w:rPr>
          <w:rFonts w:ascii="Arial" w:hAnsi="Arial" w:cs="Arial"/>
          <w:bCs/>
        </w:rPr>
        <w:t>Namatovu, R., Tusiime, I., &amp; Mugisha, B. (2023). Linking training with practice: Employer</w:t>
      </w:r>
    </w:p>
    <w:p w14:paraId="5ECE95A5" w14:textId="77777777" w:rsidR="00BA2879" w:rsidRPr="00BA2879" w:rsidRDefault="00BA2879" w:rsidP="00BA2879">
      <w:pPr>
        <w:ind w:left="1080" w:hanging="360"/>
        <w:jc w:val="both"/>
        <w:rPr>
          <w:rFonts w:ascii="Arial" w:hAnsi="Arial" w:cs="Arial"/>
          <w:bCs/>
          <w:i/>
          <w:iCs/>
        </w:rPr>
      </w:pPr>
      <w:r w:rsidRPr="00BA2879">
        <w:rPr>
          <w:rFonts w:ascii="Arial" w:hAnsi="Arial" w:cs="Arial"/>
          <w:bCs/>
        </w:rPr>
        <w:t xml:space="preserve">engagement and curriculum reform in Uganda’s TVET sector. </w:t>
      </w:r>
      <w:r w:rsidRPr="00BA2879">
        <w:rPr>
          <w:rFonts w:ascii="Arial" w:hAnsi="Arial" w:cs="Arial"/>
          <w:bCs/>
          <w:i/>
          <w:iCs/>
        </w:rPr>
        <w:t>East African Journal</w:t>
      </w:r>
    </w:p>
    <w:p w14:paraId="364FC39E" w14:textId="77777777" w:rsidR="00BA2879" w:rsidRPr="00BA2879" w:rsidRDefault="00BA2879" w:rsidP="00BA2879">
      <w:pPr>
        <w:ind w:left="1080" w:hanging="360"/>
        <w:jc w:val="both"/>
        <w:rPr>
          <w:rFonts w:ascii="Arial" w:hAnsi="Arial" w:cs="Arial"/>
          <w:bCs/>
          <w:i/>
          <w:iCs/>
        </w:rPr>
      </w:pPr>
      <w:r w:rsidRPr="00BA2879">
        <w:rPr>
          <w:rFonts w:ascii="Arial" w:hAnsi="Arial" w:cs="Arial"/>
          <w:bCs/>
          <w:i/>
          <w:iCs/>
        </w:rPr>
        <w:t>of Education &amp; Social Sciences</w:t>
      </w:r>
      <w:r w:rsidRPr="00BA2879">
        <w:rPr>
          <w:rFonts w:ascii="Arial" w:hAnsi="Arial" w:cs="Arial"/>
          <w:bCs/>
        </w:rPr>
        <w:t xml:space="preserve">, </w:t>
      </w:r>
      <w:r w:rsidRPr="00BA2879">
        <w:rPr>
          <w:rFonts w:ascii="Arial" w:hAnsi="Arial" w:cs="Arial"/>
          <w:bCs/>
          <w:i/>
          <w:iCs/>
        </w:rPr>
        <w:t>4</w:t>
      </w:r>
      <w:r w:rsidRPr="00BA2879">
        <w:rPr>
          <w:rFonts w:ascii="Arial" w:hAnsi="Arial" w:cs="Arial"/>
          <w:bCs/>
        </w:rPr>
        <w:t>(1), 61–73.</w:t>
      </w:r>
    </w:p>
    <w:p w14:paraId="2D1054B9" w14:textId="77777777" w:rsidR="00BA2879" w:rsidRPr="00BA2879" w:rsidRDefault="00BA2879" w:rsidP="00BA2879">
      <w:pPr>
        <w:pStyle w:val="Bibliography1"/>
        <w:spacing w:before="0" w:beforeAutospacing="0" w:after="0" w:line="240" w:lineRule="auto"/>
        <w:ind w:left="720" w:hanging="720"/>
        <w:jc w:val="both"/>
        <w:rPr>
          <w:rFonts w:ascii="Arial" w:hAnsi="Arial" w:cs="Arial"/>
          <w:sz w:val="20"/>
          <w:szCs w:val="20"/>
        </w:rPr>
      </w:pPr>
      <w:r w:rsidRPr="00BA2879">
        <w:rPr>
          <w:rFonts w:ascii="Arial" w:hAnsi="Arial" w:cs="Arial"/>
          <w:sz w:val="20"/>
          <w:szCs w:val="20"/>
        </w:rPr>
        <w:t xml:space="preserve">Odjo, C. Z., </w:t>
      </w:r>
      <w:proofErr w:type="spellStart"/>
      <w:r w:rsidRPr="00BA2879">
        <w:rPr>
          <w:rFonts w:ascii="Arial" w:hAnsi="Arial" w:cs="Arial"/>
          <w:sz w:val="20"/>
          <w:szCs w:val="20"/>
        </w:rPr>
        <w:t>Kaoti</w:t>
      </w:r>
      <w:proofErr w:type="spellEnd"/>
      <w:r w:rsidRPr="00BA2879">
        <w:rPr>
          <w:rFonts w:ascii="Arial" w:hAnsi="Arial" w:cs="Arial"/>
          <w:sz w:val="20"/>
          <w:szCs w:val="20"/>
        </w:rPr>
        <w:t xml:space="preserve">, C., &amp; </w:t>
      </w:r>
      <w:proofErr w:type="spellStart"/>
      <w:r w:rsidRPr="00BA2879">
        <w:rPr>
          <w:rFonts w:ascii="Arial" w:hAnsi="Arial" w:cs="Arial"/>
          <w:sz w:val="20"/>
          <w:szCs w:val="20"/>
        </w:rPr>
        <w:t>Ayewusi</w:t>
      </w:r>
      <w:proofErr w:type="spellEnd"/>
      <w:r w:rsidRPr="00BA2879">
        <w:rPr>
          <w:rFonts w:ascii="Arial" w:hAnsi="Arial" w:cs="Arial"/>
          <w:sz w:val="20"/>
          <w:szCs w:val="20"/>
        </w:rPr>
        <w:t xml:space="preserve">, O.A. (2024). Quality Assurance in West African TVET Institutions: A Brief Literature Review. </w:t>
      </w:r>
      <w:r w:rsidRPr="00BA2879">
        <w:rPr>
          <w:rFonts w:ascii="Arial" w:hAnsi="Arial" w:cs="Arial"/>
          <w:i/>
          <w:iCs/>
          <w:sz w:val="20"/>
          <w:szCs w:val="20"/>
        </w:rPr>
        <w:t>Journal of Technical and Vocational Education and Training, 18</w:t>
      </w:r>
      <w:r w:rsidRPr="00BA2879">
        <w:rPr>
          <w:rFonts w:ascii="Arial" w:hAnsi="Arial" w:cs="Arial"/>
          <w:sz w:val="20"/>
          <w:szCs w:val="20"/>
        </w:rPr>
        <w:t xml:space="preserve">(1), 38-55. </w:t>
      </w:r>
      <w:hyperlink r:id="rId12" w:history="1">
        <w:r w:rsidRPr="00BA2879">
          <w:rPr>
            <w:rStyle w:val="Hyperlink"/>
            <w:rFonts w:ascii="Arial" w:hAnsi="Arial" w:cs="Arial"/>
            <w:sz w:val="20"/>
            <w:szCs w:val="20"/>
          </w:rPr>
          <w:t>https://doi.org/10.3126/tvet.v18i1.62741</w:t>
        </w:r>
      </w:hyperlink>
    </w:p>
    <w:p w14:paraId="668F0C41" w14:textId="77777777" w:rsidR="00BA2879" w:rsidRPr="00BA2879" w:rsidRDefault="00BA2879" w:rsidP="00BA2879">
      <w:pPr>
        <w:ind w:left="1080" w:hanging="1080"/>
        <w:jc w:val="both"/>
        <w:rPr>
          <w:rFonts w:ascii="Arial" w:hAnsi="Arial" w:cs="Arial"/>
          <w:bCs/>
        </w:rPr>
      </w:pPr>
      <w:r w:rsidRPr="00BA2879">
        <w:rPr>
          <w:rFonts w:ascii="Arial" w:hAnsi="Arial" w:cs="Arial"/>
          <w:bCs/>
        </w:rPr>
        <w:t xml:space="preserve">OECD. (2019). </w:t>
      </w:r>
      <w:r w:rsidRPr="00BA2879">
        <w:rPr>
          <w:rFonts w:ascii="Arial" w:hAnsi="Arial" w:cs="Arial"/>
          <w:bCs/>
          <w:i/>
          <w:iCs/>
        </w:rPr>
        <w:t>The future of education and skills: OECD education 2030 framework</w:t>
      </w:r>
      <w:r w:rsidRPr="00BA2879">
        <w:rPr>
          <w:rFonts w:ascii="Arial" w:hAnsi="Arial" w:cs="Arial"/>
          <w:bCs/>
        </w:rPr>
        <w:t>.</w:t>
      </w:r>
    </w:p>
    <w:p w14:paraId="18D60BA8" w14:textId="77777777" w:rsidR="00BA2879" w:rsidRPr="00BA2879" w:rsidRDefault="00BA2879" w:rsidP="00BA2879">
      <w:pPr>
        <w:ind w:left="1080" w:hanging="1080"/>
        <w:jc w:val="both"/>
        <w:rPr>
          <w:rFonts w:ascii="Arial" w:hAnsi="Arial" w:cs="Arial"/>
          <w:bCs/>
        </w:rPr>
      </w:pPr>
      <w:r w:rsidRPr="00BA2879">
        <w:rPr>
          <w:rFonts w:ascii="Arial" w:hAnsi="Arial" w:cs="Arial"/>
          <w:bCs/>
        </w:rPr>
        <w:tab/>
        <w:t xml:space="preserve">OECD Publishing. </w:t>
      </w:r>
      <w:hyperlink r:id="rId13" w:history="1">
        <w:r w:rsidRPr="00BA2879">
          <w:rPr>
            <w:rStyle w:val="Hyperlink"/>
            <w:rFonts w:ascii="Arial" w:hAnsi="Arial" w:cs="Arial"/>
            <w:bCs/>
          </w:rPr>
          <w:t>https://www.oecd.org/education/2030</w:t>
        </w:r>
      </w:hyperlink>
    </w:p>
    <w:p w14:paraId="6689F10A" w14:textId="77777777" w:rsidR="00BA2879" w:rsidRPr="00BA2879" w:rsidRDefault="00BA2879" w:rsidP="00BA2879">
      <w:pPr>
        <w:ind w:left="720" w:hanging="720"/>
        <w:jc w:val="both"/>
        <w:rPr>
          <w:rFonts w:ascii="Arial" w:eastAsia="SimSun" w:hAnsi="Arial" w:cs="Arial"/>
          <w:lang w:val="en-GB" w:eastAsia="en-GB"/>
        </w:rPr>
      </w:pPr>
      <w:r w:rsidRPr="00BA2879">
        <w:rPr>
          <w:rFonts w:ascii="Arial" w:eastAsia="SimSun" w:hAnsi="Arial" w:cs="Arial"/>
          <w:lang w:val="en-GB" w:eastAsia="en-GB"/>
        </w:rPr>
        <w:t xml:space="preserve">OECD. (2021). </w:t>
      </w:r>
      <w:r w:rsidRPr="00BA2879">
        <w:rPr>
          <w:rFonts w:ascii="Arial" w:eastAsia="SimSun" w:hAnsi="Arial" w:cs="Arial"/>
          <w:i/>
          <w:iCs/>
          <w:lang w:val="en-GB" w:eastAsia="en-GB"/>
        </w:rPr>
        <w:t>Digital Transformation for Youth Employment and Agenda 2063 in East Africa.</w:t>
      </w:r>
      <w:r w:rsidRPr="00BA2879">
        <w:rPr>
          <w:rFonts w:ascii="Arial" w:eastAsia="SimSun" w:hAnsi="Arial" w:cs="Arial"/>
          <w:lang w:val="en-GB" w:eastAsia="en-GB"/>
        </w:rPr>
        <w:t xml:space="preserve"> https://www.google.co.ug/books/edition/Africa_s_Development_Dynamics_2021_Digit/RwcWEAAAQBAJ?hl=en&amp;gbpv=1&amp;dq=uganda+%2B+TVET&amp;pg=PA178&amp;printsec=frontcover</w:t>
      </w:r>
    </w:p>
    <w:p w14:paraId="54F0F1A3" w14:textId="77777777" w:rsidR="00BA2879" w:rsidRPr="00BA2879" w:rsidRDefault="00BA2879" w:rsidP="00BA2879">
      <w:pPr>
        <w:ind w:left="1080" w:hanging="1080"/>
        <w:jc w:val="both"/>
        <w:rPr>
          <w:rFonts w:ascii="Arial" w:hAnsi="Arial" w:cs="Arial"/>
          <w:bCs/>
        </w:rPr>
      </w:pPr>
      <w:r w:rsidRPr="00BA2879">
        <w:rPr>
          <w:rFonts w:ascii="Arial" w:hAnsi="Arial" w:cs="Arial"/>
          <w:bCs/>
        </w:rPr>
        <w:t>Pilz, M., Berger, S., &amp; Canning, R. (2020). Vocational education and training in sub-</w:t>
      </w:r>
    </w:p>
    <w:p w14:paraId="3A72CE5C" w14:textId="77777777" w:rsidR="00BA2879" w:rsidRPr="00BA2879" w:rsidRDefault="00BA2879" w:rsidP="00BA2879">
      <w:pPr>
        <w:ind w:left="1080" w:hanging="360"/>
        <w:jc w:val="both"/>
        <w:rPr>
          <w:rFonts w:ascii="Arial" w:hAnsi="Arial" w:cs="Arial"/>
          <w:bCs/>
          <w:i/>
          <w:iCs/>
        </w:rPr>
      </w:pPr>
      <w:r w:rsidRPr="00BA2879">
        <w:rPr>
          <w:rFonts w:ascii="Arial" w:hAnsi="Arial" w:cs="Arial"/>
          <w:bCs/>
        </w:rPr>
        <w:t xml:space="preserve">Saharan Africa: Current situation and future prospects. </w:t>
      </w:r>
      <w:r w:rsidRPr="00BA2879">
        <w:rPr>
          <w:rFonts w:ascii="Arial" w:hAnsi="Arial" w:cs="Arial"/>
          <w:bCs/>
          <w:i/>
          <w:iCs/>
        </w:rPr>
        <w:t xml:space="preserve">International Journal of </w:t>
      </w:r>
    </w:p>
    <w:p w14:paraId="61637896" w14:textId="77777777" w:rsidR="00BA2879" w:rsidRPr="00BA2879" w:rsidRDefault="00BA2879" w:rsidP="00BA2879">
      <w:pPr>
        <w:ind w:left="1080" w:hanging="360"/>
        <w:jc w:val="both"/>
        <w:rPr>
          <w:rFonts w:ascii="Arial" w:hAnsi="Arial" w:cs="Arial"/>
          <w:bCs/>
        </w:rPr>
      </w:pPr>
      <w:r w:rsidRPr="00BA2879">
        <w:rPr>
          <w:rFonts w:ascii="Arial" w:hAnsi="Arial" w:cs="Arial"/>
          <w:bCs/>
          <w:i/>
          <w:iCs/>
        </w:rPr>
        <w:t>Training Research</w:t>
      </w:r>
      <w:r w:rsidRPr="00BA2879">
        <w:rPr>
          <w:rFonts w:ascii="Arial" w:hAnsi="Arial" w:cs="Arial"/>
          <w:bCs/>
        </w:rPr>
        <w:t xml:space="preserve">, </w:t>
      </w:r>
      <w:r w:rsidRPr="00BA2879">
        <w:rPr>
          <w:rFonts w:ascii="Arial" w:hAnsi="Arial" w:cs="Arial"/>
          <w:bCs/>
          <w:i/>
          <w:iCs/>
        </w:rPr>
        <w:t>18</w:t>
      </w:r>
      <w:r w:rsidRPr="00BA2879">
        <w:rPr>
          <w:rFonts w:ascii="Arial" w:hAnsi="Arial" w:cs="Arial"/>
          <w:bCs/>
        </w:rPr>
        <w:t>(3), 225–243.</w:t>
      </w:r>
    </w:p>
    <w:p w14:paraId="4015F22D" w14:textId="77777777" w:rsidR="00BA2879" w:rsidRPr="00BA2879" w:rsidRDefault="00BA2879" w:rsidP="00BA2879">
      <w:pPr>
        <w:jc w:val="both"/>
        <w:rPr>
          <w:rFonts w:ascii="Arial" w:eastAsia="SimSun" w:hAnsi="Arial" w:cs="Arial"/>
          <w:lang w:val="en-GB" w:eastAsia="en-GB"/>
        </w:rPr>
      </w:pPr>
      <w:r w:rsidRPr="00BA2879">
        <w:rPr>
          <w:rFonts w:ascii="Arial" w:eastAsia="SimSun" w:hAnsi="Arial" w:cs="Arial"/>
          <w:lang w:val="en-GB" w:eastAsia="en-GB"/>
        </w:rPr>
        <w:t xml:space="preserve">Sohail, S., &amp; Salter, G. (2022). PRAGMATISM AS A TEACHING APPROACH FOR </w:t>
      </w:r>
    </w:p>
    <w:p w14:paraId="24F88077" w14:textId="77777777" w:rsidR="00BA2879" w:rsidRPr="00BA2879" w:rsidRDefault="00BA2879" w:rsidP="00BA2879">
      <w:pPr>
        <w:ind w:left="720"/>
        <w:jc w:val="both"/>
        <w:rPr>
          <w:rFonts w:ascii="Arial" w:eastAsia="SimSun" w:hAnsi="Arial" w:cs="Arial"/>
          <w:lang w:val="en-GB" w:eastAsia="en-GB"/>
        </w:rPr>
      </w:pPr>
      <w:r w:rsidRPr="00BA2879">
        <w:rPr>
          <w:rFonts w:ascii="Arial" w:eastAsia="SimSun" w:hAnsi="Arial" w:cs="Arial"/>
          <w:lang w:val="en-GB" w:eastAsia="en-GB"/>
        </w:rPr>
        <w:t>ENGAGING STUDENTS IN COMPUTING EDUCATION. In ICERI2022 Proceedings (4270-4273). IATED.</w:t>
      </w:r>
    </w:p>
    <w:p w14:paraId="6C652015" w14:textId="0DF8EDE0" w:rsidR="00BA2879" w:rsidRPr="00BA2879" w:rsidRDefault="00BA2879" w:rsidP="00BA2879">
      <w:pPr>
        <w:jc w:val="both"/>
        <w:rPr>
          <w:rFonts w:ascii="Arial" w:eastAsiaTheme="minorHAnsi" w:hAnsi="Arial" w:cs="Arial"/>
          <w:color w:val="222222"/>
          <w:shd w:val="clear" w:color="auto" w:fill="FFFFFF"/>
        </w:rPr>
      </w:pPr>
      <w:proofErr w:type="spellStart"/>
      <w:r w:rsidRPr="00BA2879">
        <w:rPr>
          <w:rFonts w:ascii="Arial" w:hAnsi="Arial" w:cs="Arial"/>
          <w:color w:val="222222"/>
          <w:shd w:val="clear" w:color="auto" w:fill="FFFFFF"/>
        </w:rPr>
        <w:t>Tripney</w:t>
      </w:r>
      <w:proofErr w:type="spellEnd"/>
      <w:r w:rsidRPr="00BA2879">
        <w:rPr>
          <w:rFonts w:ascii="Arial" w:hAnsi="Arial" w:cs="Arial"/>
          <w:color w:val="222222"/>
          <w:shd w:val="clear" w:color="auto" w:fill="FFFFFF"/>
        </w:rPr>
        <w:t xml:space="preserve">, J., </w:t>
      </w:r>
      <w:proofErr w:type="spellStart"/>
      <w:r w:rsidRPr="00BA2879">
        <w:rPr>
          <w:rFonts w:ascii="Arial" w:hAnsi="Arial" w:cs="Arial"/>
          <w:color w:val="222222"/>
          <w:shd w:val="clear" w:color="auto" w:fill="FFFFFF"/>
        </w:rPr>
        <w:t>Hombrados</w:t>
      </w:r>
      <w:proofErr w:type="spellEnd"/>
      <w:r w:rsidRPr="00BA2879">
        <w:rPr>
          <w:rFonts w:ascii="Arial" w:hAnsi="Arial" w:cs="Arial"/>
          <w:color w:val="222222"/>
          <w:shd w:val="clear" w:color="auto" w:fill="FFFFFF"/>
        </w:rPr>
        <w:t xml:space="preserve">, J., Newman, M., </w:t>
      </w:r>
      <w:proofErr w:type="spellStart"/>
      <w:r w:rsidRPr="00BA2879">
        <w:rPr>
          <w:rFonts w:ascii="Arial" w:hAnsi="Arial" w:cs="Arial"/>
          <w:color w:val="222222"/>
          <w:shd w:val="clear" w:color="auto" w:fill="FFFFFF"/>
        </w:rPr>
        <w:t>Hovish</w:t>
      </w:r>
      <w:proofErr w:type="spellEnd"/>
      <w:r w:rsidRPr="00BA2879">
        <w:rPr>
          <w:rFonts w:ascii="Arial" w:hAnsi="Arial" w:cs="Arial"/>
          <w:color w:val="222222"/>
          <w:shd w:val="clear" w:color="auto" w:fill="FFFFFF"/>
        </w:rPr>
        <w:t>, K., Brown, C., Steinka</w:t>
      </w:r>
      <w:r w:rsidRPr="00BA2879">
        <w:rPr>
          <w:rFonts w:ascii="Cambria Math" w:hAnsi="Cambria Math" w:cs="Cambria Math"/>
          <w:color w:val="222222"/>
          <w:shd w:val="clear" w:color="auto" w:fill="FFFFFF"/>
        </w:rPr>
        <w:t>‐</w:t>
      </w:r>
      <w:r w:rsidRPr="00BA2879">
        <w:rPr>
          <w:rFonts w:ascii="Arial" w:hAnsi="Arial" w:cs="Arial"/>
          <w:color w:val="222222"/>
          <w:shd w:val="clear" w:color="auto" w:fill="FFFFFF"/>
        </w:rPr>
        <w:t xml:space="preserve">Fry, K., &amp; Wilkey, </w:t>
      </w:r>
      <w:r w:rsidRPr="00BA2879">
        <w:rPr>
          <w:rFonts w:ascii="Arial" w:hAnsi="Arial" w:cs="Arial"/>
          <w:color w:val="222222"/>
          <w:shd w:val="clear" w:color="auto" w:fill="FFFFFF"/>
        </w:rPr>
        <w:tab/>
        <w:t xml:space="preserve">E. (2013). Technical and vocational education and training (TVET) interventions to </w:t>
      </w:r>
      <w:r w:rsidRPr="00BA2879">
        <w:rPr>
          <w:rFonts w:ascii="Arial" w:hAnsi="Arial" w:cs="Arial"/>
          <w:color w:val="222222"/>
          <w:shd w:val="clear" w:color="auto" w:fill="FFFFFF"/>
        </w:rPr>
        <w:tab/>
        <w:t>improve the employability and employment of young people in low</w:t>
      </w:r>
      <w:r w:rsidRPr="00BA2879">
        <w:rPr>
          <w:rFonts w:ascii="Cambria Math" w:hAnsi="Cambria Math" w:cs="Cambria Math"/>
          <w:color w:val="222222"/>
          <w:shd w:val="clear" w:color="auto" w:fill="FFFFFF"/>
        </w:rPr>
        <w:t>‐</w:t>
      </w:r>
      <w:r w:rsidRPr="00BA2879">
        <w:rPr>
          <w:rFonts w:ascii="Arial" w:hAnsi="Arial" w:cs="Arial"/>
          <w:color w:val="222222"/>
          <w:shd w:val="clear" w:color="auto" w:fill="FFFFFF"/>
        </w:rPr>
        <w:t>and middle</w:t>
      </w:r>
      <w:r w:rsidR="002A4CBC">
        <w:rPr>
          <w:rFonts w:ascii="Arial" w:hAnsi="Arial" w:cs="Arial"/>
          <w:color w:val="222222"/>
          <w:shd w:val="clear" w:color="auto" w:fill="FFFFFF"/>
        </w:rPr>
        <w:t>-</w:t>
      </w:r>
      <w:r w:rsidRPr="00BA2879">
        <w:rPr>
          <w:rFonts w:ascii="Arial" w:hAnsi="Arial" w:cs="Arial"/>
          <w:color w:val="222222"/>
          <w:shd w:val="clear" w:color="auto" w:fill="FFFFFF"/>
        </w:rPr>
        <w:t>income countries: A systematic review. </w:t>
      </w:r>
      <w:r w:rsidRPr="00BA2879">
        <w:rPr>
          <w:rFonts w:ascii="Arial" w:hAnsi="Arial" w:cs="Arial"/>
          <w:i/>
          <w:iCs/>
          <w:color w:val="222222"/>
          <w:shd w:val="clear" w:color="auto" w:fill="FFFFFF"/>
        </w:rPr>
        <w:t>Campbell systematic reviews</w:t>
      </w:r>
      <w:r w:rsidRPr="00BA2879">
        <w:rPr>
          <w:rFonts w:ascii="Arial" w:hAnsi="Arial" w:cs="Arial"/>
          <w:color w:val="222222"/>
          <w:shd w:val="clear" w:color="auto" w:fill="FFFFFF"/>
        </w:rPr>
        <w:t>, </w:t>
      </w:r>
      <w:r w:rsidRPr="00BA2879">
        <w:rPr>
          <w:rFonts w:ascii="Arial" w:hAnsi="Arial" w:cs="Arial"/>
          <w:i/>
          <w:iCs/>
          <w:color w:val="222222"/>
          <w:shd w:val="clear" w:color="auto" w:fill="FFFFFF"/>
        </w:rPr>
        <w:t>9</w:t>
      </w:r>
      <w:r w:rsidRPr="00BA2879">
        <w:rPr>
          <w:rFonts w:ascii="Arial" w:hAnsi="Arial" w:cs="Arial"/>
          <w:color w:val="222222"/>
          <w:shd w:val="clear" w:color="auto" w:fill="FFFFFF"/>
        </w:rPr>
        <w:t>(1), 1-171.</w:t>
      </w:r>
    </w:p>
    <w:p w14:paraId="7E8CB113" w14:textId="77777777" w:rsidR="00BA2879" w:rsidRPr="00BA2879" w:rsidRDefault="00BA2879" w:rsidP="00BA2879">
      <w:pPr>
        <w:ind w:left="1080" w:hanging="1080"/>
        <w:jc w:val="both"/>
        <w:rPr>
          <w:rFonts w:ascii="Arial" w:hAnsi="Arial" w:cs="Arial"/>
          <w:bCs/>
          <w:i/>
          <w:iCs/>
        </w:rPr>
      </w:pPr>
      <w:r w:rsidRPr="00BA2879">
        <w:rPr>
          <w:rFonts w:ascii="Arial" w:hAnsi="Arial" w:cs="Arial"/>
          <w:bCs/>
        </w:rPr>
        <w:t xml:space="preserve">UNESCO-UNEVOC. (2022). </w:t>
      </w:r>
      <w:r w:rsidRPr="00BA2879">
        <w:rPr>
          <w:rFonts w:ascii="Arial" w:hAnsi="Arial" w:cs="Arial"/>
          <w:bCs/>
          <w:i/>
          <w:iCs/>
        </w:rPr>
        <w:t>Trends in TVET: A global analysis of innovations and</w:t>
      </w:r>
    </w:p>
    <w:p w14:paraId="76721205" w14:textId="77777777" w:rsidR="00BA2879" w:rsidRPr="00BA2879" w:rsidRDefault="00BA2879" w:rsidP="00BA2879">
      <w:pPr>
        <w:ind w:left="1080" w:hanging="1080"/>
        <w:jc w:val="both"/>
        <w:rPr>
          <w:rFonts w:ascii="Arial" w:hAnsi="Arial" w:cs="Arial"/>
          <w:bCs/>
        </w:rPr>
      </w:pPr>
      <w:r w:rsidRPr="00BA2879">
        <w:rPr>
          <w:rFonts w:ascii="Arial" w:hAnsi="Arial" w:cs="Arial"/>
          <w:bCs/>
          <w:i/>
          <w:iCs/>
        </w:rPr>
        <w:t xml:space="preserve">           industry linkages</w:t>
      </w:r>
      <w:r w:rsidRPr="00BA2879">
        <w:rPr>
          <w:rFonts w:ascii="Arial" w:hAnsi="Arial" w:cs="Arial"/>
          <w:bCs/>
        </w:rPr>
        <w:t>. UNESCO-UNEVOC International Centre for Technical and</w:t>
      </w:r>
    </w:p>
    <w:p w14:paraId="112A4E38" w14:textId="77777777" w:rsidR="00BA2879" w:rsidRPr="00BA2879" w:rsidRDefault="00BA2879" w:rsidP="00BA2879">
      <w:pPr>
        <w:ind w:left="1080" w:hanging="1080"/>
        <w:jc w:val="both"/>
        <w:rPr>
          <w:rFonts w:ascii="Arial" w:hAnsi="Arial" w:cs="Arial"/>
          <w:bCs/>
          <w:i/>
          <w:iCs/>
        </w:rPr>
      </w:pPr>
      <w:r w:rsidRPr="00BA2879">
        <w:rPr>
          <w:rFonts w:ascii="Arial" w:hAnsi="Arial" w:cs="Arial"/>
          <w:bCs/>
          <w:i/>
          <w:iCs/>
        </w:rPr>
        <w:t xml:space="preserve">           </w:t>
      </w:r>
      <w:r w:rsidRPr="00BA2879">
        <w:rPr>
          <w:rFonts w:ascii="Arial" w:hAnsi="Arial" w:cs="Arial"/>
          <w:bCs/>
        </w:rPr>
        <w:t>Vocational Education and Training.</w:t>
      </w:r>
    </w:p>
    <w:p w14:paraId="1F076C53" w14:textId="77777777" w:rsidR="00BA2879" w:rsidRPr="00BA2879" w:rsidRDefault="00BA2879" w:rsidP="00BA2879">
      <w:pPr>
        <w:ind w:left="1077" w:hanging="1077"/>
        <w:jc w:val="both"/>
        <w:rPr>
          <w:rFonts w:ascii="Arial" w:hAnsi="Arial" w:cs="Arial"/>
          <w:color w:val="222222"/>
          <w:shd w:val="clear" w:color="auto" w:fill="FFFFFF"/>
        </w:rPr>
      </w:pPr>
      <w:proofErr w:type="spellStart"/>
      <w:r w:rsidRPr="00BA2879">
        <w:rPr>
          <w:rFonts w:ascii="Arial" w:hAnsi="Arial" w:cs="Arial"/>
          <w:color w:val="222222"/>
          <w:shd w:val="clear" w:color="auto" w:fill="FFFFFF"/>
        </w:rPr>
        <w:t>Ziderman</w:t>
      </w:r>
      <w:proofErr w:type="spellEnd"/>
      <w:r w:rsidRPr="00BA2879">
        <w:rPr>
          <w:rFonts w:ascii="Arial" w:hAnsi="Arial" w:cs="Arial"/>
          <w:color w:val="222222"/>
          <w:shd w:val="clear" w:color="auto" w:fill="FFFFFF"/>
        </w:rPr>
        <w:t>, A. (2020). Funding mechanisms for technical and vocational education and</w:t>
      </w:r>
    </w:p>
    <w:p w14:paraId="7AD3658B" w14:textId="77777777" w:rsidR="00BA2879" w:rsidRPr="00BA2879" w:rsidRDefault="00BA2879" w:rsidP="00BA2879">
      <w:pPr>
        <w:ind w:left="1077" w:hanging="1077"/>
        <w:jc w:val="both"/>
        <w:rPr>
          <w:rFonts w:ascii="Arial" w:hAnsi="Arial" w:cs="Arial"/>
          <w:color w:val="222222"/>
          <w:shd w:val="clear" w:color="auto" w:fill="FFFFFF"/>
        </w:rPr>
      </w:pPr>
      <w:r w:rsidRPr="00BA2879">
        <w:rPr>
          <w:rFonts w:ascii="Arial" w:hAnsi="Arial" w:cs="Arial"/>
          <w:color w:val="222222"/>
          <w:shd w:val="clear" w:color="auto" w:fill="FFFFFF"/>
        </w:rPr>
        <w:t xml:space="preserve">           Training </w:t>
      </w:r>
      <w:r w:rsidRPr="00BA2879">
        <w:rPr>
          <w:rFonts w:ascii="Arial" w:hAnsi="Arial" w:cs="Arial"/>
          <w:bCs/>
        </w:rPr>
        <w:t xml:space="preserve">(TVET). </w:t>
      </w:r>
      <w:r w:rsidRPr="00BA2879">
        <w:rPr>
          <w:rFonts w:ascii="Arial" w:hAnsi="Arial" w:cs="Arial"/>
          <w:bCs/>
          <w:i/>
          <w:iCs/>
        </w:rPr>
        <w:t>International Handbook of Vocational Education and Training</w:t>
      </w:r>
      <w:r w:rsidRPr="00BA2879">
        <w:rPr>
          <w:rFonts w:ascii="Arial" w:hAnsi="Arial" w:cs="Arial"/>
          <w:bCs/>
        </w:rPr>
        <w:t>, 1-18.</w:t>
      </w:r>
    </w:p>
    <w:p w14:paraId="1AEB8AF2" w14:textId="77777777" w:rsidR="00BA2879" w:rsidRDefault="00BA2879"/>
    <w:sectPr w:rsidR="00BA2879">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ur Wakhidah" w:date="2025-09-13T21:38:00Z" w:initials="NW">
    <w:p w14:paraId="51A753B2" w14:textId="77777777" w:rsidR="0067563E" w:rsidRDefault="0067563E" w:rsidP="0067563E">
      <w:pPr>
        <w:pStyle w:val="CommentText"/>
      </w:pPr>
      <w:r>
        <w:rPr>
          <w:rStyle w:val="CommentReference"/>
        </w:rPr>
        <w:annotationRef/>
      </w:r>
      <w:r>
        <w:t>Effective indicators need to be described</w:t>
      </w:r>
    </w:p>
  </w:comment>
  <w:comment w:id="1" w:author="Nur Wakhidah" w:date="2025-09-13T21:39:00Z" w:initials="NW">
    <w:p w14:paraId="243E7310" w14:textId="77777777" w:rsidR="0067563E" w:rsidRDefault="0067563E" w:rsidP="0067563E">
      <w:pPr>
        <w:pStyle w:val="CommentText"/>
      </w:pPr>
      <w:r>
        <w:rPr>
          <w:rStyle w:val="CommentReference"/>
        </w:rPr>
        <w:annotationRef/>
      </w:r>
      <w:r>
        <w:t>Describe the research objectives clearly</w:t>
      </w:r>
    </w:p>
  </w:comment>
  <w:comment w:id="2" w:author="Nur Wakhidah" w:date="2025-09-13T21:41:00Z" w:initials="NW">
    <w:p w14:paraId="25890190" w14:textId="77777777" w:rsidR="0067563E" w:rsidRDefault="0067563E" w:rsidP="0067563E">
      <w:pPr>
        <w:pStyle w:val="CommentText"/>
      </w:pPr>
      <w:r>
        <w:rPr>
          <w:rStyle w:val="CommentReference"/>
        </w:rPr>
        <w:annotationRef/>
      </w:r>
      <w:r>
        <w:t>add reputable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A753B2" w15:done="0"/>
  <w15:commentEx w15:paraId="243E7310" w15:done="0"/>
  <w15:commentEx w15:paraId="258901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F4D6C" w16cex:dateUtc="2025-09-13T14:38:00Z"/>
  <w16cex:commentExtensible w16cex:durableId="41C29938" w16cex:dateUtc="2025-09-13T14:39:00Z"/>
  <w16cex:commentExtensible w16cex:durableId="7E75DD6C" w16cex:dateUtc="2025-09-13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A753B2" w16cid:durableId="240F4D6C"/>
  <w16cid:commentId w16cid:paraId="243E7310" w16cid:durableId="41C29938"/>
  <w16cid:commentId w16cid:paraId="25890190" w16cid:durableId="7E75DD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0B070" w14:textId="77777777" w:rsidR="00DC2CA7" w:rsidRDefault="00DC2CA7" w:rsidP="0060063A">
      <w:r>
        <w:separator/>
      </w:r>
    </w:p>
  </w:endnote>
  <w:endnote w:type="continuationSeparator" w:id="0">
    <w:p w14:paraId="01DFA38A" w14:textId="77777777" w:rsidR="00DC2CA7" w:rsidRDefault="00DC2CA7" w:rsidP="0060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C4DC" w14:textId="77777777" w:rsidR="0067642A" w:rsidRDefault="006764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EC917" w14:textId="77777777" w:rsidR="0060063A" w:rsidRDefault="0060063A">
    <w:pPr>
      <w:pStyle w:val="Footer"/>
    </w:pPr>
  </w:p>
  <w:p w14:paraId="04B562BB" w14:textId="77777777" w:rsidR="0060063A" w:rsidRDefault="006006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8EF4" w14:textId="14FCE41D" w:rsidR="0060063A" w:rsidRPr="0067642A" w:rsidRDefault="0060063A" w:rsidP="00676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C40E5" w14:textId="77777777" w:rsidR="00DC2CA7" w:rsidRDefault="00DC2CA7" w:rsidP="0060063A">
      <w:r>
        <w:separator/>
      </w:r>
    </w:p>
  </w:footnote>
  <w:footnote w:type="continuationSeparator" w:id="0">
    <w:p w14:paraId="6AADF94D" w14:textId="77777777" w:rsidR="00DC2CA7" w:rsidRDefault="00DC2CA7" w:rsidP="00600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DF40" w14:textId="27016725" w:rsidR="0067642A" w:rsidRDefault="00000000">
    <w:pPr>
      <w:pStyle w:val="Header"/>
    </w:pPr>
    <w:r>
      <w:rPr>
        <w:noProof/>
      </w:rPr>
      <w:pict w14:anchorId="4D072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499579"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E9BB3" w14:textId="5F058BB4" w:rsidR="0067642A" w:rsidRDefault="00000000">
    <w:pPr>
      <w:pStyle w:val="Header"/>
    </w:pPr>
    <w:r>
      <w:rPr>
        <w:noProof/>
      </w:rPr>
      <w:pict w14:anchorId="3DF0E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499580"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E16B" w14:textId="3AEE7B46" w:rsidR="0060063A" w:rsidRDefault="00000000">
    <w:pPr>
      <w:ind w:left="2160"/>
      <w:jc w:val="center"/>
      <w:rPr>
        <w:rFonts w:ascii="Times New Roman" w:eastAsia="Calibri" w:hAnsi="Times New Roman"/>
        <w:i/>
        <w:sz w:val="18"/>
        <w:szCs w:val="22"/>
      </w:rPr>
    </w:pPr>
    <w:r>
      <w:rPr>
        <w:noProof/>
      </w:rPr>
      <w:pict w14:anchorId="12E6C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0499578" o:spid="_x0000_s1025"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649AEA" w14:textId="77777777" w:rsidR="0060063A" w:rsidRDefault="0060063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D97E310" w14:textId="77777777" w:rsidR="0060063A" w:rsidRDefault="0060063A">
    <w:pPr>
      <w:jc w:val="center"/>
      <w:rPr>
        <w:rFonts w:ascii="Times New Roman" w:eastAsia="Calibri" w:hAnsi="Times New Roman"/>
        <w:i/>
        <w:sz w:val="18"/>
        <w:szCs w:val="22"/>
      </w:rPr>
    </w:pPr>
    <w:r>
      <w:rPr>
        <w:rFonts w:ascii="Times New Roman" w:eastAsia="Calibri" w:hAnsi="Times New Roman"/>
        <w:i/>
        <w:sz w:val="18"/>
        <w:szCs w:val="22"/>
      </w:rPr>
      <w:t>.</w:t>
    </w:r>
  </w:p>
  <w:p w14:paraId="76EED7C4" w14:textId="77777777" w:rsidR="0060063A" w:rsidRDefault="0060063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3D87D41" w14:textId="77777777" w:rsidR="0060063A" w:rsidRDefault="0060063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349F49D" w14:textId="77777777" w:rsidR="0060063A" w:rsidRDefault="0060063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73A083F" w14:textId="77777777" w:rsidR="0060063A" w:rsidRDefault="0060063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1B1FE8"/>
    <w:multiLevelType w:val="multilevel"/>
    <w:tmpl w:val="471B1FE8"/>
    <w:lvl w:ilvl="0">
      <w:start w:val="1"/>
      <w:numFmt w:val="low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53049002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 Wakhidah">
    <w15:presenceInfo w15:providerId="Windows Live" w15:userId="ddcc5418a41c83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3A"/>
    <w:rsid w:val="00092201"/>
    <w:rsid w:val="001F47FD"/>
    <w:rsid w:val="0026405F"/>
    <w:rsid w:val="002861AD"/>
    <w:rsid w:val="002A0D94"/>
    <w:rsid w:val="002A4CBC"/>
    <w:rsid w:val="0038731F"/>
    <w:rsid w:val="00552E01"/>
    <w:rsid w:val="0060063A"/>
    <w:rsid w:val="00603C4D"/>
    <w:rsid w:val="0067563E"/>
    <w:rsid w:val="0067642A"/>
    <w:rsid w:val="00712E96"/>
    <w:rsid w:val="00743D45"/>
    <w:rsid w:val="0080653E"/>
    <w:rsid w:val="00824864"/>
    <w:rsid w:val="008937CB"/>
    <w:rsid w:val="0089584F"/>
    <w:rsid w:val="009A5497"/>
    <w:rsid w:val="00A532D3"/>
    <w:rsid w:val="00A614B1"/>
    <w:rsid w:val="00B923BC"/>
    <w:rsid w:val="00BA2879"/>
    <w:rsid w:val="00BA358E"/>
    <w:rsid w:val="00CB3A37"/>
    <w:rsid w:val="00D818D4"/>
    <w:rsid w:val="00D82D47"/>
    <w:rsid w:val="00DC2CA7"/>
    <w:rsid w:val="00DD0A84"/>
    <w:rsid w:val="00EA0DE3"/>
    <w:rsid w:val="00FC15C3"/>
    <w:rsid w:val="00FD1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427C1"/>
  <w15:chartTrackingRefBased/>
  <w15:docId w15:val="{EA7D69AB-CC25-6545-AF69-899E1EDA6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63A"/>
    <w:rPr>
      <w:rFonts w:ascii="Helvetica" w:eastAsia="Times New Roman" w:hAnsi="Helvetica"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89584F"/>
    <w:pPr>
      <w:spacing w:before="120" w:after="120" w:line="480" w:lineRule="auto"/>
      <w:jc w:val="center"/>
    </w:pPr>
    <w:rPr>
      <w:rFonts w:ascii="Times New Roman" w:hAnsi="Times New Roman"/>
      <w:b/>
      <w:lang w:eastAsia="en-GB"/>
    </w:rPr>
  </w:style>
  <w:style w:type="paragraph" w:styleId="Footer">
    <w:name w:val="footer"/>
    <w:basedOn w:val="Normal"/>
    <w:link w:val="FooterChar"/>
    <w:uiPriority w:val="99"/>
    <w:rsid w:val="0060063A"/>
    <w:pPr>
      <w:tabs>
        <w:tab w:val="center" w:pos="4320"/>
        <w:tab w:val="right" w:pos="8640"/>
      </w:tabs>
    </w:pPr>
  </w:style>
  <w:style w:type="character" w:customStyle="1" w:styleId="FooterChar">
    <w:name w:val="Footer Char"/>
    <w:basedOn w:val="DefaultParagraphFont"/>
    <w:link w:val="Footer"/>
    <w:uiPriority w:val="99"/>
    <w:rsid w:val="0060063A"/>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60063A"/>
    <w:pPr>
      <w:tabs>
        <w:tab w:val="center" w:pos="4320"/>
        <w:tab w:val="right" w:pos="8640"/>
      </w:tabs>
    </w:pPr>
  </w:style>
  <w:style w:type="character" w:customStyle="1" w:styleId="HeaderChar">
    <w:name w:val="Header Char"/>
    <w:basedOn w:val="DefaultParagraphFont"/>
    <w:link w:val="Header"/>
    <w:rsid w:val="0060063A"/>
    <w:rPr>
      <w:rFonts w:ascii="Helvetica" w:eastAsia="Times New Roman" w:hAnsi="Helvetica" w:cs="Times New Roman"/>
      <w:kern w:val="0"/>
      <w:sz w:val="20"/>
      <w:szCs w:val="20"/>
      <w:lang w:val="en-US"/>
      <w14:ligatures w14:val="none"/>
    </w:rPr>
  </w:style>
  <w:style w:type="table" w:styleId="TableGrid">
    <w:name w:val="Table Grid"/>
    <w:basedOn w:val="TableNormal"/>
    <w:uiPriority w:val="59"/>
    <w:rsid w:val="0060063A"/>
    <w:rPr>
      <w:rFonts w:ascii="Calibri" w:eastAsia="Calibri" w:hAnsi="Calibri" w:cs="Times New Roman"/>
      <w:kern w:val="0"/>
      <w:sz w:val="22"/>
      <w:szCs w:val="22"/>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rsid w:val="0060063A"/>
    <w:pPr>
      <w:spacing w:after="360"/>
      <w:jc w:val="right"/>
    </w:pPr>
    <w:rPr>
      <w:b/>
      <w:kern w:val="28"/>
      <w:sz w:val="36"/>
    </w:rPr>
  </w:style>
  <w:style w:type="character" w:customStyle="1" w:styleId="TitleChar">
    <w:name w:val="Title Char"/>
    <w:basedOn w:val="DefaultParagraphFont"/>
    <w:link w:val="Title"/>
    <w:uiPriority w:val="10"/>
    <w:rsid w:val="0060063A"/>
    <w:rPr>
      <w:rFonts w:ascii="Helvetica" w:eastAsia="Times New Roman" w:hAnsi="Helvetica" w:cs="Times New Roman"/>
      <w:b/>
      <w:kern w:val="28"/>
      <w:sz w:val="36"/>
      <w:szCs w:val="20"/>
      <w:lang w:val="en-US"/>
      <w14:ligatures w14:val="none"/>
    </w:rPr>
  </w:style>
  <w:style w:type="paragraph" w:customStyle="1" w:styleId="Author">
    <w:name w:val="Author"/>
    <w:basedOn w:val="Normal"/>
    <w:rsid w:val="0060063A"/>
    <w:pPr>
      <w:spacing w:line="280" w:lineRule="exact"/>
      <w:jc w:val="right"/>
    </w:pPr>
    <w:rPr>
      <w:b/>
      <w:sz w:val="24"/>
    </w:rPr>
  </w:style>
  <w:style w:type="paragraph" w:customStyle="1" w:styleId="Affiliation">
    <w:name w:val="Affiliation"/>
    <w:basedOn w:val="Normal"/>
    <w:rsid w:val="0060063A"/>
    <w:pPr>
      <w:spacing w:after="240" w:line="240" w:lineRule="exact"/>
      <w:jc w:val="right"/>
    </w:pPr>
  </w:style>
  <w:style w:type="paragraph" w:customStyle="1" w:styleId="Body">
    <w:name w:val="Body"/>
    <w:basedOn w:val="Normal"/>
    <w:rsid w:val="0060063A"/>
    <w:pPr>
      <w:spacing w:after="240"/>
      <w:jc w:val="both"/>
    </w:pPr>
  </w:style>
  <w:style w:type="paragraph" w:customStyle="1" w:styleId="AbstHead">
    <w:name w:val="Abst Head"/>
    <w:basedOn w:val="Normal"/>
    <w:rsid w:val="0060063A"/>
    <w:pPr>
      <w:keepNext/>
      <w:spacing w:after="240"/>
    </w:pPr>
    <w:rPr>
      <w:b/>
      <w:caps/>
      <w:sz w:val="22"/>
    </w:rPr>
  </w:style>
  <w:style w:type="paragraph" w:customStyle="1" w:styleId="ConcHead">
    <w:name w:val="Conc Head"/>
    <w:basedOn w:val="Normal"/>
    <w:rsid w:val="0060063A"/>
    <w:pPr>
      <w:keepNext/>
      <w:spacing w:after="240"/>
    </w:pPr>
    <w:rPr>
      <w:b/>
      <w:caps/>
      <w:sz w:val="22"/>
    </w:rPr>
  </w:style>
  <w:style w:type="paragraph" w:customStyle="1" w:styleId="AcknHead">
    <w:name w:val="Ackn Head"/>
    <w:basedOn w:val="Normal"/>
    <w:rsid w:val="0060063A"/>
    <w:pPr>
      <w:keepNext/>
      <w:spacing w:after="240"/>
    </w:pPr>
    <w:rPr>
      <w:b/>
      <w:caps/>
      <w:sz w:val="22"/>
    </w:rPr>
  </w:style>
  <w:style w:type="paragraph" w:customStyle="1" w:styleId="Copyright">
    <w:name w:val="Copyright"/>
    <w:basedOn w:val="Normal"/>
    <w:rsid w:val="0060063A"/>
    <w:pPr>
      <w:spacing w:after="960" w:line="200" w:lineRule="exact"/>
    </w:pPr>
    <w:rPr>
      <w:sz w:val="16"/>
    </w:rPr>
  </w:style>
  <w:style w:type="paragraph" w:customStyle="1" w:styleId="Head1">
    <w:name w:val="Head1"/>
    <w:basedOn w:val="Normal"/>
    <w:rsid w:val="0060063A"/>
    <w:pPr>
      <w:keepNext/>
      <w:spacing w:after="240"/>
    </w:pPr>
    <w:rPr>
      <w:b/>
      <w:caps/>
      <w:sz w:val="22"/>
    </w:rPr>
  </w:style>
  <w:style w:type="character" w:styleId="LineNumber">
    <w:name w:val="line number"/>
    <w:basedOn w:val="DefaultParagraphFont"/>
    <w:uiPriority w:val="99"/>
    <w:semiHidden/>
    <w:unhideWhenUsed/>
    <w:rsid w:val="0060063A"/>
  </w:style>
  <w:style w:type="character" w:styleId="Hyperlink">
    <w:name w:val="Hyperlink"/>
    <w:basedOn w:val="DefaultParagraphFont"/>
    <w:uiPriority w:val="99"/>
    <w:unhideWhenUsed/>
    <w:rsid w:val="00BA2879"/>
    <w:rPr>
      <w:color w:val="0563C1" w:themeColor="hyperlink"/>
      <w:u w:val="single"/>
    </w:rPr>
  </w:style>
  <w:style w:type="paragraph" w:customStyle="1" w:styleId="Bibliography1">
    <w:name w:val="Bibliography1"/>
    <w:basedOn w:val="Normal"/>
    <w:next w:val="Normal"/>
    <w:uiPriority w:val="37"/>
    <w:unhideWhenUsed/>
    <w:rsid w:val="00BA2879"/>
    <w:pPr>
      <w:spacing w:before="100" w:beforeAutospacing="1" w:after="160" w:line="256" w:lineRule="auto"/>
    </w:pPr>
    <w:rPr>
      <w:rFonts w:ascii="Times New Roman" w:eastAsia="SimSun" w:hAnsi="Times New Roman"/>
      <w:sz w:val="24"/>
      <w:szCs w:val="24"/>
      <w:lang w:val="en-GB" w:eastAsia="en-GB"/>
    </w:rPr>
  </w:style>
  <w:style w:type="character" w:styleId="UnresolvedMention">
    <w:name w:val="Unresolved Mention"/>
    <w:basedOn w:val="DefaultParagraphFont"/>
    <w:uiPriority w:val="99"/>
    <w:semiHidden/>
    <w:unhideWhenUsed/>
    <w:rsid w:val="00092201"/>
    <w:rPr>
      <w:color w:val="605E5C"/>
      <w:shd w:val="clear" w:color="auto" w:fill="E1DFDD"/>
    </w:rPr>
  </w:style>
  <w:style w:type="paragraph" w:styleId="ListParagraph">
    <w:name w:val="List Paragraph"/>
    <w:basedOn w:val="Normal"/>
    <w:uiPriority w:val="34"/>
    <w:qFormat/>
    <w:rsid w:val="0038731F"/>
    <w:pPr>
      <w:ind w:left="720"/>
      <w:contextualSpacing/>
    </w:pPr>
  </w:style>
  <w:style w:type="character" w:styleId="CommentReference">
    <w:name w:val="annotation reference"/>
    <w:basedOn w:val="DefaultParagraphFont"/>
    <w:uiPriority w:val="99"/>
    <w:semiHidden/>
    <w:unhideWhenUsed/>
    <w:rsid w:val="0067563E"/>
    <w:rPr>
      <w:sz w:val="16"/>
      <w:szCs w:val="16"/>
    </w:rPr>
  </w:style>
  <w:style w:type="paragraph" w:styleId="CommentText">
    <w:name w:val="annotation text"/>
    <w:basedOn w:val="Normal"/>
    <w:link w:val="CommentTextChar"/>
    <w:uiPriority w:val="99"/>
    <w:unhideWhenUsed/>
    <w:rsid w:val="0067563E"/>
  </w:style>
  <w:style w:type="character" w:customStyle="1" w:styleId="CommentTextChar">
    <w:name w:val="Comment Text Char"/>
    <w:basedOn w:val="DefaultParagraphFont"/>
    <w:link w:val="CommentText"/>
    <w:uiPriority w:val="99"/>
    <w:rsid w:val="0067563E"/>
    <w:rPr>
      <w:rFonts w:ascii="Helvetica" w:eastAsia="Times New Roman" w:hAnsi="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563E"/>
    <w:rPr>
      <w:b/>
      <w:bCs/>
    </w:rPr>
  </w:style>
  <w:style w:type="character" w:customStyle="1" w:styleId="CommentSubjectChar">
    <w:name w:val="Comment Subject Char"/>
    <w:basedOn w:val="CommentTextChar"/>
    <w:link w:val="CommentSubject"/>
    <w:uiPriority w:val="99"/>
    <w:semiHidden/>
    <w:rsid w:val="0067563E"/>
    <w:rPr>
      <w:rFonts w:ascii="Helvetica" w:eastAsia="Times New Roman" w:hAnsi="Helvetic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oecd.org/education/2030"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doi.org/10.3126/tvet.v18i1.6274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Odj24</b:Tag>
    <b:SourceType>JournalArticle</b:SourceType>
    <b:Guid>{7194256F-7ACB-4E2D-9B61-46444280268E}</b:Guid>
    <b:Author>
      <b:Author>
        <b:NameList>
          <b:Person>
            <b:Last>Odjo</b:Last>
            <b:First>C.</b:First>
            <b:Middle>Z., Kaoti, C., &amp; Oyewusi, A. O.</b:Middle>
          </b:Person>
        </b:NameList>
      </b:Author>
    </b:Author>
    <b:Title>Quality Assurance in West African TVET Institutions: A Brief Literature Review</b:Title>
    <b:JournalName>Journal of Technical and Vocational Education and Training</b:JournalName>
    <b:Year>2024</b:Year>
    <b:Pages>38-55</b:Pages>
    <b:Volume>Vol. 18</b:Volume>
    <b:Issue>Iss. 1</b:Issue>
    <b:URL>https://doi.org/10.3126/tvet.v18i1.62741</b:URL>
    <b:RefOrder>46</b:RefOrder>
  </b:Source>
  <b:Source>
    <b:Tag>Asi22</b:Tag>
    <b:SourceType>JournalArticle</b:SourceType>
    <b:Guid>{60F39E94-0C41-4B61-9228-CB0225C5FA63}</b:Guid>
    <b:Author>
      <b:Author>
        <b:Corporate>Asiyai, R. I.</b:Corporate>
      </b:Author>
    </b:Author>
    <b:Title>Best practices for quality assurance in higher education: implications for educational administration</b:Title>
    <b:JournalName>International Journal of Leadership in Education</b:JournalName>
    <b:Year>2022</b:Year>
    <b:Pages>843-854</b:Pages>
    <b:Volume>25</b:Volume>
    <b:Issue>5</b:Issue>
    <b:URL>https://doi.org/10.1080/13603124.2019.1710569</b:URL>
    <b:RefOrder>47</b:RefOrder>
  </b:Source>
</b:Sources>
</file>

<file path=customXml/itemProps1.xml><?xml version="1.0" encoding="utf-8"?>
<ds:datastoreItem xmlns:ds="http://schemas.openxmlformats.org/officeDocument/2006/customXml" ds:itemID="{8BABEBC6-52BD-47D0-9426-5B1489306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Nur Wakhidah</cp:lastModifiedBy>
  <cp:revision>7</cp:revision>
  <dcterms:created xsi:type="dcterms:W3CDTF">2025-09-11T13:09:00Z</dcterms:created>
  <dcterms:modified xsi:type="dcterms:W3CDTF">2025-09-13T14:43:00Z</dcterms:modified>
</cp:coreProperties>
</file>