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8CDC3" w14:textId="77777777" w:rsidR="00754C9A" w:rsidRDefault="00305B5E" w:rsidP="00441B6F">
      <w:pPr>
        <w:pStyle w:val="Title"/>
        <w:spacing w:after="0"/>
        <w:jc w:val="both"/>
        <w:rPr>
          <w:rFonts w:ascii="Arial" w:hAnsi="Arial" w:cs="Arial"/>
        </w:rPr>
      </w:pPr>
      <w:r>
        <w:rPr>
          <w:rStyle w:val="CommentReference"/>
          <w:rFonts w:ascii="Times New Roman" w:hAnsi="Times New Roman"/>
          <w:b w:val="0"/>
          <w:kern w:val="0"/>
          <w:lang w:val="nb-NO" w:eastAsia="nb-NO"/>
        </w:rPr>
        <w:commentReference w:id="0"/>
      </w:r>
      <w:r>
        <w:rPr>
          <w:rStyle w:val="CommentReference"/>
          <w:rFonts w:ascii="Times New Roman" w:hAnsi="Times New Roman"/>
          <w:b w:val="0"/>
          <w:kern w:val="0"/>
          <w:lang w:val="nb-NO" w:eastAsia="nb-NO"/>
        </w:rPr>
        <w:commentReference w:id="1"/>
      </w:r>
    </w:p>
    <w:p w14:paraId="616A8037" w14:textId="77777777" w:rsidR="00163BC4" w:rsidRPr="00163BC4" w:rsidRDefault="007D1A43" w:rsidP="00441B6F">
      <w:pPr>
        <w:pStyle w:val="Author"/>
        <w:spacing w:line="240" w:lineRule="auto"/>
        <w:rPr>
          <w:rFonts w:ascii="Arial" w:hAnsi="Arial" w:cs="Arial"/>
          <w:bCs/>
          <w:iCs/>
          <w:kern w:val="28"/>
          <w:sz w:val="36"/>
        </w:rPr>
      </w:pPr>
      <w:r w:rsidRPr="007D1A43">
        <w:rPr>
          <w:rFonts w:ascii="Arial" w:hAnsi="Arial" w:cs="Arial"/>
          <w:bCs/>
          <w:iCs/>
          <w:kern w:val="28"/>
          <w:sz w:val="36"/>
        </w:rPr>
        <w:t xml:space="preserve">Examining the Impact of Firm Characteristics </w:t>
      </w:r>
      <w:bookmarkStart w:id="2" w:name="_Hlk207621259"/>
      <w:r w:rsidRPr="007D1A43">
        <w:rPr>
          <w:rFonts w:ascii="Arial" w:hAnsi="Arial" w:cs="Arial"/>
          <w:bCs/>
          <w:iCs/>
          <w:kern w:val="28"/>
          <w:sz w:val="36"/>
        </w:rPr>
        <w:t xml:space="preserve">and Capital Structure on Financial Reporting </w:t>
      </w:r>
      <w:bookmarkEnd w:id="2"/>
      <w:r w:rsidRPr="007D1A43">
        <w:rPr>
          <w:rFonts w:ascii="Arial" w:hAnsi="Arial" w:cs="Arial"/>
          <w:bCs/>
          <w:iCs/>
          <w:kern w:val="28"/>
          <w:sz w:val="36"/>
        </w:rPr>
        <w:t>Timeliness: The Mediating Role of Financial Performance in Indonesian Listed Food and Beverage Firms (2019–202</w:t>
      </w:r>
      <w:r>
        <w:rPr>
          <w:rFonts w:ascii="Arial" w:hAnsi="Arial" w:cs="Arial"/>
          <w:bCs/>
          <w:iCs/>
          <w:kern w:val="28"/>
          <w:sz w:val="36"/>
        </w:rPr>
        <w:t>2</w:t>
      </w:r>
      <w:r w:rsidRPr="007D1A43">
        <w:rPr>
          <w:rFonts w:ascii="Arial" w:hAnsi="Arial" w:cs="Arial"/>
          <w:bCs/>
          <w:iCs/>
          <w:kern w:val="28"/>
          <w:sz w:val="36"/>
        </w:rPr>
        <w:t>)</w:t>
      </w:r>
      <w:r w:rsidR="00231920">
        <w:rPr>
          <w:rFonts w:ascii="Arial" w:hAnsi="Arial" w:cs="Arial"/>
          <w:bCs/>
          <w:iCs/>
          <w:kern w:val="28"/>
          <w:sz w:val="36"/>
        </w:rPr>
        <w:t xml:space="preserve"> </w:t>
      </w:r>
    </w:p>
    <w:p w14:paraId="4DC597AB" w14:textId="77777777" w:rsidR="00A258C3" w:rsidRPr="00790ADA" w:rsidRDefault="00A258C3" w:rsidP="00441B6F">
      <w:pPr>
        <w:pStyle w:val="Author"/>
        <w:spacing w:line="240" w:lineRule="auto"/>
        <w:jc w:val="both"/>
        <w:rPr>
          <w:rFonts w:ascii="Arial" w:hAnsi="Arial" w:cs="Arial"/>
          <w:sz w:val="36"/>
        </w:rPr>
      </w:pPr>
    </w:p>
    <w:p w14:paraId="1169FB73" w14:textId="77777777" w:rsidR="002C57D2" w:rsidRPr="00FB3A86" w:rsidRDefault="002C57D2" w:rsidP="00441B6F">
      <w:pPr>
        <w:pStyle w:val="Affiliation"/>
        <w:spacing w:after="0" w:line="240" w:lineRule="auto"/>
        <w:jc w:val="both"/>
        <w:rPr>
          <w:rFonts w:ascii="Arial" w:hAnsi="Arial" w:cs="Arial"/>
        </w:rPr>
      </w:pPr>
    </w:p>
    <w:p w14:paraId="29E015CA" w14:textId="6CF11F23" w:rsidR="00B01FCD" w:rsidRPr="00FB3A86" w:rsidRDefault="00321448" w:rsidP="00441B6F">
      <w:pPr>
        <w:pStyle w:val="Copyright"/>
        <w:spacing w:after="0" w:line="240" w:lineRule="auto"/>
        <w:jc w:val="both"/>
        <w:rPr>
          <w:rFonts w:ascii="Arial" w:hAnsi="Arial" w:cs="Arial"/>
        </w:rPr>
        <w:sectPr w:rsidR="00B01FCD" w:rsidRPr="00FB3A86" w:rsidSect="008C7AEE">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659C3A8" wp14:editId="3B5953D0">
                <wp:extent cx="5303520" cy="635"/>
                <wp:effectExtent l="13335" t="14605"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D7EDD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Pr>
          <w:rFonts w:ascii="Arial" w:hAnsi="Arial" w:cs="Arial"/>
        </w:rPr>
        <w:t>.</w:t>
      </w:r>
    </w:p>
    <w:p w14:paraId="14B0A3E7" w14:textId="74A8C79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8C8D4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9EDF48" w14:textId="77777777" w:rsidTr="001E44FE">
        <w:tc>
          <w:tcPr>
            <w:tcW w:w="9576" w:type="dxa"/>
            <w:shd w:val="clear" w:color="auto" w:fill="F2F2F2"/>
          </w:tcPr>
          <w:p w14:paraId="101A1812" w14:textId="77777777" w:rsidR="00E3114E" w:rsidRDefault="00E3114E" w:rsidP="00441B6F">
            <w:pPr>
              <w:pStyle w:val="Body"/>
              <w:spacing w:after="0"/>
              <w:rPr>
                <w:rFonts w:ascii="Arial" w:eastAsia="Calibri" w:hAnsi="Arial" w:cs="Arial"/>
                <w:b/>
                <w:szCs w:val="22"/>
              </w:rPr>
            </w:pPr>
            <w:commentRangeStart w:id="3"/>
          </w:p>
          <w:p w14:paraId="541A2AC0" w14:textId="77777777" w:rsidR="00BA1B01" w:rsidRPr="007D1A43" w:rsidRDefault="00BA1B01" w:rsidP="00441B6F">
            <w:pPr>
              <w:pStyle w:val="Body"/>
              <w:spacing w:after="0"/>
              <w:rPr>
                <w:rFonts w:ascii="Arial" w:eastAsia="Calibri" w:hAnsi="Arial" w:cs="Arial"/>
                <w:iCs/>
                <w:szCs w:val="22"/>
              </w:rPr>
            </w:pPr>
            <w:commentRangeStart w:id="4"/>
            <w:r w:rsidRPr="00BA1B01">
              <w:rPr>
                <w:rFonts w:ascii="Arial" w:eastAsia="Calibri" w:hAnsi="Arial" w:cs="Arial"/>
                <w:b/>
                <w:szCs w:val="22"/>
              </w:rPr>
              <w:t xml:space="preserve">Aims: </w:t>
            </w:r>
            <w:r w:rsidR="007D1A43" w:rsidRPr="007D1A43">
              <w:rPr>
                <w:rFonts w:ascii="Arial" w:eastAsia="Calibri" w:hAnsi="Arial" w:cs="Arial"/>
                <w:iCs/>
                <w:szCs w:val="22"/>
              </w:rPr>
              <w:t>The food and beverage industry is an example of the rapid development in the industrial world in recent years</w:t>
            </w:r>
          </w:p>
          <w:p w14:paraId="0AE6FB25" w14:textId="77777777" w:rsidR="007D1A43" w:rsidRDefault="00BA1B01" w:rsidP="007D1A43">
            <w:pPr>
              <w:pStyle w:val="Body"/>
              <w:rPr>
                <w:rFonts w:ascii="Arial" w:eastAsia="Calibri" w:hAnsi="Arial" w:cs="Arial"/>
                <w:iCs/>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D1A43" w:rsidRPr="007D1A43">
              <w:rPr>
                <w:rFonts w:ascii="Arial" w:eastAsia="Calibri" w:hAnsi="Arial" w:cs="Arial"/>
                <w:iCs/>
                <w:szCs w:val="22"/>
              </w:rPr>
              <w:t>Companies are increasingly intensifying their competition in line with this rapid economic growth. The purpose of this research is to test and analyze the influence of company size, company age, and capital structure on the timeliness of financial reporting through financial performance.</w:t>
            </w:r>
          </w:p>
          <w:p w14:paraId="5A3D636D" w14:textId="77777777" w:rsidR="00BA1B01" w:rsidRPr="007D1A43" w:rsidRDefault="00BA1B01" w:rsidP="007D1A43">
            <w:pPr>
              <w:pStyle w:val="Body"/>
              <w:rPr>
                <w:rFonts w:ascii="Arial" w:eastAsia="Calibri" w:hAnsi="Arial" w:cs="Arial"/>
                <w:i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D1A43" w:rsidRPr="007D1A43">
              <w:rPr>
                <w:rFonts w:ascii="Arial" w:eastAsia="Calibri" w:hAnsi="Arial" w:cs="Arial"/>
                <w:iCs/>
                <w:szCs w:val="22"/>
              </w:rPr>
              <w:t>This research employs a quantitative research method. The population of this study consists of 26 food and beverage companies listed on the Indonesia Stock Exchange during the period 2019-2022.</w:t>
            </w:r>
            <w:r w:rsidR="007D1A43" w:rsidRPr="007D1A43">
              <w:rPr>
                <w:rFonts w:ascii="Times New Roman" w:eastAsia="Calibri" w:hAnsi="Times New Roman"/>
                <w:iCs/>
                <w:color w:val="000000"/>
                <w:sz w:val="24"/>
                <w:szCs w:val="24"/>
              </w:rPr>
              <w:t xml:space="preserve"> </w:t>
            </w:r>
            <w:r w:rsidR="007D1A43" w:rsidRPr="007D1A43">
              <w:rPr>
                <w:rFonts w:ascii="Arial" w:eastAsia="Calibri" w:hAnsi="Arial" w:cs="Arial"/>
                <w:iCs/>
                <w:szCs w:val="22"/>
              </w:rPr>
              <w:t xml:space="preserve">The sampling technique used in this </w:t>
            </w:r>
            <w:commentRangeStart w:id="5"/>
            <w:r w:rsidR="007D1A43" w:rsidRPr="007D1A43">
              <w:rPr>
                <w:rFonts w:ascii="Arial" w:eastAsia="Calibri" w:hAnsi="Arial" w:cs="Arial"/>
                <w:iCs/>
                <w:szCs w:val="22"/>
              </w:rPr>
              <w:t>study</w:t>
            </w:r>
            <w:commentRangeEnd w:id="5"/>
            <w:r w:rsidR="00305B5E">
              <w:rPr>
                <w:rStyle w:val="CommentReference"/>
                <w:rFonts w:ascii="Times New Roman" w:hAnsi="Times New Roman"/>
                <w:lang w:val="nb-NO" w:eastAsia="nb-NO"/>
              </w:rPr>
              <w:commentReference w:id="5"/>
            </w:r>
            <w:r w:rsidR="007D1A43" w:rsidRPr="007D1A43">
              <w:rPr>
                <w:rFonts w:ascii="Arial" w:eastAsia="Calibri" w:hAnsi="Arial" w:cs="Arial"/>
                <w:iCs/>
                <w:szCs w:val="22"/>
              </w:rPr>
              <w:t xml:space="preserve"> is purposive sampling. The research sample consists of 24 companies. Data analysis is conducted using path analysis with the assistance of SPSS software version 25.</w:t>
            </w:r>
          </w:p>
          <w:p w14:paraId="001C3427" w14:textId="77777777" w:rsidR="007D1A43" w:rsidRPr="007D1A43" w:rsidRDefault="00BA1B01" w:rsidP="007D1A43">
            <w:pPr>
              <w:pStyle w:val="Body"/>
              <w:rPr>
                <w:rFonts w:ascii="Arial" w:eastAsia="Calibri" w:hAnsi="Arial" w:cs="Arial"/>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D1A43" w:rsidRPr="007D1A43">
              <w:rPr>
                <w:rFonts w:ascii="Arial" w:eastAsia="Calibri" w:hAnsi="Arial" w:cs="Arial"/>
                <w:iCs/>
                <w:szCs w:val="22"/>
              </w:rPr>
              <w:t>The research results indicate that company size, company age, and capital structure have a positive influence on financial performance. Company size, company age, capital structure, and financial performance have a positive influence on the timeliness of financial reporting. Meanwhile, company size, company age, and capital structure positively influence the timeliness of financial reporting through financial performance.</w:t>
            </w:r>
          </w:p>
          <w:p w14:paraId="550970B1" w14:textId="77777777" w:rsidR="00BA1B01" w:rsidRPr="00BA1B01" w:rsidRDefault="00BA1B01" w:rsidP="00441B6F">
            <w:pPr>
              <w:pStyle w:val="Body"/>
              <w:spacing w:after="0"/>
              <w:rPr>
                <w:rFonts w:ascii="Arial" w:eastAsia="Calibri" w:hAnsi="Arial" w:cs="Arial"/>
                <w:b/>
                <w:bCs/>
                <w:szCs w:val="22"/>
              </w:rPr>
            </w:pPr>
          </w:p>
          <w:p w14:paraId="66351CCD" w14:textId="77777777" w:rsidR="00505F06" w:rsidRPr="00BA1B01" w:rsidRDefault="00BA1B01" w:rsidP="00E738C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738CF" w:rsidRPr="00E738CF">
              <w:rPr>
                <w:rFonts w:ascii="Arial" w:eastAsia="Calibri" w:hAnsi="Arial" w:cs="Arial"/>
                <w:szCs w:val="22"/>
              </w:rPr>
              <w:t>This study is essential as there are still food and beverage companies that delay the submission of financial reports, thereby failing to meet the expectations of financial statement users</w:t>
            </w:r>
            <w:commentRangeEnd w:id="4"/>
            <w:r w:rsidR="00526D38">
              <w:rPr>
                <w:rStyle w:val="CommentReference"/>
                <w:rFonts w:ascii="Times New Roman" w:hAnsi="Times New Roman"/>
                <w:lang w:val="nb-NO" w:eastAsia="nb-NO"/>
              </w:rPr>
              <w:commentReference w:id="4"/>
            </w:r>
          </w:p>
        </w:tc>
      </w:tr>
    </w:tbl>
    <w:p w14:paraId="4FE89BD5" w14:textId="77777777" w:rsidR="00E738CF" w:rsidRPr="00E738CF" w:rsidRDefault="00A24E7E" w:rsidP="00E738CF">
      <w:pPr>
        <w:pStyle w:val="Body"/>
        <w:rPr>
          <w:rFonts w:ascii="Arial" w:hAnsi="Arial" w:cs="Arial"/>
          <w:i/>
        </w:rPr>
      </w:pPr>
      <w:r>
        <w:rPr>
          <w:rFonts w:ascii="Arial" w:hAnsi="Arial" w:cs="Arial"/>
          <w:i/>
        </w:rPr>
        <w:t xml:space="preserve">Keywords: </w:t>
      </w:r>
      <w:r w:rsidR="00E738CF" w:rsidRPr="00E738CF">
        <w:rPr>
          <w:rFonts w:ascii="Arial" w:hAnsi="Arial" w:cs="Arial"/>
          <w:i/>
        </w:rPr>
        <w:t>company size, company age, capital structure, timeliness of financial reporting, financial performance.</w:t>
      </w:r>
      <w:commentRangeEnd w:id="3"/>
      <w:r w:rsidR="00305B5E">
        <w:rPr>
          <w:rStyle w:val="CommentReference"/>
          <w:rFonts w:ascii="Times New Roman" w:hAnsi="Times New Roman"/>
          <w:lang w:val="nb-NO" w:eastAsia="nb-NO"/>
        </w:rPr>
        <w:commentReference w:id="3"/>
      </w:r>
    </w:p>
    <w:p w14:paraId="29AF0994" w14:textId="77777777" w:rsidR="00A24E7E" w:rsidRDefault="00A24E7E" w:rsidP="00441B6F">
      <w:pPr>
        <w:pStyle w:val="Body"/>
        <w:spacing w:after="0"/>
        <w:rPr>
          <w:rFonts w:ascii="Arial" w:hAnsi="Arial" w:cs="Arial"/>
          <w:i/>
        </w:rPr>
      </w:pPr>
    </w:p>
    <w:p w14:paraId="3B0F4C61" w14:textId="77777777" w:rsidR="0024282C" w:rsidRDefault="0024282C" w:rsidP="00441B6F">
      <w:pPr>
        <w:pStyle w:val="Body"/>
        <w:spacing w:after="0"/>
        <w:rPr>
          <w:rFonts w:ascii="Arial" w:hAnsi="Arial" w:cs="Arial"/>
          <w:i/>
          <w:sz w:val="18"/>
        </w:rPr>
      </w:pPr>
    </w:p>
    <w:p w14:paraId="44CE71AE" w14:textId="77777777" w:rsidR="00526D38" w:rsidRDefault="00526D38" w:rsidP="00441B6F">
      <w:pPr>
        <w:pStyle w:val="Body"/>
        <w:spacing w:after="0"/>
        <w:rPr>
          <w:rFonts w:ascii="Arial" w:hAnsi="Arial" w:cs="Arial"/>
          <w:i/>
          <w:sz w:val="18"/>
        </w:rPr>
      </w:pPr>
    </w:p>
    <w:p w14:paraId="3EEBF8C7" w14:textId="77777777" w:rsidR="00526D38" w:rsidRDefault="00526D38" w:rsidP="00441B6F">
      <w:pPr>
        <w:pStyle w:val="Body"/>
        <w:spacing w:after="0"/>
        <w:rPr>
          <w:rFonts w:ascii="Arial" w:hAnsi="Arial" w:cs="Arial"/>
          <w:i/>
          <w:sz w:val="18"/>
        </w:rPr>
      </w:pPr>
    </w:p>
    <w:p w14:paraId="7DB3B897" w14:textId="77777777" w:rsidR="00526D38" w:rsidRDefault="00526D38" w:rsidP="00441B6F">
      <w:pPr>
        <w:pStyle w:val="Body"/>
        <w:spacing w:after="0"/>
        <w:rPr>
          <w:rFonts w:ascii="Arial" w:hAnsi="Arial" w:cs="Arial"/>
          <w:i/>
          <w:sz w:val="18"/>
        </w:rPr>
      </w:pPr>
    </w:p>
    <w:p w14:paraId="54F2085E" w14:textId="77777777" w:rsidR="00505F06" w:rsidRPr="00A24E7E" w:rsidRDefault="00505F06" w:rsidP="00441B6F">
      <w:pPr>
        <w:pStyle w:val="Body"/>
        <w:spacing w:after="0"/>
        <w:rPr>
          <w:rFonts w:ascii="Arial" w:hAnsi="Arial" w:cs="Arial"/>
          <w:i/>
        </w:rPr>
      </w:pPr>
    </w:p>
    <w:p w14:paraId="6437E3E6" w14:textId="1D5F714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F2EE205" w14:textId="77777777" w:rsidR="00790ADA" w:rsidRPr="00FB3A86" w:rsidRDefault="00790ADA" w:rsidP="00441B6F">
      <w:pPr>
        <w:pStyle w:val="AbstHead"/>
        <w:spacing w:after="0"/>
        <w:jc w:val="both"/>
        <w:rPr>
          <w:rFonts w:ascii="Arial" w:hAnsi="Arial" w:cs="Arial"/>
        </w:rPr>
      </w:pPr>
    </w:p>
    <w:p w14:paraId="54A1B022" w14:textId="77777777" w:rsidR="00E738CF" w:rsidRPr="00E738CF" w:rsidRDefault="00E738CF" w:rsidP="00E738CF">
      <w:pPr>
        <w:pStyle w:val="Body"/>
        <w:spacing w:after="0"/>
        <w:rPr>
          <w:rFonts w:ascii="Arial" w:hAnsi="Arial" w:cs="Arial"/>
          <w:lang w:val="en-ID"/>
        </w:rPr>
      </w:pPr>
      <w:commentRangeStart w:id="6"/>
      <w:r w:rsidRPr="00E738CF">
        <w:rPr>
          <w:rFonts w:ascii="Arial" w:hAnsi="Arial" w:cs="Arial"/>
          <w:lang w:val="en-ID"/>
        </w:rPr>
        <w:t>The food and beverage industry is one of the sectors experiencing rapid development in recent years. As economic growth accelerates, businesses in this sector are becoming increasingly competitive. Consequently, companies must set strategic goals to ensure sustainability by evaluating their past, current, and future performance, with the overarching objective of maximizing profitability. The Financial Services Authority (OJK) reported that the industry's growth in 2022 reached 5–7%, an increase from the previous year, which was affected by the country's economic downturn. The food and beverage sub-sector is a major contributor to industrial growth and is expected to continue playing a vital role in the future.</w:t>
      </w:r>
    </w:p>
    <w:p w14:paraId="59EEEBC8"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 xml:space="preserve">In line with the growing complexity of business operations and increased investment activity, investors now demand more timely and relevant information. Timeliness is a key factor in delivering relevant financial information. Financial reports serve as useful information only </w:t>
      </w:r>
      <w:commentRangeStart w:id="7"/>
      <w:r w:rsidRPr="00E738CF">
        <w:rPr>
          <w:rFonts w:ascii="Arial" w:hAnsi="Arial" w:cs="Arial"/>
          <w:lang w:val="en-ID"/>
        </w:rPr>
        <w:t>when they are provided in a timely manner—before their ability to influence decision-making is diminished (Ekky, 2012:35). Any undue delay in financial reporting may compromise the relevance of the information (Hendriksen &amp; Breda, 2009:142).</w:t>
      </w:r>
    </w:p>
    <w:p w14:paraId="3DD832EB"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On August 31, 2020, the Indonesia Stock Exchange (IDX) suspended trading for nine listed companies and extended the suspension for an additional 17 companies, bringing the total to 26 issuers. The suspension was due to the failure to submit audited financial statements for the year ending December 31, 2019, and unresolved penalties. Referring to Rule I-H Article II.6.3 on Sanctions, IDX had already issued a third written warning and imposed an additional fine of IDR 150 million on listed companies that failed to meet their financial reporting obligations.</w:t>
      </w:r>
      <w:commentRangeEnd w:id="7"/>
      <w:r w:rsidR="00526D38">
        <w:rPr>
          <w:rStyle w:val="CommentReference"/>
          <w:rFonts w:ascii="Times New Roman" w:hAnsi="Times New Roman"/>
          <w:lang w:val="nb-NO" w:eastAsia="nb-NO"/>
        </w:rPr>
        <w:commentReference w:id="7"/>
      </w:r>
    </w:p>
    <w:p w14:paraId="2A26445A"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According to Rule I-H Article II.6.4, IDX enforces trading suspensions starting from the 91st calendar day after the deadline if companies have not submitted their financial reports or failed to pay the corresponding fines. As of August 29, 2020, 26 companies had not complied with these requirements.</w:t>
      </w:r>
    </w:p>
    <w:p w14:paraId="1919088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 xml:space="preserve">As a result, IDX halted regular and cash market trading for the following nine companies: PT </w:t>
      </w:r>
      <w:proofErr w:type="spellStart"/>
      <w:r w:rsidRPr="00E738CF">
        <w:rPr>
          <w:rFonts w:ascii="Arial" w:hAnsi="Arial" w:cs="Arial"/>
          <w:lang w:val="en-ID"/>
        </w:rPr>
        <w:t>Bakrieland</w:t>
      </w:r>
      <w:proofErr w:type="spellEnd"/>
      <w:r w:rsidRPr="00E738CF">
        <w:rPr>
          <w:rFonts w:ascii="Arial" w:hAnsi="Arial" w:cs="Arial"/>
          <w:lang w:val="en-ID"/>
        </w:rPr>
        <w:t xml:space="preserve"> Development </w:t>
      </w:r>
      <w:proofErr w:type="spellStart"/>
      <w:r w:rsidRPr="00E738CF">
        <w:rPr>
          <w:rFonts w:ascii="Arial" w:hAnsi="Arial" w:cs="Arial"/>
          <w:lang w:val="en-ID"/>
        </w:rPr>
        <w:t>Tbk</w:t>
      </w:r>
      <w:proofErr w:type="spellEnd"/>
      <w:r w:rsidRPr="00E738CF">
        <w:rPr>
          <w:rFonts w:ascii="Arial" w:hAnsi="Arial" w:cs="Arial"/>
          <w:lang w:val="en-ID"/>
        </w:rPr>
        <w:t xml:space="preserve">. (ELTY), PT Central </w:t>
      </w:r>
      <w:proofErr w:type="spellStart"/>
      <w:r w:rsidRPr="00E738CF">
        <w:rPr>
          <w:rFonts w:ascii="Arial" w:hAnsi="Arial" w:cs="Arial"/>
          <w:lang w:val="en-ID"/>
        </w:rPr>
        <w:t>Proteina</w:t>
      </w:r>
      <w:proofErr w:type="spellEnd"/>
      <w:r w:rsidRPr="00E738CF">
        <w:rPr>
          <w:rFonts w:ascii="Arial" w:hAnsi="Arial" w:cs="Arial"/>
          <w:lang w:val="en-ID"/>
        </w:rPr>
        <w:t xml:space="preserve"> Prima </w:t>
      </w:r>
      <w:proofErr w:type="spellStart"/>
      <w:r w:rsidRPr="00E738CF">
        <w:rPr>
          <w:rFonts w:ascii="Arial" w:hAnsi="Arial" w:cs="Arial"/>
          <w:lang w:val="en-ID"/>
        </w:rPr>
        <w:t>Tbk</w:t>
      </w:r>
      <w:proofErr w:type="spellEnd"/>
      <w:r w:rsidRPr="00E738CF">
        <w:rPr>
          <w:rFonts w:ascii="Arial" w:hAnsi="Arial" w:cs="Arial"/>
          <w:lang w:val="en-ID"/>
        </w:rPr>
        <w:t xml:space="preserve">. (CPRO), PT </w:t>
      </w:r>
      <w:proofErr w:type="spellStart"/>
      <w:r w:rsidRPr="00E738CF">
        <w:rPr>
          <w:rFonts w:ascii="Arial" w:hAnsi="Arial" w:cs="Arial"/>
          <w:lang w:val="en-ID"/>
        </w:rPr>
        <w:t>Eterindo</w:t>
      </w:r>
      <w:proofErr w:type="spellEnd"/>
      <w:r w:rsidRPr="00E738CF">
        <w:rPr>
          <w:rFonts w:ascii="Arial" w:hAnsi="Arial" w:cs="Arial"/>
          <w:lang w:val="en-ID"/>
        </w:rPr>
        <w:t xml:space="preserve"> </w:t>
      </w:r>
      <w:proofErr w:type="spellStart"/>
      <w:r w:rsidRPr="00E738CF">
        <w:rPr>
          <w:rFonts w:ascii="Arial" w:hAnsi="Arial" w:cs="Arial"/>
          <w:lang w:val="en-ID"/>
        </w:rPr>
        <w:t>Wahanatama</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(ETWA), PT </w:t>
      </w:r>
      <w:proofErr w:type="spellStart"/>
      <w:r w:rsidRPr="00E738CF">
        <w:rPr>
          <w:rFonts w:ascii="Arial" w:hAnsi="Arial" w:cs="Arial"/>
          <w:lang w:val="en-ID"/>
        </w:rPr>
        <w:t>Exploitasi</w:t>
      </w:r>
      <w:proofErr w:type="spellEnd"/>
      <w:r w:rsidRPr="00E738CF">
        <w:rPr>
          <w:rFonts w:ascii="Arial" w:hAnsi="Arial" w:cs="Arial"/>
          <w:lang w:val="en-ID"/>
        </w:rPr>
        <w:t xml:space="preserve"> </w:t>
      </w:r>
      <w:proofErr w:type="spellStart"/>
      <w:r w:rsidRPr="00E738CF">
        <w:rPr>
          <w:rFonts w:ascii="Arial" w:hAnsi="Arial" w:cs="Arial"/>
          <w:lang w:val="en-ID"/>
        </w:rPr>
        <w:t>Energi</w:t>
      </w:r>
      <w:proofErr w:type="spellEnd"/>
      <w:r w:rsidRPr="00E738CF">
        <w:rPr>
          <w:rFonts w:ascii="Arial" w:hAnsi="Arial" w:cs="Arial"/>
          <w:lang w:val="en-ID"/>
        </w:rPr>
        <w:t xml:space="preserve"> Indonesia </w:t>
      </w:r>
      <w:proofErr w:type="spellStart"/>
      <w:r w:rsidRPr="00E738CF">
        <w:rPr>
          <w:rFonts w:ascii="Arial" w:hAnsi="Arial" w:cs="Arial"/>
          <w:lang w:val="en-ID"/>
        </w:rPr>
        <w:t>Tbk</w:t>
      </w:r>
      <w:proofErr w:type="spellEnd"/>
      <w:r w:rsidRPr="00E738CF">
        <w:rPr>
          <w:rFonts w:ascii="Arial" w:hAnsi="Arial" w:cs="Arial"/>
          <w:lang w:val="en-ID"/>
        </w:rPr>
        <w:t xml:space="preserve">. (CNKO), PT </w:t>
      </w:r>
      <w:proofErr w:type="spellStart"/>
      <w:r w:rsidRPr="00E738CF">
        <w:rPr>
          <w:rFonts w:ascii="Arial" w:hAnsi="Arial" w:cs="Arial"/>
          <w:lang w:val="en-ID"/>
        </w:rPr>
        <w:t>Graha</w:t>
      </w:r>
      <w:proofErr w:type="spellEnd"/>
      <w:r w:rsidRPr="00E738CF">
        <w:rPr>
          <w:rFonts w:ascii="Arial" w:hAnsi="Arial" w:cs="Arial"/>
          <w:lang w:val="en-ID"/>
        </w:rPr>
        <w:t xml:space="preserve"> </w:t>
      </w:r>
      <w:proofErr w:type="spellStart"/>
      <w:r w:rsidRPr="00E738CF">
        <w:rPr>
          <w:rFonts w:ascii="Arial" w:hAnsi="Arial" w:cs="Arial"/>
          <w:lang w:val="en-ID"/>
        </w:rPr>
        <w:t>Andrasenta</w:t>
      </w:r>
      <w:proofErr w:type="spellEnd"/>
      <w:r w:rsidRPr="00E738CF">
        <w:rPr>
          <w:rFonts w:ascii="Arial" w:hAnsi="Arial" w:cs="Arial"/>
          <w:lang w:val="en-ID"/>
        </w:rPr>
        <w:t xml:space="preserve"> </w:t>
      </w:r>
      <w:proofErr w:type="spellStart"/>
      <w:r w:rsidRPr="00E738CF">
        <w:rPr>
          <w:rFonts w:ascii="Arial" w:hAnsi="Arial" w:cs="Arial"/>
          <w:lang w:val="en-ID"/>
        </w:rPr>
        <w:t>Propertindo</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(JGLE), PT Grand </w:t>
      </w:r>
      <w:proofErr w:type="spellStart"/>
      <w:r w:rsidRPr="00E738CF">
        <w:rPr>
          <w:rFonts w:ascii="Arial" w:hAnsi="Arial" w:cs="Arial"/>
          <w:lang w:val="en-ID"/>
        </w:rPr>
        <w:t>Kartech</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xml:space="preserve">. </w:t>
      </w:r>
      <w:r w:rsidRPr="00305B5E">
        <w:rPr>
          <w:rFonts w:ascii="Arial" w:hAnsi="Arial" w:cs="Arial"/>
          <w:lang w:val="fr-FR"/>
        </w:rPr>
        <w:t xml:space="preserve">(KRAH), PT Mitra </w:t>
      </w:r>
      <w:proofErr w:type="spellStart"/>
      <w:r w:rsidRPr="00305B5E">
        <w:rPr>
          <w:rFonts w:ascii="Arial" w:hAnsi="Arial" w:cs="Arial"/>
          <w:lang w:val="fr-FR"/>
        </w:rPr>
        <w:t>Pemuda</w:t>
      </w:r>
      <w:proofErr w:type="spellEnd"/>
      <w:r w:rsidRPr="00305B5E">
        <w:rPr>
          <w:rFonts w:ascii="Arial" w:hAnsi="Arial" w:cs="Arial"/>
          <w:lang w:val="fr-FR"/>
        </w:rPr>
        <w:t xml:space="preserve"> </w:t>
      </w:r>
      <w:proofErr w:type="spellStart"/>
      <w:r w:rsidRPr="00305B5E">
        <w:rPr>
          <w:rFonts w:ascii="Arial" w:hAnsi="Arial" w:cs="Arial"/>
          <w:lang w:val="fr-FR"/>
        </w:rPr>
        <w:t>Tbk</w:t>
      </w:r>
      <w:proofErr w:type="spellEnd"/>
      <w:r w:rsidRPr="00305B5E">
        <w:rPr>
          <w:rFonts w:ascii="Arial" w:hAnsi="Arial" w:cs="Arial"/>
          <w:lang w:val="fr-FR"/>
        </w:rPr>
        <w:t xml:space="preserve">. (MTRA), PT </w:t>
      </w:r>
      <w:proofErr w:type="spellStart"/>
      <w:r w:rsidRPr="00305B5E">
        <w:rPr>
          <w:rFonts w:ascii="Arial" w:hAnsi="Arial" w:cs="Arial"/>
          <w:lang w:val="fr-FR"/>
        </w:rPr>
        <w:t>Ratu</w:t>
      </w:r>
      <w:proofErr w:type="spellEnd"/>
      <w:r w:rsidRPr="00305B5E">
        <w:rPr>
          <w:rFonts w:ascii="Arial" w:hAnsi="Arial" w:cs="Arial"/>
          <w:lang w:val="fr-FR"/>
        </w:rPr>
        <w:t xml:space="preserve"> </w:t>
      </w:r>
      <w:proofErr w:type="spellStart"/>
      <w:r w:rsidRPr="00305B5E">
        <w:rPr>
          <w:rFonts w:ascii="Arial" w:hAnsi="Arial" w:cs="Arial"/>
          <w:lang w:val="fr-FR"/>
        </w:rPr>
        <w:t>Prabu</w:t>
      </w:r>
      <w:proofErr w:type="spellEnd"/>
      <w:r w:rsidRPr="00305B5E">
        <w:rPr>
          <w:rFonts w:ascii="Arial" w:hAnsi="Arial" w:cs="Arial"/>
          <w:lang w:val="fr-FR"/>
        </w:rPr>
        <w:t xml:space="preserve"> </w:t>
      </w:r>
      <w:proofErr w:type="spellStart"/>
      <w:r w:rsidRPr="00305B5E">
        <w:rPr>
          <w:rFonts w:ascii="Arial" w:hAnsi="Arial" w:cs="Arial"/>
          <w:lang w:val="fr-FR"/>
        </w:rPr>
        <w:t>Energi</w:t>
      </w:r>
      <w:proofErr w:type="spellEnd"/>
      <w:r w:rsidRPr="00305B5E">
        <w:rPr>
          <w:rFonts w:ascii="Arial" w:hAnsi="Arial" w:cs="Arial"/>
          <w:lang w:val="fr-FR"/>
        </w:rPr>
        <w:t xml:space="preserve"> </w:t>
      </w:r>
      <w:proofErr w:type="spellStart"/>
      <w:r w:rsidRPr="00305B5E">
        <w:rPr>
          <w:rFonts w:ascii="Arial" w:hAnsi="Arial" w:cs="Arial"/>
          <w:lang w:val="fr-FR"/>
        </w:rPr>
        <w:t>Tbk</w:t>
      </w:r>
      <w:proofErr w:type="spellEnd"/>
      <w:r w:rsidRPr="00305B5E">
        <w:rPr>
          <w:rFonts w:ascii="Arial" w:hAnsi="Arial" w:cs="Arial"/>
          <w:lang w:val="fr-FR"/>
        </w:rPr>
        <w:t xml:space="preserve">. </w:t>
      </w:r>
      <w:r w:rsidRPr="00E738CF">
        <w:rPr>
          <w:rFonts w:ascii="Arial" w:hAnsi="Arial" w:cs="Arial"/>
          <w:lang w:val="en-ID"/>
        </w:rPr>
        <w:t xml:space="preserve">(ARTI), and PT </w:t>
      </w:r>
      <w:proofErr w:type="spellStart"/>
      <w:r w:rsidRPr="00E738CF">
        <w:rPr>
          <w:rFonts w:ascii="Arial" w:hAnsi="Arial" w:cs="Arial"/>
          <w:lang w:val="en-ID"/>
        </w:rPr>
        <w:t>Sinergi</w:t>
      </w:r>
      <w:proofErr w:type="spellEnd"/>
      <w:r w:rsidRPr="00E738CF">
        <w:rPr>
          <w:rFonts w:ascii="Arial" w:hAnsi="Arial" w:cs="Arial"/>
          <w:lang w:val="en-ID"/>
        </w:rPr>
        <w:t xml:space="preserve"> </w:t>
      </w:r>
      <w:proofErr w:type="spellStart"/>
      <w:r w:rsidRPr="00E738CF">
        <w:rPr>
          <w:rFonts w:ascii="Arial" w:hAnsi="Arial" w:cs="Arial"/>
          <w:lang w:val="en-ID"/>
        </w:rPr>
        <w:t>Megah</w:t>
      </w:r>
      <w:proofErr w:type="spellEnd"/>
      <w:r w:rsidRPr="00E738CF">
        <w:rPr>
          <w:rFonts w:ascii="Arial" w:hAnsi="Arial" w:cs="Arial"/>
          <w:lang w:val="en-ID"/>
        </w:rPr>
        <w:t xml:space="preserve"> </w:t>
      </w:r>
      <w:proofErr w:type="spellStart"/>
      <w:r w:rsidRPr="00E738CF">
        <w:rPr>
          <w:rFonts w:ascii="Arial" w:hAnsi="Arial" w:cs="Arial"/>
          <w:lang w:val="en-ID"/>
        </w:rPr>
        <w:t>Internusa</w:t>
      </w:r>
      <w:proofErr w:type="spellEnd"/>
      <w:r w:rsidRPr="00E738CF">
        <w:rPr>
          <w:rFonts w:ascii="Arial" w:hAnsi="Arial" w:cs="Arial"/>
          <w:lang w:val="en-ID"/>
        </w:rPr>
        <w:t xml:space="preserve"> </w:t>
      </w:r>
      <w:proofErr w:type="spellStart"/>
      <w:r w:rsidRPr="00E738CF">
        <w:rPr>
          <w:rFonts w:ascii="Arial" w:hAnsi="Arial" w:cs="Arial"/>
          <w:lang w:val="en-ID"/>
        </w:rPr>
        <w:t>Tbk</w:t>
      </w:r>
      <w:proofErr w:type="spellEnd"/>
      <w:r w:rsidRPr="00E738CF">
        <w:rPr>
          <w:rFonts w:ascii="Arial" w:hAnsi="Arial" w:cs="Arial"/>
          <w:lang w:val="en-ID"/>
        </w:rPr>
        <w:t>. (NUSA).</w:t>
      </w:r>
    </w:p>
    <w:p w14:paraId="70685EEE"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Additionally, the suspension continued for 17 other companies due to similar violations, as specified in the IDX Director’s Decree No. 307/BEJ/07-2006 and Rule No. I-H. The sanctions imposed range from written warnings to fines and trading suspensions for delays of over 30, 60, or 90 days in financial report submission or penalty payment.</w:t>
      </w:r>
    </w:p>
    <w:p w14:paraId="6F0ECC6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Previous research has identified several factors influencing the timeliness of financial reporting, including company size, company age, and capital structure. This study is important because there are still food and beverage companies that fail to submit their financial statements on time, thus not meeting the expectations of financial report users.</w:t>
      </w:r>
    </w:p>
    <w:p w14:paraId="25C402F4" w14:textId="77777777" w:rsidR="00E738CF" w:rsidRPr="00E738CF" w:rsidRDefault="00E738CF" w:rsidP="00E738CF">
      <w:pPr>
        <w:pStyle w:val="Body"/>
        <w:spacing w:after="0"/>
        <w:rPr>
          <w:rFonts w:ascii="Arial" w:hAnsi="Arial" w:cs="Arial"/>
          <w:lang w:val="en-ID"/>
        </w:rPr>
      </w:pPr>
      <w:r w:rsidRPr="00E738CF">
        <w:rPr>
          <w:rFonts w:ascii="Arial" w:hAnsi="Arial" w:cs="Arial"/>
          <w:lang w:val="en-ID"/>
        </w:rPr>
        <w:t>Based on the above issues, the researcher is interested in conducting a thesis entitled:</w:t>
      </w:r>
      <w:r w:rsidRPr="00E738CF">
        <w:rPr>
          <w:rFonts w:ascii="Arial" w:hAnsi="Arial" w:cs="Arial"/>
          <w:lang w:val="en-ID"/>
        </w:rPr>
        <w:br/>
      </w:r>
      <w:r w:rsidRPr="00E738CF">
        <w:rPr>
          <w:rFonts w:ascii="Arial" w:hAnsi="Arial" w:cs="Arial"/>
          <w:b/>
          <w:bCs/>
          <w:lang w:val="en-ID"/>
        </w:rPr>
        <w:t>“The Influence of Company Size, Company Age, and Capital Structure on the Timeliness of Financial Reporting with Financial Performance as an Intervening Variable: A Study of Food and Beverage Companies Listed on the Indonesia Stock Exchange (IDX) During 2019–2022.”</w:t>
      </w:r>
      <w:commentRangeEnd w:id="6"/>
      <w:r w:rsidR="00526D38">
        <w:rPr>
          <w:rStyle w:val="CommentReference"/>
          <w:rFonts w:ascii="Times New Roman" w:hAnsi="Times New Roman"/>
          <w:lang w:val="nb-NO" w:eastAsia="nb-NO"/>
        </w:rPr>
        <w:commentReference w:id="6"/>
      </w:r>
    </w:p>
    <w:p w14:paraId="6BB21066" w14:textId="77777777" w:rsidR="00790ADA" w:rsidRPr="00FB3A86" w:rsidRDefault="00790ADA" w:rsidP="00441B6F">
      <w:pPr>
        <w:pStyle w:val="Body"/>
        <w:spacing w:after="0"/>
        <w:rPr>
          <w:rFonts w:ascii="Arial" w:hAnsi="Arial" w:cs="Arial"/>
        </w:rPr>
      </w:pPr>
    </w:p>
    <w:p w14:paraId="292BF704" w14:textId="77777777" w:rsidR="00E738CF" w:rsidRDefault="00CF0CC2" w:rsidP="00E738CF">
      <w:pPr>
        <w:pStyle w:val="AbstHead"/>
        <w:spacing w:after="0"/>
        <w:jc w:val="both"/>
        <w:rPr>
          <w:rFonts w:ascii="Arial" w:hAnsi="Arial" w:cs="Arial"/>
          <w:bCs/>
          <w:lang w:val="en-ID"/>
        </w:rPr>
      </w:pPr>
      <w:r>
        <w:rPr>
          <w:rFonts w:ascii="Arial" w:hAnsi="Arial" w:cs="Arial"/>
          <w:bCs/>
          <w:lang w:val="en-ID"/>
        </w:rPr>
        <w:t>2.</w:t>
      </w:r>
      <w:r w:rsidR="00E738CF" w:rsidRPr="00E738CF">
        <w:rPr>
          <w:rFonts w:ascii="Arial" w:hAnsi="Arial" w:cs="Arial"/>
          <w:bCs/>
          <w:lang w:val="en-ID"/>
        </w:rPr>
        <w:t>LITERATURE REVIEW</w:t>
      </w:r>
    </w:p>
    <w:p w14:paraId="16B025E7"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2.1 Overview of the Food and Beverage Industry</w:t>
      </w:r>
      <w:r w:rsidRPr="00CF0CC2">
        <w:rPr>
          <w:rFonts w:ascii="Arial" w:hAnsi="Arial" w:cs="Arial"/>
          <w:lang w:val="en-ID"/>
        </w:rPr>
        <w:t xml:space="preserve"> The food and beverage industry represents one of the most rapidly expanding sectors in Indonesia's economy. In recent years, this industry has experienced significant growth due to increasing consumer demand, rising income levels, and changing lifestyles. According to the Financial Services Authority (OJK), the industry demonstrated a 5% to 7% growth in 2022, indicating a recovery from previous </w:t>
      </w:r>
      <w:r w:rsidRPr="00CF0CC2">
        <w:rPr>
          <w:rFonts w:ascii="Arial" w:hAnsi="Arial" w:cs="Arial"/>
          <w:lang w:val="en-ID"/>
        </w:rPr>
        <w:lastRenderedPageBreak/>
        <w:t>economic downturns. The food and beverage sub-sector remains a key contributor to national economic development and is expected to sustain its role in future industrial performance.</w:t>
      </w:r>
    </w:p>
    <w:p w14:paraId="7EAAD366"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2.2 Importance of Timeliness in Financial Reporting</w:t>
      </w:r>
      <w:r w:rsidRPr="00CF0CC2">
        <w:rPr>
          <w:rFonts w:ascii="Arial" w:hAnsi="Arial" w:cs="Arial"/>
          <w:lang w:val="en-ID"/>
        </w:rPr>
        <w:t xml:space="preserve"> Timeliness in financial reporting is a fundamental attribute of financial information quality. Timely reports enable stakeholders to make decisions based on up-to-date data, thus improving the efficiency of capital markets. </w:t>
      </w:r>
      <w:proofErr w:type="spellStart"/>
      <w:r w:rsidRPr="00CF0CC2">
        <w:rPr>
          <w:rFonts w:ascii="Arial" w:hAnsi="Arial" w:cs="Arial"/>
          <w:lang w:val="en-ID"/>
        </w:rPr>
        <w:t>Ekky</w:t>
      </w:r>
      <w:proofErr w:type="spellEnd"/>
      <w:r w:rsidRPr="00CF0CC2">
        <w:rPr>
          <w:rFonts w:ascii="Arial" w:hAnsi="Arial" w:cs="Arial"/>
          <w:lang w:val="en-ID"/>
        </w:rPr>
        <w:t xml:space="preserve"> (2012) asserts that financial statements are only useful when provided promptly, as delays reduce their relevance and impair decision-making. Similarly, Hendriksen and Breda (2009) argue that untimely financial disclosures diminish their value, particularly when they are released after the period in which key decisions are made.</w:t>
      </w:r>
    </w:p>
    <w:p w14:paraId="7A7CF101"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2.3 Regulatory Context and Sanctions for Non-Compliance</w:t>
      </w:r>
      <w:r w:rsidRPr="00CF0CC2">
        <w:rPr>
          <w:rFonts w:ascii="Arial" w:hAnsi="Arial" w:cs="Arial"/>
          <w:lang w:val="en-ID"/>
        </w:rPr>
        <w:t xml:space="preserve"> Despite regulatory efforts to enforce timeliness, several companies continue to experience delays in financial reporting. The Indonesia Stock Exchange (IDX) suspended 26 listed firms in 2020 due to non-compliance with financial reporting requirements, including failure to submit audited financial statements and pay regulatory fines. IDX Rule I-H outlines various sanctions for such violations, ranging from written warnings to monetary penalties and suspension of trading activities. These measures highlight the ongoing challenges in ensuring compliance with reporting standards.</w:t>
      </w:r>
    </w:p>
    <w:p w14:paraId="2636A46F"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 Determinants of Timeliness in Financial Reporting</w:t>
      </w:r>
      <w:r w:rsidRPr="00CF0CC2">
        <w:rPr>
          <w:rFonts w:ascii="Arial" w:hAnsi="Arial" w:cs="Arial"/>
          <w:lang w:val="en-ID"/>
        </w:rPr>
        <w:t xml:space="preserve"> Numerous studies have identified factors influencing the timeliness of financial reports.</w:t>
      </w:r>
    </w:p>
    <w:p w14:paraId="194EED8D"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 xml:space="preserve">2.4.1 </w:t>
      </w:r>
      <w:commentRangeStart w:id="8"/>
      <w:r w:rsidRPr="00CF0CC2">
        <w:rPr>
          <w:rFonts w:ascii="Arial" w:hAnsi="Arial" w:cs="Arial"/>
          <w:b/>
          <w:bCs/>
          <w:lang w:val="en-ID"/>
        </w:rPr>
        <w:t>Company Size</w:t>
      </w:r>
      <w:r w:rsidRPr="00CF0CC2">
        <w:rPr>
          <w:rFonts w:ascii="Arial" w:hAnsi="Arial" w:cs="Arial"/>
          <w:lang w:val="en-ID"/>
        </w:rPr>
        <w:t xml:space="preserve"> Larger </w:t>
      </w:r>
      <w:commentRangeEnd w:id="8"/>
      <w:r w:rsidR="003029C5">
        <w:rPr>
          <w:rStyle w:val="CommentReference"/>
          <w:rFonts w:ascii="Times New Roman" w:hAnsi="Times New Roman"/>
          <w:lang w:val="nb-NO" w:eastAsia="nb-NO"/>
        </w:rPr>
        <w:commentReference w:id="8"/>
      </w:r>
      <w:r w:rsidRPr="00CF0CC2">
        <w:rPr>
          <w:rFonts w:ascii="Arial" w:hAnsi="Arial" w:cs="Arial"/>
          <w:lang w:val="en-ID"/>
        </w:rPr>
        <w:t xml:space="preserve">firms generally have more structured internal controls, dedicated accounting departments, and advanced information systems. As a result, they are better equipped to meet regulatory deadlines for financial reporting. Kartika and </w:t>
      </w:r>
      <w:proofErr w:type="spellStart"/>
      <w:r w:rsidRPr="00CF0CC2">
        <w:rPr>
          <w:rFonts w:ascii="Arial" w:hAnsi="Arial" w:cs="Arial"/>
          <w:lang w:val="en-ID"/>
        </w:rPr>
        <w:t>Budiasih</w:t>
      </w:r>
      <w:proofErr w:type="spellEnd"/>
      <w:r w:rsidRPr="00CF0CC2">
        <w:rPr>
          <w:rFonts w:ascii="Arial" w:hAnsi="Arial" w:cs="Arial"/>
          <w:lang w:val="en-ID"/>
        </w:rPr>
        <w:t xml:space="preserve"> (2015) found a positive relationship between firm size and reporting timeliness.</w:t>
      </w:r>
    </w:p>
    <w:p w14:paraId="03FBE8AF" w14:textId="77777777" w:rsidR="00CF0CC2" w:rsidRPr="00CF0CC2" w:rsidRDefault="00CF0CC2" w:rsidP="00CF0CC2">
      <w:pPr>
        <w:pStyle w:val="Body"/>
        <w:spacing w:after="0"/>
        <w:rPr>
          <w:rFonts w:ascii="Arial" w:hAnsi="Arial" w:cs="Arial"/>
          <w:lang w:val="en-ID"/>
        </w:rPr>
      </w:pPr>
      <w:commentRangeStart w:id="9"/>
      <w:r w:rsidRPr="00CF0CC2">
        <w:rPr>
          <w:rFonts w:ascii="Arial" w:hAnsi="Arial" w:cs="Arial"/>
          <w:b/>
          <w:bCs/>
          <w:lang w:val="en-ID"/>
        </w:rPr>
        <w:t>2.4.2 Company Age</w:t>
      </w:r>
      <w:r w:rsidRPr="00CF0CC2">
        <w:rPr>
          <w:rFonts w:ascii="Arial" w:hAnsi="Arial" w:cs="Arial"/>
          <w:lang w:val="en-ID"/>
        </w:rPr>
        <w:t xml:space="preserve"> Older companies tend to have more experience and established reporting routines, making them more likely to comply with financial reporting timelines. Their historical knowledge and organizational stability contribute to improved timeliness (Nasution &amp; Setiawan, 2017).</w:t>
      </w:r>
    </w:p>
    <w:p w14:paraId="721A265C"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2.4.3 Capital Structure</w:t>
      </w:r>
      <w:r w:rsidRPr="00CF0CC2">
        <w:rPr>
          <w:rFonts w:ascii="Arial" w:hAnsi="Arial" w:cs="Arial"/>
          <w:lang w:val="en-ID"/>
        </w:rPr>
        <w:t xml:space="preserve"> The capital structure of a company can also impact the timeliness of financial reporting. Firms with high levels of debt face greater scrutiny from creditors and thus may be under pressure to provide timely and accurate financial statements. Conversely, firms with less financial leverage might not feel the same urgency.</w:t>
      </w:r>
      <w:commentRangeEnd w:id="9"/>
      <w:r w:rsidR="003029C5">
        <w:rPr>
          <w:rStyle w:val="CommentReference"/>
          <w:rFonts w:ascii="Times New Roman" w:hAnsi="Times New Roman"/>
          <w:lang w:val="nb-NO" w:eastAsia="nb-NO"/>
        </w:rPr>
        <w:commentReference w:id="9"/>
      </w:r>
    </w:p>
    <w:p w14:paraId="703E9EBD"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 xml:space="preserve">2.5 The Role of </w:t>
      </w:r>
      <w:commentRangeStart w:id="10"/>
      <w:r w:rsidRPr="00CF0CC2">
        <w:rPr>
          <w:rFonts w:ascii="Arial" w:hAnsi="Arial" w:cs="Arial"/>
          <w:b/>
          <w:bCs/>
          <w:lang w:val="en-ID"/>
        </w:rPr>
        <w:t xml:space="preserve">Financial Performance </w:t>
      </w:r>
      <w:commentRangeEnd w:id="10"/>
      <w:r w:rsidR="003029C5">
        <w:rPr>
          <w:rStyle w:val="CommentReference"/>
          <w:rFonts w:ascii="Times New Roman" w:hAnsi="Times New Roman"/>
          <w:lang w:val="nb-NO" w:eastAsia="nb-NO"/>
        </w:rPr>
        <w:commentReference w:id="10"/>
      </w:r>
      <w:r w:rsidRPr="00CF0CC2">
        <w:rPr>
          <w:rFonts w:ascii="Arial" w:hAnsi="Arial" w:cs="Arial"/>
          <w:b/>
          <w:bCs/>
          <w:lang w:val="en-ID"/>
        </w:rPr>
        <w:t>as a Mediating Variable</w:t>
      </w:r>
      <w:r w:rsidRPr="00CF0CC2">
        <w:rPr>
          <w:rFonts w:ascii="Arial" w:hAnsi="Arial" w:cs="Arial"/>
          <w:lang w:val="en-ID"/>
        </w:rPr>
        <w:t xml:space="preserve"> Financial performance has been proposed as a mediating factor in the relationship between company characteristics and reporting timeliness. Companies that perform well financially may be more inclined to disclose their results promptly as a signal of strength to investors. Al-Shammari (2014) notes that firms with higher profitability levels are generally more compliant with reporting regulations, while poor performers may delay disclosures to mitigate negative market reactions.</w:t>
      </w:r>
    </w:p>
    <w:p w14:paraId="2D5CBAAA" w14:textId="77777777" w:rsidR="00CF0CC2" w:rsidRPr="00CF0CC2" w:rsidRDefault="00CF0CC2" w:rsidP="00CF0CC2">
      <w:pPr>
        <w:pStyle w:val="Body"/>
        <w:spacing w:after="0"/>
        <w:rPr>
          <w:rFonts w:ascii="Arial" w:hAnsi="Arial" w:cs="Arial"/>
          <w:lang w:val="en-ID"/>
        </w:rPr>
      </w:pPr>
      <w:r w:rsidRPr="00CF0CC2">
        <w:rPr>
          <w:rFonts w:ascii="Arial" w:hAnsi="Arial" w:cs="Arial"/>
          <w:b/>
          <w:bCs/>
          <w:lang w:val="en-ID"/>
        </w:rPr>
        <w:t>2.6 Research Gap and Study Contribution</w:t>
      </w:r>
      <w:r w:rsidRPr="00CF0CC2">
        <w:rPr>
          <w:rFonts w:ascii="Arial" w:hAnsi="Arial" w:cs="Arial"/>
          <w:lang w:val="en-ID"/>
        </w:rPr>
        <w:t xml:space="preserve"> While previous research has identified various determinants of financial reporting timeliness, there remains a lack of focused studies on the food and beverage sector in Indonesia, particularly during periods of regulatory tightening and economic fluctuation. Additionally, the mediating role of financial performance in this relationship remains underexplored. This study seeks to fill this gap by examining the effects of company size, company age, and capital structure on the timeliness of financial reporting, using financial performance as an intervening variable. The analysis will focus on food and beverage companies listed on the Indonesia Stock Exchange between 2019 and 2022.</w:t>
      </w:r>
    </w:p>
    <w:p w14:paraId="5971C4ED" w14:textId="77777777" w:rsidR="00CF0CC2" w:rsidRDefault="00CF0CC2" w:rsidP="00CF0CC2">
      <w:pPr>
        <w:pStyle w:val="Body"/>
        <w:spacing w:after="0"/>
        <w:rPr>
          <w:rFonts w:ascii="Arial" w:hAnsi="Arial" w:cs="Arial"/>
          <w:lang w:val="en-ID"/>
        </w:rPr>
      </w:pPr>
      <w:r w:rsidRPr="00CF0CC2">
        <w:rPr>
          <w:rFonts w:ascii="Arial" w:hAnsi="Arial" w:cs="Arial"/>
          <w:lang w:val="en-ID"/>
        </w:rPr>
        <w:t>This chapter has provided the theoretical and empirical foundation for understanding the determinants of timely financial reporting and has outlined the context in which the current study is positioned.</w:t>
      </w:r>
    </w:p>
    <w:p w14:paraId="7C9CA8A3" w14:textId="77777777" w:rsidR="00CF0CC2" w:rsidRDefault="00CF0CC2" w:rsidP="00CF0CC2">
      <w:pPr>
        <w:pStyle w:val="Body"/>
        <w:spacing w:after="0"/>
        <w:rPr>
          <w:rFonts w:ascii="Arial" w:hAnsi="Arial" w:cs="Arial"/>
          <w:lang w:val="en-ID"/>
        </w:rPr>
      </w:pPr>
    </w:p>
    <w:p w14:paraId="20FE6EAD" w14:textId="77777777" w:rsidR="00CF0CC2" w:rsidRPr="00CF0CC2" w:rsidRDefault="00CF0CC2" w:rsidP="00CF0CC2">
      <w:pPr>
        <w:pStyle w:val="Body"/>
        <w:spacing w:after="0"/>
        <w:rPr>
          <w:rFonts w:ascii="Arial" w:hAnsi="Arial" w:cs="Arial"/>
          <w:b/>
          <w:bCs/>
          <w:lang w:val="en-ID"/>
        </w:rPr>
      </w:pPr>
      <w:commentRangeStart w:id="11"/>
      <w:r w:rsidRPr="00CF0CC2">
        <w:rPr>
          <w:rFonts w:ascii="Arial" w:hAnsi="Arial" w:cs="Arial"/>
          <w:b/>
          <w:bCs/>
          <w:lang w:val="en-ID"/>
        </w:rPr>
        <w:t>2.</w:t>
      </w:r>
      <w:r>
        <w:rPr>
          <w:rFonts w:ascii="Arial" w:hAnsi="Arial" w:cs="Arial"/>
          <w:b/>
          <w:bCs/>
          <w:lang w:val="en-ID"/>
        </w:rPr>
        <w:t>7.</w:t>
      </w:r>
      <w:r w:rsidRPr="00CF0CC2">
        <w:rPr>
          <w:rFonts w:ascii="Arial" w:hAnsi="Arial" w:cs="Arial"/>
          <w:b/>
          <w:bCs/>
          <w:lang w:val="en-ID"/>
        </w:rPr>
        <w:t xml:space="preserve"> Research Gap</w:t>
      </w:r>
    </w:p>
    <w:p w14:paraId="5BE8A741"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 xml:space="preserve">Despite the growing body of literature exploring the determinants of the timeliness of financial reporting, notable limitations remain. Existing research has largely emphasized individual factors—such as company size, company age, and capital structure—without incorporating </w:t>
      </w:r>
      <w:r w:rsidRPr="00CF0CC2">
        <w:rPr>
          <w:rFonts w:ascii="Arial" w:hAnsi="Arial" w:cs="Arial"/>
          <w:lang w:val="en-ID"/>
        </w:rPr>
        <w:lastRenderedPageBreak/>
        <w:t>the role of financial performance as an intervening variable. Furthermore, most studies have focused on developed economies or large-cap firms, leaving a gap in understanding how these variables operate in the context of emerging markets like Indonesia, particularly within the food and beverage sector.</w:t>
      </w:r>
    </w:p>
    <w:p w14:paraId="0765629A"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The food and beverage industry represents a critical sector with increasing relevance due to its substantial contribution to Indonesia's economic growth. However, numerous companies in this industry have exhibited delays in submitting audited financial reports, leading to sanctions from regulatory authorities such as the Indonesia Stock Exchange (IDX). These issues highlight a need to investigate the underlying factors influencing such delays.</w:t>
      </w:r>
    </w:p>
    <w:p w14:paraId="57845655"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Additionally, although financial performance is widely recognized as an important factor in corporate transparency and governance, its role as a mediating variable remains underexplored. By integrating financial performance into the framework, this study aims to fill the research gap and provide a more nuanced understanding of how organizational characteristics affect the timeliness of financial reporting.</w:t>
      </w:r>
      <w:commentRangeEnd w:id="11"/>
      <w:r w:rsidR="003029C5">
        <w:rPr>
          <w:rStyle w:val="CommentReference"/>
          <w:rFonts w:ascii="Times New Roman" w:hAnsi="Times New Roman"/>
          <w:lang w:val="nb-NO" w:eastAsia="nb-NO"/>
        </w:rPr>
        <w:commentReference w:id="11"/>
      </w:r>
    </w:p>
    <w:p w14:paraId="0AF0D10D" w14:textId="77777777" w:rsidR="00CF0CC2" w:rsidRPr="00CF0CC2" w:rsidRDefault="00CF0CC2" w:rsidP="00CF0CC2">
      <w:pPr>
        <w:pStyle w:val="Body"/>
        <w:spacing w:after="0"/>
        <w:rPr>
          <w:rFonts w:ascii="Arial" w:hAnsi="Arial" w:cs="Arial"/>
          <w:b/>
          <w:bCs/>
          <w:lang w:val="en-ID"/>
        </w:rPr>
      </w:pPr>
      <w:r w:rsidRPr="00CF0CC2">
        <w:rPr>
          <w:rFonts w:ascii="Arial" w:hAnsi="Arial" w:cs="Arial"/>
          <w:b/>
          <w:bCs/>
          <w:lang w:val="en-ID"/>
        </w:rPr>
        <w:t>2.</w:t>
      </w:r>
      <w:r>
        <w:rPr>
          <w:rFonts w:ascii="Arial" w:hAnsi="Arial" w:cs="Arial"/>
          <w:b/>
          <w:bCs/>
          <w:lang w:val="en-ID"/>
        </w:rPr>
        <w:t>8.</w:t>
      </w:r>
      <w:r w:rsidRPr="00CF0CC2">
        <w:rPr>
          <w:rFonts w:ascii="Arial" w:hAnsi="Arial" w:cs="Arial"/>
          <w:b/>
          <w:bCs/>
          <w:lang w:val="en-ID"/>
        </w:rPr>
        <w:t xml:space="preserve"> Hypotheses Development</w:t>
      </w:r>
    </w:p>
    <w:p w14:paraId="53908EDA" w14:textId="77777777" w:rsidR="00CF0CC2" w:rsidRPr="00CF0CC2" w:rsidRDefault="00CF0CC2" w:rsidP="00CF0CC2">
      <w:pPr>
        <w:pStyle w:val="Body"/>
        <w:spacing w:after="0"/>
        <w:rPr>
          <w:rFonts w:ascii="Arial" w:hAnsi="Arial" w:cs="Arial"/>
          <w:lang w:val="en-ID"/>
        </w:rPr>
      </w:pPr>
      <w:r w:rsidRPr="00CF0CC2">
        <w:rPr>
          <w:rFonts w:ascii="Arial" w:hAnsi="Arial" w:cs="Arial"/>
          <w:lang w:val="en-ID"/>
        </w:rPr>
        <w:t>Based on theoretical foundations and empirical findings from the literature review, the following hypotheses are proposed:</w:t>
      </w:r>
    </w:p>
    <w:p w14:paraId="6BC524B3" w14:textId="77777777" w:rsidR="00CF0CC2" w:rsidRPr="00CF0CC2" w:rsidRDefault="00CF0CC2" w:rsidP="00CF0CC2">
      <w:pPr>
        <w:pStyle w:val="Body"/>
        <w:numPr>
          <w:ilvl w:val="0"/>
          <w:numId w:val="31"/>
        </w:numPr>
        <w:spacing w:after="0"/>
        <w:rPr>
          <w:rFonts w:ascii="Arial" w:hAnsi="Arial" w:cs="Arial"/>
          <w:lang w:val="en-ID"/>
        </w:rPr>
      </w:pPr>
      <w:commentRangeStart w:id="12"/>
      <w:r w:rsidRPr="00CF0CC2">
        <w:rPr>
          <w:rFonts w:ascii="Arial" w:hAnsi="Arial" w:cs="Arial"/>
          <w:b/>
          <w:bCs/>
          <w:lang w:val="en-ID"/>
        </w:rPr>
        <w:t>H1:</w:t>
      </w:r>
      <w:r w:rsidRPr="00CF0CC2">
        <w:rPr>
          <w:rFonts w:ascii="Arial" w:hAnsi="Arial" w:cs="Arial"/>
          <w:lang w:val="en-ID"/>
        </w:rPr>
        <w:t xml:space="preserve"> Company size has a positive effect on the timeliness of financial reporting.</w:t>
      </w:r>
    </w:p>
    <w:p w14:paraId="051DC943"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H2:</w:t>
      </w:r>
      <w:r w:rsidRPr="00CF0CC2">
        <w:rPr>
          <w:rFonts w:ascii="Arial" w:hAnsi="Arial" w:cs="Arial"/>
          <w:lang w:val="en-ID"/>
        </w:rPr>
        <w:t xml:space="preserve"> Company age has a positive effect on the timeliness of financial reporting.</w:t>
      </w:r>
    </w:p>
    <w:p w14:paraId="62BEC7E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H3:</w:t>
      </w:r>
      <w:r w:rsidRPr="00CF0CC2">
        <w:rPr>
          <w:rFonts w:ascii="Arial" w:hAnsi="Arial" w:cs="Arial"/>
          <w:lang w:val="en-ID"/>
        </w:rPr>
        <w:t xml:space="preserve"> Capital structure has a negative effect on the timeliness of financial reporting.</w:t>
      </w:r>
    </w:p>
    <w:p w14:paraId="4C0814CE"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H4:</w:t>
      </w:r>
      <w:r w:rsidRPr="00CF0CC2">
        <w:rPr>
          <w:rFonts w:ascii="Arial" w:hAnsi="Arial" w:cs="Arial"/>
          <w:lang w:val="en-ID"/>
        </w:rPr>
        <w:t xml:space="preserve"> Financial performance mediates the relationship between company size and the timeliness of financial reporting.</w:t>
      </w:r>
    </w:p>
    <w:p w14:paraId="6D12F08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H5:</w:t>
      </w:r>
      <w:r w:rsidRPr="00CF0CC2">
        <w:rPr>
          <w:rFonts w:ascii="Arial" w:hAnsi="Arial" w:cs="Arial"/>
          <w:lang w:val="en-ID"/>
        </w:rPr>
        <w:t xml:space="preserve"> Financial performance mediates the relationship between company age and the timeliness of financial reporting.</w:t>
      </w:r>
    </w:p>
    <w:p w14:paraId="0AA29F79" w14:textId="77777777" w:rsidR="00CF0CC2" w:rsidRPr="00CF0CC2" w:rsidRDefault="00CF0CC2" w:rsidP="00CF0CC2">
      <w:pPr>
        <w:pStyle w:val="Body"/>
        <w:numPr>
          <w:ilvl w:val="0"/>
          <w:numId w:val="31"/>
        </w:numPr>
        <w:spacing w:after="0"/>
        <w:rPr>
          <w:rFonts w:ascii="Arial" w:hAnsi="Arial" w:cs="Arial"/>
          <w:lang w:val="en-ID"/>
        </w:rPr>
      </w:pPr>
      <w:r w:rsidRPr="00CF0CC2">
        <w:rPr>
          <w:rFonts w:ascii="Arial" w:hAnsi="Arial" w:cs="Arial"/>
          <w:b/>
          <w:bCs/>
          <w:lang w:val="en-ID"/>
        </w:rPr>
        <w:t>H6:</w:t>
      </w:r>
      <w:r w:rsidRPr="00CF0CC2">
        <w:rPr>
          <w:rFonts w:ascii="Arial" w:hAnsi="Arial" w:cs="Arial"/>
          <w:lang w:val="en-ID"/>
        </w:rPr>
        <w:t xml:space="preserve"> Financial performance mediates the relationship between capital structure and the timeliness of financial reporting.</w:t>
      </w:r>
      <w:commentRangeEnd w:id="12"/>
      <w:r w:rsidR="00526D38">
        <w:rPr>
          <w:rStyle w:val="CommentReference"/>
          <w:rFonts w:ascii="Times New Roman" w:hAnsi="Times New Roman"/>
          <w:lang w:val="nb-NO" w:eastAsia="nb-NO"/>
        </w:rPr>
        <w:commentReference w:id="12"/>
      </w:r>
    </w:p>
    <w:p w14:paraId="1BCCA76C" w14:textId="77777777" w:rsidR="00CF0CC2" w:rsidRDefault="00CF0CC2" w:rsidP="00CF0CC2">
      <w:pPr>
        <w:pStyle w:val="Body"/>
        <w:spacing w:after="0"/>
        <w:rPr>
          <w:rFonts w:ascii="Arial" w:hAnsi="Arial" w:cs="Arial"/>
          <w:lang w:val="en-ID"/>
        </w:rPr>
      </w:pPr>
      <w:r w:rsidRPr="00CF0CC2">
        <w:rPr>
          <w:rFonts w:ascii="Arial" w:hAnsi="Arial" w:cs="Arial"/>
          <w:lang w:val="en-ID"/>
        </w:rPr>
        <w:t>This study aims to provide empirical evidence to support or refute these hypotheses within the scope of food and beverage companies listed on the Indonesia Stock Exchange between 2019 and 2022.</w:t>
      </w:r>
    </w:p>
    <w:p w14:paraId="66189ED2" w14:textId="0F772E62" w:rsidR="00066F3B" w:rsidRPr="00CF0CC2" w:rsidRDefault="00066F3B" w:rsidP="00CF0CC2">
      <w:pPr>
        <w:pStyle w:val="Body"/>
        <w:spacing w:after="0"/>
        <w:rPr>
          <w:rFonts w:ascii="Arial" w:hAnsi="Arial" w:cs="Arial"/>
          <w:lang w:val="en-ID"/>
        </w:rPr>
      </w:pPr>
      <w:r>
        <w:rPr>
          <w:rFonts w:ascii="Arial" w:hAnsi="Arial" w:cs="Arial"/>
          <w:lang w:val="en-ID"/>
        </w:rPr>
        <w:t>Fig 1-</w:t>
      </w:r>
      <w:r w:rsidR="003F4AC6">
        <w:rPr>
          <w:rFonts w:ascii="Arial" w:hAnsi="Arial" w:cs="Arial"/>
          <w:lang w:val="en-ID"/>
        </w:rPr>
        <w:t xml:space="preserve"> </w:t>
      </w:r>
      <w:r w:rsidR="003F4AC6" w:rsidRPr="003F4AC6">
        <w:rPr>
          <w:rFonts w:ascii="Arial" w:hAnsi="Arial" w:cs="Arial"/>
          <w:lang w:val="en-ID"/>
        </w:rPr>
        <w:t>Diagram showing how company size, age, and capital structure affect financial performance and the timeliness of financial reports</w:t>
      </w:r>
    </w:p>
    <w:p w14:paraId="153F9222" w14:textId="77777777" w:rsidR="00CF0CC2" w:rsidRPr="00CF0CC2" w:rsidRDefault="007D2AD6" w:rsidP="00962B6D">
      <w:pPr>
        <w:pStyle w:val="Body"/>
        <w:spacing w:after="0"/>
        <w:jc w:val="center"/>
        <w:rPr>
          <w:rFonts w:ascii="Arial" w:hAnsi="Arial" w:cs="Arial"/>
          <w:lang w:val="en-ID"/>
        </w:rPr>
      </w:pPr>
      <w:r>
        <w:rPr>
          <w:rFonts w:ascii="Arial" w:hAnsi="Arial" w:cs="Arial"/>
          <w:noProof/>
          <w:lang w:val="fr-FR" w:eastAsia="fr-FR"/>
        </w:rPr>
        <w:drawing>
          <wp:inline distT="0" distB="0" distL="0" distR="0" wp14:anchorId="0CB3BB68" wp14:editId="6629412C">
            <wp:extent cx="5212080" cy="2651125"/>
            <wp:effectExtent l="0" t="0" r="0" b="0"/>
            <wp:docPr id="295968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8587" name="Picture 29596858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2651125"/>
                    </a:xfrm>
                    <a:prstGeom prst="rect">
                      <a:avLst/>
                    </a:prstGeom>
                  </pic:spPr>
                </pic:pic>
              </a:graphicData>
            </a:graphic>
          </wp:inline>
        </w:drawing>
      </w:r>
    </w:p>
    <w:p w14:paraId="42D5E929"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This study develops both direct and indirect hypotheses regarding the determinants of financial performance and the timeliness of financial reporting.</w:t>
      </w:r>
    </w:p>
    <w:p w14:paraId="235E9653"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H1:</w:t>
      </w:r>
      <w:r w:rsidRPr="002464E3">
        <w:rPr>
          <w:rFonts w:ascii="Arial" w:hAnsi="Arial" w:cs="Arial"/>
          <w:lang w:val="en-ID"/>
        </w:rPr>
        <w:t xml:space="preserve"> Company size positively affects financial performance, as larger firms benefit from economies of scale and stronger financial capacity.</w:t>
      </w:r>
    </w:p>
    <w:p w14:paraId="7EB9AC1D"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lastRenderedPageBreak/>
        <w:t>H2:</w:t>
      </w:r>
      <w:r w:rsidRPr="002464E3">
        <w:rPr>
          <w:rFonts w:ascii="Arial" w:hAnsi="Arial" w:cs="Arial"/>
          <w:lang w:val="en-ID"/>
        </w:rPr>
        <w:t xml:space="preserve"> Company age positively influences financial performance due to accumulated experience and stakeholder reputation.</w:t>
      </w:r>
    </w:p>
    <w:p w14:paraId="340CDD0E"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H3:</w:t>
      </w:r>
      <w:r w:rsidRPr="002464E3">
        <w:rPr>
          <w:rFonts w:ascii="Arial" w:hAnsi="Arial" w:cs="Arial"/>
          <w:lang w:val="en-ID"/>
        </w:rPr>
        <w:t xml:space="preserve"> Capital structure positively impacts financial performance through optimal debt–equity composition.</w:t>
      </w:r>
    </w:p>
    <w:p w14:paraId="6C893A20"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H4:</w:t>
      </w:r>
      <w:r w:rsidRPr="002464E3">
        <w:rPr>
          <w:rFonts w:ascii="Arial" w:hAnsi="Arial" w:cs="Arial"/>
          <w:lang w:val="en-ID"/>
        </w:rPr>
        <w:t xml:space="preserve"> Company size affects the timeliness of financial reporting since larger firms have better resources and governance systems.</w:t>
      </w:r>
    </w:p>
    <w:p w14:paraId="6787C7DF"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H5:</w:t>
      </w:r>
      <w:r w:rsidRPr="002464E3">
        <w:rPr>
          <w:rFonts w:ascii="Arial" w:hAnsi="Arial" w:cs="Arial"/>
          <w:lang w:val="en-ID"/>
        </w:rPr>
        <w:t xml:space="preserve"> Company age enhances financial performance, which in turn improves reporting timeliness.</w:t>
      </w:r>
    </w:p>
    <w:p w14:paraId="5F0BA5BA"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H6:</w:t>
      </w:r>
      <w:r w:rsidRPr="002464E3">
        <w:rPr>
          <w:rFonts w:ascii="Arial" w:hAnsi="Arial" w:cs="Arial"/>
          <w:lang w:val="en-ID"/>
        </w:rPr>
        <w:t xml:space="preserve"> Capital structure positively affects the timeliness of financial reporting, as debt obligations encourage timely disclosure.</w:t>
      </w:r>
    </w:p>
    <w:p w14:paraId="5CE1CA1A"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H7:</w:t>
      </w:r>
      <w:r w:rsidRPr="002464E3">
        <w:rPr>
          <w:rFonts w:ascii="Arial" w:hAnsi="Arial" w:cs="Arial"/>
          <w:lang w:val="en-ID"/>
        </w:rPr>
        <w:t xml:space="preserve"> Financial performance positively influences the timeliness of financial reporting by ensuring efficient reporting processes.</w:t>
      </w:r>
    </w:p>
    <w:p w14:paraId="5D13391C"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H8:</w:t>
      </w:r>
      <w:r w:rsidRPr="002464E3">
        <w:rPr>
          <w:rFonts w:ascii="Arial" w:hAnsi="Arial" w:cs="Arial"/>
          <w:lang w:val="en-ID"/>
        </w:rPr>
        <w:t xml:space="preserve"> Company size indirectly improves reporting timeliness through financial performance.</w:t>
      </w:r>
    </w:p>
    <w:p w14:paraId="4582D611"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H9:</w:t>
      </w:r>
      <w:r w:rsidRPr="002464E3">
        <w:rPr>
          <w:rFonts w:ascii="Arial" w:hAnsi="Arial" w:cs="Arial"/>
          <w:lang w:val="en-ID"/>
        </w:rPr>
        <w:t xml:space="preserve"> Company age indirectly improves reporting timeliness through financial performance.</w:t>
      </w:r>
    </w:p>
    <w:p w14:paraId="475B1D6C" w14:textId="77777777" w:rsidR="002464E3" w:rsidRPr="002464E3" w:rsidRDefault="002464E3" w:rsidP="002464E3">
      <w:pPr>
        <w:pStyle w:val="Body"/>
        <w:numPr>
          <w:ilvl w:val="0"/>
          <w:numId w:val="32"/>
        </w:numPr>
        <w:spacing w:after="0"/>
        <w:rPr>
          <w:rFonts w:ascii="Arial" w:hAnsi="Arial" w:cs="Arial"/>
          <w:lang w:val="en-ID"/>
        </w:rPr>
      </w:pPr>
      <w:r w:rsidRPr="002464E3">
        <w:rPr>
          <w:rFonts w:ascii="Arial" w:hAnsi="Arial" w:cs="Arial"/>
          <w:b/>
          <w:bCs/>
          <w:lang w:val="en-ID"/>
        </w:rPr>
        <w:t>H10:</w:t>
      </w:r>
      <w:r w:rsidRPr="002464E3">
        <w:rPr>
          <w:rFonts w:ascii="Arial" w:hAnsi="Arial" w:cs="Arial"/>
          <w:lang w:val="en-ID"/>
        </w:rPr>
        <w:t xml:space="preserve"> Capital structure indirectly enhances reporting timeliness through financial performance.</w:t>
      </w:r>
    </w:p>
    <w:p w14:paraId="0D848A82" w14:textId="77777777" w:rsidR="00962B6D" w:rsidRDefault="00962B6D" w:rsidP="00441B6F">
      <w:pPr>
        <w:pStyle w:val="Body"/>
        <w:spacing w:after="0"/>
        <w:rPr>
          <w:rFonts w:ascii="Arial" w:hAnsi="Arial" w:cs="Arial"/>
        </w:rPr>
      </w:pPr>
    </w:p>
    <w:p w14:paraId="30C261A3" w14:textId="77777777" w:rsidR="002464E3" w:rsidRPr="002464E3" w:rsidRDefault="002464E3" w:rsidP="002464E3">
      <w:pPr>
        <w:pStyle w:val="Body"/>
        <w:spacing w:after="0"/>
        <w:rPr>
          <w:rFonts w:ascii="Arial" w:hAnsi="Arial" w:cs="Arial"/>
          <w:b/>
          <w:bCs/>
          <w:lang w:val="en-ID"/>
        </w:rPr>
      </w:pPr>
      <w:commentRangeStart w:id="13"/>
      <w:commentRangeStart w:id="14"/>
      <w:r w:rsidRPr="002464E3">
        <w:rPr>
          <w:rFonts w:ascii="Arial" w:hAnsi="Arial" w:cs="Arial"/>
          <w:b/>
          <w:bCs/>
          <w:lang w:val="en-ID"/>
        </w:rPr>
        <w:t>Research Method Summary</w:t>
      </w:r>
    </w:p>
    <w:p w14:paraId="2C287DD6"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This study employs a </w:t>
      </w:r>
      <w:r w:rsidRPr="002464E3">
        <w:rPr>
          <w:rFonts w:ascii="Arial" w:hAnsi="Arial" w:cs="Arial"/>
          <w:b/>
          <w:bCs/>
          <w:lang w:val="en-ID"/>
        </w:rPr>
        <w:t>quantitative research method</w:t>
      </w:r>
      <w:r w:rsidRPr="002464E3">
        <w:rPr>
          <w:rFonts w:ascii="Arial" w:hAnsi="Arial" w:cs="Arial"/>
          <w:lang w:val="en-ID"/>
        </w:rPr>
        <w:t xml:space="preserve"> with an </w:t>
      </w:r>
      <w:r w:rsidRPr="002464E3">
        <w:rPr>
          <w:rFonts w:ascii="Arial" w:hAnsi="Arial" w:cs="Arial"/>
          <w:b/>
          <w:bCs/>
          <w:lang w:val="en-ID"/>
        </w:rPr>
        <w:t>associative strategy</w:t>
      </w:r>
      <w:r w:rsidRPr="002464E3">
        <w:rPr>
          <w:rFonts w:ascii="Arial" w:hAnsi="Arial" w:cs="Arial"/>
          <w:lang w:val="en-ID"/>
        </w:rPr>
        <w:t xml:space="preserve"> to examine the influence of company size, company age, and capital structure on financial performance and the timeliness of financial reporting in food and beverage companies listed on the Indonesia Stock Exchange (IDX) during 2019–2022, using SPSS for analysis.</w:t>
      </w:r>
    </w:p>
    <w:p w14:paraId="2870497E"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The </w:t>
      </w:r>
      <w:r w:rsidRPr="002464E3">
        <w:rPr>
          <w:rFonts w:ascii="Arial" w:hAnsi="Arial" w:cs="Arial"/>
          <w:b/>
          <w:bCs/>
          <w:lang w:val="en-ID"/>
        </w:rPr>
        <w:t>population</w:t>
      </w:r>
      <w:r w:rsidRPr="002464E3">
        <w:rPr>
          <w:rFonts w:ascii="Arial" w:hAnsi="Arial" w:cs="Arial"/>
          <w:lang w:val="en-ID"/>
        </w:rPr>
        <w:t xml:space="preserve"> consists of 26 companies, and based on purposive sampling criteria, </w:t>
      </w:r>
      <w:r w:rsidRPr="002464E3">
        <w:rPr>
          <w:rFonts w:ascii="Arial" w:hAnsi="Arial" w:cs="Arial"/>
          <w:b/>
          <w:bCs/>
          <w:lang w:val="en-ID"/>
        </w:rPr>
        <w:t>24 companies (96 observations)</w:t>
      </w:r>
      <w:r w:rsidRPr="002464E3">
        <w:rPr>
          <w:rFonts w:ascii="Arial" w:hAnsi="Arial" w:cs="Arial"/>
          <w:lang w:val="en-ID"/>
        </w:rPr>
        <w:t xml:space="preserve"> were selected. Data were collected through </w:t>
      </w:r>
      <w:r w:rsidRPr="002464E3">
        <w:rPr>
          <w:rFonts w:ascii="Arial" w:hAnsi="Arial" w:cs="Arial"/>
          <w:b/>
          <w:bCs/>
          <w:lang w:val="en-ID"/>
        </w:rPr>
        <w:t>documentation of secondary sources</w:t>
      </w:r>
      <w:r w:rsidRPr="002464E3">
        <w:rPr>
          <w:rFonts w:ascii="Arial" w:hAnsi="Arial" w:cs="Arial"/>
          <w:lang w:val="en-ID"/>
        </w:rPr>
        <w:t>, mainly annual reports published on IDX and official company websites.</w:t>
      </w:r>
    </w:p>
    <w:p w14:paraId="76C03CF0"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The variables include:</w:t>
      </w:r>
    </w:p>
    <w:p w14:paraId="47EEBF0B"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Independent variables</w:t>
      </w:r>
      <w:r w:rsidRPr="002464E3">
        <w:rPr>
          <w:rFonts w:ascii="Arial" w:hAnsi="Arial" w:cs="Arial"/>
          <w:lang w:val="en-ID"/>
        </w:rPr>
        <w:t>: company size (CZ), company age (CA), and capital structure (CS).</w:t>
      </w:r>
    </w:p>
    <w:p w14:paraId="2D23EC94"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Intervening variable</w:t>
      </w:r>
      <w:r w:rsidRPr="002464E3">
        <w:rPr>
          <w:rFonts w:ascii="Arial" w:hAnsi="Arial" w:cs="Arial"/>
          <w:lang w:val="en-ID"/>
        </w:rPr>
        <w:t>: financial performance (FP), measured by return on assets (ROA).</w:t>
      </w:r>
    </w:p>
    <w:p w14:paraId="5637AC9A" w14:textId="77777777" w:rsidR="002464E3" w:rsidRPr="002464E3" w:rsidRDefault="002464E3" w:rsidP="002464E3">
      <w:pPr>
        <w:pStyle w:val="Body"/>
        <w:numPr>
          <w:ilvl w:val="0"/>
          <w:numId w:val="33"/>
        </w:numPr>
        <w:spacing w:after="0"/>
        <w:rPr>
          <w:rFonts w:ascii="Arial" w:hAnsi="Arial" w:cs="Arial"/>
          <w:lang w:val="en-ID"/>
        </w:rPr>
      </w:pPr>
      <w:r w:rsidRPr="002464E3">
        <w:rPr>
          <w:rFonts w:ascii="Arial" w:hAnsi="Arial" w:cs="Arial"/>
          <w:b/>
          <w:bCs/>
          <w:lang w:val="en-ID"/>
        </w:rPr>
        <w:t>Dependent variable</w:t>
      </w:r>
      <w:r w:rsidRPr="002464E3">
        <w:rPr>
          <w:rFonts w:ascii="Arial" w:hAnsi="Arial" w:cs="Arial"/>
          <w:lang w:val="en-ID"/>
        </w:rPr>
        <w:t>: timeliness of financial reporting (TF).</w:t>
      </w:r>
      <w:commentRangeEnd w:id="13"/>
      <w:r w:rsidR="00DE08A8">
        <w:rPr>
          <w:rStyle w:val="CommentReference"/>
          <w:rFonts w:ascii="Times New Roman" w:hAnsi="Times New Roman"/>
          <w:lang w:val="nb-NO" w:eastAsia="nb-NO"/>
        </w:rPr>
        <w:commentReference w:id="13"/>
      </w:r>
      <w:commentRangeEnd w:id="14"/>
      <w:r w:rsidR="00DE08A8">
        <w:rPr>
          <w:rStyle w:val="CommentReference"/>
          <w:rFonts w:ascii="Times New Roman" w:hAnsi="Times New Roman"/>
          <w:lang w:val="nb-NO" w:eastAsia="nb-NO"/>
        </w:rPr>
        <w:commentReference w:id="14"/>
      </w:r>
    </w:p>
    <w:p w14:paraId="30E56AAF" w14:textId="77777777" w:rsidR="002464E3" w:rsidRPr="002464E3" w:rsidRDefault="002464E3" w:rsidP="002464E3">
      <w:pPr>
        <w:pStyle w:val="Body"/>
        <w:spacing w:after="0"/>
        <w:rPr>
          <w:rFonts w:ascii="Arial" w:hAnsi="Arial" w:cs="Arial"/>
          <w:lang w:val="en-ID"/>
        </w:rPr>
      </w:pPr>
      <w:r w:rsidRPr="002464E3">
        <w:rPr>
          <w:rFonts w:ascii="Arial" w:hAnsi="Arial" w:cs="Arial"/>
          <w:lang w:val="en-ID"/>
        </w:rPr>
        <w:t xml:space="preserve">Data analysis was conducted using </w:t>
      </w:r>
      <w:r w:rsidRPr="002464E3">
        <w:rPr>
          <w:rFonts w:ascii="Arial" w:hAnsi="Arial" w:cs="Arial"/>
          <w:b/>
          <w:bCs/>
          <w:lang w:val="en-ID"/>
        </w:rPr>
        <w:t>path analysis</w:t>
      </w:r>
      <w:r w:rsidRPr="002464E3">
        <w:rPr>
          <w:rFonts w:ascii="Arial" w:hAnsi="Arial" w:cs="Arial"/>
          <w:lang w:val="en-ID"/>
        </w:rPr>
        <w:t xml:space="preserve"> with SPSS, preceded by descriptive statistics and classical assumption tests (normality, multicollinearity, autocorrelation, heteroskedasticity). Hypothesis testing involved the </w:t>
      </w:r>
      <w:r w:rsidRPr="002464E3">
        <w:rPr>
          <w:rFonts w:ascii="Arial" w:hAnsi="Arial" w:cs="Arial"/>
          <w:b/>
          <w:bCs/>
          <w:lang w:val="en-ID"/>
        </w:rPr>
        <w:t>F-test, t-test, and coefficient of determination (R²)</w:t>
      </w:r>
      <w:r w:rsidRPr="002464E3">
        <w:rPr>
          <w:rFonts w:ascii="Arial" w:hAnsi="Arial" w:cs="Arial"/>
          <w:lang w:val="en-ID"/>
        </w:rPr>
        <w:t xml:space="preserve"> to evaluate model fit and the significance of individual parameters.</w:t>
      </w:r>
    </w:p>
    <w:p w14:paraId="6C3A9423" w14:textId="77777777" w:rsidR="002464E3" w:rsidRDefault="002464E3" w:rsidP="00441B6F">
      <w:pPr>
        <w:pStyle w:val="Body"/>
        <w:spacing w:after="0"/>
        <w:rPr>
          <w:rFonts w:ascii="Arial" w:hAnsi="Arial" w:cs="Arial"/>
        </w:rPr>
      </w:pPr>
    </w:p>
    <w:p w14:paraId="1E51F76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8C1709" w14:textId="77777777" w:rsidR="00790ADA" w:rsidRPr="00FB3A86" w:rsidRDefault="00790ADA" w:rsidP="00441B6F">
      <w:pPr>
        <w:pStyle w:val="Head1"/>
        <w:spacing w:after="0"/>
        <w:jc w:val="both"/>
        <w:rPr>
          <w:rFonts w:ascii="Arial" w:hAnsi="Arial" w:cs="Arial"/>
        </w:rPr>
      </w:pPr>
    </w:p>
    <w:p w14:paraId="1E5C8319" w14:textId="77777777" w:rsidR="003C70F0" w:rsidRPr="003C70F0" w:rsidRDefault="003C70F0" w:rsidP="003C70F0">
      <w:pPr>
        <w:pStyle w:val="Body"/>
        <w:spacing w:after="0"/>
        <w:rPr>
          <w:rFonts w:ascii="Arial" w:hAnsi="Arial" w:cs="Arial"/>
          <w:lang w:val="en-ID"/>
        </w:rPr>
      </w:pPr>
      <w:r w:rsidRPr="003C70F0">
        <w:rPr>
          <w:rFonts w:ascii="Arial" w:hAnsi="Arial" w:cs="Arial"/>
          <w:lang w:val="en-ID"/>
        </w:rPr>
        <w:t>This chapter presents the empirical findings of the study examining the influence of company size, company age, and capital structure on financial performance and timeliness of financial reporting, with financial performance serving as a mediating variable. The analysis was conducted using path analysis with SPSS, supported by descriptive statistics and classical assumption tests.</w:t>
      </w:r>
    </w:p>
    <w:p w14:paraId="5E1E0CDA" w14:textId="77777777" w:rsidR="003C70F0" w:rsidRDefault="003C70F0" w:rsidP="003C70F0">
      <w:pPr>
        <w:pStyle w:val="Body"/>
        <w:spacing w:after="0"/>
        <w:rPr>
          <w:rFonts w:ascii="Arial" w:hAnsi="Arial" w:cs="Arial"/>
          <w:lang w:val="en-ID"/>
        </w:rPr>
      </w:pPr>
      <w:r w:rsidRPr="003C70F0">
        <w:rPr>
          <w:rFonts w:ascii="Arial" w:hAnsi="Arial" w:cs="Arial"/>
          <w:b/>
          <w:bCs/>
          <w:lang w:val="en-ID"/>
        </w:rPr>
        <w:t>Descriptive Statistics</w:t>
      </w:r>
    </w:p>
    <w:p w14:paraId="41DFFEEE" w14:textId="77777777" w:rsidR="003C70F0" w:rsidRDefault="003C70F0" w:rsidP="003C70F0">
      <w:pPr>
        <w:pStyle w:val="Body"/>
        <w:spacing w:after="0"/>
        <w:rPr>
          <w:rFonts w:ascii="Arial" w:hAnsi="Arial" w:cs="Arial"/>
          <w:lang w:val="en-ID"/>
        </w:rPr>
      </w:pPr>
      <w:r w:rsidRPr="003C70F0">
        <w:rPr>
          <w:rFonts w:ascii="Arial" w:hAnsi="Arial" w:cs="Arial"/>
          <w:lang w:val="en-ID"/>
        </w:rPr>
        <w:t>The descriptive analysis indicated variations in company size, age, capital structure, financial performance, and timeliness of financial reporting among the sampled food and beverage companies listed on the Indonesia Stock Exchange (2019–2022). Larger and older firms generally demonstrated stronger financial performance and more timely reporting, while firms with higher leverage showed mixed outcomes.</w:t>
      </w:r>
    </w:p>
    <w:p w14:paraId="4943D457" w14:textId="77777777" w:rsidR="003C70F0" w:rsidRPr="003C70F0" w:rsidRDefault="003C70F0" w:rsidP="003C70F0">
      <w:pPr>
        <w:pStyle w:val="Body"/>
        <w:spacing w:after="0"/>
        <w:jc w:val="center"/>
        <w:rPr>
          <w:rFonts w:ascii="Arial" w:hAnsi="Arial" w:cs="Arial"/>
          <w:b/>
        </w:rPr>
      </w:pPr>
      <w:r w:rsidRPr="003C70F0">
        <w:rPr>
          <w:rFonts w:ascii="Arial" w:hAnsi="Arial" w:cs="Arial"/>
          <w:b/>
          <w:lang w:val="id-ID"/>
        </w:rPr>
        <w:lastRenderedPageBreak/>
        <w:t>Tab</w:t>
      </w:r>
      <w:r w:rsidR="0090108F">
        <w:rPr>
          <w:rFonts w:ascii="Arial" w:hAnsi="Arial" w:cs="Arial"/>
          <w:b/>
        </w:rPr>
        <w:t xml:space="preserve">le </w:t>
      </w:r>
      <w:r w:rsidR="004C11BD">
        <w:rPr>
          <w:rFonts w:ascii="Arial" w:hAnsi="Arial" w:cs="Arial"/>
          <w:b/>
        </w:rPr>
        <w:t>1</w:t>
      </w:r>
    </w:p>
    <w:p w14:paraId="4A35EC51" w14:textId="77777777" w:rsidR="003C70F0" w:rsidRPr="003C70F0" w:rsidRDefault="003C70F0" w:rsidP="003C70F0">
      <w:pPr>
        <w:pStyle w:val="Body"/>
        <w:spacing w:after="0"/>
        <w:jc w:val="center"/>
        <w:rPr>
          <w:rFonts w:ascii="Arial" w:hAnsi="Arial" w:cs="Arial"/>
          <w:b/>
          <w:lang w:val="id-ID"/>
        </w:rPr>
      </w:pPr>
      <w:r w:rsidRPr="003C70F0">
        <w:rPr>
          <w:rFonts w:ascii="Arial" w:hAnsi="Arial" w:cs="Arial"/>
          <w:b/>
          <w:bCs/>
          <w:i/>
        </w:rPr>
        <w:t>Descriptive Statistics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7"/>
        <w:gridCol w:w="233"/>
        <w:gridCol w:w="822"/>
        <w:gridCol w:w="877"/>
        <w:gridCol w:w="622"/>
        <w:gridCol w:w="1256"/>
      </w:tblGrid>
      <w:tr w:rsidR="003C70F0" w:rsidRPr="003C70F0" w14:paraId="4DF55246" w14:textId="77777777" w:rsidTr="003C70F0">
        <w:trPr>
          <w:cantSplit/>
          <w:jc w:val="center"/>
        </w:trPr>
        <w:tc>
          <w:tcPr>
            <w:tcW w:w="0" w:type="auto"/>
            <w:gridSpan w:val="6"/>
            <w:vAlign w:val="center"/>
          </w:tcPr>
          <w:p w14:paraId="11B7A9AF" w14:textId="77777777" w:rsidR="003C70F0" w:rsidRPr="003C70F0" w:rsidRDefault="003C70F0" w:rsidP="003C70F0">
            <w:r w:rsidRPr="003C70F0">
              <w:t>Descriptive Statistics</w:t>
            </w:r>
          </w:p>
        </w:tc>
      </w:tr>
      <w:tr w:rsidR="003C70F0" w:rsidRPr="003C70F0" w14:paraId="735D4271" w14:textId="77777777" w:rsidTr="003C70F0">
        <w:trPr>
          <w:cantSplit/>
          <w:jc w:val="center"/>
        </w:trPr>
        <w:tc>
          <w:tcPr>
            <w:tcW w:w="0" w:type="auto"/>
            <w:vAlign w:val="bottom"/>
          </w:tcPr>
          <w:p w14:paraId="57622E01" w14:textId="77777777" w:rsidR="003C70F0" w:rsidRPr="003C70F0" w:rsidRDefault="003C70F0" w:rsidP="003C70F0"/>
        </w:tc>
        <w:tc>
          <w:tcPr>
            <w:tcW w:w="0" w:type="auto"/>
            <w:vAlign w:val="bottom"/>
          </w:tcPr>
          <w:p w14:paraId="6C8BCFC0" w14:textId="77777777" w:rsidR="003C70F0" w:rsidRPr="003C70F0" w:rsidRDefault="003C70F0" w:rsidP="003C70F0">
            <w:r w:rsidRPr="003C70F0">
              <w:t>N</w:t>
            </w:r>
          </w:p>
        </w:tc>
        <w:tc>
          <w:tcPr>
            <w:tcW w:w="0" w:type="auto"/>
            <w:vAlign w:val="bottom"/>
          </w:tcPr>
          <w:p w14:paraId="4AADEE76" w14:textId="77777777" w:rsidR="003C70F0" w:rsidRPr="003C70F0" w:rsidRDefault="003C70F0" w:rsidP="003C70F0">
            <w:r w:rsidRPr="003C70F0">
              <w:t>Minimum</w:t>
            </w:r>
          </w:p>
        </w:tc>
        <w:tc>
          <w:tcPr>
            <w:tcW w:w="0" w:type="auto"/>
            <w:vAlign w:val="bottom"/>
          </w:tcPr>
          <w:p w14:paraId="0DA20C7F" w14:textId="77777777" w:rsidR="003C70F0" w:rsidRPr="003C70F0" w:rsidRDefault="003C70F0" w:rsidP="003C70F0">
            <w:r w:rsidRPr="003C70F0">
              <w:t>Maximum</w:t>
            </w:r>
          </w:p>
        </w:tc>
        <w:tc>
          <w:tcPr>
            <w:tcW w:w="0" w:type="auto"/>
            <w:vAlign w:val="bottom"/>
          </w:tcPr>
          <w:p w14:paraId="1CC61FA2" w14:textId="77777777" w:rsidR="003C70F0" w:rsidRPr="003C70F0" w:rsidRDefault="003C70F0" w:rsidP="003C70F0">
            <w:r w:rsidRPr="003C70F0">
              <w:t>Mean</w:t>
            </w:r>
          </w:p>
        </w:tc>
        <w:tc>
          <w:tcPr>
            <w:tcW w:w="0" w:type="auto"/>
            <w:vAlign w:val="bottom"/>
          </w:tcPr>
          <w:p w14:paraId="77B845DE" w14:textId="77777777" w:rsidR="003C70F0" w:rsidRPr="003C70F0" w:rsidRDefault="003C70F0" w:rsidP="003C70F0">
            <w:r w:rsidRPr="003C70F0">
              <w:t>Std. Deviation</w:t>
            </w:r>
          </w:p>
        </w:tc>
      </w:tr>
      <w:tr w:rsidR="003C70F0" w:rsidRPr="003C70F0" w14:paraId="4CA0CE1C" w14:textId="77777777" w:rsidTr="003C70F0">
        <w:trPr>
          <w:cantSplit/>
          <w:jc w:val="center"/>
        </w:trPr>
        <w:tc>
          <w:tcPr>
            <w:tcW w:w="0" w:type="auto"/>
          </w:tcPr>
          <w:p w14:paraId="5BCADF5C" w14:textId="77777777" w:rsidR="003C70F0" w:rsidRPr="003C70F0" w:rsidRDefault="003C70F0" w:rsidP="003C70F0">
            <w:r w:rsidRPr="003C70F0">
              <w:t>Company Size</w:t>
            </w:r>
          </w:p>
        </w:tc>
        <w:tc>
          <w:tcPr>
            <w:tcW w:w="0" w:type="auto"/>
          </w:tcPr>
          <w:p w14:paraId="10E7C56F" w14:textId="77777777" w:rsidR="003C70F0" w:rsidRPr="003C70F0" w:rsidRDefault="003C70F0" w:rsidP="003C70F0">
            <w:r w:rsidRPr="003C70F0">
              <w:t>96</w:t>
            </w:r>
          </w:p>
        </w:tc>
        <w:tc>
          <w:tcPr>
            <w:tcW w:w="0" w:type="auto"/>
          </w:tcPr>
          <w:p w14:paraId="268DF437" w14:textId="77777777" w:rsidR="003C70F0" w:rsidRPr="003C70F0" w:rsidRDefault="003C70F0" w:rsidP="003C70F0">
            <w:r w:rsidRPr="003C70F0">
              <w:t>25,310</w:t>
            </w:r>
          </w:p>
        </w:tc>
        <w:tc>
          <w:tcPr>
            <w:tcW w:w="0" w:type="auto"/>
          </w:tcPr>
          <w:p w14:paraId="2EDEA0FF" w14:textId="77777777" w:rsidR="003C70F0" w:rsidRPr="003C70F0" w:rsidRDefault="003C70F0" w:rsidP="003C70F0">
            <w:r w:rsidRPr="003C70F0">
              <w:t>32,820</w:t>
            </w:r>
          </w:p>
        </w:tc>
        <w:tc>
          <w:tcPr>
            <w:tcW w:w="0" w:type="auto"/>
          </w:tcPr>
          <w:p w14:paraId="2DD32743" w14:textId="77777777" w:rsidR="003C70F0" w:rsidRPr="003C70F0" w:rsidRDefault="003C70F0" w:rsidP="003C70F0">
            <w:r w:rsidRPr="003C70F0">
              <w:t>28,227</w:t>
            </w:r>
          </w:p>
        </w:tc>
        <w:tc>
          <w:tcPr>
            <w:tcW w:w="0" w:type="auto"/>
          </w:tcPr>
          <w:p w14:paraId="1895F9E7" w14:textId="77777777" w:rsidR="003C70F0" w:rsidRPr="003C70F0" w:rsidRDefault="003C70F0" w:rsidP="003C70F0">
            <w:r w:rsidRPr="003C70F0">
              <w:t>1,746</w:t>
            </w:r>
          </w:p>
        </w:tc>
      </w:tr>
      <w:tr w:rsidR="003C70F0" w:rsidRPr="003C70F0" w14:paraId="53283D4F" w14:textId="77777777" w:rsidTr="003C70F0">
        <w:trPr>
          <w:cantSplit/>
          <w:jc w:val="center"/>
        </w:trPr>
        <w:tc>
          <w:tcPr>
            <w:tcW w:w="0" w:type="auto"/>
          </w:tcPr>
          <w:p w14:paraId="500FF50B" w14:textId="77777777" w:rsidR="003C70F0" w:rsidRPr="003C70F0" w:rsidRDefault="003C70F0" w:rsidP="003C70F0">
            <w:r w:rsidRPr="003C70F0">
              <w:t>Company Age</w:t>
            </w:r>
          </w:p>
        </w:tc>
        <w:tc>
          <w:tcPr>
            <w:tcW w:w="0" w:type="auto"/>
          </w:tcPr>
          <w:p w14:paraId="0F387DEB" w14:textId="77777777" w:rsidR="003C70F0" w:rsidRPr="003C70F0" w:rsidRDefault="003C70F0" w:rsidP="003C70F0">
            <w:r w:rsidRPr="003C70F0">
              <w:t>96</w:t>
            </w:r>
          </w:p>
        </w:tc>
        <w:tc>
          <w:tcPr>
            <w:tcW w:w="0" w:type="auto"/>
          </w:tcPr>
          <w:p w14:paraId="05434876" w14:textId="77777777" w:rsidR="003C70F0" w:rsidRPr="003C70F0" w:rsidRDefault="003C70F0" w:rsidP="003C70F0">
            <w:r w:rsidRPr="003C70F0">
              <w:t>4,000</w:t>
            </w:r>
          </w:p>
        </w:tc>
        <w:tc>
          <w:tcPr>
            <w:tcW w:w="0" w:type="auto"/>
          </w:tcPr>
          <w:p w14:paraId="013F912A" w14:textId="77777777" w:rsidR="003C70F0" w:rsidRPr="003C70F0" w:rsidRDefault="003C70F0" w:rsidP="003C70F0">
            <w:r w:rsidRPr="003C70F0">
              <w:t>92,000</w:t>
            </w:r>
          </w:p>
        </w:tc>
        <w:tc>
          <w:tcPr>
            <w:tcW w:w="0" w:type="auto"/>
          </w:tcPr>
          <w:p w14:paraId="7EB0B7DE" w14:textId="77777777" w:rsidR="003C70F0" w:rsidRPr="003C70F0" w:rsidRDefault="003C70F0" w:rsidP="003C70F0">
            <w:r w:rsidRPr="003C70F0">
              <w:t>29,291</w:t>
            </w:r>
          </w:p>
        </w:tc>
        <w:tc>
          <w:tcPr>
            <w:tcW w:w="0" w:type="auto"/>
          </w:tcPr>
          <w:p w14:paraId="5C8AC805" w14:textId="77777777" w:rsidR="003C70F0" w:rsidRPr="003C70F0" w:rsidRDefault="003C70F0" w:rsidP="003C70F0">
            <w:r w:rsidRPr="003C70F0">
              <w:t>18,660</w:t>
            </w:r>
          </w:p>
        </w:tc>
      </w:tr>
      <w:tr w:rsidR="003C70F0" w:rsidRPr="003C70F0" w14:paraId="52F33AA5" w14:textId="77777777" w:rsidTr="003C70F0">
        <w:trPr>
          <w:cantSplit/>
          <w:jc w:val="center"/>
        </w:trPr>
        <w:tc>
          <w:tcPr>
            <w:tcW w:w="0" w:type="auto"/>
          </w:tcPr>
          <w:p w14:paraId="49C4E334" w14:textId="77777777" w:rsidR="003C70F0" w:rsidRPr="003C70F0" w:rsidRDefault="003C70F0" w:rsidP="003C70F0">
            <w:r w:rsidRPr="003C70F0">
              <w:t>Capital Structure</w:t>
            </w:r>
          </w:p>
        </w:tc>
        <w:tc>
          <w:tcPr>
            <w:tcW w:w="0" w:type="auto"/>
          </w:tcPr>
          <w:p w14:paraId="214D2420" w14:textId="77777777" w:rsidR="003C70F0" w:rsidRPr="003C70F0" w:rsidRDefault="003C70F0" w:rsidP="003C70F0">
            <w:r w:rsidRPr="003C70F0">
              <w:t>96</w:t>
            </w:r>
          </w:p>
        </w:tc>
        <w:tc>
          <w:tcPr>
            <w:tcW w:w="0" w:type="auto"/>
          </w:tcPr>
          <w:p w14:paraId="276F981F" w14:textId="77777777" w:rsidR="003C70F0" w:rsidRPr="003C70F0" w:rsidRDefault="003C70F0" w:rsidP="003C70F0">
            <w:r w:rsidRPr="003C70F0">
              <w:t>0,053</w:t>
            </w:r>
          </w:p>
        </w:tc>
        <w:tc>
          <w:tcPr>
            <w:tcW w:w="0" w:type="auto"/>
          </w:tcPr>
          <w:p w14:paraId="7F2BB573" w14:textId="77777777" w:rsidR="003C70F0" w:rsidRPr="003C70F0" w:rsidRDefault="003C70F0" w:rsidP="003C70F0">
            <w:r w:rsidRPr="003C70F0">
              <w:t>2,899</w:t>
            </w:r>
          </w:p>
        </w:tc>
        <w:tc>
          <w:tcPr>
            <w:tcW w:w="0" w:type="auto"/>
          </w:tcPr>
          <w:p w14:paraId="4ADCF4F6" w14:textId="77777777" w:rsidR="003C70F0" w:rsidRPr="003C70F0" w:rsidRDefault="003C70F0" w:rsidP="003C70F0">
            <w:r w:rsidRPr="003C70F0">
              <w:t>0,479</w:t>
            </w:r>
          </w:p>
        </w:tc>
        <w:tc>
          <w:tcPr>
            <w:tcW w:w="0" w:type="auto"/>
          </w:tcPr>
          <w:p w14:paraId="19AE68B2" w14:textId="77777777" w:rsidR="003C70F0" w:rsidRPr="003C70F0" w:rsidRDefault="003C70F0" w:rsidP="003C70F0">
            <w:r w:rsidRPr="003C70F0">
              <w:t>0,347</w:t>
            </w:r>
          </w:p>
        </w:tc>
      </w:tr>
      <w:tr w:rsidR="003C70F0" w:rsidRPr="003C70F0" w14:paraId="73656C5D" w14:textId="77777777" w:rsidTr="003C70F0">
        <w:trPr>
          <w:cantSplit/>
          <w:jc w:val="center"/>
        </w:trPr>
        <w:tc>
          <w:tcPr>
            <w:tcW w:w="0" w:type="auto"/>
          </w:tcPr>
          <w:p w14:paraId="581DBECE" w14:textId="77777777" w:rsidR="003C70F0" w:rsidRPr="003C70F0" w:rsidRDefault="003C70F0" w:rsidP="003C70F0">
            <w:r w:rsidRPr="003C70F0">
              <w:t>Financial Performance</w:t>
            </w:r>
          </w:p>
        </w:tc>
        <w:tc>
          <w:tcPr>
            <w:tcW w:w="0" w:type="auto"/>
          </w:tcPr>
          <w:p w14:paraId="082DD023" w14:textId="77777777" w:rsidR="003C70F0" w:rsidRPr="003C70F0" w:rsidRDefault="003C70F0" w:rsidP="003C70F0">
            <w:r w:rsidRPr="003C70F0">
              <w:t>96</w:t>
            </w:r>
          </w:p>
        </w:tc>
        <w:tc>
          <w:tcPr>
            <w:tcW w:w="0" w:type="auto"/>
          </w:tcPr>
          <w:p w14:paraId="60968663" w14:textId="77777777" w:rsidR="003C70F0" w:rsidRPr="003C70F0" w:rsidRDefault="003C70F0" w:rsidP="003C70F0">
            <w:r w:rsidRPr="003C70F0">
              <w:t>0,000</w:t>
            </w:r>
          </w:p>
        </w:tc>
        <w:tc>
          <w:tcPr>
            <w:tcW w:w="0" w:type="auto"/>
          </w:tcPr>
          <w:p w14:paraId="09AE5C3C" w14:textId="77777777" w:rsidR="003C70F0" w:rsidRPr="003C70F0" w:rsidRDefault="003C70F0" w:rsidP="003C70F0">
            <w:r w:rsidRPr="003C70F0">
              <w:t>1,000</w:t>
            </w:r>
          </w:p>
        </w:tc>
        <w:tc>
          <w:tcPr>
            <w:tcW w:w="0" w:type="auto"/>
          </w:tcPr>
          <w:p w14:paraId="01151C3A" w14:textId="77777777" w:rsidR="003C70F0" w:rsidRPr="003C70F0" w:rsidRDefault="003C70F0" w:rsidP="003C70F0">
            <w:r w:rsidRPr="003C70F0">
              <w:t>0,854</w:t>
            </w:r>
          </w:p>
        </w:tc>
        <w:tc>
          <w:tcPr>
            <w:tcW w:w="0" w:type="auto"/>
          </w:tcPr>
          <w:p w14:paraId="21E899EA" w14:textId="77777777" w:rsidR="003C70F0" w:rsidRPr="003C70F0" w:rsidRDefault="003C70F0" w:rsidP="003C70F0">
            <w:r w:rsidRPr="003C70F0">
              <w:t>0,354</w:t>
            </w:r>
          </w:p>
        </w:tc>
      </w:tr>
      <w:tr w:rsidR="003C70F0" w:rsidRPr="003C70F0" w14:paraId="44E156CC" w14:textId="77777777" w:rsidTr="003C70F0">
        <w:trPr>
          <w:cantSplit/>
          <w:jc w:val="center"/>
        </w:trPr>
        <w:tc>
          <w:tcPr>
            <w:tcW w:w="0" w:type="auto"/>
          </w:tcPr>
          <w:p w14:paraId="14FB26A2" w14:textId="77777777" w:rsidR="003C70F0" w:rsidRPr="003C70F0" w:rsidRDefault="003C70F0" w:rsidP="003C70F0">
            <w:r w:rsidRPr="003C70F0">
              <w:t>Timelines of Financial Reporting</w:t>
            </w:r>
          </w:p>
        </w:tc>
        <w:tc>
          <w:tcPr>
            <w:tcW w:w="0" w:type="auto"/>
          </w:tcPr>
          <w:p w14:paraId="0205D3DF" w14:textId="77777777" w:rsidR="003C70F0" w:rsidRPr="003C70F0" w:rsidRDefault="003C70F0" w:rsidP="003C70F0">
            <w:r w:rsidRPr="003C70F0">
              <w:t>96</w:t>
            </w:r>
          </w:p>
        </w:tc>
        <w:tc>
          <w:tcPr>
            <w:tcW w:w="0" w:type="auto"/>
          </w:tcPr>
          <w:p w14:paraId="349DBC46" w14:textId="77777777" w:rsidR="003C70F0" w:rsidRPr="003C70F0" w:rsidRDefault="003C70F0" w:rsidP="003C70F0">
            <w:r w:rsidRPr="003C70F0">
              <w:t>-0,154</w:t>
            </w:r>
          </w:p>
        </w:tc>
        <w:tc>
          <w:tcPr>
            <w:tcW w:w="0" w:type="auto"/>
          </w:tcPr>
          <w:p w14:paraId="224C8DFE" w14:textId="77777777" w:rsidR="003C70F0" w:rsidRPr="003C70F0" w:rsidRDefault="003C70F0" w:rsidP="003C70F0">
            <w:r w:rsidRPr="003C70F0">
              <w:t>0,607</w:t>
            </w:r>
          </w:p>
        </w:tc>
        <w:tc>
          <w:tcPr>
            <w:tcW w:w="0" w:type="auto"/>
          </w:tcPr>
          <w:p w14:paraId="6DF01B78" w14:textId="77777777" w:rsidR="003C70F0" w:rsidRPr="003C70F0" w:rsidRDefault="003C70F0" w:rsidP="003C70F0">
            <w:r w:rsidRPr="003C70F0">
              <w:t>0,067</w:t>
            </w:r>
          </w:p>
        </w:tc>
        <w:tc>
          <w:tcPr>
            <w:tcW w:w="0" w:type="auto"/>
          </w:tcPr>
          <w:p w14:paraId="2F5AAE66" w14:textId="77777777" w:rsidR="003C70F0" w:rsidRPr="003C70F0" w:rsidRDefault="003C70F0" w:rsidP="003C70F0">
            <w:r w:rsidRPr="003C70F0">
              <w:t>0,123</w:t>
            </w:r>
          </w:p>
        </w:tc>
      </w:tr>
      <w:tr w:rsidR="003C70F0" w:rsidRPr="003C70F0" w14:paraId="74A43957" w14:textId="77777777" w:rsidTr="003C70F0">
        <w:trPr>
          <w:cantSplit/>
          <w:jc w:val="center"/>
        </w:trPr>
        <w:tc>
          <w:tcPr>
            <w:tcW w:w="0" w:type="auto"/>
          </w:tcPr>
          <w:p w14:paraId="13CB9E7D" w14:textId="77777777" w:rsidR="003C70F0" w:rsidRPr="003C70F0" w:rsidRDefault="003C70F0" w:rsidP="003C70F0">
            <w:r w:rsidRPr="003C70F0">
              <w:t>Valid N (listwise)</w:t>
            </w:r>
          </w:p>
        </w:tc>
        <w:tc>
          <w:tcPr>
            <w:tcW w:w="0" w:type="auto"/>
          </w:tcPr>
          <w:p w14:paraId="058BD4BD" w14:textId="77777777" w:rsidR="003C70F0" w:rsidRPr="003C70F0" w:rsidRDefault="003C70F0" w:rsidP="003C70F0">
            <w:r w:rsidRPr="003C70F0">
              <w:t>96</w:t>
            </w:r>
          </w:p>
        </w:tc>
        <w:tc>
          <w:tcPr>
            <w:tcW w:w="0" w:type="auto"/>
            <w:vAlign w:val="center"/>
          </w:tcPr>
          <w:p w14:paraId="606D1A65" w14:textId="77777777" w:rsidR="003C70F0" w:rsidRPr="003C70F0" w:rsidRDefault="003C70F0" w:rsidP="003C70F0"/>
        </w:tc>
        <w:tc>
          <w:tcPr>
            <w:tcW w:w="0" w:type="auto"/>
            <w:vAlign w:val="center"/>
          </w:tcPr>
          <w:p w14:paraId="549A7652" w14:textId="77777777" w:rsidR="003C70F0" w:rsidRPr="003C70F0" w:rsidRDefault="003C70F0" w:rsidP="003C70F0"/>
        </w:tc>
        <w:tc>
          <w:tcPr>
            <w:tcW w:w="0" w:type="auto"/>
            <w:vAlign w:val="center"/>
          </w:tcPr>
          <w:p w14:paraId="44BA1BA1" w14:textId="77777777" w:rsidR="003C70F0" w:rsidRPr="003C70F0" w:rsidRDefault="003C70F0" w:rsidP="003C70F0"/>
        </w:tc>
        <w:tc>
          <w:tcPr>
            <w:tcW w:w="0" w:type="auto"/>
            <w:vAlign w:val="center"/>
          </w:tcPr>
          <w:p w14:paraId="32C2C249" w14:textId="77777777" w:rsidR="003C70F0" w:rsidRPr="003C70F0" w:rsidRDefault="003C70F0" w:rsidP="003C70F0"/>
        </w:tc>
      </w:tr>
    </w:tbl>
    <w:p w14:paraId="5B38C21A" w14:textId="77777777" w:rsidR="003C70F0" w:rsidRDefault="003C70F0" w:rsidP="003C70F0">
      <w:pPr>
        <w:pStyle w:val="Body"/>
        <w:spacing w:after="0"/>
        <w:rPr>
          <w:rFonts w:ascii="Arial" w:hAnsi="Arial" w:cs="Arial"/>
          <w:lang w:val="en-ID"/>
        </w:rPr>
      </w:pPr>
    </w:p>
    <w:p w14:paraId="2B7B5742" w14:textId="77777777" w:rsidR="003C70F0" w:rsidRDefault="003C70F0" w:rsidP="003C70F0">
      <w:pPr>
        <w:pStyle w:val="Body"/>
        <w:spacing w:after="0"/>
        <w:rPr>
          <w:rFonts w:ascii="Arial" w:hAnsi="Arial" w:cs="Arial"/>
          <w:lang w:val="en-ID"/>
        </w:rPr>
      </w:pPr>
      <w:r w:rsidRPr="003C70F0">
        <w:rPr>
          <w:rFonts w:ascii="Arial" w:hAnsi="Arial" w:cs="Arial"/>
          <w:b/>
          <w:bCs/>
          <w:lang w:val="en-ID"/>
        </w:rPr>
        <w:t>Classical Assumption Tests</w:t>
      </w:r>
    </w:p>
    <w:p w14:paraId="35CF4376" w14:textId="77777777" w:rsidR="004C11BD" w:rsidRDefault="003C70F0" w:rsidP="003C70F0">
      <w:pPr>
        <w:pStyle w:val="Body"/>
        <w:spacing w:after="0"/>
        <w:rPr>
          <w:rFonts w:ascii="Arial" w:hAnsi="Arial" w:cs="Arial"/>
          <w:lang w:val="en-ID"/>
        </w:rPr>
      </w:pPr>
      <w:r w:rsidRPr="003C70F0">
        <w:rPr>
          <w:rFonts w:ascii="Arial" w:hAnsi="Arial" w:cs="Arial"/>
          <w:lang w:val="en-ID"/>
        </w:rPr>
        <w:t>All variables passed the classical assumption tests, including normality, multicollinearity, autocorrelation, and heteroscedasticity, confirming the appropriateness of the regression model.</w:t>
      </w:r>
    </w:p>
    <w:tbl>
      <w:tblPr>
        <w:tblW w:w="7054" w:type="dxa"/>
        <w:jc w:val="center"/>
        <w:tblLook w:val="04A0" w:firstRow="1" w:lastRow="0" w:firstColumn="1" w:lastColumn="0" w:noHBand="0" w:noVBand="1"/>
      </w:tblPr>
      <w:tblGrid>
        <w:gridCol w:w="6551"/>
        <w:gridCol w:w="503"/>
      </w:tblGrid>
      <w:tr w:rsidR="004C11BD" w:rsidRPr="004C11BD" w14:paraId="34EAF5E5" w14:textId="77777777" w:rsidTr="00492FC8">
        <w:trPr>
          <w:gridAfter w:val="1"/>
          <w:wAfter w:w="503" w:type="dxa"/>
          <w:trHeight w:val="315"/>
          <w:jc w:val="center"/>
        </w:trPr>
        <w:tc>
          <w:tcPr>
            <w:tcW w:w="6551" w:type="dxa"/>
            <w:tcBorders>
              <w:top w:val="nil"/>
              <w:left w:val="nil"/>
              <w:bottom w:val="nil"/>
              <w:right w:val="nil"/>
            </w:tcBorders>
            <w:noWrap/>
            <w:vAlign w:val="bottom"/>
            <w:hideMark/>
          </w:tcPr>
          <w:p w14:paraId="6B5BE074" w14:textId="77777777" w:rsidR="004C11BD" w:rsidRPr="004C11BD" w:rsidRDefault="004C11BD" w:rsidP="004C11BD">
            <w:pPr>
              <w:jc w:val="center"/>
              <w:rPr>
                <w:b/>
                <w:bCs/>
                <w:lang w:val="en-ID"/>
              </w:rPr>
            </w:pPr>
            <w:r w:rsidRPr="004C11BD">
              <w:rPr>
                <w:b/>
                <w:bCs/>
                <w:lang w:val="en-ID"/>
              </w:rPr>
              <w:t>Ta</w:t>
            </w:r>
            <w:r w:rsidR="0090108F">
              <w:rPr>
                <w:b/>
                <w:bCs/>
                <w:lang w:val="en-ID"/>
              </w:rPr>
              <w:t>ble</w:t>
            </w:r>
            <w:r w:rsidRPr="004C11BD">
              <w:rPr>
                <w:b/>
                <w:bCs/>
                <w:lang w:val="en-ID"/>
              </w:rPr>
              <w:t xml:space="preserve"> 2</w:t>
            </w:r>
          </w:p>
          <w:p w14:paraId="3EBEB322" w14:textId="77777777" w:rsidR="004C11BD" w:rsidRPr="004C11BD" w:rsidRDefault="004C11BD" w:rsidP="004C11BD">
            <w:pPr>
              <w:jc w:val="center"/>
              <w:rPr>
                <w:lang w:val="en-ID"/>
              </w:rPr>
            </w:pPr>
            <w:r w:rsidRPr="004C11BD">
              <w:rPr>
                <w:b/>
                <w:bCs/>
                <w:lang w:val="en-ID"/>
              </w:rPr>
              <w:t>Normality Test (</w:t>
            </w:r>
            <w:r w:rsidRPr="004C11BD">
              <w:rPr>
                <w:b/>
                <w:bCs/>
                <w:i/>
                <w:lang w:val="en-ID"/>
              </w:rPr>
              <w:t>Kolmogrov-Smirnov</w:t>
            </w:r>
            <w:r w:rsidRPr="004C11BD">
              <w:rPr>
                <w:b/>
                <w:bCs/>
                <w:lang w:val="en-ID"/>
              </w:rPr>
              <w:t>) Model I</w:t>
            </w:r>
          </w:p>
        </w:tc>
      </w:tr>
      <w:tr w:rsidR="004C11BD" w:rsidRPr="004C11BD" w14:paraId="408EF5F6" w14:textId="77777777" w:rsidTr="00492FC8">
        <w:trPr>
          <w:trHeight w:val="315"/>
          <w:jc w:val="center"/>
        </w:trPr>
        <w:tc>
          <w:tcPr>
            <w:tcW w:w="6946" w:type="dxa"/>
            <w:gridSpan w:val="2"/>
            <w:tcBorders>
              <w:top w:val="nil"/>
              <w:left w:val="nil"/>
              <w:bottom w:val="nil"/>
              <w:right w:val="nil"/>
            </w:tcBorders>
            <w:noWrap/>
            <w:vAlign w:val="bottom"/>
            <w:hideMark/>
          </w:tcPr>
          <w:tbl>
            <w:tblPr>
              <w:tblW w:w="533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8"/>
              <w:gridCol w:w="1393"/>
              <w:gridCol w:w="1637"/>
            </w:tblGrid>
            <w:tr w:rsidR="004C11BD" w:rsidRPr="004C11BD" w14:paraId="48C02E28" w14:textId="77777777" w:rsidTr="00492FC8">
              <w:trPr>
                <w:cantSplit/>
              </w:trPr>
              <w:tc>
                <w:tcPr>
                  <w:tcW w:w="5338" w:type="dxa"/>
                  <w:gridSpan w:val="3"/>
                  <w:vAlign w:val="center"/>
                </w:tcPr>
                <w:p w14:paraId="34E8242A" w14:textId="77777777" w:rsidR="004C11BD" w:rsidRPr="004C11BD" w:rsidRDefault="004C11BD" w:rsidP="004C11BD">
                  <w:r w:rsidRPr="004C11BD">
                    <w:t>One-Sample Kolmogorov-Smirnov Test</w:t>
                  </w:r>
                </w:p>
              </w:tc>
            </w:tr>
            <w:tr w:rsidR="004C11BD" w:rsidRPr="004C11BD" w14:paraId="489F237C" w14:textId="77777777" w:rsidTr="00492FC8">
              <w:trPr>
                <w:cantSplit/>
              </w:trPr>
              <w:tc>
                <w:tcPr>
                  <w:tcW w:w="3701" w:type="dxa"/>
                  <w:gridSpan w:val="2"/>
                  <w:vAlign w:val="bottom"/>
                </w:tcPr>
                <w:p w14:paraId="0FB798A4" w14:textId="77777777" w:rsidR="004C11BD" w:rsidRPr="004C11BD" w:rsidRDefault="004C11BD" w:rsidP="004C11BD"/>
              </w:tc>
              <w:tc>
                <w:tcPr>
                  <w:tcW w:w="1637" w:type="dxa"/>
                  <w:vAlign w:val="bottom"/>
                </w:tcPr>
                <w:p w14:paraId="11677278" w14:textId="77777777" w:rsidR="004C11BD" w:rsidRPr="004C11BD" w:rsidRDefault="004C11BD" w:rsidP="004C11BD">
                  <w:r w:rsidRPr="004C11BD">
                    <w:t>Unstandardized Residual</w:t>
                  </w:r>
                </w:p>
              </w:tc>
            </w:tr>
            <w:tr w:rsidR="004C11BD" w:rsidRPr="004C11BD" w14:paraId="59245523" w14:textId="77777777" w:rsidTr="00492FC8">
              <w:trPr>
                <w:cantSplit/>
              </w:trPr>
              <w:tc>
                <w:tcPr>
                  <w:tcW w:w="3701" w:type="dxa"/>
                  <w:gridSpan w:val="2"/>
                </w:tcPr>
                <w:p w14:paraId="1C21273D" w14:textId="77777777" w:rsidR="004C11BD" w:rsidRPr="004C11BD" w:rsidRDefault="004C11BD" w:rsidP="004C11BD">
                  <w:r w:rsidRPr="004C11BD">
                    <w:t>N</w:t>
                  </w:r>
                </w:p>
              </w:tc>
              <w:tc>
                <w:tcPr>
                  <w:tcW w:w="1637" w:type="dxa"/>
                </w:tcPr>
                <w:p w14:paraId="3EEB04CF" w14:textId="77777777" w:rsidR="004C11BD" w:rsidRPr="004C11BD" w:rsidRDefault="004C11BD" w:rsidP="004C11BD">
                  <w:r w:rsidRPr="004C11BD">
                    <w:t>96</w:t>
                  </w:r>
                </w:p>
              </w:tc>
            </w:tr>
            <w:tr w:rsidR="004C11BD" w:rsidRPr="004C11BD" w14:paraId="143CAE32" w14:textId="77777777" w:rsidTr="00492FC8">
              <w:trPr>
                <w:cantSplit/>
              </w:trPr>
              <w:tc>
                <w:tcPr>
                  <w:tcW w:w="2308" w:type="dxa"/>
                  <w:vMerge w:val="restart"/>
                </w:tcPr>
                <w:p w14:paraId="61E2F4AF" w14:textId="77777777" w:rsidR="004C11BD" w:rsidRPr="004C11BD" w:rsidRDefault="004C11BD" w:rsidP="004C11BD">
                  <w:r w:rsidRPr="004C11BD">
                    <w:t xml:space="preserve">Normal </w:t>
                  </w:r>
                  <w:proofErr w:type="spellStart"/>
                  <w:r w:rsidRPr="004C11BD">
                    <w:t>Parameters</w:t>
                  </w:r>
                  <w:r w:rsidRPr="004C11BD">
                    <w:rPr>
                      <w:vertAlign w:val="superscript"/>
                    </w:rPr>
                    <w:t>a,b</w:t>
                  </w:r>
                  <w:proofErr w:type="spellEnd"/>
                </w:p>
              </w:tc>
              <w:tc>
                <w:tcPr>
                  <w:tcW w:w="1393" w:type="dxa"/>
                </w:tcPr>
                <w:p w14:paraId="5AD1B6AA" w14:textId="77777777" w:rsidR="004C11BD" w:rsidRPr="004C11BD" w:rsidRDefault="004C11BD" w:rsidP="004C11BD">
                  <w:r w:rsidRPr="004C11BD">
                    <w:t>Mean</w:t>
                  </w:r>
                </w:p>
              </w:tc>
              <w:tc>
                <w:tcPr>
                  <w:tcW w:w="1637" w:type="dxa"/>
                </w:tcPr>
                <w:p w14:paraId="3A597079" w14:textId="77777777" w:rsidR="004C11BD" w:rsidRPr="004C11BD" w:rsidRDefault="004C11BD" w:rsidP="004C11BD">
                  <w:r w:rsidRPr="004C11BD">
                    <w:t>.0000000</w:t>
                  </w:r>
                </w:p>
              </w:tc>
            </w:tr>
            <w:tr w:rsidR="004C11BD" w:rsidRPr="004C11BD" w14:paraId="62996FFF" w14:textId="77777777" w:rsidTr="00492FC8">
              <w:trPr>
                <w:cantSplit/>
              </w:trPr>
              <w:tc>
                <w:tcPr>
                  <w:tcW w:w="2308" w:type="dxa"/>
                  <w:vMerge/>
                </w:tcPr>
                <w:p w14:paraId="76F37EA4" w14:textId="77777777" w:rsidR="004C11BD" w:rsidRPr="004C11BD" w:rsidRDefault="004C11BD" w:rsidP="004C11BD"/>
              </w:tc>
              <w:tc>
                <w:tcPr>
                  <w:tcW w:w="1393" w:type="dxa"/>
                </w:tcPr>
                <w:p w14:paraId="764E488B" w14:textId="77777777" w:rsidR="004C11BD" w:rsidRPr="004C11BD" w:rsidRDefault="004C11BD" w:rsidP="004C11BD">
                  <w:r w:rsidRPr="004C11BD">
                    <w:t>Std. Deviation</w:t>
                  </w:r>
                </w:p>
              </w:tc>
              <w:tc>
                <w:tcPr>
                  <w:tcW w:w="1637" w:type="dxa"/>
                </w:tcPr>
                <w:p w14:paraId="3441FD26" w14:textId="77777777" w:rsidR="004C11BD" w:rsidRPr="004C11BD" w:rsidRDefault="004C11BD" w:rsidP="004C11BD">
                  <w:r w:rsidRPr="004C11BD">
                    <w:t>.34434061</w:t>
                  </w:r>
                </w:p>
              </w:tc>
            </w:tr>
            <w:tr w:rsidR="004C11BD" w:rsidRPr="004C11BD" w14:paraId="21B6C387" w14:textId="77777777" w:rsidTr="00492FC8">
              <w:trPr>
                <w:cantSplit/>
              </w:trPr>
              <w:tc>
                <w:tcPr>
                  <w:tcW w:w="2308" w:type="dxa"/>
                  <w:vMerge w:val="restart"/>
                </w:tcPr>
                <w:p w14:paraId="336A77A2" w14:textId="77777777" w:rsidR="004C11BD" w:rsidRPr="004C11BD" w:rsidRDefault="004C11BD" w:rsidP="004C11BD">
                  <w:r w:rsidRPr="004C11BD">
                    <w:t>Most Extreme Differences</w:t>
                  </w:r>
                </w:p>
              </w:tc>
              <w:tc>
                <w:tcPr>
                  <w:tcW w:w="1393" w:type="dxa"/>
                </w:tcPr>
                <w:p w14:paraId="167C4E35" w14:textId="77777777" w:rsidR="004C11BD" w:rsidRPr="004C11BD" w:rsidRDefault="004C11BD" w:rsidP="004C11BD">
                  <w:r w:rsidRPr="004C11BD">
                    <w:t>Absolute</w:t>
                  </w:r>
                </w:p>
              </w:tc>
              <w:tc>
                <w:tcPr>
                  <w:tcW w:w="1637" w:type="dxa"/>
                </w:tcPr>
                <w:p w14:paraId="39D0FE41" w14:textId="77777777" w:rsidR="004C11BD" w:rsidRPr="004C11BD" w:rsidRDefault="004C11BD" w:rsidP="004C11BD">
                  <w:r w:rsidRPr="004C11BD">
                    <w:t>.386</w:t>
                  </w:r>
                </w:p>
              </w:tc>
            </w:tr>
            <w:tr w:rsidR="004C11BD" w:rsidRPr="004C11BD" w14:paraId="0CD8909A" w14:textId="77777777" w:rsidTr="00492FC8">
              <w:trPr>
                <w:cantSplit/>
              </w:trPr>
              <w:tc>
                <w:tcPr>
                  <w:tcW w:w="2308" w:type="dxa"/>
                  <w:vMerge/>
                </w:tcPr>
                <w:p w14:paraId="7B77E98E" w14:textId="77777777" w:rsidR="004C11BD" w:rsidRPr="004C11BD" w:rsidRDefault="004C11BD" w:rsidP="004C11BD"/>
              </w:tc>
              <w:tc>
                <w:tcPr>
                  <w:tcW w:w="1393" w:type="dxa"/>
                </w:tcPr>
                <w:p w14:paraId="4247F2C8" w14:textId="77777777" w:rsidR="004C11BD" w:rsidRPr="004C11BD" w:rsidRDefault="004C11BD" w:rsidP="004C11BD">
                  <w:r w:rsidRPr="004C11BD">
                    <w:t>Positive</w:t>
                  </w:r>
                </w:p>
              </w:tc>
              <w:tc>
                <w:tcPr>
                  <w:tcW w:w="1637" w:type="dxa"/>
                </w:tcPr>
                <w:p w14:paraId="5D39C8C8" w14:textId="77777777" w:rsidR="004C11BD" w:rsidRPr="004C11BD" w:rsidRDefault="004C11BD" w:rsidP="004C11BD">
                  <w:r w:rsidRPr="004C11BD">
                    <w:t>.216</w:t>
                  </w:r>
                </w:p>
              </w:tc>
            </w:tr>
            <w:tr w:rsidR="004C11BD" w:rsidRPr="004C11BD" w14:paraId="5111973C" w14:textId="77777777" w:rsidTr="00492FC8">
              <w:trPr>
                <w:cantSplit/>
              </w:trPr>
              <w:tc>
                <w:tcPr>
                  <w:tcW w:w="2308" w:type="dxa"/>
                  <w:vMerge/>
                </w:tcPr>
                <w:p w14:paraId="6B3025A8" w14:textId="77777777" w:rsidR="004C11BD" w:rsidRPr="004C11BD" w:rsidRDefault="004C11BD" w:rsidP="004C11BD"/>
              </w:tc>
              <w:tc>
                <w:tcPr>
                  <w:tcW w:w="1393" w:type="dxa"/>
                </w:tcPr>
                <w:p w14:paraId="31218356" w14:textId="77777777" w:rsidR="004C11BD" w:rsidRPr="004C11BD" w:rsidRDefault="004C11BD" w:rsidP="004C11BD">
                  <w:r w:rsidRPr="004C11BD">
                    <w:t>Negative</w:t>
                  </w:r>
                </w:p>
              </w:tc>
              <w:tc>
                <w:tcPr>
                  <w:tcW w:w="1637" w:type="dxa"/>
                </w:tcPr>
                <w:p w14:paraId="6DB843E5" w14:textId="77777777" w:rsidR="004C11BD" w:rsidRPr="004C11BD" w:rsidRDefault="004C11BD" w:rsidP="004C11BD">
                  <w:r w:rsidRPr="004C11BD">
                    <w:t>-.386</w:t>
                  </w:r>
                </w:p>
              </w:tc>
            </w:tr>
            <w:tr w:rsidR="004C11BD" w:rsidRPr="004C11BD" w14:paraId="279C82EC" w14:textId="77777777" w:rsidTr="00492FC8">
              <w:trPr>
                <w:cantSplit/>
              </w:trPr>
              <w:tc>
                <w:tcPr>
                  <w:tcW w:w="3701" w:type="dxa"/>
                  <w:gridSpan w:val="2"/>
                </w:tcPr>
                <w:p w14:paraId="2AE3BA21" w14:textId="77777777" w:rsidR="004C11BD" w:rsidRPr="004C11BD" w:rsidRDefault="004C11BD" w:rsidP="004C11BD">
                  <w:r w:rsidRPr="004C11BD">
                    <w:t>Test Statistic</w:t>
                  </w:r>
                </w:p>
              </w:tc>
              <w:tc>
                <w:tcPr>
                  <w:tcW w:w="1637" w:type="dxa"/>
                </w:tcPr>
                <w:p w14:paraId="7D685BF3" w14:textId="77777777" w:rsidR="004C11BD" w:rsidRPr="004C11BD" w:rsidRDefault="004C11BD" w:rsidP="004C11BD">
                  <w:r w:rsidRPr="004C11BD">
                    <w:t>.386</w:t>
                  </w:r>
                </w:p>
              </w:tc>
            </w:tr>
            <w:tr w:rsidR="004C11BD" w:rsidRPr="004C11BD" w14:paraId="4D5A9671" w14:textId="77777777" w:rsidTr="00492FC8">
              <w:trPr>
                <w:cantSplit/>
              </w:trPr>
              <w:tc>
                <w:tcPr>
                  <w:tcW w:w="3701" w:type="dxa"/>
                  <w:gridSpan w:val="2"/>
                </w:tcPr>
                <w:p w14:paraId="3A576523" w14:textId="77777777" w:rsidR="004C11BD" w:rsidRPr="004C11BD" w:rsidRDefault="004C11BD" w:rsidP="004C11BD">
                  <w:proofErr w:type="spellStart"/>
                  <w:r w:rsidRPr="004C11BD">
                    <w:t>Asymp</w:t>
                  </w:r>
                  <w:proofErr w:type="spellEnd"/>
                  <w:r w:rsidRPr="004C11BD">
                    <w:t>. Sig. (2-tailed)</w:t>
                  </w:r>
                </w:p>
              </w:tc>
              <w:tc>
                <w:tcPr>
                  <w:tcW w:w="1637" w:type="dxa"/>
                </w:tcPr>
                <w:p w14:paraId="45CFBB8B" w14:textId="77777777" w:rsidR="004C11BD" w:rsidRPr="004C11BD" w:rsidRDefault="004C11BD" w:rsidP="004C11BD">
                  <w:r w:rsidRPr="004C11BD">
                    <w:t>.200</w:t>
                  </w:r>
                  <w:r w:rsidRPr="004C11BD">
                    <w:rPr>
                      <w:vertAlign w:val="superscript"/>
                    </w:rPr>
                    <w:t>c</w:t>
                  </w:r>
                </w:p>
              </w:tc>
            </w:tr>
            <w:tr w:rsidR="004C11BD" w:rsidRPr="004C11BD" w14:paraId="67FE8574" w14:textId="77777777" w:rsidTr="00492FC8">
              <w:trPr>
                <w:cantSplit/>
              </w:trPr>
              <w:tc>
                <w:tcPr>
                  <w:tcW w:w="5338" w:type="dxa"/>
                  <w:gridSpan w:val="3"/>
                </w:tcPr>
                <w:p w14:paraId="274A49D0" w14:textId="77777777" w:rsidR="004C11BD" w:rsidRPr="004C11BD" w:rsidRDefault="004C11BD" w:rsidP="004C11BD">
                  <w:r w:rsidRPr="004C11BD">
                    <w:t>a. Test distribution is Normal.</w:t>
                  </w:r>
                </w:p>
              </w:tc>
            </w:tr>
          </w:tbl>
          <w:p w14:paraId="2A52ABA1" w14:textId="77777777" w:rsidR="004C11BD" w:rsidRPr="004C11BD" w:rsidRDefault="004C11BD" w:rsidP="004C11BD">
            <w:pPr>
              <w:pStyle w:val="Body"/>
              <w:rPr>
                <w:rFonts w:ascii="Arial" w:hAnsi="Arial" w:cs="Arial"/>
                <w:lang w:val="en-ID"/>
              </w:rPr>
            </w:pPr>
          </w:p>
        </w:tc>
      </w:tr>
    </w:tbl>
    <w:p w14:paraId="477EBA3B" w14:textId="77777777" w:rsidR="004C11BD" w:rsidRPr="004C11BD" w:rsidRDefault="004C11BD" w:rsidP="003C70F0">
      <w:pPr>
        <w:pStyle w:val="Body"/>
        <w:spacing w:after="0"/>
        <w:rPr>
          <w:rFonts w:ascii="Arial" w:hAnsi="Arial" w:cs="Arial"/>
          <w:lang w:val="en-ID"/>
        </w:rPr>
      </w:pPr>
    </w:p>
    <w:p w14:paraId="63BB376F" w14:textId="77777777" w:rsidR="004C11BD" w:rsidRDefault="004C11BD" w:rsidP="003C70F0">
      <w:pPr>
        <w:pStyle w:val="Body"/>
        <w:spacing w:after="0"/>
        <w:rPr>
          <w:rFonts w:ascii="Arial" w:hAnsi="Arial" w:cs="Arial"/>
        </w:rPr>
      </w:pPr>
      <w:r w:rsidRPr="004C11BD">
        <w:rPr>
          <w:rFonts w:ascii="Arial" w:hAnsi="Arial" w:cs="Arial"/>
        </w:rPr>
        <w:t>The normality test in this study, using the non-parametric Kolmogorov-Smirnov statistic, indicates that the data from 24 food and beverage companies listed on the Indonesia Stock Exchange are normally distributed, with a significance level of 0.200. This value exceeds the normality test criterion threshold of 0.05.</w:t>
      </w:r>
    </w:p>
    <w:p w14:paraId="204A7A8A" w14:textId="77777777" w:rsidR="004C11BD" w:rsidRDefault="004C11BD" w:rsidP="003C70F0">
      <w:pPr>
        <w:pStyle w:val="Body"/>
        <w:spacing w:after="0"/>
        <w:rPr>
          <w:rFonts w:ascii="Arial" w:hAnsi="Arial" w:cs="Arial"/>
        </w:rPr>
      </w:pPr>
    </w:p>
    <w:p w14:paraId="644BB21C" w14:textId="77777777" w:rsidR="004C11BD" w:rsidRPr="004C11BD" w:rsidRDefault="004C11BD" w:rsidP="004C11BD">
      <w:pPr>
        <w:jc w:val="center"/>
        <w:rPr>
          <w:b/>
          <w:bCs/>
          <w:lang w:val="en-ID"/>
        </w:rPr>
      </w:pPr>
      <w:r w:rsidRPr="004C11BD">
        <w:rPr>
          <w:b/>
          <w:bCs/>
          <w:lang w:val="en-ID"/>
        </w:rPr>
        <w:t>Ta</w:t>
      </w:r>
      <w:r w:rsidR="0090108F">
        <w:rPr>
          <w:b/>
          <w:bCs/>
          <w:lang w:val="en-ID"/>
        </w:rPr>
        <w:t>ble</w:t>
      </w:r>
      <w:r w:rsidRPr="004C11BD">
        <w:rPr>
          <w:b/>
          <w:bCs/>
          <w:lang w:val="en-ID"/>
        </w:rPr>
        <w:t xml:space="preserve"> </w:t>
      </w:r>
      <w:r>
        <w:rPr>
          <w:b/>
          <w:bCs/>
          <w:lang w:val="en-ID"/>
        </w:rPr>
        <w:t>3</w:t>
      </w:r>
    </w:p>
    <w:p w14:paraId="46FCBBEE" w14:textId="77777777" w:rsidR="004C11BD" w:rsidRPr="004C11BD" w:rsidRDefault="004C11BD" w:rsidP="004C11BD">
      <w:pPr>
        <w:jc w:val="center"/>
        <w:rPr>
          <w:b/>
          <w:bCs/>
          <w:lang w:val="en-ID"/>
        </w:rPr>
      </w:pPr>
      <w:r w:rsidRPr="004C11BD">
        <w:rPr>
          <w:rFonts w:ascii="Arial" w:hAnsi="Arial" w:cs="Arial"/>
          <w:b/>
          <w:bCs/>
        </w:rPr>
        <w:t>Multicollinearity Test</w:t>
      </w:r>
      <w:r>
        <w:rPr>
          <w:rFonts w:ascii="Arial" w:hAnsi="Arial" w:cs="Arial"/>
        </w:rPr>
        <w:t xml:space="preserve"> </w:t>
      </w:r>
    </w:p>
    <w:tbl>
      <w:tblPr>
        <w:tblW w:w="0" w:type="auto"/>
        <w:tblBorders>
          <w:top w:val="single" w:sz="4" w:space="0" w:color="auto"/>
        </w:tblBorders>
        <w:tblCellMar>
          <w:left w:w="0" w:type="dxa"/>
          <w:right w:w="0" w:type="dxa"/>
        </w:tblCellMar>
        <w:tblLook w:val="0000" w:firstRow="0" w:lastRow="0" w:firstColumn="0" w:lastColumn="0" w:noHBand="0" w:noVBand="0"/>
      </w:tblPr>
      <w:tblGrid>
        <w:gridCol w:w="122"/>
        <w:gridCol w:w="1217"/>
        <w:gridCol w:w="825"/>
        <w:gridCol w:w="1126"/>
        <w:gridCol w:w="1227"/>
        <w:gridCol w:w="975"/>
        <w:gridCol w:w="850"/>
        <w:gridCol w:w="924"/>
        <w:gridCol w:w="932"/>
      </w:tblGrid>
      <w:tr w:rsidR="004C11BD" w:rsidRPr="004C11BD" w14:paraId="07975998" w14:textId="77777777" w:rsidTr="00492FC8">
        <w:trPr>
          <w:cantSplit/>
        </w:trPr>
        <w:tc>
          <w:tcPr>
            <w:tcW w:w="0" w:type="auto"/>
            <w:gridSpan w:val="9"/>
            <w:tcBorders>
              <w:top w:val="single" w:sz="4" w:space="0" w:color="auto"/>
              <w:left w:val="single" w:sz="4" w:space="0" w:color="auto"/>
              <w:bottom w:val="single" w:sz="4" w:space="0" w:color="auto"/>
              <w:right w:val="single" w:sz="4" w:space="0" w:color="auto"/>
            </w:tcBorders>
            <w:vAlign w:val="center"/>
          </w:tcPr>
          <w:p w14:paraId="68C2788B" w14:textId="77777777" w:rsidR="004C11BD" w:rsidRPr="004C11BD" w:rsidRDefault="004C11BD" w:rsidP="004C11BD">
            <w:proofErr w:type="spellStart"/>
            <w:r w:rsidRPr="004C11BD">
              <w:t>Coefficients</w:t>
            </w:r>
            <w:r w:rsidRPr="004C11BD">
              <w:rPr>
                <w:vertAlign w:val="superscript"/>
              </w:rPr>
              <w:t>a</w:t>
            </w:r>
            <w:proofErr w:type="spellEnd"/>
          </w:p>
        </w:tc>
      </w:tr>
      <w:tr w:rsidR="004C11BD" w:rsidRPr="004C11BD" w14:paraId="73CA15B2" w14:textId="77777777" w:rsidTr="00492FC8">
        <w:trPr>
          <w:cantSplit/>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5454E1AD" w14:textId="77777777" w:rsidR="004C11BD" w:rsidRPr="004C11BD" w:rsidRDefault="004C11BD" w:rsidP="004C11BD">
            <w:r w:rsidRPr="004C11BD">
              <w:t>Model</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762924C" w14:textId="77777777" w:rsidR="004C11BD" w:rsidRPr="004C11BD" w:rsidRDefault="004C11BD" w:rsidP="004C11BD">
            <w:r w:rsidRPr="004C11BD">
              <w:t>Unstandardized Coefficients</w:t>
            </w:r>
          </w:p>
        </w:tc>
        <w:tc>
          <w:tcPr>
            <w:tcW w:w="1227" w:type="dxa"/>
            <w:tcBorders>
              <w:top w:val="single" w:sz="4" w:space="0" w:color="auto"/>
              <w:left w:val="single" w:sz="4" w:space="0" w:color="auto"/>
              <w:bottom w:val="single" w:sz="4" w:space="0" w:color="auto"/>
              <w:right w:val="single" w:sz="4" w:space="0" w:color="auto"/>
            </w:tcBorders>
            <w:vAlign w:val="center"/>
          </w:tcPr>
          <w:p w14:paraId="7B934F63" w14:textId="77777777" w:rsidR="004C11BD" w:rsidRPr="004C11BD" w:rsidRDefault="004C11BD" w:rsidP="004C11BD">
            <w:r w:rsidRPr="004C11BD">
              <w:t>Standardized Coefficients</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14:paraId="5D598ABD" w14:textId="77777777" w:rsidR="004C11BD" w:rsidRPr="004C11BD" w:rsidRDefault="004C11BD" w:rsidP="004C11BD">
            <w:r w:rsidRPr="004C11BD">
              <w:t>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F2C6594" w14:textId="77777777" w:rsidR="004C11BD" w:rsidRPr="004C11BD" w:rsidRDefault="004C11BD" w:rsidP="004C11BD">
            <w:r w:rsidRPr="004C11BD">
              <w:t>Sig.</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7541AE56" w14:textId="77777777" w:rsidR="004C11BD" w:rsidRPr="004C11BD" w:rsidRDefault="004C11BD" w:rsidP="004C11BD">
            <w:r w:rsidRPr="004C11BD">
              <w:t>Collinearity Statistics</w:t>
            </w:r>
          </w:p>
        </w:tc>
      </w:tr>
      <w:tr w:rsidR="004C11BD" w:rsidRPr="004C11BD" w14:paraId="28CD144B" w14:textId="77777777" w:rsidTr="00492FC8">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2AAF42A1"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209BE2CC" w14:textId="77777777" w:rsidR="004C11BD" w:rsidRPr="004C11BD" w:rsidRDefault="004C11BD" w:rsidP="004C11BD">
            <w:r w:rsidRPr="004C11BD">
              <w:t>B</w:t>
            </w:r>
          </w:p>
        </w:tc>
        <w:tc>
          <w:tcPr>
            <w:tcW w:w="0" w:type="auto"/>
            <w:tcBorders>
              <w:top w:val="single" w:sz="4" w:space="0" w:color="auto"/>
              <w:left w:val="single" w:sz="4" w:space="0" w:color="auto"/>
              <w:bottom w:val="single" w:sz="4" w:space="0" w:color="auto"/>
              <w:right w:val="single" w:sz="4" w:space="0" w:color="auto"/>
            </w:tcBorders>
            <w:vAlign w:val="center"/>
          </w:tcPr>
          <w:p w14:paraId="17586A74" w14:textId="77777777" w:rsidR="004C11BD" w:rsidRPr="004C11BD" w:rsidRDefault="004C11BD" w:rsidP="004C11BD">
            <w:r w:rsidRPr="004C11BD">
              <w:t>Std. Error</w:t>
            </w:r>
          </w:p>
        </w:tc>
        <w:tc>
          <w:tcPr>
            <w:tcW w:w="1227" w:type="dxa"/>
            <w:tcBorders>
              <w:top w:val="single" w:sz="4" w:space="0" w:color="auto"/>
              <w:left w:val="single" w:sz="4" w:space="0" w:color="auto"/>
              <w:bottom w:val="single" w:sz="4" w:space="0" w:color="auto"/>
              <w:right w:val="single" w:sz="4" w:space="0" w:color="auto"/>
            </w:tcBorders>
            <w:vAlign w:val="center"/>
          </w:tcPr>
          <w:p w14:paraId="35F89C6A" w14:textId="77777777" w:rsidR="004C11BD" w:rsidRPr="004C11BD" w:rsidRDefault="004C11BD" w:rsidP="004C11BD">
            <w:r w:rsidRPr="004C11BD">
              <w:t>Beta</w:t>
            </w:r>
          </w:p>
        </w:tc>
        <w:tc>
          <w:tcPr>
            <w:tcW w:w="975" w:type="dxa"/>
            <w:vMerge/>
            <w:tcBorders>
              <w:top w:val="single" w:sz="4" w:space="0" w:color="auto"/>
              <w:left w:val="single" w:sz="4" w:space="0" w:color="auto"/>
              <w:bottom w:val="single" w:sz="4" w:space="0" w:color="auto"/>
              <w:right w:val="single" w:sz="4" w:space="0" w:color="auto"/>
            </w:tcBorders>
            <w:vAlign w:val="center"/>
          </w:tcPr>
          <w:p w14:paraId="1D9551CC" w14:textId="77777777" w:rsidR="004C11BD" w:rsidRPr="004C11BD" w:rsidRDefault="004C11BD" w:rsidP="004C11BD"/>
        </w:tc>
        <w:tc>
          <w:tcPr>
            <w:tcW w:w="850" w:type="dxa"/>
            <w:vMerge/>
            <w:tcBorders>
              <w:top w:val="single" w:sz="4" w:space="0" w:color="auto"/>
              <w:left w:val="single" w:sz="4" w:space="0" w:color="auto"/>
              <w:bottom w:val="single" w:sz="4" w:space="0" w:color="auto"/>
              <w:right w:val="single" w:sz="4" w:space="0" w:color="auto"/>
            </w:tcBorders>
            <w:vAlign w:val="center"/>
          </w:tcPr>
          <w:p w14:paraId="046FB6EF" w14:textId="77777777" w:rsidR="004C11BD" w:rsidRPr="004C11BD" w:rsidRDefault="004C11BD" w:rsidP="004C11BD"/>
        </w:tc>
        <w:tc>
          <w:tcPr>
            <w:tcW w:w="851" w:type="dxa"/>
            <w:tcBorders>
              <w:top w:val="single" w:sz="4" w:space="0" w:color="auto"/>
              <w:left w:val="single" w:sz="4" w:space="0" w:color="auto"/>
              <w:bottom w:val="single" w:sz="4" w:space="0" w:color="auto"/>
              <w:right w:val="single" w:sz="4" w:space="0" w:color="auto"/>
            </w:tcBorders>
            <w:vAlign w:val="center"/>
          </w:tcPr>
          <w:p w14:paraId="4CC9AEAA" w14:textId="77777777" w:rsidR="004C11BD" w:rsidRPr="004C11BD" w:rsidRDefault="004C11BD" w:rsidP="004C11BD">
            <w:r w:rsidRPr="004C11BD">
              <w:t>Tolerance</w:t>
            </w:r>
          </w:p>
        </w:tc>
        <w:tc>
          <w:tcPr>
            <w:tcW w:w="908" w:type="dxa"/>
            <w:tcBorders>
              <w:top w:val="single" w:sz="4" w:space="0" w:color="auto"/>
              <w:left w:val="single" w:sz="4" w:space="0" w:color="auto"/>
              <w:bottom w:val="single" w:sz="4" w:space="0" w:color="auto"/>
              <w:right w:val="single" w:sz="4" w:space="0" w:color="auto"/>
            </w:tcBorders>
            <w:vAlign w:val="center"/>
          </w:tcPr>
          <w:p w14:paraId="703E804E" w14:textId="77777777" w:rsidR="004C11BD" w:rsidRPr="004C11BD" w:rsidRDefault="004C11BD" w:rsidP="004C11BD">
            <w:r w:rsidRPr="004C11BD">
              <w:t>VIF</w:t>
            </w:r>
          </w:p>
        </w:tc>
      </w:tr>
      <w:tr w:rsidR="004C11BD" w:rsidRPr="004C11BD" w14:paraId="62E8B712" w14:textId="77777777" w:rsidTr="00492FC8">
        <w:trPr>
          <w:cantSplit/>
        </w:trPr>
        <w:tc>
          <w:tcPr>
            <w:tcW w:w="0" w:type="auto"/>
            <w:vMerge w:val="restart"/>
            <w:tcBorders>
              <w:top w:val="single" w:sz="4" w:space="0" w:color="auto"/>
              <w:left w:val="single" w:sz="4" w:space="0" w:color="auto"/>
              <w:bottom w:val="single" w:sz="4" w:space="0" w:color="auto"/>
              <w:right w:val="single" w:sz="4" w:space="0" w:color="auto"/>
            </w:tcBorders>
          </w:tcPr>
          <w:p w14:paraId="5E9040B5" w14:textId="77777777" w:rsidR="004C11BD" w:rsidRPr="004C11BD" w:rsidRDefault="004C11BD" w:rsidP="004C11BD">
            <w:r w:rsidRPr="004C11BD">
              <w:t>1</w:t>
            </w:r>
          </w:p>
        </w:tc>
        <w:tc>
          <w:tcPr>
            <w:tcW w:w="0" w:type="auto"/>
            <w:tcBorders>
              <w:top w:val="single" w:sz="4" w:space="0" w:color="auto"/>
              <w:left w:val="single" w:sz="4" w:space="0" w:color="auto"/>
              <w:bottom w:val="single" w:sz="4" w:space="0" w:color="auto"/>
              <w:right w:val="single" w:sz="4" w:space="0" w:color="auto"/>
            </w:tcBorders>
            <w:vAlign w:val="center"/>
          </w:tcPr>
          <w:p w14:paraId="5F0F5A2F" w14:textId="77777777" w:rsidR="004C11BD" w:rsidRPr="004C11BD" w:rsidRDefault="004C11BD" w:rsidP="004C11BD">
            <w:r w:rsidRPr="004C11BD">
              <w:t>(Constant)</w:t>
            </w:r>
          </w:p>
        </w:tc>
        <w:tc>
          <w:tcPr>
            <w:tcW w:w="0" w:type="auto"/>
            <w:tcBorders>
              <w:top w:val="single" w:sz="4" w:space="0" w:color="auto"/>
              <w:left w:val="single" w:sz="4" w:space="0" w:color="auto"/>
              <w:bottom w:val="single" w:sz="4" w:space="0" w:color="auto"/>
              <w:right w:val="single" w:sz="4" w:space="0" w:color="auto"/>
            </w:tcBorders>
            <w:vAlign w:val="center"/>
          </w:tcPr>
          <w:p w14:paraId="6B03B5A2" w14:textId="77777777" w:rsidR="004C11BD" w:rsidRPr="004C11BD" w:rsidRDefault="004C11BD" w:rsidP="004C11BD">
            <w:r w:rsidRPr="004C11BD">
              <w:t>1.432</w:t>
            </w:r>
          </w:p>
        </w:tc>
        <w:tc>
          <w:tcPr>
            <w:tcW w:w="0" w:type="auto"/>
            <w:tcBorders>
              <w:top w:val="single" w:sz="4" w:space="0" w:color="auto"/>
              <w:left w:val="single" w:sz="4" w:space="0" w:color="auto"/>
              <w:bottom w:val="single" w:sz="4" w:space="0" w:color="auto"/>
              <w:right w:val="single" w:sz="4" w:space="0" w:color="auto"/>
            </w:tcBorders>
            <w:vAlign w:val="center"/>
          </w:tcPr>
          <w:p w14:paraId="085BEBA9" w14:textId="77777777" w:rsidR="004C11BD" w:rsidRPr="004C11BD" w:rsidRDefault="004C11BD" w:rsidP="004C11BD">
            <w:r w:rsidRPr="004C11BD">
              <w:t>.602</w:t>
            </w:r>
          </w:p>
        </w:tc>
        <w:tc>
          <w:tcPr>
            <w:tcW w:w="1227" w:type="dxa"/>
            <w:tcBorders>
              <w:top w:val="single" w:sz="4" w:space="0" w:color="auto"/>
              <w:left w:val="single" w:sz="4" w:space="0" w:color="auto"/>
              <w:bottom w:val="single" w:sz="4" w:space="0" w:color="auto"/>
              <w:right w:val="single" w:sz="4" w:space="0" w:color="auto"/>
            </w:tcBorders>
            <w:vAlign w:val="center"/>
          </w:tcPr>
          <w:p w14:paraId="496C63C6" w14:textId="77777777" w:rsidR="004C11BD" w:rsidRPr="004C11BD" w:rsidRDefault="004C11BD" w:rsidP="004C11BD"/>
        </w:tc>
        <w:tc>
          <w:tcPr>
            <w:tcW w:w="975" w:type="dxa"/>
            <w:tcBorders>
              <w:top w:val="single" w:sz="4" w:space="0" w:color="auto"/>
              <w:left w:val="single" w:sz="4" w:space="0" w:color="auto"/>
              <w:bottom w:val="single" w:sz="4" w:space="0" w:color="auto"/>
              <w:right w:val="single" w:sz="4" w:space="0" w:color="auto"/>
            </w:tcBorders>
            <w:vAlign w:val="center"/>
          </w:tcPr>
          <w:p w14:paraId="5E3C714E" w14:textId="77777777" w:rsidR="004C11BD" w:rsidRPr="004C11BD" w:rsidRDefault="004C11BD" w:rsidP="004C11BD">
            <w:r w:rsidRPr="004C11BD">
              <w:t>4.717</w:t>
            </w:r>
          </w:p>
        </w:tc>
        <w:tc>
          <w:tcPr>
            <w:tcW w:w="850" w:type="dxa"/>
            <w:tcBorders>
              <w:top w:val="single" w:sz="4" w:space="0" w:color="auto"/>
              <w:left w:val="single" w:sz="4" w:space="0" w:color="auto"/>
              <w:bottom w:val="single" w:sz="4" w:space="0" w:color="auto"/>
              <w:right w:val="single" w:sz="4" w:space="0" w:color="auto"/>
            </w:tcBorders>
            <w:vAlign w:val="center"/>
          </w:tcPr>
          <w:p w14:paraId="4FD39706" w14:textId="77777777" w:rsidR="004C11BD" w:rsidRPr="004C11BD" w:rsidRDefault="004C11BD" w:rsidP="004C11BD">
            <w:r w:rsidRPr="004C11BD">
              <w:t>.000</w:t>
            </w:r>
          </w:p>
        </w:tc>
        <w:tc>
          <w:tcPr>
            <w:tcW w:w="851" w:type="dxa"/>
            <w:tcBorders>
              <w:top w:val="single" w:sz="4" w:space="0" w:color="auto"/>
              <w:left w:val="single" w:sz="4" w:space="0" w:color="auto"/>
              <w:bottom w:val="single" w:sz="4" w:space="0" w:color="auto"/>
              <w:right w:val="single" w:sz="4" w:space="0" w:color="auto"/>
            </w:tcBorders>
            <w:vAlign w:val="center"/>
          </w:tcPr>
          <w:p w14:paraId="0355AB48" w14:textId="77777777" w:rsidR="004C11BD" w:rsidRPr="004C11BD" w:rsidRDefault="004C11BD" w:rsidP="004C11BD"/>
        </w:tc>
        <w:tc>
          <w:tcPr>
            <w:tcW w:w="908" w:type="dxa"/>
            <w:tcBorders>
              <w:top w:val="single" w:sz="4" w:space="0" w:color="auto"/>
              <w:left w:val="single" w:sz="4" w:space="0" w:color="auto"/>
              <w:bottom w:val="single" w:sz="4" w:space="0" w:color="auto"/>
              <w:right w:val="single" w:sz="4" w:space="0" w:color="auto"/>
            </w:tcBorders>
            <w:vAlign w:val="center"/>
          </w:tcPr>
          <w:p w14:paraId="0898A46E" w14:textId="77777777" w:rsidR="004C11BD" w:rsidRPr="004C11BD" w:rsidRDefault="004C11BD" w:rsidP="004C11BD"/>
        </w:tc>
      </w:tr>
      <w:tr w:rsidR="004C11BD" w:rsidRPr="004C11BD" w14:paraId="360665C3"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4C426B3"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440D6FDA" w14:textId="77777777" w:rsidR="004C11BD" w:rsidRPr="004C11BD" w:rsidRDefault="004C11BD" w:rsidP="004C11BD">
            <w:pPr>
              <w:rPr>
                <w:i/>
              </w:rPr>
            </w:pPr>
            <w:r w:rsidRPr="004C11BD">
              <w:rPr>
                <w:i/>
              </w:rPr>
              <w:t>Company Size</w:t>
            </w:r>
          </w:p>
        </w:tc>
        <w:tc>
          <w:tcPr>
            <w:tcW w:w="0" w:type="auto"/>
            <w:tcBorders>
              <w:top w:val="single" w:sz="4" w:space="0" w:color="auto"/>
              <w:left w:val="single" w:sz="4" w:space="0" w:color="auto"/>
              <w:bottom w:val="single" w:sz="4" w:space="0" w:color="auto"/>
              <w:right w:val="single" w:sz="4" w:space="0" w:color="auto"/>
            </w:tcBorders>
            <w:vAlign w:val="center"/>
          </w:tcPr>
          <w:p w14:paraId="5288DB55" w14:textId="77777777" w:rsidR="004C11BD" w:rsidRPr="004C11BD" w:rsidRDefault="004C11BD" w:rsidP="004C11BD">
            <w:r w:rsidRPr="004C11BD">
              <w:t>.416</w:t>
            </w:r>
          </w:p>
        </w:tc>
        <w:tc>
          <w:tcPr>
            <w:tcW w:w="0" w:type="auto"/>
            <w:tcBorders>
              <w:top w:val="single" w:sz="4" w:space="0" w:color="auto"/>
              <w:left w:val="single" w:sz="4" w:space="0" w:color="auto"/>
              <w:bottom w:val="single" w:sz="4" w:space="0" w:color="auto"/>
              <w:right w:val="single" w:sz="4" w:space="0" w:color="auto"/>
            </w:tcBorders>
            <w:vAlign w:val="center"/>
          </w:tcPr>
          <w:p w14:paraId="67531D40" w14:textId="77777777" w:rsidR="004C11BD" w:rsidRPr="004C11BD" w:rsidRDefault="004C11BD" w:rsidP="004C11BD">
            <w:r w:rsidRPr="004C11BD">
              <w:t>.021</w:t>
            </w:r>
          </w:p>
        </w:tc>
        <w:tc>
          <w:tcPr>
            <w:tcW w:w="1227" w:type="dxa"/>
            <w:tcBorders>
              <w:top w:val="single" w:sz="4" w:space="0" w:color="auto"/>
              <w:left w:val="single" w:sz="4" w:space="0" w:color="auto"/>
              <w:bottom w:val="single" w:sz="4" w:space="0" w:color="auto"/>
              <w:right w:val="single" w:sz="4" w:space="0" w:color="auto"/>
            </w:tcBorders>
            <w:vAlign w:val="center"/>
          </w:tcPr>
          <w:p w14:paraId="7A960420" w14:textId="77777777" w:rsidR="004C11BD" w:rsidRPr="004C11BD" w:rsidRDefault="004C11BD" w:rsidP="004C11BD">
            <w:r w:rsidRPr="004C11BD">
              <w:t>.081</w:t>
            </w:r>
          </w:p>
        </w:tc>
        <w:tc>
          <w:tcPr>
            <w:tcW w:w="975" w:type="dxa"/>
            <w:tcBorders>
              <w:top w:val="single" w:sz="4" w:space="0" w:color="auto"/>
              <w:left w:val="single" w:sz="4" w:space="0" w:color="auto"/>
              <w:bottom w:val="single" w:sz="4" w:space="0" w:color="auto"/>
              <w:right w:val="single" w:sz="4" w:space="0" w:color="auto"/>
            </w:tcBorders>
            <w:vAlign w:val="center"/>
          </w:tcPr>
          <w:p w14:paraId="682944B2" w14:textId="77777777" w:rsidR="004C11BD" w:rsidRPr="004C11BD" w:rsidRDefault="004C11BD" w:rsidP="004C11BD">
            <w:r w:rsidRPr="004C11BD">
              <w:t>3.768</w:t>
            </w:r>
          </w:p>
        </w:tc>
        <w:tc>
          <w:tcPr>
            <w:tcW w:w="850" w:type="dxa"/>
            <w:tcBorders>
              <w:top w:val="single" w:sz="4" w:space="0" w:color="auto"/>
              <w:left w:val="single" w:sz="4" w:space="0" w:color="auto"/>
              <w:bottom w:val="single" w:sz="4" w:space="0" w:color="auto"/>
              <w:right w:val="single" w:sz="4" w:space="0" w:color="auto"/>
            </w:tcBorders>
            <w:vAlign w:val="center"/>
          </w:tcPr>
          <w:p w14:paraId="123D5149" w14:textId="77777777" w:rsidR="004C11BD" w:rsidRPr="004C11BD" w:rsidRDefault="004C11BD" w:rsidP="004C11BD">
            <w:r w:rsidRPr="004C11BD">
              <w:t>.004</w:t>
            </w:r>
          </w:p>
        </w:tc>
        <w:tc>
          <w:tcPr>
            <w:tcW w:w="851" w:type="dxa"/>
            <w:tcBorders>
              <w:top w:val="single" w:sz="4" w:space="0" w:color="auto"/>
              <w:left w:val="single" w:sz="4" w:space="0" w:color="auto"/>
              <w:bottom w:val="single" w:sz="4" w:space="0" w:color="auto"/>
              <w:right w:val="single" w:sz="4" w:space="0" w:color="auto"/>
            </w:tcBorders>
            <w:vAlign w:val="center"/>
          </w:tcPr>
          <w:p w14:paraId="55641138" w14:textId="77777777" w:rsidR="004C11BD" w:rsidRPr="004C11BD" w:rsidRDefault="004C11BD" w:rsidP="004C11BD">
            <w:r w:rsidRPr="004C11BD">
              <w:t>.930</w:t>
            </w:r>
          </w:p>
        </w:tc>
        <w:tc>
          <w:tcPr>
            <w:tcW w:w="908" w:type="dxa"/>
            <w:tcBorders>
              <w:top w:val="single" w:sz="4" w:space="0" w:color="auto"/>
              <w:left w:val="single" w:sz="4" w:space="0" w:color="auto"/>
              <w:bottom w:val="single" w:sz="4" w:space="0" w:color="auto"/>
              <w:right w:val="single" w:sz="4" w:space="0" w:color="auto"/>
            </w:tcBorders>
            <w:vAlign w:val="center"/>
          </w:tcPr>
          <w:p w14:paraId="7AF577EB" w14:textId="77777777" w:rsidR="004C11BD" w:rsidRPr="004C11BD" w:rsidRDefault="004C11BD" w:rsidP="004C11BD">
            <w:r w:rsidRPr="004C11BD">
              <w:t>1.076</w:t>
            </w:r>
          </w:p>
        </w:tc>
      </w:tr>
      <w:tr w:rsidR="004C11BD" w:rsidRPr="004C11BD" w14:paraId="17A3BE3B"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E7AB931"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351F4DFD" w14:textId="77777777" w:rsidR="004C11BD" w:rsidRPr="004C11BD" w:rsidRDefault="004C11BD" w:rsidP="004C11BD">
            <w:pPr>
              <w:rPr>
                <w:i/>
              </w:rPr>
            </w:pPr>
            <w:r w:rsidRPr="004C11BD">
              <w:rPr>
                <w:i/>
              </w:rPr>
              <w:t>Company Age</w:t>
            </w:r>
          </w:p>
        </w:tc>
        <w:tc>
          <w:tcPr>
            <w:tcW w:w="0" w:type="auto"/>
            <w:tcBorders>
              <w:top w:val="single" w:sz="4" w:space="0" w:color="auto"/>
              <w:left w:val="single" w:sz="4" w:space="0" w:color="auto"/>
              <w:bottom w:val="single" w:sz="4" w:space="0" w:color="auto"/>
              <w:right w:val="single" w:sz="4" w:space="0" w:color="auto"/>
            </w:tcBorders>
            <w:vAlign w:val="center"/>
          </w:tcPr>
          <w:p w14:paraId="0CFFBDCD" w14:textId="77777777" w:rsidR="004C11BD" w:rsidRPr="004C11BD" w:rsidRDefault="004C11BD" w:rsidP="004C11BD">
            <w:r w:rsidRPr="004C11BD">
              <w:t>.702</w:t>
            </w:r>
          </w:p>
        </w:tc>
        <w:tc>
          <w:tcPr>
            <w:tcW w:w="0" w:type="auto"/>
            <w:tcBorders>
              <w:top w:val="single" w:sz="4" w:space="0" w:color="auto"/>
              <w:left w:val="single" w:sz="4" w:space="0" w:color="auto"/>
              <w:bottom w:val="single" w:sz="4" w:space="0" w:color="auto"/>
              <w:right w:val="single" w:sz="4" w:space="0" w:color="auto"/>
            </w:tcBorders>
            <w:vAlign w:val="center"/>
          </w:tcPr>
          <w:p w14:paraId="4A21219C" w14:textId="77777777" w:rsidR="004C11BD" w:rsidRPr="004C11BD" w:rsidRDefault="004C11BD" w:rsidP="004C11BD">
            <w:r w:rsidRPr="004C11BD">
              <w:t>.002</w:t>
            </w:r>
          </w:p>
        </w:tc>
        <w:tc>
          <w:tcPr>
            <w:tcW w:w="1227" w:type="dxa"/>
            <w:tcBorders>
              <w:top w:val="single" w:sz="4" w:space="0" w:color="auto"/>
              <w:left w:val="single" w:sz="4" w:space="0" w:color="auto"/>
              <w:bottom w:val="single" w:sz="4" w:space="0" w:color="auto"/>
              <w:right w:val="single" w:sz="4" w:space="0" w:color="auto"/>
            </w:tcBorders>
            <w:vAlign w:val="center"/>
          </w:tcPr>
          <w:p w14:paraId="74134A17" w14:textId="77777777" w:rsidR="004C11BD" w:rsidRPr="004C11BD" w:rsidRDefault="004C11BD" w:rsidP="004C11BD">
            <w:r w:rsidRPr="004C11BD">
              <w:t>.109</w:t>
            </w:r>
          </w:p>
        </w:tc>
        <w:tc>
          <w:tcPr>
            <w:tcW w:w="975" w:type="dxa"/>
            <w:tcBorders>
              <w:top w:val="single" w:sz="4" w:space="0" w:color="auto"/>
              <w:left w:val="single" w:sz="4" w:space="0" w:color="auto"/>
              <w:bottom w:val="single" w:sz="4" w:space="0" w:color="auto"/>
              <w:right w:val="single" w:sz="4" w:space="0" w:color="auto"/>
            </w:tcBorders>
            <w:vAlign w:val="center"/>
          </w:tcPr>
          <w:p w14:paraId="230E4E31" w14:textId="77777777" w:rsidR="004C11BD" w:rsidRPr="004C11BD" w:rsidRDefault="004C11BD" w:rsidP="004C11BD">
            <w:r w:rsidRPr="004C11BD">
              <w:t>5.995</w:t>
            </w:r>
          </w:p>
        </w:tc>
        <w:tc>
          <w:tcPr>
            <w:tcW w:w="850" w:type="dxa"/>
            <w:tcBorders>
              <w:top w:val="single" w:sz="4" w:space="0" w:color="auto"/>
              <w:left w:val="single" w:sz="4" w:space="0" w:color="auto"/>
              <w:bottom w:val="single" w:sz="4" w:space="0" w:color="auto"/>
              <w:right w:val="single" w:sz="4" w:space="0" w:color="auto"/>
            </w:tcBorders>
            <w:vAlign w:val="center"/>
          </w:tcPr>
          <w:p w14:paraId="76DA6EC3" w14:textId="77777777" w:rsidR="004C11BD" w:rsidRPr="004C11BD" w:rsidRDefault="004C11BD" w:rsidP="004C11BD">
            <w:r w:rsidRPr="004C11BD">
              <w:t>.022</w:t>
            </w:r>
          </w:p>
        </w:tc>
        <w:tc>
          <w:tcPr>
            <w:tcW w:w="851" w:type="dxa"/>
            <w:tcBorders>
              <w:top w:val="single" w:sz="4" w:space="0" w:color="auto"/>
              <w:left w:val="single" w:sz="4" w:space="0" w:color="auto"/>
              <w:bottom w:val="single" w:sz="4" w:space="0" w:color="auto"/>
              <w:right w:val="single" w:sz="4" w:space="0" w:color="auto"/>
            </w:tcBorders>
            <w:vAlign w:val="center"/>
          </w:tcPr>
          <w:p w14:paraId="34D81B30" w14:textId="77777777" w:rsidR="004C11BD" w:rsidRPr="004C11BD" w:rsidRDefault="004C11BD" w:rsidP="004C11BD">
            <w:r w:rsidRPr="004C11BD">
              <w:t>.864</w:t>
            </w:r>
          </w:p>
        </w:tc>
        <w:tc>
          <w:tcPr>
            <w:tcW w:w="908" w:type="dxa"/>
            <w:tcBorders>
              <w:top w:val="single" w:sz="4" w:space="0" w:color="auto"/>
              <w:left w:val="single" w:sz="4" w:space="0" w:color="auto"/>
              <w:bottom w:val="single" w:sz="4" w:space="0" w:color="auto"/>
              <w:right w:val="single" w:sz="4" w:space="0" w:color="auto"/>
            </w:tcBorders>
            <w:vAlign w:val="center"/>
          </w:tcPr>
          <w:p w14:paraId="6197CD16" w14:textId="77777777" w:rsidR="004C11BD" w:rsidRPr="004C11BD" w:rsidRDefault="004C11BD" w:rsidP="004C11BD">
            <w:r w:rsidRPr="004C11BD">
              <w:t>1.158</w:t>
            </w:r>
          </w:p>
        </w:tc>
      </w:tr>
      <w:tr w:rsidR="004C11BD" w:rsidRPr="004C11BD" w14:paraId="306B72FE" w14:textId="77777777" w:rsidTr="00492FC8">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FC58CDC" w14:textId="77777777" w:rsidR="004C11BD" w:rsidRPr="004C11BD" w:rsidRDefault="004C11BD" w:rsidP="004C11BD"/>
        </w:tc>
        <w:tc>
          <w:tcPr>
            <w:tcW w:w="0" w:type="auto"/>
            <w:tcBorders>
              <w:top w:val="single" w:sz="4" w:space="0" w:color="auto"/>
              <w:left w:val="single" w:sz="4" w:space="0" w:color="auto"/>
              <w:bottom w:val="single" w:sz="4" w:space="0" w:color="auto"/>
              <w:right w:val="single" w:sz="4" w:space="0" w:color="auto"/>
            </w:tcBorders>
            <w:vAlign w:val="center"/>
          </w:tcPr>
          <w:p w14:paraId="58B9D34C" w14:textId="77777777" w:rsidR="004C11BD" w:rsidRPr="004C11BD" w:rsidRDefault="004C11BD" w:rsidP="004C11BD">
            <w:pPr>
              <w:rPr>
                <w:i/>
              </w:rPr>
            </w:pPr>
            <w:r w:rsidRPr="004C11BD">
              <w:rPr>
                <w:i/>
              </w:rPr>
              <w:t>Capital Structure</w:t>
            </w:r>
          </w:p>
        </w:tc>
        <w:tc>
          <w:tcPr>
            <w:tcW w:w="0" w:type="auto"/>
            <w:tcBorders>
              <w:top w:val="single" w:sz="4" w:space="0" w:color="auto"/>
              <w:left w:val="single" w:sz="4" w:space="0" w:color="auto"/>
              <w:bottom w:val="single" w:sz="4" w:space="0" w:color="auto"/>
              <w:right w:val="single" w:sz="4" w:space="0" w:color="auto"/>
            </w:tcBorders>
            <w:vAlign w:val="center"/>
          </w:tcPr>
          <w:p w14:paraId="6BEC02B8" w14:textId="77777777" w:rsidR="004C11BD" w:rsidRPr="004C11BD" w:rsidRDefault="004C11BD" w:rsidP="004C11BD">
            <w:r w:rsidRPr="004C11BD">
              <w:t>.206</w:t>
            </w:r>
          </w:p>
        </w:tc>
        <w:tc>
          <w:tcPr>
            <w:tcW w:w="0" w:type="auto"/>
            <w:tcBorders>
              <w:top w:val="single" w:sz="4" w:space="0" w:color="auto"/>
              <w:left w:val="single" w:sz="4" w:space="0" w:color="auto"/>
              <w:bottom w:val="single" w:sz="4" w:space="0" w:color="auto"/>
              <w:right w:val="single" w:sz="4" w:space="0" w:color="auto"/>
            </w:tcBorders>
            <w:vAlign w:val="center"/>
          </w:tcPr>
          <w:p w14:paraId="58312D33" w14:textId="77777777" w:rsidR="004C11BD" w:rsidRPr="004C11BD" w:rsidRDefault="004C11BD" w:rsidP="004C11BD">
            <w:r w:rsidRPr="004C11BD">
              <w:t>.104</w:t>
            </w:r>
          </w:p>
        </w:tc>
        <w:tc>
          <w:tcPr>
            <w:tcW w:w="1227" w:type="dxa"/>
            <w:tcBorders>
              <w:top w:val="single" w:sz="4" w:space="0" w:color="auto"/>
              <w:left w:val="single" w:sz="4" w:space="0" w:color="auto"/>
              <w:bottom w:val="single" w:sz="4" w:space="0" w:color="auto"/>
              <w:right w:val="single" w:sz="4" w:space="0" w:color="auto"/>
            </w:tcBorders>
            <w:vAlign w:val="center"/>
          </w:tcPr>
          <w:p w14:paraId="719FEE24" w14:textId="77777777" w:rsidR="004C11BD" w:rsidRPr="004C11BD" w:rsidRDefault="004C11BD" w:rsidP="004C11BD">
            <w:r w:rsidRPr="004C11BD">
              <w:t>.196</w:t>
            </w:r>
          </w:p>
        </w:tc>
        <w:tc>
          <w:tcPr>
            <w:tcW w:w="975" w:type="dxa"/>
            <w:tcBorders>
              <w:top w:val="single" w:sz="4" w:space="0" w:color="auto"/>
              <w:left w:val="single" w:sz="4" w:space="0" w:color="auto"/>
              <w:bottom w:val="single" w:sz="4" w:space="0" w:color="auto"/>
              <w:right w:val="single" w:sz="4" w:space="0" w:color="auto"/>
            </w:tcBorders>
            <w:vAlign w:val="center"/>
          </w:tcPr>
          <w:p w14:paraId="1F7FDB82" w14:textId="77777777" w:rsidR="004C11BD" w:rsidRPr="004C11BD" w:rsidRDefault="004C11BD" w:rsidP="004C11BD">
            <w:r w:rsidRPr="004C11BD">
              <w:t>3.923</w:t>
            </w:r>
          </w:p>
        </w:tc>
        <w:tc>
          <w:tcPr>
            <w:tcW w:w="850" w:type="dxa"/>
            <w:tcBorders>
              <w:top w:val="single" w:sz="4" w:space="0" w:color="auto"/>
              <w:left w:val="single" w:sz="4" w:space="0" w:color="auto"/>
              <w:bottom w:val="single" w:sz="4" w:space="0" w:color="auto"/>
              <w:right w:val="single" w:sz="4" w:space="0" w:color="auto"/>
            </w:tcBorders>
            <w:vAlign w:val="center"/>
          </w:tcPr>
          <w:p w14:paraId="0714CA98" w14:textId="77777777" w:rsidR="004C11BD" w:rsidRPr="004C11BD" w:rsidRDefault="004C11BD" w:rsidP="004C11BD">
            <w:r w:rsidRPr="004C11BD">
              <w:t>.000</w:t>
            </w:r>
          </w:p>
        </w:tc>
        <w:tc>
          <w:tcPr>
            <w:tcW w:w="851" w:type="dxa"/>
            <w:tcBorders>
              <w:top w:val="single" w:sz="4" w:space="0" w:color="auto"/>
              <w:left w:val="single" w:sz="4" w:space="0" w:color="auto"/>
              <w:bottom w:val="single" w:sz="4" w:space="0" w:color="auto"/>
              <w:right w:val="single" w:sz="4" w:space="0" w:color="auto"/>
            </w:tcBorders>
            <w:vAlign w:val="center"/>
          </w:tcPr>
          <w:p w14:paraId="43ACDDD2" w14:textId="77777777" w:rsidR="004C11BD" w:rsidRPr="004C11BD" w:rsidRDefault="004C11BD" w:rsidP="004C11BD">
            <w:r w:rsidRPr="004C11BD">
              <w:t>.996</w:t>
            </w:r>
          </w:p>
        </w:tc>
        <w:tc>
          <w:tcPr>
            <w:tcW w:w="908" w:type="dxa"/>
            <w:tcBorders>
              <w:top w:val="single" w:sz="4" w:space="0" w:color="auto"/>
              <w:left w:val="single" w:sz="4" w:space="0" w:color="auto"/>
              <w:bottom w:val="single" w:sz="4" w:space="0" w:color="auto"/>
              <w:right w:val="single" w:sz="4" w:space="0" w:color="auto"/>
            </w:tcBorders>
            <w:vAlign w:val="center"/>
          </w:tcPr>
          <w:p w14:paraId="59C68865" w14:textId="77777777" w:rsidR="004C11BD" w:rsidRPr="004C11BD" w:rsidRDefault="004C11BD" w:rsidP="004C11BD">
            <w:r w:rsidRPr="004C11BD">
              <w:t>1.004</w:t>
            </w:r>
          </w:p>
        </w:tc>
      </w:tr>
      <w:tr w:rsidR="004C11BD" w:rsidRPr="004C11BD" w14:paraId="6FECB88D" w14:textId="77777777" w:rsidTr="00492FC8">
        <w:trPr>
          <w:cantSplit/>
        </w:trPr>
        <w:tc>
          <w:tcPr>
            <w:tcW w:w="0" w:type="auto"/>
            <w:gridSpan w:val="9"/>
          </w:tcPr>
          <w:p w14:paraId="25274E1F" w14:textId="77777777" w:rsidR="004C11BD" w:rsidRPr="004C11BD" w:rsidRDefault="004C11BD" w:rsidP="004C11BD">
            <w:r w:rsidRPr="004C11BD">
              <w:t xml:space="preserve">a. Dependent Variable: </w:t>
            </w:r>
            <w:r w:rsidRPr="004C11BD">
              <w:rPr>
                <w:i/>
              </w:rPr>
              <w:t>Financial Performance</w:t>
            </w:r>
          </w:p>
        </w:tc>
      </w:tr>
    </w:tbl>
    <w:p w14:paraId="6770E963" w14:textId="77777777" w:rsidR="004C11BD" w:rsidRDefault="004C11BD" w:rsidP="003C70F0">
      <w:pPr>
        <w:pStyle w:val="Body"/>
        <w:spacing w:after="0"/>
        <w:rPr>
          <w:rFonts w:ascii="Arial" w:hAnsi="Arial" w:cs="Arial"/>
        </w:rPr>
      </w:pPr>
    </w:p>
    <w:p w14:paraId="71B67804" w14:textId="77777777" w:rsidR="004C11BD" w:rsidRDefault="004C11BD" w:rsidP="003C70F0">
      <w:pPr>
        <w:pStyle w:val="Body"/>
        <w:spacing w:after="0"/>
        <w:rPr>
          <w:rFonts w:ascii="Arial" w:hAnsi="Arial" w:cs="Arial"/>
        </w:rPr>
      </w:pPr>
      <w:r w:rsidRPr="004C11BD">
        <w:rPr>
          <w:rFonts w:ascii="Arial" w:hAnsi="Arial" w:cs="Arial"/>
        </w:rPr>
        <w:lastRenderedPageBreak/>
        <w:t>As shown in the table above, the VIF values of all independent variables are less than 10, and each independent variable has a tolerance value greater than 0.10. It can therefore be concluded that the independent variables in this study do not exhibit multicollinearity.</w:t>
      </w:r>
    </w:p>
    <w:p w14:paraId="002737BB" w14:textId="77777777" w:rsidR="004C11BD" w:rsidRPr="004C11BD" w:rsidRDefault="004C11BD" w:rsidP="003C70F0">
      <w:pPr>
        <w:pStyle w:val="Body"/>
        <w:spacing w:after="0"/>
        <w:rPr>
          <w:rFonts w:ascii="Arial" w:hAnsi="Arial" w:cs="Arial"/>
          <w:lang w:val="en-ID"/>
        </w:rPr>
      </w:pPr>
    </w:p>
    <w:tbl>
      <w:tblPr>
        <w:tblW w:w="5000" w:type="pct"/>
        <w:jc w:val="center"/>
        <w:tblLook w:val="04A0" w:firstRow="1" w:lastRow="0" w:firstColumn="1" w:lastColumn="0" w:noHBand="0" w:noVBand="1"/>
      </w:tblPr>
      <w:tblGrid>
        <w:gridCol w:w="7573"/>
        <w:gridCol w:w="635"/>
      </w:tblGrid>
      <w:tr w:rsidR="0090108F" w:rsidRPr="0090108F" w14:paraId="4E59E2B1" w14:textId="77777777" w:rsidTr="00492FC8">
        <w:trPr>
          <w:trHeight w:val="315"/>
          <w:jc w:val="center"/>
        </w:trPr>
        <w:tc>
          <w:tcPr>
            <w:tcW w:w="5000" w:type="pct"/>
            <w:gridSpan w:val="2"/>
            <w:tcBorders>
              <w:top w:val="nil"/>
              <w:left w:val="nil"/>
              <w:bottom w:val="nil"/>
              <w:right w:val="nil"/>
            </w:tcBorders>
            <w:noWrap/>
            <w:vAlign w:val="bottom"/>
            <w:hideMark/>
          </w:tcPr>
          <w:p w14:paraId="7B91A139" w14:textId="77777777" w:rsidR="0090108F" w:rsidRPr="0090108F" w:rsidRDefault="0090108F" w:rsidP="0090108F">
            <w:pPr>
              <w:jc w:val="center"/>
              <w:rPr>
                <w:b/>
                <w:bCs/>
                <w:lang w:val="en-ID"/>
              </w:rPr>
            </w:pPr>
            <w:r w:rsidRPr="0090108F">
              <w:rPr>
                <w:b/>
                <w:bCs/>
                <w:lang w:val="en-ID"/>
              </w:rPr>
              <w:t>Table 4</w:t>
            </w:r>
          </w:p>
          <w:p w14:paraId="1CE312ED" w14:textId="77777777" w:rsidR="0090108F" w:rsidRPr="0090108F" w:rsidRDefault="0090108F" w:rsidP="0090108F">
            <w:pPr>
              <w:jc w:val="center"/>
              <w:rPr>
                <w:lang w:val="en-ID"/>
              </w:rPr>
            </w:pPr>
            <w:r w:rsidRPr="0090108F">
              <w:rPr>
                <w:rFonts w:ascii="Arial" w:hAnsi="Arial" w:cs="Arial"/>
                <w:b/>
                <w:bCs/>
              </w:rPr>
              <w:t xml:space="preserve">Autocorrelation Test </w:t>
            </w:r>
            <w:r w:rsidRPr="0090108F">
              <w:rPr>
                <w:b/>
                <w:bCs/>
                <w:lang w:val="en-ID"/>
              </w:rPr>
              <w:t>(</w:t>
            </w:r>
            <w:r w:rsidRPr="0090108F">
              <w:rPr>
                <w:b/>
                <w:bCs/>
                <w:i/>
                <w:lang w:val="en-ID"/>
              </w:rPr>
              <w:t>Durbin Watson</w:t>
            </w:r>
            <w:r w:rsidRPr="0090108F">
              <w:rPr>
                <w:b/>
                <w:bCs/>
                <w:lang w:val="en-ID"/>
              </w:rPr>
              <w:t>)</w:t>
            </w:r>
          </w:p>
        </w:tc>
      </w:tr>
      <w:tr w:rsidR="0090108F" w:rsidRPr="0090108F" w14:paraId="551B272F" w14:textId="77777777" w:rsidTr="00492FC8">
        <w:trPr>
          <w:trHeight w:val="315"/>
          <w:jc w:val="center"/>
        </w:trPr>
        <w:tc>
          <w:tcPr>
            <w:tcW w:w="4613" w:type="pct"/>
            <w:tcBorders>
              <w:top w:val="nil"/>
              <w:left w:val="nil"/>
              <w:bottom w:val="nil"/>
              <w:right w:val="nil"/>
            </w:tcBorders>
            <w:noWrap/>
            <w:vAlign w:val="bottom"/>
            <w:hideMark/>
          </w:tcPr>
          <w:p w14:paraId="695A7CE9" w14:textId="77777777" w:rsidR="0090108F" w:rsidRPr="0090108F" w:rsidRDefault="0090108F" w:rsidP="0090108F"/>
          <w:tbl>
            <w:tblPr>
              <w:tblW w:w="6676"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90108F" w:rsidRPr="0090108F" w14:paraId="1F145519" w14:textId="77777777" w:rsidTr="00492FC8">
              <w:trPr>
                <w:cantSplit/>
              </w:trPr>
              <w:tc>
                <w:tcPr>
                  <w:tcW w:w="5000" w:type="pct"/>
                  <w:gridSpan w:val="6"/>
                  <w:vAlign w:val="center"/>
                </w:tcPr>
                <w:p w14:paraId="4F76E3F7" w14:textId="77777777" w:rsidR="0090108F" w:rsidRPr="0090108F" w:rsidRDefault="0090108F" w:rsidP="0090108F">
                  <w:r w:rsidRPr="0090108F">
                    <w:t>Model Summary</w:t>
                  </w:r>
                  <w:r w:rsidRPr="0090108F">
                    <w:rPr>
                      <w:vertAlign w:val="superscript"/>
                    </w:rPr>
                    <w:t>b</w:t>
                  </w:r>
                </w:p>
              </w:tc>
            </w:tr>
            <w:tr w:rsidR="0090108F" w:rsidRPr="0090108F" w14:paraId="41AEB9A0" w14:textId="77777777" w:rsidTr="00492FC8">
              <w:trPr>
                <w:cantSplit/>
                <w:trHeight w:val="470"/>
              </w:trPr>
              <w:tc>
                <w:tcPr>
                  <w:tcW w:w="595" w:type="pct"/>
                  <w:vMerge w:val="restart"/>
                  <w:vAlign w:val="bottom"/>
                </w:tcPr>
                <w:p w14:paraId="6A1155CE" w14:textId="77777777" w:rsidR="0090108F" w:rsidRPr="0090108F" w:rsidRDefault="0090108F" w:rsidP="0090108F">
                  <w:r w:rsidRPr="0090108F">
                    <w:t>Model</w:t>
                  </w:r>
                </w:p>
              </w:tc>
              <w:tc>
                <w:tcPr>
                  <w:tcW w:w="495" w:type="pct"/>
                  <w:vMerge w:val="restart"/>
                  <w:vAlign w:val="bottom"/>
                </w:tcPr>
                <w:p w14:paraId="3615A2BE" w14:textId="77777777" w:rsidR="0090108F" w:rsidRPr="0090108F" w:rsidRDefault="0090108F" w:rsidP="0090108F">
                  <w:r w:rsidRPr="0090108F">
                    <w:t>R</w:t>
                  </w:r>
                </w:p>
              </w:tc>
              <w:tc>
                <w:tcPr>
                  <w:tcW w:w="697" w:type="pct"/>
                  <w:vMerge w:val="restart"/>
                  <w:vAlign w:val="bottom"/>
                </w:tcPr>
                <w:p w14:paraId="771123DE" w14:textId="77777777" w:rsidR="0090108F" w:rsidRPr="0090108F" w:rsidRDefault="0090108F" w:rsidP="0090108F">
                  <w:r w:rsidRPr="0090108F">
                    <w:t>R Square</w:t>
                  </w:r>
                </w:p>
              </w:tc>
              <w:tc>
                <w:tcPr>
                  <w:tcW w:w="1038" w:type="pct"/>
                  <w:vMerge w:val="restart"/>
                  <w:vAlign w:val="bottom"/>
                </w:tcPr>
                <w:p w14:paraId="6799FB79" w14:textId="77777777" w:rsidR="0090108F" w:rsidRPr="0090108F" w:rsidRDefault="0090108F" w:rsidP="0090108F">
                  <w:r w:rsidRPr="0090108F">
                    <w:t>Adjusted R Square</w:t>
                  </w:r>
                </w:p>
              </w:tc>
              <w:tc>
                <w:tcPr>
                  <w:tcW w:w="1283" w:type="pct"/>
                  <w:vMerge w:val="restart"/>
                  <w:vAlign w:val="bottom"/>
                </w:tcPr>
                <w:p w14:paraId="19514CAB" w14:textId="77777777" w:rsidR="0090108F" w:rsidRPr="0090108F" w:rsidRDefault="0090108F" w:rsidP="0090108F">
                  <w:r w:rsidRPr="0090108F">
                    <w:t>Std. Error of the Estimate</w:t>
                  </w:r>
                </w:p>
              </w:tc>
              <w:tc>
                <w:tcPr>
                  <w:tcW w:w="892" w:type="pct"/>
                  <w:vMerge w:val="restart"/>
                  <w:vAlign w:val="bottom"/>
                </w:tcPr>
                <w:p w14:paraId="5EF6EB53" w14:textId="77777777" w:rsidR="0090108F" w:rsidRPr="0090108F" w:rsidRDefault="0090108F" w:rsidP="0090108F">
                  <w:r w:rsidRPr="0090108F">
                    <w:t>Durbin-Watson</w:t>
                  </w:r>
                </w:p>
              </w:tc>
            </w:tr>
            <w:tr w:rsidR="0090108F" w:rsidRPr="0090108F" w14:paraId="6802612B" w14:textId="77777777" w:rsidTr="00492FC8">
              <w:trPr>
                <w:cantSplit/>
                <w:trHeight w:val="470"/>
              </w:trPr>
              <w:tc>
                <w:tcPr>
                  <w:tcW w:w="595" w:type="pct"/>
                  <w:vMerge/>
                  <w:tcBorders>
                    <w:bottom w:val="single" w:sz="4" w:space="0" w:color="auto"/>
                  </w:tcBorders>
                  <w:vAlign w:val="bottom"/>
                </w:tcPr>
                <w:p w14:paraId="67140D3C" w14:textId="77777777" w:rsidR="0090108F" w:rsidRPr="0090108F" w:rsidRDefault="0090108F" w:rsidP="0090108F"/>
              </w:tc>
              <w:tc>
                <w:tcPr>
                  <w:tcW w:w="495" w:type="pct"/>
                  <w:vMerge/>
                  <w:tcBorders>
                    <w:bottom w:val="single" w:sz="4" w:space="0" w:color="auto"/>
                  </w:tcBorders>
                  <w:vAlign w:val="bottom"/>
                </w:tcPr>
                <w:p w14:paraId="074C9609" w14:textId="77777777" w:rsidR="0090108F" w:rsidRPr="0090108F" w:rsidRDefault="0090108F" w:rsidP="0090108F"/>
              </w:tc>
              <w:tc>
                <w:tcPr>
                  <w:tcW w:w="697" w:type="pct"/>
                  <w:vMerge/>
                  <w:tcBorders>
                    <w:bottom w:val="single" w:sz="4" w:space="0" w:color="auto"/>
                  </w:tcBorders>
                  <w:vAlign w:val="bottom"/>
                </w:tcPr>
                <w:p w14:paraId="20248594" w14:textId="77777777" w:rsidR="0090108F" w:rsidRPr="0090108F" w:rsidRDefault="0090108F" w:rsidP="0090108F"/>
              </w:tc>
              <w:tc>
                <w:tcPr>
                  <w:tcW w:w="1038" w:type="pct"/>
                  <w:vMerge/>
                  <w:tcBorders>
                    <w:bottom w:val="single" w:sz="4" w:space="0" w:color="auto"/>
                  </w:tcBorders>
                  <w:vAlign w:val="bottom"/>
                </w:tcPr>
                <w:p w14:paraId="34253BFC" w14:textId="77777777" w:rsidR="0090108F" w:rsidRPr="0090108F" w:rsidRDefault="0090108F" w:rsidP="0090108F"/>
              </w:tc>
              <w:tc>
                <w:tcPr>
                  <w:tcW w:w="1283" w:type="pct"/>
                  <w:vMerge/>
                  <w:tcBorders>
                    <w:bottom w:val="single" w:sz="4" w:space="0" w:color="auto"/>
                  </w:tcBorders>
                  <w:vAlign w:val="bottom"/>
                </w:tcPr>
                <w:p w14:paraId="137AF563" w14:textId="77777777" w:rsidR="0090108F" w:rsidRPr="0090108F" w:rsidRDefault="0090108F" w:rsidP="0090108F"/>
              </w:tc>
              <w:tc>
                <w:tcPr>
                  <w:tcW w:w="892" w:type="pct"/>
                  <w:vMerge/>
                  <w:tcBorders>
                    <w:bottom w:val="single" w:sz="4" w:space="0" w:color="auto"/>
                  </w:tcBorders>
                  <w:vAlign w:val="bottom"/>
                </w:tcPr>
                <w:p w14:paraId="6F248B56" w14:textId="77777777" w:rsidR="0090108F" w:rsidRPr="0090108F" w:rsidRDefault="0090108F" w:rsidP="0090108F"/>
              </w:tc>
            </w:tr>
            <w:tr w:rsidR="0090108F" w:rsidRPr="0090108F" w14:paraId="13A27361" w14:textId="77777777" w:rsidTr="00492FC8">
              <w:trPr>
                <w:cantSplit/>
              </w:trPr>
              <w:tc>
                <w:tcPr>
                  <w:tcW w:w="595" w:type="pct"/>
                  <w:tcBorders>
                    <w:bottom w:val="single" w:sz="4" w:space="0" w:color="auto"/>
                  </w:tcBorders>
                </w:tcPr>
                <w:p w14:paraId="3E56A36F" w14:textId="77777777" w:rsidR="0090108F" w:rsidRPr="0090108F" w:rsidRDefault="0090108F" w:rsidP="0090108F">
                  <w:r w:rsidRPr="0090108F">
                    <w:t>1</w:t>
                  </w:r>
                </w:p>
              </w:tc>
              <w:tc>
                <w:tcPr>
                  <w:tcW w:w="495" w:type="pct"/>
                  <w:tcBorders>
                    <w:bottom w:val="single" w:sz="4" w:space="0" w:color="auto"/>
                  </w:tcBorders>
                </w:tcPr>
                <w:p w14:paraId="1CC8B9FC" w14:textId="77777777" w:rsidR="0090108F" w:rsidRPr="0090108F" w:rsidRDefault="0090108F" w:rsidP="0090108F">
                  <w:r w:rsidRPr="0090108F">
                    <w:t>.641</w:t>
                  </w:r>
                  <w:r w:rsidRPr="0090108F">
                    <w:rPr>
                      <w:vertAlign w:val="superscript"/>
                    </w:rPr>
                    <w:t>a</w:t>
                  </w:r>
                </w:p>
              </w:tc>
              <w:tc>
                <w:tcPr>
                  <w:tcW w:w="697" w:type="pct"/>
                  <w:tcBorders>
                    <w:bottom w:val="single" w:sz="4" w:space="0" w:color="auto"/>
                  </w:tcBorders>
                </w:tcPr>
                <w:p w14:paraId="5B93B829" w14:textId="77777777" w:rsidR="0090108F" w:rsidRPr="0090108F" w:rsidRDefault="0090108F" w:rsidP="0090108F">
                  <w:r w:rsidRPr="0090108F">
                    <w:t>.411</w:t>
                  </w:r>
                </w:p>
              </w:tc>
              <w:tc>
                <w:tcPr>
                  <w:tcW w:w="1038" w:type="pct"/>
                  <w:tcBorders>
                    <w:bottom w:val="single" w:sz="4" w:space="0" w:color="auto"/>
                  </w:tcBorders>
                </w:tcPr>
                <w:p w14:paraId="4D0CDEE6" w14:textId="77777777" w:rsidR="0090108F" w:rsidRPr="0090108F" w:rsidRDefault="0090108F" w:rsidP="0090108F">
                  <w:r w:rsidRPr="0090108F">
                    <w:t>.169</w:t>
                  </w:r>
                </w:p>
              </w:tc>
              <w:tc>
                <w:tcPr>
                  <w:tcW w:w="1283" w:type="pct"/>
                  <w:tcBorders>
                    <w:bottom w:val="single" w:sz="4" w:space="0" w:color="auto"/>
                  </w:tcBorders>
                </w:tcPr>
                <w:p w14:paraId="01D00DE0" w14:textId="77777777" w:rsidR="0090108F" w:rsidRPr="0090108F" w:rsidRDefault="0090108F" w:rsidP="0090108F">
                  <w:r w:rsidRPr="0090108F">
                    <w:t>.35182715</w:t>
                  </w:r>
                </w:p>
              </w:tc>
              <w:tc>
                <w:tcPr>
                  <w:tcW w:w="892" w:type="pct"/>
                  <w:tcBorders>
                    <w:bottom w:val="single" w:sz="4" w:space="0" w:color="auto"/>
                  </w:tcBorders>
                </w:tcPr>
                <w:p w14:paraId="25B10891" w14:textId="77777777" w:rsidR="0090108F" w:rsidRPr="0090108F" w:rsidRDefault="0090108F" w:rsidP="0090108F">
                  <w:r w:rsidRPr="0090108F">
                    <w:t>1.975</w:t>
                  </w:r>
                </w:p>
              </w:tc>
            </w:tr>
            <w:tr w:rsidR="0090108F" w:rsidRPr="0090108F" w14:paraId="26B5C627" w14:textId="77777777" w:rsidTr="00492FC8">
              <w:trPr>
                <w:cantSplit/>
              </w:trPr>
              <w:tc>
                <w:tcPr>
                  <w:tcW w:w="5000" w:type="pct"/>
                  <w:gridSpan w:val="6"/>
                  <w:tcBorders>
                    <w:top w:val="single" w:sz="4" w:space="0" w:color="auto"/>
                    <w:left w:val="nil"/>
                    <w:bottom w:val="nil"/>
                    <w:right w:val="nil"/>
                  </w:tcBorders>
                </w:tcPr>
                <w:p w14:paraId="5A310C68" w14:textId="77777777" w:rsidR="0090108F" w:rsidRPr="0090108F" w:rsidRDefault="0090108F" w:rsidP="0090108F">
                  <w:pPr>
                    <w:rPr>
                      <w:i/>
                    </w:rPr>
                  </w:pPr>
                  <w:r w:rsidRPr="0090108F">
                    <w:rPr>
                      <w:i/>
                    </w:rPr>
                    <w:t>a. Predictors: (Constant), Financial Performance, Capital Structure, Company Size, Company Age</w:t>
                  </w:r>
                </w:p>
              </w:tc>
            </w:tr>
            <w:tr w:rsidR="0090108F" w:rsidRPr="0090108F" w14:paraId="06729DB3" w14:textId="77777777" w:rsidTr="00492FC8">
              <w:trPr>
                <w:cantSplit/>
              </w:trPr>
              <w:tc>
                <w:tcPr>
                  <w:tcW w:w="5000" w:type="pct"/>
                  <w:gridSpan w:val="6"/>
                  <w:tcBorders>
                    <w:top w:val="nil"/>
                    <w:left w:val="nil"/>
                    <w:bottom w:val="nil"/>
                    <w:right w:val="nil"/>
                  </w:tcBorders>
                </w:tcPr>
                <w:p w14:paraId="267F8DE0" w14:textId="77777777" w:rsidR="0090108F" w:rsidRPr="0090108F" w:rsidRDefault="0090108F" w:rsidP="0090108F">
                  <w:pPr>
                    <w:rPr>
                      <w:i/>
                    </w:rPr>
                  </w:pPr>
                  <w:r w:rsidRPr="0090108F">
                    <w:rPr>
                      <w:i/>
                    </w:rPr>
                    <w:t>b. Dependent Variable: Timelines of Financial Reporting</w:t>
                  </w:r>
                </w:p>
              </w:tc>
            </w:tr>
          </w:tbl>
          <w:p w14:paraId="76188EE7" w14:textId="77777777" w:rsidR="0090108F" w:rsidRPr="0090108F" w:rsidRDefault="0090108F" w:rsidP="0090108F">
            <w:pPr>
              <w:rPr>
                <w:lang w:val="en-ID"/>
              </w:rPr>
            </w:pPr>
          </w:p>
        </w:tc>
        <w:tc>
          <w:tcPr>
            <w:tcW w:w="387" w:type="pct"/>
            <w:tcBorders>
              <w:top w:val="nil"/>
              <w:left w:val="nil"/>
              <w:bottom w:val="nil"/>
              <w:right w:val="nil"/>
            </w:tcBorders>
            <w:noWrap/>
            <w:vAlign w:val="bottom"/>
            <w:hideMark/>
          </w:tcPr>
          <w:p w14:paraId="272F1A92" w14:textId="77777777" w:rsidR="0090108F" w:rsidRPr="0090108F" w:rsidRDefault="0090108F" w:rsidP="0090108F">
            <w:pPr>
              <w:rPr>
                <w:lang w:val="en-ID"/>
              </w:rPr>
            </w:pPr>
          </w:p>
        </w:tc>
      </w:tr>
    </w:tbl>
    <w:p w14:paraId="0DBB0F3E" w14:textId="77777777" w:rsidR="0090108F" w:rsidRPr="0090108F" w:rsidRDefault="0090108F" w:rsidP="003C70F0">
      <w:pPr>
        <w:pStyle w:val="Body"/>
        <w:spacing w:after="0"/>
        <w:rPr>
          <w:rFonts w:ascii="Arial" w:hAnsi="Arial" w:cs="Arial"/>
          <w:lang w:val="en-ID"/>
        </w:rPr>
      </w:pPr>
      <w:r w:rsidRPr="0090108F">
        <w:rPr>
          <w:rFonts w:ascii="Arial" w:hAnsi="Arial" w:cs="Arial"/>
        </w:rPr>
        <w:t>Based on the autocorrelation test using the Durbin-Watson statistic, the Durbin-Watson value for all variables is 1.975. Given that this study employs a sample size of 24 (n=24) and four independent variables (k=4), the Durbin-Watson table indicates a lower bound (dL) of 1.0131, an upper bound (</w:t>
      </w:r>
      <w:proofErr w:type="spellStart"/>
      <w:r w:rsidRPr="0090108F">
        <w:rPr>
          <w:rFonts w:ascii="Arial" w:hAnsi="Arial" w:cs="Arial"/>
        </w:rPr>
        <w:t>dU</w:t>
      </w:r>
      <w:proofErr w:type="spellEnd"/>
      <w:r w:rsidRPr="0090108F">
        <w:rPr>
          <w:rFonts w:ascii="Arial" w:hAnsi="Arial" w:cs="Arial"/>
        </w:rPr>
        <w:t xml:space="preserve">) of 1.7753, (4-dL) of 2.9869, and (4-dU) of 2.2247. It can thus be concluded that no autocorrelation is present in the regression model, as the d value lies between </w:t>
      </w:r>
      <w:proofErr w:type="spellStart"/>
      <w:r w:rsidRPr="0090108F">
        <w:rPr>
          <w:rFonts w:ascii="Arial" w:hAnsi="Arial" w:cs="Arial"/>
        </w:rPr>
        <w:t>dU</w:t>
      </w:r>
      <w:proofErr w:type="spellEnd"/>
      <w:r w:rsidRPr="0090108F">
        <w:rPr>
          <w:rFonts w:ascii="Arial" w:hAnsi="Arial" w:cs="Arial"/>
        </w:rPr>
        <w:t xml:space="preserve"> and 4-dU (1.7753 &lt; 1.975 &lt; 2.2247).</w:t>
      </w:r>
    </w:p>
    <w:p w14:paraId="5C4476D8" w14:textId="77777777" w:rsidR="004C11BD" w:rsidRDefault="003C70F0" w:rsidP="003C70F0">
      <w:pPr>
        <w:pStyle w:val="Body"/>
        <w:spacing w:after="0"/>
        <w:rPr>
          <w:rFonts w:ascii="Arial" w:hAnsi="Arial" w:cs="Arial"/>
          <w:lang w:val="en-ID"/>
        </w:rPr>
      </w:pPr>
      <w:r w:rsidRPr="003C70F0">
        <w:rPr>
          <w:rFonts w:ascii="Arial" w:hAnsi="Arial" w:cs="Arial"/>
          <w:b/>
          <w:bCs/>
          <w:lang w:val="en-ID"/>
        </w:rPr>
        <w:t>Direct Effects Testing</w:t>
      </w:r>
    </w:p>
    <w:tbl>
      <w:tblPr>
        <w:tblW w:w="8370" w:type="dxa"/>
        <w:tblInd w:w="108" w:type="dxa"/>
        <w:tblLook w:val="04A0" w:firstRow="1" w:lastRow="0" w:firstColumn="1" w:lastColumn="0" w:noHBand="0" w:noVBand="1"/>
      </w:tblPr>
      <w:tblGrid>
        <w:gridCol w:w="8370"/>
      </w:tblGrid>
      <w:tr w:rsidR="0090108F" w:rsidRPr="0090108F" w14:paraId="400BE06B" w14:textId="77777777" w:rsidTr="00492FC8">
        <w:trPr>
          <w:trHeight w:val="315"/>
        </w:trPr>
        <w:tc>
          <w:tcPr>
            <w:tcW w:w="8370" w:type="dxa"/>
            <w:tcBorders>
              <w:top w:val="nil"/>
              <w:left w:val="nil"/>
              <w:bottom w:val="nil"/>
              <w:right w:val="nil"/>
            </w:tcBorders>
            <w:noWrap/>
            <w:vAlign w:val="bottom"/>
            <w:hideMark/>
          </w:tcPr>
          <w:p w14:paraId="49901496" w14:textId="77777777" w:rsidR="0090108F" w:rsidRPr="0090108F" w:rsidRDefault="0090108F" w:rsidP="0090108F">
            <w:pPr>
              <w:jc w:val="center"/>
              <w:rPr>
                <w:b/>
                <w:bCs/>
                <w:lang w:val="en-ID"/>
              </w:rPr>
            </w:pPr>
            <w:r w:rsidRPr="0090108F">
              <w:rPr>
                <w:b/>
                <w:bCs/>
                <w:lang w:val="en-ID"/>
              </w:rPr>
              <w:t>Tab</w:t>
            </w:r>
            <w:r>
              <w:rPr>
                <w:b/>
                <w:bCs/>
                <w:lang w:val="en-ID"/>
              </w:rPr>
              <w:t>le 5</w:t>
            </w:r>
          </w:p>
          <w:p w14:paraId="37728959" w14:textId="77777777" w:rsidR="0090108F" w:rsidRPr="0090108F" w:rsidRDefault="00D03C93" w:rsidP="0090108F">
            <w:pPr>
              <w:jc w:val="center"/>
              <w:rPr>
                <w:lang w:val="en-ID"/>
              </w:rPr>
            </w:pPr>
            <w:r w:rsidRPr="00D03C93">
              <w:rPr>
                <w:b/>
                <w:bCs/>
              </w:rPr>
              <w:t>Test of the Coefficient of Determination</w:t>
            </w:r>
            <w:r w:rsidR="0090108F" w:rsidRPr="0090108F">
              <w:rPr>
                <w:b/>
                <w:bCs/>
                <w:lang w:val="sv-SE"/>
              </w:rPr>
              <w:t xml:space="preserve"> (R Square</w:t>
            </w:r>
            <w:r>
              <w:rPr>
                <w:b/>
                <w:bCs/>
                <w:lang w:val="sv-SE"/>
              </w:rPr>
              <w:t>)</w:t>
            </w:r>
          </w:p>
        </w:tc>
      </w:tr>
      <w:tr w:rsidR="0090108F" w:rsidRPr="0090108F" w14:paraId="5FB086F0" w14:textId="77777777" w:rsidTr="00492FC8">
        <w:trPr>
          <w:trHeight w:val="315"/>
        </w:trPr>
        <w:tc>
          <w:tcPr>
            <w:tcW w:w="8370" w:type="dxa"/>
            <w:tcBorders>
              <w:top w:val="nil"/>
              <w:left w:val="nil"/>
              <w:bottom w:val="nil"/>
              <w:right w:val="nil"/>
            </w:tcBorders>
            <w:noWrap/>
            <w:vAlign w:val="bottom"/>
            <w:hideMark/>
          </w:tcPr>
          <w:p w14:paraId="22AD2E7B" w14:textId="77777777" w:rsidR="0090108F" w:rsidRPr="0090108F" w:rsidRDefault="0090108F" w:rsidP="0090108F">
            <w:pPr>
              <w:rPr>
                <w:rFonts w:ascii="Arial" w:hAnsi="Arial" w:cs="Arial"/>
                <w:lang w:val="en-ID"/>
              </w:rPr>
            </w:pPr>
          </w:p>
          <w:tbl>
            <w:tblPr>
              <w:tblW w:w="6676" w:type="dxa"/>
              <w:tblInd w:w="630" w:type="dxa"/>
              <w:tblCellMar>
                <w:left w:w="0" w:type="dxa"/>
                <w:right w:w="0" w:type="dxa"/>
              </w:tblCellMar>
              <w:tblLook w:val="0000" w:firstRow="0" w:lastRow="0" w:firstColumn="0" w:lastColumn="0" w:noHBand="0" w:noVBand="0"/>
            </w:tblPr>
            <w:tblGrid>
              <w:gridCol w:w="794"/>
              <w:gridCol w:w="661"/>
              <w:gridCol w:w="931"/>
              <w:gridCol w:w="1386"/>
              <w:gridCol w:w="1713"/>
              <w:gridCol w:w="1191"/>
            </w:tblGrid>
            <w:tr w:rsidR="0090108F" w:rsidRPr="0090108F" w14:paraId="7FA49D4A" w14:textId="77777777" w:rsidTr="00492FC8">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DCF4B4" w14:textId="77777777" w:rsidR="0090108F" w:rsidRPr="0090108F" w:rsidRDefault="0090108F" w:rsidP="0090108F">
                  <w:pPr>
                    <w:rPr>
                      <w:rFonts w:ascii="Arial" w:hAnsi="Arial" w:cs="Arial"/>
                    </w:rPr>
                  </w:pPr>
                  <w:r w:rsidRPr="0090108F">
                    <w:rPr>
                      <w:rFonts w:ascii="Arial" w:hAnsi="Arial" w:cs="Arial"/>
                      <w:b/>
                      <w:bCs/>
                    </w:rPr>
                    <w:t>Model Summary</w:t>
                  </w:r>
                  <w:r w:rsidRPr="0090108F">
                    <w:rPr>
                      <w:rFonts w:ascii="Arial" w:hAnsi="Arial" w:cs="Arial"/>
                      <w:b/>
                      <w:bCs/>
                      <w:vertAlign w:val="superscript"/>
                    </w:rPr>
                    <w:t>b</w:t>
                  </w:r>
                </w:p>
              </w:tc>
            </w:tr>
            <w:tr w:rsidR="0090108F" w:rsidRPr="0090108F" w14:paraId="27A0D4FF" w14:textId="77777777" w:rsidTr="00492FC8">
              <w:trPr>
                <w:cantSplit/>
                <w:trHeight w:val="470"/>
              </w:trPr>
              <w:tc>
                <w:tcPr>
                  <w:tcW w:w="595" w:type="pct"/>
                  <w:vMerge w:val="restart"/>
                  <w:tcBorders>
                    <w:top w:val="single" w:sz="4" w:space="0" w:color="auto"/>
                    <w:left w:val="single" w:sz="4" w:space="0" w:color="auto"/>
                    <w:bottom w:val="single" w:sz="4" w:space="0" w:color="auto"/>
                    <w:right w:val="single" w:sz="4" w:space="0" w:color="auto"/>
                  </w:tcBorders>
                  <w:vAlign w:val="center"/>
                </w:tcPr>
                <w:p w14:paraId="69332268" w14:textId="77777777" w:rsidR="0090108F" w:rsidRPr="0090108F" w:rsidRDefault="0090108F" w:rsidP="0090108F">
                  <w:pPr>
                    <w:rPr>
                      <w:rFonts w:ascii="Arial" w:hAnsi="Arial" w:cs="Arial"/>
                    </w:rPr>
                  </w:pPr>
                  <w:r w:rsidRPr="0090108F">
                    <w:rPr>
                      <w:rFonts w:ascii="Arial" w:hAnsi="Arial" w:cs="Arial"/>
                    </w:rPr>
                    <w:t>Model</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14:paraId="69BBD9CD" w14:textId="77777777" w:rsidR="0090108F" w:rsidRPr="0090108F" w:rsidRDefault="0090108F" w:rsidP="0090108F">
                  <w:pPr>
                    <w:rPr>
                      <w:rFonts w:ascii="Arial" w:hAnsi="Arial" w:cs="Arial"/>
                    </w:rPr>
                  </w:pPr>
                  <w:r w:rsidRPr="0090108F">
                    <w:rPr>
                      <w:rFonts w:ascii="Arial" w:hAnsi="Arial" w:cs="Arial"/>
                    </w:rPr>
                    <w:t>R</w:t>
                  </w:r>
                </w:p>
              </w:tc>
              <w:tc>
                <w:tcPr>
                  <w:tcW w:w="697" w:type="pct"/>
                  <w:vMerge w:val="restart"/>
                  <w:tcBorders>
                    <w:top w:val="single" w:sz="4" w:space="0" w:color="auto"/>
                    <w:left w:val="single" w:sz="4" w:space="0" w:color="auto"/>
                    <w:bottom w:val="single" w:sz="4" w:space="0" w:color="auto"/>
                    <w:right w:val="single" w:sz="4" w:space="0" w:color="auto"/>
                  </w:tcBorders>
                  <w:vAlign w:val="center"/>
                </w:tcPr>
                <w:p w14:paraId="669F8E7F" w14:textId="77777777" w:rsidR="0090108F" w:rsidRPr="0090108F" w:rsidRDefault="0090108F" w:rsidP="0090108F">
                  <w:pPr>
                    <w:rPr>
                      <w:rFonts w:ascii="Arial" w:hAnsi="Arial" w:cs="Arial"/>
                    </w:rPr>
                  </w:pPr>
                  <w:r w:rsidRPr="0090108F">
                    <w:rPr>
                      <w:rFonts w:ascii="Arial" w:hAnsi="Arial" w:cs="Arial"/>
                    </w:rPr>
                    <w:t>R Square</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122A961A" w14:textId="77777777" w:rsidR="0090108F" w:rsidRPr="0090108F" w:rsidRDefault="0090108F" w:rsidP="0090108F">
                  <w:pPr>
                    <w:rPr>
                      <w:rFonts w:ascii="Arial" w:hAnsi="Arial" w:cs="Arial"/>
                    </w:rPr>
                  </w:pPr>
                  <w:r w:rsidRPr="0090108F">
                    <w:rPr>
                      <w:rFonts w:ascii="Arial" w:hAnsi="Arial" w:cs="Arial"/>
                    </w:rPr>
                    <w:t>Adjusted R Square</w:t>
                  </w:r>
                </w:p>
              </w:tc>
              <w:tc>
                <w:tcPr>
                  <w:tcW w:w="1283" w:type="pct"/>
                  <w:vMerge w:val="restart"/>
                  <w:tcBorders>
                    <w:top w:val="single" w:sz="4" w:space="0" w:color="auto"/>
                    <w:left w:val="single" w:sz="4" w:space="0" w:color="auto"/>
                    <w:bottom w:val="single" w:sz="4" w:space="0" w:color="auto"/>
                    <w:right w:val="single" w:sz="4" w:space="0" w:color="auto"/>
                  </w:tcBorders>
                  <w:vAlign w:val="center"/>
                </w:tcPr>
                <w:p w14:paraId="06CD0F82" w14:textId="77777777" w:rsidR="0090108F" w:rsidRPr="0090108F" w:rsidRDefault="0090108F" w:rsidP="0090108F">
                  <w:pPr>
                    <w:rPr>
                      <w:rFonts w:ascii="Arial" w:hAnsi="Arial" w:cs="Arial"/>
                    </w:rPr>
                  </w:pPr>
                  <w:r w:rsidRPr="0090108F">
                    <w:rPr>
                      <w:rFonts w:ascii="Arial" w:hAnsi="Arial" w:cs="Arial"/>
                    </w:rPr>
                    <w:t>Std. Error of the Estimate</w:t>
                  </w:r>
                </w:p>
              </w:tc>
              <w:tc>
                <w:tcPr>
                  <w:tcW w:w="892" w:type="pct"/>
                  <w:vMerge w:val="restart"/>
                  <w:tcBorders>
                    <w:top w:val="single" w:sz="4" w:space="0" w:color="auto"/>
                    <w:left w:val="single" w:sz="4" w:space="0" w:color="auto"/>
                    <w:bottom w:val="single" w:sz="4" w:space="0" w:color="auto"/>
                    <w:right w:val="single" w:sz="4" w:space="0" w:color="auto"/>
                  </w:tcBorders>
                  <w:vAlign w:val="center"/>
                </w:tcPr>
                <w:p w14:paraId="03D89A37" w14:textId="77777777" w:rsidR="0090108F" w:rsidRPr="0090108F" w:rsidRDefault="0090108F" w:rsidP="0090108F">
                  <w:pPr>
                    <w:rPr>
                      <w:rFonts w:ascii="Arial" w:hAnsi="Arial" w:cs="Arial"/>
                    </w:rPr>
                  </w:pPr>
                  <w:r w:rsidRPr="0090108F">
                    <w:rPr>
                      <w:rFonts w:ascii="Arial" w:hAnsi="Arial" w:cs="Arial"/>
                    </w:rPr>
                    <w:t>Durbin-Watson</w:t>
                  </w:r>
                </w:p>
              </w:tc>
            </w:tr>
            <w:tr w:rsidR="0090108F" w:rsidRPr="0090108F" w14:paraId="210292D9" w14:textId="77777777" w:rsidTr="00492FC8">
              <w:trPr>
                <w:cantSplit/>
                <w:trHeight w:val="470"/>
              </w:trPr>
              <w:tc>
                <w:tcPr>
                  <w:tcW w:w="595" w:type="pct"/>
                  <w:vMerge/>
                  <w:tcBorders>
                    <w:top w:val="single" w:sz="4" w:space="0" w:color="auto"/>
                    <w:left w:val="single" w:sz="4" w:space="0" w:color="auto"/>
                    <w:bottom w:val="single" w:sz="4" w:space="0" w:color="auto"/>
                    <w:right w:val="single" w:sz="4" w:space="0" w:color="auto"/>
                  </w:tcBorders>
                  <w:vAlign w:val="center"/>
                </w:tcPr>
                <w:p w14:paraId="60180A22" w14:textId="77777777" w:rsidR="0090108F" w:rsidRPr="0090108F" w:rsidRDefault="0090108F" w:rsidP="0090108F">
                  <w:pPr>
                    <w:rPr>
                      <w:rFonts w:ascii="Arial" w:hAnsi="Arial" w:cs="Arial"/>
                    </w:rPr>
                  </w:pPr>
                </w:p>
              </w:tc>
              <w:tc>
                <w:tcPr>
                  <w:tcW w:w="495" w:type="pct"/>
                  <w:vMerge/>
                  <w:tcBorders>
                    <w:top w:val="single" w:sz="4" w:space="0" w:color="auto"/>
                    <w:left w:val="single" w:sz="4" w:space="0" w:color="auto"/>
                    <w:bottom w:val="single" w:sz="4" w:space="0" w:color="auto"/>
                    <w:right w:val="single" w:sz="4" w:space="0" w:color="auto"/>
                  </w:tcBorders>
                  <w:vAlign w:val="center"/>
                </w:tcPr>
                <w:p w14:paraId="1549AFD8" w14:textId="77777777" w:rsidR="0090108F" w:rsidRPr="0090108F" w:rsidRDefault="0090108F" w:rsidP="0090108F">
                  <w:pPr>
                    <w:rPr>
                      <w:rFonts w:ascii="Arial" w:hAnsi="Arial" w:cs="Arial"/>
                    </w:rPr>
                  </w:pPr>
                </w:p>
              </w:tc>
              <w:tc>
                <w:tcPr>
                  <w:tcW w:w="697" w:type="pct"/>
                  <w:vMerge/>
                  <w:tcBorders>
                    <w:top w:val="single" w:sz="4" w:space="0" w:color="auto"/>
                    <w:left w:val="single" w:sz="4" w:space="0" w:color="auto"/>
                    <w:bottom w:val="single" w:sz="4" w:space="0" w:color="auto"/>
                    <w:right w:val="single" w:sz="4" w:space="0" w:color="auto"/>
                  </w:tcBorders>
                  <w:vAlign w:val="center"/>
                </w:tcPr>
                <w:p w14:paraId="46EB9DC0" w14:textId="77777777" w:rsidR="0090108F" w:rsidRPr="0090108F" w:rsidRDefault="0090108F" w:rsidP="0090108F">
                  <w:pPr>
                    <w:rPr>
                      <w:rFonts w:ascii="Arial" w:hAnsi="Arial" w:cs="Arial"/>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580FB600" w14:textId="77777777" w:rsidR="0090108F" w:rsidRPr="0090108F" w:rsidRDefault="0090108F" w:rsidP="0090108F">
                  <w:pPr>
                    <w:rPr>
                      <w:rFonts w:ascii="Arial" w:hAnsi="Arial" w:cs="Arial"/>
                    </w:rPr>
                  </w:pPr>
                </w:p>
              </w:tc>
              <w:tc>
                <w:tcPr>
                  <w:tcW w:w="1283" w:type="pct"/>
                  <w:vMerge/>
                  <w:tcBorders>
                    <w:top w:val="single" w:sz="4" w:space="0" w:color="auto"/>
                    <w:left w:val="single" w:sz="4" w:space="0" w:color="auto"/>
                    <w:bottom w:val="single" w:sz="4" w:space="0" w:color="auto"/>
                    <w:right w:val="single" w:sz="4" w:space="0" w:color="auto"/>
                  </w:tcBorders>
                  <w:vAlign w:val="center"/>
                </w:tcPr>
                <w:p w14:paraId="6DC60360" w14:textId="77777777" w:rsidR="0090108F" w:rsidRPr="0090108F" w:rsidRDefault="0090108F" w:rsidP="0090108F">
                  <w:pPr>
                    <w:rPr>
                      <w:rFonts w:ascii="Arial" w:hAnsi="Arial" w:cs="Arial"/>
                    </w:rPr>
                  </w:pPr>
                </w:p>
              </w:tc>
              <w:tc>
                <w:tcPr>
                  <w:tcW w:w="892" w:type="pct"/>
                  <w:vMerge/>
                  <w:tcBorders>
                    <w:top w:val="single" w:sz="4" w:space="0" w:color="auto"/>
                    <w:left w:val="single" w:sz="4" w:space="0" w:color="auto"/>
                    <w:bottom w:val="single" w:sz="4" w:space="0" w:color="auto"/>
                    <w:right w:val="single" w:sz="4" w:space="0" w:color="auto"/>
                  </w:tcBorders>
                  <w:vAlign w:val="center"/>
                </w:tcPr>
                <w:p w14:paraId="607C70DC" w14:textId="77777777" w:rsidR="0090108F" w:rsidRPr="0090108F" w:rsidRDefault="0090108F" w:rsidP="0090108F">
                  <w:pPr>
                    <w:rPr>
                      <w:rFonts w:ascii="Arial" w:hAnsi="Arial" w:cs="Arial"/>
                    </w:rPr>
                  </w:pPr>
                </w:p>
              </w:tc>
            </w:tr>
            <w:tr w:rsidR="0090108F" w:rsidRPr="0090108F" w14:paraId="43D99355" w14:textId="77777777" w:rsidTr="00492FC8">
              <w:trPr>
                <w:cantSplit/>
              </w:trPr>
              <w:tc>
                <w:tcPr>
                  <w:tcW w:w="595" w:type="pct"/>
                  <w:tcBorders>
                    <w:top w:val="single" w:sz="4" w:space="0" w:color="auto"/>
                    <w:left w:val="single" w:sz="4" w:space="0" w:color="auto"/>
                    <w:bottom w:val="single" w:sz="4" w:space="0" w:color="auto"/>
                    <w:right w:val="single" w:sz="4" w:space="0" w:color="auto"/>
                  </w:tcBorders>
                  <w:vAlign w:val="center"/>
                </w:tcPr>
                <w:p w14:paraId="7AC84A06" w14:textId="77777777" w:rsidR="0090108F" w:rsidRPr="0090108F" w:rsidRDefault="0090108F" w:rsidP="0090108F">
                  <w:pPr>
                    <w:rPr>
                      <w:rFonts w:ascii="Arial" w:hAnsi="Arial" w:cs="Arial"/>
                    </w:rPr>
                  </w:pPr>
                  <w:r w:rsidRPr="0090108F">
                    <w:rPr>
                      <w:rFonts w:ascii="Arial" w:hAnsi="Arial" w:cs="Arial"/>
                    </w:rPr>
                    <w:t>1</w:t>
                  </w:r>
                </w:p>
              </w:tc>
              <w:tc>
                <w:tcPr>
                  <w:tcW w:w="495" w:type="pct"/>
                  <w:tcBorders>
                    <w:top w:val="single" w:sz="4" w:space="0" w:color="auto"/>
                    <w:left w:val="single" w:sz="4" w:space="0" w:color="auto"/>
                    <w:bottom w:val="single" w:sz="4" w:space="0" w:color="auto"/>
                    <w:right w:val="single" w:sz="4" w:space="0" w:color="auto"/>
                  </w:tcBorders>
                  <w:vAlign w:val="center"/>
                </w:tcPr>
                <w:p w14:paraId="70CCB50C" w14:textId="77777777" w:rsidR="0090108F" w:rsidRPr="0090108F" w:rsidRDefault="0090108F" w:rsidP="0090108F">
                  <w:pPr>
                    <w:rPr>
                      <w:rFonts w:ascii="Arial" w:hAnsi="Arial" w:cs="Arial"/>
                    </w:rPr>
                  </w:pPr>
                  <w:r w:rsidRPr="0090108F">
                    <w:rPr>
                      <w:rFonts w:ascii="Arial" w:hAnsi="Arial" w:cs="Arial"/>
                    </w:rPr>
                    <w:t>.641</w:t>
                  </w:r>
                  <w:r w:rsidRPr="0090108F">
                    <w:rPr>
                      <w:rFonts w:ascii="Arial" w:hAnsi="Arial" w:cs="Arial"/>
                      <w:vertAlign w:val="superscript"/>
                    </w:rPr>
                    <w:t>a</w:t>
                  </w:r>
                </w:p>
              </w:tc>
              <w:tc>
                <w:tcPr>
                  <w:tcW w:w="697" w:type="pct"/>
                  <w:tcBorders>
                    <w:top w:val="single" w:sz="4" w:space="0" w:color="auto"/>
                    <w:left w:val="single" w:sz="4" w:space="0" w:color="auto"/>
                    <w:bottom w:val="single" w:sz="4" w:space="0" w:color="auto"/>
                    <w:right w:val="single" w:sz="4" w:space="0" w:color="auto"/>
                  </w:tcBorders>
                  <w:vAlign w:val="center"/>
                </w:tcPr>
                <w:p w14:paraId="784A8AB6" w14:textId="77777777" w:rsidR="0090108F" w:rsidRPr="0090108F" w:rsidRDefault="0090108F" w:rsidP="0090108F">
                  <w:pPr>
                    <w:rPr>
                      <w:rFonts w:ascii="Arial" w:hAnsi="Arial" w:cs="Arial"/>
                    </w:rPr>
                  </w:pPr>
                  <w:r w:rsidRPr="0090108F">
                    <w:rPr>
                      <w:rFonts w:ascii="Arial" w:hAnsi="Arial" w:cs="Arial"/>
                    </w:rPr>
                    <w:t>.411</w:t>
                  </w:r>
                </w:p>
              </w:tc>
              <w:tc>
                <w:tcPr>
                  <w:tcW w:w="1038" w:type="pct"/>
                  <w:tcBorders>
                    <w:top w:val="single" w:sz="4" w:space="0" w:color="auto"/>
                    <w:left w:val="single" w:sz="4" w:space="0" w:color="auto"/>
                    <w:bottom w:val="single" w:sz="4" w:space="0" w:color="auto"/>
                    <w:right w:val="single" w:sz="4" w:space="0" w:color="auto"/>
                  </w:tcBorders>
                  <w:vAlign w:val="center"/>
                </w:tcPr>
                <w:p w14:paraId="5EB863F9" w14:textId="77777777" w:rsidR="0090108F" w:rsidRPr="0090108F" w:rsidRDefault="0090108F" w:rsidP="0090108F">
                  <w:pPr>
                    <w:rPr>
                      <w:rFonts w:ascii="Arial" w:hAnsi="Arial" w:cs="Arial"/>
                    </w:rPr>
                  </w:pPr>
                  <w:r w:rsidRPr="0090108F">
                    <w:rPr>
                      <w:rFonts w:ascii="Arial" w:hAnsi="Arial" w:cs="Arial"/>
                    </w:rPr>
                    <w:t>.169</w:t>
                  </w:r>
                </w:p>
              </w:tc>
              <w:tc>
                <w:tcPr>
                  <w:tcW w:w="1283" w:type="pct"/>
                  <w:tcBorders>
                    <w:top w:val="single" w:sz="4" w:space="0" w:color="auto"/>
                    <w:left w:val="single" w:sz="4" w:space="0" w:color="auto"/>
                    <w:bottom w:val="single" w:sz="4" w:space="0" w:color="auto"/>
                    <w:right w:val="single" w:sz="4" w:space="0" w:color="auto"/>
                  </w:tcBorders>
                  <w:vAlign w:val="center"/>
                </w:tcPr>
                <w:p w14:paraId="62E02B09" w14:textId="77777777" w:rsidR="0090108F" w:rsidRPr="0090108F" w:rsidRDefault="0090108F" w:rsidP="0090108F">
                  <w:pPr>
                    <w:rPr>
                      <w:rFonts w:ascii="Arial" w:hAnsi="Arial" w:cs="Arial"/>
                    </w:rPr>
                  </w:pPr>
                  <w:r w:rsidRPr="0090108F">
                    <w:rPr>
                      <w:rFonts w:ascii="Arial" w:hAnsi="Arial" w:cs="Arial"/>
                    </w:rPr>
                    <w:t>.35182715</w:t>
                  </w:r>
                </w:p>
              </w:tc>
              <w:tc>
                <w:tcPr>
                  <w:tcW w:w="892" w:type="pct"/>
                  <w:tcBorders>
                    <w:top w:val="single" w:sz="4" w:space="0" w:color="auto"/>
                    <w:left w:val="single" w:sz="4" w:space="0" w:color="auto"/>
                    <w:bottom w:val="single" w:sz="4" w:space="0" w:color="auto"/>
                    <w:right w:val="single" w:sz="4" w:space="0" w:color="auto"/>
                  </w:tcBorders>
                  <w:vAlign w:val="center"/>
                </w:tcPr>
                <w:p w14:paraId="4CDFE178" w14:textId="77777777" w:rsidR="0090108F" w:rsidRPr="0090108F" w:rsidRDefault="0090108F" w:rsidP="0090108F">
                  <w:pPr>
                    <w:rPr>
                      <w:rFonts w:ascii="Arial" w:hAnsi="Arial" w:cs="Arial"/>
                    </w:rPr>
                  </w:pPr>
                  <w:r w:rsidRPr="0090108F">
                    <w:rPr>
                      <w:rFonts w:ascii="Arial" w:hAnsi="Arial" w:cs="Arial"/>
                    </w:rPr>
                    <w:t>1.975</w:t>
                  </w:r>
                </w:p>
              </w:tc>
            </w:tr>
            <w:tr w:rsidR="0090108F" w:rsidRPr="0090108F" w14:paraId="53E26FB7" w14:textId="77777777" w:rsidTr="00492FC8">
              <w:trPr>
                <w:cantSplit/>
              </w:trPr>
              <w:tc>
                <w:tcPr>
                  <w:tcW w:w="5000" w:type="pct"/>
                  <w:gridSpan w:val="6"/>
                  <w:tcBorders>
                    <w:top w:val="single" w:sz="4" w:space="0" w:color="auto"/>
                  </w:tcBorders>
                </w:tcPr>
                <w:p w14:paraId="0CF5FC73" w14:textId="77777777" w:rsidR="0090108F" w:rsidRPr="0090108F" w:rsidRDefault="0090108F" w:rsidP="0090108F">
                  <w:pPr>
                    <w:rPr>
                      <w:rFonts w:ascii="Arial" w:hAnsi="Arial" w:cs="Arial"/>
                      <w:i/>
                    </w:rPr>
                  </w:pPr>
                  <w:r w:rsidRPr="0090108F">
                    <w:rPr>
                      <w:rFonts w:ascii="Arial" w:hAnsi="Arial" w:cs="Arial"/>
                      <w:i/>
                    </w:rPr>
                    <w:t>a. Predictors: (Constant), Financial Performance, Capital Structure, Company Size, Company Age</w:t>
                  </w:r>
                </w:p>
              </w:tc>
            </w:tr>
            <w:tr w:rsidR="0090108F" w:rsidRPr="0090108F" w14:paraId="4BC99CBF" w14:textId="77777777" w:rsidTr="00492FC8">
              <w:trPr>
                <w:cantSplit/>
              </w:trPr>
              <w:tc>
                <w:tcPr>
                  <w:tcW w:w="5000" w:type="pct"/>
                  <w:gridSpan w:val="6"/>
                </w:tcPr>
                <w:p w14:paraId="30E49234" w14:textId="77777777" w:rsidR="0090108F" w:rsidRPr="0090108F" w:rsidRDefault="0090108F" w:rsidP="0090108F">
                  <w:pPr>
                    <w:rPr>
                      <w:rFonts w:ascii="Arial" w:hAnsi="Arial" w:cs="Arial"/>
                      <w:i/>
                    </w:rPr>
                  </w:pPr>
                  <w:r w:rsidRPr="0090108F">
                    <w:rPr>
                      <w:rFonts w:ascii="Arial" w:hAnsi="Arial" w:cs="Arial"/>
                      <w:i/>
                    </w:rPr>
                    <w:t>b. Dependent Variable: Timelines of Financial Reporting</w:t>
                  </w:r>
                </w:p>
              </w:tc>
            </w:tr>
          </w:tbl>
          <w:p w14:paraId="108F2CA6" w14:textId="77777777" w:rsidR="0090108F" w:rsidRPr="0090108F" w:rsidRDefault="0090108F" w:rsidP="0090108F">
            <w:pPr>
              <w:rPr>
                <w:rFonts w:ascii="Arial" w:hAnsi="Arial" w:cs="Arial"/>
                <w:lang w:val="en-ID"/>
              </w:rPr>
            </w:pPr>
          </w:p>
        </w:tc>
      </w:tr>
    </w:tbl>
    <w:p w14:paraId="12358C97" w14:textId="5FD35791" w:rsidR="0090108F" w:rsidRDefault="00D03C93" w:rsidP="003C70F0">
      <w:pPr>
        <w:pStyle w:val="Body"/>
        <w:spacing w:after="0"/>
        <w:rPr>
          <w:rFonts w:ascii="Arial" w:hAnsi="Arial" w:cs="Arial"/>
        </w:rPr>
      </w:pPr>
      <w:r w:rsidRPr="00D03C93">
        <w:rPr>
          <w:rFonts w:ascii="Arial" w:hAnsi="Arial" w:cs="Arial"/>
        </w:rPr>
        <w:t xml:space="preserve">Based on Table </w:t>
      </w:r>
      <w:r w:rsidR="00066F3B">
        <w:rPr>
          <w:rFonts w:ascii="Arial" w:hAnsi="Arial" w:cs="Arial"/>
        </w:rPr>
        <w:t>5</w:t>
      </w:r>
      <w:r w:rsidRPr="00D03C93">
        <w:rPr>
          <w:rFonts w:ascii="Arial" w:hAnsi="Arial" w:cs="Arial"/>
        </w:rPr>
        <w:t>, it is shown that the R-square value in the “model summary” is 0.411. This indicates that the contribution of the variables Company Size (CZ), Company Age (CA), Capital Structure (CS), and Financial Performance (FP) to Timeliness of Financial Reporting (TF) is 41.1%, while the remaining 58.9% is explained by other variables not included in this study.</w:t>
      </w:r>
    </w:p>
    <w:p w14:paraId="2B5F49CF" w14:textId="77777777" w:rsidR="00D03C93" w:rsidRDefault="00D03C93" w:rsidP="003C70F0">
      <w:pPr>
        <w:pStyle w:val="Body"/>
        <w:spacing w:after="0"/>
        <w:rPr>
          <w:rFonts w:ascii="Arial" w:hAnsi="Arial" w:cs="Arial"/>
        </w:rPr>
      </w:pPr>
      <w:r w:rsidRPr="00D03C93">
        <w:rPr>
          <w:rFonts w:ascii="Arial" w:hAnsi="Arial" w:cs="Arial"/>
          <w:noProof/>
          <w:lang w:val="fr-FR" w:eastAsia="fr-FR"/>
        </w:rPr>
        <w:lastRenderedPageBreak/>
        <w:drawing>
          <wp:inline distT="0" distB="0" distL="0" distR="0" wp14:anchorId="57B61E42" wp14:editId="00B3ABB0">
            <wp:extent cx="5212080" cy="2383155"/>
            <wp:effectExtent l="0" t="0" r="0" b="0"/>
            <wp:docPr id="1956771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71490" name=""/>
                    <pic:cNvPicPr/>
                  </pic:nvPicPr>
                  <pic:blipFill>
                    <a:blip r:embed="rId17"/>
                    <a:stretch>
                      <a:fillRect/>
                    </a:stretch>
                  </pic:blipFill>
                  <pic:spPr>
                    <a:xfrm>
                      <a:off x="0" y="0"/>
                      <a:ext cx="5212080" cy="2383155"/>
                    </a:xfrm>
                    <a:prstGeom prst="rect">
                      <a:avLst/>
                    </a:prstGeom>
                  </pic:spPr>
                </pic:pic>
              </a:graphicData>
            </a:graphic>
          </wp:inline>
        </w:drawing>
      </w:r>
    </w:p>
    <w:p w14:paraId="019F5296" w14:textId="77777777" w:rsidR="00D03C93" w:rsidRDefault="00D03C93" w:rsidP="003C70F0">
      <w:pPr>
        <w:pStyle w:val="Body"/>
        <w:spacing w:after="0"/>
        <w:rPr>
          <w:rFonts w:ascii="Arial" w:hAnsi="Arial" w:cs="Arial"/>
          <w:lang w:val="en-ID"/>
        </w:rPr>
      </w:pPr>
    </w:p>
    <w:p w14:paraId="582FE370" w14:textId="3F905E04" w:rsidR="00D03C93" w:rsidRPr="00D03C93" w:rsidRDefault="00B11B40" w:rsidP="00D03C93">
      <w:pPr>
        <w:jc w:val="center"/>
        <w:rPr>
          <w:b/>
          <w:bCs/>
          <w:lang w:val="sv-SE"/>
        </w:rPr>
      </w:pPr>
      <w:r>
        <w:rPr>
          <w:b/>
          <w:bCs/>
          <w:lang w:val="sv-SE"/>
        </w:rPr>
        <w:t xml:space="preserve">Figure </w:t>
      </w:r>
      <w:r w:rsidR="007E5DCF">
        <w:rPr>
          <w:b/>
          <w:bCs/>
          <w:lang w:val="sv-SE"/>
        </w:rPr>
        <w:t>2</w:t>
      </w:r>
    </w:p>
    <w:p w14:paraId="40351A34" w14:textId="77777777" w:rsidR="00D03C93" w:rsidRPr="00D03C93" w:rsidRDefault="00B11B40" w:rsidP="00D03C93">
      <w:pPr>
        <w:jc w:val="center"/>
        <w:rPr>
          <w:b/>
          <w:bCs/>
          <w:lang w:val="sv-SE"/>
        </w:rPr>
      </w:pPr>
      <w:r w:rsidRPr="00B11B40">
        <w:rPr>
          <w:b/>
          <w:bCs/>
          <w:lang w:val="sv-SE"/>
        </w:rPr>
        <w:t>Path Diagram of Structural Model</w:t>
      </w:r>
    </w:p>
    <w:p w14:paraId="503B0C04" w14:textId="77777777" w:rsidR="00D03C93" w:rsidRDefault="00D03C93" w:rsidP="00D03C93">
      <w:pPr>
        <w:pStyle w:val="Body"/>
        <w:rPr>
          <w:rFonts w:ascii="Arial" w:hAnsi="Arial" w:cs="Arial"/>
          <w:b/>
          <w:lang w:val="sv-SE"/>
        </w:rPr>
      </w:pPr>
    </w:p>
    <w:p w14:paraId="0448C81A" w14:textId="77777777" w:rsidR="00D03C93" w:rsidRPr="00D03C93" w:rsidRDefault="00D03C93" w:rsidP="00B11B40">
      <w:pPr>
        <w:pStyle w:val="Body"/>
        <w:spacing w:after="0"/>
        <w:jc w:val="center"/>
        <w:rPr>
          <w:rFonts w:ascii="Arial" w:hAnsi="Arial" w:cs="Arial"/>
          <w:b/>
          <w:lang w:val="sv-SE"/>
        </w:rPr>
      </w:pPr>
      <w:r w:rsidRPr="00D03C93">
        <w:rPr>
          <w:rFonts w:ascii="Arial" w:hAnsi="Arial" w:cs="Arial"/>
          <w:b/>
          <w:lang w:val="sv-SE"/>
        </w:rPr>
        <w:t>T</w:t>
      </w:r>
      <w:r w:rsidR="00B11B40">
        <w:rPr>
          <w:rFonts w:ascii="Arial" w:hAnsi="Arial" w:cs="Arial"/>
          <w:b/>
          <w:lang w:val="sv-SE"/>
        </w:rPr>
        <w:t>able 6</w:t>
      </w:r>
    </w:p>
    <w:p w14:paraId="77314E55" w14:textId="77777777" w:rsidR="00D03C93" w:rsidRPr="00D03C93" w:rsidRDefault="00B11B40" w:rsidP="00B11B40">
      <w:pPr>
        <w:pStyle w:val="Body"/>
        <w:spacing w:after="0"/>
        <w:jc w:val="center"/>
        <w:rPr>
          <w:rFonts w:ascii="Arial" w:hAnsi="Arial" w:cs="Arial"/>
          <w:b/>
          <w:lang w:val="sv-SE"/>
        </w:rPr>
      </w:pPr>
      <w:r>
        <w:rPr>
          <w:rFonts w:ascii="Arial" w:hAnsi="Arial" w:cs="Arial"/>
          <w:b/>
          <w:lang w:val="sv-SE"/>
        </w:rPr>
        <w:t>F test</w:t>
      </w: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03C93" w:rsidRPr="00D03C93" w14:paraId="6FBECCAC" w14:textId="77777777" w:rsidTr="00603965">
        <w:trPr>
          <w:cantSplit/>
        </w:trPr>
        <w:tc>
          <w:tcPr>
            <w:tcW w:w="7969" w:type="dxa"/>
            <w:gridSpan w:val="7"/>
            <w:tcBorders>
              <w:top w:val="single" w:sz="4" w:space="0" w:color="auto"/>
              <w:left w:val="single" w:sz="4" w:space="0" w:color="auto"/>
              <w:bottom w:val="single" w:sz="4" w:space="0" w:color="auto"/>
              <w:right w:val="single" w:sz="4" w:space="0" w:color="auto"/>
            </w:tcBorders>
            <w:vAlign w:val="center"/>
          </w:tcPr>
          <w:p w14:paraId="3996F842" w14:textId="77777777" w:rsidR="00D03C93" w:rsidRPr="00D03C93" w:rsidRDefault="00D03C93" w:rsidP="00D03C93">
            <w:pPr>
              <w:pStyle w:val="Body"/>
              <w:rPr>
                <w:rFonts w:ascii="Arial" w:hAnsi="Arial" w:cs="Arial"/>
              </w:rPr>
            </w:pPr>
            <w:proofErr w:type="spellStart"/>
            <w:r w:rsidRPr="00D03C93">
              <w:rPr>
                <w:rFonts w:ascii="Arial" w:hAnsi="Arial" w:cs="Arial"/>
                <w:b/>
                <w:bCs/>
              </w:rPr>
              <w:t>ANOVA</w:t>
            </w:r>
            <w:r w:rsidRPr="00D03C93">
              <w:rPr>
                <w:rFonts w:ascii="Arial" w:hAnsi="Arial" w:cs="Arial"/>
                <w:b/>
                <w:bCs/>
                <w:vertAlign w:val="superscript"/>
              </w:rPr>
              <w:t>a</w:t>
            </w:r>
            <w:proofErr w:type="spellEnd"/>
          </w:p>
        </w:tc>
      </w:tr>
      <w:tr w:rsidR="00D03C93" w:rsidRPr="00D03C93" w14:paraId="049ACDF0" w14:textId="77777777" w:rsidTr="00603965">
        <w:trPr>
          <w:cantSplit/>
        </w:trPr>
        <w:tc>
          <w:tcPr>
            <w:tcW w:w="2017" w:type="dxa"/>
            <w:gridSpan w:val="2"/>
            <w:tcBorders>
              <w:top w:val="single" w:sz="4" w:space="0" w:color="auto"/>
              <w:left w:val="single" w:sz="4" w:space="0" w:color="auto"/>
              <w:bottom w:val="single" w:sz="4" w:space="0" w:color="auto"/>
              <w:right w:val="single" w:sz="4" w:space="0" w:color="auto"/>
            </w:tcBorders>
            <w:vAlign w:val="center"/>
          </w:tcPr>
          <w:p w14:paraId="05BED461" w14:textId="77777777" w:rsidR="00D03C93" w:rsidRPr="00D03C93" w:rsidRDefault="00D03C93" w:rsidP="00D03C93">
            <w:pPr>
              <w:pStyle w:val="Body"/>
              <w:rPr>
                <w:rFonts w:ascii="Arial" w:hAnsi="Arial" w:cs="Arial"/>
              </w:rPr>
            </w:pPr>
            <w:r w:rsidRPr="00D03C93">
              <w:rPr>
                <w:rFonts w:ascii="Arial" w:hAnsi="Arial" w:cs="Arial"/>
              </w:rPr>
              <w:t>Model</w:t>
            </w:r>
          </w:p>
        </w:tc>
        <w:tc>
          <w:tcPr>
            <w:tcW w:w="1469" w:type="dxa"/>
            <w:tcBorders>
              <w:top w:val="single" w:sz="4" w:space="0" w:color="auto"/>
              <w:left w:val="single" w:sz="4" w:space="0" w:color="auto"/>
              <w:bottom w:val="single" w:sz="4" w:space="0" w:color="auto"/>
              <w:right w:val="single" w:sz="4" w:space="0" w:color="auto"/>
            </w:tcBorders>
            <w:vAlign w:val="center"/>
          </w:tcPr>
          <w:p w14:paraId="04E64451" w14:textId="77777777" w:rsidR="00D03C93" w:rsidRPr="00D03C93" w:rsidRDefault="00D03C93" w:rsidP="00D03C93">
            <w:pPr>
              <w:pStyle w:val="Body"/>
              <w:rPr>
                <w:rFonts w:ascii="Arial" w:hAnsi="Arial" w:cs="Arial"/>
              </w:rPr>
            </w:pPr>
            <w:r w:rsidRPr="00D03C93">
              <w:rPr>
                <w:rFonts w:ascii="Arial" w:hAnsi="Arial" w:cs="Arial"/>
              </w:rPr>
              <w:t>Sum of Squares</w:t>
            </w:r>
          </w:p>
        </w:tc>
        <w:tc>
          <w:tcPr>
            <w:tcW w:w="1025" w:type="dxa"/>
            <w:tcBorders>
              <w:top w:val="single" w:sz="4" w:space="0" w:color="auto"/>
              <w:left w:val="single" w:sz="4" w:space="0" w:color="auto"/>
              <w:bottom w:val="single" w:sz="4" w:space="0" w:color="auto"/>
              <w:right w:val="single" w:sz="4" w:space="0" w:color="auto"/>
            </w:tcBorders>
            <w:vAlign w:val="center"/>
          </w:tcPr>
          <w:p w14:paraId="10D777F3" w14:textId="77777777" w:rsidR="00D03C93" w:rsidRPr="00D03C93" w:rsidRDefault="00D03C93" w:rsidP="00D03C93">
            <w:pPr>
              <w:pStyle w:val="Body"/>
              <w:rPr>
                <w:rFonts w:ascii="Arial" w:hAnsi="Arial" w:cs="Arial"/>
              </w:rPr>
            </w:pPr>
            <w:r w:rsidRPr="00D03C93">
              <w:rPr>
                <w:rFonts w:ascii="Arial" w:hAnsi="Arial" w:cs="Arial"/>
              </w:rPr>
              <w:t>df</w:t>
            </w:r>
          </w:p>
        </w:tc>
        <w:tc>
          <w:tcPr>
            <w:tcW w:w="1408" w:type="dxa"/>
            <w:tcBorders>
              <w:top w:val="single" w:sz="4" w:space="0" w:color="auto"/>
              <w:left w:val="single" w:sz="4" w:space="0" w:color="auto"/>
              <w:bottom w:val="single" w:sz="4" w:space="0" w:color="auto"/>
              <w:right w:val="single" w:sz="4" w:space="0" w:color="auto"/>
            </w:tcBorders>
            <w:vAlign w:val="center"/>
          </w:tcPr>
          <w:p w14:paraId="3521524F" w14:textId="77777777" w:rsidR="00D03C93" w:rsidRPr="00D03C93" w:rsidRDefault="00D03C93" w:rsidP="00D03C93">
            <w:pPr>
              <w:pStyle w:val="Body"/>
              <w:rPr>
                <w:rFonts w:ascii="Arial" w:hAnsi="Arial" w:cs="Arial"/>
              </w:rPr>
            </w:pPr>
            <w:r w:rsidRPr="00D03C93">
              <w:rPr>
                <w:rFonts w:ascii="Arial" w:hAnsi="Arial" w:cs="Arial"/>
              </w:rPr>
              <w:t>Mean Square</w:t>
            </w:r>
          </w:p>
        </w:tc>
        <w:tc>
          <w:tcPr>
            <w:tcW w:w="1025" w:type="dxa"/>
            <w:tcBorders>
              <w:top w:val="single" w:sz="4" w:space="0" w:color="auto"/>
              <w:left w:val="single" w:sz="4" w:space="0" w:color="auto"/>
              <w:bottom w:val="single" w:sz="4" w:space="0" w:color="auto"/>
              <w:right w:val="single" w:sz="4" w:space="0" w:color="auto"/>
            </w:tcBorders>
            <w:vAlign w:val="center"/>
          </w:tcPr>
          <w:p w14:paraId="5A5F80E8" w14:textId="77777777" w:rsidR="00D03C93" w:rsidRPr="00D03C93" w:rsidRDefault="00D03C93" w:rsidP="00D03C93">
            <w:pPr>
              <w:pStyle w:val="Body"/>
              <w:rPr>
                <w:rFonts w:ascii="Arial" w:hAnsi="Arial" w:cs="Arial"/>
              </w:rPr>
            </w:pPr>
            <w:r w:rsidRPr="00D03C93">
              <w:rPr>
                <w:rFonts w:ascii="Arial" w:hAnsi="Arial" w:cs="Arial"/>
              </w:rPr>
              <w:t>F</w:t>
            </w:r>
          </w:p>
        </w:tc>
        <w:tc>
          <w:tcPr>
            <w:tcW w:w="1025" w:type="dxa"/>
            <w:tcBorders>
              <w:top w:val="single" w:sz="4" w:space="0" w:color="auto"/>
              <w:left w:val="single" w:sz="4" w:space="0" w:color="auto"/>
              <w:bottom w:val="single" w:sz="4" w:space="0" w:color="auto"/>
              <w:right w:val="single" w:sz="4" w:space="0" w:color="auto"/>
            </w:tcBorders>
            <w:vAlign w:val="center"/>
          </w:tcPr>
          <w:p w14:paraId="1CE126D0" w14:textId="77777777" w:rsidR="00D03C93" w:rsidRPr="00D03C93" w:rsidRDefault="00D03C93" w:rsidP="00D03C93">
            <w:pPr>
              <w:pStyle w:val="Body"/>
              <w:rPr>
                <w:rFonts w:ascii="Arial" w:hAnsi="Arial" w:cs="Arial"/>
              </w:rPr>
            </w:pPr>
            <w:r w:rsidRPr="00D03C93">
              <w:rPr>
                <w:rFonts w:ascii="Arial" w:hAnsi="Arial" w:cs="Arial"/>
              </w:rPr>
              <w:t>Sig.</w:t>
            </w:r>
          </w:p>
        </w:tc>
      </w:tr>
      <w:tr w:rsidR="00D03C93" w:rsidRPr="00D03C93" w14:paraId="7B1A18F5" w14:textId="77777777" w:rsidTr="00603965">
        <w:trPr>
          <w:cantSplit/>
        </w:trPr>
        <w:tc>
          <w:tcPr>
            <w:tcW w:w="733" w:type="dxa"/>
            <w:vMerge w:val="restart"/>
            <w:tcBorders>
              <w:top w:val="single" w:sz="4" w:space="0" w:color="auto"/>
              <w:left w:val="single" w:sz="4" w:space="0" w:color="auto"/>
              <w:bottom w:val="single" w:sz="4" w:space="0" w:color="auto"/>
              <w:right w:val="single" w:sz="4" w:space="0" w:color="auto"/>
            </w:tcBorders>
          </w:tcPr>
          <w:p w14:paraId="41DB1188" w14:textId="77777777" w:rsidR="00D03C93" w:rsidRPr="00D03C93" w:rsidRDefault="00D03C93" w:rsidP="00D03C93">
            <w:pPr>
              <w:pStyle w:val="Body"/>
              <w:rPr>
                <w:rFonts w:ascii="Arial" w:hAnsi="Arial" w:cs="Arial"/>
              </w:rPr>
            </w:pPr>
            <w:r w:rsidRPr="00D03C93">
              <w:rPr>
                <w:rFonts w:ascii="Arial" w:hAnsi="Arial" w:cs="Arial"/>
              </w:rPr>
              <w:t>1</w:t>
            </w:r>
          </w:p>
        </w:tc>
        <w:tc>
          <w:tcPr>
            <w:tcW w:w="1284" w:type="dxa"/>
            <w:tcBorders>
              <w:top w:val="single" w:sz="4" w:space="0" w:color="auto"/>
              <w:left w:val="single" w:sz="4" w:space="0" w:color="auto"/>
              <w:bottom w:val="single" w:sz="4" w:space="0" w:color="auto"/>
              <w:right w:val="single" w:sz="4" w:space="0" w:color="auto"/>
            </w:tcBorders>
            <w:vAlign w:val="center"/>
          </w:tcPr>
          <w:p w14:paraId="0C3C61BB" w14:textId="77777777" w:rsidR="00D03C93" w:rsidRPr="00D03C93" w:rsidRDefault="00D03C93" w:rsidP="00D03C93">
            <w:pPr>
              <w:pStyle w:val="Body"/>
              <w:rPr>
                <w:rFonts w:ascii="Arial" w:hAnsi="Arial" w:cs="Arial"/>
              </w:rPr>
            </w:pPr>
            <w:r w:rsidRPr="00D03C93">
              <w:rPr>
                <w:rFonts w:ascii="Arial" w:hAnsi="Arial" w:cs="Arial"/>
              </w:rPr>
              <w:t>Regression</w:t>
            </w:r>
          </w:p>
        </w:tc>
        <w:tc>
          <w:tcPr>
            <w:tcW w:w="1469" w:type="dxa"/>
            <w:tcBorders>
              <w:top w:val="single" w:sz="4" w:space="0" w:color="auto"/>
              <w:left w:val="single" w:sz="4" w:space="0" w:color="auto"/>
              <w:bottom w:val="single" w:sz="4" w:space="0" w:color="auto"/>
              <w:right w:val="single" w:sz="4" w:space="0" w:color="auto"/>
            </w:tcBorders>
            <w:vAlign w:val="center"/>
          </w:tcPr>
          <w:p w14:paraId="037DF5D0" w14:textId="77777777" w:rsidR="00D03C93" w:rsidRPr="00D03C93" w:rsidRDefault="00D03C93" w:rsidP="00D03C93">
            <w:pPr>
              <w:pStyle w:val="Body"/>
              <w:rPr>
                <w:rFonts w:ascii="Arial" w:hAnsi="Arial" w:cs="Arial"/>
              </w:rPr>
            </w:pPr>
            <w:r w:rsidRPr="00D03C93">
              <w:rPr>
                <w:rFonts w:ascii="Arial" w:hAnsi="Arial" w:cs="Arial"/>
              </w:rPr>
              <w:t>.694</w:t>
            </w:r>
          </w:p>
        </w:tc>
        <w:tc>
          <w:tcPr>
            <w:tcW w:w="1025" w:type="dxa"/>
            <w:tcBorders>
              <w:top w:val="single" w:sz="4" w:space="0" w:color="auto"/>
              <w:left w:val="single" w:sz="4" w:space="0" w:color="auto"/>
              <w:bottom w:val="single" w:sz="4" w:space="0" w:color="auto"/>
              <w:right w:val="single" w:sz="4" w:space="0" w:color="auto"/>
            </w:tcBorders>
            <w:vAlign w:val="center"/>
          </w:tcPr>
          <w:p w14:paraId="124BECDB" w14:textId="77777777" w:rsidR="00D03C93" w:rsidRPr="00D03C93" w:rsidRDefault="00D03C93" w:rsidP="00D03C93">
            <w:pPr>
              <w:pStyle w:val="Body"/>
              <w:rPr>
                <w:rFonts w:ascii="Arial" w:hAnsi="Arial" w:cs="Arial"/>
              </w:rPr>
            </w:pPr>
            <w:r w:rsidRPr="00D03C93">
              <w:rPr>
                <w:rFonts w:ascii="Arial" w:hAnsi="Arial" w:cs="Arial"/>
              </w:rPr>
              <w:t>4</w:t>
            </w:r>
          </w:p>
        </w:tc>
        <w:tc>
          <w:tcPr>
            <w:tcW w:w="1408" w:type="dxa"/>
            <w:tcBorders>
              <w:top w:val="single" w:sz="4" w:space="0" w:color="auto"/>
              <w:left w:val="single" w:sz="4" w:space="0" w:color="auto"/>
              <w:bottom w:val="single" w:sz="4" w:space="0" w:color="auto"/>
              <w:right w:val="single" w:sz="4" w:space="0" w:color="auto"/>
            </w:tcBorders>
            <w:vAlign w:val="center"/>
          </w:tcPr>
          <w:p w14:paraId="05CA3B32" w14:textId="77777777" w:rsidR="00D03C93" w:rsidRPr="00D03C93" w:rsidRDefault="00D03C93" w:rsidP="00D03C93">
            <w:pPr>
              <w:pStyle w:val="Body"/>
              <w:rPr>
                <w:rFonts w:ascii="Arial" w:hAnsi="Arial" w:cs="Arial"/>
              </w:rPr>
            </w:pPr>
            <w:r w:rsidRPr="00D03C93">
              <w:rPr>
                <w:rFonts w:ascii="Arial" w:hAnsi="Arial" w:cs="Arial"/>
              </w:rPr>
              <w:t>.174</w:t>
            </w:r>
          </w:p>
        </w:tc>
        <w:tc>
          <w:tcPr>
            <w:tcW w:w="1025" w:type="dxa"/>
            <w:tcBorders>
              <w:top w:val="single" w:sz="4" w:space="0" w:color="auto"/>
              <w:left w:val="single" w:sz="4" w:space="0" w:color="auto"/>
              <w:bottom w:val="single" w:sz="4" w:space="0" w:color="auto"/>
              <w:right w:val="single" w:sz="4" w:space="0" w:color="auto"/>
            </w:tcBorders>
            <w:vAlign w:val="center"/>
          </w:tcPr>
          <w:p w14:paraId="3A4D9208" w14:textId="77777777" w:rsidR="00D03C93" w:rsidRPr="00D03C93" w:rsidRDefault="00D03C93" w:rsidP="00D03C93">
            <w:pPr>
              <w:pStyle w:val="Body"/>
              <w:rPr>
                <w:rFonts w:ascii="Arial" w:hAnsi="Arial" w:cs="Arial"/>
              </w:rPr>
            </w:pPr>
            <w:r w:rsidRPr="00D03C93">
              <w:rPr>
                <w:rFonts w:ascii="Arial" w:hAnsi="Arial" w:cs="Arial"/>
              </w:rPr>
              <w:t>4.402</w:t>
            </w:r>
          </w:p>
        </w:tc>
        <w:tc>
          <w:tcPr>
            <w:tcW w:w="1025" w:type="dxa"/>
            <w:tcBorders>
              <w:top w:val="single" w:sz="4" w:space="0" w:color="auto"/>
              <w:left w:val="single" w:sz="4" w:space="0" w:color="auto"/>
              <w:bottom w:val="single" w:sz="4" w:space="0" w:color="auto"/>
              <w:right w:val="single" w:sz="4" w:space="0" w:color="auto"/>
            </w:tcBorders>
            <w:vAlign w:val="center"/>
          </w:tcPr>
          <w:p w14:paraId="4CE7FE78" w14:textId="77777777" w:rsidR="00D03C93" w:rsidRPr="00D03C93" w:rsidRDefault="00D03C93" w:rsidP="00D03C93">
            <w:pPr>
              <w:pStyle w:val="Body"/>
              <w:rPr>
                <w:rFonts w:ascii="Arial" w:hAnsi="Arial" w:cs="Arial"/>
              </w:rPr>
            </w:pPr>
            <w:r w:rsidRPr="00D03C93">
              <w:rPr>
                <w:rFonts w:ascii="Arial" w:hAnsi="Arial" w:cs="Arial"/>
              </w:rPr>
              <w:t>.000</w:t>
            </w:r>
            <w:r w:rsidRPr="00D03C93">
              <w:rPr>
                <w:rFonts w:ascii="Arial" w:hAnsi="Arial" w:cs="Arial"/>
                <w:vertAlign w:val="superscript"/>
              </w:rPr>
              <w:t>b</w:t>
            </w:r>
          </w:p>
        </w:tc>
      </w:tr>
      <w:tr w:rsidR="00D03C93" w:rsidRPr="00D03C93" w14:paraId="324DE510" w14:textId="77777777" w:rsidTr="00603965">
        <w:trPr>
          <w:cantSplit/>
        </w:trPr>
        <w:tc>
          <w:tcPr>
            <w:tcW w:w="733" w:type="dxa"/>
            <w:vMerge/>
            <w:tcBorders>
              <w:top w:val="single" w:sz="4" w:space="0" w:color="auto"/>
              <w:left w:val="single" w:sz="4" w:space="0" w:color="auto"/>
              <w:bottom w:val="single" w:sz="4" w:space="0" w:color="auto"/>
              <w:right w:val="single" w:sz="4" w:space="0" w:color="auto"/>
            </w:tcBorders>
            <w:vAlign w:val="center"/>
          </w:tcPr>
          <w:p w14:paraId="333C6744" w14:textId="77777777" w:rsidR="00D03C93" w:rsidRPr="00D03C93" w:rsidRDefault="00D03C93" w:rsidP="00D03C93">
            <w:pPr>
              <w:pStyle w:val="Body"/>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vAlign w:val="center"/>
          </w:tcPr>
          <w:p w14:paraId="2F5263B6" w14:textId="77777777" w:rsidR="00D03C93" w:rsidRPr="00D03C93" w:rsidRDefault="00D03C93" w:rsidP="00D03C93">
            <w:pPr>
              <w:pStyle w:val="Body"/>
              <w:rPr>
                <w:rFonts w:ascii="Arial" w:hAnsi="Arial" w:cs="Arial"/>
              </w:rPr>
            </w:pPr>
            <w:r w:rsidRPr="00D03C93">
              <w:rPr>
                <w:rFonts w:ascii="Arial" w:hAnsi="Arial" w:cs="Arial"/>
              </w:rPr>
              <w:t>Residual</w:t>
            </w:r>
          </w:p>
        </w:tc>
        <w:tc>
          <w:tcPr>
            <w:tcW w:w="1469" w:type="dxa"/>
            <w:tcBorders>
              <w:top w:val="single" w:sz="4" w:space="0" w:color="auto"/>
              <w:left w:val="single" w:sz="4" w:space="0" w:color="auto"/>
              <w:bottom w:val="single" w:sz="4" w:space="0" w:color="auto"/>
              <w:right w:val="single" w:sz="4" w:space="0" w:color="auto"/>
            </w:tcBorders>
            <w:vAlign w:val="center"/>
          </w:tcPr>
          <w:p w14:paraId="06C805F4" w14:textId="77777777" w:rsidR="00D03C93" w:rsidRPr="00D03C93" w:rsidRDefault="00D03C93" w:rsidP="00D03C93">
            <w:pPr>
              <w:pStyle w:val="Body"/>
              <w:rPr>
                <w:rFonts w:ascii="Arial" w:hAnsi="Arial" w:cs="Arial"/>
              </w:rPr>
            </w:pPr>
            <w:r w:rsidRPr="00D03C93">
              <w:rPr>
                <w:rFonts w:ascii="Arial" w:hAnsi="Arial" w:cs="Arial"/>
              </w:rPr>
              <w:t>11.264</w:t>
            </w:r>
          </w:p>
        </w:tc>
        <w:tc>
          <w:tcPr>
            <w:tcW w:w="1025" w:type="dxa"/>
            <w:tcBorders>
              <w:top w:val="single" w:sz="4" w:space="0" w:color="auto"/>
              <w:left w:val="single" w:sz="4" w:space="0" w:color="auto"/>
              <w:bottom w:val="single" w:sz="4" w:space="0" w:color="auto"/>
              <w:right w:val="single" w:sz="4" w:space="0" w:color="auto"/>
            </w:tcBorders>
            <w:vAlign w:val="center"/>
          </w:tcPr>
          <w:p w14:paraId="42990408" w14:textId="77777777" w:rsidR="00D03C93" w:rsidRPr="00D03C93" w:rsidRDefault="00D03C93" w:rsidP="00D03C93">
            <w:pPr>
              <w:pStyle w:val="Body"/>
              <w:rPr>
                <w:rFonts w:ascii="Arial" w:hAnsi="Arial" w:cs="Arial"/>
              </w:rPr>
            </w:pPr>
            <w:r w:rsidRPr="00D03C93">
              <w:rPr>
                <w:rFonts w:ascii="Arial" w:hAnsi="Arial" w:cs="Arial"/>
              </w:rPr>
              <w:t>91</w:t>
            </w:r>
          </w:p>
        </w:tc>
        <w:tc>
          <w:tcPr>
            <w:tcW w:w="1408" w:type="dxa"/>
            <w:tcBorders>
              <w:top w:val="single" w:sz="4" w:space="0" w:color="auto"/>
              <w:left w:val="single" w:sz="4" w:space="0" w:color="auto"/>
              <w:bottom w:val="single" w:sz="4" w:space="0" w:color="auto"/>
              <w:right w:val="single" w:sz="4" w:space="0" w:color="auto"/>
            </w:tcBorders>
            <w:vAlign w:val="center"/>
          </w:tcPr>
          <w:p w14:paraId="033C8F10" w14:textId="77777777" w:rsidR="00D03C93" w:rsidRPr="00D03C93" w:rsidRDefault="00D03C93" w:rsidP="00D03C93">
            <w:pPr>
              <w:pStyle w:val="Body"/>
              <w:rPr>
                <w:rFonts w:ascii="Arial" w:hAnsi="Arial" w:cs="Arial"/>
              </w:rPr>
            </w:pPr>
            <w:r w:rsidRPr="00D03C93">
              <w:rPr>
                <w:rFonts w:ascii="Arial" w:hAnsi="Arial" w:cs="Arial"/>
              </w:rPr>
              <w:t>.124</w:t>
            </w:r>
          </w:p>
        </w:tc>
        <w:tc>
          <w:tcPr>
            <w:tcW w:w="1025" w:type="dxa"/>
            <w:tcBorders>
              <w:top w:val="single" w:sz="4" w:space="0" w:color="auto"/>
              <w:left w:val="single" w:sz="4" w:space="0" w:color="auto"/>
              <w:bottom w:val="single" w:sz="4" w:space="0" w:color="auto"/>
              <w:right w:val="single" w:sz="4" w:space="0" w:color="auto"/>
            </w:tcBorders>
            <w:vAlign w:val="center"/>
          </w:tcPr>
          <w:p w14:paraId="4548F85B"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1B6CA6F6" w14:textId="77777777" w:rsidR="00D03C93" w:rsidRPr="00D03C93" w:rsidRDefault="00D03C93" w:rsidP="00D03C93">
            <w:pPr>
              <w:pStyle w:val="Body"/>
              <w:rPr>
                <w:rFonts w:ascii="Arial" w:hAnsi="Arial" w:cs="Arial"/>
              </w:rPr>
            </w:pPr>
          </w:p>
        </w:tc>
      </w:tr>
      <w:tr w:rsidR="00D03C93" w:rsidRPr="00D03C93" w14:paraId="4C40AB7D" w14:textId="77777777" w:rsidTr="00603965">
        <w:trPr>
          <w:cantSplit/>
        </w:trPr>
        <w:tc>
          <w:tcPr>
            <w:tcW w:w="733" w:type="dxa"/>
            <w:vMerge/>
            <w:tcBorders>
              <w:top w:val="single" w:sz="4" w:space="0" w:color="auto"/>
              <w:left w:val="single" w:sz="4" w:space="0" w:color="auto"/>
              <w:bottom w:val="single" w:sz="4" w:space="0" w:color="auto"/>
              <w:right w:val="single" w:sz="4" w:space="0" w:color="auto"/>
            </w:tcBorders>
            <w:vAlign w:val="center"/>
          </w:tcPr>
          <w:p w14:paraId="71596B67" w14:textId="77777777" w:rsidR="00D03C93" w:rsidRPr="00D03C93" w:rsidRDefault="00D03C93" w:rsidP="00D03C93">
            <w:pPr>
              <w:pStyle w:val="Body"/>
              <w:rPr>
                <w:rFonts w:ascii="Arial" w:hAnsi="Arial" w:cs="Arial"/>
              </w:rPr>
            </w:pPr>
          </w:p>
        </w:tc>
        <w:tc>
          <w:tcPr>
            <w:tcW w:w="1284" w:type="dxa"/>
            <w:tcBorders>
              <w:top w:val="single" w:sz="4" w:space="0" w:color="auto"/>
              <w:left w:val="single" w:sz="4" w:space="0" w:color="auto"/>
              <w:bottom w:val="single" w:sz="4" w:space="0" w:color="auto"/>
              <w:right w:val="single" w:sz="4" w:space="0" w:color="auto"/>
            </w:tcBorders>
            <w:vAlign w:val="center"/>
          </w:tcPr>
          <w:p w14:paraId="0E7A5165" w14:textId="77777777" w:rsidR="00D03C93" w:rsidRPr="00D03C93" w:rsidRDefault="00D03C93" w:rsidP="00D03C93">
            <w:pPr>
              <w:pStyle w:val="Body"/>
              <w:rPr>
                <w:rFonts w:ascii="Arial" w:hAnsi="Arial" w:cs="Arial"/>
              </w:rPr>
            </w:pPr>
            <w:r w:rsidRPr="00D03C93">
              <w:rPr>
                <w:rFonts w:ascii="Arial" w:hAnsi="Arial" w:cs="Arial"/>
              </w:rPr>
              <w:t>Total</w:t>
            </w:r>
          </w:p>
        </w:tc>
        <w:tc>
          <w:tcPr>
            <w:tcW w:w="1469" w:type="dxa"/>
            <w:tcBorders>
              <w:top w:val="single" w:sz="4" w:space="0" w:color="auto"/>
              <w:left w:val="single" w:sz="4" w:space="0" w:color="auto"/>
              <w:bottom w:val="single" w:sz="4" w:space="0" w:color="auto"/>
              <w:right w:val="single" w:sz="4" w:space="0" w:color="auto"/>
            </w:tcBorders>
            <w:vAlign w:val="center"/>
          </w:tcPr>
          <w:p w14:paraId="059156A7" w14:textId="77777777" w:rsidR="00D03C93" w:rsidRPr="00D03C93" w:rsidRDefault="00D03C93" w:rsidP="00D03C93">
            <w:pPr>
              <w:pStyle w:val="Body"/>
              <w:rPr>
                <w:rFonts w:ascii="Arial" w:hAnsi="Arial" w:cs="Arial"/>
              </w:rPr>
            </w:pPr>
            <w:r w:rsidRPr="00D03C93">
              <w:rPr>
                <w:rFonts w:ascii="Arial" w:hAnsi="Arial" w:cs="Arial"/>
              </w:rPr>
              <w:t>11.958</w:t>
            </w:r>
          </w:p>
        </w:tc>
        <w:tc>
          <w:tcPr>
            <w:tcW w:w="1025" w:type="dxa"/>
            <w:tcBorders>
              <w:top w:val="single" w:sz="4" w:space="0" w:color="auto"/>
              <w:left w:val="single" w:sz="4" w:space="0" w:color="auto"/>
              <w:bottom w:val="single" w:sz="4" w:space="0" w:color="auto"/>
              <w:right w:val="single" w:sz="4" w:space="0" w:color="auto"/>
            </w:tcBorders>
            <w:vAlign w:val="center"/>
          </w:tcPr>
          <w:p w14:paraId="33B5F8AB" w14:textId="77777777" w:rsidR="00D03C93" w:rsidRPr="00D03C93" w:rsidRDefault="00D03C93" w:rsidP="00D03C93">
            <w:pPr>
              <w:pStyle w:val="Body"/>
              <w:rPr>
                <w:rFonts w:ascii="Arial" w:hAnsi="Arial" w:cs="Arial"/>
              </w:rPr>
            </w:pPr>
            <w:r w:rsidRPr="00D03C93">
              <w:rPr>
                <w:rFonts w:ascii="Arial" w:hAnsi="Arial" w:cs="Arial"/>
              </w:rPr>
              <w:t>95</w:t>
            </w:r>
          </w:p>
        </w:tc>
        <w:tc>
          <w:tcPr>
            <w:tcW w:w="1408" w:type="dxa"/>
            <w:tcBorders>
              <w:top w:val="single" w:sz="4" w:space="0" w:color="auto"/>
              <w:left w:val="single" w:sz="4" w:space="0" w:color="auto"/>
              <w:bottom w:val="single" w:sz="4" w:space="0" w:color="auto"/>
              <w:right w:val="single" w:sz="4" w:space="0" w:color="auto"/>
            </w:tcBorders>
            <w:vAlign w:val="center"/>
          </w:tcPr>
          <w:p w14:paraId="67119435"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286F9829" w14:textId="77777777" w:rsidR="00D03C93" w:rsidRPr="00D03C93" w:rsidRDefault="00D03C93" w:rsidP="00D03C93">
            <w:pPr>
              <w:pStyle w:val="Body"/>
              <w:rPr>
                <w:rFonts w:ascii="Arial" w:hAnsi="Arial" w:cs="Arial"/>
              </w:rPr>
            </w:pPr>
          </w:p>
        </w:tc>
        <w:tc>
          <w:tcPr>
            <w:tcW w:w="1025" w:type="dxa"/>
            <w:tcBorders>
              <w:top w:val="single" w:sz="4" w:space="0" w:color="auto"/>
              <w:left w:val="single" w:sz="4" w:space="0" w:color="auto"/>
              <w:bottom w:val="single" w:sz="4" w:space="0" w:color="auto"/>
              <w:right w:val="single" w:sz="4" w:space="0" w:color="auto"/>
            </w:tcBorders>
            <w:vAlign w:val="center"/>
          </w:tcPr>
          <w:p w14:paraId="5C2D2DBE" w14:textId="77777777" w:rsidR="00D03C93" w:rsidRPr="00D03C93" w:rsidRDefault="00D03C93" w:rsidP="00D03C93">
            <w:pPr>
              <w:pStyle w:val="Body"/>
              <w:rPr>
                <w:rFonts w:ascii="Arial" w:hAnsi="Arial" w:cs="Arial"/>
              </w:rPr>
            </w:pPr>
          </w:p>
        </w:tc>
      </w:tr>
      <w:tr w:rsidR="00D03C93" w:rsidRPr="00D03C93" w14:paraId="570094F0" w14:textId="77777777" w:rsidTr="00603965">
        <w:trPr>
          <w:cantSplit/>
        </w:trPr>
        <w:tc>
          <w:tcPr>
            <w:tcW w:w="7969" w:type="dxa"/>
            <w:gridSpan w:val="7"/>
            <w:tcBorders>
              <w:top w:val="single" w:sz="4" w:space="0" w:color="auto"/>
            </w:tcBorders>
          </w:tcPr>
          <w:p w14:paraId="67FFAF9A" w14:textId="77777777" w:rsidR="00D03C93" w:rsidRPr="00D03C93" w:rsidRDefault="00D03C93" w:rsidP="00D03C93">
            <w:pPr>
              <w:pStyle w:val="Body"/>
              <w:rPr>
                <w:rFonts w:ascii="Arial" w:hAnsi="Arial" w:cs="Arial"/>
              </w:rPr>
            </w:pPr>
            <w:r w:rsidRPr="00D03C93">
              <w:rPr>
                <w:rFonts w:ascii="Arial" w:hAnsi="Arial" w:cs="Arial"/>
              </w:rPr>
              <w:t xml:space="preserve">a. </w:t>
            </w:r>
            <w:r w:rsidRPr="00D03C93">
              <w:rPr>
                <w:rFonts w:ascii="Arial" w:hAnsi="Arial" w:cs="Arial"/>
                <w:i/>
              </w:rPr>
              <w:t>Dependent Variable</w:t>
            </w:r>
            <w:r w:rsidRPr="00D03C93">
              <w:rPr>
                <w:rFonts w:ascii="Arial" w:hAnsi="Arial" w:cs="Arial"/>
              </w:rPr>
              <w:t xml:space="preserve">: </w:t>
            </w:r>
            <w:r w:rsidRPr="00D03C93">
              <w:rPr>
                <w:rFonts w:ascii="Arial" w:hAnsi="Arial" w:cs="Arial"/>
                <w:i/>
              </w:rPr>
              <w:t>Timelines of Financial Reporting</w:t>
            </w:r>
          </w:p>
        </w:tc>
      </w:tr>
      <w:tr w:rsidR="00D03C93" w:rsidRPr="00D03C93" w14:paraId="67425447" w14:textId="77777777" w:rsidTr="00603965">
        <w:trPr>
          <w:cantSplit/>
        </w:trPr>
        <w:tc>
          <w:tcPr>
            <w:tcW w:w="7969" w:type="dxa"/>
            <w:gridSpan w:val="7"/>
          </w:tcPr>
          <w:p w14:paraId="4C5EADE7" w14:textId="77777777" w:rsidR="00D03C93" w:rsidRPr="00D03C93" w:rsidRDefault="00D03C93" w:rsidP="00D03C93">
            <w:pPr>
              <w:pStyle w:val="Body"/>
              <w:rPr>
                <w:rFonts w:ascii="Arial" w:hAnsi="Arial" w:cs="Arial"/>
              </w:rPr>
            </w:pPr>
            <w:r w:rsidRPr="00D03C93">
              <w:rPr>
                <w:rFonts w:ascii="Arial" w:hAnsi="Arial" w:cs="Arial"/>
              </w:rPr>
              <w:t xml:space="preserve">b. </w:t>
            </w:r>
            <w:r w:rsidRPr="00D03C93">
              <w:rPr>
                <w:rFonts w:ascii="Arial" w:hAnsi="Arial" w:cs="Arial"/>
                <w:i/>
              </w:rPr>
              <w:t>Predictors</w:t>
            </w:r>
            <w:r w:rsidRPr="00D03C93">
              <w:rPr>
                <w:rFonts w:ascii="Arial" w:hAnsi="Arial" w:cs="Arial"/>
              </w:rPr>
              <w:t>: (</w:t>
            </w:r>
            <w:r w:rsidRPr="00D03C93">
              <w:rPr>
                <w:rFonts w:ascii="Arial" w:hAnsi="Arial" w:cs="Arial"/>
                <w:i/>
              </w:rPr>
              <w:t>Constant</w:t>
            </w:r>
            <w:r w:rsidRPr="00D03C93">
              <w:rPr>
                <w:rFonts w:ascii="Arial" w:hAnsi="Arial" w:cs="Arial"/>
              </w:rPr>
              <w:t xml:space="preserve">), </w:t>
            </w:r>
            <w:r w:rsidRPr="00D03C93">
              <w:rPr>
                <w:rFonts w:ascii="Arial" w:hAnsi="Arial" w:cs="Arial"/>
                <w:i/>
              </w:rPr>
              <w:t>Financial Performance, Capital Structure, Company Size, Company Age</w:t>
            </w:r>
          </w:p>
        </w:tc>
      </w:tr>
    </w:tbl>
    <w:p w14:paraId="76A80E11" w14:textId="65A6E557" w:rsidR="00D03C93" w:rsidRDefault="00603965" w:rsidP="003C70F0">
      <w:pPr>
        <w:pStyle w:val="Body"/>
        <w:spacing w:after="0"/>
        <w:rPr>
          <w:rFonts w:ascii="Arial" w:hAnsi="Arial" w:cs="Arial"/>
          <w:lang w:val="en-ID"/>
        </w:rPr>
      </w:pPr>
      <w:r w:rsidRPr="00603965">
        <w:rPr>
          <w:rFonts w:ascii="Arial" w:hAnsi="Arial" w:cs="Arial"/>
        </w:rPr>
        <w:t xml:space="preserve">Based on the F-test conducted on both regression models, it can be observed that the significance values obtained for both models are 0.002 and 0.000, which are smaller than the threshold significance level of α = 0.05. The calculated F-value for regression model 2, as presented in Table </w:t>
      </w:r>
      <w:r w:rsidR="00066F3B">
        <w:rPr>
          <w:rFonts w:ascii="Arial" w:hAnsi="Arial" w:cs="Arial"/>
        </w:rPr>
        <w:t>6</w:t>
      </w:r>
      <w:r w:rsidRPr="00603965">
        <w:rPr>
          <w:rFonts w:ascii="Arial" w:hAnsi="Arial" w:cs="Arial"/>
        </w:rPr>
        <w:t xml:space="preserve">, is 4.402, which is greater than the F-table value of 3.01. Therefore, it can be concluded that regression model 2, as shown in Table </w:t>
      </w:r>
      <w:r w:rsidR="00066F3B">
        <w:rPr>
          <w:rFonts w:ascii="Arial" w:hAnsi="Arial" w:cs="Arial"/>
        </w:rPr>
        <w:t>6</w:t>
      </w:r>
      <w:r w:rsidRPr="00603965">
        <w:rPr>
          <w:rFonts w:ascii="Arial" w:hAnsi="Arial" w:cs="Arial"/>
        </w:rPr>
        <w:t>, is deemed appropriate to explain the influence of company size (CZ), company age (CA), capital structure (CS), and financial performance (FP) on the dependent variable timeliness of financial reporting (TF).</w:t>
      </w:r>
    </w:p>
    <w:p w14:paraId="2830A00F" w14:textId="77777777" w:rsidR="003C70F0" w:rsidRPr="003C70F0" w:rsidRDefault="003C70F0" w:rsidP="003C70F0">
      <w:pPr>
        <w:pStyle w:val="Body"/>
        <w:spacing w:after="0"/>
        <w:rPr>
          <w:rFonts w:ascii="Arial" w:hAnsi="Arial" w:cs="Arial"/>
          <w:lang w:val="en-ID"/>
        </w:rPr>
      </w:pPr>
      <w:r w:rsidRPr="003C70F0">
        <w:rPr>
          <w:rFonts w:ascii="Arial" w:hAnsi="Arial" w:cs="Arial"/>
          <w:lang w:val="en-ID"/>
        </w:rPr>
        <w:t>The hypothesis testing revealed several significant relationships.</w:t>
      </w:r>
    </w:p>
    <w:p w14:paraId="6C7918EB"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t>Company size</w:t>
      </w:r>
      <w:r w:rsidRPr="003C70F0">
        <w:rPr>
          <w:rFonts w:ascii="Arial" w:hAnsi="Arial" w:cs="Arial"/>
          <w:lang w:val="en-ID"/>
        </w:rPr>
        <w:t xml:space="preserve"> positively and significantly affects financial performance, supporting the assumption that larger firms benefit from economies of scale and better resource allocation.</w:t>
      </w:r>
    </w:p>
    <w:p w14:paraId="7CBDD56C"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t>Company age</w:t>
      </w:r>
      <w:r w:rsidRPr="003C70F0">
        <w:rPr>
          <w:rFonts w:ascii="Arial" w:hAnsi="Arial" w:cs="Arial"/>
          <w:lang w:val="en-ID"/>
        </w:rPr>
        <w:t xml:space="preserve"> also has a positive effect on financial performance, suggesting that more established firms gain advantages from accumulated experience and reputation.</w:t>
      </w:r>
    </w:p>
    <w:p w14:paraId="19B1795D"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b/>
          <w:bCs/>
          <w:lang w:val="en-ID"/>
        </w:rPr>
        <w:lastRenderedPageBreak/>
        <w:t>Capital structure</w:t>
      </w:r>
      <w:r w:rsidRPr="003C70F0">
        <w:rPr>
          <w:rFonts w:ascii="Arial" w:hAnsi="Arial" w:cs="Arial"/>
          <w:lang w:val="en-ID"/>
        </w:rPr>
        <w:t xml:space="preserve"> exhibits a significant influence on financial performance, consistent with the trade-off theory regarding the balance of debt and equity.</w:t>
      </w:r>
    </w:p>
    <w:p w14:paraId="48899244" w14:textId="77777777" w:rsidR="003C70F0" w:rsidRPr="003C70F0" w:rsidRDefault="003C70F0" w:rsidP="003C70F0">
      <w:pPr>
        <w:pStyle w:val="Body"/>
        <w:numPr>
          <w:ilvl w:val="0"/>
          <w:numId w:val="34"/>
        </w:numPr>
        <w:spacing w:after="0"/>
        <w:rPr>
          <w:rFonts w:ascii="Arial" w:hAnsi="Arial" w:cs="Arial"/>
          <w:lang w:val="en-ID"/>
        </w:rPr>
      </w:pPr>
      <w:r w:rsidRPr="003C70F0">
        <w:rPr>
          <w:rFonts w:ascii="Arial" w:hAnsi="Arial" w:cs="Arial"/>
          <w:lang w:val="en-ID"/>
        </w:rPr>
        <w:t xml:space="preserve">In terms of reporting timeliness, </w:t>
      </w:r>
      <w:r w:rsidRPr="003C70F0">
        <w:rPr>
          <w:rFonts w:ascii="Arial" w:hAnsi="Arial" w:cs="Arial"/>
          <w:b/>
          <w:bCs/>
          <w:lang w:val="en-ID"/>
        </w:rPr>
        <w:t>company size</w:t>
      </w:r>
      <w:r w:rsidRPr="003C70F0">
        <w:rPr>
          <w:rFonts w:ascii="Arial" w:hAnsi="Arial" w:cs="Arial"/>
          <w:lang w:val="en-ID"/>
        </w:rPr>
        <w:t xml:space="preserve"> and </w:t>
      </w:r>
      <w:r w:rsidRPr="003C70F0">
        <w:rPr>
          <w:rFonts w:ascii="Arial" w:hAnsi="Arial" w:cs="Arial"/>
          <w:b/>
          <w:bCs/>
          <w:lang w:val="en-ID"/>
        </w:rPr>
        <w:t>financial performance</w:t>
      </w:r>
      <w:r w:rsidRPr="003C70F0">
        <w:rPr>
          <w:rFonts w:ascii="Arial" w:hAnsi="Arial" w:cs="Arial"/>
          <w:lang w:val="en-ID"/>
        </w:rPr>
        <w:t xml:space="preserve"> show significant positive effects, whereas capital structure demonstrated a weaker association.</w:t>
      </w:r>
    </w:p>
    <w:p w14:paraId="60BD1E5B" w14:textId="77777777" w:rsidR="00603965" w:rsidRDefault="003C70F0" w:rsidP="003C70F0">
      <w:pPr>
        <w:pStyle w:val="Body"/>
        <w:spacing w:after="0"/>
        <w:rPr>
          <w:rFonts w:ascii="Arial" w:hAnsi="Arial" w:cs="Arial"/>
          <w:lang w:val="en-ID"/>
        </w:rPr>
      </w:pPr>
      <w:r w:rsidRPr="003C70F0">
        <w:rPr>
          <w:rFonts w:ascii="Arial" w:hAnsi="Arial" w:cs="Arial"/>
          <w:b/>
          <w:bCs/>
          <w:lang w:val="en-ID"/>
        </w:rPr>
        <w:t>Indirect Effects (Mediating Role of Financial Performance)</w:t>
      </w:r>
    </w:p>
    <w:p w14:paraId="5242793A" w14:textId="77777777" w:rsidR="003C70F0" w:rsidRDefault="003C70F0" w:rsidP="003C70F0">
      <w:pPr>
        <w:pStyle w:val="Body"/>
        <w:spacing w:after="0"/>
        <w:rPr>
          <w:rFonts w:ascii="Arial" w:hAnsi="Arial" w:cs="Arial"/>
          <w:lang w:val="en-ID"/>
        </w:rPr>
      </w:pPr>
      <w:r w:rsidRPr="003C70F0">
        <w:rPr>
          <w:rFonts w:ascii="Arial" w:hAnsi="Arial" w:cs="Arial"/>
          <w:lang w:val="en-ID"/>
        </w:rPr>
        <w:t>The mediating analysis demonstrated that financial performance partially mediates the relationship between company size, company age, and capital structure with timeliness of financial reporting. This implies that firm characteristics impact reporting timeliness both directly and indirectly through their influence on financial performance.</w:t>
      </w:r>
    </w:p>
    <w:p w14:paraId="5B317CB0" w14:textId="77777777" w:rsidR="00C513E0" w:rsidRDefault="0035704C" w:rsidP="003C70F0">
      <w:pPr>
        <w:pStyle w:val="Body"/>
        <w:spacing w:after="0"/>
        <w:rPr>
          <w:rFonts w:ascii="Arial" w:hAnsi="Arial" w:cs="Arial"/>
          <w:lang w:val="en-ID"/>
        </w:rPr>
      </w:pPr>
      <w:r w:rsidRPr="0035704C">
        <w:rPr>
          <w:rFonts w:ascii="Arial" w:hAnsi="Arial" w:cs="Arial"/>
          <w:b/>
          <w:bCs/>
        </w:rPr>
        <w:t xml:space="preserve">H8: Company size has a positive effect on the timeliness of financial reporting through financial </w:t>
      </w:r>
      <w:proofErr w:type="spellStart"/>
      <w:r w:rsidRPr="0035704C">
        <w:rPr>
          <w:rFonts w:ascii="Arial" w:hAnsi="Arial" w:cs="Arial"/>
          <w:b/>
          <w:bCs/>
        </w:rPr>
        <w:t>performance.</w:t>
      </w:r>
      <w:r w:rsidRPr="0035704C">
        <w:rPr>
          <w:rFonts w:ascii="Arial" w:hAnsi="Arial" w:cs="Arial"/>
        </w:rPr>
        <w:t>As</w:t>
      </w:r>
      <w:proofErr w:type="spellEnd"/>
      <w:r w:rsidRPr="0035704C">
        <w:rPr>
          <w:rFonts w:ascii="Arial" w:hAnsi="Arial" w:cs="Arial"/>
        </w:rPr>
        <w:t xml:space="preserve"> shown in the results of the path analysis above:</w:t>
      </w:r>
    </w:p>
    <w:p w14:paraId="148944E1" w14:textId="77777777" w:rsidR="00C513E0" w:rsidRDefault="0035704C" w:rsidP="003C70F0">
      <w:pPr>
        <w:pStyle w:val="Body"/>
        <w:spacing w:after="0"/>
        <w:rPr>
          <w:rFonts w:ascii="Arial" w:hAnsi="Arial" w:cs="Arial"/>
        </w:rPr>
      </w:pPr>
      <w:r w:rsidRPr="0035704C">
        <w:rPr>
          <w:rFonts w:ascii="Arial" w:hAnsi="Arial" w:cs="Arial"/>
        </w:rPr>
        <w:t xml:space="preserve">Coefficient of Direct Effect: </w:t>
      </w:r>
      <w:r w:rsidRPr="0035704C">
        <w:rPr>
          <w:rFonts w:ascii="Arial" w:hAnsi="Arial" w:cs="Arial"/>
          <w:b/>
          <w:bCs/>
        </w:rPr>
        <w:t>CZ → TF = 0.081</w:t>
      </w:r>
    </w:p>
    <w:p w14:paraId="71243684" w14:textId="77777777" w:rsidR="00603965" w:rsidRPr="003C70F0" w:rsidRDefault="0035704C" w:rsidP="003C70F0">
      <w:pPr>
        <w:pStyle w:val="Body"/>
        <w:spacing w:after="0"/>
        <w:rPr>
          <w:rFonts w:ascii="Arial" w:hAnsi="Arial" w:cs="Arial"/>
          <w:lang w:val="en-ID"/>
        </w:rPr>
      </w:pPr>
      <w:r w:rsidRPr="0035704C">
        <w:rPr>
          <w:rFonts w:ascii="Arial" w:hAnsi="Arial" w:cs="Arial"/>
        </w:rPr>
        <w:t xml:space="preserve">Coefficient of Indirect Effect: </w:t>
      </w:r>
      <w:r w:rsidRPr="0035704C">
        <w:rPr>
          <w:rFonts w:ascii="Arial" w:hAnsi="Arial" w:cs="Arial"/>
          <w:b/>
          <w:bCs/>
        </w:rPr>
        <w:t>CZ → FP → TF = 0.173 × 0.039 = 0.007</w:t>
      </w:r>
    </w:p>
    <w:p w14:paraId="154C4A6F" w14:textId="77777777" w:rsidR="00C513E0" w:rsidRDefault="00C513E0" w:rsidP="00C513E0">
      <w:pPr>
        <w:pStyle w:val="Body"/>
        <w:spacing w:after="0"/>
        <w:rPr>
          <w:rFonts w:ascii="Arial" w:hAnsi="Arial" w:cs="Arial"/>
          <w:lang w:val="en-ID"/>
        </w:rPr>
      </w:pPr>
      <w:r w:rsidRPr="00C513E0">
        <w:rPr>
          <w:rFonts w:ascii="Arial" w:hAnsi="Arial" w:cs="Arial"/>
          <w:b/>
          <w:bCs/>
          <w:lang w:val="en-ID"/>
        </w:rPr>
        <w:t>H9: Company age has a positive effect on the timeliness of financial reporting through financial performance.</w:t>
      </w:r>
    </w:p>
    <w:p w14:paraId="2AD04E21"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As shown in the results of the path analysis above:</w:t>
      </w:r>
    </w:p>
    <w:p w14:paraId="14521E9C" w14:textId="77777777" w:rsidR="00C513E0" w:rsidRPr="00C513E0" w:rsidRDefault="00C513E0" w:rsidP="00C513E0">
      <w:pPr>
        <w:pStyle w:val="Body"/>
        <w:numPr>
          <w:ilvl w:val="0"/>
          <w:numId w:val="35"/>
        </w:numPr>
        <w:spacing w:after="0"/>
        <w:rPr>
          <w:rFonts w:ascii="Arial" w:hAnsi="Arial" w:cs="Arial"/>
          <w:lang w:val="en-ID"/>
        </w:rPr>
      </w:pPr>
      <w:r w:rsidRPr="00C513E0">
        <w:rPr>
          <w:rFonts w:ascii="Arial" w:hAnsi="Arial" w:cs="Arial"/>
          <w:lang w:val="en-ID"/>
        </w:rPr>
        <w:t xml:space="preserve">Coefficient of direct effect: </w:t>
      </w:r>
      <w:r w:rsidRPr="00C513E0">
        <w:rPr>
          <w:rFonts w:ascii="Arial" w:hAnsi="Arial" w:cs="Arial"/>
          <w:b/>
          <w:bCs/>
          <w:lang w:val="en-ID"/>
        </w:rPr>
        <w:t>CA – TF = 0.109</w:t>
      </w:r>
    </w:p>
    <w:p w14:paraId="2D6CF940" w14:textId="77777777" w:rsidR="00C513E0" w:rsidRPr="00C513E0" w:rsidRDefault="00C513E0" w:rsidP="00C513E0">
      <w:pPr>
        <w:pStyle w:val="Body"/>
        <w:numPr>
          <w:ilvl w:val="0"/>
          <w:numId w:val="35"/>
        </w:numPr>
        <w:spacing w:after="0"/>
        <w:rPr>
          <w:rFonts w:ascii="Arial" w:hAnsi="Arial" w:cs="Arial"/>
          <w:lang w:val="en-ID"/>
        </w:rPr>
      </w:pPr>
      <w:r w:rsidRPr="00C513E0">
        <w:rPr>
          <w:rFonts w:ascii="Arial" w:hAnsi="Arial" w:cs="Arial"/>
          <w:lang w:val="en-ID"/>
        </w:rPr>
        <w:t xml:space="preserve">Coefficient of indirect effect: </w:t>
      </w:r>
      <w:r w:rsidRPr="00C513E0">
        <w:rPr>
          <w:rFonts w:ascii="Arial" w:hAnsi="Arial" w:cs="Arial"/>
          <w:b/>
          <w:bCs/>
          <w:lang w:val="en-ID"/>
        </w:rPr>
        <w:t>CA – FP – TF = 0.319 × 0.039 = 0.012</w:t>
      </w:r>
    </w:p>
    <w:p w14:paraId="48A2D707" w14:textId="77777777" w:rsidR="00C513E0" w:rsidRDefault="00C513E0" w:rsidP="00C513E0">
      <w:pPr>
        <w:pStyle w:val="Body"/>
        <w:spacing w:after="0"/>
        <w:rPr>
          <w:rFonts w:ascii="Arial" w:hAnsi="Arial" w:cs="Arial"/>
          <w:lang w:val="en-ID"/>
        </w:rPr>
      </w:pPr>
      <w:r w:rsidRPr="00C513E0">
        <w:rPr>
          <w:rFonts w:ascii="Arial" w:hAnsi="Arial" w:cs="Arial"/>
          <w:lang w:val="en-ID"/>
        </w:rPr>
        <w:t xml:space="preserve">The coefficient of the direct effect of company age (CA) on timeliness of financial reporting (TF) is 0.109. Meanwhile, the coefficient of the indirect effect of company age (CA) on timeliness of financial reporting (TF) through financial performance (FP) is 0.012. The calculation shows that the coefficient of the indirect effect is smaller than that of the direct effect. This result supports the hypothesis that company age (CA) influences timeliness of financial reporting (TF) through financial performance (FP). Therefore, it can be concluded that company age (CA) affects the timeliness of financial reporting through financial performance, or in other words, </w:t>
      </w:r>
      <w:r w:rsidRPr="00C513E0">
        <w:rPr>
          <w:rFonts w:ascii="Arial" w:hAnsi="Arial" w:cs="Arial"/>
          <w:b/>
          <w:bCs/>
          <w:lang w:val="en-ID"/>
        </w:rPr>
        <w:t>H9 is accepted</w:t>
      </w:r>
      <w:r w:rsidRPr="00C513E0">
        <w:rPr>
          <w:rFonts w:ascii="Arial" w:hAnsi="Arial" w:cs="Arial"/>
          <w:lang w:val="en-ID"/>
        </w:rPr>
        <w:t>.</w:t>
      </w:r>
    </w:p>
    <w:p w14:paraId="2A200C06" w14:textId="77777777" w:rsidR="00C513E0" w:rsidRDefault="00C513E0" w:rsidP="00C513E0">
      <w:pPr>
        <w:pStyle w:val="Body"/>
        <w:spacing w:after="0"/>
        <w:rPr>
          <w:rFonts w:ascii="Arial" w:hAnsi="Arial" w:cs="Arial"/>
          <w:lang w:val="en-ID"/>
        </w:rPr>
      </w:pPr>
      <w:r w:rsidRPr="00C513E0">
        <w:rPr>
          <w:rFonts w:ascii="Arial" w:hAnsi="Arial" w:cs="Arial"/>
          <w:b/>
          <w:bCs/>
          <w:lang w:val="en-ID"/>
        </w:rPr>
        <w:t>H10: Capital structure has an effect on the timeliness of financial reporting through financial performance.</w:t>
      </w:r>
    </w:p>
    <w:p w14:paraId="2A7A0BE9"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As shown in the results of the path analysis above:</w:t>
      </w:r>
    </w:p>
    <w:p w14:paraId="2727B94C" w14:textId="77777777" w:rsidR="00C513E0" w:rsidRPr="00C513E0" w:rsidRDefault="00C513E0" w:rsidP="00C513E0">
      <w:pPr>
        <w:pStyle w:val="Body"/>
        <w:numPr>
          <w:ilvl w:val="0"/>
          <w:numId w:val="36"/>
        </w:numPr>
        <w:spacing w:after="0"/>
        <w:rPr>
          <w:rFonts w:ascii="Arial" w:hAnsi="Arial" w:cs="Arial"/>
          <w:lang w:val="en-ID"/>
        </w:rPr>
      </w:pPr>
      <w:r w:rsidRPr="00C513E0">
        <w:rPr>
          <w:rFonts w:ascii="Arial" w:hAnsi="Arial" w:cs="Arial"/>
          <w:lang w:val="en-ID"/>
        </w:rPr>
        <w:t xml:space="preserve">Coefficient of direct effect: </w:t>
      </w:r>
      <w:r w:rsidRPr="00C513E0">
        <w:rPr>
          <w:rFonts w:ascii="Arial" w:hAnsi="Arial" w:cs="Arial"/>
          <w:b/>
          <w:bCs/>
          <w:lang w:val="en-ID"/>
        </w:rPr>
        <w:t>CS – TF = 0.196</w:t>
      </w:r>
    </w:p>
    <w:p w14:paraId="39FC4F4F" w14:textId="77777777" w:rsidR="00C513E0" w:rsidRPr="00C513E0" w:rsidRDefault="00C513E0" w:rsidP="00C513E0">
      <w:pPr>
        <w:pStyle w:val="Body"/>
        <w:numPr>
          <w:ilvl w:val="0"/>
          <w:numId w:val="36"/>
        </w:numPr>
        <w:spacing w:after="0"/>
        <w:rPr>
          <w:rFonts w:ascii="Arial" w:hAnsi="Arial" w:cs="Arial"/>
          <w:lang w:val="en-ID"/>
        </w:rPr>
      </w:pPr>
      <w:r w:rsidRPr="00C513E0">
        <w:rPr>
          <w:rFonts w:ascii="Arial" w:hAnsi="Arial" w:cs="Arial"/>
          <w:lang w:val="en-ID"/>
        </w:rPr>
        <w:t xml:space="preserve">Coefficient of indirect effect: </w:t>
      </w:r>
      <w:r w:rsidRPr="00C513E0">
        <w:rPr>
          <w:rFonts w:ascii="Arial" w:hAnsi="Arial" w:cs="Arial"/>
          <w:b/>
          <w:bCs/>
          <w:lang w:val="en-ID"/>
        </w:rPr>
        <w:t>CS – FP – TF = –0.020 × 0.039 = –0.000</w:t>
      </w:r>
    </w:p>
    <w:p w14:paraId="1F7B541B" w14:textId="77777777" w:rsidR="00C513E0" w:rsidRPr="00C513E0" w:rsidRDefault="00C513E0" w:rsidP="00C513E0">
      <w:pPr>
        <w:pStyle w:val="Body"/>
        <w:spacing w:after="0"/>
        <w:rPr>
          <w:rFonts w:ascii="Arial" w:hAnsi="Arial" w:cs="Arial"/>
          <w:lang w:val="en-ID"/>
        </w:rPr>
      </w:pPr>
      <w:r w:rsidRPr="00C513E0">
        <w:rPr>
          <w:rFonts w:ascii="Arial" w:hAnsi="Arial" w:cs="Arial"/>
          <w:lang w:val="en-ID"/>
        </w:rPr>
        <w:t xml:space="preserve">The coefficient of the direct effect of capital structure (CS) on timeliness of financial reporting (TF) is 0.196. Meanwhile, the coefficient of the indirect effect of capital structure (CS) on timeliness of financial reporting (TF) through financial performance (FP) is –0.000. The calculation indicates that the coefficient of the indirect effect is smaller than that of the direct effect. This finding is consistent with the hypothesis that capital structure (CS) influences timeliness of financial reporting (TF) through financial performance (FP). Therefore, it can be concluded that capital structure (CS) affects the timeliness of financial reporting through financial performance, or in other words, </w:t>
      </w:r>
      <w:r w:rsidRPr="00C513E0">
        <w:rPr>
          <w:rFonts w:ascii="Arial" w:hAnsi="Arial" w:cs="Arial"/>
          <w:b/>
          <w:bCs/>
          <w:lang w:val="en-ID"/>
        </w:rPr>
        <w:t>H10 is accepted</w:t>
      </w:r>
      <w:r w:rsidRPr="00C513E0">
        <w:rPr>
          <w:rFonts w:ascii="Arial" w:hAnsi="Arial" w:cs="Arial"/>
          <w:lang w:val="en-ID"/>
        </w:rPr>
        <w:t>.</w:t>
      </w:r>
    </w:p>
    <w:p w14:paraId="59565172" w14:textId="77777777" w:rsidR="00C513E0" w:rsidRPr="00C513E0" w:rsidRDefault="00C513E0" w:rsidP="00C513E0">
      <w:pPr>
        <w:pStyle w:val="Body"/>
        <w:spacing w:after="0"/>
        <w:rPr>
          <w:rFonts w:ascii="Arial" w:hAnsi="Arial" w:cs="Arial"/>
          <w:lang w:val="en-ID"/>
        </w:rPr>
      </w:pPr>
    </w:p>
    <w:p w14:paraId="5F7F60BF" w14:textId="77777777" w:rsidR="00C513E0" w:rsidRPr="00C513E0" w:rsidRDefault="00C513E0" w:rsidP="00C513E0">
      <w:pPr>
        <w:pStyle w:val="Body"/>
        <w:spacing w:after="0"/>
        <w:jc w:val="center"/>
        <w:rPr>
          <w:rFonts w:ascii="Arial" w:hAnsi="Arial" w:cs="Arial"/>
          <w:lang w:val="en-ID"/>
        </w:rPr>
      </w:pPr>
      <w:r>
        <w:rPr>
          <w:rFonts w:ascii="Arial" w:hAnsi="Arial" w:cs="Arial"/>
          <w:noProof/>
          <w:lang w:val="fr-FR" w:eastAsia="fr-FR"/>
        </w:rPr>
        <w:drawing>
          <wp:inline distT="0" distB="0" distL="0" distR="0" wp14:anchorId="07CE2D06" wp14:editId="0BA1E77F">
            <wp:extent cx="3597910" cy="1524000"/>
            <wp:effectExtent l="0" t="0" r="0" b="0"/>
            <wp:docPr id="156402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25028" name="Picture 156402502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28950" cy="1537148"/>
                    </a:xfrm>
                    <a:prstGeom prst="rect">
                      <a:avLst/>
                    </a:prstGeom>
                  </pic:spPr>
                </pic:pic>
              </a:graphicData>
            </a:graphic>
          </wp:inline>
        </w:drawing>
      </w:r>
    </w:p>
    <w:p w14:paraId="34AF7387" w14:textId="1697855D" w:rsidR="00C513E0" w:rsidRPr="00D03C93" w:rsidRDefault="00C513E0" w:rsidP="00C513E0">
      <w:pPr>
        <w:jc w:val="center"/>
        <w:rPr>
          <w:b/>
          <w:bCs/>
          <w:lang w:val="sv-SE"/>
        </w:rPr>
      </w:pPr>
      <w:r>
        <w:rPr>
          <w:b/>
          <w:bCs/>
          <w:lang w:val="sv-SE"/>
        </w:rPr>
        <w:t xml:space="preserve">Figure </w:t>
      </w:r>
      <w:r w:rsidR="007E5DCF">
        <w:rPr>
          <w:b/>
          <w:bCs/>
          <w:lang w:val="sv-SE"/>
        </w:rPr>
        <w:t>3</w:t>
      </w:r>
    </w:p>
    <w:p w14:paraId="49EFCA59" w14:textId="77777777" w:rsidR="00C513E0" w:rsidRDefault="00C513E0" w:rsidP="001A7E56">
      <w:pPr>
        <w:pStyle w:val="Body"/>
        <w:spacing w:after="0"/>
        <w:jc w:val="center"/>
        <w:rPr>
          <w:rFonts w:ascii="Arial" w:hAnsi="Arial" w:cs="Arial"/>
          <w:b/>
          <w:bCs/>
          <w:lang w:val="en-ID"/>
        </w:rPr>
      </w:pPr>
      <w:commentRangeStart w:id="15"/>
      <w:r>
        <w:rPr>
          <w:rFonts w:ascii="Arial" w:hAnsi="Arial" w:cs="Arial"/>
          <w:b/>
          <w:bCs/>
          <w:lang w:val="en-ID"/>
        </w:rPr>
        <w:t>D</w:t>
      </w:r>
      <w:r w:rsidR="001A7E56">
        <w:rPr>
          <w:rFonts w:ascii="Arial" w:hAnsi="Arial" w:cs="Arial"/>
          <w:b/>
          <w:bCs/>
          <w:lang w:val="en-ID"/>
        </w:rPr>
        <w:t>irect and Indirect Effects</w:t>
      </w:r>
      <w:commentRangeEnd w:id="15"/>
      <w:r w:rsidR="00D65986">
        <w:rPr>
          <w:rStyle w:val="CommentReference"/>
          <w:rFonts w:ascii="Times New Roman" w:hAnsi="Times New Roman"/>
          <w:lang w:val="nb-NO" w:eastAsia="nb-NO"/>
        </w:rPr>
        <w:commentReference w:id="15"/>
      </w:r>
    </w:p>
    <w:p w14:paraId="0F329D0A" w14:textId="77777777" w:rsidR="00315186" w:rsidRDefault="00315186" w:rsidP="00441B6F"/>
    <w:p w14:paraId="23BF40E8" w14:textId="77777777" w:rsidR="003F6B44" w:rsidRPr="003F6B44" w:rsidRDefault="003F6B44" w:rsidP="003F6B44">
      <w:pPr>
        <w:rPr>
          <w:b/>
          <w:bCs/>
          <w:lang w:val="en-ID"/>
        </w:rPr>
      </w:pPr>
      <w:r w:rsidRPr="003F6B44">
        <w:rPr>
          <w:b/>
          <w:bCs/>
          <w:lang w:val="en-ID"/>
        </w:rPr>
        <w:t>DISCUSSION AND CONCLUSION</w:t>
      </w:r>
    </w:p>
    <w:p w14:paraId="7B29C790" w14:textId="77777777" w:rsidR="003F6B44" w:rsidRPr="003F6B44" w:rsidRDefault="003F6B44" w:rsidP="003F6B44">
      <w:pPr>
        <w:rPr>
          <w:b/>
          <w:bCs/>
          <w:lang w:val="en-ID"/>
        </w:rPr>
      </w:pPr>
      <w:r w:rsidRPr="003F6B44">
        <w:rPr>
          <w:b/>
          <w:bCs/>
          <w:lang w:val="en-ID"/>
        </w:rPr>
        <w:t>5.1 Discussion</w:t>
      </w:r>
    </w:p>
    <w:p w14:paraId="0CD9E3DD" w14:textId="77777777" w:rsidR="003F6B44" w:rsidRPr="003F6B44" w:rsidRDefault="003F6B44" w:rsidP="003F6B44">
      <w:pPr>
        <w:jc w:val="both"/>
        <w:rPr>
          <w:lang w:val="en-ID"/>
        </w:rPr>
      </w:pPr>
      <w:r w:rsidRPr="003F6B44">
        <w:rPr>
          <w:lang w:val="en-ID"/>
        </w:rPr>
        <w:t>The findings of this study provide insights into the relationships between company characteristics, capital structure, financial performance, and the timeliness of financial reporting among food and beverage companies listed on the Indonesia Stock Exchange.</w:t>
      </w:r>
    </w:p>
    <w:p w14:paraId="1E075534" w14:textId="77777777" w:rsidR="003F6B44" w:rsidRPr="003F6B44" w:rsidRDefault="003F6B44" w:rsidP="003F6B44">
      <w:pPr>
        <w:jc w:val="both"/>
        <w:rPr>
          <w:lang w:val="en-ID"/>
        </w:rPr>
      </w:pPr>
      <w:r w:rsidRPr="003F6B44">
        <w:rPr>
          <w:lang w:val="en-ID"/>
        </w:rPr>
        <w:t xml:space="preserve">First, the results indicate that </w:t>
      </w:r>
      <w:r w:rsidRPr="003F6B44">
        <w:rPr>
          <w:b/>
          <w:bCs/>
          <w:lang w:val="en-ID"/>
        </w:rPr>
        <w:t>company size</w:t>
      </w:r>
      <w:r w:rsidRPr="003F6B44">
        <w:rPr>
          <w:lang w:val="en-ID"/>
        </w:rPr>
        <w:t xml:space="preserve"> positively affects financial performance. Larger firms tend to possess more abundant resources, stronger market power, and greater economies of scale, enabling them to achieve higher profitability. These findings are consistent with prior research by </w:t>
      </w:r>
      <w:proofErr w:type="spellStart"/>
      <w:r w:rsidRPr="003F6B44">
        <w:rPr>
          <w:lang w:val="en-ID"/>
        </w:rPr>
        <w:t>Tisna</w:t>
      </w:r>
      <w:proofErr w:type="spellEnd"/>
      <w:r w:rsidRPr="003F6B44">
        <w:rPr>
          <w:lang w:val="en-ID"/>
        </w:rPr>
        <w:t xml:space="preserve"> and </w:t>
      </w:r>
      <w:proofErr w:type="spellStart"/>
      <w:r w:rsidRPr="003F6B44">
        <w:rPr>
          <w:lang w:val="en-ID"/>
        </w:rPr>
        <w:t>Agustami</w:t>
      </w:r>
      <w:proofErr w:type="spellEnd"/>
      <w:r w:rsidRPr="003F6B44">
        <w:rPr>
          <w:lang w:val="en-ID"/>
        </w:rPr>
        <w:t xml:space="preserve"> (2016), which confirmed that company size significantly improves financial performance. Furthermore, company size was also found to influence the </w:t>
      </w:r>
      <w:r w:rsidRPr="003F6B44">
        <w:rPr>
          <w:b/>
          <w:bCs/>
          <w:lang w:val="en-ID"/>
        </w:rPr>
        <w:t>timeliness of financial reporting</w:t>
      </w:r>
      <w:r w:rsidRPr="003F6B44">
        <w:rPr>
          <w:lang w:val="en-ID"/>
        </w:rPr>
        <w:t>, suggesting that larger firms are more capable of employing sophisticated accounting systems and resources to accelerate the reporting process.</w:t>
      </w:r>
    </w:p>
    <w:p w14:paraId="1A5C5D0C" w14:textId="77777777" w:rsidR="003F6B44" w:rsidRPr="003F6B44" w:rsidRDefault="003F6B44" w:rsidP="003F6B44">
      <w:pPr>
        <w:jc w:val="both"/>
        <w:rPr>
          <w:lang w:val="en-ID"/>
        </w:rPr>
      </w:pPr>
      <w:r w:rsidRPr="003F6B44">
        <w:rPr>
          <w:lang w:val="en-ID"/>
        </w:rPr>
        <w:t xml:space="preserve">Second, </w:t>
      </w:r>
      <w:r w:rsidRPr="003F6B44">
        <w:rPr>
          <w:b/>
          <w:bCs/>
          <w:lang w:val="en-ID"/>
        </w:rPr>
        <w:t>company age</w:t>
      </w:r>
      <w:r w:rsidRPr="003F6B44">
        <w:rPr>
          <w:lang w:val="en-ID"/>
        </w:rPr>
        <w:t xml:space="preserve"> was found to positively influence financial performance and timeliness of reporting. Older firms benefit from accumulated experience, stronger reputations, and more established stakeholder relationships, which enhance operational efficiency and reporting discipline. These results are in line with Fortunata and Rasyid (2023), who found that firm age significantly contributes to performance outcomes.</w:t>
      </w:r>
    </w:p>
    <w:p w14:paraId="646A4ED4" w14:textId="77777777" w:rsidR="003F6B44" w:rsidRPr="003F6B44" w:rsidRDefault="003F6B44" w:rsidP="003F6B44">
      <w:pPr>
        <w:jc w:val="both"/>
        <w:rPr>
          <w:lang w:val="en-ID"/>
        </w:rPr>
      </w:pPr>
      <w:r w:rsidRPr="003F6B44">
        <w:rPr>
          <w:lang w:val="en-ID"/>
        </w:rPr>
        <w:t xml:space="preserve">Third, </w:t>
      </w:r>
      <w:r w:rsidRPr="003F6B44">
        <w:rPr>
          <w:b/>
          <w:bCs/>
          <w:lang w:val="en-ID"/>
        </w:rPr>
        <w:t>capital structure</w:t>
      </w:r>
      <w:r w:rsidRPr="003F6B44">
        <w:rPr>
          <w:lang w:val="en-ID"/>
        </w:rPr>
        <w:t xml:space="preserve"> demonstrates a significant effect on financial performance and reporting timeliness. Firms with balanced debt and equity structures may achieve optimal financial leverage, which enhances profitability and discipline in reporting obligations. This aligns with the trade-off theory, suggesting that firms strive to maintain an optimal capital structure to balance risk and return.</w:t>
      </w:r>
    </w:p>
    <w:p w14:paraId="5D5F0111" w14:textId="77777777" w:rsidR="003F6B44" w:rsidRPr="003F6B44" w:rsidRDefault="003F6B44" w:rsidP="003F6B44">
      <w:pPr>
        <w:jc w:val="both"/>
        <w:rPr>
          <w:lang w:val="en-ID"/>
        </w:rPr>
      </w:pPr>
      <w:r w:rsidRPr="003F6B44">
        <w:rPr>
          <w:lang w:val="en-ID"/>
        </w:rPr>
        <w:t xml:space="preserve">Fourth, the study shows that </w:t>
      </w:r>
      <w:r w:rsidRPr="003F6B44">
        <w:rPr>
          <w:b/>
          <w:bCs/>
          <w:lang w:val="en-ID"/>
        </w:rPr>
        <w:t>financial performance</w:t>
      </w:r>
      <w:r w:rsidRPr="003F6B44">
        <w:rPr>
          <w:lang w:val="en-ID"/>
        </w:rPr>
        <w:t xml:space="preserve"> significantly influences the timeliness of financial reporting. Companies with higher profitability and stronger financial stability are more likely to invest in accounting infrastructure and governance practices that ensure timely reporting. This confirms the argument that financial success provides not only resources but also incentives to comply with disclosure requirements.</w:t>
      </w:r>
    </w:p>
    <w:p w14:paraId="20B8D227" w14:textId="77777777" w:rsidR="003F6B44" w:rsidRPr="003F6B44" w:rsidRDefault="003F6B44" w:rsidP="003F6B44">
      <w:pPr>
        <w:jc w:val="both"/>
        <w:rPr>
          <w:lang w:val="en-ID"/>
        </w:rPr>
      </w:pPr>
      <w:r w:rsidRPr="003F6B44">
        <w:rPr>
          <w:lang w:val="en-ID"/>
        </w:rPr>
        <w:t>Finally, the mediation analysis reveals that financial performance partially mediates the relationships between company size, company age, and capital structure on the timeliness of financial reporting. This implies that while firm characteristics directly affect reporting timeliness, part of the effect operates through their influence on financial performance.</w:t>
      </w:r>
    </w:p>
    <w:p w14:paraId="6D62E800" w14:textId="77777777" w:rsidR="003F6B44" w:rsidRPr="003F6B44" w:rsidRDefault="003F6B44" w:rsidP="003F6B44">
      <w:pPr>
        <w:jc w:val="both"/>
        <w:rPr>
          <w:b/>
          <w:bCs/>
          <w:lang w:val="en-ID"/>
        </w:rPr>
      </w:pPr>
      <w:r w:rsidRPr="003F6B44">
        <w:rPr>
          <w:b/>
          <w:bCs/>
          <w:lang w:val="en-ID"/>
        </w:rPr>
        <w:t>5.2 Conclusion</w:t>
      </w:r>
    </w:p>
    <w:p w14:paraId="066B2CEF" w14:textId="77777777" w:rsidR="003F6B44" w:rsidRPr="003F6B44" w:rsidRDefault="003F6B44" w:rsidP="003F6B44">
      <w:pPr>
        <w:jc w:val="both"/>
        <w:rPr>
          <w:lang w:val="en-ID"/>
        </w:rPr>
      </w:pPr>
      <w:r w:rsidRPr="003F6B44">
        <w:rPr>
          <w:lang w:val="en-ID"/>
        </w:rPr>
        <w:t>This research concludes that company size, company age, and capital structure significantly affect both financial performance and the timeliness of financial reporting. Furthermore, financial performance itself is a critical determinant of reporting timeliness. The mediation analysis confirms that financial performance serves as a pathway linking firm characteristics to reporting outcomes.</w:t>
      </w:r>
    </w:p>
    <w:p w14:paraId="58A773B6" w14:textId="77777777" w:rsidR="003F6B44" w:rsidRPr="003F6B44" w:rsidRDefault="003F6B44" w:rsidP="003F6B44">
      <w:pPr>
        <w:jc w:val="both"/>
        <w:rPr>
          <w:lang w:val="en-ID"/>
        </w:rPr>
      </w:pPr>
      <w:r w:rsidRPr="003F6B44">
        <w:rPr>
          <w:lang w:val="en-ID"/>
        </w:rPr>
        <w:t xml:space="preserve">The findings contribute both theoretically and practically. Theoretically, this study extends the application of </w:t>
      </w:r>
      <w:r w:rsidRPr="003F6B44">
        <w:rPr>
          <w:b/>
          <w:bCs/>
          <w:lang w:val="en-ID"/>
        </w:rPr>
        <w:t xml:space="preserve">agency theory, </w:t>
      </w:r>
      <w:proofErr w:type="spellStart"/>
      <w:r w:rsidRPr="003F6B44">
        <w:rPr>
          <w:b/>
          <w:bCs/>
          <w:lang w:val="en-ID"/>
        </w:rPr>
        <w:t>signaling</w:t>
      </w:r>
      <w:proofErr w:type="spellEnd"/>
      <w:r w:rsidRPr="003F6B44">
        <w:rPr>
          <w:b/>
          <w:bCs/>
          <w:lang w:val="en-ID"/>
        </w:rPr>
        <w:t xml:space="preserve"> theory, and trade-off theory</w:t>
      </w:r>
      <w:r w:rsidRPr="003F6B44">
        <w:rPr>
          <w:lang w:val="en-ID"/>
        </w:rPr>
        <w:t xml:space="preserve"> in explaining the determinants of financial reporting timeliness. Practically, the results emphasize the importance for firms to optimize their resources, leverage their experience, and manage capital structures effectively to ensure timely and reliable financial disclosures.</w:t>
      </w:r>
    </w:p>
    <w:p w14:paraId="2B0EF15F" w14:textId="77777777" w:rsidR="003F6B44" w:rsidRPr="003F6B44" w:rsidRDefault="003F6B44" w:rsidP="003F6B44">
      <w:pPr>
        <w:jc w:val="both"/>
        <w:rPr>
          <w:b/>
          <w:bCs/>
          <w:lang w:val="en-ID"/>
        </w:rPr>
      </w:pPr>
      <w:r w:rsidRPr="003F6B44">
        <w:rPr>
          <w:b/>
          <w:bCs/>
          <w:lang w:val="en-ID"/>
        </w:rPr>
        <w:t>5.3 Recommendations</w:t>
      </w:r>
    </w:p>
    <w:p w14:paraId="774EA4B2" w14:textId="77777777" w:rsidR="003F6B44" w:rsidRPr="003F6B44" w:rsidRDefault="003F6B44" w:rsidP="003F6B44">
      <w:pPr>
        <w:jc w:val="both"/>
        <w:rPr>
          <w:lang w:val="en-ID"/>
        </w:rPr>
      </w:pPr>
      <w:r w:rsidRPr="003F6B44">
        <w:rPr>
          <w:lang w:val="en-ID"/>
        </w:rPr>
        <w:t>For future studies, it is suggested to:</w:t>
      </w:r>
    </w:p>
    <w:p w14:paraId="1F11430B" w14:textId="77777777" w:rsidR="003F6B44" w:rsidRPr="003F6B44" w:rsidRDefault="003F6B44" w:rsidP="003F6B44">
      <w:pPr>
        <w:numPr>
          <w:ilvl w:val="0"/>
          <w:numId w:val="37"/>
        </w:numPr>
        <w:jc w:val="both"/>
        <w:rPr>
          <w:lang w:val="en-ID"/>
        </w:rPr>
      </w:pPr>
      <w:r w:rsidRPr="003F6B44">
        <w:rPr>
          <w:lang w:val="en-ID"/>
        </w:rPr>
        <w:t>Expand the sample size beyond the food and beverage sector to improve generalizability.</w:t>
      </w:r>
    </w:p>
    <w:p w14:paraId="7445B291" w14:textId="77777777" w:rsidR="003F6B44" w:rsidRPr="003F6B44" w:rsidRDefault="003F6B44" w:rsidP="003F6B44">
      <w:pPr>
        <w:numPr>
          <w:ilvl w:val="0"/>
          <w:numId w:val="37"/>
        </w:numPr>
        <w:jc w:val="both"/>
        <w:rPr>
          <w:lang w:val="en-ID"/>
        </w:rPr>
      </w:pPr>
      <w:r w:rsidRPr="003F6B44">
        <w:rPr>
          <w:lang w:val="en-ID"/>
        </w:rPr>
        <w:t>Incorporate additional variables such as corporate governance mechanisms, audit quality, and ownership structure.</w:t>
      </w:r>
    </w:p>
    <w:p w14:paraId="30E06002" w14:textId="77777777" w:rsidR="003F6B44" w:rsidRPr="003F6B44" w:rsidRDefault="003F6B44" w:rsidP="003F6B44">
      <w:pPr>
        <w:numPr>
          <w:ilvl w:val="0"/>
          <w:numId w:val="37"/>
        </w:numPr>
        <w:jc w:val="both"/>
        <w:rPr>
          <w:lang w:val="en-ID"/>
        </w:rPr>
      </w:pPr>
      <w:r w:rsidRPr="003F6B44">
        <w:rPr>
          <w:lang w:val="en-ID"/>
        </w:rPr>
        <w:t>Use longitudinal data to capture dynamic changes over time.</w:t>
      </w:r>
    </w:p>
    <w:p w14:paraId="2AD005F8" w14:textId="77777777" w:rsidR="003F6B44" w:rsidRDefault="003F6B44" w:rsidP="003F6B44">
      <w:pPr>
        <w:jc w:val="both"/>
        <w:rPr>
          <w:lang w:val="en-ID"/>
        </w:rPr>
      </w:pPr>
      <w:r w:rsidRPr="003F6B44">
        <w:rPr>
          <w:lang w:val="en-ID"/>
        </w:rPr>
        <w:lastRenderedPageBreak/>
        <w:t>Overall, this study highlights that company characteristics and financial performance play a central role in shaping the timeliness of financial reporting, thereby enhancing corporate transparency and stakeholder trust.</w:t>
      </w:r>
    </w:p>
    <w:p w14:paraId="37963219" w14:textId="77777777" w:rsidR="007E5DCF" w:rsidRDefault="007E5DCF" w:rsidP="003F6B44">
      <w:pPr>
        <w:jc w:val="both"/>
        <w:rPr>
          <w:lang w:val="en-ID"/>
        </w:rPr>
      </w:pPr>
    </w:p>
    <w:p w14:paraId="6C027E94" w14:textId="77777777" w:rsidR="007E5DCF" w:rsidRPr="007E5DCF" w:rsidRDefault="007E5DCF" w:rsidP="007E5DCF">
      <w:pPr>
        <w:spacing w:after="200" w:line="276" w:lineRule="auto"/>
        <w:jc w:val="both"/>
        <w:outlineLvl w:val="0"/>
        <w:rPr>
          <w:rFonts w:ascii="Arial" w:eastAsiaTheme="minorEastAsia" w:hAnsi="Arial" w:cs="Arial"/>
          <w:sz w:val="22"/>
          <w:szCs w:val="22"/>
          <w:lang w:val="en-GB" w:eastAsia="en-GB"/>
        </w:rPr>
      </w:pPr>
      <w:r w:rsidRPr="007E5DCF">
        <w:rPr>
          <w:rFonts w:ascii="Arial" w:eastAsiaTheme="minorEastAsia" w:hAnsi="Arial" w:cs="Arial"/>
          <w:b/>
          <w:bCs/>
          <w:sz w:val="22"/>
          <w:szCs w:val="22"/>
          <w:lang w:val="en-GB" w:eastAsia="en-GB"/>
        </w:rPr>
        <w:t>COMPETING INTERESTS DISCLAIMER:</w:t>
      </w:r>
    </w:p>
    <w:p w14:paraId="36BEDDB7"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r w:rsidRPr="007E5DCF">
        <w:rPr>
          <w:rFonts w:asciiTheme="minorHAnsi" w:eastAsiaTheme="minorEastAsia" w:hAnsiTheme="minorHAnsi" w:cstheme="minorBidi"/>
          <w:sz w:val="22"/>
          <w:szCs w:val="22"/>
          <w:lang w:val="en-GB" w:eastAsia="en-GB"/>
        </w:rPr>
        <w:t xml:space="preserve">Authors have declared that they have no known competing financial interests OR non-financial interests OR personal relationships that could have appeared to influence the work reported in this </w:t>
      </w:r>
      <w:bookmarkStart w:id="16" w:name="_GoBack"/>
      <w:commentRangeStart w:id="17"/>
      <w:r w:rsidRPr="007E5DCF">
        <w:rPr>
          <w:rFonts w:asciiTheme="minorHAnsi" w:eastAsiaTheme="minorEastAsia" w:hAnsiTheme="minorHAnsi" w:cstheme="minorBidi"/>
          <w:sz w:val="22"/>
          <w:szCs w:val="22"/>
          <w:lang w:val="en-GB" w:eastAsia="en-GB"/>
        </w:rPr>
        <w:t>paper</w:t>
      </w:r>
      <w:bookmarkEnd w:id="16"/>
      <w:commentRangeEnd w:id="17"/>
      <w:r w:rsidR="00697B8E">
        <w:rPr>
          <w:rStyle w:val="CommentReference"/>
          <w:rFonts w:ascii="Times New Roman" w:hAnsi="Times New Roman"/>
          <w:lang w:val="nb-NO" w:eastAsia="nb-NO"/>
        </w:rPr>
        <w:commentReference w:id="17"/>
      </w:r>
      <w:r w:rsidRPr="007E5DCF">
        <w:rPr>
          <w:rFonts w:asciiTheme="minorHAnsi" w:eastAsiaTheme="minorEastAsia" w:hAnsiTheme="minorHAnsi" w:cstheme="minorBidi"/>
          <w:sz w:val="22"/>
          <w:szCs w:val="22"/>
          <w:lang w:val="en-GB" w:eastAsia="en-GB"/>
        </w:rPr>
        <w:t>.</w:t>
      </w:r>
    </w:p>
    <w:p w14:paraId="534C8953"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p>
    <w:p w14:paraId="3A3D18CF" w14:textId="77777777" w:rsidR="007E5DCF" w:rsidRPr="007E5DCF" w:rsidRDefault="007E5DCF" w:rsidP="007E5DCF">
      <w:pPr>
        <w:spacing w:after="200" w:line="276" w:lineRule="auto"/>
        <w:rPr>
          <w:rFonts w:asciiTheme="minorHAnsi" w:eastAsiaTheme="minorEastAsia" w:hAnsiTheme="minorHAnsi" w:cstheme="minorBidi"/>
          <w:sz w:val="22"/>
          <w:szCs w:val="22"/>
          <w:lang w:val="en-GB" w:eastAsia="en-GB"/>
        </w:rPr>
      </w:pPr>
    </w:p>
    <w:p w14:paraId="6008E7F9" w14:textId="77777777" w:rsidR="007E5DCF" w:rsidRPr="003F6B44" w:rsidRDefault="007E5DCF" w:rsidP="003F6B44">
      <w:pPr>
        <w:jc w:val="both"/>
        <w:rPr>
          <w:lang w:val="en-ID"/>
        </w:rPr>
      </w:pPr>
    </w:p>
    <w:p w14:paraId="0981BB63" w14:textId="77777777" w:rsidR="003F6B44" w:rsidRPr="00315186" w:rsidRDefault="003F6B44" w:rsidP="003F6B44">
      <w:pPr>
        <w:jc w:val="both"/>
      </w:pPr>
    </w:p>
    <w:p w14:paraId="50FE7298" w14:textId="77777777" w:rsidR="00315186" w:rsidRPr="003F6B44" w:rsidRDefault="003F6B44" w:rsidP="00441B6F">
      <w:pPr>
        <w:rPr>
          <w:b/>
          <w:bCs/>
        </w:rPr>
      </w:pPr>
      <w:commentRangeStart w:id="18"/>
      <w:r w:rsidRPr="003F6B44">
        <w:rPr>
          <w:b/>
          <w:bCs/>
        </w:rPr>
        <w:t>REFERENCES</w:t>
      </w:r>
    </w:p>
    <w:p w14:paraId="25AD5D3F" w14:textId="77777777" w:rsidR="00203316" w:rsidRDefault="00203316" w:rsidP="00203316">
      <w:pPr>
        <w:jc w:val="both"/>
      </w:pPr>
      <w:r>
        <w:t xml:space="preserve">Andriani Tisna, G., &amp; </w:t>
      </w:r>
      <w:proofErr w:type="spellStart"/>
      <w:r>
        <w:t>Agustami</w:t>
      </w:r>
      <w:proofErr w:type="spellEnd"/>
      <w:r>
        <w:t>, S. (2016). The Effect of Good Corporate Governance and Company Size on Company Financial Performance (In Banking Companies Listed on the Indonesia Stock Exchange (IDX) 2010-2014). Journal of Accounting and Financial Research, 4(2), 1035–1046. https://doi.org/10.17509/jrak.v4i2.4038</w:t>
      </w:r>
    </w:p>
    <w:p w14:paraId="06DEF5C2" w14:textId="77777777" w:rsidR="00203316" w:rsidRDefault="00203316" w:rsidP="00203316">
      <w:pPr>
        <w:jc w:val="both"/>
      </w:pPr>
    </w:p>
    <w:p w14:paraId="3286CBF9" w14:textId="77777777" w:rsidR="00203316" w:rsidRDefault="00203316" w:rsidP="00203316">
      <w:pPr>
        <w:jc w:val="both"/>
      </w:pPr>
      <w:r>
        <w:t>Azhari, Fadhli, and Muhammad Nuryanto. (2019). The Role of Audit Opinion as a Moderator of the Effects of Profitability, Company Size, Institutional Ownership, and Audit Committee on the Timeliness of Financial Reporting. JRAMB, Accounting Study Program, Faculty of Economics, UMB Yogyakarta. Volume 5 No. 1, May 2019, ISSN: 2460-1233.</w:t>
      </w:r>
    </w:p>
    <w:p w14:paraId="784BE7A5" w14:textId="77777777" w:rsidR="00203316" w:rsidRDefault="00203316" w:rsidP="00203316">
      <w:pPr>
        <w:jc w:val="both"/>
      </w:pPr>
    </w:p>
    <w:p w14:paraId="13029D21" w14:textId="77777777" w:rsidR="00203316" w:rsidRDefault="00203316" w:rsidP="00203316">
      <w:pPr>
        <w:jc w:val="both"/>
      </w:pPr>
      <w:r>
        <w:t xml:space="preserve">Afni, N., &amp; </w:t>
      </w:r>
      <w:proofErr w:type="spellStart"/>
      <w:r>
        <w:t>Saragih</w:t>
      </w:r>
      <w:proofErr w:type="spellEnd"/>
      <w:r>
        <w:t>, R. (2018). The Influence of Organizational Culture on Organizational Commitment among Employees of PT. Telekomunikasi Indonesia (</w:t>
      </w:r>
      <w:proofErr w:type="spellStart"/>
      <w:r>
        <w:t>Persero</w:t>
      </w:r>
      <w:proofErr w:type="spellEnd"/>
      <w:r>
        <w:t xml:space="preserve">) </w:t>
      </w:r>
      <w:proofErr w:type="spellStart"/>
      <w:r>
        <w:t>Tbk</w:t>
      </w:r>
      <w:proofErr w:type="spellEnd"/>
      <w:r>
        <w:t xml:space="preserve">, Bandung </w:t>
      </w:r>
      <w:proofErr w:type="spellStart"/>
      <w:r>
        <w:t>Witel</w:t>
      </w:r>
      <w:proofErr w:type="spellEnd"/>
      <w:r>
        <w:t xml:space="preserve"> Office.</w:t>
      </w:r>
    </w:p>
    <w:p w14:paraId="6652BBF3" w14:textId="77777777" w:rsidR="00203316" w:rsidRDefault="00203316" w:rsidP="00203316">
      <w:pPr>
        <w:jc w:val="both"/>
      </w:pPr>
    </w:p>
    <w:p w14:paraId="0F0145A1" w14:textId="77777777" w:rsidR="00203316" w:rsidRDefault="00203316" w:rsidP="00203316">
      <w:pPr>
        <w:jc w:val="both"/>
      </w:pPr>
      <w:proofErr w:type="spellStart"/>
      <w:r>
        <w:t>Assih</w:t>
      </w:r>
      <w:proofErr w:type="spellEnd"/>
      <w:r>
        <w:t xml:space="preserve">, </w:t>
      </w:r>
      <w:proofErr w:type="spellStart"/>
      <w:r>
        <w:t>Prihat</w:t>
      </w:r>
      <w:proofErr w:type="spellEnd"/>
      <w:r>
        <w:t xml:space="preserve">, and M. </w:t>
      </w:r>
      <w:proofErr w:type="spellStart"/>
      <w:r>
        <w:t>Gudono</w:t>
      </w:r>
      <w:proofErr w:type="spellEnd"/>
      <w:r>
        <w:t xml:space="preserve"> (2000). The Relationship between Income Smoothing and Market Reaction to Profit Announcements of Companies Listed on the Jakarta Stock Exchange. 2nd National Accounting Symposium.</w:t>
      </w:r>
    </w:p>
    <w:p w14:paraId="3ED8D7A1" w14:textId="77777777" w:rsidR="00203316" w:rsidRDefault="00203316" w:rsidP="00203316">
      <w:pPr>
        <w:jc w:val="both"/>
      </w:pPr>
    </w:p>
    <w:p w14:paraId="1FD5006D" w14:textId="77777777" w:rsidR="00203316" w:rsidRDefault="00203316" w:rsidP="00203316">
      <w:pPr>
        <w:jc w:val="both"/>
      </w:pPr>
      <w:r>
        <w:t>Aiman, Rizaldi, &amp; Sri Rahayu (2019). The Effect of Good Corporate Governance and Leverage on Financial Performance (Case Study of National Private Commercial Banks and State-Owned Banks Listed on the Indonesia Stock Exchange, 2014-2017). e-Proceedings of Management, 6 (2).</w:t>
      </w:r>
    </w:p>
    <w:p w14:paraId="497E0D45" w14:textId="77777777" w:rsidR="00203316" w:rsidRDefault="00203316" w:rsidP="00203316">
      <w:pPr>
        <w:jc w:val="both"/>
      </w:pPr>
    </w:p>
    <w:p w14:paraId="03CFE856" w14:textId="77777777" w:rsidR="00203316" w:rsidRDefault="00203316" w:rsidP="00203316">
      <w:pPr>
        <w:jc w:val="both"/>
      </w:pPr>
      <w:proofErr w:type="spellStart"/>
      <w:r>
        <w:t>Darmawati</w:t>
      </w:r>
      <w:proofErr w:type="spellEnd"/>
      <w:r>
        <w:t>, D. et al., (2004). The Relationship between Corporate Governance and Company Performance. Indonesian Journal of Accounting Research, 8 (1).</w:t>
      </w:r>
    </w:p>
    <w:p w14:paraId="5A10DDAB" w14:textId="77777777" w:rsidR="00203316" w:rsidRDefault="00203316" w:rsidP="00203316">
      <w:pPr>
        <w:jc w:val="both"/>
      </w:pPr>
    </w:p>
    <w:p w14:paraId="5414CC53" w14:textId="77777777" w:rsidR="00203316" w:rsidRDefault="00203316" w:rsidP="00203316">
      <w:pPr>
        <w:jc w:val="both"/>
      </w:pPr>
      <w:r>
        <w:t xml:space="preserve">Dewi, Kartika S., and </w:t>
      </w:r>
      <w:proofErr w:type="spellStart"/>
      <w:r>
        <w:t>Prasetyono</w:t>
      </w:r>
      <w:proofErr w:type="spellEnd"/>
      <w:r>
        <w:t xml:space="preserve"> (2012). Analysis of the Effect of ROA, NPM, DER, and Size on Income Smoothing Practices in Companies Listed on the Indonesia Stock Exchange. Journal of Management, 1 (2).</w:t>
      </w:r>
    </w:p>
    <w:p w14:paraId="3CEF78E0" w14:textId="77777777" w:rsidR="00203316" w:rsidRDefault="00203316" w:rsidP="00203316">
      <w:pPr>
        <w:jc w:val="both"/>
      </w:pPr>
    </w:p>
    <w:p w14:paraId="49FCF25B" w14:textId="77777777" w:rsidR="00203316" w:rsidRDefault="00203316" w:rsidP="00203316">
      <w:pPr>
        <w:jc w:val="both"/>
      </w:pPr>
      <w:proofErr w:type="spellStart"/>
      <w:r>
        <w:t>Derianto</w:t>
      </w:r>
      <w:proofErr w:type="spellEnd"/>
      <w:r>
        <w:t xml:space="preserve">, F., &amp; </w:t>
      </w:r>
      <w:proofErr w:type="spellStart"/>
      <w:r>
        <w:t>Arza</w:t>
      </w:r>
      <w:proofErr w:type="spellEnd"/>
      <w:r>
        <w:t>, F. I. (2020). The Effect of Profitability, Solvency, and Company Size on the Timeliness of Financial Reports. Journal of Exploration.</w:t>
      </w:r>
    </w:p>
    <w:p w14:paraId="07EA63C1" w14:textId="77777777" w:rsidR="00203316" w:rsidRDefault="00203316" w:rsidP="00203316">
      <w:pPr>
        <w:jc w:val="both"/>
      </w:pPr>
    </w:p>
    <w:p w14:paraId="46019CA8" w14:textId="77777777" w:rsidR="00203316" w:rsidRDefault="00203316" w:rsidP="00203316">
      <w:pPr>
        <w:jc w:val="both"/>
      </w:pPr>
      <w:proofErr w:type="spellStart"/>
      <w:r>
        <w:lastRenderedPageBreak/>
        <w:t>Erawati</w:t>
      </w:r>
      <w:proofErr w:type="spellEnd"/>
      <w:r>
        <w:t xml:space="preserve">, T., </w:t>
      </w:r>
      <w:proofErr w:type="spellStart"/>
      <w:r>
        <w:t>Ayem</w:t>
      </w:r>
      <w:proofErr w:type="spellEnd"/>
      <w:r>
        <w:t xml:space="preserve">, S., &amp; </w:t>
      </w:r>
      <w:proofErr w:type="spellStart"/>
      <w:r>
        <w:t>Tokan</w:t>
      </w:r>
      <w:proofErr w:type="spellEnd"/>
      <w:r>
        <w:t>, M. M. (2022). The Effect of Company Size, Liquidity, and Dividend Policy on Company Financial Performance (A Study of Automotive Companies Listed on the IDX 2015-2019). AKURAT, 1 (13), 76–88.</w:t>
      </w:r>
    </w:p>
    <w:p w14:paraId="46E3C60D" w14:textId="77777777" w:rsidR="00203316" w:rsidRDefault="00203316" w:rsidP="00203316">
      <w:pPr>
        <w:jc w:val="both"/>
      </w:pPr>
    </w:p>
    <w:p w14:paraId="2B31C594" w14:textId="77777777" w:rsidR="00203316" w:rsidRDefault="00203316" w:rsidP="00203316">
      <w:pPr>
        <w:jc w:val="both"/>
      </w:pPr>
      <w:r>
        <w:t xml:space="preserve">Francis-Coad J, Etherton-Beer C, Burton E, Naseri C, Hill AM. (2018). Effectiveness of Complex Falls Prevention Interventions in Residential Aged Care Settings: A Systematic Review. JBI Database System Rev Implement. </w:t>
      </w:r>
      <w:proofErr w:type="spellStart"/>
      <w:r>
        <w:t>doi</w:t>
      </w:r>
      <w:proofErr w:type="spellEnd"/>
      <w:r>
        <w:t>: 10.11124/JBISRIR-2017-003485. PMID: 29634516.</w:t>
      </w:r>
    </w:p>
    <w:p w14:paraId="2F7584FA" w14:textId="77777777" w:rsidR="00203316" w:rsidRDefault="00203316" w:rsidP="00203316">
      <w:pPr>
        <w:jc w:val="both"/>
      </w:pPr>
    </w:p>
    <w:p w14:paraId="4A7B25DD" w14:textId="77777777" w:rsidR="00203316" w:rsidRDefault="00203316" w:rsidP="00203316">
      <w:pPr>
        <w:jc w:val="both"/>
      </w:pPr>
      <w:proofErr w:type="spellStart"/>
      <w:r>
        <w:t>Ghozali</w:t>
      </w:r>
      <w:proofErr w:type="spellEnd"/>
      <w:r>
        <w:t xml:space="preserve">, Imam. (2018). Application of Multivariate Analysis with IBM SPSS 25. Semarang: </w:t>
      </w:r>
      <w:proofErr w:type="spellStart"/>
      <w:r>
        <w:t>Diponegoro</w:t>
      </w:r>
      <w:proofErr w:type="spellEnd"/>
      <w:r>
        <w:t xml:space="preserve"> University Publishing House.</w:t>
      </w:r>
    </w:p>
    <w:p w14:paraId="71686E37" w14:textId="77777777" w:rsidR="00203316" w:rsidRDefault="00203316" w:rsidP="00203316">
      <w:pPr>
        <w:jc w:val="both"/>
      </w:pPr>
    </w:p>
    <w:p w14:paraId="4E593981" w14:textId="77777777" w:rsidR="00203316" w:rsidRDefault="00203316" w:rsidP="00203316">
      <w:pPr>
        <w:jc w:val="both"/>
      </w:pPr>
      <w:r>
        <w:t>Hendriksen and Van Breda. (2000). Accounting Theory. McGraw Hill: International Edition.</w:t>
      </w:r>
    </w:p>
    <w:p w14:paraId="4FFFD7B7" w14:textId="77777777" w:rsidR="00203316" w:rsidRDefault="00203316" w:rsidP="00203316">
      <w:pPr>
        <w:jc w:val="both"/>
      </w:pPr>
    </w:p>
    <w:p w14:paraId="250356C2" w14:textId="77777777" w:rsidR="00203316" w:rsidRDefault="00203316" w:rsidP="00203316">
      <w:pPr>
        <w:jc w:val="both"/>
      </w:pPr>
      <w:r>
        <w:t>Jensen, M., C., and W. Meckling, (1976). "Theory of the Firm: Managerial Behavior, Agency Costs, and Ownership Structure," Journal of Financial Economics, 3, downloaded from http://www.nhh.no/for/courses/spring/eco420/jensenmeckling-76.pdf</w:t>
      </w:r>
    </w:p>
    <w:p w14:paraId="0C240AB3" w14:textId="77777777" w:rsidR="00203316" w:rsidRDefault="00203316" w:rsidP="00203316">
      <w:pPr>
        <w:jc w:val="both"/>
      </w:pPr>
    </w:p>
    <w:p w14:paraId="5DBB2DAC" w14:textId="77777777" w:rsidR="00203316" w:rsidRDefault="00203316" w:rsidP="00203316">
      <w:pPr>
        <w:jc w:val="both"/>
      </w:pPr>
      <w:r>
        <w:t xml:space="preserve">Kasmir. (2014). Financial Statement Analysis, 7th edition. Jakarta: PT. Raja </w:t>
      </w:r>
      <w:proofErr w:type="spellStart"/>
      <w:r>
        <w:t>Grafindo</w:t>
      </w:r>
      <w:proofErr w:type="spellEnd"/>
      <w:r>
        <w:t xml:space="preserve"> </w:t>
      </w:r>
      <w:proofErr w:type="spellStart"/>
      <w:r>
        <w:t>Persada</w:t>
      </w:r>
      <w:proofErr w:type="spellEnd"/>
      <w:r>
        <w:t>.</w:t>
      </w:r>
    </w:p>
    <w:p w14:paraId="70D4059C" w14:textId="77777777" w:rsidR="00203316" w:rsidRDefault="00203316" w:rsidP="00203316">
      <w:pPr>
        <w:jc w:val="both"/>
      </w:pPr>
    </w:p>
    <w:p w14:paraId="10E8219E" w14:textId="77777777" w:rsidR="00203316" w:rsidRDefault="00203316" w:rsidP="00203316">
      <w:pPr>
        <w:jc w:val="both"/>
      </w:pPr>
      <w:proofErr w:type="spellStart"/>
      <w:r>
        <w:t>Kieso</w:t>
      </w:r>
      <w:proofErr w:type="spellEnd"/>
      <w:r>
        <w:t xml:space="preserve"> and </w:t>
      </w:r>
      <w:proofErr w:type="spellStart"/>
      <w:r>
        <w:t>Weygandt</w:t>
      </w:r>
      <w:proofErr w:type="spellEnd"/>
      <w:r>
        <w:t xml:space="preserve">. (2011). Intermediate Accounting 2011 edition. Jakarta: </w:t>
      </w:r>
      <w:proofErr w:type="spellStart"/>
      <w:r>
        <w:t>Erlangga</w:t>
      </w:r>
      <w:proofErr w:type="spellEnd"/>
      <w:r>
        <w:t>.</w:t>
      </w:r>
    </w:p>
    <w:p w14:paraId="345E6C43" w14:textId="77777777" w:rsidR="00203316" w:rsidRDefault="00203316" w:rsidP="00203316">
      <w:pPr>
        <w:jc w:val="both"/>
      </w:pPr>
    </w:p>
    <w:p w14:paraId="256C1338" w14:textId="77777777" w:rsidR="00203316" w:rsidRDefault="00203316" w:rsidP="00203316">
      <w:pPr>
        <w:jc w:val="both"/>
      </w:pPr>
      <w:r>
        <w:t>Kadir, Abdul. (2011). Factors Influencing Timeliness of Financial Reporting: An Empirical Study of Manufacturing Companies on the Stock Exchange.</w:t>
      </w:r>
    </w:p>
    <w:p w14:paraId="3E2A0CC2" w14:textId="77777777" w:rsidR="00203316" w:rsidRDefault="00203316" w:rsidP="00203316">
      <w:pPr>
        <w:jc w:val="both"/>
      </w:pPr>
    </w:p>
    <w:p w14:paraId="6E3837E7" w14:textId="77777777" w:rsidR="00203316" w:rsidRDefault="00203316" w:rsidP="00203316">
      <w:pPr>
        <w:jc w:val="both"/>
      </w:pPr>
      <w:proofErr w:type="spellStart"/>
      <w:r>
        <w:t>Kusumawardani</w:t>
      </w:r>
      <w:proofErr w:type="spellEnd"/>
      <w:r>
        <w:t xml:space="preserve">, R., &amp; </w:t>
      </w:r>
      <w:proofErr w:type="spellStart"/>
      <w:r>
        <w:t>Priyadi</w:t>
      </w:r>
      <w:proofErr w:type="spellEnd"/>
      <w:r>
        <w:t>, M. P. (2018). The Effect of Company Size, Company Age, and Leverage on Timeliness of Financial Reporting, with Profitability as a Moderating Factor. Journal of Accounting Science and Research.</w:t>
      </w:r>
    </w:p>
    <w:p w14:paraId="7DC5996B" w14:textId="77777777" w:rsidR="00203316" w:rsidRDefault="00203316" w:rsidP="00203316">
      <w:pPr>
        <w:jc w:val="both"/>
      </w:pPr>
    </w:p>
    <w:p w14:paraId="209B8B7E" w14:textId="77777777" w:rsidR="00203316" w:rsidRDefault="00203316" w:rsidP="00203316">
      <w:pPr>
        <w:jc w:val="both"/>
      </w:pPr>
      <w:proofErr w:type="spellStart"/>
      <w:r>
        <w:t>Listyorina</w:t>
      </w:r>
      <w:proofErr w:type="spellEnd"/>
      <w:r>
        <w:t xml:space="preserve">, </w:t>
      </w:r>
      <w:proofErr w:type="spellStart"/>
      <w:r>
        <w:t>Widati</w:t>
      </w:r>
      <w:proofErr w:type="spellEnd"/>
      <w:r>
        <w:t xml:space="preserve">, and </w:t>
      </w:r>
      <w:proofErr w:type="spellStart"/>
      <w:r>
        <w:t>Septy</w:t>
      </w:r>
      <w:proofErr w:type="spellEnd"/>
      <w:r>
        <w:t xml:space="preserve">. (2008). Factors Influencing Time Span for Financial Report Presentation: An Empirical Study of LQ45 Companies Listed on the Indonesia Stock Exchange. </w:t>
      </w:r>
      <w:proofErr w:type="spellStart"/>
      <w:r>
        <w:t>Fokus</w:t>
      </w:r>
      <w:proofErr w:type="spellEnd"/>
      <w:r>
        <w:t xml:space="preserve"> </w:t>
      </w:r>
      <w:proofErr w:type="spellStart"/>
      <w:r>
        <w:t>Ekonomi</w:t>
      </w:r>
      <w:proofErr w:type="spellEnd"/>
      <w:r>
        <w:t xml:space="preserve"> (FE), 173-187, ISSN: 1412-3851.</w:t>
      </w:r>
    </w:p>
    <w:p w14:paraId="0A4330BA" w14:textId="77777777" w:rsidR="00203316" w:rsidRDefault="00203316" w:rsidP="00203316">
      <w:pPr>
        <w:jc w:val="both"/>
      </w:pPr>
    </w:p>
    <w:p w14:paraId="4EB0FBC7" w14:textId="77777777" w:rsidR="00203316" w:rsidRDefault="00203316" w:rsidP="00203316">
      <w:pPr>
        <w:jc w:val="both"/>
      </w:pPr>
      <w:proofErr w:type="spellStart"/>
      <w:r>
        <w:t>Nurmiati</w:t>
      </w:r>
      <w:proofErr w:type="spellEnd"/>
      <w:r>
        <w:t>. (2016). Factors Influencing Reporting Timeliness. Journal of Economics and Management, 13.</w:t>
      </w:r>
    </w:p>
    <w:p w14:paraId="76B7E193" w14:textId="77777777" w:rsidR="00203316" w:rsidRDefault="00203316" w:rsidP="00203316">
      <w:pPr>
        <w:jc w:val="both"/>
      </w:pPr>
    </w:p>
    <w:p w14:paraId="0755ADE8" w14:textId="77777777" w:rsidR="00203316" w:rsidRDefault="00203316" w:rsidP="00203316">
      <w:pPr>
        <w:jc w:val="both"/>
      </w:pPr>
      <w:r>
        <w:t>Nini. (2022). THE EFFECT OF CAPITAL STRUCTURE AND COMPANY SIZE ON COMPANY PERFORMANCE. Journal of Innovation Research and Knowledge.</w:t>
      </w:r>
    </w:p>
    <w:p w14:paraId="7CFD472A" w14:textId="77777777" w:rsidR="00203316" w:rsidRDefault="00203316" w:rsidP="00203316">
      <w:pPr>
        <w:jc w:val="both"/>
      </w:pPr>
    </w:p>
    <w:p w14:paraId="1BA004B4" w14:textId="77777777" w:rsidR="00203316" w:rsidRDefault="00203316" w:rsidP="00203316">
      <w:pPr>
        <w:jc w:val="both"/>
      </w:pPr>
      <w:proofErr w:type="spellStart"/>
      <w:r>
        <w:t>Nurmiati</w:t>
      </w:r>
      <w:proofErr w:type="spellEnd"/>
      <w:r>
        <w:t>. (2016). Factors Influencing Financial Reporting Timeliness. Journal of Economics and Management, 13. ISSN-P 1907-3011.</w:t>
      </w:r>
    </w:p>
    <w:p w14:paraId="64E13D56" w14:textId="77777777" w:rsidR="00203316" w:rsidRDefault="00203316" w:rsidP="00203316">
      <w:pPr>
        <w:jc w:val="both"/>
      </w:pPr>
    </w:p>
    <w:p w14:paraId="2FFB052E" w14:textId="77777777" w:rsidR="00203316" w:rsidRDefault="00203316" w:rsidP="00203316">
      <w:pPr>
        <w:jc w:val="both"/>
      </w:pPr>
      <w:proofErr w:type="spellStart"/>
      <w:r>
        <w:t>Pristiwantiyasih</w:t>
      </w:r>
      <w:proofErr w:type="spellEnd"/>
      <w:r>
        <w:t>, P. (2021). The Effect of Profitability, Liquidity, Capital Structure, and Auditor Quality on the Timeliness of Financial Report Submission. Economics, Finance, Investment, and Sharia (EQUITY), 3(2), 239-246. https://doi.org/10.47065/ekuitas.v3i2.783</w:t>
      </w:r>
    </w:p>
    <w:p w14:paraId="4C026FA1" w14:textId="77777777" w:rsidR="00203316" w:rsidRDefault="00203316" w:rsidP="00203316">
      <w:pPr>
        <w:jc w:val="both"/>
      </w:pPr>
    </w:p>
    <w:p w14:paraId="14815CFE" w14:textId="77777777" w:rsidR="00203316" w:rsidRDefault="00203316" w:rsidP="00203316">
      <w:pPr>
        <w:jc w:val="both"/>
      </w:pPr>
      <w:r>
        <w:t xml:space="preserve">Rahmawati, E., and N. </w:t>
      </w:r>
      <w:proofErr w:type="spellStart"/>
      <w:r>
        <w:t>Khoiriawati</w:t>
      </w:r>
      <w:proofErr w:type="spellEnd"/>
      <w:r>
        <w:t>. (2022). The Effect of Liquidity, Profitability, Leverage, and Company Age on the Timeliness of Financial Report Submission of Banking Companies on the Indonesia Stock Exchange (IDX) for the 2018-2020 Period. JAE (JOURNAL OF ACCOUNTING AND ECONOMICS), 7 (3), pp. 108-22, doi:10.29407/jae.v7i3.18375.</w:t>
      </w:r>
    </w:p>
    <w:p w14:paraId="41D92629" w14:textId="77777777" w:rsidR="00203316" w:rsidRDefault="00203316" w:rsidP="00203316">
      <w:pPr>
        <w:jc w:val="both"/>
      </w:pPr>
      <w:proofErr w:type="spellStart"/>
      <w:r>
        <w:t>Suwardjono</w:t>
      </w:r>
      <w:proofErr w:type="spellEnd"/>
      <w:r>
        <w:t>. (2011). Accounting Theory for Financial Reporting Engineering. Yogyakarta: BPFE.</w:t>
      </w:r>
    </w:p>
    <w:p w14:paraId="4299BAFA" w14:textId="77777777" w:rsidR="00203316" w:rsidRDefault="00203316" w:rsidP="00203316">
      <w:pPr>
        <w:jc w:val="both"/>
      </w:pPr>
    </w:p>
    <w:p w14:paraId="56740A28" w14:textId="1EA6D89F" w:rsidR="00F3401C" w:rsidRPr="00F3401C" w:rsidRDefault="00203316" w:rsidP="00203316">
      <w:pPr>
        <w:jc w:val="both"/>
        <w:rPr>
          <w:rFonts w:eastAsia="Calibri"/>
          <w:noProof/>
        </w:rPr>
      </w:pPr>
      <w:r>
        <w:lastRenderedPageBreak/>
        <w:t xml:space="preserve">Sa'adah, L., and E. </w:t>
      </w:r>
      <w:proofErr w:type="spellStart"/>
      <w:r>
        <w:t>Sudiarto</w:t>
      </w:r>
      <w:proofErr w:type="spellEnd"/>
      <w:r>
        <w:t>. (2022). The Effect of Corporate Social Responsibility on Company Financial Performance with Company Size as a Moderating Variable. Journal of Aerospace Management.</w:t>
      </w:r>
    </w:p>
    <w:p w14:paraId="3CB681B7"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409B1383"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18484DC0" w14:textId="77777777" w:rsidR="00F3401C" w:rsidRPr="00F3401C" w:rsidRDefault="00F3401C" w:rsidP="00F3401C">
      <w:pPr>
        <w:spacing w:after="160" w:line="480" w:lineRule="auto"/>
        <w:ind w:left="720"/>
        <w:contextualSpacing/>
        <w:jc w:val="both"/>
        <w:rPr>
          <w:rFonts w:ascii="Times New Roman" w:eastAsia="Calibri" w:hAnsi="Times New Roman"/>
          <w:sz w:val="24"/>
          <w:szCs w:val="24"/>
        </w:rPr>
      </w:pPr>
    </w:p>
    <w:p w14:paraId="28DB8B54" w14:textId="77777777" w:rsidR="00F3401C" w:rsidRPr="00F3401C" w:rsidRDefault="00F3401C" w:rsidP="00F3401C">
      <w:pPr>
        <w:jc w:val="both"/>
      </w:pPr>
    </w:p>
    <w:p w14:paraId="097CE16C" w14:textId="77777777" w:rsidR="003F6B44" w:rsidRPr="00315186" w:rsidRDefault="003F6B44" w:rsidP="00441B6F"/>
    <w:p w14:paraId="16E09FCA" w14:textId="77777777" w:rsidR="00315186" w:rsidRPr="00315186" w:rsidRDefault="00315186" w:rsidP="00441B6F"/>
    <w:commentRangeEnd w:id="18"/>
    <w:p w14:paraId="425EBAA9" w14:textId="082D4F3C" w:rsidR="004D4277" w:rsidRPr="00FB3A86" w:rsidRDefault="003029C5" w:rsidP="00441B6F">
      <w:pPr>
        <w:pStyle w:val="Appendix"/>
        <w:spacing w:after="0"/>
        <w:jc w:val="both"/>
        <w:rPr>
          <w:rFonts w:ascii="Arial" w:hAnsi="Arial" w:cs="Arial"/>
          <w:b w:val="0"/>
        </w:rPr>
        <w:sectPr w:rsidR="004D4277" w:rsidRPr="00FB3A86" w:rsidSect="008C7AE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Pr>
          <w:rStyle w:val="CommentReference"/>
          <w:rFonts w:ascii="Times New Roman" w:hAnsi="Times New Roman"/>
          <w:b w:val="0"/>
          <w:caps w:val="0"/>
          <w:lang w:val="nb-NO" w:eastAsia="nb-NO"/>
        </w:rPr>
        <w:commentReference w:id="18"/>
      </w:r>
    </w:p>
    <w:p w14:paraId="472BBAAA" w14:textId="77777777" w:rsidR="00B01FCD" w:rsidRPr="00FB3A86" w:rsidRDefault="00B01FCD" w:rsidP="00441B6F">
      <w:pPr>
        <w:pStyle w:val="Appendix"/>
        <w:spacing w:after="0"/>
        <w:jc w:val="both"/>
        <w:rPr>
          <w:rFonts w:ascii="Arial" w:hAnsi="Arial" w:cs="Arial"/>
          <w:b w:val="0"/>
        </w:rPr>
      </w:pPr>
    </w:p>
    <w:sectPr w:rsidR="00B01FCD" w:rsidRPr="00FB3A86" w:rsidSect="008C7AE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H CONSULTING LTD" w:date="2025-09-05T10:30:00Z" w:initials="ACL">
    <w:p w14:paraId="4FDBBB8E" w14:textId="0B611170" w:rsidR="00305B5E" w:rsidRDefault="00305B5E">
      <w:pPr>
        <w:pStyle w:val="CommentText"/>
      </w:pPr>
      <w:r>
        <w:rPr>
          <w:rStyle w:val="CommentReference"/>
        </w:rPr>
        <w:annotationRef/>
      </w:r>
      <w:r>
        <w:t xml:space="preserve">The title could be ssummarised ass «Firm characteristics and capital sstructure on Financial reporting:The mediating effect of financial performance in Indonessian listed food and beverage firmss (2019-2022) </w:t>
      </w:r>
    </w:p>
  </w:comment>
  <w:comment w:id="1" w:author="ASH CONSULTING LTD" w:date="2025-09-05T10:34:00Z" w:initials="ACL">
    <w:p w14:paraId="25E6BAC6" w14:textId="728CD3E6" w:rsidR="00305B5E" w:rsidRDefault="00305B5E">
      <w:pPr>
        <w:pStyle w:val="CommentText"/>
      </w:pPr>
      <w:r>
        <w:rPr>
          <w:rStyle w:val="CommentReference"/>
        </w:rPr>
        <w:annotationRef/>
      </w:r>
      <w:r>
        <w:t>Timelinesss has been define in its content</w:t>
      </w:r>
    </w:p>
  </w:comment>
  <w:comment w:id="5" w:author="ASH CONSULTING LTD" w:date="2025-09-05T10:37:00Z" w:initials="ACL">
    <w:p w14:paraId="1FAA11A6" w14:textId="5A73C0C7" w:rsidR="00305B5E" w:rsidRDefault="00305B5E">
      <w:pPr>
        <w:pStyle w:val="CommentText"/>
      </w:pPr>
      <w:r>
        <w:rPr>
          <w:rStyle w:val="CommentReference"/>
        </w:rPr>
        <w:annotationRef/>
      </w:r>
    </w:p>
  </w:comment>
  <w:comment w:id="4" w:author="ASH CONSULTING LTD" w:date="2025-09-05T10:40:00Z" w:initials="ACL">
    <w:p w14:paraId="0DA3953F" w14:textId="626481A5" w:rsidR="00526D38" w:rsidRDefault="00526D38">
      <w:pPr>
        <w:pStyle w:val="CommentText"/>
      </w:pPr>
      <w:r>
        <w:rPr>
          <w:rStyle w:val="CommentReference"/>
        </w:rPr>
        <w:annotationRef/>
      </w:r>
      <w:r>
        <w:t>SHOULD BE BLOCK</w:t>
      </w:r>
    </w:p>
  </w:comment>
  <w:comment w:id="3" w:author="ASH CONSULTING LTD" w:date="2025-09-05T10:37:00Z" w:initials="ACL">
    <w:p w14:paraId="486529FB" w14:textId="2EDB1322" w:rsidR="00305B5E" w:rsidRDefault="00305B5E">
      <w:pPr>
        <w:pStyle w:val="CommentText"/>
      </w:pPr>
      <w:r>
        <w:rPr>
          <w:rStyle w:val="CommentReference"/>
        </w:rPr>
        <w:annotationRef/>
      </w:r>
      <w:r>
        <w:t>Abstract should con</w:t>
      </w:r>
      <w:r w:rsidR="00697B8E">
        <w:t>t</w:t>
      </w:r>
      <w:r>
        <w:t>ain:</w:t>
      </w:r>
    </w:p>
    <w:p w14:paraId="15AB5BC8" w14:textId="77777777" w:rsidR="00305B5E" w:rsidRDefault="00305B5E">
      <w:pPr>
        <w:pStyle w:val="CommentText"/>
      </w:pPr>
      <w:r>
        <w:t>-background,</w:t>
      </w:r>
    </w:p>
    <w:p w14:paraId="2F28DFA1" w14:textId="77777777" w:rsidR="00305B5E" w:rsidRDefault="00305B5E">
      <w:pPr>
        <w:pStyle w:val="CommentText"/>
      </w:pPr>
      <w:r>
        <w:t>Ressearch question</w:t>
      </w:r>
    </w:p>
    <w:p w14:paraId="4FE36910" w14:textId="18C54EB0" w:rsidR="00305B5E" w:rsidRDefault="00526D38">
      <w:pPr>
        <w:pStyle w:val="CommentText"/>
      </w:pPr>
      <w:r>
        <w:t>Methodology</w:t>
      </w:r>
    </w:p>
    <w:p w14:paraId="1F02984C" w14:textId="77777777" w:rsidR="00526D38" w:rsidRDefault="00526D38">
      <w:pPr>
        <w:pStyle w:val="CommentText"/>
      </w:pPr>
      <w:r>
        <w:t>Main findings</w:t>
      </w:r>
    </w:p>
    <w:p w14:paraId="1226789A" w14:textId="77777777" w:rsidR="00526D38" w:rsidRDefault="00526D38">
      <w:pPr>
        <w:pStyle w:val="CommentText"/>
      </w:pPr>
      <w:r>
        <w:t>Conclusion and,</w:t>
      </w:r>
    </w:p>
    <w:p w14:paraId="4EF2190F" w14:textId="77777777" w:rsidR="00526D38" w:rsidRDefault="00526D38">
      <w:pPr>
        <w:pStyle w:val="CommentText"/>
      </w:pPr>
      <w:r>
        <w:t>Keywords.</w:t>
      </w:r>
    </w:p>
    <w:p w14:paraId="0D4291E9" w14:textId="38B833AF" w:rsidR="00526D38" w:rsidRDefault="00526D38">
      <w:pPr>
        <w:pStyle w:val="CommentText"/>
      </w:pPr>
      <w:r>
        <w:t>Adjust and words count should range between 150-250</w:t>
      </w:r>
    </w:p>
  </w:comment>
  <w:comment w:id="7" w:author="ASH CONSULTING LTD" w:date="2025-09-05T10:44:00Z" w:initials="ACL">
    <w:p w14:paraId="0773BBDF" w14:textId="28BAD256" w:rsidR="00526D38" w:rsidRDefault="00526D38">
      <w:pPr>
        <w:pStyle w:val="CommentText"/>
      </w:pPr>
      <w:r>
        <w:rPr>
          <w:rStyle w:val="CommentReference"/>
        </w:rPr>
        <w:annotationRef/>
      </w:r>
      <w:r>
        <w:t>Citations are not recent. Please make used of recent articles and establish a gap</w:t>
      </w:r>
    </w:p>
  </w:comment>
  <w:comment w:id="6" w:author="ASH CONSULTING LTD" w:date="2025-09-05T10:42:00Z" w:initials="ACL">
    <w:p w14:paraId="72BD71F0" w14:textId="7837959E" w:rsidR="00526D38" w:rsidRDefault="00526D38">
      <w:pPr>
        <w:pStyle w:val="CommentText"/>
      </w:pPr>
      <w:r>
        <w:rPr>
          <w:rStyle w:val="CommentReference"/>
        </w:rPr>
        <w:annotationRef/>
      </w:r>
      <w:r>
        <w:t>Problem statement is very weak and please establish a gap</w:t>
      </w:r>
    </w:p>
  </w:comment>
  <w:comment w:id="8" w:author="ASH CONSULTING LTD" w:date="2025-09-05T10:59:00Z" w:initials="ACL">
    <w:p w14:paraId="31159382" w14:textId="15D7033D" w:rsidR="003029C5" w:rsidRDefault="003029C5">
      <w:pPr>
        <w:pStyle w:val="CommentText"/>
      </w:pPr>
      <w:r>
        <w:rPr>
          <w:rStyle w:val="CommentReference"/>
        </w:rPr>
        <w:annotationRef/>
      </w:r>
      <w:r>
        <w:t>How will company size be captured on the meassuring instrument</w:t>
      </w:r>
    </w:p>
  </w:comment>
  <w:comment w:id="9" w:author="ASH CONSULTING LTD" w:date="2025-09-05T11:00:00Z" w:initials="ACL">
    <w:p w14:paraId="74A3F4C7" w14:textId="7EE42CE3" w:rsidR="003029C5" w:rsidRDefault="003029C5">
      <w:pPr>
        <w:pStyle w:val="CommentText"/>
      </w:pPr>
      <w:r>
        <w:rPr>
          <w:rStyle w:val="CommentReference"/>
        </w:rPr>
        <w:annotationRef/>
      </w:r>
      <w:r>
        <w:t>How will company age and capital sstructure be captured</w:t>
      </w:r>
    </w:p>
  </w:comment>
  <w:comment w:id="10" w:author="ASH CONSULTING LTD" w:date="2025-09-05T11:01:00Z" w:initials="ACL">
    <w:p w14:paraId="129AED6A" w14:textId="292BC21A" w:rsidR="003029C5" w:rsidRDefault="003029C5">
      <w:pPr>
        <w:pStyle w:val="CommentText"/>
      </w:pPr>
      <w:r>
        <w:rPr>
          <w:rStyle w:val="CommentReference"/>
        </w:rPr>
        <w:annotationRef/>
      </w:r>
      <w:r>
        <w:t>How did the researcher measure financial performance</w:t>
      </w:r>
    </w:p>
  </w:comment>
  <w:comment w:id="11" w:author="ASH CONSULTING LTD" w:date="2025-09-05T11:02:00Z" w:initials="ACL">
    <w:p w14:paraId="0EC21F5D" w14:textId="7B6A83B3" w:rsidR="003029C5" w:rsidRDefault="003029C5">
      <w:pPr>
        <w:pStyle w:val="CommentText"/>
      </w:pPr>
      <w:r>
        <w:rPr>
          <w:rStyle w:val="CommentReference"/>
        </w:rPr>
        <w:annotationRef/>
      </w:r>
      <w:r>
        <w:t>Gap is not strong enough. Exploit more articles to identify your gap</w:t>
      </w:r>
    </w:p>
  </w:comment>
  <w:comment w:id="12" w:author="ASH CONSULTING LTD" w:date="2025-09-05T10:47:00Z" w:initials="ACL">
    <w:p w14:paraId="2223F194" w14:textId="5587F711" w:rsidR="00526D38" w:rsidRDefault="00526D38">
      <w:pPr>
        <w:pStyle w:val="CommentText"/>
      </w:pPr>
      <w:r>
        <w:rPr>
          <w:rStyle w:val="CommentReference"/>
        </w:rPr>
        <w:annotationRef/>
      </w:r>
      <w:r>
        <w:t>Either state your hypothesiss in NULL or ALTERNATE. H3 is stated in itss negative form</w:t>
      </w:r>
    </w:p>
  </w:comment>
  <w:comment w:id="13" w:author="ASH CONSULTING LTD" w:date="2025-09-05T10:49:00Z" w:initials="ACL">
    <w:p w14:paraId="2599F004" w14:textId="77777777" w:rsidR="00DE08A8" w:rsidRDefault="00DE08A8">
      <w:pPr>
        <w:pStyle w:val="CommentText"/>
      </w:pPr>
      <w:r>
        <w:rPr>
          <w:rStyle w:val="CommentReference"/>
        </w:rPr>
        <w:annotationRef/>
      </w:r>
      <w:r>
        <w:t>Thiss work is anchored on which theory(ies)?</w:t>
      </w:r>
    </w:p>
    <w:p w14:paraId="55CB95C7" w14:textId="1D998493" w:rsidR="00DE08A8" w:rsidRDefault="00DE08A8">
      <w:pPr>
        <w:pStyle w:val="CommentText"/>
      </w:pPr>
    </w:p>
  </w:comment>
  <w:comment w:id="14" w:author="ASH CONSULTING LTD" w:date="2025-09-05T10:50:00Z" w:initials="ACL">
    <w:p w14:paraId="257FBAF2" w14:textId="445890EE" w:rsidR="00DE08A8" w:rsidRDefault="00DE08A8">
      <w:pPr>
        <w:pStyle w:val="CommentText"/>
      </w:pPr>
      <w:r>
        <w:rPr>
          <w:rStyle w:val="CommentReference"/>
        </w:rPr>
        <w:annotationRef/>
      </w:r>
      <w:r>
        <w:t>STATE SSUPPORTING THEORY</w:t>
      </w:r>
    </w:p>
  </w:comment>
  <w:comment w:id="15" w:author="ASH CONSULTING LTD" w:date="2025-09-05T10:56:00Z" w:initials="ACL">
    <w:p w14:paraId="350AEAFE" w14:textId="062E0D1C" w:rsidR="00D65986" w:rsidRDefault="00D65986">
      <w:pPr>
        <w:pStyle w:val="CommentText"/>
      </w:pPr>
      <w:r>
        <w:rPr>
          <w:rStyle w:val="CommentReference"/>
        </w:rPr>
        <w:annotationRef/>
      </w:r>
      <w:r>
        <w:t>Insert table of  summary of the 10 HYPOTHESIS</w:t>
      </w:r>
    </w:p>
  </w:comment>
  <w:comment w:id="17" w:author="ASH CONSULTING LTD" w:date="2025-09-05T11:19:00Z" w:initials="ACL">
    <w:p w14:paraId="505765FD" w14:textId="7A351D41" w:rsidR="00697B8E" w:rsidRDefault="00697B8E">
      <w:pPr>
        <w:pStyle w:val="CommentText"/>
      </w:pPr>
      <w:r>
        <w:rPr>
          <w:rStyle w:val="CommentReference"/>
        </w:rPr>
        <w:annotationRef/>
      </w:r>
      <w:r>
        <w:t xml:space="preserve">Ensure </w:t>
      </w:r>
    </w:p>
  </w:comment>
  <w:comment w:id="18" w:author="ASH CONSULTING LTD" w:date="2025-09-05T11:05:00Z" w:initials="ACL">
    <w:p w14:paraId="404B728C" w14:textId="65E352FA" w:rsidR="003029C5" w:rsidRDefault="003029C5">
      <w:pPr>
        <w:pStyle w:val="CommentText"/>
      </w:pPr>
      <w:r>
        <w:rPr>
          <w:rStyle w:val="CommentReference"/>
        </w:rPr>
        <w:annotationRef/>
      </w:r>
      <w:r>
        <w:t>Be coherent and better to use APA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BBB8E" w15:done="0"/>
  <w15:commentEx w15:paraId="25E6BAC6" w15:paraIdParent="4FDBBB8E" w15:done="0"/>
  <w15:commentEx w15:paraId="1FAA11A6" w15:done="0"/>
  <w15:commentEx w15:paraId="0DA3953F" w15:done="0"/>
  <w15:commentEx w15:paraId="0D4291E9" w15:done="0"/>
  <w15:commentEx w15:paraId="0773BBDF" w15:done="0"/>
  <w15:commentEx w15:paraId="72BD71F0" w15:done="0"/>
  <w15:commentEx w15:paraId="31159382" w15:done="0"/>
  <w15:commentEx w15:paraId="74A3F4C7" w15:done="0"/>
  <w15:commentEx w15:paraId="129AED6A" w15:done="0"/>
  <w15:commentEx w15:paraId="0EC21F5D" w15:done="0"/>
  <w15:commentEx w15:paraId="2223F194" w15:done="0"/>
  <w15:commentEx w15:paraId="55CB95C7" w15:done="0"/>
  <w15:commentEx w15:paraId="257FBAF2" w15:paraIdParent="55CB95C7" w15:done="0"/>
  <w15:commentEx w15:paraId="350AEAFE" w15:done="0"/>
  <w15:commentEx w15:paraId="505765FD" w15:done="0"/>
  <w15:commentEx w15:paraId="404B72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83C19" w14:textId="77777777" w:rsidR="006D1AA6" w:rsidRDefault="006D1AA6" w:rsidP="00C37E61">
      <w:r>
        <w:separator/>
      </w:r>
    </w:p>
  </w:endnote>
  <w:endnote w:type="continuationSeparator" w:id="0">
    <w:p w14:paraId="0E581584" w14:textId="77777777" w:rsidR="006D1AA6" w:rsidRDefault="006D1A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8A18" w14:textId="77777777" w:rsidR="008C7AEE" w:rsidRDefault="008C7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C772" w14:textId="77777777" w:rsidR="008C7AEE" w:rsidRDefault="008C7A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3F018" w14:textId="75B977C1" w:rsidR="00754C9A" w:rsidRPr="008C7AEE" w:rsidRDefault="00754C9A" w:rsidP="008C7A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304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1F060" w14:textId="77777777" w:rsidR="006D1AA6" w:rsidRDefault="006D1AA6" w:rsidP="00C37E61">
      <w:r>
        <w:separator/>
      </w:r>
    </w:p>
  </w:footnote>
  <w:footnote w:type="continuationSeparator" w:id="0">
    <w:p w14:paraId="0C2E8CF3" w14:textId="77777777" w:rsidR="006D1AA6" w:rsidRDefault="006D1AA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BABE" w14:textId="4D8568C9" w:rsidR="008C7AEE" w:rsidRDefault="006D1AA6">
    <w:pPr>
      <w:pStyle w:val="Header"/>
    </w:pPr>
    <w:r>
      <w:rPr>
        <w:noProof/>
      </w:rPr>
      <w:pict w14:anchorId="1835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E520" w14:textId="2D377689" w:rsidR="008C7AEE" w:rsidRDefault="006D1AA6">
    <w:pPr>
      <w:pStyle w:val="Header"/>
    </w:pPr>
    <w:r>
      <w:rPr>
        <w:noProof/>
      </w:rPr>
      <w:pict w14:anchorId="63E6E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A5C1" w14:textId="4A6DC9B8" w:rsidR="00296529" w:rsidRPr="00296529" w:rsidRDefault="006D1AA6" w:rsidP="00296529">
    <w:pPr>
      <w:ind w:left="2160"/>
      <w:jc w:val="center"/>
      <w:rPr>
        <w:rFonts w:ascii="Times New Roman" w:eastAsia="Calibri" w:hAnsi="Times New Roman"/>
        <w:i/>
        <w:sz w:val="18"/>
        <w:szCs w:val="22"/>
      </w:rPr>
    </w:pPr>
    <w:r>
      <w:rPr>
        <w:noProof/>
      </w:rPr>
      <w:pict w14:anchorId="6C2B0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69C1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402D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1BBA7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CE2B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79A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BFC43D"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FC302" w14:textId="3759EC2A" w:rsidR="008C7AEE" w:rsidRDefault="006D1AA6">
    <w:pPr>
      <w:pStyle w:val="Header"/>
    </w:pPr>
    <w:r>
      <w:rPr>
        <w:noProof/>
      </w:rPr>
      <w:pict w14:anchorId="1FB9D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05D46" w14:textId="202F3CD6" w:rsidR="008C7AEE" w:rsidRDefault="006D1AA6">
    <w:pPr>
      <w:pStyle w:val="Header"/>
    </w:pPr>
    <w:r>
      <w:rPr>
        <w:noProof/>
      </w:rPr>
      <w:pict w14:anchorId="2C8FB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F6510" w14:textId="0044F72A" w:rsidR="008C7AEE" w:rsidRDefault="006D1AA6">
    <w:pPr>
      <w:pStyle w:val="Header"/>
    </w:pPr>
    <w:r>
      <w:rPr>
        <w:noProof/>
      </w:rPr>
      <w:pict w14:anchorId="7876C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83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94304C"/>
    <w:multiLevelType w:val="multilevel"/>
    <w:tmpl w:val="2DA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ED4266"/>
    <w:multiLevelType w:val="multilevel"/>
    <w:tmpl w:val="F5F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27E32"/>
    <w:multiLevelType w:val="multilevel"/>
    <w:tmpl w:val="3292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EE44D8"/>
    <w:multiLevelType w:val="multilevel"/>
    <w:tmpl w:val="9300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101990"/>
    <w:multiLevelType w:val="multilevel"/>
    <w:tmpl w:val="9A1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22642"/>
    <w:multiLevelType w:val="multilevel"/>
    <w:tmpl w:val="B13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41879"/>
    <w:multiLevelType w:val="multilevel"/>
    <w:tmpl w:val="32C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8"/>
  </w:num>
  <w:num w:numId="19">
    <w:abstractNumId w:val="35"/>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2"/>
  </w:num>
  <w:num w:numId="31">
    <w:abstractNumId w:val="34"/>
  </w:num>
  <w:num w:numId="32">
    <w:abstractNumId w:val="33"/>
  </w:num>
  <w:num w:numId="33">
    <w:abstractNumId w:val="8"/>
  </w:num>
  <w:num w:numId="34">
    <w:abstractNumId w:val="6"/>
  </w:num>
  <w:num w:numId="35">
    <w:abstractNumId w:val="20"/>
  </w:num>
  <w:num w:numId="36">
    <w:abstractNumId w:val="17"/>
  </w:num>
  <w:num w:numId="3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H CONSULTING LTD">
    <w15:presenceInfo w15:providerId="None" w15:userId="ASH CONSULTING L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S0MDEyMjO0NDI2NTVQ0lEKTi0uzszPAykwrAUAXKCRICwAAAA="/>
  </w:docVars>
  <w:rsids>
    <w:rsidRoot w:val="00AA6219"/>
    <w:rsid w:val="00000F8F"/>
    <w:rsid w:val="00030174"/>
    <w:rsid w:val="0004579C"/>
    <w:rsid w:val="00066F3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7E56"/>
    <w:rsid w:val="001B0427"/>
    <w:rsid w:val="001D3A51"/>
    <w:rsid w:val="001E10D2"/>
    <w:rsid w:val="001E25B4"/>
    <w:rsid w:val="001E44FE"/>
    <w:rsid w:val="00200595"/>
    <w:rsid w:val="00203316"/>
    <w:rsid w:val="00204835"/>
    <w:rsid w:val="00231920"/>
    <w:rsid w:val="0023195C"/>
    <w:rsid w:val="0024282C"/>
    <w:rsid w:val="002460DC"/>
    <w:rsid w:val="002464E3"/>
    <w:rsid w:val="00250985"/>
    <w:rsid w:val="002556F6"/>
    <w:rsid w:val="00283105"/>
    <w:rsid w:val="00284C4C"/>
    <w:rsid w:val="00287E68"/>
    <w:rsid w:val="00296529"/>
    <w:rsid w:val="002A0434"/>
    <w:rsid w:val="002B27FB"/>
    <w:rsid w:val="002B685A"/>
    <w:rsid w:val="002C57D2"/>
    <w:rsid w:val="002E0D56"/>
    <w:rsid w:val="003029C5"/>
    <w:rsid w:val="00305B5E"/>
    <w:rsid w:val="00315186"/>
    <w:rsid w:val="00321448"/>
    <w:rsid w:val="00326AC3"/>
    <w:rsid w:val="0033343E"/>
    <w:rsid w:val="003512C2"/>
    <w:rsid w:val="0035704C"/>
    <w:rsid w:val="00371FB6"/>
    <w:rsid w:val="003763C1"/>
    <w:rsid w:val="00376BBE"/>
    <w:rsid w:val="0039224F"/>
    <w:rsid w:val="003A43A4"/>
    <w:rsid w:val="003A7E18"/>
    <w:rsid w:val="003C4C86"/>
    <w:rsid w:val="003C6258"/>
    <w:rsid w:val="003C70F0"/>
    <w:rsid w:val="003E2904"/>
    <w:rsid w:val="003F4AC6"/>
    <w:rsid w:val="003F6B44"/>
    <w:rsid w:val="00401927"/>
    <w:rsid w:val="0041027F"/>
    <w:rsid w:val="00412475"/>
    <w:rsid w:val="00423789"/>
    <w:rsid w:val="00440F43"/>
    <w:rsid w:val="00441B6F"/>
    <w:rsid w:val="00446221"/>
    <w:rsid w:val="00450E62"/>
    <w:rsid w:val="004539DB"/>
    <w:rsid w:val="00471A80"/>
    <w:rsid w:val="0048545E"/>
    <w:rsid w:val="004C11BD"/>
    <w:rsid w:val="004D305E"/>
    <w:rsid w:val="004D4277"/>
    <w:rsid w:val="00502516"/>
    <w:rsid w:val="00505F06"/>
    <w:rsid w:val="00506828"/>
    <w:rsid w:val="00526D38"/>
    <w:rsid w:val="0053056E"/>
    <w:rsid w:val="0053653B"/>
    <w:rsid w:val="00554FDA"/>
    <w:rsid w:val="005A5318"/>
    <w:rsid w:val="005C784C"/>
    <w:rsid w:val="005D17F6"/>
    <w:rsid w:val="005E5539"/>
    <w:rsid w:val="00602BF5"/>
    <w:rsid w:val="00603965"/>
    <w:rsid w:val="00617FDD"/>
    <w:rsid w:val="00633614"/>
    <w:rsid w:val="00633F68"/>
    <w:rsid w:val="00636EB2"/>
    <w:rsid w:val="006375B8"/>
    <w:rsid w:val="0066510A"/>
    <w:rsid w:val="00673F9F"/>
    <w:rsid w:val="00686953"/>
    <w:rsid w:val="00687DEA"/>
    <w:rsid w:val="00687E67"/>
    <w:rsid w:val="006917D9"/>
    <w:rsid w:val="006967F7"/>
    <w:rsid w:val="00697B8E"/>
    <w:rsid w:val="006A250C"/>
    <w:rsid w:val="006B21D3"/>
    <w:rsid w:val="006B57D0"/>
    <w:rsid w:val="006D1AA6"/>
    <w:rsid w:val="006D30FF"/>
    <w:rsid w:val="006D6940"/>
    <w:rsid w:val="006F11EC"/>
    <w:rsid w:val="0070082C"/>
    <w:rsid w:val="007369E6"/>
    <w:rsid w:val="007469B8"/>
    <w:rsid w:val="00746E59"/>
    <w:rsid w:val="00754C9A"/>
    <w:rsid w:val="0075599A"/>
    <w:rsid w:val="00761D52"/>
    <w:rsid w:val="0077749E"/>
    <w:rsid w:val="00790ADA"/>
    <w:rsid w:val="007D1A43"/>
    <w:rsid w:val="007D2288"/>
    <w:rsid w:val="007D2AD6"/>
    <w:rsid w:val="007E088F"/>
    <w:rsid w:val="007E5DCF"/>
    <w:rsid w:val="007F7B32"/>
    <w:rsid w:val="00804BC2"/>
    <w:rsid w:val="0081431A"/>
    <w:rsid w:val="0083216F"/>
    <w:rsid w:val="00834C37"/>
    <w:rsid w:val="008354B5"/>
    <w:rsid w:val="00860000"/>
    <w:rsid w:val="00863BD3"/>
    <w:rsid w:val="008641ED"/>
    <w:rsid w:val="00866D66"/>
    <w:rsid w:val="008671C6"/>
    <w:rsid w:val="00875803"/>
    <w:rsid w:val="008B459E"/>
    <w:rsid w:val="008B7384"/>
    <w:rsid w:val="008C7AEE"/>
    <w:rsid w:val="008E13AE"/>
    <w:rsid w:val="008E1506"/>
    <w:rsid w:val="008E710C"/>
    <w:rsid w:val="008F69D6"/>
    <w:rsid w:val="0090108F"/>
    <w:rsid w:val="00902823"/>
    <w:rsid w:val="00915CA6"/>
    <w:rsid w:val="00927834"/>
    <w:rsid w:val="009500A6"/>
    <w:rsid w:val="00957C18"/>
    <w:rsid w:val="00962B6D"/>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0143"/>
    <w:rsid w:val="00A347C0"/>
    <w:rsid w:val="00A51431"/>
    <w:rsid w:val="00A539AD"/>
    <w:rsid w:val="00A94063"/>
    <w:rsid w:val="00AA6219"/>
    <w:rsid w:val="00AA74E0"/>
    <w:rsid w:val="00AB703F"/>
    <w:rsid w:val="00AC6BB8"/>
    <w:rsid w:val="00AE008F"/>
    <w:rsid w:val="00AE2092"/>
    <w:rsid w:val="00B01FCD"/>
    <w:rsid w:val="00B11B40"/>
    <w:rsid w:val="00B1776C"/>
    <w:rsid w:val="00B52583"/>
    <w:rsid w:val="00B52896"/>
    <w:rsid w:val="00B95236"/>
    <w:rsid w:val="00B96BD9"/>
    <w:rsid w:val="00BA1B01"/>
    <w:rsid w:val="00BA2641"/>
    <w:rsid w:val="00BB37AA"/>
    <w:rsid w:val="00BC53A0"/>
    <w:rsid w:val="00BD226C"/>
    <w:rsid w:val="00BE62AD"/>
    <w:rsid w:val="00BF121F"/>
    <w:rsid w:val="00BF1F80"/>
    <w:rsid w:val="00C166EF"/>
    <w:rsid w:val="00C16C99"/>
    <w:rsid w:val="00C17EB0"/>
    <w:rsid w:val="00C27F5F"/>
    <w:rsid w:val="00C30A0F"/>
    <w:rsid w:val="00C37E61"/>
    <w:rsid w:val="00C513E0"/>
    <w:rsid w:val="00C70F1B"/>
    <w:rsid w:val="00C71A47"/>
    <w:rsid w:val="00C7464C"/>
    <w:rsid w:val="00C85588"/>
    <w:rsid w:val="00CD6755"/>
    <w:rsid w:val="00CD6856"/>
    <w:rsid w:val="00CE0089"/>
    <w:rsid w:val="00CE793C"/>
    <w:rsid w:val="00CF0CC2"/>
    <w:rsid w:val="00CF193C"/>
    <w:rsid w:val="00D03C93"/>
    <w:rsid w:val="00D173F1"/>
    <w:rsid w:val="00D63B20"/>
    <w:rsid w:val="00D65986"/>
    <w:rsid w:val="00D74CB0"/>
    <w:rsid w:val="00D8295D"/>
    <w:rsid w:val="00DC2A65"/>
    <w:rsid w:val="00DE08A8"/>
    <w:rsid w:val="00DE15F0"/>
    <w:rsid w:val="00DE5663"/>
    <w:rsid w:val="00DE78AA"/>
    <w:rsid w:val="00E053D0"/>
    <w:rsid w:val="00E15994"/>
    <w:rsid w:val="00E3114E"/>
    <w:rsid w:val="00E31A70"/>
    <w:rsid w:val="00E35B02"/>
    <w:rsid w:val="00E4266B"/>
    <w:rsid w:val="00E66496"/>
    <w:rsid w:val="00E66B35"/>
    <w:rsid w:val="00E66E10"/>
    <w:rsid w:val="00E738CF"/>
    <w:rsid w:val="00E769F6"/>
    <w:rsid w:val="00E8407C"/>
    <w:rsid w:val="00E84F3C"/>
    <w:rsid w:val="00EA012C"/>
    <w:rsid w:val="00EC6A55"/>
    <w:rsid w:val="00ED0288"/>
    <w:rsid w:val="00EE52CB"/>
    <w:rsid w:val="00EF581D"/>
    <w:rsid w:val="00EF7FD8"/>
    <w:rsid w:val="00F06F59"/>
    <w:rsid w:val="00F17988"/>
    <w:rsid w:val="00F3401C"/>
    <w:rsid w:val="00F469F0"/>
    <w:rsid w:val="00F53273"/>
    <w:rsid w:val="00F755E4"/>
    <w:rsid w:val="00F77D02"/>
    <w:rsid w:val="00FB3A86"/>
    <w:rsid w:val="00FD230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344B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F6B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464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F0C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D1A43"/>
    <w:rPr>
      <w:rFonts w:ascii="Times New Roman" w:hAnsi="Times New Roman"/>
      <w:sz w:val="24"/>
      <w:szCs w:val="24"/>
    </w:rPr>
  </w:style>
  <w:style w:type="character" w:customStyle="1" w:styleId="Heading4Char">
    <w:name w:val="Heading 4 Char"/>
    <w:basedOn w:val="DefaultParagraphFont"/>
    <w:link w:val="Heading4"/>
    <w:semiHidden/>
    <w:rsid w:val="00CF0CC2"/>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semiHidden/>
    <w:rsid w:val="002464E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F6B44"/>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305B5E"/>
    <w:rPr>
      <w:rFonts w:ascii="Helvetica" w:hAnsi="Helvetica"/>
      <w:b/>
      <w:bCs/>
      <w:lang w:val="en-US" w:eastAsia="en-US"/>
    </w:rPr>
  </w:style>
  <w:style w:type="character" w:customStyle="1" w:styleId="CommentSubjectChar">
    <w:name w:val="Comment Subject Char"/>
    <w:basedOn w:val="CommentTextChar"/>
    <w:link w:val="CommentSubject"/>
    <w:semiHidden/>
    <w:rsid w:val="00305B5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470461">
      <w:bodyDiv w:val="1"/>
      <w:marLeft w:val="0"/>
      <w:marRight w:val="0"/>
      <w:marTop w:val="0"/>
      <w:marBottom w:val="0"/>
      <w:divBdr>
        <w:top w:val="none" w:sz="0" w:space="0" w:color="auto"/>
        <w:left w:val="none" w:sz="0" w:space="0" w:color="auto"/>
        <w:bottom w:val="none" w:sz="0" w:space="0" w:color="auto"/>
        <w:right w:val="none" w:sz="0" w:space="0" w:color="auto"/>
      </w:divBdr>
    </w:div>
    <w:div w:id="116066643">
      <w:bodyDiv w:val="1"/>
      <w:marLeft w:val="0"/>
      <w:marRight w:val="0"/>
      <w:marTop w:val="0"/>
      <w:marBottom w:val="0"/>
      <w:divBdr>
        <w:top w:val="none" w:sz="0" w:space="0" w:color="auto"/>
        <w:left w:val="none" w:sz="0" w:space="0" w:color="auto"/>
        <w:bottom w:val="none" w:sz="0" w:space="0" w:color="auto"/>
        <w:right w:val="none" w:sz="0" w:space="0" w:color="auto"/>
      </w:divBdr>
      <w:divsChild>
        <w:div w:id="1967538411">
          <w:marLeft w:val="0"/>
          <w:marRight w:val="0"/>
          <w:marTop w:val="0"/>
          <w:marBottom w:val="0"/>
          <w:divBdr>
            <w:top w:val="none" w:sz="0" w:space="0" w:color="auto"/>
            <w:left w:val="none" w:sz="0" w:space="0" w:color="auto"/>
            <w:bottom w:val="none" w:sz="0" w:space="0" w:color="auto"/>
            <w:right w:val="none" w:sz="0" w:space="0" w:color="auto"/>
          </w:divBdr>
          <w:divsChild>
            <w:div w:id="60058708">
              <w:marLeft w:val="0"/>
              <w:marRight w:val="0"/>
              <w:marTop w:val="0"/>
              <w:marBottom w:val="0"/>
              <w:divBdr>
                <w:top w:val="none" w:sz="0" w:space="0" w:color="auto"/>
                <w:left w:val="none" w:sz="0" w:space="0" w:color="auto"/>
                <w:bottom w:val="none" w:sz="0" w:space="0" w:color="auto"/>
                <w:right w:val="none" w:sz="0" w:space="0" w:color="auto"/>
              </w:divBdr>
              <w:divsChild>
                <w:div w:id="2024357142">
                  <w:marLeft w:val="0"/>
                  <w:marRight w:val="0"/>
                  <w:marTop w:val="0"/>
                  <w:marBottom w:val="0"/>
                  <w:divBdr>
                    <w:top w:val="none" w:sz="0" w:space="0" w:color="auto"/>
                    <w:left w:val="none" w:sz="0" w:space="0" w:color="auto"/>
                    <w:bottom w:val="none" w:sz="0" w:space="0" w:color="auto"/>
                    <w:right w:val="none" w:sz="0" w:space="0" w:color="auto"/>
                  </w:divBdr>
                  <w:divsChild>
                    <w:div w:id="14201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8781910">
      <w:bodyDiv w:val="1"/>
      <w:marLeft w:val="0"/>
      <w:marRight w:val="0"/>
      <w:marTop w:val="0"/>
      <w:marBottom w:val="0"/>
      <w:divBdr>
        <w:top w:val="none" w:sz="0" w:space="0" w:color="auto"/>
        <w:left w:val="none" w:sz="0" w:space="0" w:color="auto"/>
        <w:bottom w:val="none" w:sz="0" w:space="0" w:color="auto"/>
        <w:right w:val="none" w:sz="0" w:space="0" w:color="auto"/>
      </w:divBdr>
    </w:div>
    <w:div w:id="61363112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1877212">
      <w:bodyDiv w:val="1"/>
      <w:marLeft w:val="0"/>
      <w:marRight w:val="0"/>
      <w:marTop w:val="0"/>
      <w:marBottom w:val="0"/>
      <w:divBdr>
        <w:top w:val="none" w:sz="0" w:space="0" w:color="auto"/>
        <w:left w:val="none" w:sz="0" w:space="0" w:color="auto"/>
        <w:bottom w:val="none" w:sz="0" w:space="0" w:color="auto"/>
        <w:right w:val="none" w:sz="0" w:space="0" w:color="auto"/>
      </w:divBdr>
    </w:div>
    <w:div w:id="9561822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15142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715403">
      <w:bodyDiv w:val="1"/>
      <w:marLeft w:val="0"/>
      <w:marRight w:val="0"/>
      <w:marTop w:val="0"/>
      <w:marBottom w:val="0"/>
      <w:divBdr>
        <w:top w:val="none" w:sz="0" w:space="0" w:color="auto"/>
        <w:left w:val="none" w:sz="0" w:space="0" w:color="auto"/>
        <w:bottom w:val="none" w:sz="0" w:space="0" w:color="auto"/>
        <w:right w:val="none" w:sz="0" w:space="0" w:color="auto"/>
      </w:divBdr>
    </w:div>
    <w:div w:id="1397700970">
      <w:bodyDiv w:val="1"/>
      <w:marLeft w:val="0"/>
      <w:marRight w:val="0"/>
      <w:marTop w:val="0"/>
      <w:marBottom w:val="0"/>
      <w:divBdr>
        <w:top w:val="none" w:sz="0" w:space="0" w:color="auto"/>
        <w:left w:val="none" w:sz="0" w:space="0" w:color="auto"/>
        <w:bottom w:val="none" w:sz="0" w:space="0" w:color="auto"/>
        <w:right w:val="none" w:sz="0" w:space="0" w:color="auto"/>
      </w:divBdr>
    </w:div>
    <w:div w:id="1530412128">
      <w:bodyDiv w:val="1"/>
      <w:marLeft w:val="0"/>
      <w:marRight w:val="0"/>
      <w:marTop w:val="0"/>
      <w:marBottom w:val="0"/>
      <w:divBdr>
        <w:top w:val="none" w:sz="0" w:space="0" w:color="auto"/>
        <w:left w:val="none" w:sz="0" w:space="0" w:color="auto"/>
        <w:bottom w:val="none" w:sz="0" w:space="0" w:color="auto"/>
        <w:right w:val="none" w:sz="0" w:space="0" w:color="auto"/>
      </w:divBdr>
    </w:div>
    <w:div w:id="16959609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800754">
      <w:bodyDiv w:val="1"/>
      <w:marLeft w:val="0"/>
      <w:marRight w:val="0"/>
      <w:marTop w:val="0"/>
      <w:marBottom w:val="0"/>
      <w:divBdr>
        <w:top w:val="none" w:sz="0" w:space="0" w:color="auto"/>
        <w:left w:val="none" w:sz="0" w:space="0" w:color="auto"/>
        <w:bottom w:val="none" w:sz="0" w:space="0" w:color="auto"/>
        <w:right w:val="none" w:sz="0" w:space="0" w:color="auto"/>
      </w:divBdr>
      <w:divsChild>
        <w:div w:id="481390145">
          <w:marLeft w:val="0"/>
          <w:marRight w:val="0"/>
          <w:marTop w:val="0"/>
          <w:marBottom w:val="0"/>
          <w:divBdr>
            <w:top w:val="none" w:sz="0" w:space="0" w:color="auto"/>
            <w:left w:val="none" w:sz="0" w:space="0" w:color="auto"/>
            <w:bottom w:val="none" w:sz="0" w:space="0" w:color="auto"/>
            <w:right w:val="none" w:sz="0" w:space="0" w:color="auto"/>
          </w:divBdr>
          <w:divsChild>
            <w:div w:id="102265271">
              <w:marLeft w:val="0"/>
              <w:marRight w:val="0"/>
              <w:marTop w:val="0"/>
              <w:marBottom w:val="0"/>
              <w:divBdr>
                <w:top w:val="none" w:sz="0" w:space="0" w:color="auto"/>
                <w:left w:val="none" w:sz="0" w:space="0" w:color="auto"/>
                <w:bottom w:val="none" w:sz="0" w:space="0" w:color="auto"/>
                <w:right w:val="none" w:sz="0" w:space="0" w:color="auto"/>
              </w:divBdr>
              <w:divsChild>
                <w:div w:id="1774400699">
                  <w:marLeft w:val="0"/>
                  <w:marRight w:val="0"/>
                  <w:marTop w:val="0"/>
                  <w:marBottom w:val="0"/>
                  <w:divBdr>
                    <w:top w:val="none" w:sz="0" w:space="0" w:color="auto"/>
                    <w:left w:val="none" w:sz="0" w:space="0" w:color="auto"/>
                    <w:bottom w:val="none" w:sz="0" w:space="0" w:color="auto"/>
                    <w:right w:val="none" w:sz="0" w:space="0" w:color="auto"/>
                  </w:divBdr>
                  <w:divsChild>
                    <w:div w:id="2040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092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4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AB231-07B6-4BCF-8CA9-4E7E37A73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13</Pages>
  <Words>5043</Words>
  <Characters>27742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32720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 CONSULTING LTD</cp:lastModifiedBy>
  <cp:revision>7</cp:revision>
  <cp:lastPrinted>1999-07-06T11:00:00Z</cp:lastPrinted>
  <dcterms:created xsi:type="dcterms:W3CDTF">2025-09-05T09:30:00Z</dcterms:created>
  <dcterms:modified xsi:type="dcterms:W3CDTF">2025-09-05T10:19:00Z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3112d585-e636-49ee-bfaf-f84dc0f2654e</vt:lpwstr>
  </property>
</Properties>
</file>