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4E" w:rsidRDefault="007A6C4E" w:rsidP="00941C7F">
      <w:pPr>
        <w:spacing w:after="0" w:line="360" w:lineRule="auto"/>
        <w:jc w:val="both"/>
        <w:rPr>
          <w:rFonts w:ascii="Times New Roman" w:hAnsi="Times New Roman" w:cs="Times New Roman"/>
          <w:b/>
          <w:sz w:val="24"/>
          <w:szCs w:val="24"/>
          <w:lang w:val="en-GB"/>
        </w:rPr>
      </w:pPr>
      <w:bookmarkStart w:id="0" w:name="_GoBack"/>
      <w:bookmarkEnd w:id="0"/>
      <w:r w:rsidRPr="00941C7F">
        <w:rPr>
          <w:rFonts w:ascii="Times New Roman" w:hAnsi="Times New Roman" w:cs="Times New Roman"/>
          <w:b/>
          <w:sz w:val="24"/>
          <w:szCs w:val="24"/>
          <w:lang w:val="en-GB"/>
        </w:rPr>
        <w:t xml:space="preserve">Inter-temporal perspective of </w:t>
      </w:r>
      <w:r w:rsidR="00941C7F">
        <w:rPr>
          <w:rFonts w:ascii="Times New Roman" w:hAnsi="Times New Roman" w:cs="Times New Roman"/>
          <w:b/>
          <w:sz w:val="24"/>
          <w:szCs w:val="24"/>
          <w:lang w:val="en-GB"/>
        </w:rPr>
        <w:t xml:space="preserve">the </w:t>
      </w:r>
      <w:r w:rsidRPr="00941C7F">
        <w:rPr>
          <w:rFonts w:ascii="Times New Roman" w:hAnsi="Times New Roman" w:cs="Times New Roman"/>
          <w:b/>
          <w:sz w:val="24"/>
          <w:szCs w:val="24"/>
          <w:lang w:val="en-GB"/>
        </w:rPr>
        <w:t xml:space="preserve">external borrowing </w:t>
      </w:r>
      <w:r w:rsidR="00FE2930" w:rsidRPr="00941C7F">
        <w:rPr>
          <w:rFonts w:ascii="Times New Roman" w:hAnsi="Times New Roman" w:cs="Times New Roman"/>
          <w:b/>
          <w:sz w:val="24"/>
          <w:szCs w:val="24"/>
          <w:lang w:val="en-GB"/>
        </w:rPr>
        <w:t xml:space="preserve">effect </w:t>
      </w:r>
      <w:r w:rsidRPr="00941C7F">
        <w:rPr>
          <w:rFonts w:ascii="Times New Roman" w:hAnsi="Times New Roman" w:cs="Times New Roman"/>
          <w:b/>
          <w:sz w:val="24"/>
          <w:szCs w:val="24"/>
          <w:lang w:val="en-GB"/>
        </w:rPr>
        <w:t>on capital accumulation in Nigeria</w:t>
      </w:r>
    </w:p>
    <w:p w:rsidR="00DC6EA5" w:rsidRDefault="00DC6EA5" w:rsidP="00941C7F">
      <w:pPr>
        <w:spacing w:after="0" w:line="360" w:lineRule="auto"/>
        <w:jc w:val="both"/>
        <w:rPr>
          <w:rFonts w:ascii="Times New Roman" w:hAnsi="Times New Roman" w:cs="Times New Roman"/>
          <w:b/>
          <w:sz w:val="24"/>
          <w:szCs w:val="24"/>
          <w:lang w:val="en-GB"/>
        </w:rPr>
      </w:pPr>
    </w:p>
    <w:p w:rsidR="00DC6EA5" w:rsidRPr="00DC6EA5" w:rsidRDefault="00DC6EA5" w:rsidP="00DC6EA5">
      <w:pPr>
        <w:spacing w:after="0" w:line="360" w:lineRule="auto"/>
        <w:jc w:val="both"/>
        <w:rPr>
          <w:rFonts w:ascii="Times New Roman" w:hAnsi="Times New Roman" w:cs="Times New Roman"/>
          <w:b/>
          <w:sz w:val="24"/>
          <w:szCs w:val="24"/>
          <w:lang w:val="en-GB"/>
        </w:rPr>
      </w:pPr>
    </w:p>
    <w:p w:rsidR="00EF45C1" w:rsidRPr="00941C7F" w:rsidRDefault="00EF45C1" w:rsidP="00EF45C1">
      <w:pPr>
        <w:spacing w:after="0" w:line="360" w:lineRule="auto"/>
        <w:ind w:left="360"/>
        <w:jc w:val="both"/>
        <w:rPr>
          <w:rFonts w:ascii="Times New Roman" w:hAnsi="Times New Roman" w:cs="Times New Roman"/>
          <w:sz w:val="24"/>
          <w:szCs w:val="24"/>
        </w:rPr>
      </w:pPr>
    </w:p>
    <w:p w:rsidR="007A6C4E" w:rsidRPr="00941C7F" w:rsidRDefault="007A6C4E" w:rsidP="00941C7F">
      <w:pPr>
        <w:spacing w:line="360" w:lineRule="auto"/>
        <w:jc w:val="both"/>
        <w:rPr>
          <w:rFonts w:ascii="Times New Roman" w:hAnsi="Times New Roman" w:cs="Times New Roman"/>
          <w:i/>
          <w:sz w:val="24"/>
          <w:szCs w:val="24"/>
        </w:rPr>
      </w:pPr>
      <w:r w:rsidRPr="00941C7F">
        <w:rPr>
          <w:rFonts w:ascii="Times New Roman" w:hAnsi="Times New Roman" w:cs="Times New Roman"/>
          <w:i/>
          <w:sz w:val="24"/>
          <w:szCs w:val="24"/>
        </w:rPr>
        <w:t>Abstract</w:t>
      </w:r>
    </w:p>
    <w:p w:rsidR="004A42AD" w:rsidRPr="00CB754F" w:rsidRDefault="004A42AD" w:rsidP="00CB754F">
      <w:pPr>
        <w:jc w:val="both"/>
        <w:rPr>
          <w:rFonts w:ascii="Times New Roman" w:eastAsia="Times New Roman" w:hAnsi="Times New Roman" w:cs="Times New Roman"/>
          <w:i/>
          <w:sz w:val="24"/>
          <w:szCs w:val="24"/>
        </w:rPr>
      </w:pPr>
      <w:r w:rsidRPr="00CB754F">
        <w:rPr>
          <w:i/>
          <w:sz w:val="24"/>
          <w:szCs w:val="24"/>
        </w:rPr>
        <w:t xml:space="preserve">Nigeria's external debt has been steadily increasing, prompting questions about its sustainability. The high </w:t>
      </w:r>
      <w:r w:rsidR="006433C4" w:rsidRPr="00CB754F">
        <w:rPr>
          <w:i/>
          <w:sz w:val="24"/>
          <w:szCs w:val="24"/>
        </w:rPr>
        <w:t>debt servicing cost</w:t>
      </w:r>
      <w:r w:rsidRPr="00CB754F">
        <w:rPr>
          <w:i/>
          <w:sz w:val="24"/>
          <w:szCs w:val="24"/>
        </w:rPr>
        <w:t xml:space="preserve"> has constrained government spending on social services and infrastructure, limiting capital investment. This study </w:t>
      </w:r>
      <w:r w:rsidR="00CB754F" w:rsidRPr="00CB754F">
        <w:rPr>
          <w:i/>
          <w:sz w:val="24"/>
          <w:szCs w:val="24"/>
        </w:rPr>
        <w:t>examined</w:t>
      </w:r>
      <w:r w:rsidRPr="00CB754F">
        <w:rPr>
          <w:i/>
          <w:sz w:val="24"/>
          <w:szCs w:val="24"/>
        </w:rPr>
        <w:t xml:space="preserve"> the intertemporal impact of external borrowing on capital accumulation in Nigeria for the period of 1981–2023. The dual gap theory and debt overhang model were used as a theoretical framework for this study. Gross fixed capital formation, external debt stock, domestic debt stock, external debt servicing, nominal interest rate, national savings, and exchange rate were the variables used for the analysis. An autoregressive distributed lag (ARDL) regression procedure was employed. The results showed that external debt has a positive and statistically significant impact on gross fixed capital formation in Nigeria in the long run. In contrast, there is a negative and significant impact in the short run. The domestic debt indicated an insignificant negative impact in both the long and short run. The result also indicated an unattainable debt-to-GDP. This study recommended that domestic borrowing should not be the first line of action and should be avoided completely; external borrowing should be preferred. </w:t>
      </w:r>
      <w:r w:rsidR="00CB754F" w:rsidRPr="00CB754F">
        <w:rPr>
          <w:rFonts w:ascii="Times New Roman" w:eastAsia="Times New Roman" w:hAnsi="Times New Roman" w:cs="Times New Roman"/>
          <w:i/>
          <w:sz w:val="24"/>
          <w:szCs w:val="24"/>
        </w:rPr>
        <w:t xml:space="preserve">Additionally, the purpose of any loan should always be clearly stated, ensuring that the projects for which the loans are contracted can repay themselves within the allotted time. </w:t>
      </w:r>
      <w:r w:rsidRPr="00CB754F">
        <w:rPr>
          <w:i/>
          <w:sz w:val="24"/>
          <w:szCs w:val="24"/>
        </w:rPr>
        <w:t>Furthermore, since external debt servicing is not sustainable, saving policies should be encouraged, such as the introduction of a sovereign wealth fund.</w:t>
      </w:r>
    </w:p>
    <w:p w:rsidR="007C7568" w:rsidRDefault="005A4BA4" w:rsidP="00941C7F">
      <w:pPr>
        <w:spacing w:line="360" w:lineRule="auto"/>
        <w:jc w:val="both"/>
        <w:rPr>
          <w:rFonts w:ascii="Times New Roman" w:hAnsi="Times New Roman" w:cs="Times New Roman"/>
          <w:i/>
          <w:sz w:val="24"/>
          <w:szCs w:val="24"/>
        </w:rPr>
      </w:pPr>
      <w:r w:rsidRPr="00941C7F">
        <w:rPr>
          <w:rFonts w:ascii="Times New Roman" w:hAnsi="Times New Roman" w:cs="Times New Roman"/>
          <w:i/>
          <w:sz w:val="24"/>
          <w:szCs w:val="24"/>
        </w:rPr>
        <w:t>KEYWORDS</w:t>
      </w:r>
      <w:r w:rsidR="00FB765A" w:rsidRPr="00941C7F">
        <w:rPr>
          <w:rFonts w:ascii="Times New Roman" w:hAnsi="Times New Roman" w:cs="Times New Roman"/>
          <w:i/>
          <w:sz w:val="24"/>
          <w:szCs w:val="24"/>
        </w:rPr>
        <w:t>: External Debt Stock, External Debt Servicing, Capital Accumulation/Stock.</w:t>
      </w:r>
    </w:p>
    <w:p w:rsidR="00A92894" w:rsidRPr="00941C7F" w:rsidRDefault="00A92894" w:rsidP="00941C7F">
      <w:pPr>
        <w:spacing w:line="360" w:lineRule="auto"/>
        <w:jc w:val="both"/>
        <w:rPr>
          <w:rFonts w:ascii="Times New Roman" w:hAnsi="Times New Roman" w:cs="Times New Roman"/>
          <w:i/>
          <w:sz w:val="24"/>
          <w:szCs w:val="24"/>
        </w:rPr>
      </w:pPr>
      <w:r>
        <w:rPr>
          <w:rFonts w:ascii="Times New Roman" w:hAnsi="Times New Roman" w:cs="Times New Roman"/>
          <w:i/>
          <w:sz w:val="24"/>
          <w:szCs w:val="24"/>
        </w:rPr>
        <w:t>JEL CODES : F34, H63, O47</w:t>
      </w: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Introduction</w:t>
      </w:r>
    </w:p>
    <w:p w:rsidR="00396433" w:rsidRPr="00396433" w:rsidRDefault="005E1BD7" w:rsidP="00396433">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External borrowing of a country is an intertemporal economic choice of distributing national resources across time. </w:t>
      </w:r>
      <w:r w:rsidR="00003932" w:rsidRPr="00003932">
        <w:rPr>
          <w:rFonts w:ascii="Times New Roman" w:eastAsia="Times New Roman" w:hAnsi="Times New Roman" w:cs="Times New Roman"/>
          <w:sz w:val="24"/>
          <w:szCs w:val="24"/>
        </w:rPr>
        <w:t>One important tool of fiscal policy that governments may use to aid in their nations' development is debt. It is used to settle expenses that would ultimately increase productivity and advance economic growth (Muhammad, Ruhaini, Burhanudin et al., 2017).</w:t>
      </w:r>
      <w:r w:rsidRPr="00941C7F">
        <w:rPr>
          <w:rFonts w:ascii="Times New Roman" w:eastAsia="Times New Roman" w:hAnsi="Times New Roman" w:cs="Times New Roman"/>
          <w:sz w:val="24"/>
          <w:szCs w:val="24"/>
        </w:rPr>
        <w:t xml:space="preserve">Nigeria is capital-deficient owing to low levels of domestic savings and investment (Ijoko, Magaji&amp; Gombe, 2022; Jacob &amp; Sule, 2022). </w:t>
      </w:r>
      <w:r w:rsidR="00003932" w:rsidRPr="00003932">
        <w:rPr>
          <w:rFonts w:ascii="Times New Roman" w:eastAsia="Times New Roman" w:hAnsi="Times New Roman" w:cs="Times New Roman"/>
          <w:sz w:val="24"/>
          <w:szCs w:val="24"/>
        </w:rPr>
        <w:t xml:space="preserve">When capital accumulation is inadequate, a nation's ability to generate investment in relation to economic growth may be reduced; hence, the resulting effect is to increase reliance on borrowing. The fact is that economic progress cannot be sustained unless capital quantity and structure reach a predetermined threshold (Sachs, 2002).Bakare (2011) defines capital accumulation as the portion of current income that is saved and </w:t>
      </w:r>
      <w:r w:rsidR="00003932" w:rsidRPr="00003932">
        <w:rPr>
          <w:rFonts w:ascii="Times New Roman" w:eastAsia="Times New Roman" w:hAnsi="Times New Roman" w:cs="Times New Roman"/>
          <w:sz w:val="24"/>
          <w:szCs w:val="24"/>
        </w:rPr>
        <w:lastRenderedPageBreak/>
        <w:t>invested to enhance future output and revenue. Ugbwuegbe and Uruakpa (2013) associate capital accumulation with an increase in a nation's physical capital stock via investment in social and economic infrastructure, and when this is unattainable, borrowing is enough.Consequently, capital accumulation is recognized as a vital factor that affects the growth and development of all economies. Moreover, it is often believed that growth would commence only if the capital stock reaches a certain threshold level (Ugbwuegbe&amp;Uruakpa, 2013).</w:t>
      </w:r>
      <w:r w:rsidR="00396433" w:rsidRPr="00396433">
        <w:rPr>
          <w:rFonts w:ascii="Times New Roman" w:hAnsi="Times New Roman" w:cs="Times New Roman"/>
          <w:sz w:val="24"/>
          <w:szCs w:val="24"/>
        </w:rPr>
        <w:t>It is also considered that in economic performance, savings continue to rise (Sachs, 2002). After a given amount of rise in savings, capital will be robust enough to maintain a capital accumulation that will lead to self-propelling economic expansion. Unfortunately, domestic savings in Nigeria are foreign borrowing (Chenery &amp; Strout, 1966).</w:t>
      </w:r>
    </w:p>
    <w:p w:rsidR="005E1BD7" w:rsidRPr="00941C7F" w:rsidRDefault="005E1BD7" w:rsidP="00941C7F">
      <w:pPr>
        <w:spacing w:after="0" w:line="360" w:lineRule="auto"/>
        <w:jc w:val="both"/>
        <w:rPr>
          <w:rFonts w:ascii="Times New Roman" w:hAnsi="Times New Roman" w:cs="Times New Roman"/>
          <w:sz w:val="24"/>
          <w:szCs w:val="24"/>
        </w:rPr>
      </w:pPr>
    </w:p>
    <w:p w:rsidR="005610CA" w:rsidRPr="005610CA" w:rsidRDefault="00396433" w:rsidP="005610CA">
      <w:pPr>
        <w:spacing w:after="0" w:line="360" w:lineRule="auto"/>
        <w:jc w:val="both"/>
        <w:rPr>
          <w:rFonts w:ascii="Times New Roman" w:eastAsia="Times New Roman" w:hAnsi="Times New Roman" w:cs="Times New Roman"/>
          <w:color w:val="F79646" w:themeColor="accent6"/>
          <w:sz w:val="24"/>
          <w:szCs w:val="24"/>
        </w:rPr>
      </w:pPr>
      <w:r w:rsidRPr="00396433">
        <w:rPr>
          <w:rFonts w:ascii="Times New Roman" w:eastAsia="Times New Roman" w:hAnsi="Times New Roman" w:cs="Times New Roman"/>
          <w:sz w:val="24"/>
          <w:szCs w:val="24"/>
        </w:rPr>
        <w:t>Nigeria, like many developing countries, has not yet achieved the sustained capital accumulation necessary to achieve self-sustaining economic development without the assistance of outside borrowing (Hunt, 2007; Bakare, 2011).</w:t>
      </w:r>
      <w:r w:rsidR="005E1BD7" w:rsidRPr="00941C7F">
        <w:rPr>
          <w:rFonts w:ascii="Times New Roman" w:eastAsia="Times New Roman" w:hAnsi="Times New Roman" w:cs="Times New Roman"/>
          <w:sz w:val="24"/>
          <w:szCs w:val="24"/>
        </w:rPr>
        <w:t xml:space="preserve">This assumption may be validated by the postulation in dual gap theory, which opines that investment as a purpose for savings requires foreign assistance, given the inadequate domestic savings that would ensure continuous economic growth and development (McKinnon, 1964). According to Egbetunde (2015), governments borrow for two primary macroeconomic purposes: to fund consumption and investment or to finance a temporary balance of payment deficit. They also borrow to cover budget shortfalls stemming from a decline in income, supporting economic development and decreasing poverty. </w:t>
      </w:r>
      <w:r w:rsidR="005E1BD7" w:rsidRPr="00941C7F">
        <w:rPr>
          <w:rFonts w:ascii="Times New Roman" w:eastAsia="Times New Roman" w:hAnsi="Times New Roman" w:cs="Times New Roman"/>
          <w:sz w:val="24"/>
          <w:szCs w:val="24"/>
        </w:rPr>
        <w:br/>
        <w:t>Incurring debt arises as a consequence of borrowing, which may be internal (domestic d</w:t>
      </w:r>
      <w:r w:rsidR="00AD2288">
        <w:rPr>
          <w:rFonts w:ascii="Times New Roman" w:eastAsia="Times New Roman" w:hAnsi="Times New Roman" w:cs="Times New Roman"/>
          <w:sz w:val="24"/>
          <w:szCs w:val="24"/>
        </w:rPr>
        <w:t>ebt) or external debt</w:t>
      </w:r>
      <w:r w:rsidR="005E1BD7" w:rsidRPr="00941C7F">
        <w:rPr>
          <w:rFonts w:ascii="Times New Roman" w:eastAsia="Times New Roman" w:hAnsi="Times New Roman" w:cs="Times New Roman"/>
          <w:sz w:val="24"/>
          <w:szCs w:val="24"/>
        </w:rPr>
        <w:t>. Either of these must be in proportion to which future growth and general development are not jeopardized (Ogunbiyi&amp;Okunlola, 2015</w:t>
      </w:r>
      <w:r w:rsidR="00AD2288" w:rsidRPr="005610CA">
        <w:rPr>
          <w:rFonts w:ascii="Times New Roman" w:eastAsia="Times New Roman" w:hAnsi="Times New Roman" w:cs="Times New Roman"/>
          <w:sz w:val="24"/>
          <w:szCs w:val="24"/>
        </w:rPr>
        <w:t>).</w:t>
      </w:r>
      <w:r w:rsidR="005610CA" w:rsidRPr="005610CA">
        <w:rPr>
          <w:rFonts w:ascii="Times New Roman" w:eastAsia="Times New Roman" w:hAnsi="Times New Roman" w:cs="Times New Roman"/>
          <w:sz w:val="24"/>
          <w:szCs w:val="24"/>
        </w:rPr>
        <w:t>According to Idenyi, Igberi, and Anoke (2016), public debt may be defined as the total amount of borrowings made by all branches of government, including the federal, state, and local governments, or as the national debt owed by the government. Future pension payments, government commitments, and goods and services that the government purchases on credit are all included in the conversation about public debt (Idenyi, Igberi&amp;Anoke, 2016).</w:t>
      </w:r>
    </w:p>
    <w:p w:rsidR="005E1BD7" w:rsidRPr="00941C7F" w:rsidRDefault="005E1BD7"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Domestic borrowing may drown out private sector investment, boost interest rates, and impede economic development. Therefore, foreign borrowing may become the most efficient alternative for economic growth in a developing nation (Checherita&amp; Rother, 2019). The external methods of finance are likewise not without their consequences on the macroeconomic growth of Nigeria. Sulaiman and Azeez (2018) pointed out that the high amount of foreign debt puts Nigeria's economic stability </w:t>
      </w:r>
      <w:r w:rsidR="00CC4062">
        <w:rPr>
          <w:rFonts w:ascii="Times New Roman" w:eastAsia="Times New Roman" w:hAnsi="Times New Roman" w:cs="Times New Roman"/>
          <w:sz w:val="24"/>
          <w:szCs w:val="24"/>
        </w:rPr>
        <w:t>in</w:t>
      </w:r>
      <w:r w:rsidRPr="00941C7F">
        <w:rPr>
          <w:rFonts w:ascii="Times New Roman" w:eastAsia="Times New Roman" w:hAnsi="Times New Roman" w:cs="Times New Roman"/>
          <w:sz w:val="24"/>
          <w:szCs w:val="24"/>
        </w:rPr>
        <w:t xml:space="preserve"> peril owing to debt payment. In Nigeria, capital accumulation comes largely from crude oil, and in recent years, the collapse in global oil prices has placed the Nigerian economy in a nonsustainable situation, since the country's low profits and dependency have increased Nigeria's foreign debt. This poor capital accumulation has resulted in balance </w:t>
      </w:r>
      <w:r w:rsidRPr="00941C7F">
        <w:rPr>
          <w:rFonts w:ascii="Times New Roman" w:eastAsia="Times New Roman" w:hAnsi="Times New Roman" w:cs="Times New Roman"/>
          <w:sz w:val="24"/>
          <w:szCs w:val="24"/>
        </w:rPr>
        <w:lastRenderedPageBreak/>
        <w:t>of payment deficits that would have inhibited the economic growth of the nation (Jacob &amp;Sule, 2022; Adediyan&amp;Ehisuoria, 2022).</w:t>
      </w:r>
    </w:p>
    <w:p w:rsidR="005E1BD7" w:rsidRPr="00941C7F" w:rsidRDefault="005E1BD7"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In recent decades, Nigeria's average debt profile has been on the ascent, with domestic debt typically occupying the lead seat. This trend continued as Nigeria's foreign debt was at US$41.69 billion in Q4 2022, while domestic debt was US$ 61.41 billion. In 2023, the public debt stock climbed to US$108.2 billion with foreign debt growth of 4.2%. </w:t>
      </w:r>
      <w:r w:rsidR="005610CA" w:rsidRPr="005610CA">
        <w:rPr>
          <w:rFonts w:ascii="Times New Roman" w:eastAsia="Times New Roman" w:hAnsi="Times New Roman" w:cs="Times New Roman"/>
          <w:sz w:val="24"/>
          <w:szCs w:val="24"/>
        </w:rPr>
        <w:t xml:space="preserve">Given that the total public debt grew geometrically in naira between 2010 and 2020, increasing by 528.8%, while the USD equivalent grew by 146.1% during the same period, it is possible that this upward trend was not unrelated to the widening exchange rate gap (DMO, 2025). The naira's declining value and the intertemporal economic situation throughout time are shown by the difference in the growth </w:t>
      </w:r>
      <w:r w:rsidR="00DD06C8">
        <w:rPr>
          <w:rFonts w:ascii="Times New Roman" w:eastAsia="Times New Roman" w:hAnsi="Times New Roman" w:cs="Times New Roman"/>
          <w:sz w:val="24"/>
          <w:szCs w:val="24"/>
        </w:rPr>
        <w:t xml:space="preserve">of the naira and dollar values. </w:t>
      </w:r>
      <w:r w:rsidRPr="00941C7F">
        <w:rPr>
          <w:rFonts w:ascii="Times New Roman" w:eastAsia="Times New Roman" w:hAnsi="Times New Roman" w:cs="Times New Roman"/>
          <w:sz w:val="24"/>
          <w:szCs w:val="24"/>
        </w:rPr>
        <w:t xml:space="preserve">Nigeria's debt servicing likewise follows the same trajectory of growing trend as it did with the public debt. Statistics have showed that the worst-case scenario was during Buhari’s presidency, from 2015 to 2022. During the presidency of Yar’Adua in 2010, the </w:t>
      </w:r>
      <w:r w:rsidR="005610CA" w:rsidRPr="00941C7F">
        <w:rPr>
          <w:rFonts w:ascii="Times New Roman" w:eastAsia="Times New Roman" w:hAnsi="Times New Roman" w:cs="Times New Roman"/>
          <w:sz w:val="24"/>
          <w:szCs w:val="24"/>
        </w:rPr>
        <w:t>proportion</w:t>
      </w:r>
      <w:r w:rsidRPr="00941C7F">
        <w:rPr>
          <w:rFonts w:ascii="Times New Roman" w:eastAsia="Times New Roman" w:hAnsi="Times New Roman" w:cs="Times New Roman"/>
          <w:sz w:val="24"/>
          <w:szCs w:val="24"/>
        </w:rPr>
        <w:t xml:space="preserve"> of </w:t>
      </w:r>
      <w:r w:rsidR="005610CA">
        <w:rPr>
          <w:rFonts w:ascii="Times New Roman" w:eastAsia="Times New Roman" w:hAnsi="Times New Roman" w:cs="Times New Roman"/>
          <w:sz w:val="24"/>
          <w:szCs w:val="24"/>
        </w:rPr>
        <w:t xml:space="preserve">debt </w:t>
      </w:r>
      <w:r w:rsidRPr="00941C7F">
        <w:rPr>
          <w:rFonts w:ascii="Times New Roman" w:eastAsia="Times New Roman" w:hAnsi="Times New Roman" w:cs="Times New Roman"/>
          <w:sz w:val="24"/>
          <w:szCs w:val="24"/>
        </w:rPr>
        <w:t>service to GDP was a modest 12.3% in 2014. Under the administration of Jonathan, the ratio had already been on the upswing, with the highest point recorded at 28.6%. rose astronomically during Buhari’s presidency in 2015, reaching an alarming rate of 33.0% in 2015. This increasing pattern persisted, ending in the alarming number of 11.8% in 2022 (CBN Statistical Bulletin, 2022).</w:t>
      </w:r>
    </w:p>
    <w:p w:rsidR="005E1BD7" w:rsidRPr="00941C7F" w:rsidRDefault="005E1BD7" w:rsidP="00941C7F">
      <w:pPr>
        <w:spacing w:after="0" w:line="360" w:lineRule="auto"/>
        <w:jc w:val="both"/>
        <w:rPr>
          <w:rFonts w:ascii="Times New Roman" w:hAnsi="Times New Roman" w:cs="Times New Roman"/>
          <w:sz w:val="24"/>
          <w:szCs w:val="24"/>
        </w:rPr>
      </w:pPr>
    </w:p>
    <w:p w:rsidR="005E1BD7" w:rsidRPr="00166023" w:rsidRDefault="0047504C"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 problem of debt load and the country’s growth (Muhammad, Ruhaini, Nathan, &amp; Arshad, 2017). </w:t>
      </w:r>
      <w:r w:rsidR="00EA5514" w:rsidRPr="00EA5514">
        <w:rPr>
          <w:rFonts w:ascii="Times New Roman" w:eastAsia="Times New Roman" w:hAnsi="Times New Roman" w:cs="Times New Roman"/>
          <w:sz w:val="24"/>
          <w:szCs w:val="24"/>
        </w:rPr>
        <w:t>Faraji and Makame (2013) state that when internal insufficiency makes it impossible to keep pre-contractual obligations, debt becomes burdensome.</w:t>
      </w:r>
      <w:r w:rsidR="00166023" w:rsidRPr="00166023">
        <w:rPr>
          <w:rFonts w:ascii="Times New Roman" w:eastAsia="Times New Roman" w:hAnsi="Times New Roman" w:cs="Times New Roman"/>
          <w:sz w:val="24"/>
          <w:szCs w:val="24"/>
        </w:rPr>
        <w:t>According to the Nigerian Debt Management Office's Subnational Borrowing Guidelines (2008–2012), the economy responded well to these changes in policy.  The non-oil economy developed significantly each year, as shown by the average annual real GDP growth rate of 6.5 percent between 2003 and 2007.  Single-digit inflation was the outcome of the fiscal austerity, tighter monetary policy, and low deficit/GDP ratio regime during this period.  The changes enabled Nigeria to resume debt reduction talks with creditors, even if the aforementioned achievements did not instantly enhance the sustainability of the nation's foreign debt.  Nigeria's top creditor, the Paris Club, agreed to a historic debt relief agreement that allowed the country to pay off all of its Paris Club debt obligations between October 2004 and April 2005 after the government successfully enlisted the help of the international community through high-level diplomati</w:t>
      </w:r>
      <w:r w:rsidR="00166023">
        <w:rPr>
          <w:rFonts w:ascii="Times New Roman" w:eastAsia="Times New Roman" w:hAnsi="Times New Roman" w:cs="Times New Roman"/>
          <w:sz w:val="24"/>
          <w:szCs w:val="24"/>
        </w:rPr>
        <w:t xml:space="preserve">c efforts. </w:t>
      </w:r>
    </w:p>
    <w:p w:rsidR="00DD06C8" w:rsidRDefault="00166023" w:rsidP="00DD06C8">
      <w:pPr>
        <w:spacing w:after="0" w:line="360" w:lineRule="auto"/>
        <w:jc w:val="both"/>
        <w:rPr>
          <w:rFonts w:ascii="Times New Roman" w:eastAsia="Times New Roman" w:hAnsi="Times New Roman" w:cs="Times New Roman"/>
          <w:sz w:val="24"/>
          <w:szCs w:val="24"/>
        </w:rPr>
      </w:pPr>
      <w:r w:rsidRPr="00166023">
        <w:rPr>
          <w:rFonts w:ascii="Times New Roman" w:eastAsia="Times New Roman" w:hAnsi="Times New Roman" w:cs="Times New Roman"/>
          <w:sz w:val="24"/>
          <w:szCs w:val="24"/>
        </w:rPr>
        <w:t xml:space="preserve">Along with the progress made on the external debt front, the government also started to restructure the domestic debt portfolio, which was mostly composed of short-term instruments, to include a significant amount of long-term debt.  Additionally, it started identifying and settling contingent liabilities resulting from unpaid pension arrears and debt owed by local contractors via the issuance of sovereign </w:t>
      </w:r>
      <w:r w:rsidRPr="00166023">
        <w:rPr>
          <w:rFonts w:ascii="Times New Roman" w:eastAsia="Times New Roman" w:hAnsi="Times New Roman" w:cs="Times New Roman"/>
          <w:sz w:val="24"/>
          <w:szCs w:val="24"/>
        </w:rPr>
        <w:lastRenderedPageBreak/>
        <w:t>bonds.</w:t>
      </w:r>
      <w:r w:rsidR="00DD06C8" w:rsidRPr="00DD06C8">
        <w:rPr>
          <w:rFonts w:ascii="Times New Roman" w:eastAsia="Times New Roman" w:hAnsi="Times New Roman" w:cs="Times New Roman"/>
          <w:sz w:val="24"/>
          <w:szCs w:val="24"/>
        </w:rPr>
        <w:t>Despite the enormous amount of debt that the nation has accrued over the years, Nigeria's economy is unable to effectively meet its debt obligations due to interest arrears, which build up over time and increase the nation's debt burden. As a result, a larger percentage of its income is spent on debt service arr</w:t>
      </w:r>
      <w:r w:rsidR="00DD06C8">
        <w:rPr>
          <w:rFonts w:ascii="Times New Roman" w:eastAsia="Times New Roman" w:hAnsi="Times New Roman" w:cs="Times New Roman"/>
          <w:sz w:val="24"/>
          <w:szCs w:val="24"/>
        </w:rPr>
        <w:t xml:space="preserve">ears (Udofia&amp;Akpanah, 2016). </w:t>
      </w:r>
      <w:r w:rsidR="00DD06C8" w:rsidRPr="00DD06C8">
        <w:rPr>
          <w:rFonts w:ascii="Times New Roman" w:eastAsia="Times New Roman" w:hAnsi="Times New Roman" w:cs="Times New Roman"/>
          <w:sz w:val="24"/>
          <w:szCs w:val="24"/>
        </w:rPr>
        <w:t xml:space="preserve"> In Nigeria, debt servicing is a significant resource drain.  It makes up a significant portion of the nation's profile of ongoing expenses.  Nigeria's growth and development are still at risk since fulfilling debt obligations means jeopardizing welfare and capital projects for social and economic advancement (Nwagwu, 2014).</w:t>
      </w:r>
    </w:p>
    <w:p w:rsidR="0047504C" w:rsidRDefault="0047504C" w:rsidP="00DD06C8">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Therefore, given this obviously unsustainable public debt portfolio, actions must be taken to avert a further relapse into debt unsustainability. This problem is highly demanding since the federal and state governments need to mobilize large resources to finance the growth and development of the economy.</w:t>
      </w:r>
    </w:p>
    <w:p w:rsidR="009B62D6" w:rsidRPr="00DD06C8" w:rsidRDefault="00EA5514" w:rsidP="00DD06C8">
      <w:pPr>
        <w:spacing w:after="0" w:line="360" w:lineRule="auto"/>
        <w:jc w:val="both"/>
        <w:rPr>
          <w:rFonts w:ascii="Times New Roman" w:eastAsia="Times New Roman" w:hAnsi="Times New Roman" w:cs="Times New Roman"/>
          <w:sz w:val="24"/>
          <w:szCs w:val="24"/>
        </w:rPr>
      </w:pPr>
      <w:r w:rsidRPr="00EA5514">
        <w:rPr>
          <w:rFonts w:ascii="Times New Roman" w:eastAsia="Times New Roman" w:hAnsi="Times New Roman" w:cs="Times New Roman"/>
          <w:sz w:val="24"/>
          <w:szCs w:val="24"/>
        </w:rPr>
        <w:t>Therefore,</w:t>
      </w:r>
      <w:r w:rsidR="00DD06C8">
        <w:rPr>
          <w:rFonts w:ascii="Times New Roman" w:eastAsia="Times New Roman" w:hAnsi="Times New Roman" w:cs="Times New Roman"/>
          <w:sz w:val="24"/>
          <w:szCs w:val="24"/>
        </w:rPr>
        <w:t xml:space="preserve"> this study will empirically look at </w:t>
      </w:r>
      <w:r w:rsidR="00DD06C8" w:rsidRPr="00EA5514">
        <w:rPr>
          <w:rFonts w:ascii="Times New Roman" w:eastAsia="Times New Roman" w:hAnsi="Times New Roman" w:cs="Times New Roman"/>
          <w:sz w:val="24"/>
          <w:szCs w:val="24"/>
        </w:rPr>
        <w:t>the</w:t>
      </w:r>
      <w:r w:rsidRPr="00EA5514">
        <w:rPr>
          <w:rFonts w:ascii="Times New Roman" w:eastAsia="Times New Roman" w:hAnsi="Times New Roman" w:cs="Times New Roman"/>
          <w:sz w:val="24"/>
          <w:szCs w:val="24"/>
        </w:rPr>
        <w:t xml:space="preserve"> effect of various borrowing sources on</w:t>
      </w:r>
      <w:r w:rsidR="00DD06C8">
        <w:rPr>
          <w:rFonts w:ascii="Times New Roman" w:eastAsia="Times New Roman" w:hAnsi="Times New Roman" w:cs="Times New Roman"/>
          <w:sz w:val="24"/>
          <w:szCs w:val="24"/>
        </w:rPr>
        <w:t xml:space="preserve"> Nigeria's capital accumulation</w:t>
      </w:r>
      <w:r w:rsidR="00DD06C8" w:rsidRPr="00EA5514">
        <w:rPr>
          <w:rFonts w:ascii="Times New Roman" w:eastAsia="Times New Roman" w:hAnsi="Times New Roman" w:cs="Times New Roman"/>
          <w:sz w:val="24"/>
          <w:szCs w:val="24"/>
        </w:rPr>
        <w:t>,</w:t>
      </w:r>
      <w:r w:rsidR="00DD06C8">
        <w:rPr>
          <w:rFonts w:ascii="Times New Roman" w:eastAsia="Times New Roman" w:hAnsi="Times New Roman" w:cs="Times New Roman"/>
          <w:sz w:val="24"/>
          <w:szCs w:val="24"/>
        </w:rPr>
        <w:t xml:space="preserve"> what sustains </w:t>
      </w:r>
      <w:r w:rsidR="00DD06C8" w:rsidRPr="00EA5514">
        <w:rPr>
          <w:rFonts w:ascii="Times New Roman" w:eastAsia="Times New Roman" w:hAnsi="Times New Roman" w:cs="Times New Roman"/>
          <w:sz w:val="24"/>
          <w:szCs w:val="24"/>
        </w:rPr>
        <w:t>debt</w:t>
      </w:r>
      <w:r w:rsidRPr="00EA5514">
        <w:rPr>
          <w:rFonts w:ascii="Times New Roman" w:eastAsia="Times New Roman" w:hAnsi="Times New Roman" w:cs="Times New Roman"/>
          <w:sz w:val="24"/>
          <w:szCs w:val="24"/>
        </w:rPr>
        <w:t xml:space="preserve"> service on Nigeri</w:t>
      </w:r>
      <w:r w:rsidR="00DD06C8">
        <w:rPr>
          <w:rFonts w:ascii="Times New Roman" w:eastAsia="Times New Roman" w:hAnsi="Times New Roman" w:cs="Times New Roman"/>
          <w:sz w:val="24"/>
          <w:szCs w:val="24"/>
        </w:rPr>
        <w:t xml:space="preserve">a's capital accumulation, and </w:t>
      </w:r>
      <w:r w:rsidRPr="00EA5514">
        <w:rPr>
          <w:rFonts w:ascii="Times New Roman" w:eastAsia="Times New Roman" w:hAnsi="Times New Roman" w:cs="Times New Roman"/>
          <w:sz w:val="24"/>
          <w:szCs w:val="24"/>
        </w:rPr>
        <w:t>the influence of the sustainability of foreign debt in the mix of high rates of exchange on Nigeria's capi</w:t>
      </w:r>
      <w:r w:rsidR="00DD06C8">
        <w:rPr>
          <w:rFonts w:ascii="Times New Roman" w:eastAsia="Times New Roman" w:hAnsi="Times New Roman" w:cs="Times New Roman"/>
          <w:sz w:val="24"/>
          <w:szCs w:val="24"/>
        </w:rPr>
        <w:t>tal accumulation.</w:t>
      </w:r>
    </w:p>
    <w:p w:rsidR="0047504C" w:rsidRPr="00941C7F" w:rsidRDefault="00DB7FBB" w:rsidP="00941C7F">
      <w:pPr>
        <w:spacing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This study </w:t>
      </w:r>
      <w:r w:rsidRPr="00941C7F">
        <w:rPr>
          <w:rFonts w:ascii="Times New Roman" w:hAnsi="Times New Roman" w:cs="Times New Roman"/>
          <w:sz w:val="24"/>
          <w:szCs w:val="24"/>
        </w:rPr>
        <w:t xml:space="preserve">is structured into 5 sections. Section one is the introduction. </w:t>
      </w:r>
      <w:r w:rsidRPr="00941C7F">
        <w:rPr>
          <w:rFonts w:ascii="Times New Roman" w:eastAsia="Times New Roman" w:hAnsi="Times New Roman" w:cs="Times New Roman"/>
          <w:sz w:val="24"/>
          <w:szCs w:val="24"/>
        </w:rPr>
        <w:t xml:space="preserve">Section two presents the review of related </w:t>
      </w:r>
      <w:r w:rsidR="008C7E6B" w:rsidRPr="00941C7F">
        <w:rPr>
          <w:rFonts w:ascii="Times New Roman" w:eastAsia="Times New Roman" w:hAnsi="Times New Roman" w:cs="Times New Roman"/>
          <w:sz w:val="24"/>
          <w:szCs w:val="24"/>
        </w:rPr>
        <w:t>literature</w:t>
      </w:r>
      <w:r w:rsidRPr="00941C7F">
        <w:rPr>
          <w:rFonts w:ascii="Times New Roman" w:eastAsia="Times New Roman" w:hAnsi="Times New Roman" w:cs="Times New Roman"/>
          <w:sz w:val="24"/>
          <w:szCs w:val="24"/>
        </w:rPr>
        <w:t xml:space="preserve">. While Section Three focused on the research methods. Section Four presents the result and Section five is the </w:t>
      </w:r>
      <w:r w:rsidR="00DD06C8">
        <w:rPr>
          <w:rFonts w:ascii="Times New Roman" w:eastAsia="Times New Roman" w:hAnsi="Times New Roman" w:cs="Times New Roman"/>
          <w:sz w:val="24"/>
          <w:szCs w:val="24"/>
        </w:rPr>
        <w:t>conclusion and recommendations.</w:t>
      </w:r>
    </w:p>
    <w:p w:rsidR="007A6C4E" w:rsidRPr="00941C7F" w:rsidRDefault="007A6C4E" w:rsidP="00941C7F">
      <w:pPr>
        <w:spacing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 xml:space="preserve">2. Literature Review </w:t>
      </w:r>
    </w:p>
    <w:p w:rsidR="00813F51" w:rsidRPr="00941C7F" w:rsidRDefault="008C7E6B" w:rsidP="00941C7F">
      <w:pPr>
        <w:spacing w:after="0"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2.1. Theoretical literature</w:t>
      </w:r>
    </w:p>
    <w:p w:rsidR="006E7795" w:rsidRPr="00941C7F" w:rsidRDefault="006E7795" w:rsidP="00941C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41C7F">
        <w:rPr>
          <w:rFonts w:ascii="Times New Roman" w:eastAsia="Times New Roman" w:hAnsi="Times New Roman" w:cs="Times New Roman"/>
          <w:b/>
          <w:bCs/>
          <w:sz w:val="24"/>
          <w:szCs w:val="24"/>
        </w:rPr>
        <w:t>Debt Overhang Model</w:t>
      </w:r>
    </w:p>
    <w:p w:rsidR="0047504C" w:rsidRPr="00941C7F" w:rsidRDefault="0047504C"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The debt overhang concept was propounded by Paul Krugman (1988). It focuses</w:t>
      </w:r>
      <w:r w:rsidR="00B639C1">
        <w:rPr>
          <w:rFonts w:ascii="Times New Roman" w:eastAsia="Times New Roman" w:hAnsi="Times New Roman" w:cs="Times New Roman"/>
          <w:sz w:val="24"/>
          <w:szCs w:val="24"/>
        </w:rPr>
        <w:t xml:space="preserve"> on</w:t>
      </w:r>
      <w:r w:rsidRPr="00941C7F">
        <w:rPr>
          <w:rFonts w:ascii="Times New Roman" w:eastAsia="Times New Roman" w:hAnsi="Times New Roman" w:cs="Times New Roman"/>
          <w:sz w:val="24"/>
          <w:szCs w:val="24"/>
        </w:rPr>
        <w:t xml:space="preserve"> optimization of debt accumulation. The model suggests that a country’s external debt load inhibits investment if the debt overhang grows too large. The model further argued that too large</w:t>
      </w:r>
      <w:r w:rsidR="00B639C1">
        <w:rPr>
          <w:rFonts w:ascii="Times New Roman" w:eastAsia="Times New Roman" w:hAnsi="Times New Roman" w:cs="Times New Roman"/>
          <w:sz w:val="24"/>
          <w:szCs w:val="24"/>
        </w:rPr>
        <w:t xml:space="preserve"> debt overhang leads to</w:t>
      </w:r>
      <w:r w:rsidRPr="00941C7F">
        <w:rPr>
          <w:rFonts w:ascii="Times New Roman" w:eastAsia="Times New Roman" w:hAnsi="Times New Roman" w:cs="Times New Roman"/>
          <w:sz w:val="24"/>
          <w:szCs w:val="24"/>
        </w:rPr>
        <w:t xml:space="preserve"> slowed ec</w:t>
      </w:r>
      <w:r w:rsidR="00B639C1">
        <w:rPr>
          <w:rFonts w:ascii="Times New Roman" w:eastAsia="Times New Roman" w:hAnsi="Times New Roman" w:cs="Times New Roman"/>
          <w:sz w:val="24"/>
          <w:szCs w:val="24"/>
        </w:rPr>
        <w:t>onomic development. Si</w:t>
      </w:r>
      <w:r w:rsidRPr="00941C7F">
        <w:rPr>
          <w:rFonts w:ascii="Times New Roman" w:eastAsia="Times New Roman" w:hAnsi="Times New Roman" w:cs="Times New Roman"/>
          <w:sz w:val="24"/>
          <w:szCs w:val="24"/>
        </w:rPr>
        <w:t>nce new economic benefits would be employed in repaying creditors rather than re</w:t>
      </w:r>
      <w:r w:rsidR="00B639C1">
        <w:rPr>
          <w:rFonts w:ascii="Times New Roman" w:eastAsia="Times New Roman" w:hAnsi="Times New Roman" w:cs="Times New Roman"/>
          <w:sz w:val="24"/>
          <w:szCs w:val="24"/>
        </w:rPr>
        <w:t xml:space="preserve">cruiting new investors, </w:t>
      </w:r>
      <w:r w:rsidR="00B639C1" w:rsidRPr="00941C7F">
        <w:rPr>
          <w:rFonts w:ascii="Times New Roman" w:eastAsia="Times New Roman" w:hAnsi="Times New Roman" w:cs="Times New Roman"/>
          <w:sz w:val="24"/>
          <w:szCs w:val="24"/>
        </w:rPr>
        <w:t>investors</w:t>
      </w:r>
      <w:r w:rsidRPr="00941C7F">
        <w:rPr>
          <w:rFonts w:ascii="Times New Roman" w:eastAsia="Times New Roman" w:hAnsi="Times New Roman" w:cs="Times New Roman"/>
          <w:sz w:val="24"/>
          <w:szCs w:val="24"/>
        </w:rPr>
        <w:t xml:space="preserve"> assume that any </w:t>
      </w:r>
      <w:r w:rsidR="00941C7F">
        <w:rPr>
          <w:rFonts w:ascii="Times New Roman" w:eastAsia="Times New Roman" w:hAnsi="Times New Roman" w:cs="Times New Roman"/>
          <w:sz w:val="24"/>
          <w:szCs w:val="24"/>
        </w:rPr>
        <w:t>investment profits</w:t>
      </w:r>
      <w:r w:rsidRPr="00941C7F">
        <w:rPr>
          <w:rFonts w:ascii="Times New Roman" w:eastAsia="Times New Roman" w:hAnsi="Times New Roman" w:cs="Times New Roman"/>
          <w:sz w:val="24"/>
          <w:szCs w:val="24"/>
        </w:rPr>
        <w:t xml:space="preserve"> will be taken away to service the national debt. This model is supported by the Intertemporal Optimization Model, which focuses on how optimum debt commitments are formed by economic actors throughout time. The model was constructed on the notion that large debt diminishes incentives. It also implies that economic actors are rational. Another assumption of the model is that nations experiencing debt overhang struggle to get additional loans or </w:t>
      </w:r>
      <w:r w:rsidR="00941C7F">
        <w:rPr>
          <w:rFonts w:ascii="Times New Roman" w:eastAsia="Times New Roman" w:hAnsi="Times New Roman" w:cs="Times New Roman"/>
          <w:sz w:val="24"/>
          <w:szCs w:val="24"/>
        </w:rPr>
        <w:t>investments</w:t>
      </w:r>
      <w:r w:rsidRPr="00941C7F">
        <w:rPr>
          <w:rFonts w:ascii="Times New Roman" w:eastAsia="Times New Roman" w:hAnsi="Times New Roman" w:cs="Times New Roman"/>
          <w:sz w:val="24"/>
          <w:szCs w:val="24"/>
        </w:rPr>
        <w:t xml:space="preserve">. Also, severely indebted governments are restrained in investing in the productive sections of the economy. </w:t>
      </w:r>
      <w:r w:rsidRPr="00941C7F">
        <w:rPr>
          <w:rFonts w:ascii="Times New Roman" w:eastAsia="Times New Roman" w:hAnsi="Times New Roman" w:cs="Times New Roman"/>
          <w:sz w:val="24"/>
          <w:szCs w:val="24"/>
        </w:rPr>
        <w:br/>
        <w:t xml:space="preserve">This model's strength rests in the fact that it was able to explain why deeply indebted economies continue </w:t>
      </w:r>
      <w:r w:rsidRPr="00941C7F">
        <w:rPr>
          <w:rFonts w:ascii="Times New Roman" w:eastAsia="Times New Roman" w:hAnsi="Times New Roman" w:cs="Times New Roman"/>
          <w:sz w:val="24"/>
          <w:szCs w:val="24"/>
        </w:rPr>
        <w:lastRenderedPageBreak/>
        <w:t xml:space="preserve">to have weak economic development despite multiple economic reforms, initiatives, and programs. It also has its concentration not just in impoverished nations but also in rich countries. It also offers a theoretical underpinning for debt forgiveness policies. The model is not without some critiques, which include its limits in empirical examination, where there has been conflicting evidence between debt overhang on investment and growth, indicating additional aspects like as governance quality and political stability. It was also accused </w:t>
      </w:r>
      <w:r w:rsidR="00941C7F">
        <w:rPr>
          <w:rFonts w:ascii="Times New Roman" w:eastAsia="Times New Roman" w:hAnsi="Times New Roman" w:cs="Times New Roman"/>
          <w:sz w:val="24"/>
          <w:szCs w:val="24"/>
        </w:rPr>
        <w:t>of</w:t>
      </w:r>
      <w:r w:rsidRPr="00941C7F">
        <w:rPr>
          <w:rFonts w:ascii="Times New Roman" w:eastAsia="Times New Roman" w:hAnsi="Times New Roman" w:cs="Times New Roman"/>
          <w:sz w:val="24"/>
          <w:szCs w:val="24"/>
        </w:rPr>
        <w:t xml:space="preserve"> disregarding economic policy and other changes. Countries like Japan and the USA have proved that high debt-to-GDP ratios may not be a barrier </w:t>
      </w:r>
      <w:r w:rsidR="006E7795" w:rsidRPr="00941C7F">
        <w:rPr>
          <w:rFonts w:ascii="Times New Roman" w:eastAsia="Times New Roman" w:hAnsi="Times New Roman" w:cs="Times New Roman"/>
          <w:sz w:val="24"/>
          <w:szCs w:val="24"/>
        </w:rPr>
        <w:t>to economic investment</w:t>
      </w:r>
      <w:r w:rsidRPr="00941C7F">
        <w:rPr>
          <w:rFonts w:ascii="Times New Roman" w:eastAsia="Times New Roman" w:hAnsi="Times New Roman" w:cs="Times New Roman"/>
          <w:sz w:val="24"/>
          <w:szCs w:val="24"/>
        </w:rPr>
        <w:t>.</w:t>
      </w:r>
    </w:p>
    <w:p w:rsidR="00813F51" w:rsidRPr="00941C7F" w:rsidRDefault="007A6C4E" w:rsidP="00941C7F">
      <w:pPr>
        <w:spacing w:before="100" w:beforeAutospacing="1" w:after="100" w:afterAutospacing="1" w:line="360" w:lineRule="auto"/>
        <w:jc w:val="both"/>
        <w:rPr>
          <w:rFonts w:ascii="Times New Roman" w:eastAsia="Times New Roman" w:hAnsi="Times New Roman" w:cs="Times New Roman"/>
          <w:sz w:val="24"/>
          <w:szCs w:val="24"/>
        </w:rPr>
      </w:pPr>
      <w:r w:rsidRPr="00941C7F">
        <w:rPr>
          <w:rFonts w:ascii="Times New Roman" w:hAnsi="Times New Roman" w:cs="Times New Roman"/>
          <w:b/>
          <w:sz w:val="24"/>
          <w:szCs w:val="24"/>
        </w:rPr>
        <w:t>The Dual Gap Theory</w:t>
      </w:r>
    </w:p>
    <w:p w:rsidR="00015C0F" w:rsidRDefault="006E7795"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This dual gap hypothesis was theoretically and practically modeled by Chenery and Strout (1966), which was triggered by </w:t>
      </w:r>
      <w:r w:rsidR="00941C7F">
        <w:rPr>
          <w:rFonts w:ascii="Times New Roman" w:eastAsia="Times New Roman" w:hAnsi="Times New Roman" w:cs="Times New Roman"/>
          <w:sz w:val="24"/>
          <w:szCs w:val="24"/>
        </w:rPr>
        <w:t xml:space="preserve">a </w:t>
      </w:r>
      <w:r w:rsidRPr="00941C7F">
        <w:rPr>
          <w:rFonts w:ascii="Times New Roman" w:eastAsia="Times New Roman" w:hAnsi="Times New Roman" w:cs="Times New Roman"/>
          <w:sz w:val="24"/>
          <w:szCs w:val="24"/>
        </w:rPr>
        <w:t xml:space="preserve">dispute over the viability of import constraint growth. It was constructed on the notion that the savings of a nation are inadequate to support the amount of investment required for economic development. Developing nations lack the cash to support infrastructure growth, and developing countries also lack adequate foreign currency reserves since they do not export enough value commodities to pay </w:t>
      </w:r>
      <w:r w:rsidR="00941C7F">
        <w:rPr>
          <w:rFonts w:ascii="Times New Roman" w:eastAsia="Times New Roman" w:hAnsi="Times New Roman" w:cs="Times New Roman"/>
          <w:sz w:val="24"/>
          <w:szCs w:val="24"/>
        </w:rPr>
        <w:t xml:space="preserve">for </w:t>
      </w:r>
      <w:r w:rsidRPr="00941C7F">
        <w:rPr>
          <w:rFonts w:ascii="Times New Roman" w:eastAsia="Times New Roman" w:hAnsi="Times New Roman" w:cs="Times New Roman"/>
          <w:sz w:val="24"/>
          <w:szCs w:val="24"/>
        </w:rPr>
        <w:t xml:space="preserve">their imports. The fundamental drawback of this hypothesis is the absence of its absorptive ability. It does not evaluate the absorptive capacity of an economy and the ability to conceive and execute productive initiatives with help. Its sole aggregate method </w:t>
      </w:r>
      <w:r w:rsidR="00941C7F">
        <w:rPr>
          <w:rFonts w:ascii="Times New Roman" w:eastAsia="Times New Roman" w:hAnsi="Times New Roman" w:cs="Times New Roman"/>
          <w:sz w:val="24"/>
          <w:szCs w:val="24"/>
        </w:rPr>
        <w:t>for</w:t>
      </w:r>
      <w:r w:rsidRPr="00941C7F">
        <w:rPr>
          <w:rFonts w:ascii="Times New Roman" w:eastAsia="Times New Roman" w:hAnsi="Times New Roman" w:cs="Times New Roman"/>
          <w:sz w:val="24"/>
          <w:szCs w:val="24"/>
        </w:rPr>
        <w:t xml:space="preserve"> economic analysis is also another failure. </w:t>
      </w:r>
      <w:r w:rsidR="00015C0F" w:rsidRPr="00015C0F">
        <w:rPr>
          <w:rFonts w:ascii="Times New Roman" w:eastAsia="Times New Roman" w:hAnsi="Times New Roman" w:cs="Times New Roman"/>
          <w:sz w:val="24"/>
          <w:szCs w:val="24"/>
        </w:rPr>
        <w:t>Because undersaving is inherently unable to provide financial support for investment in both the private and governmental sectors of their economies, developing countries face low and weak growth rates (Hunt, 2007).  To put it another way, investments and savings support and sustain economic growth.  The dual-gap concept has to do with how foreign investment contributes to economic growth.    This hypothesis is crucial to the study since it illustrates the state of the Nigerian economy now and its level of development.</w:t>
      </w:r>
    </w:p>
    <w:p w:rsidR="00015C0F" w:rsidRDefault="00015C0F" w:rsidP="00941C7F">
      <w:pPr>
        <w:spacing w:after="0" w:line="360" w:lineRule="auto"/>
        <w:jc w:val="both"/>
        <w:rPr>
          <w:rFonts w:ascii="Times New Roman" w:eastAsia="Times New Roman" w:hAnsi="Times New Roman" w:cs="Times New Roman"/>
          <w:sz w:val="24"/>
          <w:szCs w:val="24"/>
        </w:rPr>
      </w:pPr>
    </w:p>
    <w:p w:rsidR="006E7795" w:rsidRPr="00941C7F" w:rsidRDefault="006433C4" w:rsidP="00941C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941C7F">
        <w:rPr>
          <w:rFonts w:ascii="Times New Roman" w:hAnsi="Times New Roman" w:cs="Times New Roman"/>
          <w:b/>
          <w:sz w:val="24"/>
          <w:szCs w:val="24"/>
        </w:rPr>
        <w:t xml:space="preserve"> Empirical Studies</w:t>
      </w:r>
    </w:p>
    <w:p w:rsidR="006E7795" w:rsidRPr="00941C7F" w:rsidRDefault="006E7795" w:rsidP="00941C7F">
      <w:pPr>
        <w:spacing w:after="0" w:line="360" w:lineRule="auto"/>
        <w:jc w:val="both"/>
        <w:rPr>
          <w:rFonts w:ascii="Times New Roman" w:eastAsia="Times New Roman" w:hAnsi="Times New Roman" w:cs="Times New Roman"/>
          <w:sz w:val="24"/>
          <w:szCs w:val="24"/>
        </w:rPr>
      </w:pPr>
      <w:commentRangeStart w:id="1"/>
      <w:r w:rsidRPr="00941C7F">
        <w:rPr>
          <w:rFonts w:ascii="Times New Roman" w:eastAsia="Times New Roman" w:hAnsi="Times New Roman" w:cs="Times New Roman"/>
          <w:sz w:val="24"/>
          <w:szCs w:val="24"/>
        </w:rPr>
        <w:t xml:space="preserve">Ndubuaku et al. (2021) applied ARDL and Granger Causality methodologies to investigate Nigeria's external debt dynamics and sustainable development from 1980 to 2016 and found that foreign debt and debt payment had a harmful and modest influence on sustainable growth in Nigeria. The investigation further demonstrated that there was a unidirectional correlation extending from debt service to economic development. Similarly, Iteh and Oyeanu (2021), </w:t>
      </w:r>
      <w:commentRangeEnd w:id="1"/>
      <w:r w:rsidR="000C1487">
        <w:rPr>
          <w:rStyle w:val="CommentReference"/>
        </w:rPr>
        <w:commentReference w:id="1"/>
      </w:r>
      <w:r w:rsidRPr="00941C7F">
        <w:rPr>
          <w:rFonts w:ascii="Times New Roman" w:eastAsia="Times New Roman" w:hAnsi="Times New Roman" w:cs="Times New Roman"/>
          <w:sz w:val="24"/>
          <w:szCs w:val="24"/>
        </w:rPr>
        <w:t xml:space="preserve">in an attempt to analyze the impact of external debt on economic growth in Nigeria from 1985 to 2018, employed the Vector Autoregressive (VAR) technique and found that the amount of foreign debt and its servicing had a negative and significant impact on economic growth. indicates that economic growth dropped by 0.495 units for every change in the external debt stock </w:t>
      </w:r>
      <w:r w:rsidRPr="00941C7F">
        <w:rPr>
          <w:rFonts w:ascii="Times New Roman" w:eastAsia="Times New Roman" w:hAnsi="Times New Roman" w:cs="Times New Roman"/>
          <w:sz w:val="24"/>
          <w:szCs w:val="24"/>
        </w:rPr>
        <w:lastRenderedPageBreak/>
        <w:t>by one unit. Conversely, when foreign debt service changed by one unit, economic growth declined by 0.017 units. Using GMM estimate methodologies, Agyapong and Bedjabeng (2020) evaluated the influence of foreign debt and FDI in financial growth in Africa. Their analysis indicated a substantial positive association between foreign debt, FDI, and financial growth in Africa. However, they urged that the administrations of the chosen nations should put borrowed monies to more productive use.</w:t>
      </w:r>
    </w:p>
    <w:p w:rsidR="00D10EDC" w:rsidRPr="00D10EDC" w:rsidRDefault="00830266" w:rsidP="00D10EDC">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Furthermore, the </w:t>
      </w:r>
      <w:r w:rsidR="00015C0F" w:rsidRPr="00941C7F">
        <w:rPr>
          <w:rFonts w:ascii="Times New Roman" w:eastAsia="Times New Roman" w:hAnsi="Times New Roman" w:cs="Times New Roman"/>
          <w:sz w:val="24"/>
          <w:szCs w:val="24"/>
        </w:rPr>
        <w:t>effect</w:t>
      </w:r>
      <w:r w:rsidRPr="00941C7F">
        <w:rPr>
          <w:rFonts w:ascii="Times New Roman" w:eastAsia="Times New Roman" w:hAnsi="Times New Roman" w:cs="Times New Roman"/>
          <w:sz w:val="24"/>
          <w:szCs w:val="24"/>
        </w:rPr>
        <w:t xml:space="preserve"> of capital accumulation on Nigeria's economic development was examined using trend </w:t>
      </w:r>
      <w:r w:rsidR="00015C0F" w:rsidRPr="00941C7F">
        <w:rPr>
          <w:rFonts w:ascii="Times New Roman" w:eastAsia="Times New Roman" w:hAnsi="Times New Roman" w:cs="Times New Roman"/>
          <w:sz w:val="24"/>
          <w:szCs w:val="24"/>
        </w:rPr>
        <w:t>exploration</w:t>
      </w:r>
      <w:r w:rsidRPr="00941C7F">
        <w:rPr>
          <w:rFonts w:ascii="Times New Roman" w:eastAsia="Times New Roman" w:hAnsi="Times New Roman" w:cs="Times New Roman"/>
          <w:sz w:val="24"/>
          <w:szCs w:val="24"/>
        </w:rPr>
        <w:t xml:space="preserve"> by Ajose and Oyedokun (2018). The findings demonstrated a long-r</w:t>
      </w:r>
      <w:r w:rsidR="00015C0F">
        <w:rPr>
          <w:rFonts w:ascii="Times New Roman" w:eastAsia="Times New Roman" w:hAnsi="Times New Roman" w:cs="Times New Roman"/>
          <w:sz w:val="24"/>
          <w:szCs w:val="24"/>
        </w:rPr>
        <w:t xml:space="preserve">un strong link between </w:t>
      </w:r>
      <w:r w:rsidRPr="00941C7F">
        <w:rPr>
          <w:rFonts w:ascii="Times New Roman" w:eastAsia="Times New Roman" w:hAnsi="Times New Roman" w:cs="Times New Roman"/>
          <w:sz w:val="24"/>
          <w:szCs w:val="24"/>
        </w:rPr>
        <w:t>growth</w:t>
      </w:r>
      <w:r w:rsidR="00015C0F">
        <w:rPr>
          <w:rFonts w:ascii="Times New Roman" w:eastAsia="Times New Roman" w:hAnsi="Times New Roman" w:cs="Times New Roman"/>
          <w:sz w:val="24"/>
          <w:szCs w:val="24"/>
        </w:rPr>
        <w:t xml:space="preserve"> of the economy</w:t>
      </w:r>
      <w:r w:rsidRPr="00941C7F">
        <w:rPr>
          <w:rFonts w:ascii="Times New Roman" w:eastAsia="Times New Roman" w:hAnsi="Times New Roman" w:cs="Times New Roman"/>
          <w:sz w:val="24"/>
          <w:szCs w:val="24"/>
        </w:rPr>
        <w:t xml:space="preserve"> and capital accumulation. It also indicated a negative, non-significant link between economic growth and capital accumulation. </w:t>
      </w:r>
      <w:r w:rsidR="00015C0F" w:rsidRPr="00015C0F">
        <w:rPr>
          <w:rFonts w:ascii="Times New Roman" w:eastAsia="Times New Roman" w:hAnsi="Times New Roman" w:cs="Times New Roman"/>
          <w:sz w:val="24"/>
          <w:szCs w:val="24"/>
        </w:rPr>
        <w:t>Therefore, there is a need for investor-friendly policies that would promote and draw in more capital from foreign investors and provide an environment that is conducive to the growth of fixed capital accumulation.In 2016, Lucky and Uzah assessed the decisive factors that led to Nigeria's capital accumulation.  The study found that terms of trade, foreign debt, broad money, and gross national savings all had negative and negligible effects on capital production using the Vector Error Correction Model.  On the other hand, lending rates, private sector credit, and inflation rates all have slight but favorable effects.  As a result, the research recommends that the banking system be strengthened, that policies be put in place to prevent capital flight, and that government funds be used to build infrastructure in order to boost capital accumulation in Nigeria.</w:t>
      </w:r>
      <w:r w:rsidRPr="00941C7F">
        <w:rPr>
          <w:rFonts w:ascii="Times New Roman" w:eastAsia="Times New Roman" w:hAnsi="Times New Roman" w:cs="Times New Roman"/>
          <w:sz w:val="24"/>
          <w:szCs w:val="24"/>
        </w:rPr>
        <w:t xml:space="preserve">Ogunbiyi and Okunlola (2015), in their study, analyzed the link between capital accumulation and the foreign debt load of Nigeria </w:t>
      </w:r>
      <w:r w:rsidR="00E2642E">
        <w:rPr>
          <w:rFonts w:ascii="Times New Roman" w:eastAsia="Times New Roman" w:hAnsi="Times New Roman" w:cs="Times New Roman"/>
          <w:sz w:val="24"/>
          <w:szCs w:val="24"/>
        </w:rPr>
        <w:t>from 1980 to 2012</w:t>
      </w:r>
      <w:r w:rsidRPr="00941C7F">
        <w:rPr>
          <w:rFonts w:ascii="Times New Roman" w:eastAsia="Times New Roman" w:hAnsi="Times New Roman" w:cs="Times New Roman"/>
          <w:sz w:val="24"/>
          <w:szCs w:val="24"/>
        </w:rPr>
        <w:t xml:space="preserve">. </w:t>
      </w:r>
      <w:r w:rsidR="00D10EDC" w:rsidRPr="00D10EDC">
        <w:rPr>
          <w:rFonts w:ascii="Times New Roman" w:eastAsia="Times New Roman" w:hAnsi="Times New Roman" w:cs="Times New Roman"/>
          <w:sz w:val="24"/>
          <w:szCs w:val="24"/>
        </w:rPr>
        <w:t>The study found that gross fixed capital accumulation and external debt burden had a statistically significant impact on gross domestic product using OLS estimating approaches. Gross fixed capital accumulation was positively impacted by the total foreign debt stock. As a result, caution is advised while making any more external borrowings.</w:t>
      </w:r>
    </w:p>
    <w:p w:rsidR="005705BD" w:rsidRPr="00D10EDC" w:rsidRDefault="00D10EDC" w:rsidP="00941C7F">
      <w:pPr>
        <w:spacing w:after="0" w:line="360" w:lineRule="auto"/>
        <w:jc w:val="both"/>
        <w:rPr>
          <w:rFonts w:ascii="Times New Roman" w:hAnsi="Times New Roman" w:cs="Times New Roman"/>
          <w:sz w:val="24"/>
          <w:szCs w:val="24"/>
        </w:rPr>
      </w:pPr>
      <w:r w:rsidRPr="00D10EDC">
        <w:rPr>
          <w:rFonts w:ascii="Times New Roman" w:hAnsi="Times New Roman" w:cs="Times New Roman"/>
          <w:sz w:val="24"/>
          <w:szCs w:val="24"/>
        </w:rPr>
        <w:t>According to a study, exports, inflation, foreign direct investment, and the amount of external debt all had a favorable relationship with economic growth (Eravwoke&amp;Oyovwi, 2013).  The study's findings further assess if there is a long-term relationship between the main determinants and recommend that the Nigerian government refrain from taking out unproductive loans (Eravwoke and Oyovwi 2013).</w:t>
      </w:r>
    </w:p>
    <w:p w:rsidR="00D10EDC" w:rsidRPr="00D10EDC" w:rsidRDefault="00D10EDC" w:rsidP="00D10EDC">
      <w:pPr>
        <w:spacing w:line="360" w:lineRule="auto"/>
        <w:jc w:val="both"/>
        <w:rPr>
          <w:rFonts w:ascii="Times New Roman" w:hAnsi="Times New Roman" w:cs="Times New Roman"/>
          <w:sz w:val="24"/>
          <w:szCs w:val="24"/>
        </w:rPr>
      </w:pPr>
      <w:r w:rsidRPr="00D10EDC">
        <w:rPr>
          <w:rFonts w:ascii="Times New Roman" w:hAnsi="Times New Roman" w:cs="Times New Roman"/>
          <w:sz w:val="24"/>
          <w:szCs w:val="24"/>
        </w:rPr>
        <w:t>Additionally, Ogbuabor, Malaolu, and Mba (2013) conducted an empirical evaluation of the impact of informality on domestic savings in Nigeria from 1970 to 2011. Using the time series analysis method, the long-run model's estimated results show that although the level of financial depth has a significant and positive impact on domestic savings in Nigeria, informality restricts the growth of domestic savings. In order to boost real income per capita growth and reduce unemployment, the paper suggested encouraging higher production.</w:t>
      </w:r>
    </w:p>
    <w:p w:rsidR="00D10EDC" w:rsidRDefault="00D10EDC" w:rsidP="00941C7F">
      <w:pPr>
        <w:spacing w:line="360" w:lineRule="auto"/>
        <w:jc w:val="both"/>
        <w:rPr>
          <w:rFonts w:ascii="Times New Roman" w:hAnsi="Times New Roman" w:cs="Times New Roman"/>
          <w:b/>
          <w:sz w:val="24"/>
          <w:szCs w:val="24"/>
        </w:rPr>
      </w:pPr>
    </w:p>
    <w:p w:rsidR="00D10EDC" w:rsidRDefault="00D10EDC" w:rsidP="00941C7F">
      <w:pPr>
        <w:spacing w:line="360" w:lineRule="auto"/>
        <w:jc w:val="both"/>
        <w:rPr>
          <w:rFonts w:ascii="Times New Roman" w:hAnsi="Times New Roman" w:cs="Times New Roman"/>
          <w:b/>
          <w:sz w:val="24"/>
          <w:szCs w:val="24"/>
        </w:rPr>
      </w:pPr>
    </w:p>
    <w:p w:rsidR="00D10EDC" w:rsidRDefault="00D10EDC" w:rsidP="00941C7F">
      <w:pPr>
        <w:spacing w:line="360" w:lineRule="auto"/>
        <w:jc w:val="both"/>
        <w:rPr>
          <w:rFonts w:ascii="Times New Roman" w:hAnsi="Times New Roman" w:cs="Times New Roman"/>
          <w:b/>
          <w:sz w:val="24"/>
          <w:szCs w:val="24"/>
        </w:rPr>
      </w:pPr>
    </w:p>
    <w:p w:rsidR="0053318E" w:rsidRPr="006433C4" w:rsidRDefault="0053318E" w:rsidP="00941C7F">
      <w:pPr>
        <w:spacing w:line="360" w:lineRule="auto"/>
        <w:jc w:val="both"/>
        <w:rPr>
          <w:rFonts w:ascii="Times New Roman" w:hAnsi="Times New Roman" w:cs="Times New Roman"/>
          <w:b/>
          <w:sz w:val="24"/>
          <w:szCs w:val="24"/>
        </w:rPr>
      </w:pPr>
      <w:r w:rsidRPr="006433C4">
        <w:rPr>
          <w:rFonts w:ascii="Times New Roman" w:hAnsi="Times New Roman" w:cs="Times New Roman"/>
          <w:b/>
          <w:sz w:val="24"/>
          <w:szCs w:val="24"/>
        </w:rPr>
        <w:t>CONTRIBUTION TO KNOWLEDGE</w:t>
      </w:r>
    </w:p>
    <w:p w:rsidR="00941C7F" w:rsidRPr="00941C7F" w:rsidRDefault="00417E4D" w:rsidP="00941C7F">
      <w:pPr>
        <w:pStyle w:val="NormalWeb"/>
        <w:spacing w:line="360" w:lineRule="auto"/>
        <w:jc w:val="both"/>
      </w:pPr>
      <w:commentRangeStart w:id="2"/>
      <w:r w:rsidRPr="00941C7F">
        <w:t>Apart from conflicting results, there are also conflicting issues in models where only the interest rate was used as a determinant for saving, without recourse to the exchange rate, upon which most of the debt will be paid. (Elwasila, 2018; Matuka&amp;Asafo, 2018; Matandare&amp; Tito, 2018; Said &amp; Yusuf, 2018; Shkolnyk&amp;Koilo, 2018; Onwuka, 2021</w:t>
      </w:r>
      <w:commentRangeStart w:id="3"/>
      <w:r w:rsidRPr="00941C7F">
        <w:t xml:space="preserve">). </w:t>
      </w:r>
      <w:r w:rsidR="00D10EDC" w:rsidRPr="00941C7F">
        <w:t>Some</w:t>
      </w:r>
      <w:r w:rsidRPr="00941C7F">
        <w:t xml:space="preserve"> of the researchers employed OLS</w:t>
      </w:r>
      <w:commentRangeEnd w:id="3"/>
      <w:r w:rsidR="005022B7">
        <w:rPr>
          <w:rStyle w:val="CommentReference"/>
          <w:rFonts w:asciiTheme="minorHAnsi" w:eastAsiaTheme="minorHAnsi" w:hAnsiTheme="minorHAnsi" w:cstheme="minorBidi"/>
        </w:rPr>
        <w:commentReference w:id="3"/>
      </w:r>
      <w:r w:rsidRPr="00941C7F">
        <w:t>, which this study argued to be a weak empirical technique since debt and capital accumulation should be an intertemporal policy that has not been a period in time but over some time (Forgha et al., 2014). Using a stronger analytical technique of autoregressive distributed lag (ARDL) and an improved model that will include both the interest rate as the domestic investor’s driver and the exchange rate as the external investor’s driver in a</w:t>
      </w:r>
      <w:r w:rsidR="00830266" w:rsidRPr="00941C7F">
        <w:t>chieving an inclusive analysis.</w:t>
      </w:r>
      <w:commentRangeEnd w:id="2"/>
      <w:r w:rsidR="005022B7">
        <w:rPr>
          <w:rStyle w:val="CommentReference"/>
          <w:rFonts w:asciiTheme="minorHAnsi" w:eastAsiaTheme="minorHAnsi" w:hAnsiTheme="minorHAnsi" w:cstheme="minorBidi"/>
        </w:rPr>
        <w:commentReference w:id="2"/>
      </w:r>
    </w:p>
    <w:p w:rsidR="007A6C4E" w:rsidRPr="00941C7F" w:rsidRDefault="006433C4" w:rsidP="00941C7F">
      <w:pPr>
        <w:spacing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2.3</w:t>
      </w:r>
      <w:r w:rsidR="007A6C4E" w:rsidRPr="00941C7F">
        <w:rPr>
          <w:rFonts w:ascii="Times New Roman" w:eastAsia="Times New Roman" w:hAnsi="Times New Roman" w:cs="Times New Roman"/>
          <w:b/>
          <w:sz w:val="24"/>
          <w:szCs w:val="24"/>
        </w:rPr>
        <w:t xml:space="preserve">Stylized facts on external debt on </w:t>
      </w:r>
      <w:r w:rsidR="0053318E" w:rsidRPr="00941C7F">
        <w:rPr>
          <w:rFonts w:ascii="Times New Roman" w:eastAsia="Times New Roman" w:hAnsi="Times New Roman" w:cs="Times New Roman"/>
          <w:b/>
          <w:sz w:val="24"/>
          <w:szCs w:val="24"/>
        </w:rPr>
        <w:t>Nigeria's</w:t>
      </w:r>
      <w:r w:rsidR="007A6C4E" w:rsidRPr="00941C7F">
        <w:rPr>
          <w:rFonts w:ascii="Times New Roman" w:eastAsia="Times New Roman" w:hAnsi="Times New Roman" w:cs="Times New Roman"/>
          <w:b/>
          <w:sz w:val="24"/>
          <w:szCs w:val="24"/>
        </w:rPr>
        <w:t xml:space="preserve"> capital accumulation </w:t>
      </w:r>
    </w:p>
    <w:p w:rsidR="00D10EDC" w:rsidRDefault="00D10EDC" w:rsidP="00070E48">
      <w:pPr>
        <w:spacing w:after="0" w:line="360" w:lineRule="auto"/>
        <w:jc w:val="both"/>
        <w:rPr>
          <w:rFonts w:ascii="Times New Roman" w:eastAsia="Times New Roman" w:hAnsi="Times New Roman" w:cs="Times New Roman"/>
          <w:sz w:val="24"/>
          <w:szCs w:val="24"/>
        </w:rPr>
      </w:pPr>
      <w:r w:rsidRPr="00D10EDC">
        <w:rPr>
          <w:rFonts w:ascii="Times New Roman" w:eastAsia="Times New Roman" w:hAnsi="Times New Roman" w:cs="Times New Roman"/>
          <w:sz w:val="24"/>
          <w:szCs w:val="24"/>
        </w:rPr>
        <w:t>Nigeria's foreign debt began in 1958 when the World Bank granted a loan of USD 28 million to finance railway and other infrastructure projects (Mbah, Umunna, &amp; Agu, 2016). When Nigeria's total foreign debt reached USD 19 billion in 1985, the challenge of debt repayment started. The amount borrowed was less than USD 15 billion, even though the government was able to pay back the foreign creditors (the Paris Club) more than USD 35 billion.</w:t>
      </w:r>
      <w:r w:rsidR="00070E48" w:rsidRPr="00070E48">
        <w:rPr>
          <w:rFonts w:ascii="Times New Roman" w:eastAsia="Times New Roman" w:hAnsi="Times New Roman" w:cs="Times New Roman"/>
          <w:sz w:val="24"/>
          <w:szCs w:val="24"/>
        </w:rPr>
        <w:t>Nigeria had low domestic investment, high unemployment, balance of payments deficits, and dismal growth rates averaging less than 3 percent annually throughout the 1990s.  Nigeria was burdened by debt.  This situation made it difficult for the government and business sector to get funds from the international capital market and discouraged inves</w:t>
      </w:r>
      <w:r w:rsidR="00070E48">
        <w:rPr>
          <w:rFonts w:ascii="Times New Roman" w:eastAsia="Times New Roman" w:hAnsi="Times New Roman" w:cs="Times New Roman"/>
          <w:sz w:val="24"/>
          <w:szCs w:val="24"/>
        </w:rPr>
        <w:t xml:space="preserve">tment in the Nigerian economy. </w:t>
      </w:r>
      <w:r w:rsidR="00070E48" w:rsidRPr="00070E48">
        <w:rPr>
          <w:rFonts w:ascii="Times New Roman" w:eastAsia="Times New Roman" w:hAnsi="Times New Roman" w:cs="Times New Roman"/>
          <w:sz w:val="24"/>
          <w:szCs w:val="24"/>
        </w:rPr>
        <w:t>The civilian government, elected in 1999, launched the National Economic Empowerment and economic plan (NEEDS), an indigenous economic plan, after almost thirty years of military rule.</w:t>
      </w:r>
    </w:p>
    <w:p w:rsidR="00020DE5" w:rsidRPr="00070E48" w:rsidRDefault="00020DE5" w:rsidP="00070E48">
      <w:pPr>
        <w:spacing w:after="0" w:line="360" w:lineRule="auto"/>
        <w:jc w:val="both"/>
        <w:rPr>
          <w:rFonts w:ascii="Times New Roman" w:eastAsia="Times New Roman" w:hAnsi="Times New Roman" w:cs="Times New Roman"/>
          <w:sz w:val="24"/>
          <w:szCs w:val="24"/>
        </w:rPr>
      </w:pPr>
    </w:p>
    <w:p w:rsidR="00517743" w:rsidRPr="00941C7F" w:rsidRDefault="006433C4" w:rsidP="00941C7F">
      <w:pPr>
        <w:spacing w:line="360" w:lineRule="auto"/>
        <w:jc w:val="both"/>
        <w:rPr>
          <w:rFonts w:ascii="Times New Roman" w:hAnsi="Times New Roman" w:cs="Times New Roman"/>
          <w:b/>
          <w:sz w:val="24"/>
          <w:szCs w:val="24"/>
        </w:rPr>
      </w:pPr>
      <w:r>
        <w:rPr>
          <w:rFonts w:ascii="Times New Roman" w:hAnsi="Times New Roman" w:cs="Times New Roman"/>
          <w:b/>
          <w:sz w:val="24"/>
          <w:szCs w:val="24"/>
        </w:rPr>
        <w:t>Nigeria's</w:t>
      </w:r>
      <w:r w:rsidR="00517743" w:rsidRPr="00941C7F">
        <w:rPr>
          <w:rFonts w:ascii="Times New Roman" w:hAnsi="Times New Roman" w:cs="Times New Roman"/>
          <w:b/>
          <w:sz w:val="24"/>
          <w:szCs w:val="24"/>
        </w:rPr>
        <w:t xml:space="preserve"> debt servicing and capital accumulation </w:t>
      </w:r>
    </w:p>
    <w:p w:rsidR="00A01041" w:rsidRPr="00941C7F" w:rsidRDefault="00A01041" w:rsidP="00941C7F">
      <w:pPr>
        <w:shd w:val="clear" w:color="auto" w:fill="FFFFFF"/>
        <w:spacing w:after="60" w:line="360" w:lineRule="auto"/>
        <w:jc w:val="both"/>
        <w:textAlignment w:val="top"/>
        <w:rPr>
          <w:rFonts w:ascii="Times New Roman" w:hAnsi="Times New Roman" w:cs="Times New Roman"/>
          <w:b/>
          <w:sz w:val="24"/>
          <w:szCs w:val="24"/>
        </w:rPr>
      </w:pPr>
      <w:r w:rsidRPr="00941C7F">
        <w:rPr>
          <w:rFonts w:ascii="Times New Roman" w:hAnsi="Times New Roman" w:cs="Times New Roman"/>
          <w:sz w:val="24"/>
          <w:szCs w:val="24"/>
        </w:rPr>
        <w:t xml:space="preserve">Table 1:   </w:t>
      </w:r>
      <w:r w:rsidRPr="00941C7F">
        <w:rPr>
          <w:rFonts w:ascii="Times New Roman" w:hAnsi="Times New Roman" w:cs="Times New Roman"/>
          <w:b/>
          <w:sz w:val="24"/>
          <w:szCs w:val="24"/>
        </w:rPr>
        <w:t>Nigeria Public Debt Stock 2010-2023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0"/>
        <w:gridCol w:w="4529"/>
        <w:gridCol w:w="4058"/>
      </w:tblGrid>
      <w:tr w:rsidR="00A01041" w:rsidRPr="00941C7F" w:rsidTr="00FE2A6C">
        <w:trPr>
          <w:trHeight w:val="20"/>
        </w:trPr>
        <w:tc>
          <w:tcPr>
            <w:tcW w:w="1240" w:type="dxa"/>
            <w:tcBorders>
              <w:bottom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Year</w:t>
            </w:r>
          </w:p>
        </w:tc>
        <w:tc>
          <w:tcPr>
            <w:tcW w:w="4529" w:type="dxa"/>
            <w:tcBorders>
              <w:bottom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Nigeria Current Debt Stock (USD$ Billion)</w:t>
            </w:r>
          </w:p>
        </w:tc>
        <w:tc>
          <w:tcPr>
            <w:tcW w:w="4058" w:type="dxa"/>
            <w:tcBorders>
              <w:bottom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Percentage change %</w:t>
            </w:r>
          </w:p>
        </w:tc>
      </w:tr>
      <w:tr w:rsidR="00A01041" w:rsidRPr="00941C7F" w:rsidTr="00FE2A6C">
        <w:trPr>
          <w:trHeight w:val="20"/>
        </w:trPr>
        <w:tc>
          <w:tcPr>
            <w:tcW w:w="1240" w:type="dxa"/>
            <w:tcBorders>
              <w:top w:val="single" w:sz="4" w:space="0" w:color="auto"/>
            </w:tcBorders>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lastRenderedPageBreak/>
              <w:t>2010</w:t>
            </w:r>
          </w:p>
        </w:tc>
        <w:tc>
          <w:tcPr>
            <w:tcW w:w="4529" w:type="dxa"/>
            <w:tcBorders>
              <w:top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28.26</w:t>
            </w:r>
          </w:p>
        </w:tc>
        <w:tc>
          <w:tcPr>
            <w:tcW w:w="4058" w:type="dxa"/>
            <w:tcBorders>
              <w:top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12.77</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2011</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32.38</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14.56</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2012</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36.98</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14.22</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2013</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38.77</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4.84</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2014</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41.8</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7.82</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2015</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41.54</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0.63</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2016</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41.36</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0.44</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2017</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62.79</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51.82</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2018</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66.57</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6.01</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2019</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77.71</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16.74</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2020</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82.83</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6.59</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2021</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90.89</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9.72</w:t>
            </w:r>
          </w:p>
        </w:tc>
      </w:tr>
      <w:tr w:rsidR="00A01041" w:rsidRPr="00941C7F" w:rsidTr="00FE2A6C">
        <w:trPr>
          <w:trHeight w:val="20"/>
        </w:trPr>
        <w:tc>
          <w:tcPr>
            <w:tcW w:w="1240" w:type="dxa"/>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2022</w:t>
            </w:r>
          </w:p>
        </w:tc>
        <w:tc>
          <w:tcPr>
            <w:tcW w:w="4529"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98.34</w:t>
            </w:r>
          </w:p>
        </w:tc>
        <w:tc>
          <w:tcPr>
            <w:tcW w:w="4058" w:type="dxa"/>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8.2</w:t>
            </w:r>
          </w:p>
        </w:tc>
      </w:tr>
      <w:tr w:rsidR="00A01041" w:rsidRPr="00941C7F" w:rsidTr="00FE2A6C">
        <w:trPr>
          <w:trHeight w:val="20"/>
        </w:trPr>
        <w:tc>
          <w:tcPr>
            <w:tcW w:w="1240" w:type="dxa"/>
            <w:tcBorders>
              <w:bottom w:val="single" w:sz="4" w:space="0" w:color="auto"/>
            </w:tcBorders>
            <w:vAlign w:val="center"/>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2023</w:t>
            </w:r>
          </w:p>
        </w:tc>
        <w:tc>
          <w:tcPr>
            <w:tcW w:w="4529" w:type="dxa"/>
            <w:tcBorders>
              <w:bottom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108.2</w:t>
            </w:r>
          </w:p>
        </w:tc>
        <w:tc>
          <w:tcPr>
            <w:tcW w:w="4058" w:type="dxa"/>
            <w:tcBorders>
              <w:bottom w:val="single" w:sz="4" w:space="0" w:color="auto"/>
            </w:tcBorders>
          </w:tcPr>
          <w:p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4.97</w:t>
            </w:r>
          </w:p>
        </w:tc>
      </w:tr>
    </w:tbl>
    <w:p w:rsidR="00A01041"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Source: Debt management Office (DMO), 2025 </w:t>
      </w:r>
    </w:p>
    <w:p w:rsidR="006433C4" w:rsidRDefault="006433C4" w:rsidP="00941C7F">
      <w:pPr>
        <w:spacing w:line="360" w:lineRule="auto"/>
        <w:jc w:val="both"/>
        <w:rPr>
          <w:rFonts w:ascii="Times New Roman" w:hAnsi="Times New Roman" w:cs="Times New Roman"/>
          <w:sz w:val="24"/>
          <w:szCs w:val="24"/>
        </w:rPr>
      </w:pPr>
    </w:p>
    <w:p w:rsidR="006433C4" w:rsidRPr="00941C7F" w:rsidRDefault="006433C4" w:rsidP="00941C7F">
      <w:pPr>
        <w:spacing w:line="360" w:lineRule="auto"/>
        <w:jc w:val="both"/>
        <w:rPr>
          <w:rFonts w:ascii="Times New Roman" w:hAnsi="Times New Roman" w:cs="Times New Roman"/>
          <w:sz w:val="24"/>
          <w:szCs w:val="24"/>
        </w:rPr>
      </w:pP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Figure1: Trend analysis of Nigeria Current Public Debt Stock (USD$) from 2010-2023</w:t>
      </w:r>
    </w:p>
    <w:p w:rsidR="00A01041" w:rsidRPr="00941C7F" w:rsidRDefault="00A01041" w:rsidP="00941C7F">
      <w:pPr>
        <w:shd w:val="clear" w:color="auto" w:fill="FFFFFF"/>
        <w:spacing w:after="0" w:line="360" w:lineRule="auto"/>
        <w:jc w:val="both"/>
        <w:textAlignment w:val="top"/>
        <w:rPr>
          <w:rFonts w:ascii="Times New Roman" w:hAnsi="Times New Roman" w:cs="Times New Roman"/>
          <w:sz w:val="24"/>
          <w:szCs w:val="24"/>
        </w:rPr>
      </w:pPr>
      <w:r w:rsidRPr="00941C7F">
        <w:rPr>
          <w:rFonts w:ascii="Times New Roman" w:hAnsi="Times New Roman" w:cs="Times New Roman"/>
          <w:noProof/>
          <w:sz w:val="24"/>
          <w:szCs w:val="24"/>
        </w:rPr>
        <w:drawing>
          <wp:inline distT="0" distB="0" distL="0" distR="0">
            <wp:extent cx="6219825" cy="2886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1041" w:rsidRPr="00941C7F" w:rsidRDefault="00A01041"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Source: Debt management Office (DMO), 2025 </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This assertion was justified from the statistics as shown in Table 1 from the </w:t>
      </w:r>
      <w:r w:rsidR="00CC4062">
        <w:rPr>
          <w:rFonts w:ascii="Times New Roman" w:hAnsi="Times New Roman" w:cs="Times New Roman"/>
          <w:sz w:val="24"/>
          <w:szCs w:val="24"/>
        </w:rPr>
        <w:t>Nigerian Debt</w:t>
      </w:r>
      <w:r w:rsidRPr="00941C7F">
        <w:rPr>
          <w:rFonts w:ascii="Times New Roman" w:hAnsi="Times New Roman" w:cs="Times New Roman"/>
          <w:sz w:val="24"/>
          <w:szCs w:val="24"/>
        </w:rPr>
        <w:t xml:space="preserve"> management office (DMO, 2025). It is also shown in the trend analysis.</w:t>
      </w:r>
    </w:p>
    <w:p w:rsidR="007A6C4E" w:rsidRPr="00941C7F" w:rsidRDefault="00070E48" w:rsidP="00941C7F">
      <w:pPr>
        <w:spacing w:line="360" w:lineRule="auto"/>
        <w:jc w:val="both"/>
        <w:rPr>
          <w:rFonts w:ascii="Times New Roman" w:hAnsi="Times New Roman" w:cs="Times New Roman"/>
          <w:sz w:val="24"/>
          <w:szCs w:val="24"/>
        </w:rPr>
      </w:pPr>
      <w:r w:rsidRPr="00070E48">
        <w:rPr>
          <w:rFonts w:ascii="Times New Roman" w:hAnsi="Times New Roman" w:cs="Times New Roman"/>
          <w:sz w:val="24"/>
          <w:szCs w:val="24"/>
        </w:rPr>
        <w:t>Nigeria's capital stock, which was built up to be a hedge against unanticipated volatility and maintained at a level above the global benchmark of at least three months to support her exports in the 1980s, has been steadily depleted as a result of the debt burden obligation.</w:t>
      </w:r>
      <w:r w:rsidR="007A6C4E" w:rsidRPr="00941C7F">
        <w:rPr>
          <w:rFonts w:ascii="Times New Roman" w:hAnsi="Times New Roman" w:cs="Times New Roman"/>
          <w:sz w:val="24"/>
          <w:szCs w:val="24"/>
        </w:rPr>
        <w:t xml:space="preserve"> However, continuous misappropriations of these borrowed funds, dwindling oil prices, continue fall of the naira among other things, have resulted in depleting this reserved capital. </w:t>
      </w:r>
      <w:r w:rsidR="008E0C7E" w:rsidRPr="008E0C7E">
        <w:rPr>
          <w:rFonts w:ascii="Times New Roman" w:hAnsi="Times New Roman" w:cs="Times New Roman"/>
          <w:sz w:val="24"/>
          <w:szCs w:val="24"/>
        </w:rPr>
        <w:t>Nigeria's foreign currency reserves increased to 35,563 million US dollars in December 2022 after falling to 28,200 USD million in January from 29,130 USD million in December 2015.   From 10,235.05 USD million in 1960 to a record high of 62,081.86 USD million in September 2008, Nigeria's foreign reserves rose from a low of 63.22 USD million in June 1968.  Nigeria's foreign reserves tended to rise between 1973 and 2022, reaching 35,563 million US dollars in 2022, despite significant recent fluctuations.The destructive trend is expected to occur in 2016, according to CBN Economic Calendar and News (CBN Economic Calendar &amp; News 2016).  According to economic theory, factor accumulation and productive development are two ways that a moderate amount of borrowing fosters economic expansion.  It is often said that debtor countries would experience macroeconomic stability and accelerate economic development if borrowed monies are used into profitable investments.  This research shows how Nigeria's capital accumulation has been affected by debt payments.</w:t>
      </w:r>
    </w:p>
    <w:p w:rsidR="00A01041" w:rsidRPr="00941C7F" w:rsidRDefault="00A01041"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Table 2: Nigeria’s debt servicing to revenue ratio</w:t>
      </w:r>
    </w:p>
    <w:tbl>
      <w:tblPr>
        <w:tblStyle w:val="TableGrid"/>
        <w:tblW w:w="1031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062"/>
        <w:gridCol w:w="881"/>
        <w:gridCol w:w="2694"/>
        <w:gridCol w:w="2611"/>
        <w:gridCol w:w="2062"/>
      </w:tblGrid>
      <w:tr w:rsidR="00A01041" w:rsidRPr="00941C7F" w:rsidTr="008E0C7E">
        <w:trPr>
          <w:trHeight w:val="1196"/>
        </w:trPr>
        <w:tc>
          <w:tcPr>
            <w:tcW w:w="2062" w:type="dxa"/>
            <w:tcBorders>
              <w:right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President     </w:t>
            </w:r>
          </w:p>
          <w:p w:rsidR="00A01041" w:rsidRPr="00941C7F" w:rsidRDefault="00A01041" w:rsidP="00941C7F">
            <w:pPr>
              <w:spacing w:line="360" w:lineRule="auto"/>
              <w:jc w:val="both"/>
              <w:rPr>
                <w:rFonts w:ascii="Times New Roman" w:hAnsi="Times New Roman" w:cs="Times New Roman"/>
                <w:sz w:val="24"/>
                <w:szCs w:val="24"/>
              </w:rPr>
            </w:pPr>
          </w:p>
        </w:tc>
        <w:tc>
          <w:tcPr>
            <w:tcW w:w="881" w:type="dxa"/>
            <w:tcBorders>
              <w:left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Period</w:t>
            </w:r>
          </w:p>
          <w:p w:rsidR="00A01041" w:rsidRPr="00941C7F" w:rsidRDefault="00A01041" w:rsidP="00941C7F">
            <w:pPr>
              <w:spacing w:line="360" w:lineRule="auto"/>
              <w:jc w:val="both"/>
              <w:rPr>
                <w:rFonts w:ascii="Times New Roman" w:hAnsi="Times New Roman" w:cs="Times New Roman"/>
                <w:sz w:val="24"/>
                <w:szCs w:val="24"/>
              </w:rPr>
            </w:pPr>
          </w:p>
        </w:tc>
        <w:tc>
          <w:tcPr>
            <w:tcW w:w="2694" w:type="dxa"/>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FGN Retained Revenue        (₦ Trillion)       </w:t>
            </w:r>
          </w:p>
          <w:p w:rsidR="00A01041" w:rsidRPr="00941C7F" w:rsidRDefault="00A01041" w:rsidP="00941C7F">
            <w:pPr>
              <w:spacing w:line="360" w:lineRule="auto"/>
              <w:jc w:val="both"/>
              <w:rPr>
                <w:rFonts w:ascii="Times New Roman" w:hAnsi="Times New Roman" w:cs="Times New Roman"/>
                <w:sz w:val="24"/>
                <w:szCs w:val="24"/>
              </w:rPr>
            </w:pPr>
          </w:p>
          <w:p w:rsidR="00A01041" w:rsidRPr="00941C7F" w:rsidRDefault="00A01041" w:rsidP="00941C7F">
            <w:pPr>
              <w:spacing w:line="360" w:lineRule="auto"/>
              <w:jc w:val="both"/>
              <w:rPr>
                <w:rFonts w:ascii="Times New Roman" w:hAnsi="Times New Roman" w:cs="Times New Roman"/>
                <w:sz w:val="24"/>
                <w:szCs w:val="24"/>
              </w:rPr>
            </w:pPr>
          </w:p>
        </w:tc>
        <w:tc>
          <w:tcPr>
            <w:tcW w:w="2611" w:type="dxa"/>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Debt Servicing </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Trillion) </w:t>
            </w:r>
          </w:p>
          <w:p w:rsidR="00A01041" w:rsidRPr="00941C7F" w:rsidRDefault="00A01041" w:rsidP="00941C7F">
            <w:pPr>
              <w:spacing w:line="360" w:lineRule="auto"/>
              <w:jc w:val="both"/>
              <w:rPr>
                <w:rFonts w:ascii="Times New Roman" w:hAnsi="Times New Roman" w:cs="Times New Roman"/>
                <w:sz w:val="24"/>
                <w:szCs w:val="24"/>
              </w:rPr>
            </w:pPr>
          </w:p>
          <w:p w:rsidR="00A01041" w:rsidRPr="00941C7F" w:rsidRDefault="00A01041" w:rsidP="00941C7F">
            <w:pPr>
              <w:spacing w:line="360" w:lineRule="auto"/>
              <w:jc w:val="both"/>
              <w:rPr>
                <w:rFonts w:ascii="Times New Roman" w:hAnsi="Times New Roman" w:cs="Times New Roman"/>
                <w:sz w:val="24"/>
                <w:szCs w:val="24"/>
              </w:rPr>
            </w:pPr>
          </w:p>
        </w:tc>
        <w:tc>
          <w:tcPr>
            <w:tcW w:w="2062" w:type="dxa"/>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Debt servicing to revenue ratio %</w:t>
            </w:r>
          </w:p>
        </w:tc>
      </w:tr>
      <w:tr w:rsidR="00A01041" w:rsidRPr="00941C7F" w:rsidTr="00FE2A6C">
        <w:trPr>
          <w:trHeight w:val="3572"/>
        </w:trPr>
        <w:tc>
          <w:tcPr>
            <w:tcW w:w="2062" w:type="dxa"/>
            <w:tcBorders>
              <w:bottom w:val="single" w:sz="4" w:space="0" w:color="auto"/>
              <w:right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Tinubu</w:t>
            </w:r>
          </w:p>
        </w:tc>
        <w:tc>
          <w:tcPr>
            <w:tcW w:w="881" w:type="dxa"/>
            <w:tcBorders>
              <w:left w:val="single" w:sz="4" w:space="0" w:color="auto"/>
              <w:bottom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2010</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2011</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2014</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2017</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2018</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2019</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2020</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2021</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2023</w:t>
            </w:r>
          </w:p>
        </w:tc>
        <w:tc>
          <w:tcPr>
            <w:tcW w:w="2694" w:type="dxa"/>
            <w:tcBorders>
              <w:bottom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3,388,905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3,376,982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3,156,008</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3,362,195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3,287,771</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3,209,565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3,180,373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3,618,925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3,876,267</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4,689,293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4,024,646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4,397,689</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5,057,331</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11,88</w:t>
            </w:r>
          </w:p>
        </w:tc>
        <w:tc>
          <w:tcPr>
            <w:tcW w:w="2611" w:type="dxa"/>
            <w:tcBorders>
              <w:bottom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415,622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527,083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681,816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828,102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941,670</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1,060,383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1,384,901</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1,648,252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2,161,372</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2,453,738</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3,265,473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4,221,654</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5,656,578</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7,66 </w:t>
            </w:r>
          </w:p>
        </w:tc>
        <w:tc>
          <w:tcPr>
            <w:tcW w:w="2062" w:type="dxa"/>
            <w:tcBorders>
              <w:bottom w:val="single" w:sz="4" w:space="0" w:color="auto"/>
            </w:tcBorders>
          </w:tcPr>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12.3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15.6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21.6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24.6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28.6</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33.0</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43.5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45.5</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55.8</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52.3</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81.1</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96.0</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111.8</w:t>
            </w:r>
          </w:p>
          <w:p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64.56</w:t>
            </w:r>
          </w:p>
        </w:tc>
      </w:tr>
    </w:tbl>
    <w:p w:rsidR="00A01041" w:rsidRPr="00941C7F" w:rsidRDefault="00A01041" w:rsidP="00941C7F">
      <w:pPr>
        <w:shd w:val="clear" w:color="auto" w:fill="FFFFFF"/>
        <w:spacing w:after="60" w:line="360" w:lineRule="auto"/>
        <w:jc w:val="both"/>
        <w:textAlignment w:val="top"/>
        <w:rPr>
          <w:rFonts w:ascii="Times New Roman" w:hAnsi="Times New Roman" w:cs="Times New Roman"/>
          <w:b/>
          <w:sz w:val="24"/>
          <w:szCs w:val="24"/>
        </w:rPr>
      </w:pPr>
      <w:r w:rsidRPr="00941C7F">
        <w:rPr>
          <w:rFonts w:ascii="Times New Roman" w:hAnsi="Times New Roman" w:cs="Times New Roman"/>
          <w:b/>
          <w:sz w:val="24"/>
          <w:szCs w:val="24"/>
        </w:rPr>
        <w:lastRenderedPageBreak/>
        <w:t xml:space="preserve">Source: CBN Statistical Bulletin 2025.  All the data is measured in </w:t>
      </w:r>
      <w:r w:rsidRPr="00941C7F">
        <w:rPr>
          <w:rFonts w:ascii="Times New Roman" w:hAnsi="Times New Roman" w:cs="Times New Roman"/>
          <w:sz w:val="24"/>
          <w:szCs w:val="24"/>
        </w:rPr>
        <w:t>USD million</w:t>
      </w:r>
      <w:r w:rsidRPr="00941C7F">
        <w:rPr>
          <w:rFonts w:ascii="Times New Roman" w:hAnsi="Times New Roman" w:cs="Times New Roman"/>
          <w:b/>
          <w:sz w:val="24"/>
          <w:szCs w:val="24"/>
        </w:rPr>
        <w:t xml:space="preserve">.          </w:t>
      </w:r>
    </w:p>
    <w:p w:rsidR="0070775D" w:rsidRDefault="007303C4"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In response to the evident debt overhang in Nigeria, the Obasanjo administration from 2003 to 2007 vigorously sought debt cancellation, leading to a decrease in foreign debt of USD 3.4 billion in 2007 (Adedoyin, Babalola, Otekunri&amp;Adeoti, 2016). </w:t>
      </w:r>
      <w:r w:rsidR="008E0C7E" w:rsidRPr="008E0C7E">
        <w:rPr>
          <w:rFonts w:ascii="Times New Roman" w:eastAsia="Times New Roman" w:hAnsi="Times New Roman" w:cs="Times New Roman"/>
          <w:sz w:val="24"/>
          <w:szCs w:val="24"/>
        </w:rPr>
        <w:t>Nigeria's debt profile (including loans from Multilateral, Bilateral, Euro Bond, Diasporal Bond, and others) increased from N438.89 billion in 2007 to N523.25 billion in 2008, N590.44 billion in 2009, N689.84 billion in 2010, N896.85 billion in 2011, N1,026.90 billion in 2012, N1,387.33 billion in 2013, N1,631.50 billion in 2014, N2,111.51 billion in 2015, N3,478.91 billion in 2016, N5,787.51 billion in 2017, N7,759.20 billion in 2018, and N32,921 billion in 2020 after successive administrations swiftly resumed borrowing.</w:t>
      </w:r>
      <w:r w:rsidR="008E0C7E">
        <w:rPr>
          <w:rFonts w:ascii="Times New Roman" w:eastAsia="Times New Roman" w:hAnsi="Times New Roman" w:cs="Times New Roman"/>
          <w:sz w:val="24"/>
          <w:szCs w:val="24"/>
        </w:rPr>
        <w:t xml:space="preserve">  A</w:t>
      </w:r>
      <w:r w:rsidRPr="00941C7F">
        <w:rPr>
          <w:rFonts w:ascii="Times New Roman" w:eastAsia="Times New Roman" w:hAnsi="Times New Roman" w:cs="Times New Roman"/>
          <w:sz w:val="24"/>
          <w:szCs w:val="24"/>
        </w:rPr>
        <w:t>ccording to the Central Bank Sta</w:t>
      </w:r>
      <w:r w:rsidR="008E0C7E">
        <w:rPr>
          <w:rFonts w:ascii="Times New Roman" w:eastAsia="Times New Roman" w:hAnsi="Times New Roman" w:cs="Times New Roman"/>
          <w:sz w:val="24"/>
          <w:szCs w:val="24"/>
        </w:rPr>
        <w:t>tistical Bulletin (CBN, 2020), t</w:t>
      </w:r>
      <w:r w:rsidRPr="00941C7F">
        <w:rPr>
          <w:rFonts w:ascii="Times New Roman" w:eastAsia="Times New Roman" w:hAnsi="Times New Roman" w:cs="Times New Roman"/>
          <w:sz w:val="24"/>
          <w:szCs w:val="24"/>
        </w:rPr>
        <w:t>he sustainability of the debt overhang may prove challenging if an appropriate policy instrument fo</w:t>
      </w:r>
      <w:r w:rsidR="00941C7F">
        <w:rPr>
          <w:rFonts w:ascii="Times New Roman" w:eastAsia="Times New Roman" w:hAnsi="Times New Roman" w:cs="Times New Roman"/>
          <w:sz w:val="24"/>
          <w:szCs w:val="24"/>
        </w:rPr>
        <w:t>r management is not identified.</w:t>
      </w:r>
    </w:p>
    <w:p w:rsidR="00B621C0" w:rsidRPr="00941C7F" w:rsidRDefault="00B621C0" w:rsidP="00941C7F">
      <w:pPr>
        <w:spacing w:after="0" w:line="360" w:lineRule="auto"/>
        <w:jc w:val="both"/>
        <w:rPr>
          <w:rFonts w:ascii="Times New Roman" w:eastAsia="Times New Roman" w:hAnsi="Times New Roman" w:cs="Times New Roman"/>
          <w:sz w:val="24"/>
          <w:szCs w:val="24"/>
        </w:rPr>
      </w:pP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3. Research Methods and Model Specification</w:t>
      </w:r>
    </w:p>
    <w:p w:rsidR="00B621C0" w:rsidRDefault="00B621C0" w:rsidP="00941C7F">
      <w:pPr>
        <w:spacing w:line="360" w:lineRule="auto"/>
        <w:jc w:val="both"/>
        <w:rPr>
          <w:rFonts w:ascii="Times New Roman" w:hAnsi="Times New Roman" w:cs="Times New Roman"/>
          <w:sz w:val="24"/>
          <w:szCs w:val="24"/>
        </w:rPr>
      </w:pPr>
      <w:commentRangeStart w:id="4"/>
      <w:r w:rsidRPr="00B621C0">
        <w:rPr>
          <w:rFonts w:ascii="Times New Roman" w:hAnsi="Times New Roman" w:cs="Times New Roman"/>
          <w:sz w:val="24"/>
          <w:szCs w:val="24"/>
        </w:rPr>
        <w:t>The dual gap hypothesis was developed on the basis that third world nations were turning to foreign investment because their domestic resources, such as national savings, were not enough to support their economic growth demands.  The dual gap hypothesis contends that although domestic savings are insufficient to maintain economic development, savings drive investment, which is a prerequisite for economic expansion (Chenery &amp; Strout, 1966).  Real exchange rate (rEXR), interest rate (INT), national savings (nSAV), total external debt (tEXD), total domestic debt (tDMD), and external debt service (eXDS) are the explanatory variables for the study, while capital accumulation (nCAF) is the dependent variable.</w:t>
      </w:r>
    </w:p>
    <w:p w:rsidR="00842F3E" w:rsidRPr="00B621C0" w:rsidRDefault="007A6C4E" w:rsidP="00B621C0">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On the basis of the fore going therefore and in line with the objective of the study</w:t>
      </w:r>
      <w:r w:rsidR="007303C4" w:rsidRPr="00941C7F">
        <w:rPr>
          <w:rFonts w:ascii="Times New Roman" w:hAnsi="Times New Roman" w:cs="Times New Roman"/>
          <w:sz w:val="24"/>
          <w:szCs w:val="24"/>
        </w:rPr>
        <w:t>,</w:t>
      </w:r>
      <w:r w:rsidRPr="00941C7F">
        <w:rPr>
          <w:rFonts w:ascii="Times New Roman" w:hAnsi="Times New Roman" w:cs="Times New Roman"/>
          <w:sz w:val="24"/>
          <w:szCs w:val="24"/>
        </w:rPr>
        <w:t xml:space="preserve"> an econometric model of capital accumulation as </w:t>
      </w:r>
      <w:r w:rsidR="00B75B9F" w:rsidRPr="00941C7F">
        <w:rPr>
          <w:rFonts w:ascii="Times New Roman" w:hAnsi="Times New Roman" w:cs="Times New Roman"/>
          <w:sz w:val="24"/>
          <w:szCs w:val="24"/>
        </w:rPr>
        <w:t xml:space="preserve">modeled by Ramsey-Cess-Koopmans (1959) </w:t>
      </w:r>
      <w:r w:rsidR="00B621C0">
        <w:rPr>
          <w:rFonts w:ascii="Times New Roman" w:hAnsi="Times New Roman" w:cs="Times New Roman"/>
          <w:sz w:val="24"/>
          <w:szCs w:val="24"/>
        </w:rPr>
        <w:t>was</w:t>
      </w:r>
      <w:r w:rsidRPr="00941C7F">
        <w:rPr>
          <w:rFonts w:ascii="Times New Roman" w:hAnsi="Times New Roman" w:cs="Times New Roman"/>
          <w:sz w:val="24"/>
          <w:szCs w:val="24"/>
        </w:rPr>
        <w:t xml:space="preserve"> used. </w:t>
      </w:r>
      <w:r w:rsidR="00B75B9F" w:rsidRPr="00941C7F">
        <w:rPr>
          <w:rFonts w:ascii="Times New Roman" w:hAnsi="Times New Roman" w:cs="Times New Roman"/>
          <w:sz w:val="24"/>
          <w:szCs w:val="24"/>
        </w:rPr>
        <w:t>Ramsey-Cess-Koopmans</w:t>
      </w:r>
      <w:r w:rsidR="00842F3E" w:rsidRPr="00941C7F">
        <w:rPr>
          <w:rFonts w:ascii="Times New Roman" w:hAnsi="Times New Roman" w:cs="Times New Roman"/>
          <w:sz w:val="24"/>
          <w:szCs w:val="24"/>
        </w:rPr>
        <w:t xml:space="preserve"> (RCK)</w:t>
      </w:r>
      <w:r w:rsidRPr="00941C7F">
        <w:rPr>
          <w:rFonts w:ascii="Times New Roman" w:hAnsi="Times New Roman" w:cs="Times New Roman"/>
          <w:sz w:val="24"/>
          <w:szCs w:val="24"/>
        </w:rPr>
        <w:t xml:space="preserve">built </w:t>
      </w:r>
      <w:r w:rsidR="00B75B9F" w:rsidRPr="00941C7F">
        <w:rPr>
          <w:rFonts w:ascii="Times New Roman" w:hAnsi="Times New Roman" w:cs="Times New Roman"/>
          <w:sz w:val="24"/>
          <w:szCs w:val="24"/>
        </w:rPr>
        <w:t>their</w:t>
      </w:r>
      <w:r w:rsidRPr="00941C7F">
        <w:rPr>
          <w:rFonts w:ascii="Times New Roman" w:hAnsi="Times New Roman" w:cs="Times New Roman"/>
          <w:sz w:val="24"/>
          <w:szCs w:val="24"/>
        </w:rPr>
        <w:t xml:space="preserve"> model </w:t>
      </w:r>
      <w:r w:rsidR="00B75B9F" w:rsidRPr="00941C7F">
        <w:rPr>
          <w:rFonts w:ascii="Times New Roman" w:hAnsi="Times New Roman" w:cs="Times New Roman"/>
          <w:sz w:val="24"/>
          <w:szCs w:val="24"/>
        </w:rPr>
        <w:t xml:space="preserve">intertemporal </w:t>
      </w:r>
      <w:r w:rsidR="0053774E" w:rsidRPr="00941C7F">
        <w:rPr>
          <w:rFonts w:ascii="Times New Roman" w:hAnsi="Times New Roman" w:cs="Times New Roman"/>
          <w:sz w:val="24"/>
          <w:szCs w:val="24"/>
        </w:rPr>
        <w:t xml:space="preserve">perspective of external borrowing on capital accumulation from both </w:t>
      </w:r>
      <w:r w:rsidR="0053774E" w:rsidRPr="00941C7F">
        <w:rPr>
          <w:rFonts w:ascii="Times New Roman" w:hAnsi="Times New Roman" w:cs="Times New Roman"/>
          <w:sz w:val="24"/>
          <w:szCs w:val="24"/>
        </w:rPr>
        <w:lastRenderedPageBreak/>
        <w:t xml:space="preserve">consumption and production perspective. </w:t>
      </w:r>
      <w:r w:rsidR="00030E1E" w:rsidRPr="00941C7F">
        <w:rPr>
          <w:rFonts w:ascii="Times New Roman" w:hAnsi="Times New Roman" w:cs="Times New Roman"/>
          <w:sz w:val="24"/>
          <w:szCs w:val="24"/>
        </w:rPr>
        <w:t xml:space="preserve">The key variables of their model includes per capital, consumption per capita, output, interest rate, and discount rate. </w:t>
      </w:r>
      <w:r w:rsidR="0053774E" w:rsidRPr="00941C7F">
        <w:rPr>
          <w:rFonts w:ascii="Times New Roman" w:hAnsi="Times New Roman" w:cs="Times New Roman"/>
          <w:sz w:val="24"/>
          <w:szCs w:val="24"/>
        </w:rPr>
        <w:t>They used the utility function for the consumption and cobb-Douglass p</w:t>
      </w:r>
      <w:r w:rsidRPr="00941C7F">
        <w:rPr>
          <w:rFonts w:ascii="Times New Roman" w:hAnsi="Times New Roman" w:cs="Times New Roman"/>
          <w:sz w:val="24"/>
          <w:szCs w:val="24"/>
        </w:rPr>
        <w:t>roduction function</w:t>
      </w:r>
      <w:r w:rsidR="0053774E" w:rsidRPr="00941C7F">
        <w:rPr>
          <w:rFonts w:ascii="Times New Roman" w:hAnsi="Times New Roman" w:cs="Times New Roman"/>
          <w:sz w:val="24"/>
          <w:szCs w:val="24"/>
        </w:rPr>
        <w:t xml:space="preserve"> for the production side</w:t>
      </w:r>
      <w:r w:rsidRPr="00941C7F">
        <w:rPr>
          <w:rFonts w:ascii="Times New Roman" w:hAnsi="Times New Roman" w:cs="Times New Roman"/>
          <w:sz w:val="24"/>
          <w:szCs w:val="24"/>
        </w:rPr>
        <w:t xml:space="preserve">. </w:t>
      </w:r>
      <w:r w:rsidR="00030E1E" w:rsidRPr="00941C7F">
        <w:rPr>
          <w:rFonts w:ascii="Times New Roman" w:hAnsi="Times New Roman" w:cs="Times New Roman"/>
          <w:sz w:val="24"/>
          <w:szCs w:val="24"/>
        </w:rPr>
        <w:t>The two fu</w:t>
      </w:r>
      <w:r w:rsidR="00B621C0">
        <w:rPr>
          <w:rFonts w:ascii="Times New Roman" w:hAnsi="Times New Roman" w:cs="Times New Roman"/>
          <w:sz w:val="24"/>
          <w:szCs w:val="24"/>
        </w:rPr>
        <w:t>n</w:t>
      </w:r>
      <w:r w:rsidR="00030E1E" w:rsidRPr="00941C7F">
        <w:rPr>
          <w:rFonts w:ascii="Times New Roman" w:hAnsi="Times New Roman" w:cs="Times New Roman"/>
          <w:sz w:val="24"/>
          <w:szCs w:val="24"/>
        </w:rPr>
        <w:t>ction is integrated in capital accumulation function</w:t>
      </w:r>
      <w:r w:rsidR="00B621C0">
        <w:rPr>
          <w:rFonts w:ascii="Times New Roman" w:hAnsi="Times New Roman" w:cs="Times New Roman"/>
          <w:sz w:val="24"/>
          <w:szCs w:val="24"/>
        </w:rPr>
        <w:t xml:space="preserve">. </w:t>
      </w:r>
      <w:r w:rsidR="00842F3E" w:rsidRPr="00941C7F">
        <w:rPr>
          <w:rFonts w:ascii="Times New Roman" w:eastAsia="Times New Roman" w:hAnsi="Times New Roman" w:cs="Times New Roman"/>
          <w:sz w:val="24"/>
          <w:szCs w:val="24"/>
        </w:rPr>
        <w:t>Therefore, using the RCK model and two-gap theory where consumption is a function of output (y), and in the two gap theory, savings (S) is function of income (Y). The two models then can be integrated to show that consumption is a fraction of income</w:t>
      </w:r>
      <w:r w:rsidR="0003380A" w:rsidRPr="00941C7F">
        <w:rPr>
          <w:rFonts w:ascii="Times New Roman" w:eastAsia="Times New Roman" w:hAnsi="Times New Roman" w:cs="Times New Roman"/>
          <w:sz w:val="24"/>
          <w:szCs w:val="24"/>
        </w:rPr>
        <w:t xml:space="preserve"> and savings in the remaining fraction and can be represented in equation thus:</w:t>
      </w:r>
    </w:p>
    <w:p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 C =(1-s)Y</w:t>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t xml:space="preserve">              1</w:t>
      </w:r>
    </w:p>
    <w:p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Where c is consumption and s is savings and Y is the income</w:t>
      </w:r>
    </w:p>
    <w:p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Using the Euler equation, that represents the optimal path of con</w:t>
      </w:r>
      <w:r w:rsidR="00DD4A87" w:rsidRPr="00941C7F">
        <w:rPr>
          <w:rFonts w:ascii="Times New Roman" w:eastAsia="Times New Roman" w:hAnsi="Times New Roman" w:cs="Times New Roman"/>
          <w:sz w:val="24"/>
          <w:szCs w:val="24"/>
        </w:rPr>
        <w:t>sumption over time, we drive the function of consumption and capital accumulation. The Euler equation can be represented as:</w:t>
      </w:r>
    </w:p>
    <w:p w:rsidR="00DD4A87" w:rsidRPr="00941C7F" w:rsidRDefault="00DD4A87"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du(c(t))/dt = ρu(c(t)) – (1/θ)(Ak(t) ^(θ-1) – δ)</w:t>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t>2</w:t>
      </w:r>
    </w:p>
    <w:p w:rsidR="00DD4A87" w:rsidRPr="00941C7F" w:rsidRDefault="000D325F"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Where</w:t>
      </w:r>
      <w:r w:rsidR="00DD4A87" w:rsidRPr="00941C7F">
        <w:rPr>
          <w:rFonts w:ascii="Times New Roman" w:eastAsia="Times New Roman" w:hAnsi="Times New Roman" w:cs="Times New Roman"/>
          <w:sz w:val="24"/>
          <w:szCs w:val="24"/>
        </w:rPr>
        <w:t xml:space="preserve"> du(c(t))/dt is the change in utility derived from consumption at a point in time, ρ </w:t>
      </w:r>
      <w:r w:rsidRPr="00941C7F">
        <w:rPr>
          <w:rFonts w:ascii="Times New Roman" w:eastAsia="Times New Roman" w:hAnsi="Times New Roman" w:cs="Times New Roman"/>
          <w:sz w:val="24"/>
          <w:szCs w:val="24"/>
        </w:rPr>
        <w:t>is the time preference rate u(c(t)) is the instantaneous utility at time t, )(Ak(t) is the marginal product of capital at time t, and δ is the capital depreciation rate.</w:t>
      </w:r>
    </w:p>
    <w:p w:rsidR="00DD4A87" w:rsidRPr="00941C7F" w:rsidRDefault="000D325F"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Therefore, this equation </w:t>
      </w:r>
      <w:r w:rsidR="00DD4A87" w:rsidRPr="00941C7F">
        <w:rPr>
          <w:rFonts w:ascii="Times New Roman" w:eastAsia="Times New Roman" w:hAnsi="Times New Roman" w:cs="Times New Roman"/>
          <w:sz w:val="24"/>
          <w:szCs w:val="24"/>
        </w:rPr>
        <w:t>allows for a rich analysis of how present consumption affects future capital and growth.</w:t>
      </w:r>
      <w:r w:rsidRPr="00941C7F">
        <w:rPr>
          <w:rFonts w:ascii="Times New Roman" w:eastAsia="Times New Roman" w:hAnsi="Times New Roman" w:cs="Times New Roman"/>
          <w:sz w:val="24"/>
          <w:szCs w:val="24"/>
        </w:rPr>
        <w:t xml:space="preserve"> It can be deduced as </w:t>
      </w:r>
    </w:p>
    <w:p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Their </w:t>
      </w:r>
      <w:r w:rsidRPr="00941C7F">
        <w:rPr>
          <w:rFonts w:ascii="Times New Roman" w:eastAsia="Times New Roman" w:hAnsi="Times New Roman" w:cs="Times New Roman"/>
          <w:bCs/>
          <w:sz w:val="24"/>
          <w:szCs w:val="24"/>
        </w:rPr>
        <w:t>capital accumulation equation</w:t>
      </w:r>
      <w:r w:rsidRPr="00941C7F">
        <w:rPr>
          <w:rFonts w:ascii="Times New Roman" w:eastAsia="Times New Roman" w:hAnsi="Times New Roman" w:cs="Times New Roman"/>
          <w:sz w:val="24"/>
          <w:szCs w:val="24"/>
        </w:rPr>
        <w:t>: dk(t)/dt = Ak(t) ^α-c(t) – δ</w:t>
      </w:r>
      <w:r w:rsidR="000D325F" w:rsidRPr="00941C7F">
        <w:rPr>
          <w:rFonts w:ascii="Times New Roman" w:eastAsia="Times New Roman" w:hAnsi="Times New Roman" w:cs="Times New Roman"/>
          <w:sz w:val="24"/>
          <w:szCs w:val="24"/>
        </w:rPr>
        <w:t>k(t)</w:t>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t>3</w:t>
      </w:r>
    </w:p>
    <w:p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Where dk(t)/dt is the change in capital at time t, Ak(t) ^α is output at time t, c(t) is the consumption at time t , and δ is the depreciation rate of capital. </w:t>
      </w:r>
    </w:p>
    <w:p w:rsidR="00030E1E" w:rsidRPr="00941C7F" w:rsidRDefault="00030E1E"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From the model, it implies that capital accumulation at a point in time is a function of output, consumption and capital depreciation. </w:t>
      </w:r>
      <w:r w:rsidR="000D325F" w:rsidRPr="00941C7F">
        <w:rPr>
          <w:rFonts w:ascii="Times New Roman" w:eastAsia="Times New Roman" w:hAnsi="Times New Roman" w:cs="Times New Roman"/>
          <w:sz w:val="24"/>
          <w:szCs w:val="24"/>
        </w:rPr>
        <w:t xml:space="preserve">Equation 3 can be </w:t>
      </w:r>
      <w:commentRangeStart w:id="5"/>
      <w:r w:rsidR="000D325F" w:rsidRPr="00941C7F">
        <w:rPr>
          <w:rFonts w:ascii="Times New Roman" w:eastAsia="Times New Roman" w:hAnsi="Times New Roman" w:cs="Times New Roman"/>
          <w:sz w:val="24"/>
          <w:szCs w:val="24"/>
        </w:rPr>
        <w:t xml:space="preserve">decompose </w:t>
      </w:r>
      <w:commentRangeEnd w:id="5"/>
      <w:r w:rsidR="00E32278">
        <w:rPr>
          <w:rStyle w:val="CommentReference"/>
        </w:rPr>
        <w:commentReference w:id="5"/>
      </w:r>
      <w:r w:rsidR="000D325F" w:rsidRPr="00941C7F">
        <w:rPr>
          <w:rFonts w:ascii="Times New Roman" w:eastAsia="Times New Roman" w:hAnsi="Times New Roman" w:cs="Times New Roman"/>
          <w:sz w:val="24"/>
          <w:szCs w:val="24"/>
        </w:rPr>
        <w:t>into functional form as:</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b/>
          <w:i/>
          <w:sz w:val="24"/>
          <w:szCs w:val="24"/>
        </w:rPr>
        <w:t>gFCF</w:t>
      </w:r>
      <w:r w:rsidRPr="00941C7F">
        <w:rPr>
          <w:rFonts w:ascii="Times New Roman" w:hAnsi="Times New Roman" w:cs="Times New Roman"/>
          <w:i/>
          <w:sz w:val="24"/>
          <w:szCs w:val="24"/>
        </w:rPr>
        <w:t xml:space="preserve"> = </w:t>
      </w:r>
      <w:r w:rsidRPr="00941C7F">
        <w:rPr>
          <w:rFonts w:ascii="Times New Roman" w:hAnsi="Times New Roman" w:cs="Times New Roman"/>
          <w:b/>
          <w:i/>
          <w:sz w:val="24"/>
          <w:szCs w:val="24"/>
        </w:rPr>
        <w:t>F(tEXD, tDMD, eXDS, nINT, nSAV, nEXR)</w:t>
      </w:r>
      <w:r w:rsidRPr="00941C7F">
        <w:rPr>
          <w:rFonts w:ascii="Times New Roman" w:hAnsi="Times New Roman" w:cs="Times New Roman"/>
          <w:i/>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000D325F" w:rsidRPr="00941C7F">
        <w:rPr>
          <w:rFonts w:ascii="Times New Roman" w:hAnsi="Times New Roman" w:cs="Times New Roman"/>
          <w:sz w:val="24"/>
          <w:szCs w:val="24"/>
        </w:rPr>
        <w:t>4</w:t>
      </w:r>
    </w:p>
    <w:p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The empirical model is given below as:</w:t>
      </w:r>
    </w:p>
    <w:p w:rsidR="007A6C4E" w:rsidRPr="00941C7F" w:rsidRDefault="007A6C4E" w:rsidP="00941C7F">
      <w:pPr>
        <w:spacing w:after="0" w:line="360" w:lineRule="auto"/>
        <w:jc w:val="both"/>
        <w:rPr>
          <w:rFonts w:ascii="Times New Roman" w:hAnsi="Times New Roman" w:cs="Times New Roman"/>
          <w:b/>
          <w:i/>
          <w:sz w:val="24"/>
          <w:szCs w:val="24"/>
        </w:rPr>
      </w:pPr>
      <w:commentRangeStart w:id="6"/>
      <w:r w:rsidRPr="00941C7F">
        <w:rPr>
          <w:rFonts w:ascii="Times New Roman" w:hAnsi="Times New Roman" w:cs="Times New Roman"/>
          <w:b/>
          <w:i/>
          <w:sz w:val="24"/>
          <w:szCs w:val="24"/>
        </w:rPr>
        <w:t>loggFCF</w:t>
      </w:r>
      <w:r w:rsidRPr="00941C7F">
        <w:rPr>
          <w:rFonts w:ascii="Times New Roman" w:hAnsi="Times New Roman" w:cs="Times New Roman"/>
          <w:b/>
          <w:i/>
          <w:sz w:val="24"/>
          <w:szCs w:val="24"/>
          <w:vertAlign w:val="subscript"/>
        </w:rPr>
        <w:t>t</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0</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1</w:t>
      </w:r>
      <w:r w:rsidRPr="00941C7F">
        <w:rPr>
          <w:rFonts w:ascii="Times New Roman" w:hAnsi="Times New Roman" w:cs="Times New Roman"/>
          <w:b/>
          <w:i/>
          <w:sz w:val="24"/>
          <w:szCs w:val="24"/>
        </w:rPr>
        <w:t>loggFCF</w:t>
      </w:r>
      <w:r w:rsidRPr="00941C7F">
        <w:rPr>
          <w:rFonts w:ascii="Times New Roman" w:hAnsi="Times New Roman" w:cs="Times New Roman"/>
          <w:b/>
          <w:i/>
          <w:sz w:val="24"/>
          <w:szCs w:val="24"/>
          <w:vertAlign w:val="subscript"/>
        </w:rPr>
        <w:t>t-1</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2</w:t>
      </w:r>
      <w:r w:rsidRPr="00941C7F">
        <w:rPr>
          <w:rFonts w:ascii="Times New Roman" w:hAnsi="Times New Roman" w:cs="Times New Roman"/>
          <w:b/>
          <w:i/>
          <w:iCs/>
          <w:sz w:val="24"/>
          <w:szCs w:val="24"/>
        </w:rPr>
        <w:t>tEXD</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3</w:t>
      </w:r>
      <w:r w:rsidRPr="00941C7F">
        <w:rPr>
          <w:rFonts w:ascii="Times New Roman" w:hAnsi="Times New Roman" w:cs="Times New Roman"/>
          <w:b/>
          <w:i/>
          <w:sz w:val="24"/>
          <w:szCs w:val="24"/>
        </w:rPr>
        <w:t>tDMD + β</w:t>
      </w:r>
      <w:r w:rsidRPr="00941C7F">
        <w:rPr>
          <w:rFonts w:ascii="Times New Roman" w:hAnsi="Times New Roman" w:cs="Times New Roman"/>
          <w:b/>
          <w:i/>
          <w:sz w:val="24"/>
          <w:szCs w:val="24"/>
          <w:vertAlign w:val="subscript"/>
        </w:rPr>
        <w:t>4</w:t>
      </w:r>
      <w:r w:rsidRPr="00941C7F">
        <w:rPr>
          <w:rFonts w:ascii="Times New Roman" w:hAnsi="Times New Roman" w:cs="Times New Roman"/>
          <w:b/>
          <w:i/>
          <w:sz w:val="24"/>
          <w:szCs w:val="24"/>
        </w:rPr>
        <w:t>logeXDS + β</w:t>
      </w:r>
      <w:r w:rsidRPr="00941C7F">
        <w:rPr>
          <w:rFonts w:ascii="Times New Roman" w:hAnsi="Times New Roman" w:cs="Times New Roman"/>
          <w:b/>
          <w:i/>
          <w:sz w:val="24"/>
          <w:szCs w:val="24"/>
          <w:vertAlign w:val="subscript"/>
        </w:rPr>
        <w:t>5</w:t>
      </w:r>
      <w:r w:rsidRPr="00941C7F">
        <w:rPr>
          <w:rFonts w:ascii="Times New Roman" w:hAnsi="Times New Roman" w:cs="Times New Roman"/>
          <w:b/>
          <w:i/>
          <w:sz w:val="24"/>
          <w:szCs w:val="24"/>
        </w:rPr>
        <w:t>lognINT+ β</w:t>
      </w:r>
      <w:r w:rsidRPr="00941C7F">
        <w:rPr>
          <w:rFonts w:ascii="Times New Roman" w:hAnsi="Times New Roman" w:cs="Times New Roman"/>
          <w:b/>
          <w:i/>
          <w:sz w:val="24"/>
          <w:szCs w:val="24"/>
          <w:vertAlign w:val="subscript"/>
        </w:rPr>
        <w:t>6</w:t>
      </w:r>
      <w:r w:rsidRPr="00941C7F">
        <w:rPr>
          <w:rFonts w:ascii="Times New Roman" w:hAnsi="Times New Roman" w:cs="Times New Roman"/>
          <w:b/>
          <w:i/>
          <w:sz w:val="24"/>
          <w:szCs w:val="24"/>
        </w:rPr>
        <w:t>lognSAV +</w:t>
      </w:r>
    </w:p>
    <w:p w:rsidR="007A6C4E" w:rsidRPr="00941C7F" w:rsidRDefault="007A6C4E" w:rsidP="00941C7F">
      <w:pPr>
        <w:spacing w:line="360" w:lineRule="auto"/>
        <w:jc w:val="both"/>
        <w:rPr>
          <w:rFonts w:ascii="Times New Roman" w:hAnsi="Times New Roman" w:cs="Times New Roman"/>
          <w:i/>
          <w:sz w:val="24"/>
          <w:szCs w:val="24"/>
          <w:vertAlign w:val="subscript"/>
        </w:rPr>
      </w:pPr>
      <w:r w:rsidRPr="00941C7F">
        <w:rPr>
          <w:rFonts w:ascii="Times New Roman" w:hAnsi="Times New Roman" w:cs="Times New Roman"/>
          <w:b/>
          <w:i/>
          <w:sz w:val="24"/>
          <w:szCs w:val="24"/>
        </w:rPr>
        <w:t xml:space="preserve">                      β</w:t>
      </w:r>
      <w:r w:rsidRPr="00941C7F">
        <w:rPr>
          <w:rFonts w:ascii="Times New Roman" w:hAnsi="Times New Roman" w:cs="Times New Roman"/>
          <w:b/>
          <w:i/>
          <w:sz w:val="24"/>
          <w:szCs w:val="24"/>
          <w:vertAlign w:val="subscript"/>
        </w:rPr>
        <w:t>7</w:t>
      </w:r>
      <w:r w:rsidRPr="00941C7F">
        <w:rPr>
          <w:rFonts w:ascii="Times New Roman" w:hAnsi="Times New Roman" w:cs="Times New Roman"/>
          <w:b/>
          <w:i/>
          <w:sz w:val="24"/>
          <w:szCs w:val="24"/>
        </w:rPr>
        <w:t>lognEXR + μ</w:t>
      </w:r>
      <w:r w:rsidRPr="00941C7F">
        <w:rPr>
          <w:rFonts w:ascii="Times New Roman" w:hAnsi="Times New Roman" w:cs="Times New Roman"/>
          <w:b/>
          <w:i/>
          <w:sz w:val="24"/>
          <w:szCs w:val="24"/>
          <w:vertAlign w:val="subscript"/>
        </w:rPr>
        <w:t>1</w:t>
      </w:r>
      <w:commentRangeEnd w:id="6"/>
      <w:r w:rsidR="00904DD5">
        <w:rPr>
          <w:rStyle w:val="CommentReference"/>
        </w:rPr>
        <w:commentReference w:id="6"/>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000D325F" w:rsidRPr="00941C7F">
        <w:rPr>
          <w:rFonts w:ascii="Times New Roman" w:hAnsi="Times New Roman" w:cs="Times New Roman"/>
          <w:sz w:val="24"/>
          <w:szCs w:val="24"/>
        </w:rPr>
        <w:t>5</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Where: </w:t>
      </w:r>
      <w:r w:rsidRPr="00941C7F">
        <w:rPr>
          <w:rFonts w:ascii="Times New Roman" w:hAnsi="Times New Roman" w:cs="Times New Roman"/>
          <w:i/>
          <w:sz w:val="24"/>
          <w:szCs w:val="24"/>
        </w:rPr>
        <w:t>Log</w:t>
      </w:r>
      <w:r w:rsidRPr="00941C7F">
        <w:rPr>
          <w:rFonts w:ascii="Times New Roman" w:hAnsi="Times New Roman" w:cs="Times New Roman"/>
          <w:sz w:val="24"/>
          <w:szCs w:val="24"/>
        </w:rPr>
        <w:t xml:space="preserve"> = Natural logarithm, </w:t>
      </w:r>
      <w:r w:rsidRPr="00941C7F">
        <w:rPr>
          <w:rFonts w:ascii="Times New Roman" w:hAnsi="Times New Roman" w:cs="Times New Roman"/>
          <w:b/>
          <w:i/>
          <w:sz w:val="24"/>
          <w:szCs w:val="24"/>
        </w:rPr>
        <w:t>nCAF</w:t>
      </w:r>
      <w:r w:rsidRPr="00941C7F">
        <w:rPr>
          <w:rFonts w:ascii="Times New Roman" w:hAnsi="Times New Roman" w:cs="Times New Roman"/>
          <w:b/>
          <w:i/>
          <w:sz w:val="24"/>
          <w:szCs w:val="24"/>
          <w:vertAlign w:val="subscript"/>
        </w:rPr>
        <w:t>t</w:t>
      </w:r>
      <w:r w:rsidRPr="00941C7F">
        <w:rPr>
          <w:rFonts w:ascii="Times New Roman" w:hAnsi="Times New Roman" w:cs="Times New Roman"/>
          <w:sz w:val="24"/>
          <w:szCs w:val="24"/>
        </w:rPr>
        <w:t xml:space="preserve"> = National capital accumulation at time t, </w:t>
      </w:r>
      <w:r w:rsidRPr="00941C7F">
        <w:rPr>
          <w:rFonts w:ascii="Times New Roman" w:hAnsi="Times New Roman" w:cs="Times New Roman"/>
          <w:b/>
          <w:i/>
          <w:sz w:val="24"/>
          <w:szCs w:val="24"/>
        </w:rPr>
        <w:t>gFCF</w:t>
      </w:r>
      <w:r w:rsidRPr="00941C7F">
        <w:rPr>
          <w:rFonts w:ascii="Times New Roman" w:hAnsi="Times New Roman" w:cs="Times New Roman"/>
          <w:b/>
          <w:i/>
          <w:sz w:val="24"/>
          <w:szCs w:val="24"/>
          <w:vertAlign w:val="subscript"/>
        </w:rPr>
        <w:t>t-1</w:t>
      </w:r>
      <w:r w:rsidRPr="00941C7F">
        <w:rPr>
          <w:rFonts w:ascii="Times New Roman" w:hAnsi="Times New Roman" w:cs="Times New Roman"/>
          <w:b/>
          <w:i/>
          <w:sz w:val="24"/>
          <w:szCs w:val="24"/>
        </w:rPr>
        <w:t xml:space="preserve">= </w:t>
      </w:r>
      <w:r w:rsidRPr="00941C7F">
        <w:rPr>
          <w:rFonts w:ascii="Times New Roman" w:hAnsi="Times New Roman" w:cs="Times New Roman"/>
          <w:sz w:val="24"/>
          <w:szCs w:val="24"/>
        </w:rPr>
        <w:t xml:space="preserve">previous year National capital accumulation at time t, </w:t>
      </w:r>
      <w:r w:rsidRPr="00941C7F">
        <w:rPr>
          <w:rFonts w:ascii="Times New Roman" w:hAnsi="Times New Roman" w:cs="Times New Roman"/>
          <w:b/>
          <w:i/>
          <w:iCs/>
          <w:sz w:val="24"/>
          <w:szCs w:val="24"/>
        </w:rPr>
        <w:t>tEXD</w:t>
      </w:r>
      <w:r w:rsidRPr="00941C7F">
        <w:rPr>
          <w:rFonts w:ascii="Times New Roman" w:hAnsi="Times New Roman" w:cs="Times New Roman"/>
          <w:sz w:val="24"/>
          <w:szCs w:val="24"/>
        </w:rPr>
        <w:t xml:space="preserve"> = Total external debt, </w:t>
      </w:r>
      <w:r w:rsidRPr="00941C7F">
        <w:rPr>
          <w:rFonts w:ascii="Times New Roman" w:hAnsi="Times New Roman" w:cs="Times New Roman"/>
          <w:b/>
          <w:i/>
          <w:sz w:val="24"/>
          <w:szCs w:val="24"/>
        </w:rPr>
        <w:t>tDMD</w:t>
      </w:r>
      <w:r w:rsidRPr="00941C7F">
        <w:rPr>
          <w:rFonts w:ascii="Times New Roman" w:hAnsi="Times New Roman" w:cs="Times New Roman"/>
          <w:sz w:val="24"/>
          <w:szCs w:val="24"/>
        </w:rPr>
        <w:t xml:space="preserve"> = Total domestic debt, </w:t>
      </w:r>
      <w:r w:rsidRPr="00941C7F">
        <w:rPr>
          <w:rFonts w:ascii="Times New Roman" w:hAnsi="Times New Roman" w:cs="Times New Roman"/>
          <w:b/>
          <w:i/>
          <w:sz w:val="24"/>
          <w:szCs w:val="24"/>
        </w:rPr>
        <w:t>eXDS</w:t>
      </w:r>
      <w:r w:rsidRPr="00941C7F">
        <w:rPr>
          <w:rFonts w:ascii="Times New Roman" w:hAnsi="Times New Roman" w:cs="Times New Roman"/>
          <w:sz w:val="24"/>
          <w:szCs w:val="24"/>
        </w:rPr>
        <w:t xml:space="preserve"> = External debt severing, </w:t>
      </w:r>
      <w:r w:rsidRPr="00941C7F">
        <w:rPr>
          <w:rFonts w:ascii="Times New Roman" w:hAnsi="Times New Roman" w:cs="Times New Roman"/>
          <w:b/>
          <w:i/>
          <w:sz w:val="24"/>
          <w:szCs w:val="24"/>
        </w:rPr>
        <w:t>nINT</w:t>
      </w:r>
      <w:r w:rsidRPr="00941C7F">
        <w:rPr>
          <w:rFonts w:ascii="Times New Roman" w:hAnsi="Times New Roman" w:cs="Times New Roman"/>
          <w:i/>
          <w:sz w:val="24"/>
          <w:szCs w:val="24"/>
        </w:rPr>
        <w:t xml:space="preserve"> = </w:t>
      </w:r>
      <w:r w:rsidRPr="00941C7F">
        <w:rPr>
          <w:rFonts w:ascii="Times New Roman" w:hAnsi="Times New Roman" w:cs="Times New Roman"/>
          <w:sz w:val="24"/>
          <w:szCs w:val="24"/>
        </w:rPr>
        <w:t xml:space="preserve">= Total annual interest rate payments, </w:t>
      </w:r>
      <w:r w:rsidRPr="00941C7F">
        <w:rPr>
          <w:rFonts w:ascii="Times New Roman" w:hAnsi="Times New Roman" w:cs="Times New Roman"/>
          <w:b/>
          <w:i/>
          <w:sz w:val="24"/>
          <w:szCs w:val="24"/>
        </w:rPr>
        <w:t>nSAV</w:t>
      </w:r>
      <w:r w:rsidRPr="00941C7F">
        <w:rPr>
          <w:rFonts w:ascii="Times New Roman" w:hAnsi="Times New Roman" w:cs="Times New Roman"/>
          <w:i/>
          <w:sz w:val="24"/>
          <w:szCs w:val="24"/>
        </w:rPr>
        <w:t xml:space="preserve"> = </w:t>
      </w:r>
      <w:r w:rsidRPr="00941C7F">
        <w:rPr>
          <w:rFonts w:ascii="Times New Roman" w:hAnsi="Times New Roman" w:cs="Times New Roman"/>
          <w:sz w:val="24"/>
          <w:szCs w:val="24"/>
        </w:rPr>
        <w:t xml:space="preserve">National savings, </w:t>
      </w:r>
      <w:r w:rsidRPr="00941C7F">
        <w:rPr>
          <w:rFonts w:ascii="Times New Roman" w:hAnsi="Times New Roman" w:cs="Times New Roman"/>
          <w:b/>
          <w:i/>
          <w:sz w:val="24"/>
          <w:szCs w:val="24"/>
        </w:rPr>
        <w:t>nEXR =</w:t>
      </w:r>
      <w:r w:rsidRPr="00941C7F">
        <w:rPr>
          <w:rFonts w:ascii="Times New Roman" w:hAnsi="Times New Roman" w:cs="Times New Roman"/>
          <w:sz w:val="24"/>
          <w:szCs w:val="24"/>
        </w:rPr>
        <w:t xml:space="preserve"> Nominal exchange rate, μ = Disturbance term/error term, β</w:t>
      </w:r>
      <w:r w:rsidRPr="00941C7F">
        <w:rPr>
          <w:rFonts w:ascii="Times New Roman" w:hAnsi="Times New Roman" w:cs="Times New Roman"/>
          <w:sz w:val="24"/>
          <w:szCs w:val="24"/>
          <w:vertAlign w:val="subscript"/>
        </w:rPr>
        <w:t>0</w:t>
      </w:r>
      <w:r w:rsidRPr="00941C7F">
        <w:rPr>
          <w:rFonts w:ascii="Times New Roman" w:hAnsi="Times New Roman" w:cs="Times New Roman"/>
          <w:sz w:val="24"/>
          <w:szCs w:val="24"/>
        </w:rPr>
        <w:t xml:space="preserve"> = Constant term, β</w:t>
      </w:r>
      <w:r w:rsidRPr="00941C7F">
        <w:rPr>
          <w:rFonts w:ascii="Times New Roman" w:hAnsi="Times New Roman" w:cs="Times New Roman"/>
          <w:sz w:val="24"/>
          <w:szCs w:val="24"/>
          <w:vertAlign w:val="subscript"/>
        </w:rPr>
        <w:t>1,</w:t>
      </w:r>
      <w:r w:rsidRPr="00941C7F">
        <w:rPr>
          <w:rFonts w:ascii="Times New Roman" w:hAnsi="Times New Roman" w:cs="Times New Roman"/>
          <w:sz w:val="24"/>
          <w:szCs w:val="24"/>
        </w:rPr>
        <w:t xml:space="preserve"> β</w:t>
      </w:r>
      <w:r w:rsidRPr="00941C7F">
        <w:rPr>
          <w:rFonts w:ascii="Times New Roman" w:hAnsi="Times New Roman" w:cs="Times New Roman"/>
          <w:sz w:val="24"/>
          <w:szCs w:val="24"/>
          <w:vertAlign w:val="subscript"/>
        </w:rPr>
        <w:t xml:space="preserve">2,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3,</w:t>
      </w:r>
      <w:r w:rsidRPr="00941C7F">
        <w:rPr>
          <w:rFonts w:ascii="Times New Roman" w:hAnsi="Times New Roman" w:cs="Times New Roman"/>
          <w:sz w:val="24"/>
          <w:szCs w:val="24"/>
        </w:rPr>
        <w:t xml:space="preserve"> β</w:t>
      </w:r>
      <w:r w:rsidRPr="00941C7F">
        <w:rPr>
          <w:rFonts w:ascii="Times New Roman" w:hAnsi="Times New Roman" w:cs="Times New Roman"/>
          <w:sz w:val="24"/>
          <w:szCs w:val="24"/>
          <w:vertAlign w:val="subscript"/>
        </w:rPr>
        <w:t xml:space="preserve">4,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5,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6 ,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7  </w:t>
      </w:r>
      <w:r w:rsidRPr="00941C7F">
        <w:rPr>
          <w:rFonts w:ascii="Times New Roman" w:hAnsi="Times New Roman" w:cs="Times New Roman"/>
          <w:sz w:val="24"/>
          <w:szCs w:val="24"/>
        </w:rPr>
        <w:t xml:space="preserve"> are parameters to be estimated. </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The variable was logged to improve the normality or symmetric of the data as well as the constant variance in linear modeling. The relationship of the previous year capital accumulation, </w:t>
      </w:r>
      <w:r w:rsidRPr="00941C7F">
        <w:rPr>
          <w:rFonts w:ascii="Times New Roman" w:hAnsi="Times New Roman" w:cs="Times New Roman"/>
          <w:b/>
          <w:i/>
          <w:sz w:val="24"/>
          <w:szCs w:val="24"/>
        </w:rPr>
        <w:t>gFCF</w:t>
      </w:r>
      <w:r w:rsidRPr="00941C7F">
        <w:rPr>
          <w:rFonts w:ascii="Times New Roman" w:hAnsi="Times New Roman" w:cs="Times New Roman"/>
          <w:b/>
          <w:i/>
          <w:sz w:val="24"/>
          <w:szCs w:val="24"/>
          <w:vertAlign w:val="subscript"/>
        </w:rPr>
        <w:t xml:space="preserve">t-1 </w:t>
      </w:r>
      <w:r w:rsidRPr="00941C7F">
        <w:rPr>
          <w:rFonts w:ascii="Times New Roman" w:hAnsi="Times New Roman" w:cs="Times New Roman"/>
          <w:sz w:val="24"/>
          <w:szCs w:val="24"/>
        </w:rPr>
        <w:t xml:space="preserve">and the current year capital accumulation is also investigated in the study, based on Huay et al (2019) who asserted that the previous year capital accumulation may have significant impact on the current </w:t>
      </w:r>
      <w:r w:rsidR="00E704BC" w:rsidRPr="00941C7F">
        <w:rPr>
          <w:rFonts w:ascii="Times New Roman" w:hAnsi="Times New Roman" w:cs="Times New Roman"/>
          <w:sz w:val="24"/>
          <w:szCs w:val="24"/>
        </w:rPr>
        <w:t>capital accumulation</w:t>
      </w:r>
      <w:r w:rsidRPr="00941C7F">
        <w:rPr>
          <w:rFonts w:ascii="Times New Roman" w:hAnsi="Times New Roman" w:cs="Times New Roman"/>
          <w:sz w:val="24"/>
          <w:szCs w:val="24"/>
        </w:rPr>
        <w:t xml:space="preserve"> and development.</w:t>
      </w:r>
    </w:p>
    <w:commentRangeEnd w:id="4"/>
    <w:p w:rsidR="00CC50E0" w:rsidRPr="00941C7F" w:rsidRDefault="0050028C" w:rsidP="00941C7F">
      <w:pPr>
        <w:spacing w:before="240" w:after="0" w:line="360" w:lineRule="auto"/>
        <w:jc w:val="both"/>
        <w:rPr>
          <w:rFonts w:ascii="Times New Roman" w:hAnsi="Times New Roman" w:cs="Times New Roman"/>
          <w:sz w:val="24"/>
          <w:szCs w:val="24"/>
        </w:rPr>
      </w:pPr>
      <w:r>
        <w:rPr>
          <w:rStyle w:val="CommentReference"/>
        </w:rPr>
        <w:commentReference w:id="4"/>
      </w:r>
      <w:r w:rsidR="007A6C4E" w:rsidRPr="00941C7F">
        <w:rPr>
          <w:rFonts w:ascii="Times New Roman" w:hAnsi="Times New Roman" w:cs="Times New Roman"/>
          <w:sz w:val="24"/>
          <w:szCs w:val="24"/>
        </w:rPr>
        <w:t xml:space="preserve">Gross Fixed Capital accumulation according to the explanatory notes to the CBN statistical bulletin 2022 is expenditure on fixed assets (such as building, machinery, etc) either for replacing or adding to the stock of existing fixed assets. Gross Fixed Capital accumulation is a component of the expenditure in the GDP and thus shows information about how much of the new value added in the economy is reinvested rather than consumed. This is measured as the monetary (Naira) value of all goods and services produced in Nigeria within the study period. Total domestic debt implies the value of the government’s obligations to investors in its debt instruments (issued locally) for the current period after adjusting for repayments, servicing chargesand any new additions (in terms of new issues of debt instruments) to the stock of debt in the previous period. The total sum of the monetary (Naira) value of the following government debt instruments is used to proxy domestic debt: FGN Bonds; Treasury Bonds; and Development Stock. Total external debt is the outstanding external monetary (Naira) value of all federal government debt obligations in favour of creditors outside the shores of Nigeria for the current period after adjusting for repayments, debt servicing and net addition to the stock of debt in the previous period. Total external debt outstanding comprise of the sum of the following components: Multilateral; Bilateral; Paris Club; London Club; and Others All measurements are done using identical measurement (absolute Naira value) scale. </w:t>
      </w:r>
      <w:r w:rsidR="007A6C4E" w:rsidRPr="00941C7F">
        <w:rPr>
          <w:rFonts w:ascii="Times New Roman" w:eastAsia="SimSun" w:hAnsi="Times New Roman" w:cs="Times New Roman"/>
          <w:sz w:val="24"/>
          <w:szCs w:val="24"/>
        </w:rPr>
        <w:t xml:space="preserve">Furthermore, exchange rate is predicted to be significant on capital accumulation. According to </w:t>
      </w:r>
      <w:r w:rsidR="007A6C4E" w:rsidRPr="00941C7F">
        <w:rPr>
          <w:rFonts w:ascii="Times New Roman" w:hAnsi="Times New Roman" w:cs="Times New Roman"/>
          <w:sz w:val="24"/>
          <w:szCs w:val="24"/>
        </w:rPr>
        <w:t>Kandil (2004), the price of export and import of commodity in an open economy such as Nigeria is predicated on the exchange rate, this makes exchange rate key variables in this model. A nation’s terms of trade also determines the intrinsic behavior of the merchandize trade account. Nominal interest rate is interest rate for deposits. It is used in this model as an impotent variable savings decision. Higher interest rate leads to lower consumption in two ways: i) higher cost of borrowing and higher alternative cost of consumption and ii) lower asset prices and asset wealth.</w:t>
      </w:r>
    </w:p>
    <w:p w:rsidR="007A6C4E" w:rsidRPr="00941C7F" w:rsidRDefault="007A6C4E" w:rsidP="00941C7F">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sidR="00BE53BB">
        <w:rPr>
          <w:rFonts w:ascii="Times New Roman" w:hAnsi="Times New Roman" w:cs="Times New Roman"/>
          <w:sz w:val="24"/>
          <w:szCs w:val="24"/>
        </w:rPr>
        <w:t>3</w:t>
      </w:r>
      <w:r w:rsidRPr="00941C7F">
        <w:rPr>
          <w:rFonts w:ascii="Times New Roman" w:hAnsi="Times New Roman" w:cs="Times New Roman"/>
          <w:sz w:val="24"/>
          <w:szCs w:val="24"/>
        </w:rPr>
        <w:t xml:space="preserve">: </w:t>
      </w:r>
      <w:r w:rsidRPr="00941C7F">
        <w:rPr>
          <w:rFonts w:ascii="Times New Roman" w:hAnsi="Times New Roman" w:cs="Times New Roman"/>
          <w:b/>
          <w:sz w:val="24"/>
          <w:szCs w:val="24"/>
        </w:rPr>
        <w:t>Variable Description, Measurement and Sources</w:t>
      </w:r>
    </w:p>
    <w:tbl>
      <w:tblPr>
        <w:tblpPr w:leftFromText="180" w:rightFromText="180" w:vertAnchor="text" w:horzAnchor="margin" w:tblpX="-34" w:tblpY="379"/>
        <w:tblW w:w="10738" w:type="dxa"/>
        <w:tblLayout w:type="fixed"/>
        <w:tblLook w:val="04A0"/>
      </w:tblPr>
      <w:tblGrid>
        <w:gridCol w:w="1257"/>
        <w:gridCol w:w="3104"/>
        <w:gridCol w:w="2266"/>
        <w:gridCol w:w="2411"/>
        <w:gridCol w:w="1700"/>
      </w:tblGrid>
      <w:tr w:rsidR="007A6C4E" w:rsidRPr="00941C7F" w:rsidTr="00942CB7">
        <w:trPr>
          <w:trHeight w:val="416"/>
        </w:trPr>
        <w:tc>
          <w:tcPr>
            <w:tcW w:w="1257" w:type="dxa"/>
            <w:tcBorders>
              <w:top w:val="single" w:sz="4" w:space="0" w:color="auto"/>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Variable </w:t>
            </w:r>
          </w:p>
        </w:tc>
        <w:tc>
          <w:tcPr>
            <w:tcW w:w="3104" w:type="dxa"/>
            <w:tcBorders>
              <w:top w:val="single" w:sz="4" w:space="0" w:color="auto"/>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p>
        </w:tc>
        <w:tc>
          <w:tcPr>
            <w:tcW w:w="2266" w:type="dxa"/>
            <w:tcBorders>
              <w:top w:val="single" w:sz="4" w:space="0" w:color="auto"/>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Measurement</w:t>
            </w:r>
          </w:p>
        </w:tc>
        <w:tc>
          <w:tcPr>
            <w:tcW w:w="2411" w:type="dxa"/>
            <w:tcBorders>
              <w:top w:val="single" w:sz="4" w:space="0" w:color="auto"/>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p>
        </w:tc>
        <w:tc>
          <w:tcPr>
            <w:tcW w:w="1700" w:type="dxa"/>
            <w:tcBorders>
              <w:top w:val="single" w:sz="4" w:space="0" w:color="auto"/>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Source of Data</w:t>
            </w:r>
          </w:p>
        </w:tc>
      </w:tr>
      <w:tr w:rsidR="007A6C4E" w:rsidRPr="00941C7F" w:rsidTr="00942CB7">
        <w:trPr>
          <w:trHeight w:val="550"/>
        </w:trPr>
        <w:tc>
          <w:tcPr>
            <w:tcW w:w="4361" w:type="dxa"/>
            <w:gridSpan w:val="2"/>
            <w:vMerge w:val="restart"/>
            <w:tcBorders>
              <w:top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 </w:t>
            </w:r>
            <w:r w:rsidRPr="00941C7F">
              <w:rPr>
                <w:rFonts w:ascii="Times New Roman" w:hAnsi="Times New Roman" w:cs="Times New Roman"/>
                <w:b/>
                <w:i/>
                <w:sz w:val="24"/>
                <w:szCs w:val="24"/>
              </w:rPr>
              <w:t>gFCF</w:t>
            </w:r>
            <w:r w:rsidRPr="00941C7F">
              <w:rPr>
                <w:rFonts w:ascii="Times New Roman" w:hAnsi="Times New Roman" w:cs="Times New Roman"/>
                <w:sz w:val="24"/>
                <w:szCs w:val="24"/>
              </w:rPr>
              <w:t>)</w:t>
            </w:r>
          </w:p>
          <w:p w:rsidR="007A6C4E" w:rsidRPr="00941C7F" w:rsidRDefault="007A6C4E" w:rsidP="00941C7F">
            <w:pPr>
              <w:spacing w:after="0" w:line="360" w:lineRule="auto"/>
              <w:jc w:val="both"/>
              <w:rPr>
                <w:rFonts w:ascii="Times New Roman" w:hAnsi="Times New Roman" w:cs="Times New Roman"/>
                <w:sz w:val="24"/>
                <w:szCs w:val="24"/>
              </w:rPr>
            </w:pP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external debt (</w:t>
            </w:r>
            <w:r w:rsidRPr="00941C7F">
              <w:rPr>
                <w:rFonts w:ascii="Times New Roman" w:hAnsi="Times New Roman" w:cs="Times New Roman"/>
                <w:b/>
                <w:i/>
                <w:iCs/>
                <w:sz w:val="24"/>
                <w:szCs w:val="24"/>
              </w:rPr>
              <w:t>tEXD</w:t>
            </w:r>
            <w:r w:rsidRPr="00941C7F">
              <w:rPr>
                <w:rFonts w:ascii="Times New Roman" w:hAnsi="Times New Roman" w:cs="Times New Roman"/>
                <w:sz w:val="24"/>
                <w:szCs w:val="24"/>
              </w:rPr>
              <w:t xml:space="preserve"> )</w:t>
            </w:r>
          </w:p>
          <w:p w:rsidR="007A6C4E" w:rsidRPr="00941C7F" w:rsidRDefault="007A6C4E" w:rsidP="00941C7F">
            <w:pPr>
              <w:spacing w:after="0" w:line="360" w:lineRule="auto"/>
              <w:jc w:val="both"/>
              <w:rPr>
                <w:rFonts w:ascii="Times New Roman" w:hAnsi="Times New Roman" w:cs="Times New Roman"/>
                <w:sz w:val="24"/>
                <w:szCs w:val="24"/>
              </w:rPr>
            </w:pP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domestic debt (</w:t>
            </w:r>
            <w:r w:rsidRPr="00941C7F">
              <w:rPr>
                <w:rFonts w:ascii="Times New Roman" w:hAnsi="Times New Roman" w:cs="Times New Roman"/>
                <w:b/>
                <w:i/>
                <w:sz w:val="24"/>
                <w:szCs w:val="24"/>
              </w:rPr>
              <w:t>tDMD</w:t>
            </w:r>
            <w:r w:rsidRPr="00941C7F">
              <w:rPr>
                <w:rFonts w:ascii="Times New Roman" w:hAnsi="Times New Roman" w:cs="Times New Roman"/>
                <w:sz w:val="24"/>
                <w:szCs w:val="24"/>
              </w:rPr>
              <w:t xml:space="preserve"> )</w:t>
            </w:r>
          </w:p>
          <w:p w:rsidR="007A6C4E" w:rsidRPr="00941C7F" w:rsidRDefault="007A6C4E" w:rsidP="00941C7F">
            <w:pPr>
              <w:spacing w:after="0" w:line="360" w:lineRule="auto"/>
              <w:jc w:val="both"/>
              <w:rPr>
                <w:rFonts w:ascii="Times New Roman" w:hAnsi="Times New Roman" w:cs="Times New Roman"/>
                <w:sz w:val="24"/>
                <w:szCs w:val="24"/>
              </w:rPr>
            </w:pP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External debt servicing (</w:t>
            </w:r>
            <w:r w:rsidRPr="00941C7F">
              <w:rPr>
                <w:rFonts w:ascii="Times New Roman" w:hAnsi="Times New Roman" w:cs="Times New Roman"/>
                <w:b/>
                <w:i/>
                <w:sz w:val="24"/>
                <w:szCs w:val="24"/>
              </w:rPr>
              <w:t>eXDS</w:t>
            </w:r>
            <w:r w:rsidRPr="00941C7F">
              <w:rPr>
                <w:rFonts w:ascii="Times New Roman" w:hAnsi="Times New Roman" w:cs="Times New Roman"/>
                <w:sz w:val="24"/>
                <w:szCs w:val="24"/>
              </w:rPr>
              <w:t>)</w:t>
            </w: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interest rate (</w:t>
            </w:r>
            <w:r w:rsidRPr="00941C7F">
              <w:rPr>
                <w:rFonts w:ascii="Times New Roman" w:hAnsi="Times New Roman" w:cs="Times New Roman"/>
                <w:b/>
                <w:i/>
                <w:sz w:val="24"/>
                <w:szCs w:val="24"/>
              </w:rPr>
              <w:t>nINT</w:t>
            </w:r>
            <w:r w:rsidRPr="00941C7F">
              <w:rPr>
                <w:rFonts w:ascii="Times New Roman" w:hAnsi="Times New Roman" w:cs="Times New Roman"/>
                <w:sz w:val="24"/>
                <w:szCs w:val="24"/>
              </w:rPr>
              <w:t>)</w:t>
            </w:r>
          </w:p>
          <w:p w:rsidR="007A6C4E" w:rsidRPr="00941C7F" w:rsidRDefault="007A6C4E" w:rsidP="00941C7F">
            <w:pPr>
              <w:spacing w:after="0" w:line="360" w:lineRule="auto"/>
              <w:jc w:val="both"/>
              <w:rPr>
                <w:rFonts w:ascii="Times New Roman" w:hAnsi="Times New Roman" w:cs="Times New Roman"/>
                <w:sz w:val="24"/>
                <w:szCs w:val="24"/>
              </w:rPr>
            </w:pP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National Savings  (</w:t>
            </w:r>
            <w:r w:rsidRPr="00941C7F">
              <w:rPr>
                <w:rFonts w:ascii="Times New Roman" w:hAnsi="Times New Roman" w:cs="Times New Roman"/>
                <w:b/>
                <w:i/>
                <w:sz w:val="24"/>
                <w:szCs w:val="24"/>
              </w:rPr>
              <w:t>nSAV</w:t>
            </w:r>
            <w:r w:rsidRPr="00941C7F">
              <w:rPr>
                <w:rFonts w:ascii="Times New Roman" w:hAnsi="Times New Roman" w:cs="Times New Roman"/>
                <w:sz w:val="24"/>
                <w:szCs w:val="24"/>
              </w:rPr>
              <w:t>)</w:t>
            </w:r>
          </w:p>
          <w:p w:rsidR="007A6C4E" w:rsidRPr="00941C7F" w:rsidRDefault="007A6C4E" w:rsidP="00941C7F">
            <w:pPr>
              <w:spacing w:after="0" w:line="360" w:lineRule="auto"/>
              <w:jc w:val="both"/>
              <w:rPr>
                <w:rFonts w:ascii="Times New Roman" w:hAnsi="Times New Roman" w:cs="Times New Roman"/>
                <w:sz w:val="24"/>
                <w:szCs w:val="24"/>
              </w:rPr>
            </w:pP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exchange rate (</w:t>
            </w:r>
            <w:r w:rsidRPr="00941C7F">
              <w:rPr>
                <w:rFonts w:ascii="Times New Roman" w:hAnsi="Times New Roman" w:cs="Times New Roman"/>
                <w:b/>
                <w:i/>
                <w:sz w:val="24"/>
                <w:szCs w:val="24"/>
              </w:rPr>
              <w:t>nEXR)</w:t>
            </w:r>
          </w:p>
        </w:tc>
        <w:tc>
          <w:tcPr>
            <w:tcW w:w="4677" w:type="dxa"/>
            <w:gridSpan w:val="2"/>
            <w:tcBorders>
              <w:top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Stock of existing fixed assets </w:t>
            </w: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
        </w:tc>
        <w:tc>
          <w:tcPr>
            <w:tcW w:w="1700" w:type="dxa"/>
            <w:tcBorders>
              <w:top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tc>
      </w:tr>
      <w:tr w:rsidR="007A6C4E" w:rsidRPr="00941C7F" w:rsidTr="00942CB7">
        <w:trPr>
          <w:trHeight w:val="387"/>
        </w:trPr>
        <w:tc>
          <w:tcPr>
            <w:tcW w:w="4361" w:type="dxa"/>
            <w:gridSpan w:val="2"/>
            <w:vMerge/>
          </w:tcPr>
          <w:p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external debt </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
        </w:tc>
        <w:tc>
          <w:tcPr>
            <w:tcW w:w="1700" w:type="dxa"/>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p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rsidTr="00942CB7">
        <w:trPr>
          <w:trHeight w:val="399"/>
        </w:trPr>
        <w:tc>
          <w:tcPr>
            <w:tcW w:w="4361" w:type="dxa"/>
            <w:gridSpan w:val="2"/>
            <w:vMerge/>
          </w:tcPr>
          <w:p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domestic debt </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shd w:val="clear" w:color="auto" w:fill="FFFFFF"/>
              </w:rPr>
              <w:t>(₦' Billion)</w:t>
            </w:r>
          </w:p>
        </w:tc>
        <w:tc>
          <w:tcPr>
            <w:tcW w:w="1700" w:type="dxa"/>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rsidTr="00942CB7">
        <w:trPr>
          <w:trHeight w:val="872"/>
        </w:trPr>
        <w:tc>
          <w:tcPr>
            <w:tcW w:w="4361" w:type="dxa"/>
            <w:gridSpan w:val="2"/>
            <w:vMerge/>
          </w:tcPr>
          <w:p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Stock of external debt services</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
        </w:tc>
        <w:tc>
          <w:tcPr>
            <w:tcW w:w="1700" w:type="dxa"/>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p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rsidTr="00942CB7">
        <w:trPr>
          <w:trHeight w:val="402"/>
        </w:trPr>
        <w:tc>
          <w:tcPr>
            <w:tcW w:w="4361" w:type="dxa"/>
            <w:gridSpan w:val="2"/>
            <w:vMerge/>
          </w:tcPr>
          <w:p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CBN Interest rate </w:t>
            </w: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w:t>
            </w:r>
          </w:p>
        </w:tc>
        <w:tc>
          <w:tcPr>
            <w:tcW w:w="1700" w:type="dxa"/>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rsidTr="00942CB7">
        <w:trPr>
          <w:trHeight w:val="404"/>
        </w:trPr>
        <w:tc>
          <w:tcPr>
            <w:tcW w:w="4361" w:type="dxa"/>
            <w:gridSpan w:val="2"/>
            <w:vMerge/>
            <w:tcBorders>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Borders>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Stock of annual savings % of GDP in US dollar</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Exchange Rate @ market price (₦</w:t>
            </w:r>
            <w:r w:rsidRPr="00941C7F">
              <w:rPr>
                <w:rFonts w:ascii="Times New Roman" w:hAnsi="Times New Roman" w:cs="Times New Roman"/>
                <w:bCs/>
                <w:color w:val="000000"/>
                <w:sz w:val="24"/>
                <w:szCs w:val="24"/>
              </w:rPr>
              <w:t>/$)</w:t>
            </w:r>
          </w:p>
        </w:tc>
        <w:tc>
          <w:tcPr>
            <w:tcW w:w="1700" w:type="dxa"/>
            <w:tcBorders>
              <w:bottom w:val="single" w:sz="4" w:space="0" w:color="auto"/>
            </w:tcBorders>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rsidR="007A6C4E" w:rsidRPr="00941C7F" w:rsidRDefault="007A6C4E" w:rsidP="00941C7F">
            <w:pPr>
              <w:spacing w:after="0" w:line="360" w:lineRule="auto"/>
              <w:jc w:val="both"/>
              <w:rPr>
                <w:rFonts w:ascii="Times New Roman" w:hAnsi="Times New Roman" w:cs="Times New Roman"/>
                <w:sz w:val="24"/>
                <w:szCs w:val="24"/>
              </w:rPr>
            </w:pP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tc>
      </w:tr>
    </w:tbl>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Source: Researcher’s compilations, 202</w:t>
      </w:r>
      <w:r w:rsidR="002E3B2E" w:rsidRPr="00941C7F">
        <w:rPr>
          <w:rFonts w:ascii="Times New Roman" w:hAnsi="Times New Roman" w:cs="Times New Roman"/>
          <w:sz w:val="24"/>
          <w:szCs w:val="24"/>
        </w:rPr>
        <w:t>5</w:t>
      </w:r>
      <w:r w:rsidRPr="00941C7F">
        <w:rPr>
          <w:rFonts w:ascii="Times New Roman" w:hAnsi="Times New Roman" w:cs="Times New Roman"/>
          <w:sz w:val="24"/>
          <w:szCs w:val="24"/>
        </w:rPr>
        <w:t>. WDI = World Development Indicator, CBN = Central Bank of Nigeria</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The Economic Criterion: Evaluation Based on Economic Apriori Expectation</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This involves a check to ascertain whether the signs of the estimated parameters or independent variable in the equation agree with the expected signs as suggested by economic theory. A summary of the apriori expectations of the parameters is summarized in table </w:t>
      </w:r>
      <w:r w:rsidR="00BE53BB">
        <w:rPr>
          <w:rFonts w:ascii="Times New Roman" w:hAnsi="Times New Roman" w:cs="Times New Roman"/>
          <w:sz w:val="24"/>
          <w:szCs w:val="24"/>
        </w:rPr>
        <w:t>4</w:t>
      </w:r>
      <w:r w:rsidRPr="00941C7F">
        <w:rPr>
          <w:rFonts w:ascii="Times New Roman" w:hAnsi="Times New Roman" w:cs="Times New Roman"/>
          <w:sz w:val="24"/>
          <w:szCs w:val="24"/>
        </w:rPr>
        <w:t>.</w:t>
      </w:r>
    </w:p>
    <w:p w:rsidR="007A6C4E" w:rsidRPr="00941C7F" w:rsidRDefault="007A6C4E" w:rsidP="00941C7F">
      <w:pPr>
        <w:tabs>
          <w:tab w:val="left" w:pos="1080"/>
          <w:tab w:val="left" w:pos="49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 xml:space="preserve">Table </w:t>
      </w:r>
      <w:r w:rsidR="00BE53BB">
        <w:rPr>
          <w:rFonts w:ascii="Times New Roman" w:hAnsi="Times New Roman" w:cs="Times New Roman"/>
          <w:b/>
          <w:bCs/>
          <w:sz w:val="24"/>
          <w:szCs w:val="24"/>
        </w:rPr>
        <w:t>4</w:t>
      </w:r>
      <w:r w:rsidRPr="00941C7F">
        <w:rPr>
          <w:rFonts w:ascii="Times New Roman" w:hAnsi="Times New Roman" w:cs="Times New Roman"/>
          <w:b/>
          <w:bCs/>
          <w:sz w:val="24"/>
          <w:szCs w:val="24"/>
        </w:rPr>
        <w:t>: A Priori Expectation</w:t>
      </w:r>
    </w:p>
    <w:tbl>
      <w:tblPr>
        <w:tblpPr w:leftFromText="180" w:rightFromText="180" w:vertAnchor="text" w:horzAnchor="margin" w:tblpY="69"/>
        <w:tblW w:w="10276" w:type="dxa"/>
        <w:tblLayout w:type="fixed"/>
        <w:tblCellMar>
          <w:left w:w="10" w:type="dxa"/>
          <w:right w:w="10" w:type="dxa"/>
        </w:tblCellMar>
        <w:tblLook w:val="04A0"/>
      </w:tblPr>
      <w:tblGrid>
        <w:gridCol w:w="3838"/>
        <w:gridCol w:w="3641"/>
        <w:gridCol w:w="2797"/>
      </w:tblGrid>
      <w:tr w:rsidR="007A6C4E" w:rsidRPr="00941C7F" w:rsidTr="00264CC0">
        <w:trPr>
          <w:cantSplit/>
          <w:trHeight w:val="225"/>
          <w:tblHeader/>
        </w:trPr>
        <w:tc>
          <w:tcPr>
            <w:tcW w:w="3838" w:type="dxa"/>
            <w:tcBorders>
              <w:top w:val="single" w:sz="4" w:space="0" w:color="auto"/>
              <w:bottom w:val="single" w:sz="4" w:space="0" w:color="auto"/>
            </w:tcBorders>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Regressand</w:t>
            </w:r>
          </w:p>
        </w:tc>
        <w:tc>
          <w:tcPr>
            <w:tcW w:w="3641" w:type="dxa"/>
            <w:tcBorders>
              <w:top w:val="single" w:sz="4" w:space="0" w:color="auto"/>
              <w:bottom w:val="single" w:sz="4" w:space="0" w:color="auto"/>
            </w:tcBorders>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Regressor</w:t>
            </w:r>
          </w:p>
        </w:tc>
        <w:tc>
          <w:tcPr>
            <w:tcW w:w="2797" w:type="dxa"/>
            <w:tcBorders>
              <w:top w:val="single" w:sz="4" w:space="0" w:color="auto"/>
              <w:bottom w:val="single" w:sz="4" w:space="0" w:color="auto"/>
            </w:tcBorders>
          </w:tcPr>
          <w:p w:rsidR="007A6C4E" w:rsidRPr="00941C7F" w:rsidRDefault="007A6C4E" w:rsidP="00941C7F">
            <w:pPr>
              <w:tabs>
                <w:tab w:val="left" w:pos="1580"/>
              </w:tabs>
              <w:spacing w:after="0"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A priori Expectation</w:t>
            </w:r>
          </w:p>
        </w:tc>
      </w:tr>
      <w:tr w:rsidR="007A6C4E" w:rsidRPr="00941C7F" w:rsidTr="00264CC0">
        <w:trPr>
          <w:cantSplit/>
          <w:tblHeader/>
        </w:trPr>
        <w:tc>
          <w:tcPr>
            <w:tcW w:w="3838" w:type="dxa"/>
            <w:vMerge w:val="restart"/>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w:t>
            </w: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external debt</w:t>
            </w:r>
          </w:p>
        </w:tc>
        <w:tc>
          <w:tcPr>
            <w:tcW w:w="2797" w:type="dxa"/>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7A6C4E" w:rsidRPr="00941C7F" w:rsidTr="00264CC0">
        <w:trPr>
          <w:cantSplit/>
          <w:tblHeader/>
        </w:trPr>
        <w:tc>
          <w:tcPr>
            <w:tcW w:w="3838" w:type="dxa"/>
            <w:vMerge/>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domestic debt</w:t>
            </w:r>
          </w:p>
        </w:tc>
        <w:tc>
          <w:tcPr>
            <w:tcW w:w="2797" w:type="dxa"/>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7A6C4E" w:rsidRPr="00941C7F" w:rsidTr="00264CC0">
        <w:trPr>
          <w:cantSplit/>
          <w:tblHeader/>
        </w:trPr>
        <w:tc>
          <w:tcPr>
            <w:tcW w:w="3838" w:type="dxa"/>
            <w:vMerge/>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External debt servicing</w:t>
            </w:r>
          </w:p>
        </w:tc>
        <w:tc>
          <w:tcPr>
            <w:tcW w:w="2797" w:type="dxa"/>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7A6C4E" w:rsidRPr="00941C7F" w:rsidTr="00264CC0">
        <w:trPr>
          <w:cantSplit/>
          <w:trHeight w:val="705"/>
          <w:tblHeader/>
        </w:trPr>
        <w:tc>
          <w:tcPr>
            <w:tcW w:w="3838" w:type="dxa"/>
            <w:vMerge/>
            <w:tcBorders>
              <w:bottom w:val="single" w:sz="4" w:space="0" w:color="auto"/>
            </w:tcBorders>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Borders>
              <w:bottom w:val="single" w:sz="4" w:space="0" w:color="auto"/>
            </w:tcBorders>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Nominal interest rate </w:t>
            </w: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National savings</w:t>
            </w: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exchange rate</w:t>
            </w:r>
          </w:p>
        </w:tc>
        <w:tc>
          <w:tcPr>
            <w:tcW w:w="2797" w:type="dxa"/>
            <w:tcBorders>
              <w:bottom w:val="single" w:sz="4" w:space="0" w:color="auto"/>
            </w:tcBorders>
          </w:tcPr>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Positive/negative (+/-) </w:t>
            </w: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p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Positive/negative (+/-)</w:t>
            </w:r>
          </w:p>
        </w:tc>
      </w:tr>
    </w:tbl>
    <w:p w:rsidR="007A6C4E" w:rsidRPr="00941C7F" w:rsidRDefault="007A6C4E" w:rsidP="00941C7F">
      <w:pPr>
        <w:tabs>
          <w:tab w:val="left" w:pos="1580"/>
        </w:tabs>
        <w:spacing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
          <w:bCs/>
          <w:sz w:val="24"/>
          <w:szCs w:val="24"/>
        </w:rPr>
        <w:t xml:space="preserve"> compilations, 2025</w:t>
      </w:r>
    </w:p>
    <w:p w:rsidR="007A6C4E" w:rsidRPr="00941C7F" w:rsidRDefault="007A6C4E" w:rsidP="00941C7F">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plus sign (+) show a positive relationship between the regressed and regressors. This implies that an increases in independent variable will cause an increase in the dependent variable. In the case of minus sign (-) an increases in independent variable will cause a decrease in the dependent variable. While (+/-) is </w:t>
      </w:r>
      <w:r w:rsidRPr="00941C7F">
        <w:rPr>
          <w:rFonts w:ascii="Times New Roman" w:hAnsi="Times New Roman" w:cs="Times New Roman"/>
          <w:sz w:val="24"/>
          <w:szCs w:val="24"/>
        </w:rPr>
        <w:lastRenderedPageBreak/>
        <w:t>indeterminate, meaning that the independent variable can cause an increase or decrease at different point in times, depending on the prevalent</w:t>
      </w:r>
      <w:r w:rsidR="00A5040B" w:rsidRPr="00941C7F">
        <w:rPr>
          <w:rFonts w:ascii="Times New Roman" w:hAnsi="Times New Roman" w:cs="Times New Roman"/>
          <w:sz w:val="24"/>
          <w:szCs w:val="24"/>
        </w:rPr>
        <w:t xml:space="preserve"> socio-economic circumstances. </w:t>
      </w:r>
    </w:p>
    <w:p w:rsidR="007A6C4E" w:rsidRPr="00941C7F" w:rsidRDefault="007A6C4E" w:rsidP="00941C7F">
      <w:pPr>
        <w:tabs>
          <w:tab w:val="left" w:pos="7450"/>
        </w:tabs>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4. Empirical results and Discussion of the result</w:t>
      </w: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5</w:t>
      </w:r>
      <w:r w:rsidRPr="00941C7F">
        <w:rPr>
          <w:rFonts w:ascii="Times New Roman" w:hAnsi="Times New Roman" w:cs="Times New Roman"/>
          <w:b/>
          <w:sz w:val="24"/>
          <w:szCs w:val="24"/>
        </w:rPr>
        <w:t xml:space="preserve"> Descriptive Statistics of the Variables</w:t>
      </w:r>
    </w:p>
    <w:tbl>
      <w:tblPr>
        <w:tblW w:w="10460" w:type="dxa"/>
        <w:tblInd w:w="30" w:type="dxa"/>
        <w:tblLayout w:type="fixed"/>
        <w:tblCellMar>
          <w:left w:w="0" w:type="dxa"/>
          <w:right w:w="0" w:type="dxa"/>
        </w:tblCellMar>
        <w:tblLook w:val="0000"/>
      </w:tblPr>
      <w:tblGrid>
        <w:gridCol w:w="1530"/>
        <w:gridCol w:w="1417"/>
        <w:gridCol w:w="1276"/>
        <w:gridCol w:w="1276"/>
        <w:gridCol w:w="197"/>
        <w:gridCol w:w="1275"/>
        <w:gridCol w:w="197"/>
        <w:gridCol w:w="969"/>
        <w:gridCol w:w="197"/>
        <w:gridCol w:w="1078"/>
        <w:gridCol w:w="394"/>
        <w:gridCol w:w="630"/>
        <w:gridCol w:w="24"/>
      </w:tblGrid>
      <w:tr w:rsidR="007A6C4E" w:rsidRPr="00941C7F" w:rsidTr="00264CC0">
        <w:trPr>
          <w:gridAfter w:val="1"/>
          <w:wAfter w:w="24" w:type="dxa"/>
          <w:trHeight w:val="266"/>
        </w:trPr>
        <w:tc>
          <w:tcPr>
            <w:tcW w:w="1530"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VARIABLES</w:t>
            </w:r>
          </w:p>
        </w:tc>
        <w:tc>
          <w:tcPr>
            <w:tcW w:w="1417"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gFCF</w:t>
            </w:r>
          </w:p>
        </w:tc>
        <w:tc>
          <w:tcPr>
            <w:tcW w:w="1276"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tEXD</w:t>
            </w:r>
          </w:p>
        </w:tc>
        <w:tc>
          <w:tcPr>
            <w:tcW w:w="1473"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tDMD</w:t>
            </w:r>
          </w:p>
        </w:tc>
        <w:tc>
          <w:tcPr>
            <w:tcW w:w="1472"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eXDS</w:t>
            </w:r>
          </w:p>
        </w:tc>
        <w:tc>
          <w:tcPr>
            <w:tcW w:w="1166"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nINT</w:t>
            </w:r>
          </w:p>
        </w:tc>
        <w:tc>
          <w:tcPr>
            <w:tcW w:w="1472"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nSAV</w:t>
            </w:r>
          </w:p>
        </w:tc>
        <w:tc>
          <w:tcPr>
            <w:tcW w:w="630"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nEXR</w:t>
            </w:r>
          </w:p>
        </w:tc>
      </w:tr>
      <w:tr w:rsidR="007A6C4E" w:rsidRPr="00941C7F" w:rsidTr="00264CC0">
        <w:trPr>
          <w:trHeight w:val="266"/>
        </w:trPr>
        <w:tc>
          <w:tcPr>
            <w:tcW w:w="1530"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Mean</w:t>
            </w:r>
          </w:p>
        </w:tc>
        <w:tc>
          <w:tcPr>
            <w:tcW w:w="1417"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12056.22</w:t>
            </w:r>
          </w:p>
        </w:tc>
        <w:tc>
          <w:tcPr>
            <w:tcW w:w="1276"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19531.91</w:t>
            </w:r>
          </w:p>
        </w:tc>
        <w:tc>
          <w:tcPr>
            <w:tcW w:w="1276"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4038.054</w:t>
            </w:r>
          </w:p>
        </w:tc>
        <w:tc>
          <w:tcPr>
            <w:tcW w:w="1472" w:type="dxa"/>
            <w:gridSpan w:val="2"/>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548.1645</w:t>
            </w:r>
          </w:p>
        </w:tc>
        <w:tc>
          <w:tcPr>
            <w:tcW w:w="1166" w:type="dxa"/>
            <w:gridSpan w:val="2"/>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22.68752</w:t>
            </w:r>
          </w:p>
        </w:tc>
        <w:tc>
          <w:tcPr>
            <w:tcW w:w="1275" w:type="dxa"/>
            <w:gridSpan w:val="2"/>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8.049396</w:t>
            </w:r>
          </w:p>
        </w:tc>
        <w:tc>
          <w:tcPr>
            <w:tcW w:w="1048" w:type="dxa"/>
            <w:gridSpan w:val="3"/>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115.7410</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Median</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8316.089</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18678.82</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1091.487</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14.13010</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10.75185</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6.645847</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115.2551</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Maximum</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42594.84</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36689.36</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22210.36</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5656.579</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219.0028</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14.94330</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425.9811</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Minimum</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5668.868</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1631.522</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11.19260</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5.023600</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0.686099</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3.291754</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0.610025</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Std. Dev.</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10154.23</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11485.86</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5852.148</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1254.566</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35.30388</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3.464103</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119.1411</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Skewness</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2.240532</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-0.103081</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1.592670</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2.645885</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4.378246</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0.547543</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1.021358</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Kurtosis</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6.329036</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1.469355</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4.541303</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9.510060</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24.17570</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1.876371</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3.221266</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commentRangeStart w:id="7"/>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commentRangeEnd w:id="7"/>
        <w:tc>
          <w:tcPr>
            <w:tcW w:w="1048" w:type="dxa"/>
            <w:gridSpan w:val="3"/>
            <w:vAlign w:val="bottom"/>
          </w:tcPr>
          <w:p w:rsidR="007A6C4E" w:rsidRPr="00941C7F" w:rsidRDefault="009F0B5D" w:rsidP="00941C7F">
            <w:pPr>
              <w:autoSpaceDE w:val="0"/>
              <w:autoSpaceDN w:val="0"/>
              <w:adjustRightInd w:val="0"/>
              <w:spacing w:after="0" w:line="360" w:lineRule="auto"/>
              <w:jc w:val="both"/>
              <w:rPr>
                <w:rFonts w:ascii="Times New Roman" w:hAnsi="Times New Roman" w:cs="Times New Roman"/>
                <w:color w:val="000000"/>
                <w:sz w:val="24"/>
                <w:szCs w:val="24"/>
              </w:rPr>
            </w:pPr>
            <w:r>
              <w:rPr>
                <w:rStyle w:val="CommentReference"/>
              </w:rPr>
              <w:commentReference w:id="7"/>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Jarque-Bera</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54.53423</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4.174410</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21.91351</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123.1715</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918.9012</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4.308072</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7.387882</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Probability</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0.000000</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0.124033</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0.000017</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0.000000</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0.000000</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0.116015</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0.024874</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commentRangeStart w:id="8"/>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commentRangeEnd w:id="8"/>
        <w:tc>
          <w:tcPr>
            <w:tcW w:w="1048" w:type="dxa"/>
            <w:gridSpan w:val="3"/>
            <w:vAlign w:val="bottom"/>
          </w:tcPr>
          <w:p w:rsidR="007A6C4E" w:rsidRPr="00941C7F" w:rsidRDefault="009F0B5D" w:rsidP="00941C7F">
            <w:pPr>
              <w:autoSpaceDE w:val="0"/>
              <w:autoSpaceDN w:val="0"/>
              <w:adjustRightInd w:val="0"/>
              <w:spacing w:after="0" w:line="360" w:lineRule="auto"/>
              <w:jc w:val="both"/>
              <w:rPr>
                <w:rFonts w:ascii="Times New Roman" w:hAnsi="Times New Roman" w:cs="Times New Roman"/>
                <w:color w:val="000000"/>
                <w:sz w:val="24"/>
                <w:szCs w:val="24"/>
              </w:rPr>
            </w:pPr>
            <w:r>
              <w:rPr>
                <w:rStyle w:val="CommentReference"/>
              </w:rPr>
              <w:commentReference w:id="8"/>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Sum</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506361.2</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820340.1</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169598.3</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23022.91</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952.8758</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338.0746</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4861.124</w:t>
            </w:r>
          </w:p>
        </w:tc>
      </w:tr>
      <w:tr w:rsidR="007A6C4E" w:rsidRPr="00941C7F" w:rsidTr="00264CC0">
        <w:trPr>
          <w:trHeight w:val="266"/>
        </w:trPr>
        <w:tc>
          <w:tcPr>
            <w:tcW w:w="1530"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Sum Sq. Dev.</w:t>
            </w:r>
          </w:p>
        </w:tc>
        <w:tc>
          <w:tcPr>
            <w:tcW w:w="1417"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4.23E+09</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5.41E+09</w:t>
            </w:r>
          </w:p>
        </w:tc>
        <w:tc>
          <w:tcPr>
            <w:tcW w:w="1276"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1.40E+09</w:t>
            </w:r>
          </w:p>
        </w:tc>
        <w:tc>
          <w:tcPr>
            <w:tcW w:w="1472"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64531333</w:t>
            </w:r>
          </w:p>
        </w:tc>
        <w:tc>
          <w:tcPr>
            <w:tcW w:w="1166"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51100.93</w:t>
            </w:r>
          </w:p>
        </w:tc>
        <w:tc>
          <w:tcPr>
            <w:tcW w:w="1275" w:type="dxa"/>
            <w:gridSpan w:val="2"/>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492.0004</w:t>
            </w:r>
          </w:p>
        </w:tc>
        <w:tc>
          <w:tcPr>
            <w:tcW w:w="1048" w:type="dxa"/>
            <w:gridSpan w:val="3"/>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581978.7</w:t>
            </w:r>
          </w:p>
        </w:tc>
      </w:tr>
      <w:tr w:rsidR="007A6C4E" w:rsidRPr="00941C7F" w:rsidTr="00264CC0">
        <w:trPr>
          <w:trHeight w:val="162"/>
        </w:trPr>
        <w:tc>
          <w:tcPr>
            <w:tcW w:w="1530"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152"/>
        </w:trPr>
        <w:tc>
          <w:tcPr>
            <w:tcW w:w="1530"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66"/>
        </w:trPr>
        <w:tc>
          <w:tcPr>
            <w:tcW w:w="1530"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Observations</w:t>
            </w:r>
          </w:p>
        </w:tc>
        <w:tc>
          <w:tcPr>
            <w:tcW w:w="1417"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6"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6"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472"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166"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5" w:type="dxa"/>
            <w:gridSpan w:val="2"/>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048" w:type="dxa"/>
            <w:gridSpan w:val="3"/>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r>
    </w:tbl>
    <w:p w:rsidR="007A6C4E" w:rsidRPr="00941C7F" w:rsidRDefault="007A6C4E" w:rsidP="00941C7F">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r w:rsidRPr="00941C7F">
        <w:rPr>
          <w:rFonts w:ascii="Times New Roman" w:hAnsi="Times New Roman" w:cs="Times New Roman"/>
          <w:bCs/>
          <w:sz w:val="24"/>
          <w:szCs w:val="24"/>
        </w:rPr>
        <w:t>.</w:t>
      </w:r>
    </w:p>
    <w:p w:rsidR="0064617C" w:rsidRPr="0064617C" w:rsidRDefault="007A6C4E" w:rsidP="0064617C">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descriptive statistics analyses of the time series data was carried out in order to observe the variable variability and distribution. Table </w:t>
      </w:r>
      <w:r w:rsidR="00BE53BB">
        <w:rPr>
          <w:rFonts w:ascii="Times New Roman" w:hAnsi="Times New Roman" w:cs="Times New Roman"/>
          <w:sz w:val="24"/>
          <w:szCs w:val="24"/>
        </w:rPr>
        <w:t>5</w:t>
      </w:r>
      <w:r w:rsidRPr="00941C7F">
        <w:rPr>
          <w:rFonts w:ascii="Times New Roman" w:hAnsi="Times New Roman" w:cs="Times New Roman"/>
          <w:sz w:val="24"/>
          <w:szCs w:val="24"/>
        </w:rPr>
        <w:t xml:space="preserve">, shows the measures of central tendency, mean and median that give the estimates of the centre of the distribution. In Table </w:t>
      </w:r>
      <w:r w:rsidR="00BE53BB">
        <w:rPr>
          <w:rFonts w:ascii="Times New Roman" w:hAnsi="Times New Roman" w:cs="Times New Roman"/>
          <w:sz w:val="24"/>
          <w:szCs w:val="24"/>
        </w:rPr>
        <w:t>5,</w:t>
      </w:r>
      <w:r w:rsidRPr="00941C7F">
        <w:rPr>
          <w:rFonts w:ascii="Times New Roman" w:hAnsi="Times New Roman" w:cs="Times New Roman"/>
          <w:sz w:val="24"/>
          <w:szCs w:val="24"/>
        </w:rPr>
        <w:t xml:space="preserve"> it is observed that the national savings (</w:t>
      </w:r>
      <w:r w:rsidRPr="00941C7F">
        <w:rPr>
          <w:rFonts w:ascii="Times New Roman" w:hAnsi="Times New Roman" w:cs="Times New Roman"/>
          <w:color w:val="000000"/>
          <w:sz w:val="24"/>
          <w:szCs w:val="24"/>
        </w:rPr>
        <w:t>nSAV</w:t>
      </w:r>
      <w:r w:rsidRPr="00941C7F">
        <w:rPr>
          <w:rFonts w:ascii="Times New Roman" w:hAnsi="Times New Roman" w:cs="Times New Roman"/>
          <w:sz w:val="24"/>
          <w:szCs w:val="24"/>
        </w:rPr>
        <w:t xml:space="preserve">, </w:t>
      </w:r>
      <w:r w:rsidRPr="00941C7F">
        <w:rPr>
          <w:rFonts w:ascii="Times New Roman" w:hAnsi="Times New Roman" w:cs="Times New Roman"/>
          <w:color w:val="000000"/>
          <w:sz w:val="24"/>
          <w:szCs w:val="24"/>
        </w:rPr>
        <w:t>8.049</w:t>
      </w:r>
      <w:r w:rsidRPr="00941C7F">
        <w:rPr>
          <w:rFonts w:ascii="Times New Roman" w:hAnsi="Times New Roman" w:cs="Times New Roman"/>
          <w:sz w:val="24"/>
          <w:szCs w:val="24"/>
        </w:rPr>
        <w:t>) mean value is the lowest among the variables. It implies that on average, a dollar increase in national savings will increase capital accumulation by 804.9%. It is also observed that the nINT mean (nINT,</w:t>
      </w:r>
      <w:r w:rsidRPr="00941C7F">
        <w:rPr>
          <w:rFonts w:ascii="Times New Roman" w:hAnsi="Times New Roman" w:cs="Times New Roman"/>
          <w:color w:val="000000"/>
          <w:sz w:val="24"/>
          <w:szCs w:val="24"/>
        </w:rPr>
        <w:t xml:space="preserve"> 22.69) is also low, making a suggestive link between the two variables. It also implies that a Naira  increase in interest rate should increase capital accumulation on the average by 2269.0%  Also, the mean of total domestic debt (tDMD, 4038.054) and total external debt (tEXD, 19531.91) are very high also making a suggestive link between the two. It implies that a dollar increase in total domestic debt will cause over 4038% increase on capital accumulation on the average</w:t>
      </w:r>
      <w:r w:rsidRPr="00941C7F">
        <w:rPr>
          <w:rFonts w:ascii="Times New Roman" w:hAnsi="Times New Roman" w:cs="Times New Roman"/>
          <w:sz w:val="24"/>
          <w:szCs w:val="24"/>
        </w:rPr>
        <w:t xml:space="preserve"> It is also evident that the median values of the </w:t>
      </w:r>
      <w:r w:rsidRPr="00941C7F">
        <w:rPr>
          <w:rFonts w:ascii="Times New Roman" w:hAnsi="Times New Roman" w:cs="Times New Roman"/>
          <w:sz w:val="24"/>
          <w:szCs w:val="24"/>
        </w:rPr>
        <w:lastRenderedPageBreak/>
        <w:t>variables, which did not deviated from the mean values much, each of the variables were not more twice units apart from the mean. It can also be observed that the mean and median of gross capital accumulation (</w:t>
      </w:r>
      <w:r w:rsidRPr="00941C7F">
        <w:rPr>
          <w:rFonts w:ascii="Times New Roman" w:hAnsi="Times New Roman" w:cs="Times New Roman"/>
          <w:color w:val="000000"/>
          <w:sz w:val="24"/>
          <w:szCs w:val="24"/>
        </w:rPr>
        <w:t xml:space="preserve">gCAF), total external debt (tEXD), and total domestic debt (tDMD) </w:t>
      </w:r>
      <w:r w:rsidRPr="00941C7F">
        <w:rPr>
          <w:rFonts w:ascii="Times New Roman" w:hAnsi="Times New Roman" w:cs="Times New Roman"/>
          <w:sz w:val="24"/>
          <w:szCs w:val="24"/>
        </w:rPr>
        <w:t xml:space="preserve">are very close, with high values which denote a nearly symmetric distribution and the existence of low variability.  Also observed from the table </w:t>
      </w:r>
      <w:r w:rsidR="00BE53BB">
        <w:rPr>
          <w:rFonts w:ascii="Times New Roman" w:hAnsi="Times New Roman" w:cs="Times New Roman"/>
          <w:sz w:val="24"/>
          <w:szCs w:val="24"/>
        </w:rPr>
        <w:t>5</w:t>
      </w:r>
      <w:r w:rsidRPr="00941C7F">
        <w:rPr>
          <w:rFonts w:ascii="Times New Roman" w:hAnsi="Times New Roman" w:cs="Times New Roman"/>
          <w:sz w:val="24"/>
          <w:szCs w:val="24"/>
        </w:rPr>
        <w:t xml:space="preserve"> are positively skewed of the data. </w:t>
      </w:r>
      <w:r w:rsidR="0064617C" w:rsidRPr="0064617C">
        <w:rPr>
          <w:rFonts w:ascii="Times New Roman" w:hAnsi="Times New Roman" w:cs="Times New Roman"/>
          <w:sz w:val="24"/>
          <w:szCs w:val="24"/>
        </w:rPr>
        <w:t>Finally, for every series, the Jarque-Bera statistic is greater than the 0.05% threshold of significance. This shows that, at this level of significance, the null hypothesis—that the series has a normal distribution—is rejected.</w:t>
      </w:r>
    </w:p>
    <w:p w:rsidR="0064617C" w:rsidRDefault="0064617C" w:rsidP="00941C7F">
      <w:pPr>
        <w:spacing w:line="360" w:lineRule="auto"/>
        <w:jc w:val="both"/>
        <w:rPr>
          <w:rFonts w:ascii="Times New Roman" w:hAnsi="Times New Roman" w:cs="Times New Roman"/>
          <w:sz w:val="24"/>
          <w:szCs w:val="24"/>
        </w:rPr>
      </w:pPr>
    </w:p>
    <w:p w:rsidR="0064617C" w:rsidRDefault="0064617C" w:rsidP="00941C7F">
      <w:pPr>
        <w:spacing w:line="360" w:lineRule="auto"/>
        <w:jc w:val="both"/>
        <w:rPr>
          <w:rFonts w:ascii="Times New Roman" w:hAnsi="Times New Roman" w:cs="Times New Roman"/>
          <w:sz w:val="24"/>
          <w:szCs w:val="24"/>
        </w:rPr>
      </w:pP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br/>
      </w: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6</w:t>
      </w:r>
      <w:r w:rsidRPr="00941C7F">
        <w:rPr>
          <w:rFonts w:ascii="Times New Roman" w:hAnsi="Times New Roman" w:cs="Times New Roman"/>
          <w:b/>
          <w:sz w:val="24"/>
          <w:szCs w:val="24"/>
        </w:rPr>
        <w:t>: Correlation Matrix for Multi-Collinearity Test</w:t>
      </w:r>
    </w:p>
    <w:tbl>
      <w:tblPr>
        <w:tblW w:w="10795" w:type="dxa"/>
        <w:tblInd w:w="30" w:type="dxa"/>
        <w:tblLayout w:type="fixed"/>
        <w:tblCellMar>
          <w:left w:w="0" w:type="dxa"/>
          <w:right w:w="0" w:type="dxa"/>
        </w:tblCellMar>
        <w:tblLook w:val="0000"/>
      </w:tblPr>
      <w:tblGrid>
        <w:gridCol w:w="1583"/>
        <w:gridCol w:w="1092"/>
        <w:gridCol w:w="1353"/>
        <w:gridCol w:w="1354"/>
        <w:gridCol w:w="1353"/>
        <w:gridCol w:w="1354"/>
        <w:gridCol w:w="1353"/>
        <w:gridCol w:w="1353"/>
      </w:tblGrid>
      <w:tr w:rsidR="007A6C4E" w:rsidRPr="00941C7F" w:rsidTr="00264CC0">
        <w:trPr>
          <w:trHeight w:val="224"/>
        </w:trPr>
        <w:tc>
          <w:tcPr>
            <w:tcW w:w="158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color w:val="000000"/>
                <w:sz w:val="24"/>
                <w:szCs w:val="24"/>
              </w:rPr>
            </w:pPr>
            <w:r w:rsidRPr="00941C7F">
              <w:rPr>
                <w:rFonts w:ascii="Times New Roman" w:hAnsi="Times New Roman" w:cs="Times New Roman"/>
                <w:b/>
                <w:color w:val="000000"/>
                <w:sz w:val="24"/>
                <w:szCs w:val="24"/>
              </w:rPr>
              <w:t>VARIABLES</w:t>
            </w:r>
          </w:p>
        </w:tc>
        <w:tc>
          <w:tcPr>
            <w:tcW w:w="1092"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gFCF</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tEXD</w:t>
            </w:r>
          </w:p>
        </w:tc>
        <w:tc>
          <w:tcPr>
            <w:tcW w:w="1354"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tDMD</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eXDS</w:t>
            </w:r>
          </w:p>
        </w:tc>
        <w:tc>
          <w:tcPr>
            <w:tcW w:w="1354"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nINT</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nSAV</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nEXR</w:t>
            </w:r>
          </w:p>
        </w:tc>
      </w:tr>
      <w:tr w:rsidR="007A6C4E" w:rsidRPr="00941C7F" w:rsidTr="00264CC0">
        <w:trPr>
          <w:trHeight w:val="224"/>
        </w:trPr>
        <w:tc>
          <w:tcPr>
            <w:tcW w:w="1583"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gFCF</w:t>
            </w:r>
          </w:p>
        </w:tc>
        <w:tc>
          <w:tcPr>
            <w:tcW w:w="1092"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24"/>
        </w:trPr>
        <w:tc>
          <w:tcPr>
            <w:tcW w:w="158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tEXD</w:t>
            </w:r>
          </w:p>
        </w:tc>
        <w:tc>
          <w:tcPr>
            <w:tcW w:w="1092"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-0.283600</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24"/>
        </w:trPr>
        <w:tc>
          <w:tcPr>
            <w:tcW w:w="158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tDMD</w:t>
            </w:r>
          </w:p>
        </w:tc>
        <w:tc>
          <w:tcPr>
            <w:tcW w:w="1092"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0.533678</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-0.499716</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24"/>
        </w:trPr>
        <w:tc>
          <w:tcPr>
            <w:tcW w:w="158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eXDS</w:t>
            </w:r>
          </w:p>
        </w:tc>
        <w:tc>
          <w:tcPr>
            <w:tcW w:w="1092"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0.473637</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-0.598108</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0.309184</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24"/>
        </w:trPr>
        <w:tc>
          <w:tcPr>
            <w:tcW w:w="158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nINT</w:t>
            </w:r>
          </w:p>
        </w:tc>
        <w:tc>
          <w:tcPr>
            <w:tcW w:w="1092"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0.050026</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0.397370</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-0.288932</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-0.207946</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24"/>
        </w:trPr>
        <w:tc>
          <w:tcPr>
            <w:tcW w:w="158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nSAV</w:t>
            </w:r>
          </w:p>
        </w:tc>
        <w:tc>
          <w:tcPr>
            <w:tcW w:w="1092"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0.516272</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-0.650386</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0.647740</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0.806045</w:t>
            </w:r>
          </w:p>
        </w:tc>
        <w:tc>
          <w:tcPr>
            <w:tcW w:w="1354"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-0.401182</w:t>
            </w:r>
          </w:p>
        </w:tc>
        <w:tc>
          <w:tcPr>
            <w:tcW w:w="1353" w:type="dxa"/>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rsidTr="00264CC0">
        <w:trPr>
          <w:trHeight w:val="224"/>
        </w:trPr>
        <w:tc>
          <w:tcPr>
            <w:tcW w:w="158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b/>
                <w:i/>
                <w:color w:val="000000"/>
                <w:sz w:val="24"/>
                <w:szCs w:val="24"/>
              </w:rPr>
              <w:t>nEXR</w:t>
            </w:r>
          </w:p>
        </w:tc>
        <w:tc>
          <w:tcPr>
            <w:tcW w:w="1092"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0.420407</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-0.378809</w:t>
            </w:r>
          </w:p>
        </w:tc>
        <w:tc>
          <w:tcPr>
            <w:tcW w:w="1354"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0.464185</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0.693867</w:t>
            </w:r>
          </w:p>
        </w:tc>
        <w:tc>
          <w:tcPr>
            <w:tcW w:w="1354"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-0.232105</w:t>
            </w:r>
          </w:p>
        </w:tc>
        <w:tc>
          <w:tcPr>
            <w:tcW w:w="1353"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0.525419</w:t>
            </w:r>
          </w:p>
        </w:tc>
        <w:tc>
          <w:tcPr>
            <w:tcW w:w="1353" w:type="dxa"/>
            <w:tcBorders>
              <w:bottom w:val="single" w:sz="4" w:space="0" w:color="auto"/>
            </w:tcBorders>
          </w:tcPr>
          <w:p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1.000000</w:t>
            </w:r>
          </w:p>
        </w:tc>
      </w:tr>
    </w:tbl>
    <w:p w:rsidR="007A6C4E" w:rsidRPr="00941C7F" w:rsidRDefault="007A6C4E" w:rsidP="00941C7F">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r w:rsidRPr="00941C7F">
        <w:rPr>
          <w:rFonts w:ascii="Times New Roman" w:hAnsi="Times New Roman" w:cs="Times New Roman"/>
          <w:bCs/>
          <w:sz w:val="24"/>
          <w:szCs w:val="24"/>
        </w:rPr>
        <w:t>.</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From Table </w:t>
      </w:r>
      <w:r w:rsidR="00BE53BB">
        <w:rPr>
          <w:rFonts w:ascii="Times New Roman" w:hAnsi="Times New Roman" w:cs="Times New Roman"/>
          <w:sz w:val="24"/>
          <w:szCs w:val="24"/>
        </w:rPr>
        <w:t>6</w:t>
      </w:r>
      <w:r w:rsidRPr="00941C7F">
        <w:rPr>
          <w:rFonts w:ascii="Times New Roman" w:hAnsi="Times New Roman" w:cs="Times New Roman"/>
          <w:sz w:val="24"/>
          <w:szCs w:val="24"/>
        </w:rPr>
        <w:t xml:space="preserve"> we discovered that the entire pair wise correlation matrix is not in excess of 0.8. We therefore conclude that there is no presence of perfect multi-collinearity among the variables in the model, signifying that each independent variable in the model influences the dependent variable differently.</w:t>
      </w: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Unit root tests</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inferential estimation among the variables requires that the </w:t>
      </w:r>
      <w:r w:rsidR="00CC4062">
        <w:rPr>
          <w:rFonts w:ascii="Times New Roman" w:hAnsi="Times New Roman" w:cs="Times New Roman"/>
          <w:sz w:val="24"/>
          <w:szCs w:val="24"/>
        </w:rPr>
        <w:t>stationarity</w:t>
      </w:r>
      <w:r w:rsidRPr="00941C7F">
        <w:rPr>
          <w:rFonts w:ascii="Times New Roman" w:hAnsi="Times New Roman" w:cs="Times New Roman"/>
          <w:sz w:val="24"/>
          <w:szCs w:val="24"/>
        </w:rPr>
        <w:t xml:space="preserve"> of the time series properties </w:t>
      </w:r>
      <w:r w:rsidR="00CC4062">
        <w:rPr>
          <w:rFonts w:ascii="Times New Roman" w:hAnsi="Times New Roman" w:cs="Times New Roman"/>
          <w:sz w:val="24"/>
          <w:szCs w:val="24"/>
        </w:rPr>
        <w:t>is</w:t>
      </w:r>
      <w:r w:rsidRPr="00941C7F">
        <w:rPr>
          <w:rFonts w:ascii="Times New Roman" w:hAnsi="Times New Roman" w:cs="Times New Roman"/>
          <w:sz w:val="24"/>
          <w:szCs w:val="24"/>
        </w:rPr>
        <w:t xml:space="preserve"> checked. This was done in order to correctly apply </w:t>
      </w:r>
      <w:r w:rsidR="007303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appropriate regression technique which is most suitable for purely I(0) and purely I(1) variables and not for I(2) variables (Pesaran, Shin and Smith, 2001). In other words, panel unit root tests such as Levin, Lin and Chu (2002) (LLC), Im, Pesaran and Shin (2003) </w:t>
      </w:r>
      <w:r w:rsidRPr="00941C7F">
        <w:rPr>
          <w:rFonts w:ascii="Times New Roman" w:hAnsi="Times New Roman" w:cs="Times New Roman"/>
          <w:sz w:val="24"/>
          <w:szCs w:val="24"/>
        </w:rPr>
        <w:lastRenderedPageBreak/>
        <w:t xml:space="preserve">(IPS), Augmented Dickey Fuller (ADF, 1979) tests were performed. All the variable is either of order I(0) and I(1) and as presented at </w:t>
      </w:r>
      <w:r w:rsidR="007303C4" w:rsidRPr="00941C7F">
        <w:rPr>
          <w:rFonts w:ascii="Times New Roman" w:hAnsi="Times New Roman" w:cs="Times New Roman"/>
          <w:sz w:val="24"/>
          <w:szCs w:val="24"/>
        </w:rPr>
        <w:t>Table</w:t>
      </w:r>
      <w:r w:rsidR="00BE53BB">
        <w:rPr>
          <w:rFonts w:ascii="Times New Roman" w:hAnsi="Times New Roman" w:cs="Times New Roman"/>
          <w:sz w:val="24"/>
          <w:szCs w:val="24"/>
        </w:rPr>
        <w:t>7</w:t>
      </w:r>
      <w:r w:rsidRPr="00941C7F">
        <w:rPr>
          <w:rFonts w:ascii="Times New Roman" w:hAnsi="Times New Roman" w:cs="Times New Roman"/>
          <w:sz w:val="24"/>
          <w:szCs w:val="24"/>
        </w:rPr>
        <w:t>.</w:t>
      </w:r>
    </w:p>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 xml:space="preserve">Table </w:t>
      </w:r>
      <w:r w:rsidR="00BE53BB">
        <w:rPr>
          <w:rFonts w:ascii="Times New Roman" w:hAnsi="Times New Roman" w:cs="Times New Roman"/>
          <w:b/>
          <w:sz w:val="24"/>
          <w:szCs w:val="24"/>
          <w:lang w:val="en-GB"/>
        </w:rPr>
        <w:t>7</w:t>
      </w:r>
      <w:r w:rsidRPr="00941C7F">
        <w:rPr>
          <w:rFonts w:ascii="Times New Roman" w:hAnsi="Times New Roman" w:cs="Times New Roman"/>
          <w:b/>
          <w:sz w:val="24"/>
          <w:szCs w:val="24"/>
          <w:lang w:val="en-GB"/>
        </w:rPr>
        <w:t xml:space="preserve"> Unit root (ADF test)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8"/>
        <w:gridCol w:w="1621"/>
        <w:gridCol w:w="1169"/>
        <w:gridCol w:w="1620"/>
        <w:gridCol w:w="1247"/>
        <w:gridCol w:w="1350"/>
        <w:gridCol w:w="1291"/>
      </w:tblGrid>
      <w:tr w:rsidR="007A6C4E" w:rsidRPr="00941C7F" w:rsidTr="00264CC0">
        <w:tc>
          <w:tcPr>
            <w:tcW w:w="1278"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Variables</w:t>
            </w:r>
          </w:p>
        </w:tc>
        <w:tc>
          <w:tcPr>
            <w:tcW w:w="1621"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Adf Chi-Square &amp;Adf Z-stat at level</w:t>
            </w:r>
          </w:p>
        </w:tc>
        <w:tc>
          <w:tcPr>
            <w:tcW w:w="1169"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Prob.</w:t>
            </w:r>
          </w:p>
        </w:tc>
        <w:tc>
          <w:tcPr>
            <w:tcW w:w="1620"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Adf Chi-Square &amp;Adf Z-stat at 1</w:t>
            </w:r>
            <w:r w:rsidRPr="00941C7F">
              <w:rPr>
                <w:rFonts w:ascii="Times New Roman" w:hAnsi="Times New Roman" w:cs="Times New Roman"/>
                <w:b/>
                <w:sz w:val="24"/>
                <w:szCs w:val="24"/>
                <w:vertAlign w:val="superscript"/>
                <w:lang w:val="en-GB"/>
              </w:rPr>
              <w:t>st</w:t>
            </w:r>
            <w:r w:rsidRPr="00941C7F">
              <w:rPr>
                <w:rFonts w:ascii="Times New Roman" w:hAnsi="Times New Roman" w:cs="Times New Roman"/>
                <w:b/>
                <w:sz w:val="24"/>
                <w:szCs w:val="24"/>
                <w:lang w:val="en-GB"/>
              </w:rPr>
              <w:t xml:space="preserve"> Difference</w:t>
            </w:r>
          </w:p>
        </w:tc>
        <w:tc>
          <w:tcPr>
            <w:tcW w:w="1247"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Prob.</w:t>
            </w:r>
          </w:p>
        </w:tc>
        <w:tc>
          <w:tcPr>
            <w:tcW w:w="1350"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Order of integration</w:t>
            </w:r>
          </w:p>
        </w:tc>
        <w:tc>
          <w:tcPr>
            <w:tcW w:w="1291" w:type="dxa"/>
            <w:tcBorders>
              <w:bottom w:val="single" w:sz="4" w:space="0" w:color="auto"/>
            </w:tcBorders>
          </w:tcPr>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Remarks</w:t>
            </w:r>
          </w:p>
        </w:tc>
      </w:tr>
      <w:tr w:rsidR="007A6C4E" w:rsidRPr="00941C7F" w:rsidTr="00264CC0">
        <w:trPr>
          <w:trHeight w:val="1935"/>
        </w:trPr>
        <w:tc>
          <w:tcPr>
            <w:tcW w:w="1278"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gFCF</w:t>
            </w:r>
          </w:p>
          <w:p w:rsidR="007A6C4E" w:rsidRPr="00941C7F" w:rsidRDefault="007A6C4E" w:rsidP="00941C7F">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tEXD</w:t>
            </w:r>
          </w:p>
          <w:p w:rsidR="007A6C4E" w:rsidRPr="00941C7F" w:rsidRDefault="007A6C4E" w:rsidP="00941C7F">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tDMD</w:t>
            </w:r>
          </w:p>
          <w:p w:rsidR="007A6C4E" w:rsidRPr="00941C7F" w:rsidRDefault="007A6C4E" w:rsidP="00941C7F">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eXDS</w:t>
            </w:r>
          </w:p>
          <w:p w:rsidR="007A6C4E" w:rsidRPr="00941C7F" w:rsidRDefault="007A6C4E" w:rsidP="00941C7F">
            <w:pPr>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nINT</w:t>
            </w:r>
          </w:p>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nSAV</w:t>
            </w:r>
          </w:p>
          <w:p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i/>
                <w:color w:val="000000"/>
                <w:sz w:val="24"/>
                <w:szCs w:val="24"/>
              </w:rPr>
              <w:t>nEXR</w:t>
            </w:r>
          </w:p>
        </w:tc>
        <w:tc>
          <w:tcPr>
            <w:tcW w:w="1621"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-0.88685</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-1.88165</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4.063737</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1.855589</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-11.92309</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-0.297086</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2.863953</w:t>
            </w:r>
          </w:p>
        </w:tc>
        <w:tc>
          <w:tcPr>
            <w:tcW w:w="1169"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0.7824</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0.3373</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0.9996</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0.9166</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tc>
        <w:tc>
          <w:tcPr>
            <w:tcW w:w="1620"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-7.153038</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-4.595103</w:t>
            </w: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7.273977</w:t>
            </w: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-4.963062</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-4.212042</w:t>
            </w:r>
          </w:p>
        </w:tc>
        <w:tc>
          <w:tcPr>
            <w:tcW w:w="1247"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0.0002</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0.0019</w:t>
            </w:r>
          </w:p>
        </w:tc>
        <w:tc>
          <w:tcPr>
            <w:tcW w:w="1350"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tc>
        <w:tc>
          <w:tcPr>
            <w:tcW w:w="1291" w:type="dxa"/>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tc>
      </w:tr>
    </w:tbl>
    <w:p w:rsidR="007A6C4E" w:rsidRPr="00941C7F" w:rsidRDefault="007A6C4E" w:rsidP="00941C7F">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r w:rsidRPr="00941C7F">
        <w:rPr>
          <w:rFonts w:ascii="Times New Roman" w:hAnsi="Times New Roman" w:cs="Times New Roman"/>
          <w:bCs/>
          <w:sz w:val="24"/>
          <w:szCs w:val="24"/>
        </w:rPr>
        <w:t>.</w:t>
      </w: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sz w:val="24"/>
          <w:szCs w:val="24"/>
        </w:rPr>
        <w:t>The results of the unit root test</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as presented in Table </w:t>
      </w:r>
      <w:r w:rsidR="00BE53BB">
        <w:rPr>
          <w:rFonts w:ascii="Times New Roman" w:hAnsi="Times New Roman" w:cs="Times New Roman"/>
          <w:sz w:val="24"/>
          <w:szCs w:val="24"/>
        </w:rPr>
        <w:t>7</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indicate that some of the variables used for the study have a unit root problem in their level forms but become stationary after the first difference. It was revealed by the Augmented Dickey-Fuller (ADF) statistics for each variable with </w:t>
      </w:r>
      <w:r w:rsidR="00672FC4" w:rsidRPr="00941C7F">
        <w:rPr>
          <w:rFonts w:ascii="Times New Roman" w:hAnsi="Times New Roman" w:cs="Times New Roman"/>
          <w:sz w:val="24"/>
          <w:szCs w:val="24"/>
        </w:rPr>
        <w:t>its</w:t>
      </w:r>
      <w:r w:rsidRPr="00941C7F">
        <w:rPr>
          <w:rFonts w:ascii="Times New Roman" w:hAnsi="Times New Roman" w:cs="Times New Roman"/>
          <w:sz w:val="24"/>
          <w:szCs w:val="24"/>
        </w:rPr>
        <w:t xml:space="preserve"> corresponding critical values. It could be observed from Table </w:t>
      </w:r>
      <w:r w:rsidR="00BE53BB">
        <w:rPr>
          <w:rFonts w:ascii="Times New Roman" w:hAnsi="Times New Roman" w:cs="Times New Roman"/>
          <w:sz w:val="24"/>
          <w:szCs w:val="24"/>
        </w:rPr>
        <w:t>7</w:t>
      </w:r>
      <w:r w:rsidRPr="00941C7F">
        <w:rPr>
          <w:rFonts w:ascii="Times New Roman" w:hAnsi="Times New Roman" w:cs="Times New Roman"/>
          <w:sz w:val="24"/>
          <w:szCs w:val="24"/>
        </w:rPr>
        <w:t xml:space="preserve"> that the results </w:t>
      </w:r>
      <w:r w:rsidR="00672FC4" w:rsidRPr="00941C7F">
        <w:rPr>
          <w:rFonts w:ascii="Times New Roman" w:hAnsi="Times New Roman" w:cs="Times New Roman"/>
          <w:sz w:val="24"/>
          <w:szCs w:val="24"/>
        </w:rPr>
        <w:t>from both</w:t>
      </w:r>
      <w:r w:rsidRPr="00941C7F">
        <w:rPr>
          <w:rFonts w:ascii="Times New Roman" w:hAnsi="Times New Roman" w:cs="Times New Roman"/>
          <w:sz w:val="24"/>
          <w:szCs w:val="24"/>
        </w:rPr>
        <w:t xml:space="preserve"> ADF </w:t>
      </w:r>
      <w:r w:rsidR="00672FC4" w:rsidRPr="00941C7F">
        <w:rPr>
          <w:rFonts w:ascii="Times New Roman" w:hAnsi="Times New Roman" w:cs="Times New Roman"/>
          <w:sz w:val="24"/>
          <w:szCs w:val="24"/>
        </w:rPr>
        <w:t>tests show</w:t>
      </w:r>
      <w:r w:rsidRPr="00941C7F">
        <w:rPr>
          <w:rFonts w:ascii="Times New Roman" w:hAnsi="Times New Roman" w:cs="Times New Roman"/>
          <w:sz w:val="24"/>
          <w:szCs w:val="24"/>
        </w:rPr>
        <w:t xml:space="preserve"> that only tDMD and nINT were stationary at the levels, i.e.</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they were integrated at order zero {I(0)} and at 1% and 5% significance levels. On the contrary, GFCF, tEXD, eXDS, nSAV</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and NEXR were all found to be stationary at the first difference; this is integrated to order one {I(1)} and at a significance level of 1%. Table </w:t>
      </w:r>
      <w:r w:rsidR="00BE53BB">
        <w:rPr>
          <w:rFonts w:ascii="Times New Roman" w:hAnsi="Times New Roman" w:cs="Times New Roman"/>
          <w:sz w:val="24"/>
          <w:szCs w:val="24"/>
        </w:rPr>
        <w:t>7</w:t>
      </w:r>
      <w:r w:rsidRPr="00941C7F">
        <w:rPr>
          <w:rFonts w:ascii="Times New Roman" w:hAnsi="Times New Roman" w:cs="Times New Roman"/>
          <w:sz w:val="24"/>
          <w:szCs w:val="24"/>
        </w:rPr>
        <w:t xml:space="preserve"> also shows that their ADF test statistics were each larger than the critical test statistics at a 1% significance level in their order of integration. Nevertheless, the variables are not stationary at the levels; there is still a tendency for us to expect a long-term equilibrium relationship between dependent and independent variables despite the presence of unit roots.</w:t>
      </w: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Test for Co-integration</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Given that the series are integrated of order zero and one</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that is 1(0) and 1(1), auto </w:t>
      </w:r>
      <w:r w:rsidR="00672FC4" w:rsidRPr="00941C7F">
        <w:rPr>
          <w:rFonts w:ascii="Times New Roman" w:hAnsi="Times New Roman" w:cs="Times New Roman"/>
          <w:sz w:val="24"/>
          <w:szCs w:val="24"/>
        </w:rPr>
        <w:t>auto-redistributed</w:t>
      </w:r>
      <w:r w:rsidRPr="00941C7F">
        <w:rPr>
          <w:rFonts w:ascii="Times New Roman" w:hAnsi="Times New Roman" w:cs="Times New Roman"/>
          <w:sz w:val="24"/>
          <w:szCs w:val="24"/>
        </w:rPr>
        <w:t xml:space="preserve"> lag co-integration approach is found most appropriate in ascertaining if there is a long run relationship existing between the variables of the model. The theory of co-integration was pioneered by Granger (1981), Engle </w:t>
      </w:r>
      <w:r w:rsidRPr="00941C7F">
        <w:rPr>
          <w:rFonts w:ascii="Times New Roman" w:hAnsi="Times New Roman" w:cs="Times New Roman"/>
          <w:sz w:val="24"/>
          <w:szCs w:val="24"/>
        </w:rPr>
        <w:lastRenderedPageBreak/>
        <w:t xml:space="preserve">and Granger (1987), </w:t>
      </w:r>
      <w:r w:rsidR="00672FC4" w:rsidRPr="00941C7F">
        <w:rPr>
          <w:rFonts w:ascii="Times New Roman" w:hAnsi="Times New Roman" w:cs="Times New Roman"/>
          <w:sz w:val="24"/>
          <w:szCs w:val="24"/>
        </w:rPr>
        <w:t xml:space="preserve">and </w:t>
      </w:r>
      <w:r w:rsidRPr="00941C7F">
        <w:rPr>
          <w:rFonts w:ascii="Times New Roman" w:hAnsi="Times New Roman" w:cs="Times New Roman"/>
          <w:sz w:val="24"/>
          <w:szCs w:val="24"/>
        </w:rPr>
        <w:t xml:space="preserve">addresses this issue of integrating short-run dynamics with Long-run equilibrium. This study makes use of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ARDL bound test approach developed by Pesaran et al (2001) to evaluate if there is a co-integration among the variables. Null hypothesis to be tested (H</w:t>
      </w:r>
      <w:r w:rsidRPr="00941C7F">
        <w:rPr>
          <w:rFonts w:ascii="Times New Roman" w:hAnsi="Times New Roman" w:cs="Times New Roman"/>
          <w:sz w:val="24"/>
          <w:szCs w:val="24"/>
          <w:vertAlign w:val="subscript"/>
        </w:rPr>
        <w:t>0</w:t>
      </w:r>
      <w:r w:rsidRPr="00941C7F">
        <w:rPr>
          <w:rFonts w:ascii="Times New Roman" w:hAnsi="Times New Roman" w:cs="Times New Roman"/>
          <w:sz w:val="24"/>
          <w:szCs w:val="24"/>
        </w:rPr>
        <w:t xml:space="preserve">): </w:t>
      </w:r>
      <w:r w:rsidR="00672FC4" w:rsidRPr="00941C7F">
        <w:rPr>
          <w:rFonts w:ascii="Times New Roman" w:hAnsi="Times New Roman" w:cs="Times New Roman"/>
          <w:sz w:val="24"/>
          <w:szCs w:val="24"/>
        </w:rPr>
        <w:t>There</w:t>
      </w:r>
      <w:r w:rsidRPr="00941C7F">
        <w:rPr>
          <w:rFonts w:ascii="Times New Roman" w:hAnsi="Times New Roman" w:cs="Times New Roman"/>
          <w:sz w:val="24"/>
          <w:szCs w:val="24"/>
        </w:rPr>
        <w:t xml:space="preserve"> is no co-integration among the variables.</w:t>
      </w:r>
    </w:p>
    <w:p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ARDL Bound Co-integration Test Result</w:t>
      </w:r>
    </w:p>
    <w:p w:rsidR="007A6C4E" w:rsidRPr="00941C7F" w:rsidRDefault="007A6C4E" w:rsidP="00941C7F">
      <w:pPr>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8</w:t>
      </w:r>
      <w:r w:rsidRPr="00941C7F">
        <w:rPr>
          <w:rFonts w:ascii="Times New Roman" w:hAnsi="Times New Roman" w:cs="Times New Roman"/>
          <w:b/>
          <w:sz w:val="24"/>
          <w:szCs w:val="24"/>
        </w:rPr>
        <w:t xml:space="preserve">: ARDL Bounds Test </w:t>
      </w:r>
    </w:p>
    <w:tbl>
      <w:tblPr>
        <w:tblW w:w="9784" w:type="dxa"/>
        <w:tblLayout w:type="fixed"/>
        <w:tblLook w:val="0000"/>
      </w:tblPr>
      <w:tblGrid>
        <w:gridCol w:w="3255"/>
        <w:gridCol w:w="6"/>
        <w:gridCol w:w="3261"/>
        <w:gridCol w:w="3262"/>
      </w:tblGrid>
      <w:tr w:rsidR="007A6C4E" w:rsidRPr="00941C7F" w:rsidTr="00264CC0">
        <w:trPr>
          <w:trHeight w:val="146"/>
        </w:trPr>
        <w:tc>
          <w:tcPr>
            <w:tcW w:w="3255" w:type="dxa"/>
            <w:tcBorders>
              <w:top w:val="single" w:sz="4" w:space="0" w:color="auto"/>
              <w:bottom w:val="single" w:sz="4" w:space="0" w:color="auto"/>
              <w:right w:val="single" w:sz="4" w:space="0" w:color="auto"/>
            </w:tcBorders>
          </w:tcPr>
          <w:p w:rsidR="007A6C4E" w:rsidRPr="00941C7F" w:rsidRDefault="007A6C4E" w:rsidP="00941C7F">
            <w:pPr>
              <w:pStyle w:val="Default"/>
              <w:spacing w:line="360" w:lineRule="auto"/>
              <w:jc w:val="both"/>
              <w:rPr>
                <w:color w:val="auto"/>
              </w:rPr>
            </w:pPr>
            <w:r w:rsidRPr="00941C7F">
              <w:rPr>
                <w:b/>
                <w:bCs/>
                <w:color w:val="auto"/>
              </w:rPr>
              <w:t>Table</w:t>
            </w:r>
            <w:r w:rsidR="00BE53BB">
              <w:rPr>
                <w:b/>
                <w:bCs/>
                <w:color w:val="auto"/>
              </w:rPr>
              <w:t xml:space="preserve"> 8</w:t>
            </w:r>
            <w:r w:rsidRPr="00941C7F">
              <w:rPr>
                <w:b/>
                <w:bCs/>
                <w:color w:val="auto"/>
              </w:rPr>
              <w:t xml:space="preserve">: </w:t>
            </w:r>
            <w:r w:rsidRPr="00941C7F">
              <w:rPr>
                <w:color w:val="auto"/>
              </w:rPr>
              <w:t>ARDL Bounds Test</w:t>
            </w:r>
          </w:p>
        </w:tc>
        <w:tc>
          <w:tcPr>
            <w:tcW w:w="6529" w:type="dxa"/>
            <w:gridSpan w:val="3"/>
            <w:tcBorders>
              <w:top w:val="single" w:sz="4" w:space="0" w:color="auto"/>
              <w:left w:val="single" w:sz="4" w:space="0" w:color="auto"/>
              <w:bottom w:val="single" w:sz="4" w:space="0" w:color="auto"/>
            </w:tcBorders>
          </w:tcPr>
          <w:p w:rsidR="007A6C4E" w:rsidRPr="00941C7F" w:rsidRDefault="007A6C4E" w:rsidP="00941C7F">
            <w:pPr>
              <w:pStyle w:val="Default"/>
              <w:spacing w:line="360" w:lineRule="auto"/>
              <w:jc w:val="both"/>
              <w:rPr>
                <w:color w:val="auto"/>
              </w:rPr>
            </w:pPr>
          </w:p>
        </w:tc>
      </w:tr>
      <w:tr w:rsidR="007A6C4E" w:rsidRPr="00941C7F" w:rsidTr="00264CC0">
        <w:trPr>
          <w:trHeight w:val="146"/>
        </w:trPr>
        <w:tc>
          <w:tcPr>
            <w:tcW w:w="3255" w:type="dxa"/>
            <w:tcBorders>
              <w:top w:val="single" w:sz="4" w:space="0" w:color="auto"/>
              <w:bottom w:val="single" w:sz="4" w:space="0" w:color="auto"/>
              <w:right w:val="single" w:sz="4" w:space="0" w:color="auto"/>
            </w:tcBorders>
          </w:tcPr>
          <w:p w:rsidR="007A6C4E" w:rsidRPr="00941C7F" w:rsidRDefault="007A6C4E" w:rsidP="00941C7F">
            <w:pPr>
              <w:pStyle w:val="Default"/>
              <w:spacing w:line="360" w:lineRule="auto"/>
              <w:jc w:val="both"/>
              <w:rPr>
                <w:color w:val="auto"/>
              </w:rPr>
            </w:pPr>
            <w:r w:rsidRPr="00941C7F">
              <w:rPr>
                <w:b/>
                <w:color w:val="auto"/>
              </w:rPr>
              <w:t>F-Statistics</w:t>
            </w:r>
            <w:r w:rsidRPr="00941C7F">
              <w:rPr>
                <w:color w:val="auto"/>
              </w:rPr>
              <w:t>=  </w:t>
            </w:r>
            <w:r w:rsidRPr="00941C7F">
              <w:rPr>
                <w:b/>
                <w:color w:val="auto"/>
              </w:rPr>
              <w:t>19.06159</w:t>
            </w:r>
          </w:p>
        </w:tc>
        <w:tc>
          <w:tcPr>
            <w:tcW w:w="6529" w:type="dxa"/>
            <w:gridSpan w:val="3"/>
            <w:tcBorders>
              <w:top w:val="single" w:sz="4" w:space="0" w:color="auto"/>
              <w:left w:val="single" w:sz="4" w:space="0" w:color="auto"/>
              <w:bottom w:val="single" w:sz="4" w:space="0" w:color="auto"/>
            </w:tcBorders>
          </w:tcPr>
          <w:p w:rsidR="007A6C4E" w:rsidRPr="00941C7F" w:rsidRDefault="007A6C4E" w:rsidP="00941C7F">
            <w:pPr>
              <w:pStyle w:val="Default"/>
              <w:spacing w:line="360" w:lineRule="auto"/>
              <w:jc w:val="both"/>
              <w:rPr>
                <w:color w:val="auto"/>
              </w:rPr>
            </w:pPr>
          </w:p>
        </w:tc>
      </w:tr>
      <w:tr w:rsidR="007A6C4E" w:rsidRPr="00941C7F" w:rsidTr="00264CC0">
        <w:trPr>
          <w:trHeight w:val="146"/>
        </w:trPr>
        <w:tc>
          <w:tcPr>
            <w:tcW w:w="3255" w:type="dxa"/>
            <w:tcBorders>
              <w:top w:val="single" w:sz="4" w:space="0" w:color="auto"/>
              <w:bottom w:val="single" w:sz="4" w:space="0" w:color="auto"/>
              <w:right w:val="single" w:sz="4" w:space="0" w:color="auto"/>
            </w:tcBorders>
          </w:tcPr>
          <w:p w:rsidR="007A6C4E" w:rsidRPr="00941C7F" w:rsidRDefault="007A6C4E" w:rsidP="00941C7F">
            <w:pPr>
              <w:pStyle w:val="Default"/>
              <w:spacing w:line="360" w:lineRule="auto"/>
              <w:jc w:val="both"/>
              <w:rPr>
                <w:color w:val="auto"/>
              </w:rPr>
            </w:pPr>
            <w:r w:rsidRPr="00941C7F">
              <w:rPr>
                <w:color w:val="auto"/>
              </w:rPr>
              <w:t xml:space="preserve">Critical Value Bounds </w:t>
            </w:r>
          </w:p>
        </w:tc>
        <w:tc>
          <w:tcPr>
            <w:tcW w:w="6529" w:type="dxa"/>
            <w:gridSpan w:val="3"/>
            <w:tcBorders>
              <w:top w:val="single" w:sz="4" w:space="0" w:color="auto"/>
              <w:left w:val="single" w:sz="4" w:space="0" w:color="auto"/>
              <w:bottom w:val="single" w:sz="4" w:space="0" w:color="auto"/>
            </w:tcBorders>
          </w:tcPr>
          <w:p w:rsidR="007A6C4E" w:rsidRPr="00941C7F" w:rsidRDefault="007A6C4E" w:rsidP="00941C7F">
            <w:pPr>
              <w:pStyle w:val="Default"/>
              <w:spacing w:line="360" w:lineRule="auto"/>
              <w:jc w:val="both"/>
              <w:rPr>
                <w:color w:val="auto"/>
              </w:rPr>
            </w:pPr>
          </w:p>
        </w:tc>
      </w:tr>
      <w:tr w:rsidR="007A6C4E" w:rsidRPr="00941C7F" w:rsidTr="00264CC0">
        <w:trPr>
          <w:trHeight w:val="285"/>
        </w:trPr>
        <w:tc>
          <w:tcPr>
            <w:tcW w:w="3261" w:type="dxa"/>
            <w:gridSpan w:val="2"/>
            <w:tcBorders>
              <w:top w:val="single" w:sz="4" w:space="0" w:color="auto"/>
              <w:bottom w:val="single" w:sz="4" w:space="0" w:color="auto"/>
            </w:tcBorders>
          </w:tcPr>
          <w:p w:rsidR="007A6C4E" w:rsidRPr="00941C7F" w:rsidRDefault="007A6C4E" w:rsidP="00941C7F">
            <w:pPr>
              <w:pStyle w:val="Default"/>
              <w:spacing w:line="360" w:lineRule="auto"/>
              <w:jc w:val="both"/>
              <w:rPr>
                <w:b/>
                <w:color w:val="auto"/>
              </w:rPr>
            </w:pPr>
            <w:r w:rsidRPr="00941C7F">
              <w:rPr>
                <w:b/>
                <w:color w:val="auto"/>
              </w:rPr>
              <w:t xml:space="preserve">Significance levels </w:t>
            </w:r>
          </w:p>
        </w:tc>
        <w:tc>
          <w:tcPr>
            <w:tcW w:w="3261" w:type="dxa"/>
            <w:tcBorders>
              <w:top w:val="single" w:sz="4" w:space="0" w:color="auto"/>
              <w:bottom w:val="single" w:sz="4" w:space="0" w:color="auto"/>
            </w:tcBorders>
          </w:tcPr>
          <w:p w:rsidR="007A6C4E" w:rsidRPr="00941C7F" w:rsidRDefault="007A6C4E" w:rsidP="00941C7F">
            <w:pPr>
              <w:pStyle w:val="Default"/>
              <w:spacing w:line="360" w:lineRule="auto"/>
              <w:jc w:val="both"/>
              <w:rPr>
                <w:b/>
                <w:color w:val="auto"/>
              </w:rPr>
            </w:pPr>
            <w:r w:rsidRPr="00941C7F">
              <w:rPr>
                <w:b/>
                <w:color w:val="auto"/>
              </w:rPr>
              <w:t xml:space="preserve">I(0) Bounds </w:t>
            </w:r>
          </w:p>
        </w:tc>
        <w:tc>
          <w:tcPr>
            <w:tcW w:w="3262" w:type="dxa"/>
            <w:tcBorders>
              <w:top w:val="single" w:sz="4" w:space="0" w:color="auto"/>
              <w:bottom w:val="single" w:sz="4" w:space="0" w:color="auto"/>
            </w:tcBorders>
          </w:tcPr>
          <w:p w:rsidR="007A6C4E" w:rsidRPr="00941C7F" w:rsidRDefault="007A6C4E" w:rsidP="00941C7F">
            <w:pPr>
              <w:pStyle w:val="Default"/>
              <w:spacing w:line="360" w:lineRule="auto"/>
              <w:jc w:val="both"/>
              <w:rPr>
                <w:b/>
                <w:color w:val="auto"/>
              </w:rPr>
            </w:pPr>
            <w:r w:rsidRPr="00941C7F">
              <w:rPr>
                <w:b/>
                <w:color w:val="auto"/>
              </w:rPr>
              <w:t xml:space="preserve">I(1) Bounds </w:t>
            </w:r>
          </w:p>
        </w:tc>
      </w:tr>
      <w:tr w:rsidR="007A6C4E" w:rsidRPr="00941C7F" w:rsidTr="00264CC0">
        <w:trPr>
          <w:trHeight w:val="299"/>
        </w:trPr>
        <w:tc>
          <w:tcPr>
            <w:tcW w:w="3261" w:type="dxa"/>
            <w:gridSpan w:val="2"/>
            <w:tcBorders>
              <w:top w:val="single" w:sz="4" w:space="0" w:color="auto"/>
            </w:tcBorders>
          </w:tcPr>
          <w:p w:rsidR="007A6C4E" w:rsidRPr="00941C7F" w:rsidRDefault="007A6C4E" w:rsidP="00941C7F">
            <w:pPr>
              <w:pStyle w:val="Default"/>
              <w:spacing w:line="360" w:lineRule="auto"/>
              <w:jc w:val="both"/>
              <w:rPr>
                <w:b/>
                <w:color w:val="auto"/>
              </w:rPr>
            </w:pPr>
            <w:r w:rsidRPr="00941C7F">
              <w:rPr>
                <w:color w:val="auto"/>
              </w:rPr>
              <w:t>5%</w:t>
            </w:r>
          </w:p>
        </w:tc>
        <w:tc>
          <w:tcPr>
            <w:tcW w:w="3261"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2.45</w:t>
            </w:r>
          </w:p>
        </w:tc>
        <w:tc>
          <w:tcPr>
            <w:tcW w:w="3262" w:type="dxa"/>
            <w:tcBorders>
              <w:top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3.61</w:t>
            </w:r>
          </w:p>
        </w:tc>
      </w:tr>
      <w:tr w:rsidR="007A6C4E" w:rsidRPr="00941C7F" w:rsidTr="00264CC0">
        <w:trPr>
          <w:trHeight w:val="80"/>
        </w:trPr>
        <w:tc>
          <w:tcPr>
            <w:tcW w:w="3261" w:type="dxa"/>
            <w:gridSpan w:val="2"/>
            <w:tcBorders>
              <w:bottom w:val="single" w:sz="4" w:space="0" w:color="auto"/>
            </w:tcBorders>
          </w:tcPr>
          <w:p w:rsidR="007A6C4E" w:rsidRPr="00941C7F" w:rsidRDefault="007A6C4E" w:rsidP="00941C7F">
            <w:pPr>
              <w:pStyle w:val="Default"/>
              <w:spacing w:line="360" w:lineRule="auto"/>
              <w:jc w:val="both"/>
              <w:rPr>
                <w:color w:val="auto"/>
              </w:rPr>
            </w:pPr>
          </w:p>
        </w:tc>
        <w:tc>
          <w:tcPr>
            <w:tcW w:w="3261"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p>
        </w:tc>
        <w:tc>
          <w:tcPr>
            <w:tcW w:w="3262" w:type="dxa"/>
            <w:tcBorders>
              <w:bottom w:val="single" w:sz="4" w:space="0" w:color="auto"/>
            </w:tcBorders>
            <w:vAlign w:val="bottom"/>
          </w:tcPr>
          <w:p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p>
        </w:tc>
      </w:tr>
    </w:tbl>
    <w:p w:rsidR="007A6C4E" w:rsidRPr="00941C7F" w:rsidRDefault="007A6C4E" w:rsidP="00941C7F">
      <w:pPr>
        <w:tabs>
          <w:tab w:val="left" w:pos="1580"/>
        </w:tabs>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p>
    <w:p w:rsidR="007A6C4E" w:rsidRPr="00941C7F" w:rsidRDefault="007A6C4E" w:rsidP="00941C7F">
      <w:pPr>
        <w:tabs>
          <w:tab w:val="left" w:pos="1580"/>
        </w:tabs>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co-integrating was evaluated through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ARDL Bounds Test. The result</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as shown in Table </w:t>
      </w:r>
      <w:r w:rsidR="00BE53BB">
        <w:rPr>
          <w:rFonts w:ascii="Times New Roman" w:hAnsi="Times New Roman" w:cs="Times New Roman"/>
          <w:sz w:val="24"/>
          <w:szCs w:val="24"/>
        </w:rPr>
        <w:t>10</w:t>
      </w:r>
      <w:r w:rsidRPr="00941C7F">
        <w:rPr>
          <w:rFonts w:ascii="Times New Roman" w:hAnsi="Times New Roman" w:cs="Times New Roman"/>
          <w:sz w:val="24"/>
          <w:szCs w:val="24"/>
        </w:rPr>
        <w:t xml:space="preserve"> indicated that the F-Statistics value (19.06159) is greater than the lower and upper critical bounds at 5% </w:t>
      </w:r>
      <w:r w:rsidR="00672FC4" w:rsidRPr="00941C7F">
        <w:rPr>
          <w:rFonts w:ascii="Times New Roman" w:hAnsi="Times New Roman" w:cs="Times New Roman"/>
          <w:sz w:val="24"/>
          <w:szCs w:val="24"/>
        </w:rPr>
        <w:t>significancelevel</w:t>
      </w:r>
      <w:r w:rsidRPr="00941C7F">
        <w:rPr>
          <w:rFonts w:ascii="Times New Roman" w:hAnsi="Times New Roman" w:cs="Times New Roman"/>
          <w:sz w:val="24"/>
          <w:szCs w:val="24"/>
        </w:rPr>
        <w:t xml:space="preserve">. This result indicates evidence of co-integration among the variables. The conclusion from the result is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rejection of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null hypothesis of no co-integration. </w:t>
      </w:r>
    </w:p>
    <w:p w:rsidR="007A6C4E" w:rsidRDefault="007A6C4E" w:rsidP="00941C7F">
      <w:pPr>
        <w:shd w:val="clear" w:color="auto" w:fill="FFFFFF"/>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Since the variables are co-integrated, we estimate the long run capital accumulation and the short run </w:t>
      </w:r>
      <w:r w:rsidR="00672FC4" w:rsidRPr="00941C7F">
        <w:rPr>
          <w:rFonts w:ascii="Times New Roman" w:eastAsia="Times New Roman" w:hAnsi="Times New Roman" w:cs="Times New Roman"/>
          <w:sz w:val="24"/>
          <w:szCs w:val="24"/>
        </w:rPr>
        <w:t>dynamics</w:t>
      </w:r>
      <w:r w:rsidRPr="00941C7F">
        <w:rPr>
          <w:rFonts w:ascii="Times New Roman" w:eastAsia="Times New Roman" w:hAnsi="Times New Roman" w:cs="Times New Roman"/>
          <w:sz w:val="24"/>
          <w:szCs w:val="24"/>
        </w:rPr>
        <w:t xml:space="preserve"> using </w:t>
      </w:r>
      <w:r w:rsidR="007303C4" w:rsidRPr="00941C7F">
        <w:rPr>
          <w:rFonts w:ascii="Times New Roman" w:eastAsia="Times New Roman" w:hAnsi="Times New Roman" w:cs="Times New Roman"/>
          <w:sz w:val="24"/>
          <w:szCs w:val="24"/>
        </w:rPr>
        <w:t xml:space="preserve">the </w:t>
      </w:r>
      <w:r w:rsidRPr="00941C7F">
        <w:rPr>
          <w:rFonts w:ascii="Times New Roman" w:eastAsia="Times New Roman" w:hAnsi="Times New Roman" w:cs="Times New Roman"/>
          <w:sz w:val="24"/>
          <w:szCs w:val="24"/>
        </w:rPr>
        <w:t>ARDL technique as suggested by (</w:t>
      </w:r>
      <w:r w:rsidRPr="00941C7F">
        <w:rPr>
          <w:rFonts w:ascii="Times New Roman" w:hAnsi="Times New Roman" w:cs="Times New Roman"/>
          <w:sz w:val="24"/>
          <w:szCs w:val="24"/>
        </w:rPr>
        <w:t>Stock &amp; Watson, 1993)</w:t>
      </w:r>
      <w:r w:rsidRPr="00941C7F">
        <w:rPr>
          <w:rFonts w:ascii="Times New Roman" w:eastAsia="Times New Roman" w:hAnsi="Times New Roman" w:cs="Times New Roman"/>
          <w:sz w:val="24"/>
          <w:szCs w:val="24"/>
        </w:rPr>
        <w:t xml:space="preserve">. </w:t>
      </w:r>
    </w:p>
    <w:p w:rsidR="00941C7F" w:rsidRDefault="00941C7F" w:rsidP="00941C7F">
      <w:pPr>
        <w:shd w:val="clear" w:color="auto" w:fill="FFFFFF"/>
        <w:spacing w:after="0" w:line="360" w:lineRule="auto"/>
        <w:jc w:val="both"/>
        <w:rPr>
          <w:rFonts w:ascii="Times New Roman" w:eastAsia="Times New Roman" w:hAnsi="Times New Roman" w:cs="Times New Roman"/>
          <w:sz w:val="24"/>
          <w:szCs w:val="24"/>
        </w:rPr>
      </w:pPr>
    </w:p>
    <w:p w:rsidR="006433C4" w:rsidRDefault="006433C4" w:rsidP="00941C7F">
      <w:pPr>
        <w:shd w:val="clear" w:color="auto" w:fill="FFFFFF"/>
        <w:spacing w:after="0" w:line="360" w:lineRule="auto"/>
        <w:jc w:val="both"/>
        <w:rPr>
          <w:rFonts w:ascii="Times New Roman" w:eastAsia="Times New Roman" w:hAnsi="Times New Roman" w:cs="Times New Roman"/>
          <w:sz w:val="24"/>
          <w:szCs w:val="24"/>
        </w:rPr>
      </w:pPr>
    </w:p>
    <w:p w:rsidR="006433C4" w:rsidRPr="00941C7F" w:rsidRDefault="006433C4" w:rsidP="00941C7F">
      <w:pPr>
        <w:shd w:val="clear" w:color="auto" w:fill="FFFFFF"/>
        <w:spacing w:after="0" w:line="360" w:lineRule="auto"/>
        <w:jc w:val="both"/>
        <w:rPr>
          <w:rFonts w:ascii="Times New Roman" w:eastAsia="Times New Roman" w:hAnsi="Times New Roman" w:cs="Times New Roman"/>
          <w:sz w:val="24"/>
          <w:szCs w:val="24"/>
        </w:rPr>
      </w:pPr>
    </w:p>
    <w:p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p>
    <w:p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Long </w:t>
      </w:r>
      <w:r w:rsidR="00941C7F">
        <w:rPr>
          <w:rFonts w:ascii="Times New Roman" w:hAnsi="Times New Roman" w:cs="Times New Roman"/>
          <w:b/>
          <w:sz w:val="24"/>
          <w:szCs w:val="24"/>
        </w:rPr>
        <w:t xml:space="preserve">Run and Error Correction Model </w:t>
      </w:r>
    </w:p>
    <w:p w:rsidR="007A6C4E" w:rsidRPr="00941C7F" w:rsidRDefault="007A6C4E" w:rsidP="00941C7F">
      <w:pPr>
        <w:pStyle w:val="Default"/>
        <w:spacing w:line="360" w:lineRule="auto"/>
        <w:jc w:val="both"/>
        <w:rPr>
          <w:color w:val="auto"/>
        </w:rPr>
      </w:pPr>
      <w:r w:rsidRPr="00941C7F">
        <w:rPr>
          <w:color w:val="auto"/>
        </w:rPr>
        <w:t xml:space="preserve">Since the bounds test indicated the presence of </w:t>
      </w:r>
      <w:r w:rsidR="00941C7F">
        <w:rPr>
          <w:color w:val="auto"/>
        </w:rPr>
        <w:t>long-run</w:t>
      </w:r>
      <w:r w:rsidRPr="00941C7F">
        <w:rPr>
          <w:color w:val="auto"/>
        </w:rPr>
        <w:t xml:space="preserve"> relations among the variables, we then go further to estimate the </w:t>
      </w:r>
      <w:r w:rsidR="00941C7F">
        <w:rPr>
          <w:color w:val="auto"/>
        </w:rPr>
        <w:t>long-run</w:t>
      </w:r>
      <w:r w:rsidRPr="00941C7F">
        <w:rPr>
          <w:color w:val="auto"/>
        </w:rPr>
        <w:t xml:space="preserve"> model to ascertain the coefficients of the variables. The long run and short run dynamics results are presented in Table </w:t>
      </w:r>
      <w:r w:rsidR="00BE53BB">
        <w:rPr>
          <w:color w:val="auto"/>
        </w:rPr>
        <w:t>11</w:t>
      </w:r>
      <w:r w:rsidRPr="00941C7F">
        <w:rPr>
          <w:color w:val="auto"/>
        </w:rPr>
        <w:t xml:space="preserve"> below</w:t>
      </w:r>
    </w:p>
    <w:p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9</w:t>
      </w:r>
      <w:r w:rsidRPr="00941C7F">
        <w:rPr>
          <w:rFonts w:ascii="Times New Roman" w:hAnsi="Times New Roman" w:cs="Times New Roman"/>
          <w:b/>
          <w:sz w:val="24"/>
          <w:szCs w:val="24"/>
        </w:rPr>
        <w:t xml:space="preserve">: </w:t>
      </w:r>
      <w:r w:rsidRPr="00941C7F">
        <w:rPr>
          <w:rFonts w:ascii="Times New Roman" w:hAnsi="Times New Roman" w:cs="Times New Roman"/>
          <w:b/>
          <w:color w:val="000000"/>
          <w:sz w:val="24"/>
          <w:szCs w:val="24"/>
        </w:rPr>
        <w:t>ARDL Model Results (Long run and Short run Analysis)</w:t>
      </w:r>
    </w:p>
    <w:p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p>
    <w:tbl>
      <w:tblPr>
        <w:tblStyle w:val="TableGrid"/>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2126"/>
        <w:gridCol w:w="1866"/>
        <w:gridCol w:w="2486"/>
        <w:gridCol w:w="1942"/>
      </w:tblGrid>
      <w:tr w:rsidR="007A6C4E" w:rsidRPr="00941C7F" w:rsidTr="00264CC0">
        <w:trPr>
          <w:trHeight w:val="639"/>
        </w:trPr>
        <w:tc>
          <w:tcPr>
            <w:tcW w:w="10130" w:type="dxa"/>
            <w:gridSpan w:val="5"/>
            <w:tcBorders>
              <w:top w:val="single" w:sz="4" w:space="0" w:color="auto"/>
              <w:bottom w:val="single" w:sz="4" w:space="0" w:color="auto"/>
            </w:tcBorders>
          </w:tcPr>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b/>
                <w:sz w:val="24"/>
                <w:szCs w:val="24"/>
              </w:rPr>
              <w:t xml:space="preserve">Dependent Variable: </w:t>
            </w:r>
            <w:r w:rsidRPr="00941C7F">
              <w:rPr>
                <w:rFonts w:ascii="Times New Roman" w:eastAsia="Times New Roman" w:hAnsi="Times New Roman" w:cs="Times New Roman"/>
                <w:sz w:val="24"/>
                <w:szCs w:val="24"/>
              </w:rPr>
              <w:t>log of gross fixed capital accumulation (gFCF)</w:t>
            </w:r>
          </w:p>
        </w:tc>
      </w:tr>
      <w:tr w:rsidR="007A6C4E" w:rsidRPr="00941C7F" w:rsidTr="00264CC0">
        <w:trPr>
          <w:trHeight w:val="170"/>
        </w:trPr>
        <w:tc>
          <w:tcPr>
            <w:tcW w:w="10130" w:type="dxa"/>
            <w:gridSpan w:val="5"/>
            <w:tcBorders>
              <w:top w:val="single" w:sz="4" w:space="0" w:color="auto"/>
            </w:tcBorders>
          </w:tcPr>
          <w:p w:rsidR="007A6C4E" w:rsidRPr="00941C7F" w:rsidRDefault="007A6C4E" w:rsidP="00941C7F">
            <w:pPr>
              <w:spacing w:line="360" w:lineRule="auto"/>
              <w:jc w:val="both"/>
              <w:rPr>
                <w:rFonts w:ascii="Times New Roman" w:hAnsi="Times New Roman" w:cs="Times New Roman"/>
                <w:b/>
                <w:sz w:val="24"/>
                <w:szCs w:val="24"/>
              </w:rPr>
            </w:pPr>
          </w:p>
        </w:tc>
      </w:tr>
      <w:tr w:rsidR="007A6C4E" w:rsidRPr="00941C7F" w:rsidTr="00264CC0">
        <w:trPr>
          <w:trHeight w:val="94"/>
        </w:trPr>
        <w:tc>
          <w:tcPr>
            <w:tcW w:w="1710" w:type="dxa"/>
            <w:tcBorders>
              <w:bottom w:val="single" w:sz="4" w:space="0" w:color="auto"/>
            </w:tcBorders>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Variable</w:t>
            </w:r>
          </w:p>
        </w:tc>
        <w:tc>
          <w:tcPr>
            <w:tcW w:w="2126" w:type="dxa"/>
            <w:tcBorders>
              <w:bottom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Coefficient</w:t>
            </w:r>
          </w:p>
        </w:tc>
        <w:tc>
          <w:tcPr>
            <w:tcW w:w="1866" w:type="dxa"/>
            <w:tcBorders>
              <w:bottom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Std. Error</w:t>
            </w:r>
          </w:p>
        </w:tc>
        <w:tc>
          <w:tcPr>
            <w:tcW w:w="2486" w:type="dxa"/>
            <w:tcBorders>
              <w:bottom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t-Statistic</w:t>
            </w:r>
          </w:p>
        </w:tc>
        <w:tc>
          <w:tcPr>
            <w:tcW w:w="1942" w:type="dxa"/>
            <w:tcBorders>
              <w:bottom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Prob.  </w:t>
            </w:r>
          </w:p>
        </w:tc>
      </w:tr>
      <w:tr w:rsidR="007A6C4E" w:rsidRPr="00941C7F" w:rsidTr="00264CC0">
        <w:trPr>
          <w:trHeight w:val="304"/>
        </w:trPr>
        <w:tc>
          <w:tcPr>
            <w:tcW w:w="1710" w:type="dxa"/>
            <w:tcBorders>
              <w:top w:val="single" w:sz="4" w:space="0" w:color="auto"/>
            </w:tcBorders>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LOG(tEXD)</w:t>
            </w:r>
          </w:p>
        </w:tc>
        <w:tc>
          <w:tcPr>
            <w:tcW w:w="2126" w:type="dxa"/>
            <w:tcBorders>
              <w:top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0.408760</w:t>
            </w:r>
          </w:p>
        </w:tc>
        <w:tc>
          <w:tcPr>
            <w:tcW w:w="1866" w:type="dxa"/>
            <w:tcBorders>
              <w:top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0.185980</w:t>
            </w:r>
          </w:p>
        </w:tc>
        <w:tc>
          <w:tcPr>
            <w:tcW w:w="2486" w:type="dxa"/>
            <w:tcBorders>
              <w:top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2.197878</w:t>
            </w:r>
          </w:p>
        </w:tc>
        <w:tc>
          <w:tcPr>
            <w:tcW w:w="1942" w:type="dxa"/>
            <w:tcBorders>
              <w:top w:val="single" w:sz="4" w:space="0" w:color="auto"/>
            </w:tcBorders>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0.0421</w:t>
            </w:r>
          </w:p>
        </w:tc>
      </w:tr>
      <w:tr w:rsidR="007A6C4E" w:rsidRPr="00941C7F" w:rsidTr="00264CC0">
        <w:trPr>
          <w:trHeight w:val="333"/>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LOG(tDMD)</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-0.087005</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0.241590</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-0.360137</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0.7232</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LOG(eXDS)</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0.419110</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0.151727</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2.762271</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0.0133</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LOG(nINT)</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-0.180293</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0.201662</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-0.894038</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0.3838</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LOG(nSAV)</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0.118942</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0.420800</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0.282657</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0.7809</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LOG(nEXR)</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0.099636</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0.240165</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0.414864</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0.6834</w:t>
            </w:r>
          </w:p>
        </w:tc>
      </w:tr>
      <w:tr w:rsidR="007A6C4E" w:rsidRPr="00941C7F" w:rsidTr="00264CC0">
        <w:trPr>
          <w:trHeight w:val="304"/>
        </w:trPr>
        <w:tc>
          <w:tcPr>
            <w:tcW w:w="10130" w:type="dxa"/>
            <w:gridSpan w:val="5"/>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b/>
                <w:sz w:val="24"/>
                <w:szCs w:val="24"/>
              </w:rPr>
              <w:t>Analysis of the Short-Run Dynamisms</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DLOG(tEXD)</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-0.851338</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0.387482</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-2.197104</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0.0422</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DLOG(tDMD)</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-0.164640</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0.345613</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-0.476370</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0.6399</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DLOG(eXDS)</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-0.685723</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0.355079</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-1.931184</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0.0703</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DLOG(nINT)</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-0.150795</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0.077572</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-1.943941</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0.0686</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DLOG(nSAV)</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-0.371223</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0.386319</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-0.960925</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0.3501</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b/>
                <w:i/>
                <w:color w:val="000000"/>
                <w:sz w:val="24"/>
                <w:szCs w:val="24"/>
              </w:rPr>
              <w:t>DLOG(nEXR)</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0.096813</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0.215647</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0.448944</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0.6591</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r w:rsidRPr="00941C7F">
              <w:rPr>
                <w:rFonts w:ascii="Times New Roman" w:hAnsi="Times New Roman" w:cs="Times New Roman"/>
                <w:sz w:val="24"/>
                <w:szCs w:val="24"/>
              </w:rPr>
              <w:t>ECM(-1)</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-0.614663</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0.239259</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-2.569024</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0.0199</w:t>
            </w:r>
          </w:p>
        </w:tc>
      </w:tr>
      <w:tr w:rsidR="007A6C4E" w:rsidRPr="00941C7F" w:rsidTr="00264CC0">
        <w:trPr>
          <w:trHeight w:val="304"/>
        </w:trPr>
        <w:tc>
          <w:tcPr>
            <w:tcW w:w="1710" w:type="dxa"/>
            <w:vAlign w:val="bottom"/>
          </w:tcPr>
          <w:p w:rsidR="007A6C4E" w:rsidRPr="00941C7F" w:rsidRDefault="007A6C4E" w:rsidP="00941C7F">
            <w:pPr>
              <w:autoSpaceDE w:val="0"/>
              <w:autoSpaceDN w:val="0"/>
              <w:adjustRightInd w:val="0"/>
              <w:spacing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C</w:t>
            </w:r>
          </w:p>
        </w:tc>
        <w:tc>
          <w:tcPr>
            <w:tcW w:w="212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4.158501</w:t>
            </w:r>
          </w:p>
        </w:tc>
        <w:tc>
          <w:tcPr>
            <w:tcW w:w="186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2.390219</w:t>
            </w:r>
          </w:p>
        </w:tc>
        <w:tc>
          <w:tcPr>
            <w:tcW w:w="2486"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1.739799</w:t>
            </w:r>
          </w:p>
        </w:tc>
        <w:tc>
          <w:tcPr>
            <w:tcW w:w="1942" w:type="dxa"/>
            <w:vAlign w:val="bottom"/>
          </w:tcPr>
          <w:p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0.1000</w:t>
            </w:r>
          </w:p>
        </w:tc>
      </w:tr>
      <w:tr w:rsidR="007A6C4E" w:rsidRPr="00941C7F" w:rsidTr="00264CC0">
        <w:trPr>
          <w:trHeight w:val="624"/>
        </w:trPr>
        <w:tc>
          <w:tcPr>
            <w:tcW w:w="1710" w:type="dxa"/>
            <w:tcBorders>
              <w:top w:val="single" w:sz="4" w:space="0" w:color="auto"/>
              <w:bottom w:val="single" w:sz="4" w:space="0" w:color="auto"/>
            </w:tcBorders>
          </w:tcPr>
          <w:p w:rsidR="007A6C4E" w:rsidRPr="00941C7F" w:rsidRDefault="007A6C4E" w:rsidP="00941C7F">
            <w:pPr>
              <w:pStyle w:val="Default"/>
              <w:spacing w:line="360" w:lineRule="auto"/>
              <w:jc w:val="both"/>
              <w:rPr>
                <w:color w:val="auto"/>
              </w:rPr>
            </w:pPr>
          </w:p>
          <w:p w:rsidR="007A6C4E" w:rsidRPr="00941C7F" w:rsidRDefault="007A6C4E" w:rsidP="00941C7F">
            <w:pPr>
              <w:pStyle w:val="Default"/>
              <w:spacing w:line="360" w:lineRule="auto"/>
              <w:jc w:val="both"/>
              <w:rPr>
                <w:color w:val="auto"/>
              </w:rPr>
            </w:pPr>
            <w:r w:rsidRPr="00941C7F">
              <w:rPr>
                <w:color w:val="auto"/>
              </w:rPr>
              <w:t>R</w:t>
            </w:r>
            <w:r w:rsidRPr="00941C7F">
              <w:rPr>
                <w:color w:val="auto"/>
                <w:vertAlign w:val="superscript"/>
              </w:rPr>
              <w:t>2</w:t>
            </w:r>
            <w:r w:rsidRPr="00941C7F">
              <w:rPr>
                <w:color w:val="auto"/>
              </w:rPr>
              <w:t xml:space="preserve"> = 0.926337</w:t>
            </w:r>
          </w:p>
        </w:tc>
        <w:tc>
          <w:tcPr>
            <w:tcW w:w="2126" w:type="dxa"/>
            <w:tcBorders>
              <w:top w:val="single" w:sz="4" w:space="0" w:color="auto"/>
              <w:bottom w:val="single" w:sz="4" w:space="0" w:color="auto"/>
            </w:tcBorders>
          </w:tcPr>
          <w:p w:rsidR="007A6C4E" w:rsidRPr="00941C7F" w:rsidRDefault="007A6C4E" w:rsidP="00941C7F">
            <w:pPr>
              <w:pStyle w:val="Default"/>
              <w:spacing w:line="360" w:lineRule="auto"/>
              <w:jc w:val="both"/>
              <w:rPr>
                <w:color w:val="auto"/>
              </w:rPr>
            </w:pPr>
          </w:p>
          <w:p w:rsidR="007A6C4E" w:rsidRPr="00941C7F" w:rsidRDefault="007A6C4E" w:rsidP="00941C7F">
            <w:pPr>
              <w:pStyle w:val="Default"/>
              <w:spacing w:line="360" w:lineRule="auto"/>
              <w:jc w:val="both"/>
              <w:rPr>
                <w:color w:val="auto"/>
              </w:rPr>
            </w:pPr>
            <w:r w:rsidRPr="00941C7F">
              <w:rPr>
                <w:color w:val="auto"/>
              </w:rPr>
              <w:t>Adj.R</w:t>
            </w:r>
            <w:r w:rsidRPr="00941C7F">
              <w:rPr>
                <w:color w:val="auto"/>
                <w:vertAlign w:val="superscript"/>
              </w:rPr>
              <w:t>2</w:t>
            </w:r>
            <w:r w:rsidRPr="00941C7F">
              <w:rPr>
                <w:color w:val="auto"/>
              </w:rPr>
              <w:t>= 0.835341</w:t>
            </w:r>
          </w:p>
        </w:tc>
        <w:tc>
          <w:tcPr>
            <w:tcW w:w="1866" w:type="dxa"/>
            <w:tcBorders>
              <w:top w:val="single" w:sz="4" w:space="0" w:color="auto"/>
              <w:bottom w:val="single" w:sz="4" w:space="0" w:color="auto"/>
            </w:tcBorders>
          </w:tcPr>
          <w:p w:rsidR="007A6C4E" w:rsidRPr="00941C7F" w:rsidRDefault="007A6C4E" w:rsidP="00941C7F">
            <w:pPr>
              <w:pStyle w:val="Default"/>
              <w:spacing w:line="360" w:lineRule="auto"/>
              <w:jc w:val="both"/>
              <w:rPr>
                <w:color w:val="auto"/>
              </w:rPr>
            </w:pPr>
          </w:p>
          <w:p w:rsidR="007A6C4E" w:rsidRPr="00941C7F" w:rsidRDefault="007A6C4E" w:rsidP="00941C7F">
            <w:pPr>
              <w:pStyle w:val="Default"/>
              <w:spacing w:line="360" w:lineRule="auto"/>
              <w:jc w:val="both"/>
              <w:rPr>
                <w:color w:val="auto"/>
              </w:rPr>
            </w:pPr>
            <w:r w:rsidRPr="00941C7F">
              <w:rPr>
                <w:color w:val="auto"/>
              </w:rPr>
              <w:t>F-stat= 10.18002</w:t>
            </w:r>
          </w:p>
        </w:tc>
        <w:tc>
          <w:tcPr>
            <w:tcW w:w="2486" w:type="dxa"/>
            <w:tcBorders>
              <w:top w:val="single" w:sz="4" w:space="0" w:color="auto"/>
              <w:bottom w:val="single" w:sz="4" w:space="0" w:color="auto"/>
            </w:tcBorders>
          </w:tcPr>
          <w:p w:rsidR="007A6C4E" w:rsidRPr="00941C7F" w:rsidRDefault="007A6C4E" w:rsidP="00941C7F">
            <w:pPr>
              <w:pStyle w:val="Default"/>
              <w:spacing w:line="360" w:lineRule="auto"/>
              <w:jc w:val="both"/>
              <w:rPr>
                <w:color w:val="auto"/>
              </w:rPr>
            </w:pPr>
          </w:p>
          <w:p w:rsidR="007A6C4E" w:rsidRPr="00941C7F" w:rsidRDefault="007A6C4E" w:rsidP="00941C7F">
            <w:pPr>
              <w:pStyle w:val="Default"/>
              <w:spacing w:line="360" w:lineRule="auto"/>
              <w:jc w:val="both"/>
              <w:rPr>
                <w:color w:val="auto"/>
              </w:rPr>
            </w:pPr>
            <w:r w:rsidRPr="00941C7F">
              <w:rPr>
                <w:color w:val="auto"/>
              </w:rPr>
              <w:t>Prob(F-stat) = 000006</w:t>
            </w:r>
          </w:p>
        </w:tc>
        <w:tc>
          <w:tcPr>
            <w:tcW w:w="1942" w:type="dxa"/>
            <w:tcBorders>
              <w:top w:val="single" w:sz="4" w:space="0" w:color="auto"/>
              <w:bottom w:val="single" w:sz="4" w:space="0" w:color="auto"/>
            </w:tcBorders>
          </w:tcPr>
          <w:p w:rsidR="007A6C4E" w:rsidRPr="00941C7F" w:rsidRDefault="007A6C4E" w:rsidP="00941C7F">
            <w:pPr>
              <w:pStyle w:val="Default"/>
              <w:spacing w:line="360" w:lineRule="auto"/>
              <w:jc w:val="both"/>
              <w:rPr>
                <w:color w:val="auto"/>
              </w:rPr>
            </w:pPr>
          </w:p>
          <w:p w:rsidR="007A6C4E" w:rsidRPr="00941C7F" w:rsidRDefault="007A6C4E" w:rsidP="00941C7F">
            <w:pPr>
              <w:pStyle w:val="Default"/>
              <w:spacing w:line="360" w:lineRule="auto"/>
              <w:jc w:val="both"/>
              <w:rPr>
                <w:color w:val="auto"/>
              </w:rPr>
            </w:pPr>
            <w:r w:rsidRPr="00941C7F">
              <w:rPr>
                <w:color w:val="auto"/>
              </w:rPr>
              <w:t>D.W= 1.899979</w:t>
            </w:r>
          </w:p>
        </w:tc>
      </w:tr>
    </w:tbl>
    <w:p w:rsidR="007A6C4E" w:rsidRPr="00941C7F" w:rsidRDefault="007A6C4E" w:rsidP="00941C7F">
      <w:pPr>
        <w:tabs>
          <w:tab w:val="left" w:pos="1580"/>
        </w:tabs>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w:t>
      </w:r>
      <w:r w:rsidR="002E3B2E" w:rsidRPr="00941C7F">
        <w:rPr>
          <w:rFonts w:ascii="Times New Roman" w:hAnsi="Times New Roman" w:cs="Times New Roman"/>
          <w:bCs/>
          <w:sz w:val="24"/>
          <w:szCs w:val="24"/>
        </w:rPr>
        <w:t>utation, 2025</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presents both the long-run and short-run estimates of the ARDL regression model for the external debt variables. From the 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show an evidence of a significant impact of total external debt stock (0.409, 0.042) on gross capital accumulation in the long-run. This is in conformity with the finding of Taiwo et al. (2023) and Iteh et al. (2021), where they found that external debts exhibited a positive and significant relationship with gross capital accumulation in the long run. However, the short-run ARDL results shows a negative and significant impact on gross capital accumulation corroborating the findings of Polycarp (2020) and Chowdhury (1994) where they argued that external debts have a significant positive impact with gross capital accumulation. </w:t>
      </w:r>
      <w:r w:rsidR="00F66499" w:rsidRPr="00941C7F">
        <w:rPr>
          <w:rFonts w:ascii="Times New Roman" w:hAnsi="Times New Roman" w:cs="Times New Roman"/>
          <w:sz w:val="24"/>
          <w:szCs w:val="24"/>
        </w:rPr>
        <w:t>Therefore, is domestic debt more economical than external debt, on Nigeria capital accumulation? From the result it is obvious that domestic debt (</w:t>
      </w:r>
      <w:r w:rsidR="00F66499" w:rsidRPr="00941C7F">
        <w:rPr>
          <w:rFonts w:ascii="Times New Roman" w:hAnsi="Times New Roman" w:cs="Times New Roman"/>
          <w:color w:val="000000"/>
          <w:sz w:val="24"/>
          <w:szCs w:val="24"/>
        </w:rPr>
        <w:t>-0.087005)</w:t>
      </w:r>
      <w:r w:rsidR="00F66499" w:rsidRPr="00941C7F">
        <w:rPr>
          <w:rFonts w:ascii="Times New Roman" w:hAnsi="Times New Roman" w:cs="Times New Roman"/>
          <w:sz w:val="24"/>
          <w:szCs w:val="24"/>
        </w:rPr>
        <w:t xml:space="preserve"> burden in Nigeria is not economical than the external debt (</w:t>
      </w:r>
      <w:r w:rsidR="00F66499" w:rsidRPr="00941C7F">
        <w:rPr>
          <w:rFonts w:ascii="Times New Roman" w:hAnsi="Times New Roman" w:cs="Times New Roman"/>
          <w:color w:val="000000"/>
          <w:sz w:val="24"/>
          <w:szCs w:val="24"/>
        </w:rPr>
        <w:t xml:space="preserve">0.408760) </w:t>
      </w:r>
      <w:r w:rsidR="006127DA" w:rsidRPr="00941C7F">
        <w:rPr>
          <w:rFonts w:ascii="Times New Roman" w:hAnsi="Times New Roman" w:cs="Times New Roman"/>
          <w:color w:val="000000"/>
          <w:sz w:val="24"/>
          <w:szCs w:val="24"/>
        </w:rPr>
        <w:t>in the long run. But in the short run both of them</w:t>
      </w:r>
      <w:r w:rsidR="006127DA" w:rsidRPr="00941C7F">
        <w:rPr>
          <w:rFonts w:ascii="Times New Roman" w:hAnsi="Times New Roman" w:cs="Times New Roman"/>
          <w:sz w:val="24"/>
          <w:szCs w:val="24"/>
        </w:rPr>
        <w:t xml:space="preserve">is negative with external debt been significant, meaning that domestic debt external debt is more profitable for capital accumulation in Nigeria and should be encouraged. </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In addition to the findings in the Table </w:t>
      </w:r>
      <w:r w:rsidR="00BE53BB">
        <w:rPr>
          <w:rFonts w:ascii="Times New Roman" w:hAnsi="Times New Roman" w:cs="Times New Roman"/>
          <w:sz w:val="24"/>
          <w:szCs w:val="24"/>
        </w:rPr>
        <w:t>9</w:t>
      </w:r>
      <w:r w:rsidRPr="00941C7F">
        <w:rPr>
          <w:rFonts w:ascii="Times New Roman" w:hAnsi="Times New Roman" w:cs="Times New Roman"/>
          <w:sz w:val="24"/>
          <w:szCs w:val="24"/>
        </w:rPr>
        <w:t>, the coefficient of total domestic stock is negative but statistically insignificant in the long-run and short-run on gross capital accumulation in Nigeria. This is consistent with the earlier postulation made in the study and other researchers that domestic borrowing crowd investment and lowers capital accumulation. Also indicated that the coefficient of external debt servicing, national savings and exchange rate 0.419, 0.180,0.11 and 0.010 respectively were insignificantly positive related with Nigeria gross capital accumulation. However, Interest rate is negative (-0.180) and statistically insignificant in the long-run. This shows that interest rate has a severe negative impact on Nigeria gross capital accumulation. This may be connected to the facts that in the long-run the accumulated interest rates make servicing of loan costlier to Nigeria which reduces the money available for the government to spend on growth inducing projects thereby slowing down gross capital accumulation.</w:t>
      </w:r>
    </w:p>
    <w:p w:rsidR="007E7AC4" w:rsidRPr="00941C7F" w:rsidRDefault="007E7AC4"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What is the sustainability of the external debt servicing on Nigeria capital accumulation, was answered by the external debt coefficient (</w:t>
      </w:r>
      <w:r w:rsidRPr="00941C7F">
        <w:rPr>
          <w:rFonts w:ascii="Times New Roman" w:hAnsi="Times New Roman" w:cs="Times New Roman"/>
          <w:color w:val="000000"/>
          <w:sz w:val="24"/>
          <w:szCs w:val="24"/>
        </w:rPr>
        <w:t xml:space="preserve">0.419110) and is significant (0.0133). According to International Monetary Fund (IMF) and World Bank framework of debt-to-GDP ratio, for low income countries it is 30-40% or less to be sustainable. While the middle income countries is 50-70% benchmark (IMF, 2020; European Union, 2020). Therefore, Nigeria been a low-middle-income country has its debt servicing sustainability threshold at 30-40% according to IMF and World Bank sustainability frame work. However, the result of the analysis indicated that Nigeria debt-to-GDP ratio is 41.9% which is not sustainable.  </w:t>
      </w:r>
    </w:p>
    <w:p w:rsidR="007E7AC4" w:rsidRPr="00941C7F" w:rsidRDefault="007A6C4E" w:rsidP="00941C7F">
      <w:pPr>
        <w:spacing w:line="360" w:lineRule="auto"/>
        <w:jc w:val="both"/>
        <w:rPr>
          <w:rFonts w:ascii="Times New Roman" w:hAnsi="Times New Roman" w:cs="Times New Roman"/>
          <w:sz w:val="24"/>
          <w:szCs w:val="24"/>
        </w:rPr>
      </w:pPr>
      <w:commentRangeStart w:id="9"/>
      <w:r w:rsidRPr="00941C7F">
        <w:rPr>
          <w:rFonts w:ascii="Times New Roman" w:hAnsi="Times New Roman" w:cs="Times New Roman"/>
          <w:sz w:val="24"/>
          <w:szCs w:val="24"/>
        </w:rPr>
        <w:t xml:space="preserve">Furthermore, the results obtained in the 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shows that all the coefficient of determination has negative impact on Nigeria gross capital accumulation in the short run except total external debt stock and exchange rate. This implies that in the short run borrowing will reduce the capital accumulation and should not be used as a major yardstick for economic policies, since borrowing in an intertemporal economic decision that requires time.</w:t>
      </w: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rPr>
        <w:t>The coefficient of ECT (-1) term has the expected sign and statistically significant (-0.615) at one percent. It endorses the existence of association between the dependent and explanatory variables in the long run. The coefficient of the ECT (-1) suggests a very fast adjustment process with 61 percent of the previous year’s disequilibrium in capital accumulation adjusted in the current year. Thus, the suggestion is that capital accumulation in Nigeria is primarily guided by the components of external debt and external debt service, interest rate, national savings and exchange rate.</w:t>
      </w:r>
    </w:p>
    <w:commentRangeEnd w:id="9"/>
    <w:p w:rsidR="007A6C4E" w:rsidRPr="00941C7F" w:rsidRDefault="004508E3" w:rsidP="00941C7F">
      <w:pPr>
        <w:spacing w:line="360" w:lineRule="auto"/>
        <w:jc w:val="both"/>
        <w:rPr>
          <w:rFonts w:ascii="Times New Roman" w:hAnsi="Times New Roman" w:cs="Times New Roman"/>
          <w:sz w:val="24"/>
          <w:szCs w:val="24"/>
          <w:lang w:val="en-GB"/>
        </w:rPr>
      </w:pPr>
      <w:r>
        <w:rPr>
          <w:rStyle w:val="CommentReference"/>
        </w:rPr>
        <w:commentReference w:id="9"/>
      </w:r>
      <w:r w:rsidR="007A6C4E" w:rsidRPr="00941C7F">
        <w:rPr>
          <w:rFonts w:ascii="Times New Roman" w:hAnsi="Times New Roman" w:cs="Times New Roman"/>
          <w:sz w:val="24"/>
          <w:szCs w:val="24"/>
        </w:rPr>
        <w:t xml:space="preserve">The result of DW of 1.9 in the Table </w:t>
      </w:r>
      <w:r w:rsidR="00BE53BB">
        <w:rPr>
          <w:rFonts w:ascii="Times New Roman" w:hAnsi="Times New Roman" w:cs="Times New Roman"/>
          <w:sz w:val="24"/>
          <w:szCs w:val="24"/>
        </w:rPr>
        <w:t>9</w:t>
      </w:r>
      <w:r w:rsidR="007A6C4E" w:rsidRPr="00941C7F">
        <w:rPr>
          <w:rFonts w:ascii="Times New Roman" w:hAnsi="Times New Roman" w:cs="Times New Roman"/>
          <w:sz w:val="24"/>
          <w:szCs w:val="24"/>
        </w:rPr>
        <w:t xml:space="preserve"> indicates a negative autocorrelation in the model because the value lies between 2.0 and 4.0. Also, the value of R</w:t>
      </w:r>
      <w:r w:rsidR="007A6C4E" w:rsidRPr="00941C7F">
        <w:rPr>
          <w:rFonts w:ascii="Times New Roman" w:hAnsi="Times New Roman" w:cs="Times New Roman"/>
          <w:sz w:val="24"/>
          <w:szCs w:val="24"/>
          <w:vertAlign w:val="superscript"/>
        </w:rPr>
        <w:t>2</w:t>
      </w:r>
      <w:r w:rsidR="007A6C4E" w:rsidRPr="00941C7F">
        <w:rPr>
          <w:rFonts w:ascii="Times New Roman" w:hAnsi="Times New Roman" w:cs="Times New Roman"/>
          <w:sz w:val="24"/>
          <w:szCs w:val="24"/>
        </w:rPr>
        <w:t xml:space="preserve"> = 0.926 indicates that 92% of the total variation in the dependent variable is being explained by the explanatory variables making it a good fit for analysis</w:t>
      </w:r>
    </w:p>
    <w:p w:rsidR="007A6C4E" w:rsidRPr="00941C7F" w:rsidRDefault="00E704BC" w:rsidP="00941C7F">
      <w:pPr>
        <w:tabs>
          <w:tab w:val="left" w:pos="7450"/>
        </w:tabs>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lastRenderedPageBreak/>
        <w:t xml:space="preserve">5. Conclusion and </w:t>
      </w:r>
      <w:r w:rsidR="007A6C4E" w:rsidRPr="00941C7F">
        <w:rPr>
          <w:rFonts w:ascii="Times New Roman" w:hAnsi="Times New Roman" w:cs="Times New Roman"/>
          <w:b/>
          <w:sz w:val="24"/>
          <w:szCs w:val="24"/>
        </w:rPr>
        <w:t xml:space="preserve">Recommendations </w:t>
      </w:r>
    </w:p>
    <w:p w:rsidR="007A6C4E" w:rsidRPr="00941C7F" w:rsidRDefault="00686FCD" w:rsidP="00941C7F">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w:t>
      </w:r>
      <w:r w:rsidR="007A6C4E" w:rsidRPr="00941C7F">
        <w:rPr>
          <w:rFonts w:ascii="Times New Roman" w:hAnsi="Times New Roman" w:cs="Times New Roman"/>
          <w:sz w:val="24"/>
          <w:szCs w:val="24"/>
        </w:rPr>
        <w:t xml:space="preserve"> investigated </w:t>
      </w:r>
      <w:r w:rsidR="007303C4" w:rsidRPr="00941C7F">
        <w:rPr>
          <w:rFonts w:ascii="Times New Roman" w:hAnsi="Times New Roman" w:cs="Times New Roman"/>
          <w:sz w:val="24"/>
          <w:szCs w:val="24"/>
        </w:rPr>
        <w:t xml:space="preserve">the </w:t>
      </w:r>
      <w:r w:rsidR="007A6C4E" w:rsidRPr="00941C7F">
        <w:rPr>
          <w:rFonts w:ascii="Times New Roman" w:hAnsi="Times New Roman" w:cs="Times New Roman"/>
          <w:sz w:val="24"/>
          <w:szCs w:val="24"/>
        </w:rPr>
        <w:t>impact of external borrowing on Nigeria capital accumulation from 1981</w:t>
      </w:r>
      <w:r w:rsidR="00E704BC" w:rsidRPr="00941C7F">
        <w:rPr>
          <w:rFonts w:ascii="Times New Roman" w:hAnsi="Times New Roman" w:cs="Times New Roman"/>
          <w:sz w:val="24"/>
          <w:szCs w:val="24"/>
        </w:rPr>
        <w:t xml:space="preserve"> to 2023</w:t>
      </w:r>
      <w:r w:rsidR="007A6C4E" w:rsidRPr="00941C7F">
        <w:rPr>
          <w:rFonts w:ascii="Times New Roman" w:hAnsi="Times New Roman" w:cs="Times New Roman"/>
          <w:sz w:val="24"/>
          <w:szCs w:val="24"/>
        </w:rPr>
        <w:t xml:space="preserve">, using </w:t>
      </w:r>
      <w:r w:rsidR="007303C4" w:rsidRPr="00941C7F">
        <w:rPr>
          <w:rFonts w:ascii="Times New Roman" w:hAnsi="Times New Roman" w:cs="Times New Roman"/>
          <w:sz w:val="24"/>
          <w:szCs w:val="24"/>
        </w:rPr>
        <w:t xml:space="preserve">the </w:t>
      </w:r>
      <w:r>
        <w:rPr>
          <w:rFonts w:ascii="Times New Roman" w:hAnsi="Times New Roman" w:cs="Times New Roman"/>
          <w:sz w:val="24"/>
          <w:szCs w:val="24"/>
        </w:rPr>
        <w:t>A</w:t>
      </w:r>
      <w:r w:rsidR="00E704BC" w:rsidRPr="00941C7F">
        <w:rPr>
          <w:rFonts w:ascii="Times New Roman" w:hAnsi="Times New Roman" w:cs="Times New Roman"/>
          <w:sz w:val="24"/>
          <w:szCs w:val="24"/>
        </w:rPr>
        <w:t>uto</w:t>
      </w:r>
      <w:r w:rsidR="007A6C4E" w:rsidRPr="00941C7F">
        <w:rPr>
          <w:rFonts w:ascii="Times New Roman" w:hAnsi="Times New Roman" w:cs="Times New Roman"/>
          <w:sz w:val="24"/>
          <w:szCs w:val="24"/>
        </w:rPr>
        <w:t xml:space="preserve">regressive distributed lag (ARDL) model. The main findings in relation to the objectives of the study begin with the presentation of our baseline results in </w:t>
      </w:r>
      <w:r w:rsidR="007303C4" w:rsidRPr="00941C7F">
        <w:rPr>
          <w:rFonts w:ascii="Times New Roman" w:hAnsi="Times New Roman" w:cs="Times New Roman"/>
          <w:sz w:val="24"/>
          <w:szCs w:val="24"/>
        </w:rPr>
        <w:t>Table</w:t>
      </w:r>
      <w:r w:rsidR="00BE53BB">
        <w:rPr>
          <w:rFonts w:ascii="Times New Roman" w:hAnsi="Times New Roman" w:cs="Times New Roman"/>
          <w:sz w:val="24"/>
          <w:szCs w:val="24"/>
        </w:rPr>
        <w:t>9</w:t>
      </w:r>
      <w:r w:rsidR="007A6C4E" w:rsidRPr="00941C7F">
        <w:rPr>
          <w:rFonts w:ascii="Times New Roman" w:hAnsi="Times New Roman" w:cs="Times New Roman"/>
          <w:sz w:val="24"/>
          <w:szCs w:val="24"/>
        </w:rPr>
        <w:t>. This objective was estimated through stock of external debt, domestic debt, external debt servicing, nominal interest rate, national savings and nominal exchange rate. The result reveals that stock of external debt, external debt servicing, national savings and nominal exchange rate have a positive impact</w:t>
      </w:r>
      <w:r w:rsidR="007303C4" w:rsidRPr="00941C7F">
        <w:rPr>
          <w:rFonts w:ascii="Times New Roman" w:hAnsi="Times New Roman" w:cs="Times New Roman"/>
          <w:sz w:val="24"/>
          <w:szCs w:val="24"/>
        </w:rPr>
        <w:t>,</w:t>
      </w:r>
      <w:r w:rsidR="007A6C4E" w:rsidRPr="00941C7F">
        <w:rPr>
          <w:rFonts w:ascii="Times New Roman" w:hAnsi="Times New Roman" w:cs="Times New Roman"/>
          <w:sz w:val="24"/>
          <w:szCs w:val="24"/>
        </w:rPr>
        <w:t xml:space="preserve"> while total stock of domestic debt and nominal interest rate </w:t>
      </w:r>
      <w:r w:rsidR="007303C4" w:rsidRPr="00941C7F">
        <w:rPr>
          <w:rFonts w:ascii="Times New Roman" w:hAnsi="Times New Roman" w:cs="Times New Roman"/>
          <w:sz w:val="24"/>
          <w:szCs w:val="24"/>
        </w:rPr>
        <w:t>hurt</w:t>
      </w:r>
      <w:r w:rsidR="00E704BC" w:rsidRPr="00941C7F">
        <w:rPr>
          <w:rFonts w:ascii="Times New Roman" w:hAnsi="Times New Roman" w:cs="Times New Roman"/>
          <w:sz w:val="24"/>
          <w:szCs w:val="24"/>
        </w:rPr>
        <w:t xml:space="preserve"> G</w:t>
      </w:r>
      <w:r w:rsidR="007A6C4E" w:rsidRPr="00941C7F">
        <w:rPr>
          <w:rFonts w:ascii="Times New Roman" w:hAnsi="Times New Roman" w:cs="Times New Roman"/>
          <w:sz w:val="24"/>
          <w:szCs w:val="24"/>
        </w:rPr>
        <w:t>ross fixed capital accumulation in Nigeria.  However, it is only the total external debt stock that is significant</w:t>
      </w:r>
      <w:r w:rsidR="007E7AC4" w:rsidRPr="00941C7F">
        <w:rPr>
          <w:rFonts w:ascii="Times New Roman" w:hAnsi="Times New Roman" w:cs="Times New Roman"/>
          <w:sz w:val="24"/>
          <w:szCs w:val="24"/>
        </w:rPr>
        <w:t xml:space="preserve">, implying that it is external debt stock that improves capital </w:t>
      </w:r>
      <w:r w:rsidR="007303C4" w:rsidRPr="00941C7F">
        <w:rPr>
          <w:rFonts w:ascii="Times New Roman" w:hAnsi="Times New Roman" w:cs="Times New Roman"/>
          <w:sz w:val="24"/>
          <w:szCs w:val="24"/>
        </w:rPr>
        <w:t>accumulation</w:t>
      </w:r>
      <w:r w:rsidR="007E7AC4" w:rsidRPr="00941C7F">
        <w:rPr>
          <w:rFonts w:ascii="Times New Roman" w:hAnsi="Times New Roman" w:cs="Times New Roman"/>
          <w:sz w:val="24"/>
          <w:szCs w:val="24"/>
        </w:rPr>
        <w:t xml:space="preserve"> in Nigeria on the long run. Also, found from the result is that the external debt servicing ratio to GDP in Nigeria is unsustainable at 41.9% above the IMF/World Bank threshold of 40%.</w:t>
      </w:r>
    </w:p>
    <w:p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Given the significant positive relationship between total external debt stock and negative impact of domestic total debt stock on gross fixed capital accumulation in </w:t>
      </w:r>
      <w:r w:rsidR="00C57F9B" w:rsidRPr="00941C7F">
        <w:rPr>
          <w:rFonts w:ascii="Times New Roman" w:hAnsi="Times New Roman" w:cs="Times New Roman"/>
          <w:sz w:val="24"/>
          <w:szCs w:val="24"/>
        </w:rPr>
        <w:t xml:space="preserve">Nigeria caution should be taken </w:t>
      </w:r>
      <w:r w:rsidRPr="00941C7F">
        <w:rPr>
          <w:rFonts w:ascii="Times New Roman" w:hAnsi="Times New Roman" w:cs="Times New Roman"/>
          <w:sz w:val="24"/>
          <w:szCs w:val="24"/>
        </w:rPr>
        <w:t xml:space="preserve">carefully </w:t>
      </w:r>
      <w:r w:rsidR="00C57F9B" w:rsidRPr="00941C7F">
        <w:rPr>
          <w:rFonts w:ascii="Times New Roman" w:hAnsi="Times New Roman" w:cs="Times New Roman"/>
          <w:sz w:val="24"/>
          <w:szCs w:val="24"/>
        </w:rPr>
        <w:t>to balance the</w:t>
      </w:r>
      <w:r w:rsidRPr="00941C7F">
        <w:rPr>
          <w:rFonts w:ascii="Times New Roman" w:hAnsi="Times New Roman" w:cs="Times New Roman"/>
          <w:sz w:val="24"/>
          <w:szCs w:val="24"/>
        </w:rPr>
        <w:t xml:space="preserve"> capital accumulation strategy by government. Here are some strategies that governments can consider.</w:t>
      </w:r>
      <w:r w:rsidR="00686FCD" w:rsidRPr="00686FCD">
        <w:rPr>
          <w:rFonts w:ascii="Times New Roman" w:hAnsi="Times New Roman" w:cs="Times New Roman"/>
          <w:sz w:val="24"/>
          <w:szCs w:val="24"/>
        </w:rPr>
        <w:t>Given that changes to savings policies have a significant impact on capital accumulation, the government should promote a culture of saving.</w:t>
      </w:r>
      <w:r w:rsidRPr="00941C7F">
        <w:rPr>
          <w:rFonts w:ascii="Times New Roman" w:hAnsi="Times New Roman" w:cs="Times New Roman"/>
          <w:sz w:val="24"/>
          <w:szCs w:val="24"/>
        </w:rPr>
        <w:t xml:space="preserve"> The government should reduce drastically domestic borrowing, as it has been seen to cro</w:t>
      </w:r>
      <w:r w:rsidR="00C57F9B" w:rsidRPr="00941C7F">
        <w:rPr>
          <w:rFonts w:ascii="Times New Roman" w:hAnsi="Times New Roman" w:cs="Times New Roman"/>
          <w:sz w:val="24"/>
          <w:szCs w:val="24"/>
        </w:rPr>
        <w:t>wd investment and reduce</w:t>
      </w:r>
      <w:r w:rsidRPr="00941C7F">
        <w:rPr>
          <w:rFonts w:ascii="Times New Roman" w:hAnsi="Times New Roman" w:cs="Times New Roman"/>
          <w:sz w:val="24"/>
          <w:szCs w:val="24"/>
        </w:rPr>
        <w:t xml:space="preserve"> gross capital accumulation in Nigeria, if there must be borrowing at all, external borrowing should be preferred. </w:t>
      </w:r>
      <w:r w:rsidR="00686FCD" w:rsidRPr="00686FCD">
        <w:rPr>
          <w:rFonts w:ascii="Times New Roman" w:hAnsi="Times New Roman" w:cs="Times New Roman"/>
          <w:sz w:val="24"/>
          <w:szCs w:val="24"/>
        </w:rPr>
        <w:t xml:space="preserve">Before a loan is negotiated, the government must always determine its purpose.  Projects that get loans must be able to repay themselves within the allotted time.  External borrowing is </w:t>
      </w:r>
      <w:r w:rsidR="00686FCD" w:rsidRPr="00BE53BB">
        <w:rPr>
          <w:rFonts w:ascii="Times New Roman" w:hAnsi="Times New Roman" w:cs="Times New Roman"/>
          <w:color w:val="000000" w:themeColor="text1"/>
          <w:sz w:val="24"/>
          <w:szCs w:val="24"/>
        </w:rPr>
        <w:t xml:space="preserve">still the most practical way to accumulate money since the loan is positively signed and statistically significant. </w:t>
      </w:r>
      <w:r w:rsidRPr="00BE53BB">
        <w:rPr>
          <w:rFonts w:ascii="Times New Roman" w:hAnsi="Times New Roman" w:cs="Times New Roman"/>
          <w:color w:val="000000" w:themeColor="text1"/>
          <w:sz w:val="24"/>
          <w:szCs w:val="24"/>
        </w:rPr>
        <w:t xml:space="preserve">However, caution should be exercised to guide against plausible damage delay, default and non-payment could cause </w:t>
      </w:r>
      <w:r w:rsidR="004E4BB5" w:rsidRPr="00BE53BB">
        <w:rPr>
          <w:rFonts w:ascii="Times New Roman" w:hAnsi="Times New Roman" w:cs="Times New Roman"/>
          <w:color w:val="000000" w:themeColor="text1"/>
          <w:sz w:val="24"/>
          <w:szCs w:val="24"/>
        </w:rPr>
        <w:t xml:space="preserve">negative impact </w:t>
      </w:r>
      <w:r w:rsidRPr="00BE53BB">
        <w:rPr>
          <w:rFonts w:ascii="Times New Roman" w:hAnsi="Times New Roman" w:cs="Times New Roman"/>
          <w:color w:val="000000" w:themeColor="text1"/>
          <w:sz w:val="24"/>
          <w:szCs w:val="24"/>
        </w:rPr>
        <w:t>to the loan objective.</w:t>
      </w:r>
      <w:r w:rsidR="005D73FD" w:rsidRPr="00BE53BB">
        <w:rPr>
          <w:rFonts w:ascii="Times New Roman" w:hAnsi="Times New Roman" w:cs="Times New Roman"/>
          <w:color w:val="000000" w:themeColor="text1"/>
          <w:sz w:val="24"/>
          <w:szCs w:val="24"/>
        </w:rPr>
        <w:t xml:space="preserve"> Furthermore, since the external debt servicing is not sustainable, saving policy should be encouraged such the introduction of sovereign wealth fund.</w:t>
      </w:r>
    </w:p>
    <w:p w:rsidR="00E704BC" w:rsidRPr="00941C7F" w:rsidRDefault="00E704BC" w:rsidP="00941C7F">
      <w:pPr>
        <w:spacing w:line="360" w:lineRule="auto"/>
        <w:jc w:val="both"/>
        <w:rPr>
          <w:rFonts w:ascii="Times New Roman" w:hAnsi="Times New Roman" w:cs="Times New Roman"/>
          <w:sz w:val="24"/>
          <w:szCs w:val="24"/>
        </w:rPr>
      </w:pPr>
    </w:p>
    <w:p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References</w:t>
      </w:r>
    </w:p>
    <w:tbl>
      <w:tblPr>
        <w:tblW w:w="10456" w:type="dxa"/>
        <w:tblLook w:val="04A0"/>
      </w:tblPr>
      <w:tblGrid>
        <w:gridCol w:w="10456"/>
      </w:tblGrid>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Adediyan, A. R. &amp;Ehisuoria, O. T. (2022). External Aid Behavior in the Recipient Economy: A Probit</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Regression for Africa. </w:t>
            </w:r>
            <w:r w:rsidRPr="00941C7F">
              <w:rPr>
                <w:rFonts w:ascii="Times New Roman" w:eastAsia="Times New Roman" w:hAnsi="Times New Roman" w:cs="Times New Roman"/>
                <w:i/>
                <w:color w:val="000000"/>
                <w:sz w:val="24"/>
                <w:szCs w:val="24"/>
              </w:rPr>
              <w:t>Journal of Economics &amp; Management</w:t>
            </w:r>
            <w:r w:rsidRPr="00941C7F">
              <w:rPr>
                <w:rFonts w:ascii="Times New Roman" w:eastAsia="Times New Roman" w:hAnsi="Times New Roman" w:cs="Times New Roman"/>
                <w:color w:val="000000"/>
                <w:sz w:val="24"/>
                <w:szCs w:val="24"/>
              </w:rPr>
              <w:t>, 44, 1-18. Retrieved from</w:t>
            </w:r>
          </w:p>
          <w:p w:rsidR="007A6C4E" w:rsidRPr="00941C7F" w:rsidRDefault="00406ED0" w:rsidP="00941C7F">
            <w:pPr>
              <w:spacing w:after="0" w:line="360" w:lineRule="auto"/>
              <w:jc w:val="both"/>
              <w:rPr>
                <w:rFonts w:ascii="Times New Roman" w:eastAsia="Times New Roman" w:hAnsi="Times New Roman" w:cs="Times New Roman"/>
                <w:color w:val="000000"/>
                <w:sz w:val="24"/>
                <w:szCs w:val="24"/>
              </w:rPr>
            </w:pPr>
            <w:hyperlink r:id="rId9" w:history="1">
              <w:r w:rsidR="00ED0096" w:rsidRPr="00FF46C3">
                <w:rPr>
                  <w:rStyle w:val="Hyperlink"/>
                  <w:rFonts w:ascii="Times New Roman" w:eastAsia="Times New Roman" w:hAnsi="Times New Roman" w:cs="Times New Roman"/>
                  <w:sz w:val="24"/>
                  <w:szCs w:val="24"/>
                </w:rPr>
                <w:t>https://doi.org/10.22367/jem.2022.44.01</w:t>
              </w:r>
            </w:hyperlink>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Adedoyin, O., Babalola, L., Otekunri, P. &amp; Adeoti, O. (2016). Empirical Investigation into the Impact of</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 xml:space="preserve">           External Debt on Economic Growth in Nigeria. </w:t>
            </w:r>
            <w:r w:rsidRPr="00941C7F">
              <w:rPr>
                <w:rFonts w:ascii="Times New Roman" w:eastAsia="Times New Roman" w:hAnsi="Times New Roman" w:cs="Times New Roman"/>
                <w:i/>
                <w:color w:val="000000"/>
                <w:sz w:val="24"/>
                <w:szCs w:val="24"/>
              </w:rPr>
              <w:t>International Journal of Current Research</w:t>
            </w:r>
            <w:r w:rsidRPr="00941C7F">
              <w:rPr>
                <w:rFonts w:ascii="Times New Roman" w:eastAsia="Times New Roman" w:hAnsi="Times New Roman" w:cs="Times New Roman"/>
                <w:color w:val="000000"/>
                <w:sz w:val="24"/>
                <w:szCs w:val="24"/>
              </w:rPr>
              <w:t>, 4(2),</w:t>
            </w:r>
          </w:p>
          <w:p w:rsidR="007A6C4E" w:rsidRPr="00941C7F" w:rsidRDefault="00941C7F"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12-25.</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Agyapong, D. &amp;Bedjabeng, K. A. (2020). External Debt Stock, Foreign Direct Investment and Financia</w:t>
            </w:r>
          </w:p>
          <w:p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           l Development; Evidence from African Economies. </w:t>
            </w:r>
            <w:r w:rsidRPr="00941C7F">
              <w:rPr>
                <w:rFonts w:ascii="Times New Roman" w:eastAsia="Times New Roman" w:hAnsi="Times New Roman" w:cs="Times New Roman"/>
                <w:i/>
                <w:color w:val="000000"/>
                <w:sz w:val="24"/>
                <w:szCs w:val="24"/>
              </w:rPr>
              <w:t xml:space="preserve">Journal of Asian Business and, Economic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Studies</w:t>
            </w:r>
            <w:r w:rsidR="00941C7F">
              <w:rPr>
                <w:rFonts w:ascii="Times New Roman" w:eastAsia="Times New Roman" w:hAnsi="Times New Roman" w:cs="Times New Roman"/>
                <w:color w:val="000000"/>
                <w:sz w:val="24"/>
                <w:szCs w:val="24"/>
              </w:rPr>
              <w:t>, 27(1), 81–98.</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Ajose, K., &amp;Oyedokun, G. E. (2018). Capital formation and economic growth in Nigeria. </w:t>
            </w:r>
            <w:r w:rsidRPr="00941C7F">
              <w:rPr>
                <w:rFonts w:ascii="Times New Roman" w:hAnsi="Times New Roman" w:cs="Times New Roman"/>
                <w:i/>
                <w:iCs/>
                <w:color w:val="222222"/>
                <w:sz w:val="24"/>
                <w:szCs w:val="24"/>
                <w:shd w:val="clear" w:color="auto" w:fill="FFFFFF"/>
              </w:rPr>
              <w:t xml:space="preserve">Accounting and </w:t>
            </w:r>
          </w:p>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taxation review</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w:t>
            </w:r>
            <w:r w:rsidRPr="00941C7F">
              <w:rPr>
                <w:rFonts w:ascii="Times New Roman" w:hAnsi="Times New Roman" w:cs="Times New Roman"/>
                <w:color w:val="222222"/>
                <w:sz w:val="24"/>
                <w:szCs w:val="24"/>
                <w:shd w:val="clear" w:color="auto" w:fill="FFFFFF"/>
              </w:rPr>
              <w:t>(2), 131-142.</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Dickey D.A. &amp;Fullerm, W. A. (1979). Distribution of the estimators for autoregressive time series with a</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unit root. Journal of the American Statis</w:t>
            </w:r>
            <w:r w:rsidR="00941C7F">
              <w:rPr>
                <w:rFonts w:ascii="Times New Roman" w:eastAsia="Times New Roman" w:hAnsi="Times New Roman" w:cs="Times New Roman"/>
                <w:color w:val="000000"/>
                <w:sz w:val="24"/>
                <w:szCs w:val="24"/>
              </w:rPr>
              <w:t>tical Association, 74, 427–431.</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Bakare, A.S. (2011). A Theoretical Analysis of Capital Formation and Growth in Nigeria. Far East</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Journal of Psychology and Business</w:t>
            </w:r>
            <w:r w:rsidR="00941C7F">
              <w:rPr>
                <w:rFonts w:ascii="Times New Roman" w:eastAsia="Times New Roman" w:hAnsi="Times New Roman" w:cs="Times New Roman"/>
                <w:color w:val="000000"/>
                <w:sz w:val="24"/>
                <w:szCs w:val="24"/>
              </w:rPr>
              <w:t xml:space="preserve"> 3(1), 12-24.</w:t>
            </w:r>
          </w:p>
        </w:tc>
      </w:tr>
      <w:tr w:rsidR="007A6C4E" w:rsidRPr="00941C7F" w:rsidTr="00264CC0">
        <w:trPr>
          <w:trHeight w:val="1260"/>
        </w:trPr>
        <w:tc>
          <w:tcPr>
            <w:tcW w:w="10456" w:type="dxa"/>
            <w:tcBorders>
              <w:top w:val="nil"/>
              <w:left w:val="nil"/>
              <w:bottom w:val="nil"/>
              <w:right w:val="nil"/>
            </w:tcBorders>
            <w:vAlign w:val="center"/>
            <w:hideMark/>
          </w:tcPr>
          <w:p w:rsidR="007A6C4E" w:rsidRPr="00941C7F" w:rsidRDefault="007A6C4E" w:rsidP="00941C7F">
            <w:pPr>
              <w:spacing w:after="0" w:line="360" w:lineRule="auto"/>
              <w:jc w:val="both"/>
              <w:rPr>
                <w:rFonts w:ascii="Times New Roman" w:eastAsia="Times New Roman" w:hAnsi="Times New Roman" w:cs="Times New Roman"/>
                <w:i/>
                <w:iCs/>
                <w:color w:val="000000"/>
                <w:sz w:val="24"/>
                <w:szCs w:val="24"/>
              </w:rPr>
            </w:pPr>
            <w:r w:rsidRPr="00941C7F">
              <w:rPr>
                <w:rFonts w:ascii="Times New Roman" w:eastAsia="Times New Roman" w:hAnsi="Times New Roman" w:cs="Times New Roman"/>
                <w:color w:val="000000"/>
                <w:sz w:val="24"/>
                <w:szCs w:val="24"/>
              </w:rPr>
              <w:t xml:space="preserve">Ben-Porath, Y. (1967). The production of human capital and the life cycle of earnings. </w:t>
            </w:r>
            <w:r w:rsidRPr="00941C7F">
              <w:rPr>
                <w:rFonts w:ascii="Times New Roman" w:eastAsia="Times New Roman" w:hAnsi="Times New Roman" w:cs="Times New Roman"/>
                <w:i/>
                <w:iCs/>
                <w:color w:val="000000"/>
                <w:sz w:val="24"/>
                <w:szCs w:val="24"/>
              </w:rPr>
              <w:t>Journal of political</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iCs/>
                <w:color w:val="000000"/>
                <w:sz w:val="24"/>
                <w:szCs w:val="24"/>
              </w:rPr>
              <w:t xml:space="preserve">           economy</w:t>
            </w:r>
            <w:r w:rsidR="00941C7F">
              <w:rPr>
                <w:rFonts w:ascii="Times New Roman" w:eastAsia="Times New Roman" w:hAnsi="Times New Roman" w:cs="Times New Roman"/>
                <w:color w:val="000000"/>
                <w:sz w:val="24"/>
                <w:szCs w:val="24"/>
              </w:rPr>
              <w:t>, 75(4, Part 1), 352-365.</w:t>
            </w:r>
          </w:p>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Burhanudin, M. D. A., Muda, R., Nathan, S. B. S., &amp; Arshad, R. (2017). Real effects of government debt</w:t>
            </w:r>
          </w:p>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on sustainable economic growth in Malaysia. </w:t>
            </w:r>
            <w:r w:rsidRPr="00941C7F">
              <w:rPr>
                <w:rFonts w:ascii="Times New Roman" w:hAnsi="Times New Roman" w:cs="Times New Roman"/>
                <w:i/>
                <w:iCs/>
                <w:color w:val="222222"/>
                <w:sz w:val="24"/>
                <w:szCs w:val="24"/>
                <w:shd w:val="clear" w:color="auto" w:fill="FFFFFF"/>
              </w:rPr>
              <w:t>Journal of International Studies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10</w:t>
            </w:r>
            <w:r w:rsidR="00941C7F">
              <w:rPr>
                <w:rFonts w:ascii="Times New Roman" w:hAnsi="Times New Roman" w:cs="Times New Roman"/>
                <w:color w:val="222222"/>
                <w:sz w:val="24"/>
                <w:szCs w:val="24"/>
                <w:shd w:val="clear" w:color="auto" w:fill="FFFFFF"/>
              </w:rPr>
              <w:t>(3).</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CBN Statistical Bulletin (2020). Annual Statistical Bulletin. Retrieved from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hAnsi="Times New Roman" w:cs="Times New Roman"/>
                <w:sz w:val="24"/>
                <w:szCs w:val="24"/>
              </w:rPr>
              <w:t xml:space="preserve">             https://www.cbn.gov.ng/documents/Statbulletin.asp</w:t>
            </w:r>
            <w:r w:rsidRPr="00941C7F">
              <w:rPr>
                <w:rFonts w:ascii="Times New Roman" w:eastAsia="Times New Roman" w:hAnsi="Times New Roman" w:cs="Times New Roman"/>
                <w:color w:val="000000"/>
                <w:sz w:val="24"/>
                <w:szCs w:val="24"/>
              </w:rPr>
              <w:t>.</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Checherita, C. &amp; Rother, P. (2019). The Impact of High and Growing Government Debt on Economic</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Growth: An Empirical Investigation for the Euro Area. Working Paper Series, 1237, The European</w:t>
            </w:r>
          </w:p>
          <w:p w:rsidR="007A6C4E" w:rsidRPr="00941C7F" w:rsidRDefault="00941C7F"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Central Bank.</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Chenery, H. B. &amp; Strout, A. (1966). Foreign Assistance and Economic Development. American Economic</w:t>
            </w:r>
          </w:p>
          <w:p w:rsidR="007A6C4E" w:rsidRPr="00941C7F" w:rsidRDefault="00941C7F"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Review, (56)10, 679-733.</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Chowdhury K (1994). A Structural Analysis of External Debt and Economic Growth: Some Evidence of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from Selected Countries in Asia and Pacific. Applied Economic, 26 (12).</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Debt Management Office (2020). External debt (% of GDP). Retrieved from: </w:t>
            </w:r>
          </w:p>
          <w:p w:rsidR="007A6C4E" w:rsidRPr="00941C7F" w:rsidRDefault="00406ED0" w:rsidP="00941C7F">
            <w:pPr>
              <w:spacing w:after="0" w:line="360" w:lineRule="auto"/>
              <w:jc w:val="both"/>
              <w:rPr>
                <w:rFonts w:ascii="Times New Roman" w:eastAsia="Times New Roman" w:hAnsi="Times New Roman" w:cs="Times New Roman"/>
                <w:color w:val="000000"/>
                <w:sz w:val="24"/>
                <w:szCs w:val="24"/>
              </w:rPr>
            </w:pPr>
            <w:hyperlink r:id="rId10" w:history="1">
              <w:r w:rsidR="00ED0096" w:rsidRPr="00FF46C3">
                <w:rPr>
                  <w:rStyle w:val="Hyperlink"/>
                  <w:rFonts w:ascii="Times New Roman" w:eastAsia="Times New Roman" w:hAnsi="Times New Roman" w:cs="Times New Roman"/>
                  <w:sz w:val="24"/>
                  <w:szCs w:val="24"/>
                </w:rPr>
                <w:t>https://www.focuseconomics.com/economic-indicator/external-de</w:t>
              </w:r>
            </w:hyperlink>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Egbetunde, T. (2015). Public Debt and Economic Growth in Nigeria: Evidence from Granger Causality.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American Journal of Economics</w:t>
            </w:r>
            <w:r w:rsidRPr="00941C7F">
              <w:rPr>
                <w:rFonts w:ascii="Times New Roman" w:eastAsia="Times New Roman" w:hAnsi="Times New Roman" w:cs="Times New Roman"/>
                <w:color w:val="000000"/>
                <w:sz w:val="24"/>
                <w:szCs w:val="24"/>
              </w:rPr>
              <w:t>, 2(6), 101- 106.https://doi.org/1</w:t>
            </w:r>
            <w:r w:rsidR="00941C7F">
              <w:rPr>
                <w:rFonts w:ascii="Times New Roman" w:eastAsia="Times New Roman" w:hAnsi="Times New Roman" w:cs="Times New Roman"/>
                <w:color w:val="000000"/>
                <w:sz w:val="24"/>
                <w:szCs w:val="24"/>
              </w:rPr>
              <w:t>0.5923/j.economics.20120206.02.</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Elwasila S. E. Mohamed (2018): Effect of External Debt on Economic Growth of Sudan: Empirical </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Analysis, </w:t>
            </w:r>
            <w:r w:rsidRPr="00941C7F">
              <w:rPr>
                <w:rFonts w:ascii="Times New Roman" w:hAnsi="Times New Roman" w:cs="Times New Roman"/>
                <w:i/>
                <w:sz w:val="24"/>
                <w:szCs w:val="24"/>
              </w:rPr>
              <w:t>Journal of Economic Cooperation and Development</w:t>
            </w:r>
            <w:r w:rsidRPr="00941C7F">
              <w:rPr>
                <w:rFonts w:ascii="Times New Roman" w:hAnsi="Times New Roman" w:cs="Times New Roman"/>
                <w:sz w:val="24"/>
                <w:szCs w:val="24"/>
              </w:rPr>
              <w:t>, 39(1), 39-62.</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Engle, R. F., &amp; Granger, C. W. (1987). Co-integration and error correction: representation, estimation,</w:t>
            </w:r>
          </w:p>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lastRenderedPageBreak/>
              <w:t xml:space="preserve">             and testing. </w:t>
            </w:r>
            <w:r w:rsidRPr="00941C7F">
              <w:rPr>
                <w:rFonts w:ascii="Times New Roman" w:hAnsi="Times New Roman" w:cs="Times New Roman"/>
                <w:i/>
                <w:iCs/>
                <w:color w:val="222222"/>
                <w:sz w:val="24"/>
                <w:szCs w:val="24"/>
                <w:shd w:val="clear" w:color="auto" w:fill="FFFFFF"/>
              </w:rPr>
              <w:t>Econometrica: journal of the Econometric Society</w:t>
            </w:r>
            <w:r w:rsidR="00941C7F">
              <w:rPr>
                <w:rFonts w:ascii="Times New Roman" w:hAnsi="Times New Roman" w:cs="Times New Roman"/>
                <w:color w:val="222222"/>
                <w:sz w:val="24"/>
                <w:szCs w:val="24"/>
                <w:shd w:val="clear" w:color="auto" w:fill="FFFFFF"/>
              </w:rPr>
              <w:t>, 251-276.</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Eravwoke, K.E. &amp;Oyovwi, D.O. (2013). External debt burden and its impact on growth: An assessment</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of major macroeconomic variables in Nigeria. AcademicJournalofInterdisciplinaryStudies, 2(2),</w:t>
            </w:r>
          </w:p>
          <w:p w:rsidR="007A6C4E" w:rsidRPr="00941C7F" w:rsidRDefault="00941C7F" w:rsidP="00941C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201-211.</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Faraji, K., &amp;Makame, A. (2013). Impact of External Debt on Economic Growth: A Case study of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Tanzania. </w:t>
            </w:r>
            <w:r w:rsidRPr="00941C7F">
              <w:rPr>
                <w:rFonts w:ascii="Times New Roman" w:eastAsia="Times New Roman" w:hAnsi="Times New Roman" w:cs="Times New Roman"/>
                <w:i/>
                <w:color w:val="000000"/>
                <w:sz w:val="24"/>
                <w:szCs w:val="24"/>
              </w:rPr>
              <w:t>Advance in Management and Applied Economics</w:t>
            </w:r>
            <w:r w:rsidR="00941C7F">
              <w:rPr>
                <w:rFonts w:ascii="Times New Roman" w:eastAsia="Times New Roman" w:hAnsi="Times New Roman" w:cs="Times New Roman"/>
                <w:color w:val="000000"/>
                <w:sz w:val="24"/>
                <w:szCs w:val="24"/>
              </w:rPr>
              <w:t>, 3(4), 59-82.</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Forgha, Njimanted G.; Mbella, Mukete E.; Ngangnchi, Forbe H. (2014): External Debt, Domestic</w:t>
            </w:r>
          </w:p>
          <w:p w:rsidR="007A6C4E" w:rsidRPr="00941C7F" w:rsidRDefault="007A6C4E" w:rsidP="00941C7F">
            <w:pPr>
              <w:spacing w:after="0" w:line="360" w:lineRule="auto"/>
              <w:jc w:val="both"/>
              <w:rPr>
                <w:rFonts w:ascii="Times New Roman" w:hAnsi="Times New Roman" w:cs="Times New Roman"/>
                <w:i/>
                <w:sz w:val="24"/>
                <w:szCs w:val="24"/>
              </w:rPr>
            </w:pPr>
            <w:r w:rsidRPr="00941C7F">
              <w:rPr>
                <w:rFonts w:ascii="Times New Roman" w:hAnsi="Times New Roman" w:cs="Times New Roman"/>
                <w:sz w:val="24"/>
                <w:szCs w:val="24"/>
              </w:rPr>
              <w:t xml:space="preserve">             Investment and Economic Growth in Cameroon” A system Estimation Approach, </w:t>
            </w:r>
            <w:r w:rsidRPr="00941C7F">
              <w:rPr>
                <w:rFonts w:ascii="Times New Roman" w:hAnsi="Times New Roman" w:cs="Times New Roman"/>
                <w:i/>
                <w:sz w:val="24"/>
                <w:szCs w:val="24"/>
              </w:rPr>
              <w:t>Journal of</w:t>
            </w:r>
          </w:p>
          <w:p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i/>
                <w:sz w:val="24"/>
                <w:szCs w:val="24"/>
              </w:rPr>
              <w:t xml:space="preserve">             Economics Bibliography</w:t>
            </w:r>
            <w:r w:rsidRPr="00941C7F">
              <w:rPr>
                <w:rFonts w:ascii="Times New Roman" w:hAnsi="Times New Roman" w:cs="Times New Roman"/>
                <w:sz w:val="24"/>
                <w:szCs w:val="24"/>
              </w:rPr>
              <w:t xml:space="preserve">, 1 (1), pp. 3-16. </w:t>
            </w:r>
            <w:hyperlink r:id="rId11" w:history="1">
              <w:r w:rsidR="00821051" w:rsidRPr="00AE7FB2">
                <w:rPr>
                  <w:rStyle w:val="Hyperlink"/>
                  <w:rFonts w:ascii="Times New Roman" w:hAnsi="Times New Roman" w:cs="Times New Roman"/>
                  <w:sz w:val="24"/>
                  <w:szCs w:val="24"/>
                </w:rPr>
                <w:t>http://dx.doi.org/10.1453/jeb.v1i1.161</w:t>
              </w:r>
            </w:hyperlink>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Granger, C. W. (1981). Some properties of time series data and their use in econometric model</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specification. </w:t>
            </w:r>
            <w:r w:rsidRPr="00941C7F">
              <w:rPr>
                <w:rFonts w:ascii="Times New Roman" w:hAnsi="Times New Roman" w:cs="Times New Roman"/>
                <w:i/>
                <w:iCs/>
                <w:color w:val="222222"/>
                <w:sz w:val="24"/>
                <w:szCs w:val="24"/>
                <w:shd w:val="clear" w:color="auto" w:fill="FFFFFF"/>
              </w:rPr>
              <w:t>Journal of econometrics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16</w:t>
            </w:r>
            <w:r w:rsidR="00821051">
              <w:rPr>
                <w:rFonts w:ascii="Times New Roman" w:hAnsi="Times New Roman" w:cs="Times New Roman"/>
                <w:color w:val="222222"/>
                <w:sz w:val="24"/>
                <w:szCs w:val="24"/>
                <w:shd w:val="clear" w:color="auto" w:fill="FFFFFF"/>
              </w:rPr>
              <w:t>(1), 121-130.</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Hameed, A., Ashraf, H., Chaudhary, M.A. (2008), External debt and its impact on economic and business</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growth in Pakistan. </w:t>
            </w:r>
            <w:r w:rsidRPr="00941C7F">
              <w:rPr>
                <w:rFonts w:ascii="Times New Roman" w:eastAsia="Times New Roman" w:hAnsi="Times New Roman" w:cs="Times New Roman"/>
                <w:i/>
                <w:color w:val="000000"/>
                <w:sz w:val="24"/>
                <w:szCs w:val="24"/>
              </w:rPr>
              <w:t>International Research Journal of Finance and Economics</w:t>
            </w:r>
            <w:r w:rsidR="00821051">
              <w:rPr>
                <w:rFonts w:ascii="Times New Roman" w:eastAsia="Times New Roman" w:hAnsi="Times New Roman" w:cs="Times New Roman"/>
                <w:color w:val="000000"/>
                <w:sz w:val="24"/>
                <w:szCs w:val="24"/>
              </w:rPr>
              <w:t>, 20, 132-140.</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Huay, C. S., Winterton, J., Bani, Y., &amp;Matemilola, B. T. (2019). Do remittances promote human</w:t>
            </w:r>
          </w:p>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development? Empirical evidence from developing countries. </w:t>
            </w:r>
            <w:r w:rsidRPr="00941C7F">
              <w:rPr>
                <w:rFonts w:ascii="Times New Roman" w:hAnsi="Times New Roman" w:cs="Times New Roman"/>
                <w:i/>
                <w:iCs/>
                <w:color w:val="222222"/>
                <w:sz w:val="24"/>
                <w:szCs w:val="24"/>
                <w:shd w:val="clear" w:color="auto" w:fill="FFFFFF"/>
              </w:rPr>
              <w:t>International Journal of Social</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46</w:t>
            </w:r>
            <w:r w:rsidR="00821051">
              <w:rPr>
                <w:rFonts w:ascii="Times New Roman" w:hAnsi="Times New Roman" w:cs="Times New Roman"/>
                <w:color w:val="222222"/>
                <w:sz w:val="24"/>
                <w:szCs w:val="24"/>
                <w:shd w:val="clear" w:color="auto" w:fill="FFFFFF"/>
              </w:rPr>
              <w:t>(10), 1173-1185.</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Hunt, S.D. (2007), Economic growth: Should policy focus on investment or dynamic competition?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European B</w:t>
            </w:r>
            <w:r w:rsidR="00821051">
              <w:rPr>
                <w:rFonts w:ascii="Times New Roman" w:eastAsia="Times New Roman" w:hAnsi="Times New Roman" w:cs="Times New Roman"/>
                <w:color w:val="000000"/>
                <w:sz w:val="24"/>
                <w:szCs w:val="24"/>
              </w:rPr>
              <w:t>usiness Review, 19(4), 279-291.</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Odo, S. I., Igberi, C. O., Udude, C. C., &amp; Anoke, C. I. (2016). Public expenditure and economic growth:</w:t>
            </w:r>
          </w:p>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Evidence from Nigeria and South Africa. </w:t>
            </w:r>
            <w:r w:rsidRPr="00941C7F">
              <w:rPr>
                <w:rFonts w:ascii="Times New Roman" w:hAnsi="Times New Roman" w:cs="Times New Roman"/>
                <w:i/>
                <w:iCs/>
                <w:color w:val="222222"/>
                <w:sz w:val="24"/>
                <w:szCs w:val="24"/>
                <w:shd w:val="clear" w:color="auto" w:fill="FFFFFF"/>
              </w:rPr>
              <w:t>International Journal of Research in Management,</w:t>
            </w:r>
          </w:p>
          <w:p w:rsidR="007A6C4E" w:rsidRPr="00821051"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 and Commerce</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6</w:t>
            </w:r>
            <w:r w:rsidRPr="00941C7F">
              <w:rPr>
                <w:rFonts w:ascii="Times New Roman" w:hAnsi="Times New Roman" w:cs="Times New Roman"/>
                <w:color w:val="222222"/>
                <w:sz w:val="24"/>
                <w:szCs w:val="24"/>
                <w:shd w:val="clear" w:color="auto" w:fill="FFFFFF"/>
              </w:rPr>
              <w:t>(10), 7-28.</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Ijoko, A. O., Magaji, S. &amp; Gombe, B. M. (2022). Impact of Public Expenditure on Health Services</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Delivery in the Federal Capital Territory, Nigeria. Kebbi </w:t>
            </w:r>
            <w:r w:rsidRPr="00941C7F">
              <w:rPr>
                <w:rFonts w:ascii="Times New Roman" w:eastAsia="Times New Roman" w:hAnsi="Times New Roman" w:cs="Times New Roman"/>
                <w:i/>
                <w:color w:val="000000"/>
                <w:sz w:val="24"/>
                <w:szCs w:val="24"/>
              </w:rPr>
              <w:t>Journal of Economics and Social Sciences</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(KJESS), 4(2), 67-74.</w:t>
            </w:r>
          </w:p>
        </w:tc>
      </w:tr>
      <w:tr w:rsidR="007A6C4E" w:rsidRPr="00941C7F" w:rsidTr="00264CC0">
        <w:trPr>
          <w:trHeight w:val="945"/>
        </w:trPr>
        <w:tc>
          <w:tcPr>
            <w:tcW w:w="10456" w:type="dxa"/>
            <w:tcBorders>
              <w:top w:val="nil"/>
              <w:left w:val="nil"/>
              <w:bottom w:val="nil"/>
              <w:right w:val="nil"/>
            </w:tcBorders>
            <w:noWrap/>
            <w:vAlign w:val="center"/>
            <w:hideMark/>
          </w:tcPr>
          <w:p w:rsidR="007A6C4E" w:rsidRPr="00941C7F" w:rsidRDefault="007A6C4E" w:rsidP="00941C7F">
            <w:pPr>
              <w:spacing w:after="0" w:line="360" w:lineRule="auto"/>
              <w:jc w:val="both"/>
              <w:rPr>
                <w:rFonts w:ascii="Times New Roman" w:eastAsia="Times New Roman" w:hAnsi="Times New Roman" w:cs="Times New Roman"/>
                <w:i/>
                <w:iCs/>
                <w:color w:val="222222"/>
                <w:sz w:val="24"/>
                <w:szCs w:val="24"/>
              </w:rPr>
            </w:pPr>
            <w:r w:rsidRPr="00941C7F">
              <w:rPr>
                <w:rFonts w:ascii="Times New Roman" w:eastAsia="Times New Roman" w:hAnsi="Times New Roman" w:cs="Times New Roman"/>
                <w:color w:val="222222"/>
                <w:sz w:val="24"/>
                <w:szCs w:val="24"/>
              </w:rPr>
              <w:t>Im, K. S., Pesaran, M. H., &amp; Shin, Y. (2003). Testing for unit roots in heterogeneous panels. </w:t>
            </w:r>
            <w:r w:rsidRPr="00941C7F">
              <w:rPr>
                <w:rFonts w:ascii="Times New Roman" w:eastAsia="Times New Roman" w:hAnsi="Times New Roman" w:cs="Times New Roman"/>
                <w:i/>
                <w:iCs/>
                <w:color w:val="222222"/>
                <w:sz w:val="24"/>
                <w:szCs w:val="24"/>
              </w:rPr>
              <w:t>Journal of</w:t>
            </w:r>
          </w:p>
          <w:p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i/>
                <w:iCs/>
                <w:color w:val="222222"/>
                <w:sz w:val="24"/>
                <w:szCs w:val="24"/>
              </w:rPr>
              <w:t xml:space="preserve">           econometrics</w:t>
            </w:r>
            <w:r w:rsidRPr="00941C7F">
              <w:rPr>
                <w:rFonts w:ascii="Times New Roman" w:eastAsia="Times New Roman" w:hAnsi="Times New Roman" w:cs="Times New Roman"/>
                <w:color w:val="222222"/>
                <w:sz w:val="24"/>
                <w:szCs w:val="24"/>
              </w:rPr>
              <w:t>, </w:t>
            </w:r>
            <w:r w:rsidRPr="00941C7F">
              <w:rPr>
                <w:rFonts w:ascii="Times New Roman" w:eastAsia="Times New Roman" w:hAnsi="Times New Roman" w:cs="Times New Roman"/>
                <w:i/>
                <w:iCs/>
                <w:color w:val="222222"/>
                <w:sz w:val="24"/>
                <w:szCs w:val="24"/>
              </w:rPr>
              <w:t>115</w:t>
            </w:r>
            <w:r w:rsidRPr="00941C7F">
              <w:rPr>
                <w:rFonts w:ascii="Times New Roman" w:eastAsia="Times New Roman" w:hAnsi="Times New Roman" w:cs="Times New Roman"/>
                <w:color w:val="222222"/>
                <w:sz w:val="24"/>
                <w:szCs w:val="24"/>
              </w:rPr>
              <w:t>(1), 53-74</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Iteh, A. A. &amp;Oyeanu, E. (2021). Impact of External Debt on Economic Growth in Nigeria. </w:t>
            </w:r>
            <w:r w:rsidRPr="00941C7F">
              <w:rPr>
                <w:rFonts w:ascii="Times New Roman" w:eastAsia="Times New Roman" w:hAnsi="Times New Roman" w:cs="Times New Roman"/>
                <w:i/>
                <w:color w:val="000000"/>
                <w:sz w:val="24"/>
                <w:szCs w:val="24"/>
              </w:rPr>
              <w:t>International</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Journal of Mechanical Engineering and Technology</w:t>
            </w:r>
            <w:r w:rsidRPr="00941C7F">
              <w:rPr>
                <w:rFonts w:ascii="Times New Roman" w:eastAsia="Times New Roman" w:hAnsi="Times New Roman" w:cs="Times New Roman"/>
                <w:color w:val="000000"/>
                <w:sz w:val="24"/>
                <w:szCs w:val="24"/>
              </w:rPr>
              <w:t xml:space="preserve"> (IJMET), 12(7), 49- 57. Retrieved from</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https://doi.or</w:t>
            </w:r>
            <w:r w:rsidR="00821051">
              <w:rPr>
                <w:rFonts w:ascii="Times New Roman" w:eastAsia="Times New Roman" w:hAnsi="Times New Roman" w:cs="Times New Roman"/>
                <w:color w:val="000000"/>
                <w:sz w:val="24"/>
                <w:szCs w:val="24"/>
              </w:rPr>
              <w:t>g/10.34218/IJMET.12.7.2021.007.</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Egbe, I. S., Onuora, U. R., Iteh, A. A., &amp;Onyeanu, E. O. (2021). Effect of Economic Variables on the </w:t>
            </w:r>
          </w:p>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Financial Performance of Listed Firms Manufacturing Consumers Goods in Nigeria. </w:t>
            </w:r>
            <w:r w:rsidRPr="00941C7F">
              <w:rPr>
                <w:rFonts w:ascii="Times New Roman" w:hAnsi="Times New Roman" w:cs="Times New Roman"/>
                <w:i/>
                <w:iCs/>
                <w:color w:val="222222"/>
                <w:sz w:val="24"/>
                <w:szCs w:val="24"/>
                <w:shd w:val="clear" w:color="auto" w:fill="FFFFFF"/>
              </w:rPr>
              <w:t>Universal</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Journal of Accounting and Finance</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9</w:t>
            </w:r>
            <w:r w:rsidR="00821051">
              <w:rPr>
                <w:rFonts w:ascii="Times New Roman" w:hAnsi="Times New Roman" w:cs="Times New Roman"/>
                <w:color w:val="222222"/>
                <w:sz w:val="24"/>
                <w:szCs w:val="24"/>
                <w:shd w:val="clear" w:color="auto" w:fill="FFFFFF"/>
              </w:rPr>
              <w:t>(6), 1235-1246.</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Jacob, T. H. &amp; Sule, H. (2022). Impact of External Debt on Economic Growth in Nigeria: 1986- 2019.</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American Journal of Economics and Business Innovation</w:t>
            </w:r>
            <w:r w:rsidRPr="00941C7F">
              <w:rPr>
                <w:rFonts w:ascii="Times New Roman" w:eastAsia="Times New Roman" w:hAnsi="Times New Roman" w:cs="Times New Roman"/>
                <w:color w:val="000000"/>
                <w:sz w:val="24"/>
                <w:szCs w:val="24"/>
              </w:rPr>
              <w:t xml:space="preserve"> (AJEBI), 1(3), 55-72. Retrieved from</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https://doi.org/10.54536/ajebi.v1i3.570 </w:t>
            </w:r>
            <w:hyperlink r:id="rId12" w:history="1">
              <w:r w:rsidR="00821051" w:rsidRPr="00AE7FB2">
                <w:rPr>
                  <w:rStyle w:val="Hyperlink"/>
                  <w:rFonts w:ascii="Times New Roman" w:eastAsia="Times New Roman" w:hAnsi="Times New Roman" w:cs="Times New Roman"/>
                  <w:sz w:val="24"/>
                  <w:szCs w:val="24"/>
                </w:rPr>
                <w:t>https://journals.epalli.com/home/index.php/aje</w:t>
              </w:r>
            </w:hyperlink>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Kandil, M. (2004). Exchange rate fluctuations and economic activity in developing countries: Theory and</w:t>
            </w:r>
          </w:p>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evidence. </w:t>
            </w:r>
            <w:r w:rsidRPr="00941C7F">
              <w:rPr>
                <w:rFonts w:ascii="Times New Roman" w:hAnsi="Times New Roman" w:cs="Times New Roman"/>
                <w:i/>
                <w:iCs/>
                <w:color w:val="222222"/>
                <w:sz w:val="24"/>
                <w:szCs w:val="24"/>
                <w:shd w:val="clear" w:color="auto" w:fill="FFFFFF"/>
              </w:rPr>
              <w:t>Journal of economic development</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29</w:t>
            </w:r>
            <w:r w:rsidRPr="00941C7F">
              <w:rPr>
                <w:rFonts w:ascii="Times New Roman" w:hAnsi="Times New Roman" w:cs="Times New Roman"/>
                <w:color w:val="222222"/>
                <w:sz w:val="24"/>
                <w:szCs w:val="24"/>
                <w:shd w:val="clear" w:color="auto" w:fill="FFFFFF"/>
              </w:rPr>
              <w:t>, 85-108.</w:t>
            </w:r>
          </w:p>
        </w:tc>
      </w:tr>
      <w:tr w:rsidR="007A6C4E" w:rsidRPr="00941C7F" w:rsidTr="00264CC0">
        <w:trPr>
          <w:trHeight w:val="945"/>
        </w:trPr>
        <w:tc>
          <w:tcPr>
            <w:tcW w:w="10456" w:type="dxa"/>
            <w:tcBorders>
              <w:top w:val="nil"/>
              <w:left w:val="nil"/>
              <w:bottom w:val="nil"/>
              <w:right w:val="nil"/>
            </w:tcBorders>
            <w:noWrap/>
            <w:vAlign w:val="center"/>
            <w:hideMark/>
          </w:tcPr>
          <w:p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Levin, A., Lin, C. F., &amp; Chu, C. S. J. (2002). Unit root tests in panel data: asymptotic and finite-sample</w:t>
            </w:r>
          </w:p>
          <w:p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 xml:space="preserve">            properties. </w:t>
            </w:r>
            <w:r w:rsidRPr="00941C7F">
              <w:rPr>
                <w:rFonts w:ascii="Times New Roman" w:eastAsia="Times New Roman" w:hAnsi="Times New Roman" w:cs="Times New Roman"/>
                <w:i/>
                <w:iCs/>
                <w:color w:val="222222"/>
                <w:sz w:val="24"/>
                <w:szCs w:val="24"/>
              </w:rPr>
              <w:t>Journal of econometrics</w:t>
            </w:r>
            <w:r w:rsidRPr="00941C7F">
              <w:rPr>
                <w:rFonts w:ascii="Times New Roman" w:eastAsia="Times New Roman" w:hAnsi="Times New Roman" w:cs="Times New Roman"/>
                <w:color w:val="222222"/>
                <w:sz w:val="24"/>
                <w:szCs w:val="24"/>
              </w:rPr>
              <w:t>, </w:t>
            </w:r>
            <w:r w:rsidRPr="00941C7F">
              <w:rPr>
                <w:rFonts w:ascii="Times New Roman" w:eastAsia="Times New Roman" w:hAnsi="Times New Roman" w:cs="Times New Roman"/>
                <w:i/>
                <w:iCs/>
                <w:color w:val="222222"/>
                <w:sz w:val="24"/>
                <w:szCs w:val="24"/>
              </w:rPr>
              <w:t>108</w:t>
            </w:r>
            <w:r w:rsidRPr="00941C7F">
              <w:rPr>
                <w:rFonts w:ascii="Times New Roman" w:eastAsia="Times New Roman" w:hAnsi="Times New Roman" w:cs="Times New Roman"/>
                <w:color w:val="222222"/>
                <w:sz w:val="24"/>
                <w:szCs w:val="24"/>
              </w:rPr>
              <w:t>(1), 1-24.</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Lucky, A. L., &amp;Uzah, C. K. (2016). Determinants of Capital Formation in Nigeria: A Test of Jhingan’s </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Preposition 1981-2014. </w:t>
            </w:r>
            <w:r w:rsidRPr="00941C7F">
              <w:rPr>
                <w:rFonts w:ascii="Times New Roman" w:hAnsi="Times New Roman" w:cs="Times New Roman"/>
                <w:i/>
                <w:iCs/>
                <w:color w:val="222222"/>
                <w:sz w:val="24"/>
                <w:szCs w:val="24"/>
                <w:shd w:val="clear" w:color="auto" w:fill="FFFFFF"/>
              </w:rPr>
              <w:t>International Journal of Banking and Finance Research</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w:t>
            </w:r>
            <w:r w:rsidR="00821051">
              <w:rPr>
                <w:rFonts w:ascii="Times New Roman" w:hAnsi="Times New Roman" w:cs="Times New Roman"/>
                <w:color w:val="222222"/>
                <w:sz w:val="24"/>
                <w:szCs w:val="24"/>
                <w:shd w:val="clear" w:color="auto" w:fill="FFFFFF"/>
              </w:rPr>
              <w:t>(1), 1-19.</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Matandare, M. A., &amp; Tito, J. (2018). Public debt and economic growth nexus in Zimbabwe. </w:t>
            </w:r>
            <w:r w:rsidRPr="00941C7F">
              <w:rPr>
                <w:rFonts w:ascii="Times New Roman" w:hAnsi="Times New Roman" w:cs="Times New Roman"/>
                <w:i/>
                <w:iCs/>
                <w:color w:val="222222"/>
                <w:sz w:val="24"/>
                <w:szCs w:val="24"/>
                <w:shd w:val="clear" w:color="auto" w:fill="FFFFFF"/>
              </w:rPr>
              <w:t>Journal of</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 and Sustainable Development</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9</w:t>
            </w:r>
            <w:r w:rsidR="00821051">
              <w:rPr>
                <w:rFonts w:ascii="Times New Roman" w:hAnsi="Times New Roman" w:cs="Times New Roman"/>
                <w:color w:val="222222"/>
                <w:sz w:val="24"/>
                <w:szCs w:val="24"/>
                <w:shd w:val="clear" w:color="auto" w:fill="FFFFFF"/>
              </w:rPr>
              <w:t>(2), 2222-2855.</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Matuka, A., &amp; Asafo, S. S. (2021). Effects of services on economic growth in Albania: an ARDL</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approach. </w:t>
            </w:r>
            <w:r w:rsidRPr="00941C7F">
              <w:rPr>
                <w:rFonts w:ascii="Times New Roman" w:hAnsi="Times New Roman" w:cs="Times New Roman"/>
                <w:i/>
                <w:iCs/>
                <w:color w:val="222222"/>
                <w:sz w:val="24"/>
                <w:szCs w:val="24"/>
                <w:shd w:val="clear" w:color="auto" w:fill="FFFFFF"/>
              </w:rPr>
              <w:t>The Journal of International Trade &amp; Economic Development</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30</w:t>
            </w:r>
            <w:r w:rsidR="00821051">
              <w:rPr>
                <w:rFonts w:ascii="Times New Roman" w:hAnsi="Times New Roman" w:cs="Times New Roman"/>
                <w:color w:val="222222"/>
                <w:sz w:val="24"/>
                <w:szCs w:val="24"/>
                <w:shd w:val="clear" w:color="auto" w:fill="FFFFFF"/>
              </w:rPr>
              <w:t>(6), 856-881.</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McKinnon, R. (1964), Foreign exchange constraints in economic development and efficient aid allocation.</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The Economic Journal</w:t>
            </w:r>
            <w:r w:rsidR="00821051">
              <w:rPr>
                <w:rFonts w:ascii="Times New Roman" w:eastAsia="Times New Roman" w:hAnsi="Times New Roman" w:cs="Times New Roman"/>
                <w:color w:val="000000"/>
                <w:sz w:val="24"/>
                <w:szCs w:val="24"/>
              </w:rPr>
              <w:t>, 74(294), 388-409.</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Ndubuaku, V. C., Uche, M. U., Onwuka, C. C. &amp; Ifeanyi, P. O. (2021). External Debt Dynamics and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Sustainable Growth in Nigeria. </w:t>
            </w:r>
            <w:r w:rsidRPr="00941C7F">
              <w:rPr>
                <w:rFonts w:ascii="Times New Roman" w:eastAsia="Times New Roman" w:hAnsi="Times New Roman" w:cs="Times New Roman"/>
                <w:i/>
                <w:color w:val="000000"/>
                <w:sz w:val="24"/>
                <w:szCs w:val="24"/>
              </w:rPr>
              <w:t>International Journal of Sustainable Development &amp; World Policy</w:t>
            </w:r>
            <w:r w:rsidRPr="00941C7F">
              <w:rPr>
                <w:rFonts w:ascii="Times New Roman" w:eastAsia="Times New Roman" w:hAnsi="Times New Roman" w:cs="Times New Roman"/>
                <w:color w:val="000000"/>
                <w:sz w:val="24"/>
                <w:szCs w:val="24"/>
              </w:rPr>
              <w:t>,</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10(2), 51-63. Retrieved from https://doi.org/10.18488/j</w:t>
            </w:r>
            <w:r w:rsidR="00821051">
              <w:rPr>
                <w:rFonts w:ascii="Times New Roman" w:eastAsia="Times New Roman" w:hAnsi="Times New Roman" w:cs="Times New Roman"/>
                <w:color w:val="000000"/>
                <w:sz w:val="24"/>
                <w:szCs w:val="24"/>
              </w:rPr>
              <w:t>ournal.26.2021.102.51.63.</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Ndubuisi, P. (2019). Analysis of the Impact of External Debt on Economic Growth in an Emerging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Economy: Evidence from Nigeria. </w:t>
            </w:r>
            <w:r w:rsidRPr="00941C7F">
              <w:rPr>
                <w:rFonts w:ascii="Times New Roman" w:eastAsia="Times New Roman" w:hAnsi="Times New Roman" w:cs="Times New Roman"/>
                <w:i/>
                <w:color w:val="000000"/>
                <w:sz w:val="24"/>
                <w:szCs w:val="24"/>
              </w:rPr>
              <w:t>An International Multi-Disciplinary Journal</w:t>
            </w:r>
            <w:r w:rsidRPr="00941C7F">
              <w:rPr>
                <w:rFonts w:ascii="Times New Roman" w:eastAsia="Times New Roman" w:hAnsi="Times New Roman" w:cs="Times New Roman"/>
                <w:color w:val="000000"/>
                <w:sz w:val="24"/>
                <w:szCs w:val="24"/>
              </w:rPr>
              <w:t xml:space="preserve">, Bahir Dar,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Ethiopia, 11, (48), 156-173.</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Nwagwu, E. J. (2014). The new contributory pension scheme and prompt and regular payment of pension</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benefits to pensioners in Nigeria. </w:t>
            </w:r>
            <w:r w:rsidRPr="00941C7F">
              <w:rPr>
                <w:rFonts w:ascii="Times New Roman" w:hAnsi="Times New Roman" w:cs="Times New Roman"/>
                <w:i/>
                <w:iCs/>
                <w:color w:val="222222"/>
                <w:sz w:val="24"/>
                <w:szCs w:val="24"/>
                <w:shd w:val="clear" w:color="auto" w:fill="FFFFFF"/>
              </w:rPr>
              <w:t>Int J Res Arts Soc Sci</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5</w:t>
            </w:r>
            <w:r w:rsidR="00821051">
              <w:rPr>
                <w:rFonts w:ascii="Times New Roman" w:hAnsi="Times New Roman" w:cs="Times New Roman"/>
                <w:color w:val="222222"/>
                <w:sz w:val="24"/>
                <w:szCs w:val="24"/>
                <w:shd w:val="clear" w:color="auto" w:fill="FFFFFF"/>
              </w:rPr>
              <w:t>(1), 101-10.</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Ogbuabor, J.E., Malaolu, V.A., &amp; Mba, C. (2013). Informality and Domestic Savings in Nigeria: Lessons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from Time S</w:t>
            </w:r>
            <w:r w:rsidR="00821051">
              <w:rPr>
                <w:rFonts w:ascii="Times New Roman" w:eastAsia="Times New Roman" w:hAnsi="Times New Roman" w:cs="Times New Roman"/>
                <w:color w:val="000000"/>
                <w:sz w:val="24"/>
                <w:szCs w:val="24"/>
              </w:rPr>
              <w:t>eries Analysis. 1 (3), 24 – 32.</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Ogunbiyi, S. S., &amp;Okunlola, F. A. (2015). External debt burden and the capital accumulation of Nigeria:</w:t>
            </w:r>
          </w:p>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A cointegration approach (1980-2012). </w:t>
            </w:r>
            <w:r w:rsidRPr="00941C7F">
              <w:rPr>
                <w:rFonts w:ascii="Times New Roman" w:hAnsi="Times New Roman" w:cs="Times New Roman"/>
                <w:i/>
                <w:iCs/>
                <w:color w:val="222222"/>
                <w:sz w:val="24"/>
                <w:szCs w:val="24"/>
                <w:shd w:val="clear" w:color="auto" w:fill="FFFFFF"/>
              </w:rPr>
              <w:t>Research Journal of Finance and Accounting</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6</w:t>
            </w:r>
            <w:r w:rsidRPr="00941C7F">
              <w:rPr>
                <w:rFonts w:ascii="Times New Roman" w:hAnsi="Times New Roman" w:cs="Times New Roman"/>
                <w:color w:val="222222"/>
                <w:sz w:val="24"/>
                <w:szCs w:val="24"/>
                <w:shd w:val="clear" w:color="auto" w:fill="FFFFFF"/>
              </w:rPr>
              <w:t>(11),</w:t>
            </w:r>
          </w:p>
          <w:p w:rsidR="007A6C4E" w:rsidRPr="00821051" w:rsidRDefault="00821051" w:rsidP="00941C7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182-191.</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Onwuka, C. E. (2021). External Debt Burden and Infrastructural Development Nexus in Nigeria</w:t>
            </w:r>
            <w:r w:rsidR="00821051">
              <w:rPr>
                <w:rFonts w:ascii="Times New Roman" w:hAnsi="Times New Roman" w:cs="Times New Roman"/>
                <w:color w:val="222222"/>
                <w:sz w:val="24"/>
                <w:szCs w:val="24"/>
                <w:shd w:val="clear" w:color="auto" w:fill="FFFFFF"/>
              </w:rPr>
              <w:t>: An ARDL Approach (1981-2020).</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Pattillo, C., Poirson, H., Ricci, L. (2002), External Debt and Growth. Working Paper, 02(69). Washington,</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 xml:space="preserve">           DC: International Monetary Fund</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Pattillo, C., Poirson, H., Ricci, L. (2004), What are the channels through which external debt affects</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growth? IMF Working Paper 04/15. Washington,</w:t>
            </w:r>
            <w:r w:rsidR="00821051">
              <w:rPr>
                <w:rFonts w:ascii="Times New Roman" w:eastAsia="Times New Roman" w:hAnsi="Times New Roman" w:cs="Times New Roman"/>
                <w:color w:val="000000"/>
                <w:sz w:val="24"/>
                <w:szCs w:val="24"/>
              </w:rPr>
              <w:t xml:space="preserve"> DC.</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Pesaran, M. H. &amp; Shin, Y. (1999). Long-Run Structural Modelling, un-published manuscript, University</w:t>
            </w:r>
          </w:p>
          <w:p w:rsidR="007A6C4E" w:rsidRPr="00941C7F" w:rsidRDefault="00821051"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of Cambridge.</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 xml:space="preserve">Pesaran, M. H., Shin, Y., &amp; Smith, R. J. (2001). Bounds testing approaches to the analysis of level </w:t>
            </w:r>
          </w:p>
          <w:p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 xml:space="preserve">             relationships. </w:t>
            </w:r>
            <w:r w:rsidRPr="00941C7F">
              <w:rPr>
                <w:rFonts w:ascii="Times New Roman" w:eastAsia="Times New Roman" w:hAnsi="Times New Roman" w:cs="Times New Roman"/>
                <w:i/>
                <w:iCs/>
                <w:color w:val="222222"/>
                <w:sz w:val="24"/>
                <w:szCs w:val="24"/>
              </w:rPr>
              <w:t>Journal of applied econometrics</w:t>
            </w:r>
            <w:r w:rsidRPr="00941C7F">
              <w:rPr>
                <w:rFonts w:ascii="Times New Roman" w:eastAsia="Times New Roman" w:hAnsi="Times New Roman" w:cs="Times New Roman"/>
                <w:color w:val="222222"/>
                <w:sz w:val="24"/>
                <w:szCs w:val="24"/>
              </w:rPr>
              <w:t>, </w:t>
            </w:r>
            <w:r w:rsidRPr="00941C7F">
              <w:rPr>
                <w:rFonts w:ascii="Times New Roman" w:eastAsia="Times New Roman" w:hAnsi="Times New Roman" w:cs="Times New Roman"/>
                <w:i/>
                <w:iCs/>
                <w:color w:val="222222"/>
                <w:sz w:val="24"/>
                <w:szCs w:val="24"/>
              </w:rPr>
              <w:t>16</w:t>
            </w:r>
            <w:r w:rsidR="00821051">
              <w:rPr>
                <w:rFonts w:ascii="Times New Roman" w:eastAsia="Times New Roman" w:hAnsi="Times New Roman" w:cs="Times New Roman"/>
                <w:color w:val="222222"/>
                <w:sz w:val="24"/>
                <w:szCs w:val="24"/>
              </w:rPr>
              <w:t>(3), 289-326</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Polycarp, J. E. (2020). Impact of External Debt on Economic Growth in Nigeria. </w:t>
            </w:r>
            <w:r w:rsidRPr="00941C7F">
              <w:rPr>
                <w:rFonts w:ascii="Times New Roman" w:eastAsia="Times New Roman" w:hAnsi="Times New Roman" w:cs="Times New Roman"/>
                <w:i/>
                <w:color w:val="000000"/>
                <w:sz w:val="24"/>
                <w:szCs w:val="24"/>
              </w:rPr>
              <w:t>Social Sciences and</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Management Journal</w:t>
            </w:r>
            <w:r w:rsidRPr="00941C7F">
              <w:rPr>
                <w:rFonts w:ascii="Times New Roman" w:eastAsia="Times New Roman" w:hAnsi="Times New Roman" w:cs="Times New Roman"/>
                <w:color w:val="000000"/>
                <w:sz w:val="24"/>
                <w:szCs w:val="24"/>
              </w:rPr>
              <w:t xml:space="preserve">, 1(3), 657-856. Retrieved from </w:t>
            </w:r>
          </w:p>
          <w:p w:rsidR="007A6C4E" w:rsidRPr="00941C7F" w:rsidRDefault="00406ED0" w:rsidP="00941C7F">
            <w:pPr>
              <w:spacing w:after="0" w:line="360" w:lineRule="auto"/>
              <w:jc w:val="both"/>
              <w:rPr>
                <w:rFonts w:ascii="Times New Roman" w:eastAsia="Times New Roman" w:hAnsi="Times New Roman" w:cs="Times New Roman"/>
                <w:color w:val="000000"/>
                <w:sz w:val="24"/>
                <w:szCs w:val="24"/>
              </w:rPr>
            </w:pPr>
            <w:hyperlink r:id="rId13" w:history="1">
              <w:r w:rsidR="00821051" w:rsidRPr="00AE7FB2">
                <w:rPr>
                  <w:rStyle w:val="Hyperlink"/>
                  <w:rFonts w:ascii="Times New Roman" w:eastAsia="Times New Roman" w:hAnsi="Times New Roman" w:cs="Times New Roman"/>
                  <w:sz w:val="24"/>
                  <w:szCs w:val="24"/>
                </w:rPr>
                <w:t>https://www.researchgate.net/publication/347439686</w:t>
              </w:r>
            </w:hyperlink>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Sachs, J. (2002), Resolving the debt crisis of low income countries. Brooking Papers on Economic </w:t>
            </w:r>
          </w:p>
          <w:p w:rsidR="007A6C4E" w:rsidRPr="00941C7F" w:rsidRDefault="00821051"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2002, 1-28.</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Said, A. &amp; Yusuf, S.(2018). Public Debt and Economic Growth: Evidence from Tanzania. </w:t>
            </w:r>
            <w:r w:rsidRPr="00941C7F">
              <w:rPr>
                <w:rFonts w:ascii="Times New Roman" w:hAnsi="Times New Roman" w:cs="Times New Roman"/>
                <w:i/>
                <w:iCs/>
                <w:color w:val="222222"/>
                <w:sz w:val="24"/>
                <w:szCs w:val="24"/>
                <w:shd w:val="clear" w:color="auto" w:fill="FFFFFF"/>
              </w:rPr>
              <w:t xml:space="preserve">Journal of </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 Management and Trade</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21</w:t>
            </w:r>
            <w:r w:rsidR="00821051">
              <w:rPr>
                <w:rFonts w:ascii="Times New Roman" w:hAnsi="Times New Roman" w:cs="Times New Roman"/>
                <w:color w:val="222222"/>
                <w:sz w:val="24"/>
                <w:szCs w:val="24"/>
                <w:shd w:val="clear" w:color="auto" w:fill="FFFFFF"/>
              </w:rPr>
              <w:t>(7), 1-12.</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Shkolnyk, I., &amp;Koilo, V. (2018). The relationship between external debt and economic growth: Empirical </w:t>
            </w:r>
          </w:p>
          <w:p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evidence from Ukraine and other emerging economies. </w:t>
            </w:r>
            <w:r w:rsidRPr="00941C7F">
              <w:rPr>
                <w:rFonts w:ascii="Times New Roman" w:hAnsi="Times New Roman" w:cs="Times New Roman"/>
                <w:i/>
                <w:iCs/>
                <w:color w:val="222222"/>
                <w:sz w:val="24"/>
                <w:szCs w:val="24"/>
                <w:shd w:val="clear" w:color="auto" w:fill="FFFFFF"/>
              </w:rPr>
              <w:t>Investment Management and Financial</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Innovations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15</w:t>
            </w:r>
            <w:r w:rsidR="00821051">
              <w:rPr>
                <w:rFonts w:ascii="Times New Roman" w:hAnsi="Times New Roman" w:cs="Times New Roman"/>
                <w:color w:val="222222"/>
                <w:sz w:val="24"/>
                <w:szCs w:val="24"/>
                <w:shd w:val="clear" w:color="auto" w:fill="FFFFFF"/>
              </w:rPr>
              <w:t>(1).</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Stock, J. H., &amp; Watson, M. W. (1993). A simple estimator of cointegrating vectors in higher order</w:t>
            </w:r>
          </w:p>
          <w:p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integrated systems. </w:t>
            </w:r>
            <w:r w:rsidRPr="00941C7F">
              <w:rPr>
                <w:rFonts w:ascii="Times New Roman" w:hAnsi="Times New Roman" w:cs="Times New Roman"/>
                <w:i/>
                <w:iCs/>
                <w:color w:val="222222"/>
                <w:sz w:val="24"/>
                <w:szCs w:val="24"/>
                <w:shd w:val="clear" w:color="auto" w:fill="FFFFFF"/>
              </w:rPr>
              <w:t>Econometrica: journal of the Econometric Society</w:t>
            </w:r>
            <w:r w:rsidR="00821051">
              <w:rPr>
                <w:rFonts w:ascii="Times New Roman" w:hAnsi="Times New Roman" w:cs="Times New Roman"/>
                <w:color w:val="222222"/>
                <w:sz w:val="24"/>
                <w:szCs w:val="24"/>
                <w:shd w:val="clear" w:color="auto" w:fill="FFFFFF"/>
              </w:rPr>
              <w:t>, 783-820.</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Sulaiman, L. A. &amp; Azeez, B. A. (2018). Effect of external debt on economic growth of Nigeria. </w:t>
            </w:r>
            <w:r w:rsidRPr="00941C7F">
              <w:rPr>
                <w:rFonts w:ascii="Times New Roman" w:eastAsia="Times New Roman" w:hAnsi="Times New Roman" w:cs="Times New Roman"/>
                <w:i/>
                <w:color w:val="000000"/>
                <w:sz w:val="24"/>
                <w:szCs w:val="24"/>
              </w:rPr>
              <w:t>Journal of</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Economics and Sustainable Development,</w:t>
            </w:r>
            <w:r w:rsidR="00821051">
              <w:rPr>
                <w:rFonts w:ascii="Times New Roman" w:eastAsia="Times New Roman" w:hAnsi="Times New Roman" w:cs="Times New Roman"/>
                <w:color w:val="000000"/>
                <w:sz w:val="24"/>
                <w:szCs w:val="24"/>
              </w:rPr>
              <w:t xml:space="preserve"> 3(8).</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Taiwo, A. B., Kareem, R. O., Adeniji, Q. T. &amp; Ashiru, L. O. (2023). Effect of Public Debt on Poverty and</w:t>
            </w:r>
          </w:p>
          <w:p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             Economic Growth of Nigeria (1981-2019). </w:t>
            </w:r>
            <w:r w:rsidRPr="00941C7F">
              <w:rPr>
                <w:rFonts w:ascii="Times New Roman" w:eastAsia="Times New Roman" w:hAnsi="Times New Roman" w:cs="Times New Roman"/>
                <w:i/>
                <w:color w:val="000000"/>
                <w:sz w:val="24"/>
                <w:szCs w:val="24"/>
              </w:rPr>
              <w:t>Internal Journal of Research and Innovation in Social</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Science </w:t>
            </w:r>
            <w:r w:rsidR="00821051">
              <w:rPr>
                <w:rFonts w:ascii="Times New Roman" w:eastAsia="Times New Roman" w:hAnsi="Times New Roman" w:cs="Times New Roman"/>
                <w:color w:val="000000"/>
                <w:sz w:val="24"/>
                <w:szCs w:val="24"/>
              </w:rPr>
              <w:t>(IJRISS), 7(10), 687-708.</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821051"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Udoffia, D, T. &amp;Akpanah, E. A. (2016). An assessment of the impact of external debt on economic </w:t>
            </w:r>
            <w:r w:rsidR="001C68A5" w:rsidRPr="00941C7F">
              <w:rPr>
                <w:rFonts w:ascii="Times New Roman" w:hAnsi="Times New Roman" w:cs="Times New Roman"/>
                <w:sz w:val="24"/>
                <w:szCs w:val="24"/>
              </w:rPr>
              <w:br/>
            </w:r>
            <w:r w:rsidRPr="00941C7F">
              <w:rPr>
                <w:rFonts w:ascii="Times New Roman" w:hAnsi="Times New Roman" w:cs="Times New Roman"/>
                <w:sz w:val="24"/>
                <w:szCs w:val="24"/>
              </w:rPr>
              <w:t>growth of Nigeria</w:t>
            </w:r>
            <w:r w:rsidRPr="00941C7F">
              <w:rPr>
                <w:rFonts w:ascii="Times New Roman" w:hAnsi="Times New Roman" w:cs="Times New Roman"/>
                <w:i/>
                <w:sz w:val="24"/>
                <w:szCs w:val="24"/>
              </w:rPr>
              <w:t>. International Journal of Social Sciences</w:t>
            </w:r>
            <w:r w:rsidR="00821051">
              <w:rPr>
                <w:rFonts w:ascii="Times New Roman" w:hAnsi="Times New Roman" w:cs="Times New Roman"/>
                <w:sz w:val="24"/>
                <w:szCs w:val="24"/>
              </w:rPr>
              <w:t>, 10(1), 1-27.</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Ugochukwu, U.S., Chinyere, U.P. (2013), The impact of capital formation on the growth of Nigerian</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economy. </w:t>
            </w:r>
            <w:r w:rsidRPr="00941C7F">
              <w:rPr>
                <w:rFonts w:ascii="Times New Roman" w:eastAsia="Times New Roman" w:hAnsi="Times New Roman" w:cs="Times New Roman"/>
                <w:i/>
                <w:color w:val="000000"/>
                <w:sz w:val="24"/>
                <w:szCs w:val="24"/>
              </w:rPr>
              <w:t>Research Journal of Finance and Accounting Research</w:t>
            </w:r>
            <w:r w:rsidR="00821051">
              <w:rPr>
                <w:rFonts w:ascii="Times New Roman" w:eastAsia="Times New Roman" w:hAnsi="Times New Roman" w:cs="Times New Roman"/>
                <w:color w:val="000000"/>
                <w:sz w:val="24"/>
                <w:szCs w:val="24"/>
              </w:rPr>
              <w:t>, 4(9), 2222-2847.</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Ugochukwu, S., Judith, N., Edith, O. (2014), The impact of foreign direct investment on capital formation</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in Nigeria: </w:t>
            </w:r>
            <w:r w:rsidR="00821051">
              <w:rPr>
                <w:rFonts w:ascii="Times New Roman" w:eastAsia="Times New Roman" w:hAnsi="Times New Roman" w:cs="Times New Roman"/>
                <w:color w:val="000000"/>
                <w:sz w:val="24"/>
                <w:szCs w:val="24"/>
              </w:rPr>
              <w:t>co-integration</w:t>
            </w:r>
            <w:r w:rsidRPr="00941C7F">
              <w:rPr>
                <w:rFonts w:ascii="Times New Roman" w:eastAsia="Times New Roman" w:hAnsi="Times New Roman" w:cs="Times New Roman"/>
                <w:color w:val="000000"/>
                <w:sz w:val="24"/>
                <w:szCs w:val="24"/>
              </w:rPr>
              <w:t xml:space="preserve"> approach. </w:t>
            </w:r>
            <w:r w:rsidRPr="00941C7F">
              <w:rPr>
                <w:rFonts w:ascii="Times New Roman" w:eastAsia="Times New Roman" w:hAnsi="Times New Roman" w:cs="Times New Roman"/>
                <w:i/>
                <w:color w:val="000000"/>
                <w:sz w:val="24"/>
                <w:szCs w:val="24"/>
              </w:rPr>
              <w:t>The International Journal of Finance and Management</w:t>
            </w:r>
            <w:r w:rsidRPr="00941C7F">
              <w:rPr>
                <w:rFonts w:ascii="Times New Roman" w:eastAsia="Times New Roman" w:hAnsi="Times New Roman" w:cs="Times New Roman"/>
                <w:color w:val="000000"/>
                <w:sz w:val="24"/>
                <w:szCs w:val="24"/>
              </w:rPr>
              <w:t xml:space="preserve">,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2(2</w:t>
            </w:r>
            <w:r w:rsidR="00821051">
              <w:rPr>
                <w:rFonts w:ascii="Times New Roman" w:eastAsia="Times New Roman" w:hAnsi="Times New Roman" w:cs="Times New Roman"/>
                <w:color w:val="000000"/>
                <w:sz w:val="24"/>
                <w:szCs w:val="24"/>
              </w:rPr>
              <w:t>), 188-196.</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Wang, F. (2009), The effects of foreign borrowing policies on economic growth: Success or failure? </w:t>
            </w:r>
          </w:p>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lastRenderedPageBreak/>
              <w:t>Journal of Economic Policy Reform</w:t>
            </w:r>
            <w:r w:rsidR="00821051">
              <w:rPr>
                <w:rFonts w:ascii="Times New Roman" w:eastAsia="Times New Roman" w:hAnsi="Times New Roman" w:cs="Times New Roman"/>
                <w:color w:val="000000"/>
                <w:sz w:val="24"/>
                <w:szCs w:val="24"/>
              </w:rPr>
              <w:t>, 12(4), 273-284</w:t>
            </w:r>
          </w:p>
        </w:tc>
      </w:tr>
      <w:tr w:rsidR="007A6C4E" w:rsidRPr="00941C7F" w:rsidTr="00264CC0">
        <w:trPr>
          <w:trHeight w:val="315"/>
        </w:trPr>
        <w:tc>
          <w:tcPr>
            <w:tcW w:w="10456" w:type="dxa"/>
            <w:tcBorders>
              <w:top w:val="nil"/>
              <w:left w:val="nil"/>
              <w:bottom w:val="nil"/>
              <w:right w:val="nil"/>
            </w:tcBorders>
            <w:noWrap/>
            <w:vAlign w:val="bottom"/>
            <w:hideMark/>
          </w:tcPr>
          <w:p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commentRangeStart w:id="10"/>
            <w:r w:rsidRPr="00941C7F">
              <w:rPr>
                <w:rFonts w:ascii="Times New Roman" w:eastAsia="Times New Roman" w:hAnsi="Times New Roman" w:cs="Times New Roman"/>
                <w:color w:val="000000"/>
                <w:sz w:val="24"/>
                <w:szCs w:val="24"/>
              </w:rPr>
              <w:lastRenderedPageBreak/>
              <w:t xml:space="preserve">Yotopoulos, P., </w:t>
            </w:r>
            <w:r w:rsidR="001C68A5" w:rsidRPr="00941C7F">
              <w:rPr>
                <w:rFonts w:ascii="Times New Roman" w:eastAsia="Times New Roman" w:hAnsi="Times New Roman" w:cs="Times New Roman"/>
                <w:color w:val="000000"/>
                <w:sz w:val="24"/>
                <w:szCs w:val="24"/>
              </w:rPr>
              <w:t>&amp;</w:t>
            </w:r>
            <w:r w:rsidRPr="00941C7F">
              <w:rPr>
                <w:rFonts w:ascii="Times New Roman" w:eastAsia="Times New Roman" w:hAnsi="Times New Roman" w:cs="Times New Roman"/>
                <w:color w:val="000000"/>
                <w:sz w:val="24"/>
                <w:szCs w:val="24"/>
              </w:rPr>
              <w:t xml:space="preserve">Nugent, J. (1976), </w:t>
            </w:r>
            <w:r w:rsidRPr="00941C7F">
              <w:rPr>
                <w:rFonts w:ascii="Times New Roman" w:eastAsia="Times New Roman" w:hAnsi="Times New Roman" w:cs="Times New Roman"/>
                <w:i/>
                <w:color w:val="000000"/>
                <w:sz w:val="24"/>
                <w:szCs w:val="24"/>
              </w:rPr>
              <w:t>Economics of Development: Empirical investigations</w:t>
            </w:r>
            <w:r w:rsidR="001C68A5" w:rsidRPr="00941C7F">
              <w:rPr>
                <w:rFonts w:ascii="Times New Roman" w:eastAsia="Times New Roman" w:hAnsi="Times New Roman" w:cs="Times New Roman"/>
                <w:color w:val="000000"/>
                <w:sz w:val="24"/>
                <w:szCs w:val="24"/>
              </w:rPr>
              <w:t xml:space="preserve">. Harper and </w:t>
            </w:r>
            <w:r w:rsidR="001C68A5" w:rsidRPr="00941C7F">
              <w:rPr>
                <w:rFonts w:ascii="Times New Roman" w:eastAsia="Times New Roman" w:hAnsi="Times New Roman" w:cs="Times New Roman"/>
                <w:color w:val="000000"/>
                <w:sz w:val="24"/>
                <w:szCs w:val="24"/>
              </w:rPr>
              <w:br/>
              <w:t xml:space="preserve">             Row </w:t>
            </w:r>
            <w:r w:rsidRPr="00941C7F">
              <w:rPr>
                <w:rFonts w:ascii="Times New Roman" w:eastAsia="Times New Roman" w:hAnsi="Times New Roman" w:cs="Times New Roman"/>
                <w:color w:val="000000"/>
                <w:sz w:val="24"/>
                <w:szCs w:val="24"/>
              </w:rPr>
              <w:t>New York</w:t>
            </w:r>
            <w:commentRangeEnd w:id="10"/>
            <w:r w:rsidR="00EC18CF">
              <w:rPr>
                <w:rStyle w:val="CommentReference"/>
              </w:rPr>
              <w:commentReference w:id="10"/>
            </w:r>
          </w:p>
        </w:tc>
      </w:tr>
    </w:tbl>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p>
    <w:p w:rsidR="007A6C4E" w:rsidRPr="00941C7F" w:rsidRDefault="007A6C4E" w:rsidP="00941C7F">
      <w:pPr>
        <w:spacing w:line="360" w:lineRule="auto"/>
        <w:jc w:val="both"/>
        <w:rPr>
          <w:rFonts w:ascii="Times New Roman" w:hAnsi="Times New Roman" w:cs="Times New Roman"/>
          <w:sz w:val="24"/>
          <w:szCs w:val="24"/>
          <w:lang w:val="en-GB"/>
        </w:rPr>
      </w:pPr>
    </w:p>
    <w:p w:rsidR="00CE22EA" w:rsidRPr="00941C7F" w:rsidRDefault="00CE22EA" w:rsidP="00941C7F">
      <w:pPr>
        <w:spacing w:line="360" w:lineRule="auto"/>
        <w:jc w:val="both"/>
        <w:rPr>
          <w:rFonts w:ascii="Times New Roman" w:hAnsi="Times New Roman" w:cs="Times New Roman"/>
          <w:sz w:val="24"/>
          <w:szCs w:val="24"/>
        </w:rPr>
      </w:pPr>
    </w:p>
    <w:sectPr w:rsidR="00CE22EA" w:rsidRPr="00941C7F" w:rsidSect="00264CC0">
      <w:headerReference w:type="even" r:id="rId14"/>
      <w:headerReference w:type="default" r:id="rId15"/>
      <w:footerReference w:type="even" r:id="rId16"/>
      <w:footerReference w:type="default" r:id="rId17"/>
      <w:headerReference w:type="first" r:id="rId18"/>
      <w:footerReference w:type="first" r:id="rId19"/>
      <w:pgSz w:w="12240" w:h="15840"/>
      <w:pgMar w:top="851" w:right="758" w:bottom="851" w:left="1134"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uhu Musa" w:date="2025-08-21T09:44:00Z" w:initials="N.Musa">
    <w:p w:rsidR="000C1487" w:rsidRDefault="000C1487">
      <w:pPr>
        <w:pStyle w:val="CommentText"/>
      </w:pPr>
      <w:r>
        <w:rPr>
          <w:rStyle w:val="CommentReference"/>
        </w:rPr>
        <w:annotationRef/>
      </w:r>
      <w:r>
        <w:t xml:space="preserve"> The author is required to update the empirical review to 2025 .</w:t>
      </w:r>
    </w:p>
  </w:comment>
  <w:comment w:id="3" w:author="Nuhu Musa" w:date="2025-08-21T09:45:00Z" w:initials="N.Musa">
    <w:p w:rsidR="005022B7" w:rsidRDefault="005022B7">
      <w:pPr>
        <w:pStyle w:val="CommentText"/>
      </w:pPr>
      <w:r>
        <w:rPr>
          <w:rStyle w:val="CommentReference"/>
        </w:rPr>
        <w:annotationRef/>
      </w:r>
      <w:r>
        <w:t xml:space="preserve"> Mention those researchers</w:t>
      </w:r>
    </w:p>
  </w:comment>
  <w:comment w:id="2" w:author="Nuhu Musa" w:date="2025-08-21T09:49:00Z" w:initials="N.Musa">
    <w:p w:rsidR="005022B7" w:rsidRDefault="005022B7">
      <w:pPr>
        <w:pStyle w:val="CommentText"/>
      </w:pPr>
      <w:r>
        <w:rPr>
          <w:rStyle w:val="CommentReference"/>
        </w:rPr>
        <w:annotationRef/>
      </w:r>
      <w:r>
        <w:t>The author should identify a strong literature gap and  explain in detail how the current study intends to bridge the gap. This will make the work robust and interesting to the readers</w:t>
      </w:r>
    </w:p>
  </w:comment>
  <w:comment w:id="5" w:author="Nuhu Musa" w:date="2025-08-21T09:54:00Z" w:initials="N.Musa">
    <w:p w:rsidR="00E32278" w:rsidRDefault="00E32278">
      <w:pPr>
        <w:pStyle w:val="CommentText"/>
      </w:pPr>
      <w:r>
        <w:rPr>
          <w:rStyle w:val="CommentReference"/>
        </w:rPr>
        <w:annotationRef/>
      </w:r>
      <w:r>
        <w:t>decomposed</w:t>
      </w:r>
    </w:p>
  </w:comment>
  <w:comment w:id="6" w:author="Nuhu Musa" w:date="2025-08-21T10:06:00Z" w:initials="N.Musa">
    <w:p w:rsidR="00904DD5" w:rsidRDefault="00904DD5">
      <w:pPr>
        <w:pStyle w:val="CommentText"/>
      </w:pPr>
      <w:r>
        <w:rPr>
          <w:rStyle w:val="CommentReference"/>
        </w:rPr>
        <w:annotationRef/>
      </w:r>
      <w:r>
        <w:t xml:space="preserve"> Show the ARDL model</w:t>
      </w:r>
      <w:r w:rsidR="007631E9">
        <w:t xml:space="preserve"> with the short and long-run components</w:t>
      </w:r>
    </w:p>
  </w:comment>
  <w:comment w:id="4" w:author="Nuhu Musa" w:date="2025-08-21T10:07:00Z" w:initials="N.Musa">
    <w:p w:rsidR="0050028C" w:rsidRDefault="0050028C">
      <w:pPr>
        <w:pStyle w:val="CommentText"/>
      </w:pPr>
      <w:r>
        <w:rPr>
          <w:rStyle w:val="CommentReference"/>
        </w:rPr>
        <w:annotationRef/>
      </w:r>
      <w:r>
        <w:t>The author should explain clearly  the method of data analysis which he claimed to have used as reflected in the abstract. 2. The author should also specify the ARDL model which is conspicuously absent in his work</w:t>
      </w:r>
    </w:p>
    <w:p w:rsidR="0050028C" w:rsidRDefault="0050028C">
      <w:pPr>
        <w:pStyle w:val="CommentText"/>
      </w:pPr>
      <w:r>
        <w:t>3. The author should provide justification for the chosen technique</w:t>
      </w:r>
    </w:p>
    <w:p w:rsidR="0050028C" w:rsidRDefault="0050028C">
      <w:pPr>
        <w:pStyle w:val="CommentText"/>
      </w:pPr>
      <w:r>
        <w:t xml:space="preserve">3. The author has not shown the study’s scope </w:t>
      </w:r>
    </w:p>
  </w:comment>
  <w:comment w:id="7" w:author="Nuhu Musa" w:date="2025-08-21T09:55:00Z" w:initials="N.Musa">
    <w:p w:rsidR="009F0B5D" w:rsidRDefault="009F0B5D">
      <w:pPr>
        <w:pStyle w:val="CommentText"/>
      </w:pPr>
      <w:r>
        <w:rPr>
          <w:rStyle w:val="CommentReference"/>
        </w:rPr>
        <w:annotationRef/>
      </w:r>
      <w:r w:rsidR="001B1541">
        <w:t>Close</w:t>
      </w:r>
      <w:r>
        <w:t xml:space="preserve"> the gap</w:t>
      </w:r>
    </w:p>
  </w:comment>
  <w:comment w:id="8" w:author="Nuhu Musa" w:date="2025-08-21T09:55:00Z" w:initials="N.Musa">
    <w:p w:rsidR="009F0B5D" w:rsidRDefault="009F0B5D">
      <w:pPr>
        <w:pStyle w:val="CommentText"/>
      </w:pPr>
      <w:r>
        <w:rPr>
          <w:rStyle w:val="CommentReference"/>
        </w:rPr>
        <w:annotationRef/>
      </w:r>
      <w:r w:rsidR="001B1541">
        <w:t>Close</w:t>
      </w:r>
      <w:r>
        <w:t xml:space="preserve"> the gap</w:t>
      </w:r>
    </w:p>
  </w:comment>
  <w:comment w:id="9" w:author="Nuhu Musa" w:date="2025-08-21T10:12:00Z" w:initials="N.Musa">
    <w:p w:rsidR="004508E3" w:rsidRDefault="004508E3">
      <w:pPr>
        <w:pStyle w:val="CommentText"/>
      </w:pPr>
      <w:r>
        <w:rPr>
          <w:rStyle w:val="CommentReference"/>
        </w:rPr>
        <w:annotationRef/>
      </w:r>
      <w:r>
        <w:t>After the discussion of the results, the author is expected to carry out some diagnostic test such as serial correlation, hetroskedasticity, stability test, normality test etc.</w:t>
      </w:r>
    </w:p>
  </w:comment>
  <w:comment w:id="10" w:author="Nuhu Musa" w:date="2025-08-21T10:15:00Z" w:initials="N.Musa">
    <w:p w:rsidR="00EC18CF" w:rsidRDefault="00EC18CF">
      <w:pPr>
        <w:pStyle w:val="CommentText"/>
      </w:pPr>
      <w:r>
        <w:rPr>
          <w:rStyle w:val="CommentReference"/>
        </w:rPr>
        <w:annotationRef/>
      </w:r>
      <w:r>
        <w:t>Some references are not  APA 7</w:t>
      </w:r>
      <w:r w:rsidRPr="00EC18CF">
        <w:rPr>
          <w:vertAlign w:val="superscript"/>
        </w:rPr>
        <w:t>th</w:t>
      </w:r>
      <w:r>
        <w:t xml:space="preserve"> compliance.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583" w:rsidRDefault="00263583">
      <w:pPr>
        <w:spacing w:after="0" w:line="240" w:lineRule="auto"/>
      </w:pPr>
      <w:r>
        <w:separator/>
      </w:r>
    </w:p>
  </w:endnote>
  <w:endnote w:type="continuationSeparator" w:id="1">
    <w:p w:rsidR="00263583" w:rsidRDefault="00263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4D" w:rsidRDefault="002D2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4D" w:rsidRDefault="002D2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4D" w:rsidRDefault="002D2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583" w:rsidRDefault="00263583">
      <w:pPr>
        <w:spacing w:after="0" w:line="240" w:lineRule="auto"/>
      </w:pPr>
      <w:r>
        <w:separator/>
      </w:r>
    </w:p>
  </w:footnote>
  <w:footnote w:type="continuationSeparator" w:id="1">
    <w:p w:rsidR="00263583" w:rsidRDefault="00263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4D" w:rsidRDefault="00406E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1" o:spid="_x0000_s2050" type="#_x0000_t136" style="position:absolute;margin-left:0;margin-top:0;width:614.25pt;height:11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C1" w:rsidRDefault="00406ED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2" o:spid="_x0000_s2051" type="#_x0000_t136" style="position:absolute;left:0;text-align:left;margin-left:0;margin-top:0;width:614.25pt;height:11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696350540"/>
        <w:docPartObj>
          <w:docPartGallery w:val="Page Numbers (Top of Page)"/>
          <w:docPartUnique/>
        </w:docPartObj>
      </w:sdtPr>
      <w:sdtEndPr>
        <w:rPr>
          <w:noProof/>
        </w:rPr>
      </w:sdtEndPr>
      <w:sdtContent>
        <w:r>
          <w:fldChar w:fldCharType="begin"/>
        </w:r>
        <w:r w:rsidR="00EF45C1">
          <w:instrText xml:space="preserve"> PAGE   \* MERGEFORMAT </w:instrText>
        </w:r>
        <w:r>
          <w:fldChar w:fldCharType="separate"/>
        </w:r>
        <w:r w:rsidR="00EC18CF">
          <w:rPr>
            <w:noProof/>
          </w:rPr>
          <w:t>25</w:t>
        </w:r>
        <w:r>
          <w:rPr>
            <w:noProof/>
          </w:rPr>
          <w:fldChar w:fldCharType="end"/>
        </w:r>
      </w:sdtContent>
    </w:sdt>
  </w:p>
  <w:p w:rsidR="00EF45C1" w:rsidRDefault="00EF45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4D" w:rsidRDefault="00406E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0" o:spid="_x0000_s2049" type="#_x0000_t136" style="position:absolute;margin-left:0;margin-top:0;width:614.25pt;height:11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5145"/>
    <w:multiLevelType w:val="multilevel"/>
    <w:tmpl w:val="2C7867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DA04AA"/>
    <w:multiLevelType w:val="multilevel"/>
    <w:tmpl w:val="3510F85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2BD65E00"/>
    <w:multiLevelType w:val="multilevel"/>
    <w:tmpl w:val="B044C974"/>
    <w:lvl w:ilvl="0">
      <w:start w:val="1"/>
      <w:numFmt w:val="decimal"/>
      <w:lvlText w:val="%1."/>
      <w:lvlJc w:val="left"/>
      <w:pPr>
        <w:ind w:left="108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4C6047C8"/>
    <w:multiLevelType w:val="hybridMultilevel"/>
    <w:tmpl w:val="B5C03BC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FBD1981"/>
    <w:multiLevelType w:val="multilevel"/>
    <w:tmpl w:val="416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E30D0B"/>
    <w:multiLevelType w:val="hybridMultilevel"/>
    <w:tmpl w:val="C266467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854DE"/>
    <w:multiLevelType w:val="multilevel"/>
    <w:tmpl w:val="8C7C05A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E4040F9"/>
    <w:multiLevelType w:val="multilevel"/>
    <w:tmpl w:val="A82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A6C4E"/>
    <w:rsid w:val="00003932"/>
    <w:rsid w:val="00007B05"/>
    <w:rsid w:val="00015C0F"/>
    <w:rsid w:val="00020DE5"/>
    <w:rsid w:val="00030E1E"/>
    <w:rsid w:val="0003380A"/>
    <w:rsid w:val="00034EB7"/>
    <w:rsid w:val="000401F5"/>
    <w:rsid w:val="00045D80"/>
    <w:rsid w:val="00057EF5"/>
    <w:rsid w:val="00060B59"/>
    <w:rsid w:val="00064F54"/>
    <w:rsid w:val="00070E48"/>
    <w:rsid w:val="000C1487"/>
    <w:rsid w:val="000D325F"/>
    <w:rsid w:val="000D72DC"/>
    <w:rsid w:val="000D7C65"/>
    <w:rsid w:val="000F2E09"/>
    <w:rsid w:val="001635AB"/>
    <w:rsid w:val="00166023"/>
    <w:rsid w:val="001852EC"/>
    <w:rsid w:val="001B0463"/>
    <w:rsid w:val="001B1541"/>
    <w:rsid w:val="001C1947"/>
    <w:rsid w:val="001C68A5"/>
    <w:rsid w:val="00224D76"/>
    <w:rsid w:val="00256719"/>
    <w:rsid w:val="00263583"/>
    <w:rsid w:val="00264CC0"/>
    <w:rsid w:val="00291596"/>
    <w:rsid w:val="002942A6"/>
    <w:rsid w:val="002A206A"/>
    <w:rsid w:val="002D234D"/>
    <w:rsid w:val="002E3B2E"/>
    <w:rsid w:val="002E46AA"/>
    <w:rsid w:val="00351485"/>
    <w:rsid w:val="003850D8"/>
    <w:rsid w:val="00396433"/>
    <w:rsid w:val="003B7A2E"/>
    <w:rsid w:val="003C6A0C"/>
    <w:rsid w:val="00406ED0"/>
    <w:rsid w:val="00417E4D"/>
    <w:rsid w:val="00423B45"/>
    <w:rsid w:val="004508E3"/>
    <w:rsid w:val="00470A0E"/>
    <w:rsid w:val="0047440B"/>
    <w:rsid w:val="0047504C"/>
    <w:rsid w:val="00480B84"/>
    <w:rsid w:val="004A42AD"/>
    <w:rsid w:val="004A727C"/>
    <w:rsid w:val="004C2203"/>
    <w:rsid w:val="004D1637"/>
    <w:rsid w:val="004D52E0"/>
    <w:rsid w:val="004E4BB5"/>
    <w:rsid w:val="0050028C"/>
    <w:rsid w:val="005022B7"/>
    <w:rsid w:val="00507C66"/>
    <w:rsid w:val="00517743"/>
    <w:rsid w:val="0052083B"/>
    <w:rsid w:val="0053318E"/>
    <w:rsid w:val="0053774E"/>
    <w:rsid w:val="005453E5"/>
    <w:rsid w:val="005610CA"/>
    <w:rsid w:val="005705BD"/>
    <w:rsid w:val="0057134D"/>
    <w:rsid w:val="00575980"/>
    <w:rsid w:val="00576FCB"/>
    <w:rsid w:val="005A1DDF"/>
    <w:rsid w:val="005A4BA4"/>
    <w:rsid w:val="005D73FD"/>
    <w:rsid w:val="005E1BD7"/>
    <w:rsid w:val="00606033"/>
    <w:rsid w:val="006127DA"/>
    <w:rsid w:val="006142DA"/>
    <w:rsid w:val="006164F9"/>
    <w:rsid w:val="006169BE"/>
    <w:rsid w:val="00623FD0"/>
    <w:rsid w:val="006433C4"/>
    <w:rsid w:val="0064617C"/>
    <w:rsid w:val="006615FC"/>
    <w:rsid w:val="00662F51"/>
    <w:rsid w:val="00672FC4"/>
    <w:rsid w:val="00686FCD"/>
    <w:rsid w:val="006C5745"/>
    <w:rsid w:val="006E47B1"/>
    <w:rsid w:val="006E7795"/>
    <w:rsid w:val="0070775D"/>
    <w:rsid w:val="00716880"/>
    <w:rsid w:val="00722508"/>
    <w:rsid w:val="007303C4"/>
    <w:rsid w:val="007631E9"/>
    <w:rsid w:val="007710E9"/>
    <w:rsid w:val="007935B6"/>
    <w:rsid w:val="007A6C4E"/>
    <w:rsid w:val="007C118A"/>
    <w:rsid w:val="007C7568"/>
    <w:rsid w:val="007D1D07"/>
    <w:rsid w:val="007D456E"/>
    <w:rsid w:val="007E7AC4"/>
    <w:rsid w:val="00812240"/>
    <w:rsid w:val="00813F51"/>
    <w:rsid w:val="00821051"/>
    <w:rsid w:val="00830266"/>
    <w:rsid w:val="00835FEF"/>
    <w:rsid w:val="00842F3E"/>
    <w:rsid w:val="008651C3"/>
    <w:rsid w:val="008C7E6B"/>
    <w:rsid w:val="008E0C7E"/>
    <w:rsid w:val="00904DD5"/>
    <w:rsid w:val="009113C7"/>
    <w:rsid w:val="00931966"/>
    <w:rsid w:val="00941C7F"/>
    <w:rsid w:val="00942CB7"/>
    <w:rsid w:val="00962DF5"/>
    <w:rsid w:val="00992447"/>
    <w:rsid w:val="00996651"/>
    <w:rsid w:val="009B62D6"/>
    <w:rsid w:val="009C155E"/>
    <w:rsid w:val="009F0B5D"/>
    <w:rsid w:val="00A01041"/>
    <w:rsid w:val="00A4220E"/>
    <w:rsid w:val="00A44EEC"/>
    <w:rsid w:val="00A5040B"/>
    <w:rsid w:val="00A92894"/>
    <w:rsid w:val="00AD2288"/>
    <w:rsid w:val="00AF1216"/>
    <w:rsid w:val="00B621C0"/>
    <w:rsid w:val="00B639C1"/>
    <w:rsid w:val="00B75B9F"/>
    <w:rsid w:val="00B815A8"/>
    <w:rsid w:val="00BE3680"/>
    <w:rsid w:val="00BE53BB"/>
    <w:rsid w:val="00BF4ACB"/>
    <w:rsid w:val="00C00FAA"/>
    <w:rsid w:val="00C23356"/>
    <w:rsid w:val="00C471FE"/>
    <w:rsid w:val="00C52E2A"/>
    <w:rsid w:val="00C57F9B"/>
    <w:rsid w:val="00C8233D"/>
    <w:rsid w:val="00C93324"/>
    <w:rsid w:val="00CA4C59"/>
    <w:rsid w:val="00CB754F"/>
    <w:rsid w:val="00CC4062"/>
    <w:rsid w:val="00CC50E0"/>
    <w:rsid w:val="00CD54FD"/>
    <w:rsid w:val="00CE22EA"/>
    <w:rsid w:val="00CE6E8C"/>
    <w:rsid w:val="00D04D4C"/>
    <w:rsid w:val="00D10EDC"/>
    <w:rsid w:val="00D348B1"/>
    <w:rsid w:val="00D56A77"/>
    <w:rsid w:val="00D72626"/>
    <w:rsid w:val="00D83D7F"/>
    <w:rsid w:val="00DB7FBB"/>
    <w:rsid w:val="00DC6EA5"/>
    <w:rsid w:val="00DD06C8"/>
    <w:rsid w:val="00DD4A87"/>
    <w:rsid w:val="00DF58F5"/>
    <w:rsid w:val="00E2642E"/>
    <w:rsid w:val="00E32278"/>
    <w:rsid w:val="00E324C2"/>
    <w:rsid w:val="00E40266"/>
    <w:rsid w:val="00E67F0F"/>
    <w:rsid w:val="00E704BC"/>
    <w:rsid w:val="00E904C6"/>
    <w:rsid w:val="00EA5514"/>
    <w:rsid w:val="00EC18CF"/>
    <w:rsid w:val="00ED0096"/>
    <w:rsid w:val="00EF45C1"/>
    <w:rsid w:val="00F006F5"/>
    <w:rsid w:val="00F17C1A"/>
    <w:rsid w:val="00F24072"/>
    <w:rsid w:val="00F61311"/>
    <w:rsid w:val="00F66499"/>
    <w:rsid w:val="00F77607"/>
    <w:rsid w:val="00F84C29"/>
    <w:rsid w:val="00F9349D"/>
    <w:rsid w:val="00FB765A"/>
    <w:rsid w:val="00FC68BC"/>
    <w:rsid w:val="00FC7323"/>
    <w:rsid w:val="00FE2930"/>
    <w:rsid w:val="00FE2A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6C4E"/>
    <w:pPr>
      <w:spacing w:line="360" w:lineRule="auto"/>
      <w:ind w:left="720"/>
      <w:contextualSpacing/>
      <w:jc w:val="both"/>
    </w:pPr>
    <w:rPr>
      <w:rFonts w:ascii="Times New Roman" w:eastAsiaTheme="minorEastAsia" w:hAnsi="Times New Roman" w:cs="Times New Roman"/>
      <w:color w:val="424142"/>
      <w:sz w:val="24"/>
      <w:szCs w:val="24"/>
      <w:lang w:bidi="en-US"/>
    </w:rPr>
  </w:style>
  <w:style w:type="character" w:customStyle="1" w:styleId="ListParagraphChar">
    <w:name w:val="List Paragraph Char"/>
    <w:link w:val="ListParagraph"/>
    <w:uiPriority w:val="34"/>
    <w:locked/>
    <w:rsid w:val="007A6C4E"/>
    <w:rPr>
      <w:rFonts w:ascii="Times New Roman" w:eastAsiaTheme="minorEastAsia" w:hAnsi="Times New Roman" w:cs="Times New Roman"/>
      <w:color w:val="424142"/>
      <w:sz w:val="24"/>
      <w:szCs w:val="24"/>
      <w:lang w:bidi="en-US"/>
    </w:rPr>
  </w:style>
  <w:style w:type="character" w:styleId="Strong">
    <w:name w:val="Strong"/>
    <w:basedOn w:val="DefaultParagraphFont"/>
    <w:uiPriority w:val="22"/>
    <w:qFormat/>
    <w:rsid w:val="007A6C4E"/>
    <w:rPr>
      <w:b/>
      <w:bCs/>
    </w:rPr>
  </w:style>
  <w:style w:type="character" w:styleId="Hyperlink">
    <w:name w:val="Hyperlink"/>
    <w:basedOn w:val="DefaultParagraphFont"/>
    <w:uiPriority w:val="99"/>
    <w:unhideWhenUsed/>
    <w:rsid w:val="007A6C4E"/>
    <w:rPr>
      <w:color w:val="0000FF"/>
      <w:u w:val="single"/>
    </w:rPr>
  </w:style>
  <w:style w:type="paragraph" w:styleId="BalloonText">
    <w:name w:val="Balloon Text"/>
    <w:basedOn w:val="Normal"/>
    <w:link w:val="BalloonTextChar"/>
    <w:uiPriority w:val="99"/>
    <w:semiHidden/>
    <w:unhideWhenUsed/>
    <w:rsid w:val="007A6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4E"/>
    <w:rPr>
      <w:rFonts w:ascii="Tahoma" w:hAnsi="Tahoma" w:cs="Tahoma"/>
      <w:sz w:val="16"/>
      <w:szCs w:val="16"/>
    </w:rPr>
  </w:style>
  <w:style w:type="table" w:styleId="TableGrid">
    <w:name w:val="Table Grid"/>
    <w:basedOn w:val="TableNormal"/>
    <w:uiPriority w:val="59"/>
    <w:rsid w:val="007A6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6C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A6C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6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C4E"/>
  </w:style>
  <w:style w:type="paragraph" w:styleId="Footer">
    <w:name w:val="footer"/>
    <w:basedOn w:val="Normal"/>
    <w:link w:val="FooterChar"/>
    <w:uiPriority w:val="99"/>
    <w:unhideWhenUsed/>
    <w:rsid w:val="007A6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C4E"/>
  </w:style>
  <w:style w:type="character" w:styleId="CommentReference">
    <w:name w:val="annotation reference"/>
    <w:basedOn w:val="DefaultParagraphFont"/>
    <w:uiPriority w:val="99"/>
    <w:semiHidden/>
    <w:unhideWhenUsed/>
    <w:rsid w:val="00CA4C59"/>
    <w:rPr>
      <w:sz w:val="16"/>
      <w:szCs w:val="16"/>
    </w:rPr>
  </w:style>
  <w:style w:type="paragraph" w:styleId="CommentText">
    <w:name w:val="annotation text"/>
    <w:basedOn w:val="Normal"/>
    <w:link w:val="CommentTextChar"/>
    <w:uiPriority w:val="99"/>
    <w:semiHidden/>
    <w:unhideWhenUsed/>
    <w:rsid w:val="00CA4C59"/>
    <w:pPr>
      <w:spacing w:line="240" w:lineRule="auto"/>
    </w:pPr>
    <w:rPr>
      <w:sz w:val="20"/>
      <w:szCs w:val="20"/>
    </w:rPr>
  </w:style>
  <w:style w:type="character" w:customStyle="1" w:styleId="CommentTextChar">
    <w:name w:val="Comment Text Char"/>
    <w:basedOn w:val="DefaultParagraphFont"/>
    <w:link w:val="CommentText"/>
    <w:uiPriority w:val="99"/>
    <w:semiHidden/>
    <w:rsid w:val="00CA4C59"/>
    <w:rPr>
      <w:sz w:val="20"/>
      <w:szCs w:val="20"/>
    </w:rPr>
  </w:style>
  <w:style w:type="paragraph" w:styleId="CommentSubject">
    <w:name w:val="annotation subject"/>
    <w:basedOn w:val="CommentText"/>
    <w:next w:val="CommentText"/>
    <w:link w:val="CommentSubjectChar"/>
    <w:uiPriority w:val="99"/>
    <w:semiHidden/>
    <w:unhideWhenUsed/>
    <w:rsid w:val="00CA4C59"/>
    <w:rPr>
      <w:b/>
      <w:bCs/>
    </w:rPr>
  </w:style>
  <w:style w:type="character" w:customStyle="1" w:styleId="CommentSubjectChar">
    <w:name w:val="Comment Subject Char"/>
    <w:basedOn w:val="CommentTextChar"/>
    <w:link w:val="CommentSubject"/>
    <w:uiPriority w:val="99"/>
    <w:semiHidden/>
    <w:rsid w:val="00CA4C59"/>
    <w:rPr>
      <w:b/>
      <w:bCs/>
      <w:sz w:val="20"/>
      <w:szCs w:val="20"/>
    </w:rPr>
  </w:style>
  <w:style w:type="character" w:customStyle="1" w:styleId="relative">
    <w:name w:val="relative"/>
    <w:basedOn w:val="DefaultParagraphFont"/>
    <w:rsid w:val="00CE6E8C"/>
  </w:style>
  <w:style w:type="character" w:customStyle="1" w:styleId="ms-1">
    <w:name w:val="ms-1"/>
    <w:basedOn w:val="DefaultParagraphFont"/>
    <w:rsid w:val="00CE6E8C"/>
  </w:style>
  <w:style w:type="character" w:customStyle="1" w:styleId="max-w-full">
    <w:name w:val="max-w-full"/>
    <w:basedOn w:val="DefaultParagraphFont"/>
    <w:rsid w:val="00CE6E8C"/>
  </w:style>
  <w:style w:type="character" w:styleId="PlaceholderText">
    <w:name w:val="Placeholder Text"/>
    <w:basedOn w:val="DefaultParagraphFont"/>
    <w:uiPriority w:val="99"/>
    <w:semiHidden/>
    <w:rsid w:val="00FE2A6C"/>
    <w:rPr>
      <w:color w:val="808080"/>
    </w:rPr>
  </w:style>
  <w:style w:type="paragraph" w:styleId="NormalWeb">
    <w:name w:val="Normal (Web)"/>
    <w:basedOn w:val="Normal"/>
    <w:uiPriority w:val="99"/>
    <w:unhideWhenUsed/>
    <w:rsid w:val="004A4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C6E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32349">
      <w:bodyDiv w:val="1"/>
      <w:marLeft w:val="0"/>
      <w:marRight w:val="0"/>
      <w:marTop w:val="0"/>
      <w:marBottom w:val="0"/>
      <w:divBdr>
        <w:top w:val="none" w:sz="0" w:space="0" w:color="auto"/>
        <w:left w:val="none" w:sz="0" w:space="0" w:color="auto"/>
        <w:bottom w:val="none" w:sz="0" w:space="0" w:color="auto"/>
        <w:right w:val="none" w:sz="0" w:space="0" w:color="auto"/>
      </w:divBdr>
    </w:div>
    <w:div w:id="11805054">
      <w:bodyDiv w:val="1"/>
      <w:marLeft w:val="0"/>
      <w:marRight w:val="0"/>
      <w:marTop w:val="0"/>
      <w:marBottom w:val="0"/>
      <w:divBdr>
        <w:top w:val="none" w:sz="0" w:space="0" w:color="auto"/>
        <w:left w:val="none" w:sz="0" w:space="0" w:color="auto"/>
        <w:bottom w:val="none" w:sz="0" w:space="0" w:color="auto"/>
        <w:right w:val="none" w:sz="0" w:space="0" w:color="auto"/>
      </w:divBdr>
    </w:div>
    <w:div w:id="71588778">
      <w:bodyDiv w:val="1"/>
      <w:marLeft w:val="0"/>
      <w:marRight w:val="0"/>
      <w:marTop w:val="0"/>
      <w:marBottom w:val="0"/>
      <w:divBdr>
        <w:top w:val="none" w:sz="0" w:space="0" w:color="auto"/>
        <w:left w:val="none" w:sz="0" w:space="0" w:color="auto"/>
        <w:bottom w:val="none" w:sz="0" w:space="0" w:color="auto"/>
        <w:right w:val="none" w:sz="0" w:space="0" w:color="auto"/>
      </w:divBdr>
    </w:div>
    <w:div w:id="118651732">
      <w:bodyDiv w:val="1"/>
      <w:marLeft w:val="0"/>
      <w:marRight w:val="0"/>
      <w:marTop w:val="0"/>
      <w:marBottom w:val="0"/>
      <w:divBdr>
        <w:top w:val="none" w:sz="0" w:space="0" w:color="auto"/>
        <w:left w:val="none" w:sz="0" w:space="0" w:color="auto"/>
        <w:bottom w:val="none" w:sz="0" w:space="0" w:color="auto"/>
        <w:right w:val="none" w:sz="0" w:space="0" w:color="auto"/>
      </w:divBdr>
    </w:div>
    <w:div w:id="128256065">
      <w:bodyDiv w:val="1"/>
      <w:marLeft w:val="0"/>
      <w:marRight w:val="0"/>
      <w:marTop w:val="0"/>
      <w:marBottom w:val="0"/>
      <w:divBdr>
        <w:top w:val="none" w:sz="0" w:space="0" w:color="auto"/>
        <w:left w:val="none" w:sz="0" w:space="0" w:color="auto"/>
        <w:bottom w:val="none" w:sz="0" w:space="0" w:color="auto"/>
        <w:right w:val="none" w:sz="0" w:space="0" w:color="auto"/>
      </w:divBdr>
    </w:div>
    <w:div w:id="170141462">
      <w:bodyDiv w:val="1"/>
      <w:marLeft w:val="0"/>
      <w:marRight w:val="0"/>
      <w:marTop w:val="0"/>
      <w:marBottom w:val="0"/>
      <w:divBdr>
        <w:top w:val="none" w:sz="0" w:space="0" w:color="auto"/>
        <w:left w:val="none" w:sz="0" w:space="0" w:color="auto"/>
        <w:bottom w:val="none" w:sz="0" w:space="0" w:color="auto"/>
        <w:right w:val="none" w:sz="0" w:space="0" w:color="auto"/>
      </w:divBdr>
    </w:div>
    <w:div w:id="170529340">
      <w:bodyDiv w:val="1"/>
      <w:marLeft w:val="0"/>
      <w:marRight w:val="0"/>
      <w:marTop w:val="0"/>
      <w:marBottom w:val="0"/>
      <w:divBdr>
        <w:top w:val="none" w:sz="0" w:space="0" w:color="auto"/>
        <w:left w:val="none" w:sz="0" w:space="0" w:color="auto"/>
        <w:bottom w:val="none" w:sz="0" w:space="0" w:color="auto"/>
        <w:right w:val="none" w:sz="0" w:space="0" w:color="auto"/>
      </w:divBdr>
    </w:div>
    <w:div w:id="202834740">
      <w:bodyDiv w:val="1"/>
      <w:marLeft w:val="0"/>
      <w:marRight w:val="0"/>
      <w:marTop w:val="0"/>
      <w:marBottom w:val="0"/>
      <w:divBdr>
        <w:top w:val="none" w:sz="0" w:space="0" w:color="auto"/>
        <w:left w:val="none" w:sz="0" w:space="0" w:color="auto"/>
        <w:bottom w:val="none" w:sz="0" w:space="0" w:color="auto"/>
        <w:right w:val="none" w:sz="0" w:space="0" w:color="auto"/>
      </w:divBdr>
    </w:div>
    <w:div w:id="264312370">
      <w:bodyDiv w:val="1"/>
      <w:marLeft w:val="0"/>
      <w:marRight w:val="0"/>
      <w:marTop w:val="0"/>
      <w:marBottom w:val="0"/>
      <w:divBdr>
        <w:top w:val="none" w:sz="0" w:space="0" w:color="auto"/>
        <w:left w:val="none" w:sz="0" w:space="0" w:color="auto"/>
        <w:bottom w:val="none" w:sz="0" w:space="0" w:color="auto"/>
        <w:right w:val="none" w:sz="0" w:space="0" w:color="auto"/>
      </w:divBdr>
    </w:div>
    <w:div w:id="395935423">
      <w:bodyDiv w:val="1"/>
      <w:marLeft w:val="0"/>
      <w:marRight w:val="0"/>
      <w:marTop w:val="0"/>
      <w:marBottom w:val="0"/>
      <w:divBdr>
        <w:top w:val="none" w:sz="0" w:space="0" w:color="auto"/>
        <w:left w:val="none" w:sz="0" w:space="0" w:color="auto"/>
        <w:bottom w:val="none" w:sz="0" w:space="0" w:color="auto"/>
        <w:right w:val="none" w:sz="0" w:space="0" w:color="auto"/>
      </w:divBdr>
    </w:div>
    <w:div w:id="484274777">
      <w:bodyDiv w:val="1"/>
      <w:marLeft w:val="0"/>
      <w:marRight w:val="0"/>
      <w:marTop w:val="0"/>
      <w:marBottom w:val="0"/>
      <w:divBdr>
        <w:top w:val="none" w:sz="0" w:space="0" w:color="auto"/>
        <w:left w:val="none" w:sz="0" w:space="0" w:color="auto"/>
        <w:bottom w:val="none" w:sz="0" w:space="0" w:color="auto"/>
        <w:right w:val="none" w:sz="0" w:space="0" w:color="auto"/>
      </w:divBdr>
    </w:div>
    <w:div w:id="562562476">
      <w:bodyDiv w:val="1"/>
      <w:marLeft w:val="0"/>
      <w:marRight w:val="0"/>
      <w:marTop w:val="0"/>
      <w:marBottom w:val="0"/>
      <w:divBdr>
        <w:top w:val="none" w:sz="0" w:space="0" w:color="auto"/>
        <w:left w:val="none" w:sz="0" w:space="0" w:color="auto"/>
        <w:bottom w:val="none" w:sz="0" w:space="0" w:color="auto"/>
        <w:right w:val="none" w:sz="0" w:space="0" w:color="auto"/>
      </w:divBdr>
    </w:div>
    <w:div w:id="575169024">
      <w:bodyDiv w:val="1"/>
      <w:marLeft w:val="0"/>
      <w:marRight w:val="0"/>
      <w:marTop w:val="0"/>
      <w:marBottom w:val="0"/>
      <w:divBdr>
        <w:top w:val="none" w:sz="0" w:space="0" w:color="auto"/>
        <w:left w:val="none" w:sz="0" w:space="0" w:color="auto"/>
        <w:bottom w:val="none" w:sz="0" w:space="0" w:color="auto"/>
        <w:right w:val="none" w:sz="0" w:space="0" w:color="auto"/>
      </w:divBdr>
    </w:div>
    <w:div w:id="591939699">
      <w:bodyDiv w:val="1"/>
      <w:marLeft w:val="0"/>
      <w:marRight w:val="0"/>
      <w:marTop w:val="0"/>
      <w:marBottom w:val="0"/>
      <w:divBdr>
        <w:top w:val="none" w:sz="0" w:space="0" w:color="auto"/>
        <w:left w:val="none" w:sz="0" w:space="0" w:color="auto"/>
        <w:bottom w:val="none" w:sz="0" w:space="0" w:color="auto"/>
        <w:right w:val="none" w:sz="0" w:space="0" w:color="auto"/>
      </w:divBdr>
    </w:div>
    <w:div w:id="684209799">
      <w:bodyDiv w:val="1"/>
      <w:marLeft w:val="0"/>
      <w:marRight w:val="0"/>
      <w:marTop w:val="0"/>
      <w:marBottom w:val="0"/>
      <w:divBdr>
        <w:top w:val="none" w:sz="0" w:space="0" w:color="auto"/>
        <w:left w:val="none" w:sz="0" w:space="0" w:color="auto"/>
        <w:bottom w:val="none" w:sz="0" w:space="0" w:color="auto"/>
        <w:right w:val="none" w:sz="0" w:space="0" w:color="auto"/>
      </w:divBdr>
    </w:div>
    <w:div w:id="702360985">
      <w:bodyDiv w:val="1"/>
      <w:marLeft w:val="0"/>
      <w:marRight w:val="0"/>
      <w:marTop w:val="0"/>
      <w:marBottom w:val="0"/>
      <w:divBdr>
        <w:top w:val="none" w:sz="0" w:space="0" w:color="auto"/>
        <w:left w:val="none" w:sz="0" w:space="0" w:color="auto"/>
        <w:bottom w:val="none" w:sz="0" w:space="0" w:color="auto"/>
        <w:right w:val="none" w:sz="0" w:space="0" w:color="auto"/>
      </w:divBdr>
    </w:div>
    <w:div w:id="709957531">
      <w:bodyDiv w:val="1"/>
      <w:marLeft w:val="0"/>
      <w:marRight w:val="0"/>
      <w:marTop w:val="0"/>
      <w:marBottom w:val="0"/>
      <w:divBdr>
        <w:top w:val="none" w:sz="0" w:space="0" w:color="auto"/>
        <w:left w:val="none" w:sz="0" w:space="0" w:color="auto"/>
        <w:bottom w:val="none" w:sz="0" w:space="0" w:color="auto"/>
        <w:right w:val="none" w:sz="0" w:space="0" w:color="auto"/>
      </w:divBdr>
    </w:div>
    <w:div w:id="727151569">
      <w:bodyDiv w:val="1"/>
      <w:marLeft w:val="0"/>
      <w:marRight w:val="0"/>
      <w:marTop w:val="0"/>
      <w:marBottom w:val="0"/>
      <w:divBdr>
        <w:top w:val="none" w:sz="0" w:space="0" w:color="auto"/>
        <w:left w:val="none" w:sz="0" w:space="0" w:color="auto"/>
        <w:bottom w:val="none" w:sz="0" w:space="0" w:color="auto"/>
        <w:right w:val="none" w:sz="0" w:space="0" w:color="auto"/>
      </w:divBdr>
    </w:div>
    <w:div w:id="857046198">
      <w:bodyDiv w:val="1"/>
      <w:marLeft w:val="0"/>
      <w:marRight w:val="0"/>
      <w:marTop w:val="0"/>
      <w:marBottom w:val="0"/>
      <w:divBdr>
        <w:top w:val="none" w:sz="0" w:space="0" w:color="auto"/>
        <w:left w:val="none" w:sz="0" w:space="0" w:color="auto"/>
        <w:bottom w:val="none" w:sz="0" w:space="0" w:color="auto"/>
        <w:right w:val="none" w:sz="0" w:space="0" w:color="auto"/>
      </w:divBdr>
    </w:div>
    <w:div w:id="868756405">
      <w:bodyDiv w:val="1"/>
      <w:marLeft w:val="0"/>
      <w:marRight w:val="0"/>
      <w:marTop w:val="0"/>
      <w:marBottom w:val="0"/>
      <w:divBdr>
        <w:top w:val="none" w:sz="0" w:space="0" w:color="auto"/>
        <w:left w:val="none" w:sz="0" w:space="0" w:color="auto"/>
        <w:bottom w:val="none" w:sz="0" w:space="0" w:color="auto"/>
        <w:right w:val="none" w:sz="0" w:space="0" w:color="auto"/>
      </w:divBdr>
    </w:div>
    <w:div w:id="1046217173">
      <w:bodyDiv w:val="1"/>
      <w:marLeft w:val="0"/>
      <w:marRight w:val="0"/>
      <w:marTop w:val="0"/>
      <w:marBottom w:val="0"/>
      <w:divBdr>
        <w:top w:val="none" w:sz="0" w:space="0" w:color="auto"/>
        <w:left w:val="none" w:sz="0" w:space="0" w:color="auto"/>
        <w:bottom w:val="none" w:sz="0" w:space="0" w:color="auto"/>
        <w:right w:val="none" w:sz="0" w:space="0" w:color="auto"/>
      </w:divBdr>
    </w:div>
    <w:div w:id="1156337557">
      <w:bodyDiv w:val="1"/>
      <w:marLeft w:val="0"/>
      <w:marRight w:val="0"/>
      <w:marTop w:val="0"/>
      <w:marBottom w:val="0"/>
      <w:divBdr>
        <w:top w:val="none" w:sz="0" w:space="0" w:color="auto"/>
        <w:left w:val="none" w:sz="0" w:space="0" w:color="auto"/>
        <w:bottom w:val="none" w:sz="0" w:space="0" w:color="auto"/>
        <w:right w:val="none" w:sz="0" w:space="0" w:color="auto"/>
      </w:divBdr>
    </w:div>
    <w:div w:id="1188911760">
      <w:bodyDiv w:val="1"/>
      <w:marLeft w:val="0"/>
      <w:marRight w:val="0"/>
      <w:marTop w:val="0"/>
      <w:marBottom w:val="0"/>
      <w:divBdr>
        <w:top w:val="none" w:sz="0" w:space="0" w:color="auto"/>
        <w:left w:val="none" w:sz="0" w:space="0" w:color="auto"/>
        <w:bottom w:val="none" w:sz="0" w:space="0" w:color="auto"/>
        <w:right w:val="none" w:sz="0" w:space="0" w:color="auto"/>
      </w:divBdr>
    </w:div>
    <w:div w:id="1199703394">
      <w:bodyDiv w:val="1"/>
      <w:marLeft w:val="0"/>
      <w:marRight w:val="0"/>
      <w:marTop w:val="0"/>
      <w:marBottom w:val="0"/>
      <w:divBdr>
        <w:top w:val="none" w:sz="0" w:space="0" w:color="auto"/>
        <w:left w:val="none" w:sz="0" w:space="0" w:color="auto"/>
        <w:bottom w:val="none" w:sz="0" w:space="0" w:color="auto"/>
        <w:right w:val="none" w:sz="0" w:space="0" w:color="auto"/>
      </w:divBdr>
    </w:div>
    <w:div w:id="1226256468">
      <w:bodyDiv w:val="1"/>
      <w:marLeft w:val="0"/>
      <w:marRight w:val="0"/>
      <w:marTop w:val="0"/>
      <w:marBottom w:val="0"/>
      <w:divBdr>
        <w:top w:val="none" w:sz="0" w:space="0" w:color="auto"/>
        <w:left w:val="none" w:sz="0" w:space="0" w:color="auto"/>
        <w:bottom w:val="none" w:sz="0" w:space="0" w:color="auto"/>
        <w:right w:val="none" w:sz="0" w:space="0" w:color="auto"/>
      </w:divBdr>
    </w:div>
    <w:div w:id="1279796299">
      <w:bodyDiv w:val="1"/>
      <w:marLeft w:val="0"/>
      <w:marRight w:val="0"/>
      <w:marTop w:val="0"/>
      <w:marBottom w:val="0"/>
      <w:divBdr>
        <w:top w:val="none" w:sz="0" w:space="0" w:color="auto"/>
        <w:left w:val="none" w:sz="0" w:space="0" w:color="auto"/>
        <w:bottom w:val="none" w:sz="0" w:space="0" w:color="auto"/>
        <w:right w:val="none" w:sz="0" w:space="0" w:color="auto"/>
      </w:divBdr>
    </w:div>
    <w:div w:id="1282957516">
      <w:bodyDiv w:val="1"/>
      <w:marLeft w:val="0"/>
      <w:marRight w:val="0"/>
      <w:marTop w:val="0"/>
      <w:marBottom w:val="0"/>
      <w:divBdr>
        <w:top w:val="none" w:sz="0" w:space="0" w:color="auto"/>
        <w:left w:val="none" w:sz="0" w:space="0" w:color="auto"/>
        <w:bottom w:val="none" w:sz="0" w:space="0" w:color="auto"/>
        <w:right w:val="none" w:sz="0" w:space="0" w:color="auto"/>
      </w:divBdr>
    </w:div>
    <w:div w:id="1329870233">
      <w:bodyDiv w:val="1"/>
      <w:marLeft w:val="0"/>
      <w:marRight w:val="0"/>
      <w:marTop w:val="0"/>
      <w:marBottom w:val="0"/>
      <w:divBdr>
        <w:top w:val="none" w:sz="0" w:space="0" w:color="auto"/>
        <w:left w:val="none" w:sz="0" w:space="0" w:color="auto"/>
        <w:bottom w:val="none" w:sz="0" w:space="0" w:color="auto"/>
        <w:right w:val="none" w:sz="0" w:space="0" w:color="auto"/>
      </w:divBdr>
    </w:div>
    <w:div w:id="1336691206">
      <w:bodyDiv w:val="1"/>
      <w:marLeft w:val="0"/>
      <w:marRight w:val="0"/>
      <w:marTop w:val="0"/>
      <w:marBottom w:val="0"/>
      <w:divBdr>
        <w:top w:val="none" w:sz="0" w:space="0" w:color="auto"/>
        <w:left w:val="none" w:sz="0" w:space="0" w:color="auto"/>
        <w:bottom w:val="none" w:sz="0" w:space="0" w:color="auto"/>
        <w:right w:val="none" w:sz="0" w:space="0" w:color="auto"/>
      </w:divBdr>
    </w:div>
    <w:div w:id="1436049769">
      <w:bodyDiv w:val="1"/>
      <w:marLeft w:val="0"/>
      <w:marRight w:val="0"/>
      <w:marTop w:val="0"/>
      <w:marBottom w:val="0"/>
      <w:divBdr>
        <w:top w:val="none" w:sz="0" w:space="0" w:color="auto"/>
        <w:left w:val="none" w:sz="0" w:space="0" w:color="auto"/>
        <w:bottom w:val="none" w:sz="0" w:space="0" w:color="auto"/>
        <w:right w:val="none" w:sz="0" w:space="0" w:color="auto"/>
      </w:divBdr>
    </w:div>
    <w:div w:id="1530530569">
      <w:bodyDiv w:val="1"/>
      <w:marLeft w:val="0"/>
      <w:marRight w:val="0"/>
      <w:marTop w:val="0"/>
      <w:marBottom w:val="0"/>
      <w:divBdr>
        <w:top w:val="none" w:sz="0" w:space="0" w:color="auto"/>
        <w:left w:val="none" w:sz="0" w:space="0" w:color="auto"/>
        <w:bottom w:val="none" w:sz="0" w:space="0" w:color="auto"/>
        <w:right w:val="none" w:sz="0" w:space="0" w:color="auto"/>
      </w:divBdr>
    </w:div>
    <w:div w:id="1555697179">
      <w:bodyDiv w:val="1"/>
      <w:marLeft w:val="0"/>
      <w:marRight w:val="0"/>
      <w:marTop w:val="0"/>
      <w:marBottom w:val="0"/>
      <w:divBdr>
        <w:top w:val="none" w:sz="0" w:space="0" w:color="auto"/>
        <w:left w:val="none" w:sz="0" w:space="0" w:color="auto"/>
        <w:bottom w:val="none" w:sz="0" w:space="0" w:color="auto"/>
        <w:right w:val="none" w:sz="0" w:space="0" w:color="auto"/>
      </w:divBdr>
    </w:div>
    <w:div w:id="1619069896">
      <w:bodyDiv w:val="1"/>
      <w:marLeft w:val="0"/>
      <w:marRight w:val="0"/>
      <w:marTop w:val="0"/>
      <w:marBottom w:val="0"/>
      <w:divBdr>
        <w:top w:val="none" w:sz="0" w:space="0" w:color="auto"/>
        <w:left w:val="none" w:sz="0" w:space="0" w:color="auto"/>
        <w:bottom w:val="none" w:sz="0" w:space="0" w:color="auto"/>
        <w:right w:val="none" w:sz="0" w:space="0" w:color="auto"/>
      </w:divBdr>
    </w:div>
    <w:div w:id="1621642653">
      <w:bodyDiv w:val="1"/>
      <w:marLeft w:val="0"/>
      <w:marRight w:val="0"/>
      <w:marTop w:val="0"/>
      <w:marBottom w:val="0"/>
      <w:divBdr>
        <w:top w:val="none" w:sz="0" w:space="0" w:color="auto"/>
        <w:left w:val="none" w:sz="0" w:space="0" w:color="auto"/>
        <w:bottom w:val="none" w:sz="0" w:space="0" w:color="auto"/>
        <w:right w:val="none" w:sz="0" w:space="0" w:color="auto"/>
      </w:divBdr>
    </w:div>
    <w:div w:id="1718970918">
      <w:bodyDiv w:val="1"/>
      <w:marLeft w:val="0"/>
      <w:marRight w:val="0"/>
      <w:marTop w:val="0"/>
      <w:marBottom w:val="0"/>
      <w:divBdr>
        <w:top w:val="none" w:sz="0" w:space="0" w:color="auto"/>
        <w:left w:val="none" w:sz="0" w:space="0" w:color="auto"/>
        <w:bottom w:val="none" w:sz="0" w:space="0" w:color="auto"/>
        <w:right w:val="none" w:sz="0" w:space="0" w:color="auto"/>
      </w:divBdr>
    </w:div>
    <w:div w:id="1722897853">
      <w:bodyDiv w:val="1"/>
      <w:marLeft w:val="0"/>
      <w:marRight w:val="0"/>
      <w:marTop w:val="0"/>
      <w:marBottom w:val="0"/>
      <w:divBdr>
        <w:top w:val="none" w:sz="0" w:space="0" w:color="auto"/>
        <w:left w:val="none" w:sz="0" w:space="0" w:color="auto"/>
        <w:bottom w:val="none" w:sz="0" w:space="0" w:color="auto"/>
        <w:right w:val="none" w:sz="0" w:space="0" w:color="auto"/>
      </w:divBdr>
    </w:div>
    <w:div w:id="1752195916">
      <w:bodyDiv w:val="1"/>
      <w:marLeft w:val="0"/>
      <w:marRight w:val="0"/>
      <w:marTop w:val="0"/>
      <w:marBottom w:val="0"/>
      <w:divBdr>
        <w:top w:val="none" w:sz="0" w:space="0" w:color="auto"/>
        <w:left w:val="none" w:sz="0" w:space="0" w:color="auto"/>
        <w:bottom w:val="none" w:sz="0" w:space="0" w:color="auto"/>
        <w:right w:val="none" w:sz="0" w:space="0" w:color="auto"/>
      </w:divBdr>
    </w:div>
    <w:div w:id="1799954171">
      <w:bodyDiv w:val="1"/>
      <w:marLeft w:val="0"/>
      <w:marRight w:val="0"/>
      <w:marTop w:val="0"/>
      <w:marBottom w:val="0"/>
      <w:divBdr>
        <w:top w:val="none" w:sz="0" w:space="0" w:color="auto"/>
        <w:left w:val="none" w:sz="0" w:space="0" w:color="auto"/>
        <w:bottom w:val="none" w:sz="0" w:space="0" w:color="auto"/>
        <w:right w:val="none" w:sz="0" w:space="0" w:color="auto"/>
      </w:divBdr>
    </w:div>
    <w:div w:id="1959215342">
      <w:bodyDiv w:val="1"/>
      <w:marLeft w:val="0"/>
      <w:marRight w:val="0"/>
      <w:marTop w:val="0"/>
      <w:marBottom w:val="0"/>
      <w:divBdr>
        <w:top w:val="none" w:sz="0" w:space="0" w:color="auto"/>
        <w:left w:val="none" w:sz="0" w:space="0" w:color="auto"/>
        <w:bottom w:val="none" w:sz="0" w:space="0" w:color="auto"/>
        <w:right w:val="none" w:sz="0" w:space="0" w:color="auto"/>
      </w:divBdr>
    </w:div>
    <w:div w:id="1997027294">
      <w:bodyDiv w:val="1"/>
      <w:marLeft w:val="0"/>
      <w:marRight w:val="0"/>
      <w:marTop w:val="0"/>
      <w:marBottom w:val="0"/>
      <w:divBdr>
        <w:top w:val="none" w:sz="0" w:space="0" w:color="auto"/>
        <w:left w:val="none" w:sz="0" w:space="0" w:color="auto"/>
        <w:bottom w:val="none" w:sz="0" w:space="0" w:color="auto"/>
        <w:right w:val="none" w:sz="0" w:space="0" w:color="auto"/>
      </w:divBdr>
    </w:div>
    <w:div w:id="2015112259">
      <w:bodyDiv w:val="1"/>
      <w:marLeft w:val="0"/>
      <w:marRight w:val="0"/>
      <w:marTop w:val="0"/>
      <w:marBottom w:val="0"/>
      <w:divBdr>
        <w:top w:val="none" w:sz="0" w:space="0" w:color="auto"/>
        <w:left w:val="none" w:sz="0" w:space="0" w:color="auto"/>
        <w:bottom w:val="none" w:sz="0" w:space="0" w:color="auto"/>
        <w:right w:val="none" w:sz="0" w:space="0" w:color="auto"/>
      </w:divBdr>
    </w:div>
    <w:div w:id="2022900692">
      <w:bodyDiv w:val="1"/>
      <w:marLeft w:val="0"/>
      <w:marRight w:val="0"/>
      <w:marTop w:val="0"/>
      <w:marBottom w:val="0"/>
      <w:divBdr>
        <w:top w:val="none" w:sz="0" w:space="0" w:color="auto"/>
        <w:left w:val="none" w:sz="0" w:space="0" w:color="auto"/>
        <w:bottom w:val="none" w:sz="0" w:space="0" w:color="auto"/>
        <w:right w:val="none" w:sz="0" w:space="0" w:color="auto"/>
      </w:divBdr>
    </w:div>
    <w:div w:id="2026591132">
      <w:bodyDiv w:val="1"/>
      <w:marLeft w:val="0"/>
      <w:marRight w:val="0"/>
      <w:marTop w:val="0"/>
      <w:marBottom w:val="0"/>
      <w:divBdr>
        <w:top w:val="none" w:sz="0" w:space="0" w:color="auto"/>
        <w:left w:val="none" w:sz="0" w:space="0" w:color="auto"/>
        <w:bottom w:val="none" w:sz="0" w:space="0" w:color="auto"/>
        <w:right w:val="none" w:sz="0" w:space="0" w:color="auto"/>
      </w:divBdr>
    </w:div>
    <w:div w:id="2076393394">
      <w:bodyDiv w:val="1"/>
      <w:marLeft w:val="0"/>
      <w:marRight w:val="0"/>
      <w:marTop w:val="0"/>
      <w:marBottom w:val="0"/>
      <w:divBdr>
        <w:top w:val="none" w:sz="0" w:space="0" w:color="auto"/>
        <w:left w:val="none" w:sz="0" w:space="0" w:color="auto"/>
        <w:bottom w:val="none" w:sz="0" w:space="0" w:color="auto"/>
        <w:right w:val="none" w:sz="0" w:space="0" w:color="auto"/>
      </w:divBdr>
    </w:div>
    <w:div w:id="20845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esearchgate.net/publication/34743968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journals.epalli.com/home/index.php/aj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453/jeb.v1i1.16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ocuseconomics.com/economic-indicator/external-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2367/jem.2022.44.01"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Improved%20MSC\Leatest\MyPHD\Papers%20for%20Publications\References%20game%20the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1"/>
          <c:order val="0"/>
          <c:tx>
            <c:strRef>
              <c:f>Sheet3!$N$2</c:f>
              <c:strCache>
                <c:ptCount val="1"/>
                <c:pt idx="0">
                  <c:v>External Debt (USD)</c:v>
                </c:pt>
              </c:strCache>
            </c:strRef>
          </c:tx>
          <c:cat>
            <c:numRef>
              <c:f>Sheet3!$M$3:$M$16</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Sheet3!$N$3:$N$16</c:f>
              <c:numCache>
                <c:formatCode>General</c:formatCode>
                <c:ptCount val="14"/>
                <c:pt idx="0">
                  <c:v>28.259999999999987</c:v>
                </c:pt>
                <c:pt idx="1">
                  <c:v>32.380000000000003</c:v>
                </c:pt>
                <c:pt idx="2">
                  <c:v>36.980000000000004</c:v>
                </c:pt>
                <c:pt idx="3">
                  <c:v>38.770000000000003</c:v>
                </c:pt>
                <c:pt idx="4">
                  <c:v>41.8</c:v>
                </c:pt>
                <c:pt idx="5">
                  <c:v>41.54</c:v>
                </c:pt>
                <c:pt idx="6">
                  <c:v>41.36</c:v>
                </c:pt>
                <c:pt idx="7">
                  <c:v>62.790000000000013</c:v>
                </c:pt>
                <c:pt idx="8">
                  <c:v>66.569999999999993</c:v>
                </c:pt>
                <c:pt idx="9">
                  <c:v>77.709999999999994</c:v>
                </c:pt>
                <c:pt idx="10">
                  <c:v>82.83</c:v>
                </c:pt>
                <c:pt idx="11">
                  <c:v>90.89</c:v>
                </c:pt>
                <c:pt idx="12">
                  <c:v>98.34</c:v>
                </c:pt>
                <c:pt idx="13">
                  <c:v>108.2</c:v>
                </c:pt>
              </c:numCache>
            </c:numRef>
          </c:val>
          <c:extLst xmlns:c16r2="http://schemas.microsoft.com/office/drawing/2015/06/chart">
            <c:ext xmlns:c16="http://schemas.microsoft.com/office/drawing/2014/chart" uri="{C3380CC4-5D6E-409C-BE32-E72D297353CC}">
              <c16:uniqueId val="{00000000-2675-4428-8248-834BE53B4D38}"/>
            </c:ext>
          </c:extLst>
        </c:ser>
        <c:marker val="1"/>
        <c:axId val="69605632"/>
        <c:axId val="69656576"/>
      </c:lineChart>
      <c:catAx>
        <c:axId val="69605632"/>
        <c:scaling>
          <c:orientation val="minMax"/>
        </c:scaling>
        <c:axPos val="b"/>
        <c:numFmt formatCode="General" sourceLinked="1"/>
        <c:tickLblPos val="nextTo"/>
        <c:crossAx val="69656576"/>
        <c:crosses val="autoZero"/>
        <c:auto val="1"/>
        <c:lblAlgn val="ctr"/>
        <c:lblOffset val="100"/>
      </c:catAx>
      <c:valAx>
        <c:axId val="69656576"/>
        <c:scaling>
          <c:orientation val="minMax"/>
        </c:scaling>
        <c:axPos val="l"/>
        <c:numFmt formatCode="General" sourceLinked="1"/>
        <c:tickLblPos val="nextTo"/>
        <c:crossAx val="69605632"/>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25</Pages>
  <Words>8946</Words>
  <Characters>50997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Uchecollins</dc:creator>
  <cp:lastModifiedBy>Nuhu Musa</cp:lastModifiedBy>
  <cp:revision>13</cp:revision>
  <dcterms:created xsi:type="dcterms:W3CDTF">2025-08-21T16:18:00Z</dcterms:created>
  <dcterms:modified xsi:type="dcterms:W3CDTF">2025-08-21T17:15:00Z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cba1818949b52562b5eb0e70d36c6bd69a623ee436d764e54c298b0962ad711a</vt:lpwstr>
  </property>
</Properties>
</file>