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495553" w:rsidRPr="00631D19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553" w:rsidRPr="00631D19" w:rsidRDefault="00EE1860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A214C4" w:rsidRPr="00631D19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A214C4" w:rsidRPr="00631D1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495553" w:rsidRPr="00631D1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553" w:rsidRPr="00631D19" w:rsidRDefault="00A214C4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31D19">
              <w:rPr>
                <w:rFonts w:cs="Arial"/>
                <w:b/>
                <w:bCs/>
                <w:sz w:val="20"/>
                <w:szCs w:val="20"/>
              </w:rPr>
              <w:t>Ms_AJCRMH_144119</w:t>
            </w:r>
          </w:p>
        </w:tc>
      </w:tr>
      <w:tr w:rsidR="00495553" w:rsidRPr="00631D19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553" w:rsidRPr="00631D19" w:rsidRDefault="00A214C4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31D19">
              <w:rPr>
                <w:rFonts w:cs="Arial"/>
                <w:b/>
                <w:bCs/>
                <w:sz w:val="20"/>
                <w:szCs w:val="20"/>
              </w:rPr>
              <w:t>Meningeal Metastases Presenting as Extra-Axial Hematoma: A Diagnostic Pitfall</w:t>
            </w:r>
          </w:p>
        </w:tc>
      </w:tr>
      <w:tr w:rsidR="00495553" w:rsidRPr="00631D1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553" w:rsidRPr="00631D19" w:rsidRDefault="00A214C4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31D19">
              <w:rPr>
                <w:rFonts w:cs="Arial"/>
                <w:b/>
                <w:bCs/>
                <w:sz w:val="20"/>
                <w:szCs w:val="20"/>
              </w:rPr>
              <w:t>Case report</w:t>
            </w:r>
          </w:p>
        </w:tc>
      </w:tr>
    </w:tbl>
    <w:p w:rsidR="00495553" w:rsidRPr="00631D19" w:rsidRDefault="00495553">
      <w:pPr>
        <w:widowControl w:val="0"/>
        <w:rPr>
          <w:rFonts w:ascii="Arial" w:hAnsi="Arial" w:cs="Arial"/>
          <w:sz w:val="20"/>
          <w:szCs w:val="20"/>
        </w:rPr>
      </w:pPr>
    </w:p>
    <w:p w:rsidR="00495553" w:rsidRPr="00631D19" w:rsidRDefault="00495553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495553" w:rsidRPr="00631D19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jc w:val="left"/>
              <w:rPr>
                <w:rFonts w:ascii="Arial" w:hAnsi="Arial" w:cs="Arial"/>
              </w:rPr>
            </w:pPr>
            <w:r w:rsidRPr="00631D19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631D19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495553" w:rsidRPr="00631D19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31D19">
              <w:rPr>
                <w:rFonts w:ascii="Arial" w:hAnsi="Arial" w:cs="Arial"/>
                <w:lang w:val="en-US"/>
              </w:rPr>
              <w:t>Reviewer’s comment</w:t>
            </w:r>
          </w:p>
          <w:p w:rsidR="00495553" w:rsidRPr="00631D19" w:rsidRDefault="00A214C4">
            <w:pPr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631D19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495553" w:rsidRPr="00631D19">
        <w:trPr>
          <w:trHeight w:val="19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Default"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This manuscript is crucial for the scientific community as it highlights the diagnostic challenge of meningeal metastases mimicking extra-axial hematomas, which can lead to misdiagnosis and delayed treatment. Through two cases, it emphasizes the role of contrast-enhanced MRI in distinguishing these lesions from benign hematomas, urging clinicians to maintain a high index of suspicion in cancer patients to improve outcomes.</w:t>
            </w:r>
          </w:p>
          <w:p w:rsidR="00495553" w:rsidRPr="00631D19" w:rsidRDefault="00495553">
            <w:pPr>
              <w:pStyle w:val="Default"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495553" w:rsidRPr="00631D19" w:rsidRDefault="00A214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YES ,you</w:t>
            </w:r>
            <w:proofErr w:type="gramEnd"/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write as Dural and Leptomeningeal Metastases Mimicking Hematomas: Imaging Pitfalls</w:t>
            </w:r>
          </w:p>
          <w:p w:rsidR="00495553" w:rsidRPr="00631D19" w:rsidRDefault="00495553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31D19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Yes ,language</w:t>
            </w:r>
            <w:proofErr w:type="gramEnd"/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editing needed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31D19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Yes </w:t>
            </w:r>
            <w:proofErr w:type="gramStart"/>
            <w:r w:rsidRPr="00631D19">
              <w:rPr>
                <w:rFonts w:ascii="Arial" w:hAnsi="Arial" w:cs="Arial"/>
                <w:sz w:val="20"/>
                <w:szCs w:val="20"/>
              </w:rPr>
              <w:t>recent ,add</w:t>
            </w:r>
            <w:proofErr w:type="gramEnd"/>
            <w:r w:rsidRPr="00631D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as per mourn al guidelines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31D19">
              <w:rPr>
                <w:rFonts w:ascii="Arial" w:hAnsi="Arial" w:cs="Arial"/>
                <w:lang w:val="en-US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Better to improve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53" w:rsidRPr="00631D19">
        <w:trPr>
          <w:trHeight w:val="1056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Heading2"/>
              <w:jc w:val="left"/>
              <w:rPr>
                <w:rFonts w:ascii="Arial" w:hAnsi="Arial" w:cs="Arial"/>
              </w:rPr>
            </w:pPr>
            <w:r w:rsidRPr="00631D19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631D19">
              <w:rPr>
                <w:rFonts w:ascii="Arial" w:hAnsi="Arial" w:cs="Arial"/>
                <w:lang w:val="en-US"/>
              </w:rPr>
              <w:t xml:space="preserve"> </w:t>
            </w:r>
            <w:r w:rsidRPr="00631D19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Major Comments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The introduction mentions that meningeal metastases are associated with breast, lung, and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prostate cancers, but the cases presented involve breast and colorectal carcinoma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Case Selection and </w:t>
            </w:r>
            <w:proofErr w:type="gramStart"/>
            <w:r w:rsidRPr="00631D19">
              <w:rPr>
                <w:rFonts w:ascii="Arial" w:hAnsi="Arial" w:cs="Arial"/>
                <w:sz w:val="20"/>
                <w:szCs w:val="20"/>
              </w:rPr>
              <w:t>Methodology:.</w:t>
            </w:r>
            <w:proofErr w:type="gramEnd"/>
            <w:r w:rsidRPr="00631D19">
              <w:rPr>
                <w:rFonts w:ascii="Arial" w:hAnsi="Arial" w:cs="Arial"/>
                <w:sz w:val="20"/>
                <w:szCs w:val="20"/>
              </w:rPr>
              <w:t xml:space="preserve"> Adding a brief note on case selection (e.g., retrospective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review or clinical observation) would improve transparency.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Imaging Details and Figures: The imaging findings lack detail, especially for Case 1, and the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figures aren’t provided for review. Including specific MRI sequence descriptions and ensuring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high-quality, well-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labeled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figures would strengthen the paper.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Pathophysiological Explanation: The explanation of hematoma-like appearances is intriguing but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needs more detail on mechanisms like 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tumor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neovascularity. Citing additional studies or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preclinical data would make this section more robust.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Clinical Implications and Recommendations: The conclusion highlights MRI’s importance but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lacks practical guidance for clinicians. Adding a diagnostic algorithm or specific imaging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protocols would make the paper more actionable.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Minor Comments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Keywords must be in 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terms in alphabetical order better not to be in the title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Terminology and Consistency: The term “extra-axial hematoma” is </w:t>
            </w:r>
            <w:r w:rsidR="00A10FFD" w:rsidRPr="00631D19">
              <w:rPr>
                <w:rFonts w:ascii="Arial" w:hAnsi="Arial" w:cs="Arial"/>
                <w:sz w:val="20"/>
                <w:szCs w:val="20"/>
              </w:rPr>
              <w:t>not clear</w:t>
            </w:r>
            <w:r w:rsidRPr="00631D19">
              <w:rPr>
                <w:rFonts w:ascii="Arial" w:hAnsi="Arial" w:cs="Arial"/>
                <w:sz w:val="20"/>
                <w:szCs w:val="20"/>
              </w:rPr>
              <w:t>, and “carcinomatosis” in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Case 1 may be misleading. Clarifying anatomical terms and ensuring consistent terminology (e.g.,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dural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vs. leptomeningeal) would improve clarity.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References: The relevance of 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Broggini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et al. (2023) isn’t clear. Diversifying citations and explaining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their context would enhance the literature </w:t>
            </w:r>
            <w:proofErr w:type="spellStart"/>
            <w:proofErr w:type="gramStart"/>
            <w:r w:rsidRPr="00631D19">
              <w:rPr>
                <w:rFonts w:ascii="Arial" w:hAnsi="Arial" w:cs="Arial"/>
                <w:sz w:val="20"/>
                <w:szCs w:val="20"/>
              </w:rPr>
              <w:t>review.If</w:t>
            </w:r>
            <w:proofErr w:type="spellEnd"/>
            <w:proofErr w:type="gramEnd"/>
            <w:r w:rsidRPr="00631D19">
              <w:rPr>
                <w:rFonts w:ascii="Arial" w:hAnsi="Arial" w:cs="Arial"/>
                <w:sz w:val="20"/>
                <w:szCs w:val="20"/>
              </w:rPr>
              <w:t xml:space="preserve"> possible add </w:t>
            </w:r>
            <w:proofErr w:type="spellStart"/>
            <w:r w:rsidRPr="00631D19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631D19">
              <w:rPr>
                <w:rFonts w:ascii="Arial" w:hAnsi="Arial" w:cs="Arial"/>
                <w:sz w:val="20"/>
                <w:szCs w:val="20"/>
              </w:rPr>
              <w:t xml:space="preserve"> to all.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Language and Style: </w:t>
            </w:r>
            <w:r w:rsidR="00A10FFD" w:rsidRPr="00631D19">
              <w:rPr>
                <w:rFonts w:ascii="Arial" w:hAnsi="Arial" w:cs="Arial"/>
                <w:sz w:val="20"/>
                <w:szCs w:val="20"/>
              </w:rPr>
              <w:t>not clear</w:t>
            </w:r>
            <w:r w:rsidRPr="00631D19">
              <w:rPr>
                <w:rFonts w:ascii="Arial" w:hAnsi="Arial" w:cs="Arial"/>
                <w:sz w:val="20"/>
                <w:szCs w:val="20"/>
              </w:rPr>
              <w:t xml:space="preserve"> phrases like “marked deterioration” in Case 1 need specific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symptoms for clarity. Minor rephrasing (e.g., “inconsistent with a simple hematoma”) and fixing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typos like “H-Augustine” would polish the text.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Ethical Considerations: Case 1’s consent source (patient or representative) is unclear. Specifying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this, especially given the palliative context, would ensure ethical clarity.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Suggestions for Improvement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Expand Case Descriptions: More clinical details (e.g., symptom duration, prior treatments) would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enrich the cases. A table summarizing clinical and imaging features would be a helpful quick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reference.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Strengthen the Discussion: A table comparing metastases and hematoma imaging features would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clarify diﬀerences. Discussing other diagnostics like PET or CSF analysis would add depth.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Address Broader Implications: Discussing prognosis or response to treatments like radiotherapy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>would add clinical context. Mentioning emerging tools like perfusion imaging could highlight</w:t>
            </w:r>
          </w:p>
          <w:p w:rsidR="00495553" w:rsidRPr="00631D19" w:rsidRDefault="00A214C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19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proofErr w:type="spellStart"/>
            <w:proofErr w:type="gramStart"/>
            <w:r w:rsidRPr="00631D19">
              <w:rPr>
                <w:rFonts w:ascii="Arial" w:hAnsi="Arial" w:cs="Arial"/>
                <w:sz w:val="20"/>
                <w:szCs w:val="20"/>
              </w:rPr>
              <w:t>directions.Any</w:t>
            </w:r>
            <w:proofErr w:type="spellEnd"/>
            <w:proofErr w:type="gramEnd"/>
            <w:r w:rsidRPr="00631D19">
              <w:rPr>
                <w:rFonts w:ascii="Arial" w:hAnsi="Arial" w:cs="Arial"/>
                <w:sz w:val="20"/>
                <w:szCs w:val="20"/>
              </w:rPr>
              <w:t xml:space="preserve"> follow up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553" w:rsidRPr="00631D19" w:rsidRDefault="00495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553" w:rsidRPr="00631D19" w:rsidRDefault="00495553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495553" w:rsidRPr="00631D19" w:rsidRDefault="00495553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631D19" w:rsidRPr="00631D19" w:rsidRDefault="00631D19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7094"/>
        <w:gridCol w:w="7082"/>
      </w:tblGrid>
      <w:tr w:rsidR="0055266B" w:rsidRPr="00631D19" w:rsidTr="0055266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66B" w:rsidRPr="00631D19" w:rsidRDefault="0055266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883"/>
            <w:bookmarkStart w:id="2" w:name="_Hlk156057704"/>
            <w:bookmarkEnd w:id="0"/>
            <w:r w:rsidRPr="00631D1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31D1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266B" w:rsidRPr="00631D19" w:rsidTr="0055266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6B" w:rsidRPr="00631D19" w:rsidRDefault="005526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1D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6B" w:rsidRPr="00631D19" w:rsidRDefault="0055266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1D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1D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266B" w:rsidRPr="00631D19" w:rsidRDefault="005526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266B" w:rsidRPr="00631D19" w:rsidTr="0055266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66B" w:rsidRPr="00631D19" w:rsidRDefault="005526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D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66B" w:rsidRPr="00631D19" w:rsidRDefault="0055266B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1D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1D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1D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266B" w:rsidRPr="00631D19" w:rsidRDefault="0055266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5266B" w:rsidRPr="00631D19" w:rsidRDefault="0055266B" w:rsidP="0055266B">
      <w:pPr>
        <w:rPr>
          <w:rFonts w:ascii="Arial" w:eastAsia="Times New Roman" w:hAnsi="Arial" w:cs="Arial"/>
          <w:sz w:val="20"/>
          <w:szCs w:val="20"/>
        </w:rPr>
      </w:pPr>
    </w:p>
    <w:p w:rsidR="0055266B" w:rsidRPr="00631D19" w:rsidRDefault="0055266B" w:rsidP="0055266B">
      <w:pPr>
        <w:rPr>
          <w:rFonts w:ascii="Arial" w:hAnsi="Arial" w:cs="Arial"/>
          <w:sz w:val="20"/>
          <w:szCs w:val="20"/>
        </w:rPr>
      </w:pPr>
    </w:p>
    <w:p w:rsidR="00631D19" w:rsidRPr="00631D19" w:rsidRDefault="00631D19" w:rsidP="00631D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31D19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631D19" w:rsidRPr="00631D19" w:rsidRDefault="00631D19" w:rsidP="00631D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631D19" w:rsidRPr="00631D19" w:rsidRDefault="00631D19" w:rsidP="00631D19">
      <w:pPr>
        <w:rPr>
          <w:rFonts w:ascii="Arial" w:hAnsi="Arial" w:cs="Arial"/>
          <w:b/>
          <w:sz w:val="20"/>
          <w:szCs w:val="20"/>
        </w:rPr>
      </w:pPr>
      <w:bookmarkStart w:id="3" w:name="_Hlk208832025"/>
      <w:r w:rsidRPr="00631D19">
        <w:rPr>
          <w:rFonts w:ascii="Arial" w:hAnsi="Arial" w:cs="Arial"/>
          <w:b/>
          <w:sz w:val="20"/>
          <w:szCs w:val="20"/>
        </w:rPr>
        <w:t>K Rakesh</w:t>
      </w:r>
      <w:r w:rsidRPr="00631D19">
        <w:rPr>
          <w:rFonts w:ascii="Arial" w:hAnsi="Arial" w:cs="Arial"/>
          <w:b/>
          <w:sz w:val="20"/>
          <w:szCs w:val="20"/>
        </w:rPr>
        <w:t>, India</w:t>
      </w:r>
    </w:p>
    <w:bookmarkEnd w:id="3"/>
    <w:p w:rsidR="0055266B" w:rsidRPr="00631D19" w:rsidRDefault="0055266B" w:rsidP="0055266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5266B" w:rsidRPr="00631D19" w:rsidRDefault="0055266B" w:rsidP="0055266B">
      <w:pPr>
        <w:rPr>
          <w:rFonts w:ascii="Arial" w:hAnsi="Arial" w:cs="Arial"/>
          <w:sz w:val="20"/>
          <w:szCs w:val="20"/>
        </w:rPr>
      </w:pPr>
    </w:p>
    <w:p w:rsidR="00495553" w:rsidRPr="00631D19" w:rsidRDefault="00495553" w:rsidP="0055266B">
      <w:pPr>
        <w:pStyle w:val="BodyText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495553" w:rsidRPr="00631D19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60" w:rsidRDefault="00EE1860">
      <w:r>
        <w:separator/>
      </w:r>
    </w:p>
  </w:endnote>
  <w:endnote w:type="continuationSeparator" w:id="0">
    <w:p w:rsidR="00EE1860" w:rsidRDefault="00EE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53" w:rsidRDefault="00A214C4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60" w:rsidRDefault="00EE1860">
      <w:r>
        <w:separator/>
      </w:r>
    </w:p>
  </w:footnote>
  <w:footnote w:type="continuationSeparator" w:id="0">
    <w:p w:rsidR="00EE1860" w:rsidRDefault="00EE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53" w:rsidRDefault="00495553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495553" w:rsidRDefault="00A214C4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53"/>
    <w:rsid w:val="00495553"/>
    <w:rsid w:val="004A695A"/>
    <w:rsid w:val="0055266B"/>
    <w:rsid w:val="00631D19"/>
    <w:rsid w:val="00950052"/>
    <w:rsid w:val="00A10FFD"/>
    <w:rsid w:val="00A214C4"/>
    <w:rsid w:val="00D55EE7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CFF7"/>
  <w15:docId w15:val="{EBAF9800-BCC2-4BA6-96C5-677D43AC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mh.com/index.php/AJCRM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11</cp:revision>
  <dcterms:created xsi:type="dcterms:W3CDTF">2025-09-08T08:13:00Z</dcterms:created>
  <dcterms:modified xsi:type="dcterms:W3CDTF">2025-09-15T07:03:00Z</dcterms:modified>
</cp:coreProperties>
</file>