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EF95" w14:textId="248E951E" w:rsidR="00DD79B4" w:rsidRPr="00DD79B4" w:rsidRDefault="00DD79B4" w:rsidP="00DD79B4">
      <w:pPr>
        <w:spacing w:line="360" w:lineRule="auto"/>
        <w:jc w:val="left"/>
        <w:rPr>
          <w:rFonts w:ascii="Times New Roman" w:hAnsi="Times New Roman" w:cs="Times New Roman"/>
          <w:b/>
          <w:bCs/>
          <w:sz w:val="28"/>
          <w:szCs w:val="28"/>
          <w:u w:val="single"/>
        </w:rPr>
      </w:pPr>
      <w:r w:rsidRPr="00DD79B4">
        <w:rPr>
          <w:rFonts w:ascii="Times New Roman" w:hAnsi="Times New Roman" w:cs="Times New Roman"/>
          <w:b/>
          <w:bCs/>
          <w:sz w:val="28"/>
          <w:szCs w:val="28"/>
          <w:u w:val="single"/>
        </w:rPr>
        <w:t>Original Research Article</w:t>
      </w:r>
    </w:p>
    <w:p w14:paraId="59960C50" w14:textId="2A314C11" w:rsidR="006E445C" w:rsidRDefault="00DF0C7A" w:rsidP="00A11E03">
      <w:pPr>
        <w:spacing w:line="360" w:lineRule="auto"/>
        <w:jc w:val="center"/>
        <w:rPr>
          <w:rFonts w:ascii="Times New Roman" w:hAnsi="Times New Roman" w:cs="Times New Roman"/>
          <w:b/>
          <w:bCs/>
          <w:sz w:val="28"/>
          <w:szCs w:val="28"/>
        </w:rPr>
      </w:pPr>
      <w:r w:rsidRPr="00DF0C7A">
        <w:rPr>
          <w:rFonts w:ascii="Times New Roman" w:hAnsi="Times New Roman" w:cs="Times New Roman"/>
          <w:b/>
          <w:bCs/>
          <w:sz w:val="28"/>
          <w:szCs w:val="28"/>
        </w:rPr>
        <w:t xml:space="preserve">Effect of Dietary Turmeric Powder Supplementation on Nutrient Digestibility and Haemato-biochemical Parameters in Konkan </w:t>
      </w:r>
      <w:proofErr w:type="spellStart"/>
      <w:r w:rsidRPr="00DF0C7A">
        <w:rPr>
          <w:rFonts w:ascii="Times New Roman" w:hAnsi="Times New Roman" w:cs="Times New Roman"/>
          <w:b/>
          <w:bCs/>
          <w:sz w:val="28"/>
          <w:szCs w:val="28"/>
        </w:rPr>
        <w:t>Kanyal</w:t>
      </w:r>
      <w:proofErr w:type="spellEnd"/>
      <w:r w:rsidRPr="00DF0C7A">
        <w:rPr>
          <w:rFonts w:ascii="Times New Roman" w:hAnsi="Times New Roman" w:cs="Times New Roman"/>
          <w:b/>
          <w:bCs/>
          <w:sz w:val="28"/>
          <w:szCs w:val="28"/>
        </w:rPr>
        <w:t xml:space="preserve"> Goats</w:t>
      </w:r>
    </w:p>
    <w:p w14:paraId="048A3562" w14:textId="77777777" w:rsidR="00DD79B4" w:rsidRDefault="00DD79B4" w:rsidP="00A11E03">
      <w:pPr>
        <w:spacing w:line="360" w:lineRule="auto"/>
        <w:jc w:val="center"/>
        <w:rPr>
          <w:rFonts w:ascii="Times New Roman" w:hAnsi="Times New Roman" w:cs="Times New Roman"/>
          <w:b/>
          <w:bCs/>
          <w:sz w:val="28"/>
          <w:szCs w:val="28"/>
        </w:rPr>
      </w:pPr>
    </w:p>
    <w:p w14:paraId="2BB229E9" w14:textId="77777777" w:rsidR="00DD79B4" w:rsidRDefault="00DD79B4" w:rsidP="00A11E03">
      <w:pPr>
        <w:spacing w:line="360" w:lineRule="auto"/>
        <w:jc w:val="center"/>
        <w:rPr>
          <w:rFonts w:ascii="Times New Roman" w:hAnsi="Times New Roman" w:cs="Times New Roman"/>
          <w:b/>
          <w:bCs/>
          <w:sz w:val="28"/>
          <w:szCs w:val="28"/>
        </w:rPr>
      </w:pPr>
    </w:p>
    <w:p w14:paraId="6B94ECD8" w14:textId="77777777" w:rsidR="006E445C" w:rsidRPr="006E445C" w:rsidRDefault="006E445C" w:rsidP="00A11E03">
      <w:pPr>
        <w:pStyle w:val="NormalWeb"/>
        <w:spacing w:before="0" w:beforeAutospacing="0" w:after="0" w:afterAutospacing="0" w:line="360" w:lineRule="auto"/>
        <w:jc w:val="both"/>
      </w:pPr>
      <w:r w:rsidRPr="006E445C">
        <w:rPr>
          <w:b/>
          <w:bCs/>
        </w:rPr>
        <w:t>Abstract</w:t>
      </w:r>
    </w:p>
    <w:p w14:paraId="5C2E4FCA" w14:textId="7EF77276" w:rsidR="006E445C" w:rsidRDefault="00B7229F" w:rsidP="00A11E03">
      <w:pPr>
        <w:pStyle w:val="NormalWeb"/>
        <w:spacing w:before="0" w:beforeAutospacing="0" w:after="0" w:afterAutospacing="0" w:line="360" w:lineRule="auto"/>
        <w:jc w:val="both"/>
        <w:rPr>
          <w:lang w:val="en-US"/>
        </w:rPr>
      </w:pPr>
      <w:r>
        <w:tab/>
      </w:r>
      <w:r w:rsidR="00DF0C7A" w:rsidRPr="00DF0C7A">
        <w:rPr>
          <w:lang w:val="en-US"/>
        </w:rPr>
        <w:t>A 90-day feeding trial was conducted to evaluate the effect of turmeric (</w:t>
      </w:r>
      <w:r w:rsidR="00DF0C7A" w:rsidRPr="00016E38">
        <w:rPr>
          <w:i/>
          <w:iCs/>
          <w:lang w:val="en-US"/>
        </w:rPr>
        <w:t>Curcuma longa</w:t>
      </w:r>
      <w:r w:rsidR="00DF0C7A" w:rsidRPr="00DF0C7A">
        <w:rPr>
          <w:lang w:val="en-US"/>
        </w:rPr>
        <w:t xml:space="preserve"> L.) powder supplementation on nutrient digestibility, feed utilization</w:t>
      </w:r>
      <w:r w:rsidR="00016E38">
        <w:rPr>
          <w:lang w:val="en-US"/>
        </w:rPr>
        <w:t xml:space="preserve"> and </w:t>
      </w:r>
      <w:r w:rsidR="00DF0C7A" w:rsidRPr="00DF0C7A">
        <w:rPr>
          <w:lang w:val="en-US"/>
        </w:rPr>
        <w:t xml:space="preserve">haemato-biochemical parameters in Konkan </w:t>
      </w:r>
      <w:proofErr w:type="spellStart"/>
      <w:r w:rsidR="00DF0C7A" w:rsidRPr="00DF0C7A">
        <w:rPr>
          <w:lang w:val="en-US"/>
        </w:rPr>
        <w:t>Kanyal</w:t>
      </w:r>
      <w:proofErr w:type="spellEnd"/>
      <w:r w:rsidR="00DF0C7A" w:rsidRPr="00DF0C7A">
        <w:rPr>
          <w:lang w:val="en-US"/>
        </w:rPr>
        <w:t xml:space="preserve"> kids. Twenty weaned kids were randomly divided into five treatment groups: T₁ (control, no turmeric), T₂ (3 g/day), T₃ (6 g/day), T₄ (9 g/day)</w:t>
      </w:r>
      <w:r w:rsidR="00016E38">
        <w:rPr>
          <w:lang w:val="en-US"/>
        </w:rPr>
        <w:t xml:space="preserve"> and </w:t>
      </w:r>
      <w:r w:rsidR="00DF0C7A" w:rsidRPr="00DF0C7A">
        <w:rPr>
          <w:lang w:val="en-US"/>
        </w:rPr>
        <w:t>T₅ (12 g/day). Nutrient digestibility improved progressively with increasing turmeric levels, with dry matter, crude protein, ether extract, crude fiber, nitrogen-free extract</w:t>
      </w:r>
      <w:r w:rsidR="00016E38">
        <w:rPr>
          <w:lang w:val="en-US"/>
        </w:rPr>
        <w:t xml:space="preserve"> and </w:t>
      </w:r>
      <w:r w:rsidR="00DF0C7A" w:rsidRPr="00DF0C7A">
        <w:rPr>
          <w:lang w:val="en-US"/>
        </w:rPr>
        <w:t>ash digestibility rising from 81.37%, 74.17%, 77.51%, 77.58%, 61.02%</w:t>
      </w:r>
      <w:r w:rsidR="00016E38">
        <w:rPr>
          <w:lang w:val="en-US"/>
        </w:rPr>
        <w:t xml:space="preserve"> and </w:t>
      </w:r>
      <w:r w:rsidR="00DF0C7A" w:rsidRPr="00DF0C7A">
        <w:rPr>
          <w:lang w:val="en-US"/>
        </w:rPr>
        <w:t>71.22% in T₁ to 84.96%, 78.74%, 80.67%, 81.85%, 64.13%</w:t>
      </w:r>
      <w:r w:rsidR="00016E38">
        <w:rPr>
          <w:lang w:val="en-US"/>
        </w:rPr>
        <w:t xml:space="preserve"> and </w:t>
      </w:r>
      <w:r w:rsidR="00DF0C7A" w:rsidRPr="00DF0C7A">
        <w:rPr>
          <w:lang w:val="en-US"/>
        </w:rPr>
        <w:t xml:space="preserve">77.23% in T₅, respectively. Feed conversion efficiency was highest in T₄ (FCR: 9.68), indicating efficient nutrient utilization. Haemato-biochemical observations revealed improved </w:t>
      </w:r>
      <w:proofErr w:type="spellStart"/>
      <w:r w:rsidR="00DF0C7A" w:rsidRPr="00DF0C7A">
        <w:rPr>
          <w:lang w:val="en-US"/>
        </w:rPr>
        <w:t>haemoglobin</w:t>
      </w:r>
      <w:proofErr w:type="spellEnd"/>
      <w:r w:rsidR="00DF0C7A" w:rsidRPr="00DF0C7A">
        <w:rPr>
          <w:lang w:val="en-US"/>
        </w:rPr>
        <w:t xml:space="preserve"> concentration and red blood cell counts, along with a dose-dependent reduction in serum cholesterol, </w:t>
      </w:r>
      <w:commentRangeStart w:id="0"/>
      <w:r w:rsidR="00DF0C7A" w:rsidRPr="00DF0C7A">
        <w:rPr>
          <w:lang w:val="en-US"/>
        </w:rPr>
        <w:t>without adverse effects on immune status.</w:t>
      </w:r>
      <w:commentRangeEnd w:id="0"/>
      <w:r w:rsidR="00BD565B">
        <w:rPr>
          <w:rStyle w:val="CommentReference"/>
          <w:rFonts w:asciiTheme="minorHAnsi" w:eastAsiaTheme="minorHAnsi" w:hAnsiTheme="minorHAnsi" w:cstheme="minorBidi"/>
          <w:rtl/>
          <w:lang w:val="en-US" w:eastAsia="en-US" w:bidi="ar-SA"/>
        </w:rPr>
        <w:commentReference w:id="0"/>
      </w:r>
      <w:r w:rsidR="00DF0C7A" w:rsidRPr="00DF0C7A">
        <w:rPr>
          <w:lang w:val="en-US"/>
        </w:rPr>
        <w:t xml:space="preserve"> Overall, turmeric supplementation enhanced digestibility, feed efficiency</w:t>
      </w:r>
      <w:r w:rsidR="00016E38">
        <w:rPr>
          <w:lang w:val="en-US"/>
        </w:rPr>
        <w:t xml:space="preserve"> and </w:t>
      </w:r>
      <w:r w:rsidR="00DF0C7A" w:rsidRPr="00DF0C7A">
        <w:rPr>
          <w:lang w:val="en-US"/>
        </w:rPr>
        <w:t>metabolic health, confirming its potential as a safe phytogenic feed additive in goats.</w:t>
      </w:r>
    </w:p>
    <w:p w14:paraId="311B8655" w14:textId="77777777" w:rsidR="00DD79B4" w:rsidRDefault="00DD79B4" w:rsidP="00A11E03">
      <w:pPr>
        <w:pStyle w:val="NormalWeb"/>
        <w:spacing w:before="0" w:beforeAutospacing="0" w:after="0" w:afterAutospacing="0" w:line="360" w:lineRule="auto"/>
        <w:jc w:val="both"/>
        <w:rPr>
          <w:lang w:val="en-US"/>
        </w:rPr>
      </w:pPr>
    </w:p>
    <w:p w14:paraId="5E169259" w14:textId="77777777" w:rsidR="00DD79B4" w:rsidRPr="00E12DED" w:rsidRDefault="00DD79B4" w:rsidP="00DD79B4">
      <w:pPr>
        <w:spacing w:line="360" w:lineRule="auto"/>
        <w:rPr>
          <w:rFonts w:ascii="Times New Roman" w:hAnsi="Times New Roman" w:cs="Times New Roman"/>
          <w:sz w:val="24"/>
          <w:szCs w:val="24"/>
        </w:rPr>
      </w:pPr>
      <w:commentRangeStart w:id="1"/>
      <w:r w:rsidRPr="00E12DED">
        <w:rPr>
          <w:rFonts w:ascii="Times New Roman" w:hAnsi="Times New Roman" w:cs="Times New Roman"/>
          <w:b/>
          <w:bCs/>
          <w:sz w:val="24"/>
          <w:szCs w:val="24"/>
        </w:rPr>
        <w:t>Keywords:</w:t>
      </w:r>
      <w:r w:rsidRPr="00E12DED">
        <w:rPr>
          <w:rFonts w:ascii="Times New Roman" w:hAnsi="Times New Roman" w:cs="Times New Roman"/>
          <w:sz w:val="24"/>
          <w:szCs w:val="24"/>
        </w:rPr>
        <w:br/>
        <w:t xml:space="preserve">Konkan </w:t>
      </w:r>
      <w:proofErr w:type="spellStart"/>
      <w:r w:rsidRPr="00E12DED">
        <w:rPr>
          <w:rFonts w:ascii="Times New Roman" w:hAnsi="Times New Roman" w:cs="Times New Roman"/>
          <w:sz w:val="24"/>
          <w:szCs w:val="24"/>
        </w:rPr>
        <w:t>Kanyal</w:t>
      </w:r>
      <w:proofErr w:type="spellEnd"/>
      <w:r w:rsidRPr="00E12DED">
        <w:rPr>
          <w:rFonts w:ascii="Times New Roman" w:hAnsi="Times New Roman" w:cs="Times New Roman"/>
          <w:sz w:val="24"/>
          <w:szCs w:val="24"/>
        </w:rPr>
        <w:t xml:space="preserve"> goat,</w:t>
      </w:r>
      <w:r>
        <w:rPr>
          <w:rFonts w:ascii="Times New Roman" w:hAnsi="Times New Roman" w:cs="Times New Roman"/>
          <w:sz w:val="24"/>
          <w:szCs w:val="24"/>
        </w:rPr>
        <w:t xml:space="preserve"> Turmeric powder,</w:t>
      </w:r>
      <w:r w:rsidRPr="00E12DED">
        <w:rPr>
          <w:rFonts w:ascii="Times New Roman" w:hAnsi="Times New Roman" w:cs="Times New Roman"/>
          <w:sz w:val="24"/>
          <w:szCs w:val="24"/>
        </w:rPr>
        <w:t xml:space="preserve"> phytogenic feed additive, </w:t>
      </w:r>
      <w:r>
        <w:rPr>
          <w:rFonts w:ascii="Times New Roman" w:hAnsi="Times New Roman" w:cs="Times New Roman"/>
          <w:sz w:val="24"/>
          <w:szCs w:val="24"/>
        </w:rPr>
        <w:t>digestibility</w:t>
      </w:r>
      <w:r w:rsidRPr="00E12DED">
        <w:rPr>
          <w:rFonts w:ascii="Times New Roman" w:hAnsi="Times New Roman" w:cs="Times New Roman"/>
          <w:sz w:val="24"/>
          <w:szCs w:val="24"/>
        </w:rPr>
        <w:t>, serum biochemistry, curcumin, antioxidant, metabolic profile, goat nutrition</w:t>
      </w:r>
      <w:r>
        <w:rPr>
          <w:rFonts w:ascii="Times New Roman" w:hAnsi="Times New Roman" w:cs="Times New Roman"/>
          <w:sz w:val="24"/>
          <w:szCs w:val="24"/>
        </w:rPr>
        <w:t>, indigenous</w:t>
      </w:r>
      <w:r w:rsidRPr="00E12DED">
        <w:rPr>
          <w:rFonts w:ascii="Times New Roman" w:hAnsi="Times New Roman" w:cs="Times New Roman"/>
          <w:sz w:val="24"/>
          <w:szCs w:val="24"/>
        </w:rPr>
        <w:t>.</w:t>
      </w:r>
      <w:commentRangeEnd w:id="1"/>
      <w:r w:rsidR="00EE04BF">
        <w:rPr>
          <w:rStyle w:val="CommentReference"/>
          <w:rtl/>
        </w:rPr>
        <w:commentReference w:id="1"/>
      </w:r>
    </w:p>
    <w:p w14:paraId="17A456A7" w14:textId="77777777" w:rsidR="00DD79B4" w:rsidRDefault="00DD79B4" w:rsidP="00A11E03">
      <w:pPr>
        <w:pStyle w:val="NormalWeb"/>
        <w:spacing w:before="0" w:beforeAutospacing="0" w:after="0" w:afterAutospacing="0" w:line="360" w:lineRule="auto"/>
        <w:jc w:val="both"/>
        <w:rPr>
          <w:rStyle w:val="Strong"/>
          <w:rFonts w:eastAsiaTheme="majorEastAsia"/>
        </w:rPr>
      </w:pPr>
    </w:p>
    <w:p w14:paraId="59874988" w14:textId="335EF01D" w:rsidR="00E12DED" w:rsidRDefault="00E12DED" w:rsidP="00A11E03">
      <w:pPr>
        <w:pStyle w:val="NormalWeb"/>
        <w:spacing w:before="0" w:beforeAutospacing="0" w:after="0" w:afterAutospacing="0" w:line="360" w:lineRule="auto"/>
        <w:jc w:val="both"/>
      </w:pPr>
      <w:r>
        <w:rPr>
          <w:rStyle w:val="Strong"/>
          <w:rFonts w:eastAsiaTheme="majorEastAsia"/>
        </w:rPr>
        <w:t>Introduction</w:t>
      </w:r>
    </w:p>
    <w:p w14:paraId="114ECD96" w14:textId="6A3E73F7" w:rsidR="00742FD2" w:rsidRPr="00742FD2" w:rsidRDefault="00E12DED" w:rsidP="00742FD2">
      <w:pPr>
        <w:pStyle w:val="NormalWeb"/>
        <w:spacing w:before="0" w:beforeAutospacing="0" w:after="0" w:afterAutospacing="0" w:line="360" w:lineRule="auto"/>
        <w:jc w:val="both"/>
      </w:pPr>
      <w:r w:rsidRPr="00742FD2">
        <w:tab/>
      </w:r>
      <w:r w:rsidR="00742FD2" w:rsidRPr="00742FD2">
        <w:t>The effect of dietary turmeric powder supplementation on nutrient digestibility and haematological-biochemical parameters in goats has gained increasing attention as part of the global search for sustainable feeding strategies in livestock production. Phytogenic feed additives, particularly turmeric (</w:t>
      </w:r>
      <w:r w:rsidR="00742FD2" w:rsidRPr="00742FD2">
        <w:rPr>
          <w:i/>
          <w:iCs/>
        </w:rPr>
        <w:t>Curcuma longa</w:t>
      </w:r>
      <w:r w:rsidR="00742FD2" w:rsidRPr="00742FD2">
        <w:t xml:space="preserve"> L.), have emerged as promising natural alternatives to synthetic growth promoters due to their bioactive compounds, mainly curcuminoids, which are renowned for their antioxidant, anti-inflammatory, antimicrobial, anticoccidial</w:t>
      </w:r>
      <w:r w:rsidR="00016E38">
        <w:t xml:space="preserve"> and </w:t>
      </w:r>
      <w:r w:rsidR="00742FD2" w:rsidRPr="00742FD2">
        <w:t>immunomodulatory effects (Adebisi et al., 2022; Ashraf et al., 2020). These properties can improve gastrointestinal health, stimulate digestive enzyme activity</w:t>
      </w:r>
      <w:r w:rsidR="00016E38">
        <w:t xml:space="preserve"> and </w:t>
      </w:r>
      <w:r w:rsidR="00742FD2" w:rsidRPr="00742FD2">
        <w:t xml:space="preserve">enhance microbial fermentation in the rumen, resulting in better nutrient digestibility. At the same time, curcumin helps regulate immune function and metabolic </w:t>
      </w:r>
      <w:r w:rsidR="00742FD2" w:rsidRPr="00742FD2">
        <w:lastRenderedPageBreak/>
        <w:t>pathways, which is reflected in improved haematological and biochemical profiles of supplemented animals.</w:t>
      </w:r>
    </w:p>
    <w:p w14:paraId="17319E34" w14:textId="35527D5B" w:rsidR="00742FD2" w:rsidRPr="00742FD2" w:rsidRDefault="00742FD2" w:rsidP="00742FD2">
      <w:pPr>
        <w:pStyle w:val="NormalWeb"/>
        <w:spacing w:before="0" w:beforeAutospacing="0" w:after="0" w:afterAutospacing="0" w:line="360" w:lineRule="auto"/>
        <w:jc w:val="both"/>
      </w:pPr>
      <w:r>
        <w:tab/>
      </w:r>
      <w:r w:rsidRPr="00742FD2">
        <w:t xml:space="preserve">Konkan </w:t>
      </w:r>
      <w:proofErr w:type="spellStart"/>
      <w:r w:rsidRPr="00742FD2">
        <w:t>Kanyal</w:t>
      </w:r>
      <w:proofErr w:type="spellEnd"/>
      <w:r w:rsidRPr="00742FD2">
        <w:t xml:space="preserve"> goats, an indigenous dual-purpose breed of the Konkan region of Maharashtra, India, play a vital role in the livelihood of smallholder farmers due to their adaptability to local conditions and contribution to meat production. However, their productivity is often constrained by nutritional limitations, disease challenges</w:t>
      </w:r>
      <w:r w:rsidR="00016E38">
        <w:t xml:space="preserve"> and </w:t>
      </w:r>
      <w:r w:rsidRPr="00742FD2">
        <w:t>heat stress (</w:t>
      </w:r>
      <w:proofErr w:type="spellStart"/>
      <w:r w:rsidRPr="00742FD2">
        <w:t>Narute</w:t>
      </w:r>
      <w:proofErr w:type="spellEnd"/>
      <w:r w:rsidRPr="00742FD2">
        <w:t xml:space="preserve"> et al., 2012). Among these, heat stress is a major concern, particularly in tropical climates, as it alters metabolic and endocrine functions. Animals under heat stress experience oxidative stress, leading to DNA damage, apoptosis</w:t>
      </w:r>
      <w:r w:rsidR="00016E38">
        <w:t xml:space="preserve"> and </w:t>
      </w:r>
      <w:r w:rsidRPr="00742FD2">
        <w:t xml:space="preserve">inflammation, along with suppression of immune function (Nisar, 2019; </w:t>
      </w:r>
      <w:proofErr w:type="spellStart"/>
      <w:r w:rsidRPr="00742FD2">
        <w:t>Aderinboye</w:t>
      </w:r>
      <w:proofErr w:type="spellEnd"/>
      <w:r w:rsidRPr="00742FD2">
        <w:t xml:space="preserve"> et al., 2021). Prolonged thermal stress further disrupts metabolic, immune</w:t>
      </w:r>
      <w:r w:rsidR="00016E38">
        <w:t xml:space="preserve"> and </w:t>
      </w:r>
      <w:r w:rsidRPr="00742FD2">
        <w:t>reproductive functions by activating the sympathetic-adrenal medullary system and the hypothalamic-pituitary-adrenal (HPA) axis (</w:t>
      </w:r>
      <w:proofErr w:type="spellStart"/>
      <w:r w:rsidRPr="00742FD2">
        <w:t>Oderinwale</w:t>
      </w:r>
      <w:proofErr w:type="spellEnd"/>
      <w:r w:rsidRPr="00742FD2">
        <w:t xml:space="preserve"> et al., 2019). These disturbances not only compromise animal health but also reduce feed efficiency and productivity.</w:t>
      </w:r>
    </w:p>
    <w:p w14:paraId="658EF8E5" w14:textId="45C1DB53" w:rsidR="00742FD2" w:rsidRPr="00742FD2" w:rsidRDefault="00742FD2" w:rsidP="00742FD2">
      <w:pPr>
        <w:pStyle w:val="NormalWeb"/>
        <w:spacing w:before="0" w:beforeAutospacing="0" w:after="0" w:afterAutospacing="0" w:line="360" w:lineRule="auto"/>
        <w:jc w:val="both"/>
      </w:pPr>
      <w:r>
        <w:tab/>
      </w:r>
      <w:r w:rsidRPr="00742FD2">
        <w:t>Monitoring nutrient digestibility and haemato-biochemical parameters provides reliable indicators of metabolic efficiency and systemic health in goats. Nutritional interventions that can positively influence these parameters are therefore crucial in designing feeding strategies for indigenous breeds. Several studies have shown that turmeric supplementation improves dry matter, crude protein, ether extract</w:t>
      </w:r>
      <w:r w:rsidR="00016E38">
        <w:t xml:space="preserve"> and </w:t>
      </w:r>
      <w:proofErr w:type="spellStart"/>
      <w:r w:rsidRPr="00742FD2">
        <w:t>fiber</w:t>
      </w:r>
      <w:proofErr w:type="spellEnd"/>
      <w:r w:rsidRPr="00742FD2">
        <w:t xml:space="preserve"> digestibility, while also exerting positive effects on blood indices such as haemoglobin concentration, red blood cell count</w:t>
      </w:r>
      <w:r w:rsidR="00016E38">
        <w:t xml:space="preserve"> and </w:t>
      </w:r>
      <w:r w:rsidRPr="00742FD2">
        <w:t>lipid profile, without negatively affecting immune function (</w:t>
      </w:r>
      <w:proofErr w:type="spellStart"/>
      <w:r w:rsidRPr="00742FD2">
        <w:t>Aderinboye</w:t>
      </w:r>
      <w:proofErr w:type="spellEnd"/>
      <w:r w:rsidRPr="00742FD2">
        <w:t xml:space="preserve"> et al., 2021; </w:t>
      </w:r>
      <w:proofErr w:type="spellStart"/>
      <w:r w:rsidRPr="00742FD2">
        <w:t>Oderinwale</w:t>
      </w:r>
      <w:proofErr w:type="spellEnd"/>
      <w:r w:rsidRPr="00742FD2">
        <w:t xml:space="preserve"> et al., 2019; Adebisi et al., 2022). Such evidence highlights the dual benefits of turmeric in enhancing both nutrient utilization efficiency and metabolic stability in goats.</w:t>
      </w:r>
    </w:p>
    <w:p w14:paraId="38EF5863" w14:textId="59AC716D" w:rsidR="00742FD2" w:rsidRPr="00742FD2" w:rsidRDefault="00742FD2" w:rsidP="00742FD2">
      <w:pPr>
        <w:pStyle w:val="NormalWeb"/>
        <w:spacing w:before="0" w:beforeAutospacing="0" w:after="0" w:afterAutospacing="0" w:line="360" w:lineRule="auto"/>
        <w:jc w:val="both"/>
      </w:pPr>
      <w:r>
        <w:tab/>
      </w:r>
      <w:r w:rsidRPr="00742FD2">
        <w:t xml:space="preserve">In this context, the present study was undertaken to evaluate the effect of dietary turmeric powder supplementation at graded levels </w:t>
      </w:r>
      <w:commentRangeStart w:id="2"/>
      <w:r w:rsidRPr="00742FD2">
        <w:t>(3, 6, 9</w:t>
      </w:r>
      <w:r w:rsidR="00016E38">
        <w:t xml:space="preserve"> and </w:t>
      </w:r>
      <w:r w:rsidRPr="00742FD2">
        <w:t xml:space="preserve">12 g/day) </w:t>
      </w:r>
      <w:commentRangeEnd w:id="2"/>
      <w:r w:rsidR="00C437F1">
        <w:rPr>
          <w:rStyle w:val="CommentReference"/>
          <w:rFonts w:asciiTheme="minorHAnsi" w:eastAsiaTheme="minorHAnsi" w:hAnsiTheme="minorHAnsi" w:cstheme="minorBidi"/>
          <w:rtl/>
          <w:lang w:val="en-US" w:eastAsia="en-US" w:bidi="ar-SA"/>
        </w:rPr>
        <w:commentReference w:id="2"/>
      </w:r>
      <w:r w:rsidRPr="00742FD2">
        <w:t xml:space="preserve">on nutrient digestibility and haemato-biochemical profiles of Konkan </w:t>
      </w:r>
      <w:proofErr w:type="spellStart"/>
      <w:r w:rsidRPr="00742FD2">
        <w:t>Kanyal</w:t>
      </w:r>
      <w:proofErr w:type="spellEnd"/>
      <w:r w:rsidRPr="00742FD2">
        <w:t xml:space="preserve"> goats under a 90-day feeding trial. The aim was to determine the efficacy of turmeric as a natural phytogenic feed additive that could improve digestive efficiency, metabolic health</w:t>
      </w:r>
      <w:r w:rsidR="00016E38">
        <w:t xml:space="preserve"> and </w:t>
      </w:r>
      <w:r w:rsidRPr="00742FD2">
        <w:t>overall productivity in goats, thereby offering a sustainable strategy for smallholder goat production systems.</w:t>
      </w:r>
    </w:p>
    <w:p w14:paraId="0355BE6A" w14:textId="511E96B8" w:rsidR="006E445C" w:rsidRPr="00DF0C7A" w:rsidRDefault="006E445C" w:rsidP="00742FD2">
      <w:pPr>
        <w:pStyle w:val="NormalWeb"/>
        <w:spacing w:before="0" w:beforeAutospacing="0" w:after="0" w:afterAutospacing="0" w:line="360" w:lineRule="auto"/>
        <w:jc w:val="both"/>
      </w:pPr>
      <w:r w:rsidRPr="006E445C">
        <w:rPr>
          <w:b/>
          <w:bCs/>
          <w:lang w:val="en-US"/>
        </w:rPr>
        <w:t>MATERIAL AND METHODS</w:t>
      </w:r>
    </w:p>
    <w:p w14:paraId="6CA0D7DB" w14:textId="77777777" w:rsidR="00510500" w:rsidRDefault="00510500" w:rsidP="00A11E03">
      <w:pPr>
        <w:pStyle w:val="NormalWeb"/>
        <w:spacing w:before="0" w:beforeAutospacing="0" w:after="0" w:afterAutospacing="0" w:line="360" w:lineRule="auto"/>
        <w:rPr>
          <w:b/>
          <w:bCs/>
          <w:lang w:val="en-US"/>
        </w:rPr>
      </w:pPr>
      <w:r w:rsidRPr="00510500">
        <w:rPr>
          <w:b/>
          <w:bCs/>
          <w:lang w:val="en-US"/>
        </w:rPr>
        <w:t>Experimental Animals and Design</w:t>
      </w:r>
    </w:p>
    <w:p w14:paraId="36752493" w14:textId="39E725DE" w:rsidR="0086535F" w:rsidRPr="0086535F" w:rsidRDefault="0086535F" w:rsidP="00A11E03">
      <w:pPr>
        <w:pStyle w:val="NormalWeb"/>
        <w:spacing w:before="0" w:beforeAutospacing="0" w:after="0" w:afterAutospacing="0" w:line="360" w:lineRule="auto"/>
        <w:rPr>
          <w:b/>
          <w:bCs/>
        </w:rPr>
      </w:pPr>
      <w:r w:rsidRPr="0086535F">
        <w:rPr>
          <w:b/>
          <w:bCs/>
        </w:rPr>
        <w:t xml:space="preserve">Treatment details </w:t>
      </w:r>
      <w:r w:rsidR="00510500">
        <w:rPr>
          <w:b/>
          <w:bCs/>
        </w:rPr>
        <w:t>:-</w:t>
      </w:r>
    </w:p>
    <w:p w14:paraId="4708EC1A" w14:textId="03F1C61A" w:rsidR="0086535F" w:rsidRDefault="0086535F" w:rsidP="00A11E03">
      <w:pPr>
        <w:pStyle w:val="NormalWeb"/>
        <w:spacing w:before="0" w:beforeAutospacing="0" w:after="0" w:afterAutospacing="0" w:line="360" w:lineRule="auto"/>
      </w:pPr>
      <w:r>
        <w:t>Number of treatments  : 5</w:t>
      </w:r>
    </w:p>
    <w:p w14:paraId="3C566CF9" w14:textId="66BFDC82" w:rsidR="0086535F" w:rsidRDefault="0086535F" w:rsidP="00A11E03">
      <w:pPr>
        <w:pStyle w:val="NormalWeb"/>
        <w:spacing w:before="0" w:beforeAutospacing="0" w:after="0" w:afterAutospacing="0" w:line="360" w:lineRule="auto"/>
      </w:pPr>
      <w:r>
        <w:t>No. of replications : 4</w:t>
      </w:r>
    </w:p>
    <w:p w14:paraId="5A9F69E4" w14:textId="697B66C1" w:rsidR="0086535F" w:rsidRDefault="0086535F" w:rsidP="00A11E03">
      <w:pPr>
        <w:pStyle w:val="NormalWeb"/>
        <w:spacing w:before="0" w:beforeAutospacing="0" w:after="0" w:afterAutospacing="0" w:line="360" w:lineRule="auto"/>
      </w:pPr>
      <w:r>
        <w:t xml:space="preserve">Total no. of animals  : 20 </w:t>
      </w:r>
    </w:p>
    <w:p w14:paraId="2228A4D2" w14:textId="77777777" w:rsidR="0086535F" w:rsidRPr="0086535F" w:rsidRDefault="0086535F" w:rsidP="00A11E03">
      <w:pPr>
        <w:pStyle w:val="NormalWeb"/>
        <w:spacing w:before="0" w:beforeAutospacing="0" w:after="0" w:afterAutospacing="0" w:line="360" w:lineRule="auto"/>
        <w:rPr>
          <w:b/>
          <w:bCs/>
        </w:rPr>
      </w:pPr>
      <w:r w:rsidRPr="0086535F">
        <w:rPr>
          <w:b/>
          <w:bCs/>
        </w:rPr>
        <w:lastRenderedPageBreak/>
        <w:t xml:space="preserve">Experimental layout :- </w:t>
      </w:r>
    </w:p>
    <w:p w14:paraId="0C47C876" w14:textId="77777777" w:rsidR="0086535F" w:rsidRDefault="0086535F" w:rsidP="00A11E03">
      <w:pPr>
        <w:pStyle w:val="NormalWeb"/>
        <w:spacing w:before="0" w:beforeAutospacing="0" w:after="0" w:afterAutospacing="0" w:line="360" w:lineRule="auto"/>
      </w:pPr>
      <w:r>
        <w:t xml:space="preserve">Basal diet (Green Sampoorna grass + Jowar </w:t>
      </w:r>
      <w:proofErr w:type="spellStart"/>
      <w:r>
        <w:t>kadabi</w:t>
      </w:r>
      <w:proofErr w:type="spellEnd"/>
      <w:r>
        <w:t xml:space="preserve"> + goat pellets) </w:t>
      </w:r>
    </w:p>
    <w:p w14:paraId="38E204E0" w14:textId="77777777" w:rsidR="0086535F" w:rsidRDefault="0086535F" w:rsidP="00A11E03">
      <w:pPr>
        <w:pStyle w:val="NormalWeb"/>
        <w:spacing w:before="0" w:beforeAutospacing="0" w:after="0" w:afterAutospacing="0" w:line="360" w:lineRule="auto"/>
      </w:pPr>
      <w:r>
        <w:t>T</w:t>
      </w:r>
      <w:r w:rsidRPr="00510500">
        <w:rPr>
          <w:vertAlign w:val="subscript"/>
        </w:rPr>
        <w:t>1</w:t>
      </w:r>
      <w:r>
        <w:t xml:space="preserve">: Control (No Turmeric powder) Basal diet </w:t>
      </w:r>
    </w:p>
    <w:p w14:paraId="51E1CD15" w14:textId="77777777" w:rsidR="0086535F" w:rsidRDefault="0086535F" w:rsidP="00A11E03">
      <w:pPr>
        <w:pStyle w:val="NormalWeb"/>
        <w:spacing w:before="0" w:beforeAutospacing="0" w:after="0" w:afterAutospacing="0" w:line="360" w:lineRule="auto"/>
      </w:pPr>
      <w:r>
        <w:t>T</w:t>
      </w:r>
      <w:r w:rsidRPr="00510500">
        <w:rPr>
          <w:vertAlign w:val="subscript"/>
        </w:rPr>
        <w:t>2</w:t>
      </w:r>
      <w:r>
        <w:t xml:space="preserve"> : Basal diet + 3 gm Turmeric powder  </w:t>
      </w:r>
    </w:p>
    <w:p w14:paraId="5E8571F3" w14:textId="77777777" w:rsidR="0086535F" w:rsidRDefault="0086535F" w:rsidP="00A11E03">
      <w:pPr>
        <w:pStyle w:val="NormalWeb"/>
        <w:spacing w:before="0" w:beforeAutospacing="0" w:after="0" w:afterAutospacing="0" w:line="360" w:lineRule="auto"/>
      </w:pPr>
      <w:r>
        <w:t>T</w:t>
      </w:r>
      <w:r w:rsidRPr="00510500">
        <w:rPr>
          <w:vertAlign w:val="subscript"/>
        </w:rPr>
        <w:t>3</w:t>
      </w:r>
      <w:r>
        <w:t xml:space="preserve"> : Basal diet + 6 gm Turmeric powder  </w:t>
      </w:r>
    </w:p>
    <w:p w14:paraId="40715084" w14:textId="77777777" w:rsidR="0086535F" w:rsidRDefault="0086535F" w:rsidP="00A11E03">
      <w:pPr>
        <w:pStyle w:val="NormalWeb"/>
        <w:spacing w:before="0" w:beforeAutospacing="0" w:after="0" w:afterAutospacing="0" w:line="360" w:lineRule="auto"/>
      </w:pPr>
      <w:r>
        <w:t>T</w:t>
      </w:r>
      <w:r w:rsidRPr="00510500">
        <w:rPr>
          <w:vertAlign w:val="subscript"/>
        </w:rPr>
        <w:t>4</w:t>
      </w:r>
      <w:r>
        <w:t xml:space="preserve"> : Basal diet + 9 gm Turmeric powder  </w:t>
      </w:r>
    </w:p>
    <w:p w14:paraId="562ABE9B" w14:textId="77777777" w:rsidR="0086535F" w:rsidRDefault="0086535F" w:rsidP="00A11E03">
      <w:pPr>
        <w:pStyle w:val="NormalWeb"/>
        <w:spacing w:before="0" w:beforeAutospacing="0" w:after="0" w:afterAutospacing="0" w:line="360" w:lineRule="auto"/>
      </w:pPr>
      <w:r>
        <w:t>T</w:t>
      </w:r>
      <w:r w:rsidRPr="00510500">
        <w:rPr>
          <w:vertAlign w:val="subscript"/>
        </w:rPr>
        <w:t>5</w:t>
      </w:r>
      <w:r>
        <w:t xml:space="preserve"> : Basal diet + 12 gm Turmeric powder </w:t>
      </w:r>
    </w:p>
    <w:p w14:paraId="580A5B92" w14:textId="77777777" w:rsidR="0086535F" w:rsidRDefault="0086535F" w:rsidP="00A11E03">
      <w:pPr>
        <w:pStyle w:val="NormalWeb"/>
        <w:spacing w:before="0" w:beforeAutospacing="0" w:after="0" w:afterAutospacing="0" w:line="360" w:lineRule="auto"/>
        <w:jc w:val="both"/>
      </w:pPr>
      <w:r>
        <w:t xml:space="preserve">Turmeric powder was given as a feed supplement along with concentrate i.e. goat pellets. </w:t>
      </w:r>
    </w:p>
    <w:p w14:paraId="104AC762" w14:textId="1D457117" w:rsidR="00A11E03" w:rsidRDefault="00A11E03" w:rsidP="00A11E03">
      <w:pPr>
        <w:pStyle w:val="NormalWeb"/>
        <w:spacing w:before="0" w:beforeAutospacing="0" w:after="0" w:afterAutospacing="0" w:line="360" w:lineRule="auto"/>
        <w:jc w:val="both"/>
        <w:rPr>
          <w:b/>
          <w:bCs/>
          <w:lang w:val="en-US"/>
        </w:rPr>
      </w:pPr>
      <w:r>
        <w:rPr>
          <w:b/>
          <w:bCs/>
          <w:lang w:val="en-US"/>
        </w:rPr>
        <w:t xml:space="preserve">Chemical Composition of Experimental </w:t>
      </w:r>
      <w:commentRangeStart w:id="3"/>
      <w:r>
        <w:rPr>
          <w:b/>
          <w:bCs/>
          <w:lang w:val="en-US"/>
        </w:rPr>
        <w:t>feed</w:t>
      </w:r>
      <w:commentRangeEnd w:id="3"/>
      <w:r w:rsidR="00AD020D">
        <w:rPr>
          <w:rStyle w:val="CommentReference"/>
          <w:rFonts w:asciiTheme="minorHAnsi" w:eastAsiaTheme="minorHAnsi" w:hAnsiTheme="minorHAnsi" w:cstheme="minorBidi"/>
          <w:rtl/>
          <w:lang w:val="en-US" w:eastAsia="en-US" w:bidi="ar-SA"/>
        </w:rPr>
        <w:commentReference w:id="3"/>
      </w:r>
      <w:r>
        <w:rPr>
          <w:b/>
          <w:bCs/>
          <w:lang w:val="en-US"/>
        </w:rPr>
        <w:t xml:space="preserve"> :</w:t>
      </w:r>
    </w:p>
    <w:p w14:paraId="2E4D5594" w14:textId="624AE696" w:rsidR="00523EE4" w:rsidRDefault="00523EE4" w:rsidP="00A11E03">
      <w:pPr>
        <w:pStyle w:val="NormalWeb"/>
        <w:spacing w:before="0" w:beforeAutospacing="0" w:after="0" w:afterAutospacing="0" w:line="360" w:lineRule="auto"/>
        <w:jc w:val="both"/>
        <w:rPr>
          <w:b/>
          <w:bCs/>
          <w:lang w:val="en-US"/>
        </w:rPr>
      </w:pPr>
      <w:r>
        <w:rPr>
          <w:b/>
          <w:bCs/>
          <w:lang w:val="en-US"/>
        </w:rPr>
        <w:tab/>
        <w:t>Table 1. Chemical Composition of Experimental feed</w:t>
      </w:r>
    </w:p>
    <w:tbl>
      <w:tblPr>
        <w:tblW w:w="9187" w:type="dxa"/>
        <w:jc w:val="center"/>
        <w:tblLook w:val="04A0" w:firstRow="1" w:lastRow="0" w:firstColumn="1" w:lastColumn="0" w:noHBand="0" w:noVBand="1"/>
      </w:tblPr>
      <w:tblGrid>
        <w:gridCol w:w="800"/>
        <w:gridCol w:w="1718"/>
        <w:gridCol w:w="1535"/>
        <w:gridCol w:w="1763"/>
        <w:gridCol w:w="1901"/>
        <w:gridCol w:w="1470"/>
      </w:tblGrid>
      <w:tr w:rsidR="00A11E03" w:rsidRPr="00C35378" w14:paraId="6D3711F5" w14:textId="77777777" w:rsidTr="00856B7F">
        <w:trPr>
          <w:trHeight w:val="604"/>
          <w:jc w:val="center"/>
        </w:trPr>
        <w:tc>
          <w:tcPr>
            <w:tcW w:w="800" w:type="dxa"/>
            <w:vMerge w:val="restart"/>
            <w:tcBorders>
              <w:top w:val="single" w:sz="8" w:space="0" w:color="000000"/>
              <w:left w:val="single" w:sz="8" w:space="0" w:color="000000"/>
              <w:bottom w:val="single" w:sz="8" w:space="0" w:color="000000"/>
              <w:right w:val="single" w:sz="8" w:space="0" w:color="000000"/>
            </w:tcBorders>
            <w:vAlign w:val="center"/>
            <w:hideMark/>
          </w:tcPr>
          <w:p w14:paraId="78D85A21"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Sr. No</w:t>
            </w:r>
          </w:p>
        </w:tc>
        <w:tc>
          <w:tcPr>
            <w:tcW w:w="1718" w:type="dxa"/>
            <w:vMerge w:val="restart"/>
            <w:tcBorders>
              <w:top w:val="single" w:sz="8" w:space="0" w:color="000000"/>
              <w:left w:val="nil"/>
              <w:right w:val="single" w:sz="8" w:space="0" w:color="000000"/>
            </w:tcBorders>
            <w:vAlign w:val="center"/>
            <w:hideMark/>
          </w:tcPr>
          <w:p w14:paraId="1F069488"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Attributes</w:t>
            </w:r>
          </w:p>
          <w:p w14:paraId="5A7CF8A6"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w:t>
            </w:r>
          </w:p>
        </w:tc>
        <w:tc>
          <w:tcPr>
            <w:tcW w:w="6669" w:type="dxa"/>
            <w:gridSpan w:val="4"/>
            <w:tcBorders>
              <w:top w:val="single" w:sz="8" w:space="0" w:color="000000"/>
              <w:left w:val="nil"/>
              <w:bottom w:val="single" w:sz="8" w:space="0" w:color="000000"/>
              <w:right w:val="single" w:sz="8" w:space="0" w:color="000000"/>
            </w:tcBorders>
            <w:vAlign w:val="center"/>
            <w:hideMark/>
          </w:tcPr>
          <w:p w14:paraId="075BF0F1"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Feed ingredients</w:t>
            </w:r>
          </w:p>
        </w:tc>
      </w:tr>
      <w:tr w:rsidR="00A11E03" w:rsidRPr="00C35378" w14:paraId="39083C2D" w14:textId="77777777" w:rsidTr="00856B7F">
        <w:trPr>
          <w:trHeight w:val="773"/>
          <w:jc w:val="center"/>
        </w:trPr>
        <w:tc>
          <w:tcPr>
            <w:tcW w:w="800" w:type="dxa"/>
            <w:vMerge/>
            <w:tcBorders>
              <w:top w:val="single" w:sz="8" w:space="0" w:color="000000"/>
              <w:left w:val="single" w:sz="8" w:space="0" w:color="000000"/>
              <w:bottom w:val="single" w:sz="8" w:space="0" w:color="000000"/>
              <w:right w:val="single" w:sz="8" w:space="0" w:color="000000"/>
            </w:tcBorders>
            <w:vAlign w:val="center"/>
            <w:hideMark/>
          </w:tcPr>
          <w:p w14:paraId="74B8DDFC" w14:textId="77777777" w:rsidR="00A11E03" w:rsidRPr="00C35378" w:rsidRDefault="00A11E03" w:rsidP="00A248C6">
            <w:pPr>
              <w:jc w:val="center"/>
              <w:rPr>
                <w:rFonts w:ascii="Times New Roman" w:hAnsi="Times New Roman" w:cs="Times New Roman"/>
                <w:b/>
                <w:bCs/>
                <w:sz w:val="24"/>
                <w:szCs w:val="24"/>
                <w:lang w:val="en-IN"/>
              </w:rPr>
            </w:pPr>
          </w:p>
        </w:tc>
        <w:tc>
          <w:tcPr>
            <w:tcW w:w="1718" w:type="dxa"/>
            <w:vMerge/>
            <w:tcBorders>
              <w:left w:val="nil"/>
              <w:bottom w:val="single" w:sz="8" w:space="0" w:color="000000"/>
              <w:right w:val="single" w:sz="8" w:space="0" w:color="000000"/>
            </w:tcBorders>
            <w:vAlign w:val="center"/>
            <w:hideMark/>
          </w:tcPr>
          <w:p w14:paraId="732901A8" w14:textId="77777777" w:rsidR="00A11E03" w:rsidRPr="00C35378" w:rsidRDefault="00A11E03" w:rsidP="00A248C6">
            <w:pPr>
              <w:jc w:val="center"/>
              <w:rPr>
                <w:rFonts w:ascii="Times New Roman" w:hAnsi="Times New Roman" w:cs="Times New Roman"/>
                <w:b/>
                <w:bCs/>
                <w:sz w:val="24"/>
                <w:szCs w:val="24"/>
                <w:lang w:val="en-IN"/>
              </w:rPr>
            </w:pPr>
          </w:p>
        </w:tc>
        <w:tc>
          <w:tcPr>
            <w:tcW w:w="1535" w:type="dxa"/>
            <w:tcBorders>
              <w:top w:val="nil"/>
              <w:left w:val="nil"/>
              <w:bottom w:val="single" w:sz="8" w:space="0" w:color="000000"/>
              <w:right w:val="single" w:sz="8" w:space="0" w:color="000000"/>
            </w:tcBorders>
            <w:vAlign w:val="center"/>
            <w:hideMark/>
          </w:tcPr>
          <w:p w14:paraId="073186A4"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Turmeric Powder</w:t>
            </w:r>
          </w:p>
        </w:tc>
        <w:tc>
          <w:tcPr>
            <w:tcW w:w="1763" w:type="dxa"/>
            <w:tcBorders>
              <w:top w:val="nil"/>
              <w:left w:val="nil"/>
              <w:bottom w:val="single" w:sz="8" w:space="0" w:color="000000"/>
              <w:right w:val="single" w:sz="8" w:space="0" w:color="000000"/>
            </w:tcBorders>
            <w:vAlign w:val="center"/>
            <w:hideMark/>
          </w:tcPr>
          <w:p w14:paraId="1206F7C1"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 xml:space="preserve">Jowar </w:t>
            </w:r>
            <w:proofErr w:type="spellStart"/>
            <w:r w:rsidRPr="00C35378">
              <w:rPr>
                <w:rFonts w:ascii="Times New Roman" w:hAnsi="Times New Roman" w:cs="Times New Roman"/>
                <w:b/>
                <w:bCs/>
                <w:sz w:val="24"/>
                <w:szCs w:val="24"/>
                <w:lang w:val="en-IN"/>
              </w:rPr>
              <w:t>kadabi</w:t>
            </w:r>
            <w:proofErr w:type="spellEnd"/>
          </w:p>
        </w:tc>
        <w:tc>
          <w:tcPr>
            <w:tcW w:w="1901" w:type="dxa"/>
            <w:tcBorders>
              <w:top w:val="nil"/>
              <w:left w:val="nil"/>
              <w:bottom w:val="single" w:sz="8" w:space="0" w:color="000000"/>
              <w:right w:val="single" w:sz="8" w:space="0" w:color="000000"/>
            </w:tcBorders>
            <w:vAlign w:val="center"/>
            <w:hideMark/>
          </w:tcPr>
          <w:p w14:paraId="305B671A"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Sampoorna grass</w:t>
            </w:r>
          </w:p>
        </w:tc>
        <w:tc>
          <w:tcPr>
            <w:tcW w:w="1469" w:type="dxa"/>
            <w:tcBorders>
              <w:top w:val="nil"/>
              <w:left w:val="nil"/>
              <w:bottom w:val="single" w:sz="8" w:space="0" w:color="000000"/>
              <w:right w:val="single" w:sz="8" w:space="0" w:color="000000"/>
            </w:tcBorders>
            <w:vAlign w:val="center"/>
            <w:hideMark/>
          </w:tcPr>
          <w:p w14:paraId="3D8F2EEE"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Goat pellet</w:t>
            </w:r>
          </w:p>
        </w:tc>
      </w:tr>
      <w:tr w:rsidR="00A11E03" w:rsidRPr="00C35378" w14:paraId="64EEEC13"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0BF94A6A"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1</w:t>
            </w:r>
          </w:p>
        </w:tc>
        <w:tc>
          <w:tcPr>
            <w:tcW w:w="1718" w:type="dxa"/>
            <w:tcBorders>
              <w:top w:val="nil"/>
              <w:left w:val="nil"/>
              <w:bottom w:val="single" w:sz="8" w:space="0" w:color="000000"/>
              <w:right w:val="single" w:sz="8" w:space="0" w:color="000000"/>
            </w:tcBorders>
            <w:vAlign w:val="center"/>
            <w:hideMark/>
          </w:tcPr>
          <w:p w14:paraId="75A88398"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DM</w:t>
            </w:r>
          </w:p>
        </w:tc>
        <w:tc>
          <w:tcPr>
            <w:tcW w:w="1535" w:type="dxa"/>
            <w:tcBorders>
              <w:top w:val="nil"/>
              <w:left w:val="nil"/>
              <w:bottom w:val="single" w:sz="8" w:space="0" w:color="000000"/>
              <w:right w:val="single" w:sz="8" w:space="0" w:color="000000"/>
            </w:tcBorders>
            <w:vAlign w:val="center"/>
            <w:hideMark/>
          </w:tcPr>
          <w:p w14:paraId="5CCD5C2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91.15</w:t>
            </w:r>
          </w:p>
        </w:tc>
        <w:tc>
          <w:tcPr>
            <w:tcW w:w="1763" w:type="dxa"/>
            <w:tcBorders>
              <w:top w:val="nil"/>
              <w:left w:val="nil"/>
              <w:bottom w:val="single" w:sz="8" w:space="0" w:color="000000"/>
              <w:right w:val="single" w:sz="8" w:space="0" w:color="000000"/>
            </w:tcBorders>
            <w:vAlign w:val="center"/>
            <w:hideMark/>
          </w:tcPr>
          <w:p w14:paraId="4D55EAD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89.10</w:t>
            </w:r>
          </w:p>
        </w:tc>
        <w:tc>
          <w:tcPr>
            <w:tcW w:w="1901" w:type="dxa"/>
            <w:tcBorders>
              <w:top w:val="nil"/>
              <w:left w:val="nil"/>
              <w:bottom w:val="single" w:sz="8" w:space="0" w:color="000000"/>
              <w:right w:val="single" w:sz="8" w:space="0" w:color="000000"/>
            </w:tcBorders>
            <w:vAlign w:val="center"/>
            <w:hideMark/>
          </w:tcPr>
          <w:p w14:paraId="741FE2D2"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23.50</w:t>
            </w:r>
          </w:p>
        </w:tc>
        <w:tc>
          <w:tcPr>
            <w:tcW w:w="1469" w:type="dxa"/>
            <w:tcBorders>
              <w:top w:val="nil"/>
              <w:left w:val="nil"/>
              <w:bottom w:val="single" w:sz="8" w:space="0" w:color="000000"/>
              <w:right w:val="single" w:sz="8" w:space="0" w:color="000000"/>
            </w:tcBorders>
            <w:vAlign w:val="center"/>
            <w:hideMark/>
          </w:tcPr>
          <w:p w14:paraId="064D7785"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86.65</w:t>
            </w:r>
          </w:p>
        </w:tc>
      </w:tr>
      <w:tr w:rsidR="00A11E03" w:rsidRPr="00C35378" w14:paraId="2FE2A986"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3CE38F09"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2</w:t>
            </w:r>
          </w:p>
        </w:tc>
        <w:tc>
          <w:tcPr>
            <w:tcW w:w="1718" w:type="dxa"/>
            <w:tcBorders>
              <w:top w:val="nil"/>
              <w:left w:val="nil"/>
              <w:bottom w:val="single" w:sz="8" w:space="0" w:color="000000"/>
              <w:right w:val="single" w:sz="8" w:space="0" w:color="000000"/>
            </w:tcBorders>
            <w:vAlign w:val="center"/>
            <w:hideMark/>
          </w:tcPr>
          <w:p w14:paraId="00F328F6"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CP</w:t>
            </w:r>
          </w:p>
        </w:tc>
        <w:tc>
          <w:tcPr>
            <w:tcW w:w="1535" w:type="dxa"/>
            <w:tcBorders>
              <w:top w:val="nil"/>
              <w:left w:val="nil"/>
              <w:bottom w:val="single" w:sz="8" w:space="0" w:color="000000"/>
              <w:right w:val="single" w:sz="8" w:space="0" w:color="000000"/>
            </w:tcBorders>
            <w:vAlign w:val="center"/>
            <w:hideMark/>
          </w:tcPr>
          <w:p w14:paraId="0B770CEF"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9.95</w:t>
            </w:r>
          </w:p>
        </w:tc>
        <w:tc>
          <w:tcPr>
            <w:tcW w:w="1763" w:type="dxa"/>
            <w:tcBorders>
              <w:top w:val="nil"/>
              <w:left w:val="nil"/>
              <w:bottom w:val="single" w:sz="8" w:space="0" w:color="000000"/>
              <w:right w:val="single" w:sz="8" w:space="0" w:color="000000"/>
            </w:tcBorders>
            <w:vAlign w:val="center"/>
            <w:hideMark/>
          </w:tcPr>
          <w:p w14:paraId="7137DCB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3.25</w:t>
            </w:r>
          </w:p>
        </w:tc>
        <w:tc>
          <w:tcPr>
            <w:tcW w:w="1901" w:type="dxa"/>
            <w:tcBorders>
              <w:top w:val="nil"/>
              <w:left w:val="nil"/>
              <w:bottom w:val="single" w:sz="8" w:space="0" w:color="000000"/>
              <w:right w:val="single" w:sz="8" w:space="0" w:color="000000"/>
            </w:tcBorders>
            <w:vAlign w:val="center"/>
            <w:hideMark/>
          </w:tcPr>
          <w:p w14:paraId="071ACD5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9.90</w:t>
            </w:r>
          </w:p>
        </w:tc>
        <w:tc>
          <w:tcPr>
            <w:tcW w:w="1469" w:type="dxa"/>
            <w:tcBorders>
              <w:top w:val="nil"/>
              <w:left w:val="nil"/>
              <w:bottom w:val="single" w:sz="8" w:space="0" w:color="000000"/>
              <w:right w:val="single" w:sz="8" w:space="0" w:color="000000"/>
            </w:tcBorders>
            <w:vAlign w:val="center"/>
            <w:hideMark/>
          </w:tcPr>
          <w:p w14:paraId="2A44E3C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19.40</w:t>
            </w:r>
          </w:p>
        </w:tc>
      </w:tr>
      <w:tr w:rsidR="00A11E03" w:rsidRPr="00C35378" w14:paraId="02083F01"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258E52E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3</w:t>
            </w:r>
          </w:p>
        </w:tc>
        <w:tc>
          <w:tcPr>
            <w:tcW w:w="1718" w:type="dxa"/>
            <w:tcBorders>
              <w:top w:val="nil"/>
              <w:left w:val="nil"/>
              <w:bottom w:val="single" w:sz="8" w:space="0" w:color="000000"/>
              <w:right w:val="single" w:sz="8" w:space="0" w:color="000000"/>
            </w:tcBorders>
            <w:vAlign w:val="center"/>
            <w:hideMark/>
          </w:tcPr>
          <w:p w14:paraId="600FE805"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CF</w:t>
            </w:r>
          </w:p>
        </w:tc>
        <w:tc>
          <w:tcPr>
            <w:tcW w:w="1535" w:type="dxa"/>
            <w:tcBorders>
              <w:top w:val="nil"/>
              <w:left w:val="nil"/>
              <w:bottom w:val="single" w:sz="8" w:space="0" w:color="000000"/>
              <w:right w:val="single" w:sz="8" w:space="0" w:color="000000"/>
            </w:tcBorders>
            <w:vAlign w:val="center"/>
            <w:hideMark/>
          </w:tcPr>
          <w:p w14:paraId="5D45022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12.11</w:t>
            </w:r>
          </w:p>
        </w:tc>
        <w:tc>
          <w:tcPr>
            <w:tcW w:w="1763" w:type="dxa"/>
            <w:tcBorders>
              <w:top w:val="nil"/>
              <w:left w:val="nil"/>
              <w:bottom w:val="single" w:sz="8" w:space="0" w:color="000000"/>
              <w:right w:val="single" w:sz="8" w:space="0" w:color="000000"/>
            </w:tcBorders>
            <w:vAlign w:val="center"/>
            <w:hideMark/>
          </w:tcPr>
          <w:p w14:paraId="3B71439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35.80</w:t>
            </w:r>
          </w:p>
        </w:tc>
        <w:tc>
          <w:tcPr>
            <w:tcW w:w="1901" w:type="dxa"/>
            <w:tcBorders>
              <w:top w:val="nil"/>
              <w:left w:val="nil"/>
              <w:bottom w:val="single" w:sz="8" w:space="0" w:color="000000"/>
              <w:right w:val="single" w:sz="8" w:space="0" w:color="000000"/>
            </w:tcBorders>
            <w:vAlign w:val="center"/>
            <w:hideMark/>
          </w:tcPr>
          <w:p w14:paraId="033A4655"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23.70</w:t>
            </w:r>
          </w:p>
        </w:tc>
        <w:tc>
          <w:tcPr>
            <w:tcW w:w="1469" w:type="dxa"/>
            <w:tcBorders>
              <w:top w:val="nil"/>
              <w:left w:val="nil"/>
              <w:bottom w:val="single" w:sz="8" w:space="0" w:color="000000"/>
              <w:right w:val="single" w:sz="8" w:space="0" w:color="000000"/>
            </w:tcBorders>
            <w:vAlign w:val="center"/>
            <w:hideMark/>
          </w:tcPr>
          <w:p w14:paraId="6DA8DBE1"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10.90</w:t>
            </w:r>
          </w:p>
        </w:tc>
      </w:tr>
      <w:tr w:rsidR="00A11E03" w:rsidRPr="00C35378" w14:paraId="0A8FE412"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1165C1F0"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4</w:t>
            </w:r>
          </w:p>
        </w:tc>
        <w:tc>
          <w:tcPr>
            <w:tcW w:w="1718" w:type="dxa"/>
            <w:tcBorders>
              <w:top w:val="nil"/>
              <w:left w:val="nil"/>
              <w:bottom w:val="single" w:sz="8" w:space="0" w:color="000000"/>
              <w:right w:val="single" w:sz="8" w:space="0" w:color="000000"/>
            </w:tcBorders>
            <w:vAlign w:val="center"/>
            <w:hideMark/>
          </w:tcPr>
          <w:p w14:paraId="07CDCCFD"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EE</w:t>
            </w:r>
          </w:p>
        </w:tc>
        <w:tc>
          <w:tcPr>
            <w:tcW w:w="1535" w:type="dxa"/>
            <w:tcBorders>
              <w:top w:val="nil"/>
              <w:left w:val="nil"/>
              <w:bottom w:val="single" w:sz="8" w:space="0" w:color="000000"/>
              <w:right w:val="single" w:sz="8" w:space="0" w:color="000000"/>
            </w:tcBorders>
            <w:vAlign w:val="center"/>
            <w:hideMark/>
          </w:tcPr>
          <w:p w14:paraId="7D3DC43F"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2.46</w:t>
            </w:r>
          </w:p>
        </w:tc>
        <w:tc>
          <w:tcPr>
            <w:tcW w:w="1763" w:type="dxa"/>
            <w:tcBorders>
              <w:top w:val="nil"/>
              <w:left w:val="nil"/>
              <w:bottom w:val="single" w:sz="8" w:space="0" w:color="000000"/>
              <w:right w:val="single" w:sz="8" w:space="0" w:color="000000"/>
            </w:tcBorders>
            <w:vAlign w:val="center"/>
            <w:hideMark/>
          </w:tcPr>
          <w:p w14:paraId="459EA9E2"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1.62</w:t>
            </w:r>
          </w:p>
        </w:tc>
        <w:tc>
          <w:tcPr>
            <w:tcW w:w="1901" w:type="dxa"/>
            <w:tcBorders>
              <w:top w:val="nil"/>
              <w:left w:val="nil"/>
              <w:bottom w:val="single" w:sz="8" w:space="0" w:color="000000"/>
              <w:right w:val="single" w:sz="8" w:space="0" w:color="000000"/>
            </w:tcBorders>
            <w:vAlign w:val="center"/>
            <w:hideMark/>
          </w:tcPr>
          <w:p w14:paraId="72E82CD3"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5.80</w:t>
            </w:r>
          </w:p>
        </w:tc>
        <w:tc>
          <w:tcPr>
            <w:tcW w:w="1469" w:type="dxa"/>
            <w:tcBorders>
              <w:top w:val="nil"/>
              <w:left w:val="nil"/>
              <w:bottom w:val="single" w:sz="8" w:space="0" w:color="000000"/>
              <w:right w:val="single" w:sz="8" w:space="0" w:color="000000"/>
            </w:tcBorders>
            <w:vAlign w:val="center"/>
            <w:hideMark/>
          </w:tcPr>
          <w:p w14:paraId="500C7FCE"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3.80</w:t>
            </w:r>
          </w:p>
        </w:tc>
      </w:tr>
      <w:tr w:rsidR="00A11E03" w:rsidRPr="00C35378" w14:paraId="7EE33CFB"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4D2D3F09"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5</w:t>
            </w:r>
          </w:p>
        </w:tc>
        <w:tc>
          <w:tcPr>
            <w:tcW w:w="1718" w:type="dxa"/>
            <w:tcBorders>
              <w:top w:val="nil"/>
              <w:left w:val="nil"/>
              <w:bottom w:val="single" w:sz="8" w:space="0" w:color="000000"/>
              <w:right w:val="single" w:sz="8" w:space="0" w:color="000000"/>
            </w:tcBorders>
            <w:vAlign w:val="center"/>
            <w:hideMark/>
          </w:tcPr>
          <w:p w14:paraId="5BD81475"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Ash</w:t>
            </w:r>
          </w:p>
        </w:tc>
        <w:tc>
          <w:tcPr>
            <w:tcW w:w="1535" w:type="dxa"/>
            <w:tcBorders>
              <w:top w:val="nil"/>
              <w:left w:val="nil"/>
              <w:bottom w:val="single" w:sz="8" w:space="0" w:color="000000"/>
              <w:right w:val="single" w:sz="8" w:space="0" w:color="000000"/>
            </w:tcBorders>
            <w:vAlign w:val="center"/>
            <w:hideMark/>
          </w:tcPr>
          <w:p w14:paraId="0B95C4B1"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6.82</w:t>
            </w:r>
          </w:p>
        </w:tc>
        <w:tc>
          <w:tcPr>
            <w:tcW w:w="1763" w:type="dxa"/>
            <w:tcBorders>
              <w:top w:val="nil"/>
              <w:left w:val="nil"/>
              <w:bottom w:val="single" w:sz="8" w:space="0" w:color="000000"/>
              <w:right w:val="single" w:sz="8" w:space="0" w:color="000000"/>
            </w:tcBorders>
            <w:vAlign w:val="center"/>
            <w:hideMark/>
          </w:tcPr>
          <w:p w14:paraId="0BA77B4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6.80</w:t>
            </w:r>
          </w:p>
        </w:tc>
        <w:tc>
          <w:tcPr>
            <w:tcW w:w="1901" w:type="dxa"/>
            <w:tcBorders>
              <w:top w:val="nil"/>
              <w:left w:val="nil"/>
              <w:bottom w:val="single" w:sz="8" w:space="0" w:color="000000"/>
              <w:right w:val="single" w:sz="8" w:space="0" w:color="000000"/>
            </w:tcBorders>
            <w:vAlign w:val="center"/>
            <w:hideMark/>
          </w:tcPr>
          <w:p w14:paraId="3330A5B0"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8.90</w:t>
            </w:r>
          </w:p>
        </w:tc>
        <w:tc>
          <w:tcPr>
            <w:tcW w:w="1469" w:type="dxa"/>
            <w:tcBorders>
              <w:top w:val="nil"/>
              <w:left w:val="nil"/>
              <w:bottom w:val="single" w:sz="8" w:space="0" w:color="000000"/>
              <w:right w:val="single" w:sz="8" w:space="0" w:color="000000"/>
            </w:tcBorders>
            <w:vAlign w:val="center"/>
            <w:hideMark/>
          </w:tcPr>
          <w:p w14:paraId="6C511D70"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10.50</w:t>
            </w:r>
          </w:p>
        </w:tc>
      </w:tr>
      <w:tr w:rsidR="00A11E03" w:rsidRPr="00C35378" w14:paraId="3C5C997E" w14:textId="77777777" w:rsidTr="00856B7F">
        <w:trPr>
          <w:trHeight w:val="385"/>
          <w:jc w:val="center"/>
        </w:trPr>
        <w:tc>
          <w:tcPr>
            <w:tcW w:w="800" w:type="dxa"/>
            <w:tcBorders>
              <w:top w:val="nil"/>
              <w:left w:val="single" w:sz="8" w:space="0" w:color="000000"/>
              <w:bottom w:val="single" w:sz="8" w:space="0" w:color="000000"/>
              <w:right w:val="single" w:sz="8" w:space="0" w:color="000000"/>
            </w:tcBorders>
            <w:vAlign w:val="center"/>
            <w:hideMark/>
          </w:tcPr>
          <w:p w14:paraId="6EA76D94"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6</w:t>
            </w:r>
          </w:p>
        </w:tc>
        <w:tc>
          <w:tcPr>
            <w:tcW w:w="1718" w:type="dxa"/>
            <w:tcBorders>
              <w:top w:val="nil"/>
              <w:left w:val="nil"/>
              <w:bottom w:val="single" w:sz="8" w:space="0" w:color="000000"/>
              <w:right w:val="single" w:sz="8" w:space="0" w:color="000000"/>
            </w:tcBorders>
            <w:vAlign w:val="center"/>
            <w:hideMark/>
          </w:tcPr>
          <w:p w14:paraId="2823C579" w14:textId="77777777" w:rsidR="00A11E03" w:rsidRPr="00C35378" w:rsidRDefault="00A11E03" w:rsidP="00A248C6">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NFE</w:t>
            </w:r>
          </w:p>
        </w:tc>
        <w:tc>
          <w:tcPr>
            <w:tcW w:w="1535" w:type="dxa"/>
            <w:tcBorders>
              <w:top w:val="nil"/>
              <w:left w:val="nil"/>
              <w:bottom w:val="single" w:sz="8" w:space="0" w:color="000000"/>
              <w:right w:val="single" w:sz="8" w:space="0" w:color="000000"/>
            </w:tcBorders>
            <w:vAlign w:val="center"/>
            <w:hideMark/>
          </w:tcPr>
          <w:p w14:paraId="7F5B6C6C"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68.66</w:t>
            </w:r>
          </w:p>
        </w:tc>
        <w:tc>
          <w:tcPr>
            <w:tcW w:w="1763" w:type="dxa"/>
            <w:tcBorders>
              <w:top w:val="nil"/>
              <w:left w:val="nil"/>
              <w:bottom w:val="single" w:sz="8" w:space="0" w:color="000000"/>
              <w:right w:val="single" w:sz="8" w:space="0" w:color="000000"/>
            </w:tcBorders>
            <w:vAlign w:val="center"/>
            <w:hideMark/>
          </w:tcPr>
          <w:p w14:paraId="715B77A6"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52.53</w:t>
            </w:r>
          </w:p>
        </w:tc>
        <w:tc>
          <w:tcPr>
            <w:tcW w:w="1901" w:type="dxa"/>
            <w:tcBorders>
              <w:top w:val="nil"/>
              <w:left w:val="nil"/>
              <w:bottom w:val="single" w:sz="8" w:space="0" w:color="000000"/>
              <w:right w:val="single" w:sz="8" w:space="0" w:color="000000"/>
            </w:tcBorders>
            <w:vAlign w:val="center"/>
            <w:hideMark/>
          </w:tcPr>
          <w:p w14:paraId="5D0A046D"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52.00</w:t>
            </w:r>
          </w:p>
        </w:tc>
        <w:tc>
          <w:tcPr>
            <w:tcW w:w="1469" w:type="dxa"/>
            <w:tcBorders>
              <w:top w:val="nil"/>
              <w:left w:val="nil"/>
              <w:bottom w:val="single" w:sz="8" w:space="0" w:color="000000"/>
              <w:right w:val="single" w:sz="8" w:space="0" w:color="000000"/>
            </w:tcBorders>
            <w:vAlign w:val="center"/>
            <w:hideMark/>
          </w:tcPr>
          <w:p w14:paraId="6458C3CE" w14:textId="77777777" w:rsidR="00A11E03" w:rsidRPr="00C35378" w:rsidRDefault="00A11E03" w:rsidP="00A248C6">
            <w:pPr>
              <w:jc w:val="center"/>
              <w:rPr>
                <w:rFonts w:ascii="Times New Roman" w:hAnsi="Times New Roman" w:cs="Times New Roman"/>
                <w:sz w:val="24"/>
                <w:szCs w:val="24"/>
                <w:lang w:val="en-IN"/>
              </w:rPr>
            </w:pPr>
            <w:r w:rsidRPr="00C35378">
              <w:rPr>
                <w:rFonts w:ascii="Times New Roman" w:hAnsi="Times New Roman" w:cs="Times New Roman"/>
                <w:sz w:val="24"/>
                <w:szCs w:val="24"/>
              </w:rPr>
              <w:t>55.40</w:t>
            </w:r>
          </w:p>
        </w:tc>
      </w:tr>
    </w:tbl>
    <w:p w14:paraId="1E26F499" w14:textId="47909256" w:rsidR="0086535F" w:rsidRPr="0086535F" w:rsidRDefault="0086535F" w:rsidP="00523EE4">
      <w:pPr>
        <w:pStyle w:val="NormalWeb"/>
        <w:spacing w:before="240" w:beforeAutospacing="0" w:after="0" w:afterAutospacing="0" w:line="360" w:lineRule="auto"/>
        <w:jc w:val="both"/>
        <w:rPr>
          <w:b/>
          <w:bCs/>
          <w:lang w:val="en-US"/>
        </w:rPr>
      </w:pPr>
      <w:r w:rsidRPr="0086535F">
        <w:rPr>
          <w:b/>
          <w:bCs/>
          <w:lang w:val="en-US"/>
        </w:rPr>
        <w:t>Blood Collection and H</w:t>
      </w:r>
      <w:r w:rsidR="00E04B44">
        <w:rPr>
          <w:b/>
          <w:bCs/>
          <w:lang w:val="en-US"/>
        </w:rPr>
        <w:t>a</w:t>
      </w:r>
      <w:r w:rsidRPr="0086535F">
        <w:rPr>
          <w:b/>
          <w:bCs/>
          <w:lang w:val="en-US"/>
        </w:rPr>
        <w:t>emato</w:t>
      </w:r>
      <w:r w:rsidR="00500F83">
        <w:rPr>
          <w:b/>
          <w:bCs/>
          <w:lang w:val="en-US"/>
        </w:rPr>
        <w:t>-</w:t>
      </w:r>
      <w:r w:rsidRPr="0086535F">
        <w:rPr>
          <w:b/>
          <w:bCs/>
          <w:lang w:val="en-US"/>
        </w:rPr>
        <w:t>biochemical Analysis</w:t>
      </w:r>
    </w:p>
    <w:p w14:paraId="4B0E9C5F" w14:textId="18B01BE8" w:rsidR="006E445C" w:rsidRDefault="00B7229F" w:rsidP="00A11E03">
      <w:pPr>
        <w:pStyle w:val="NormalWeb"/>
        <w:spacing w:before="0" w:beforeAutospacing="0" w:after="0" w:afterAutospacing="0" w:line="360" w:lineRule="auto"/>
        <w:jc w:val="both"/>
        <w:rPr>
          <w:lang w:val="en-US"/>
        </w:rPr>
      </w:pPr>
      <w:r>
        <w:rPr>
          <w:lang w:val="en-US"/>
        </w:rPr>
        <w:tab/>
      </w:r>
      <w:r w:rsidR="006E445C">
        <w:rPr>
          <w:lang w:val="en-US"/>
        </w:rPr>
        <w:t>B</w:t>
      </w:r>
      <w:r w:rsidR="006E445C" w:rsidRPr="006E445C">
        <w:rPr>
          <w:lang w:val="en-US"/>
        </w:rPr>
        <w:t xml:space="preserve">lood samples (approximately 10 ml) were collected from each goat via jugular vein using hypodermic syringes before feeding. Blood collection was done at the end of the experiment. Blood (5 ml) was drawn into a heparinized tube to prevent coagulation while the remaining 5 ml was left in the syringe to coagulate. Various haemato-biochemical parameters viz., WBC count, RBC count, </w:t>
      </w:r>
      <w:proofErr w:type="spellStart"/>
      <w:r w:rsidR="00E04B44">
        <w:rPr>
          <w:lang w:val="en-US"/>
        </w:rPr>
        <w:t>Haemoglobin</w:t>
      </w:r>
      <w:proofErr w:type="spellEnd"/>
      <w:r w:rsidR="006E445C" w:rsidRPr="006E445C">
        <w:rPr>
          <w:lang w:val="en-US"/>
        </w:rPr>
        <w:t xml:space="preserve">, Total protein, Serum albumin and Serum globulin were determined from </w:t>
      </w:r>
      <w:commentRangeStart w:id="4"/>
      <w:r w:rsidR="006E445C" w:rsidRPr="006E445C">
        <w:rPr>
          <w:lang w:val="en-US"/>
        </w:rPr>
        <w:t>local pathological lab as per standard methods</w:t>
      </w:r>
      <w:commentRangeEnd w:id="4"/>
      <w:r w:rsidR="00DD33E5">
        <w:rPr>
          <w:rStyle w:val="CommentReference"/>
          <w:rFonts w:asciiTheme="minorHAnsi" w:eastAsiaTheme="minorHAnsi" w:hAnsiTheme="minorHAnsi" w:cstheme="minorBidi"/>
          <w:rtl/>
          <w:lang w:val="en-US" w:eastAsia="en-US" w:bidi="ar-SA"/>
        </w:rPr>
        <w:commentReference w:id="4"/>
      </w:r>
      <w:r w:rsidR="006E445C" w:rsidRPr="006E445C">
        <w:rPr>
          <w:lang w:val="en-US"/>
        </w:rPr>
        <w:t xml:space="preserve"> with Instrument named BC-5000. (AOAC, 1995).</w:t>
      </w:r>
    </w:p>
    <w:p w14:paraId="3C09C681" w14:textId="77777777" w:rsidR="0086535F" w:rsidRPr="0086535F" w:rsidRDefault="0086535F" w:rsidP="00A11E03">
      <w:pPr>
        <w:pStyle w:val="NormalWeb"/>
        <w:spacing w:before="0" w:beforeAutospacing="0" w:after="0" w:afterAutospacing="0" w:line="360" w:lineRule="auto"/>
        <w:jc w:val="both"/>
        <w:rPr>
          <w:b/>
          <w:bCs/>
          <w:lang w:val="en-US"/>
        </w:rPr>
      </w:pPr>
      <w:r w:rsidRPr="0086535F">
        <w:rPr>
          <w:b/>
          <w:bCs/>
          <w:lang w:val="en-US"/>
        </w:rPr>
        <w:t>Statistical analysis</w:t>
      </w:r>
    </w:p>
    <w:p w14:paraId="3D2FB025" w14:textId="372B60D5" w:rsidR="0086535F" w:rsidRDefault="0086535F" w:rsidP="00A11E03">
      <w:pPr>
        <w:pStyle w:val="NormalWeb"/>
        <w:spacing w:before="0" w:beforeAutospacing="0" w:after="0" w:afterAutospacing="0" w:line="360" w:lineRule="auto"/>
        <w:jc w:val="both"/>
        <w:rPr>
          <w:lang w:val="en-US"/>
        </w:rPr>
      </w:pPr>
      <w:r w:rsidRPr="0086535F">
        <w:rPr>
          <w:lang w:val="en-US"/>
        </w:rPr>
        <w:t xml:space="preserve"> </w:t>
      </w:r>
      <w:r w:rsidR="00B7229F">
        <w:rPr>
          <w:lang w:val="en-US"/>
        </w:rPr>
        <w:tab/>
      </w:r>
      <w:r w:rsidRPr="0086535F">
        <w:rPr>
          <w:lang w:val="en-US"/>
        </w:rPr>
        <w:t xml:space="preserve">The statistical method known as "Analysis of variance" (ANOVA), which is suitable for the Randomized Block Design, was used to examine the gathered data. For treatment comparison, the standard errors (SE) and critical differences (CD) at the 5% level of significance were calculated and displayed in the corresponding </w:t>
      </w:r>
      <w:commentRangeStart w:id="5"/>
      <w:r w:rsidRPr="0086535F">
        <w:rPr>
          <w:lang w:val="en-US"/>
        </w:rPr>
        <w:t>tables</w:t>
      </w:r>
      <w:commentRangeEnd w:id="5"/>
      <w:r w:rsidR="00064EE5">
        <w:rPr>
          <w:rStyle w:val="CommentReference"/>
          <w:rFonts w:asciiTheme="minorHAnsi" w:eastAsiaTheme="minorHAnsi" w:hAnsiTheme="minorHAnsi" w:cstheme="minorBidi"/>
          <w:rtl/>
          <w:lang w:val="en-US" w:eastAsia="en-US" w:bidi="ar-SA"/>
        </w:rPr>
        <w:commentReference w:id="5"/>
      </w:r>
      <w:r w:rsidRPr="0086535F">
        <w:rPr>
          <w:lang w:val="en-US"/>
        </w:rPr>
        <w:t>. (Snedecor and Cochran, 1994).</w:t>
      </w:r>
    </w:p>
    <w:p w14:paraId="1CE35E59" w14:textId="2EBACC5E" w:rsidR="0086535F" w:rsidRDefault="00510500" w:rsidP="00016E38">
      <w:pPr>
        <w:pStyle w:val="NormalWeb"/>
        <w:spacing w:before="240" w:beforeAutospacing="0" w:after="0" w:afterAutospacing="0" w:line="360" w:lineRule="auto"/>
        <w:jc w:val="both"/>
        <w:rPr>
          <w:b/>
          <w:bCs/>
        </w:rPr>
      </w:pPr>
      <w:r w:rsidRPr="00510500">
        <w:rPr>
          <w:b/>
          <w:bCs/>
        </w:rPr>
        <w:t>RESULT AND DISCUSSION</w:t>
      </w:r>
    </w:p>
    <w:p w14:paraId="7D05C250" w14:textId="0DA9CBA6" w:rsidR="00CD4C91" w:rsidRPr="008A0820" w:rsidRDefault="00523EE4" w:rsidP="00523EE4">
      <w:pPr>
        <w:spacing w:line="360" w:lineRule="auto"/>
        <w:ind w:left="360"/>
        <w:rPr>
          <w:rFonts w:ascii="Times New Roman" w:hAnsi="Times New Roman" w:cs="Times New Roman"/>
          <w:b/>
          <w:bCs/>
          <w:sz w:val="24"/>
          <w:szCs w:val="24"/>
          <w:lang w:val="en-IN"/>
        </w:rPr>
      </w:pPr>
      <w:r>
        <w:rPr>
          <w:rFonts w:ascii="Times New Roman" w:hAnsi="Times New Roman" w:cs="Times New Roman"/>
          <w:b/>
          <w:bCs/>
          <w:sz w:val="24"/>
          <w:szCs w:val="24"/>
        </w:rPr>
        <w:lastRenderedPageBreak/>
        <w:t xml:space="preserve">1. </w:t>
      </w:r>
      <w:r w:rsidR="00CD4C91" w:rsidRPr="008A0820">
        <w:rPr>
          <w:rFonts w:ascii="Times New Roman" w:hAnsi="Times New Roman" w:cs="Times New Roman"/>
          <w:b/>
          <w:bCs/>
          <w:sz w:val="24"/>
          <w:szCs w:val="24"/>
        </w:rPr>
        <w:t>Feed intake</w:t>
      </w:r>
    </w:p>
    <w:p w14:paraId="47C992D7" w14:textId="77777777" w:rsidR="00FF4E2C" w:rsidRPr="008A0820" w:rsidRDefault="00FF4E2C" w:rsidP="00A11E03">
      <w:pPr>
        <w:spacing w:line="360" w:lineRule="auto"/>
        <w:ind w:firstLine="737"/>
        <w:rPr>
          <w:rFonts w:ascii="Times New Roman" w:hAnsi="Times New Roman" w:cs="Times New Roman"/>
          <w:sz w:val="24"/>
          <w:szCs w:val="24"/>
          <w:lang w:val="en-IN"/>
        </w:rPr>
      </w:pPr>
      <w:r w:rsidRPr="008A0820">
        <w:rPr>
          <w:rFonts w:ascii="Times New Roman" w:hAnsi="Times New Roman" w:cs="Times New Roman"/>
          <w:sz w:val="24"/>
          <w:szCs w:val="24"/>
          <w:lang w:val="en-IN"/>
        </w:rPr>
        <w:t>The average feed intake of kids across the treatment groups was as follows: T</w:t>
      </w:r>
      <w:r w:rsidRPr="008A0820">
        <w:rPr>
          <w:rFonts w:ascii="Times New Roman" w:hAnsi="Times New Roman" w:cs="Times New Roman"/>
          <w:sz w:val="24"/>
          <w:szCs w:val="24"/>
          <w:vertAlign w:val="subscript"/>
          <w:lang w:val="en-IN"/>
        </w:rPr>
        <w:t>1</w:t>
      </w:r>
      <w:r w:rsidRPr="008A0820">
        <w:rPr>
          <w:rFonts w:ascii="Times New Roman" w:hAnsi="Times New Roman" w:cs="Times New Roman"/>
          <w:sz w:val="24"/>
          <w:szCs w:val="24"/>
          <w:lang w:val="en-IN"/>
        </w:rPr>
        <w:t xml:space="preserve"> – 1179.25,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xml:space="preserve"> – 1205.50, T</w:t>
      </w:r>
      <w:r w:rsidRPr="008A0820">
        <w:rPr>
          <w:rFonts w:ascii="Times New Roman" w:hAnsi="Times New Roman" w:cs="Times New Roman"/>
          <w:sz w:val="24"/>
          <w:szCs w:val="24"/>
          <w:vertAlign w:val="subscript"/>
          <w:lang w:val="en-IN"/>
        </w:rPr>
        <w:t>3</w:t>
      </w:r>
      <w:r w:rsidRPr="008A0820">
        <w:rPr>
          <w:rFonts w:ascii="Times New Roman" w:hAnsi="Times New Roman" w:cs="Times New Roman"/>
          <w:sz w:val="24"/>
          <w:szCs w:val="24"/>
          <w:lang w:val="en-IN"/>
        </w:rPr>
        <w:t xml:space="preserve"> – 1185.75, T</w:t>
      </w:r>
      <w:r w:rsidRPr="008A0820">
        <w:rPr>
          <w:rFonts w:ascii="Times New Roman" w:hAnsi="Times New Roman" w:cs="Times New Roman"/>
          <w:sz w:val="24"/>
          <w:szCs w:val="24"/>
          <w:vertAlign w:val="subscript"/>
          <w:lang w:val="en-IN"/>
        </w:rPr>
        <w:t>4</w:t>
      </w:r>
      <w:r>
        <w:rPr>
          <w:rFonts w:ascii="Times New Roman" w:hAnsi="Times New Roman" w:cs="Times New Roman"/>
          <w:sz w:val="24"/>
          <w:szCs w:val="24"/>
          <w:vertAlign w:val="subscript"/>
          <w:lang w:val="en-IN"/>
        </w:rPr>
        <w:t xml:space="preserve"> </w:t>
      </w:r>
      <w:r>
        <w:rPr>
          <w:rFonts w:ascii="Times New Roman" w:hAnsi="Times New Roman" w:cs="Times New Roman"/>
          <w:sz w:val="24"/>
          <w:szCs w:val="24"/>
          <w:lang w:val="en-IN"/>
        </w:rPr>
        <w:t xml:space="preserve">- </w:t>
      </w:r>
      <w:r w:rsidRPr="008A0820">
        <w:rPr>
          <w:rFonts w:ascii="Times New Roman" w:hAnsi="Times New Roman" w:cs="Times New Roman"/>
          <w:sz w:val="24"/>
          <w:szCs w:val="24"/>
          <w:lang w:val="en-IN"/>
        </w:rPr>
        <w:t>1167.75 and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 1161.50 g/day. The highest feed intake was recorded in treatment group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xml:space="preserve"> (1205.50 g/day), while the lowest was observed in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(1161.50 g/day). The total feed intake over the 90-day trial period ranged from 104.54 kg in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to 108.50 kg in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w:t>
      </w:r>
    </w:p>
    <w:p w14:paraId="1B132098" w14:textId="0F723D1B" w:rsidR="00FF4E2C" w:rsidRPr="00523EE4" w:rsidRDefault="00523EE4" w:rsidP="00523EE4">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rPr>
        <w:t xml:space="preserve">Table 2. </w:t>
      </w:r>
      <w:r w:rsidR="00FF4E2C" w:rsidRPr="00523EE4">
        <w:rPr>
          <w:rFonts w:ascii="Times New Roman" w:hAnsi="Times New Roman" w:cs="Times New Roman"/>
          <w:b/>
          <w:bCs/>
          <w:sz w:val="24"/>
          <w:szCs w:val="24"/>
        </w:rPr>
        <w:t>Average daily feed intake during experimental period</w:t>
      </w:r>
    </w:p>
    <w:tbl>
      <w:tblPr>
        <w:tblW w:w="9349" w:type="dxa"/>
        <w:jc w:val="center"/>
        <w:tblLook w:val="04A0" w:firstRow="1" w:lastRow="0" w:firstColumn="1" w:lastColumn="0" w:noHBand="0" w:noVBand="1"/>
      </w:tblPr>
      <w:tblGrid>
        <w:gridCol w:w="1883"/>
        <w:gridCol w:w="2025"/>
        <w:gridCol w:w="1883"/>
        <w:gridCol w:w="1738"/>
        <w:gridCol w:w="1820"/>
      </w:tblGrid>
      <w:tr w:rsidR="00FF4E2C" w:rsidRPr="0092744A" w14:paraId="5FB5A01B" w14:textId="77777777" w:rsidTr="00856B7F">
        <w:trPr>
          <w:trHeight w:val="951"/>
          <w:jc w:val="center"/>
        </w:trPr>
        <w:tc>
          <w:tcPr>
            <w:tcW w:w="1883" w:type="dxa"/>
            <w:tcBorders>
              <w:top w:val="single" w:sz="8" w:space="0" w:color="auto"/>
              <w:left w:val="single" w:sz="8" w:space="0" w:color="auto"/>
              <w:bottom w:val="single" w:sz="8" w:space="0" w:color="auto"/>
              <w:right w:val="single" w:sz="8" w:space="0" w:color="auto"/>
            </w:tcBorders>
            <w:vAlign w:val="center"/>
            <w:hideMark/>
          </w:tcPr>
          <w:p w14:paraId="47D61C91"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Treatments</w:t>
            </w:r>
          </w:p>
        </w:tc>
        <w:tc>
          <w:tcPr>
            <w:tcW w:w="2025" w:type="dxa"/>
            <w:tcBorders>
              <w:top w:val="single" w:sz="8" w:space="0" w:color="auto"/>
              <w:left w:val="nil"/>
              <w:bottom w:val="single" w:sz="8" w:space="0" w:color="auto"/>
              <w:right w:val="single" w:sz="8" w:space="0" w:color="auto"/>
            </w:tcBorders>
            <w:vAlign w:val="center"/>
            <w:hideMark/>
          </w:tcPr>
          <w:p w14:paraId="7C12CD19"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Average feed offered (g/day)</w:t>
            </w:r>
          </w:p>
        </w:tc>
        <w:tc>
          <w:tcPr>
            <w:tcW w:w="1883" w:type="dxa"/>
            <w:tcBorders>
              <w:top w:val="single" w:sz="8" w:space="0" w:color="auto"/>
              <w:left w:val="nil"/>
              <w:bottom w:val="single" w:sz="8" w:space="0" w:color="auto"/>
              <w:right w:val="single" w:sz="8" w:space="0" w:color="auto"/>
            </w:tcBorders>
            <w:vAlign w:val="center"/>
            <w:hideMark/>
          </w:tcPr>
          <w:p w14:paraId="785343E5"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Average feed leftover (g/day)</w:t>
            </w:r>
          </w:p>
        </w:tc>
        <w:tc>
          <w:tcPr>
            <w:tcW w:w="1738" w:type="dxa"/>
            <w:tcBorders>
              <w:top w:val="single" w:sz="8" w:space="0" w:color="auto"/>
              <w:left w:val="nil"/>
              <w:bottom w:val="single" w:sz="8" w:space="0" w:color="auto"/>
              <w:right w:val="single" w:sz="8" w:space="0" w:color="auto"/>
            </w:tcBorders>
            <w:vAlign w:val="center"/>
            <w:hideMark/>
          </w:tcPr>
          <w:p w14:paraId="2D60A64C"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Average feed intake (g/day)</w:t>
            </w:r>
          </w:p>
        </w:tc>
        <w:tc>
          <w:tcPr>
            <w:tcW w:w="1820" w:type="dxa"/>
            <w:tcBorders>
              <w:top w:val="single" w:sz="8" w:space="0" w:color="auto"/>
              <w:left w:val="nil"/>
              <w:bottom w:val="single" w:sz="8" w:space="0" w:color="auto"/>
              <w:right w:val="single" w:sz="8" w:space="0" w:color="auto"/>
            </w:tcBorders>
            <w:vAlign w:val="center"/>
            <w:hideMark/>
          </w:tcPr>
          <w:p w14:paraId="6FD8800F" w14:textId="77777777" w:rsidR="00FF4E2C" w:rsidRPr="00022F26" w:rsidRDefault="00FF4E2C" w:rsidP="00016E38">
            <w:pPr>
              <w:jc w:val="center"/>
              <w:rPr>
                <w:rFonts w:ascii="Times New Roman" w:eastAsia="Times New Roman" w:hAnsi="Times New Roman" w:cs="Times New Roman"/>
                <w:b/>
                <w:bCs/>
                <w:sz w:val="24"/>
                <w:szCs w:val="24"/>
                <w:lang w:val="en-IN" w:eastAsia="en-IN" w:bidi="hi-IN"/>
              </w:rPr>
            </w:pPr>
            <w:r w:rsidRPr="00022F26">
              <w:rPr>
                <w:rFonts w:ascii="Times New Roman" w:eastAsia="Times New Roman" w:hAnsi="Times New Roman" w:cs="Times New Roman"/>
                <w:b/>
                <w:bCs/>
                <w:sz w:val="24"/>
                <w:szCs w:val="24"/>
                <w:lang w:val="en-IN" w:eastAsia="en-IN" w:bidi="hi-IN"/>
              </w:rPr>
              <w:t>Total feed intake for 90 days (kg)</w:t>
            </w:r>
          </w:p>
        </w:tc>
      </w:tr>
      <w:tr w:rsidR="00FF4E2C" w:rsidRPr="0092744A" w14:paraId="7DB9F469" w14:textId="77777777" w:rsidTr="00856B7F">
        <w:trPr>
          <w:trHeight w:val="328"/>
          <w:jc w:val="center"/>
        </w:trPr>
        <w:tc>
          <w:tcPr>
            <w:tcW w:w="1883" w:type="dxa"/>
            <w:tcBorders>
              <w:top w:val="nil"/>
              <w:left w:val="single" w:sz="8" w:space="0" w:color="auto"/>
              <w:bottom w:val="single" w:sz="8" w:space="0" w:color="auto"/>
              <w:right w:val="single" w:sz="8" w:space="0" w:color="auto"/>
            </w:tcBorders>
            <w:vAlign w:val="center"/>
            <w:hideMark/>
          </w:tcPr>
          <w:p w14:paraId="55CC11E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1</w:t>
            </w:r>
          </w:p>
        </w:tc>
        <w:tc>
          <w:tcPr>
            <w:tcW w:w="2025" w:type="dxa"/>
            <w:tcBorders>
              <w:top w:val="nil"/>
              <w:left w:val="nil"/>
              <w:bottom w:val="single" w:sz="8" w:space="0" w:color="auto"/>
              <w:right w:val="single" w:sz="8" w:space="0" w:color="auto"/>
            </w:tcBorders>
            <w:vAlign w:val="center"/>
            <w:hideMark/>
          </w:tcPr>
          <w:p w14:paraId="10D8EDC5"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1299.50</w:t>
            </w:r>
          </w:p>
        </w:tc>
        <w:tc>
          <w:tcPr>
            <w:tcW w:w="1883" w:type="dxa"/>
            <w:tcBorders>
              <w:top w:val="nil"/>
              <w:left w:val="nil"/>
              <w:bottom w:val="single" w:sz="8" w:space="0" w:color="auto"/>
              <w:right w:val="single" w:sz="8" w:space="0" w:color="auto"/>
            </w:tcBorders>
            <w:vAlign w:val="center"/>
            <w:hideMark/>
          </w:tcPr>
          <w:p w14:paraId="6D266047"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120.25</w:t>
            </w:r>
          </w:p>
        </w:tc>
        <w:tc>
          <w:tcPr>
            <w:tcW w:w="1738" w:type="dxa"/>
            <w:tcBorders>
              <w:top w:val="nil"/>
              <w:left w:val="nil"/>
              <w:bottom w:val="single" w:sz="8" w:space="0" w:color="auto"/>
              <w:right w:val="single" w:sz="8" w:space="0" w:color="auto"/>
            </w:tcBorders>
            <w:vAlign w:val="center"/>
            <w:hideMark/>
          </w:tcPr>
          <w:p w14:paraId="7448691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1179.25</w:t>
            </w:r>
            <w:r w:rsidRPr="00022F26">
              <w:rPr>
                <w:rFonts w:ascii="Times New Roman" w:eastAsia="Times New Roman" w:hAnsi="Times New Roman" w:cs="Times New Roman"/>
                <w:sz w:val="28"/>
                <w:szCs w:val="28"/>
                <w:vertAlign w:val="superscript"/>
                <w:lang w:val="en-IN" w:eastAsia="en-IN" w:bidi="hi-IN"/>
              </w:rPr>
              <w:t>a</w:t>
            </w:r>
          </w:p>
        </w:tc>
        <w:tc>
          <w:tcPr>
            <w:tcW w:w="1820" w:type="dxa"/>
            <w:tcBorders>
              <w:top w:val="nil"/>
              <w:left w:val="nil"/>
              <w:bottom w:val="single" w:sz="8" w:space="0" w:color="auto"/>
              <w:right w:val="single" w:sz="8" w:space="0" w:color="auto"/>
            </w:tcBorders>
            <w:vAlign w:val="center"/>
            <w:hideMark/>
          </w:tcPr>
          <w:p w14:paraId="18F4ADBD"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106.13</w:t>
            </w:r>
          </w:p>
        </w:tc>
      </w:tr>
      <w:tr w:rsidR="00FF4E2C" w:rsidRPr="0092744A" w14:paraId="61BC1D45" w14:textId="77777777" w:rsidTr="00856B7F">
        <w:trPr>
          <w:trHeight w:val="328"/>
          <w:jc w:val="center"/>
        </w:trPr>
        <w:tc>
          <w:tcPr>
            <w:tcW w:w="1883" w:type="dxa"/>
            <w:tcBorders>
              <w:top w:val="nil"/>
              <w:left w:val="single" w:sz="8" w:space="0" w:color="auto"/>
              <w:bottom w:val="single" w:sz="8" w:space="0" w:color="auto"/>
              <w:right w:val="single" w:sz="8" w:space="0" w:color="auto"/>
            </w:tcBorders>
            <w:vAlign w:val="center"/>
            <w:hideMark/>
          </w:tcPr>
          <w:p w14:paraId="61E26EA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2</w:t>
            </w:r>
          </w:p>
        </w:tc>
        <w:tc>
          <w:tcPr>
            <w:tcW w:w="2025" w:type="dxa"/>
            <w:tcBorders>
              <w:top w:val="nil"/>
              <w:left w:val="nil"/>
              <w:bottom w:val="single" w:sz="8" w:space="0" w:color="auto"/>
              <w:right w:val="single" w:sz="8" w:space="0" w:color="auto"/>
            </w:tcBorders>
            <w:vAlign w:val="center"/>
            <w:hideMark/>
          </w:tcPr>
          <w:p w14:paraId="46BC0F74"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1341.00</w:t>
            </w:r>
          </w:p>
        </w:tc>
        <w:tc>
          <w:tcPr>
            <w:tcW w:w="1883" w:type="dxa"/>
            <w:tcBorders>
              <w:top w:val="nil"/>
              <w:left w:val="nil"/>
              <w:bottom w:val="single" w:sz="8" w:space="0" w:color="auto"/>
              <w:right w:val="single" w:sz="8" w:space="0" w:color="auto"/>
            </w:tcBorders>
            <w:vAlign w:val="center"/>
            <w:hideMark/>
          </w:tcPr>
          <w:p w14:paraId="37A9A89D"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135.50</w:t>
            </w:r>
          </w:p>
        </w:tc>
        <w:tc>
          <w:tcPr>
            <w:tcW w:w="1738" w:type="dxa"/>
            <w:tcBorders>
              <w:top w:val="nil"/>
              <w:left w:val="nil"/>
              <w:bottom w:val="single" w:sz="8" w:space="0" w:color="auto"/>
              <w:right w:val="single" w:sz="8" w:space="0" w:color="auto"/>
            </w:tcBorders>
            <w:vAlign w:val="center"/>
            <w:hideMark/>
          </w:tcPr>
          <w:p w14:paraId="02B64FDA"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1205.50</w:t>
            </w:r>
            <w:r w:rsidRPr="00022F26">
              <w:rPr>
                <w:rFonts w:ascii="Times New Roman" w:eastAsia="Times New Roman" w:hAnsi="Times New Roman" w:cs="Times New Roman"/>
                <w:sz w:val="28"/>
                <w:szCs w:val="28"/>
                <w:vertAlign w:val="superscript"/>
                <w:lang w:val="en-IN" w:eastAsia="en-IN" w:bidi="hi-IN"/>
              </w:rPr>
              <w:t>b</w:t>
            </w:r>
          </w:p>
        </w:tc>
        <w:tc>
          <w:tcPr>
            <w:tcW w:w="1820" w:type="dxa"/>
            <w:tcBorders>
              <w:top w:val="nil"/>
              <w:left w:val="nil"/>
              <w:bottom w:val="single" w:sz="8" w:space="0" w:color="auto"/>
              <w:right w:val="single" w:sz="8" w:space="0" w:color="auto"/>
            </w:tcBorders>
            <w:vAlign w:val="center"/>
            <w:hideMark/>
          </w:tcPr>
          <w:p w14:paraId="2722163E"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108.50</w:t>
            </w:r>
          </w:p>
        </w:tc>
      </w:tr>
      <w:tr w:rsidR="00FF4E2C" w:rsidRPr="0092744A" w14:paraId="2A8E251B" w14:textId="77777777" w:rsidTr="00856B7F">
        <w:trPr>
          <w:trHeight w:val="328"/>
          <w:jc w:val="center"/>
        </w:trPr>
        <w:tc>
          <w:tcPr>
            <w:tcW w:w="1883" w:type="dxa"/>
            <w:tcBorders>
              <w:top w:val="nil"/>
              <w:left w:val="single" w:sz="8" w:space="0" w:color="auto"/>
              <w:bottom w:val="single" w:sz="8" w:space="0" w:color="auto"/>
              <w:right w:val="single" w:sz="8" w:space="0" w:color="auto"/>
            </w:tcBorders>
            <w:vAlign w:val="center"/>
            <w:hideMark/>
          </w:tcPr>
          <w:p w14:paraId="08BBBB42"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3</w:t>
            </w:r>
          </w:p>
        </w:tc>
        <w:tc>
          <w:tcPr>
            <w:tcW w:w="2025" w:type="dxa"/>
            <w:tcBorders>
              <w:top w:val="nil"/>
              <w:left w:val="nil"/>
              <w:bottom w:val="single" w:sz="8" w:space="0" w:color="auto"/>
              <w:right w:val="single" w:sz="8" w:space="0" w:color="auto"/>
            </w:tcBorders>
            <w:vAlign w:val="center"/>
            <w:hideMark/>
          </w:tcPr>
          <w:p w14:paraId="250B88A1"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1340.75</w:t>
            </w:r>
          </w:p>
        </w:tc>
        <w:tc>
          <w:tcPr>
            <w:tcW w:w="1883" w:type="dxa"/>
            <w:tcBorders>
              <w:top w:val="nil"/>
              <w:left w:val="nil"/>
              <w:bottom w:val="single" w:sz="8" w:space="0" w:color="auto"/>
              <w:right w:val="single" w:sz="8" w:space="0" w:color="auto"/>
            </w:tcBorders>
            <w:vAlign w:val="center"/>
            <w:hideMark/>
          </w:tcPr>
          <w:p w14:paraId="46853E1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155.00</w:t>
            </w:r>
          </w:p>
        </w:tc>
        <w:tc>
          <w:tcPr>
            <w:tcW w:w="1738" w:type="dxa"/>
            <w:tcBorders>
              <w:top w:val="nil"/>
              <w:left w:val="nil"/>
              <w:bottom w:val="single" w:sz="8" w:space="0" w:color="auto"/>
              <w:right w:val="single" w:sz="8" w:space="0" w:color="auto"/>
            </w:tcBorders>
            <w:vAlign w:val="center"/>
            <w:hideMark/>
          </w:tcPr>
          <w:p w14:paraId="00AAC0C9"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1185.75</w:t>
            </w:r>
            <w:r w:rsidRPr="00022F26">
              <w:rPr>
                <w:rFonts w:ascii="Times New Roman" w:eastAsia="Times New Roman" w:hAnsi="Times New Roman" w:cs="Times New Roman"/>
                <w:sz w:val="28"/>
                <w:szCs w:val="28"/>
                <w:vertAlign w:val="superscript"/>
                <w:lang w:val="en-IN" w:eastAsia="en-IN" w:bidi="hi-IN"/>
              </w:rPr>
              <w:t>a</w:t>
            </w:r>
          </w:p>
        </w:tc>
        <w:tc>
          <w:tcPr>
            <w:tcW w:w="1820" w:type="dxa"/>
            <w:tcBorders>
              <w:top w:val="nil"/>
              <w:left w:val="nil"/>
              <w:bottom w:val="single" w:sz="8" w:space="0" w:color="auto"/>
              <w:right w:val="single" w:sz="8" w:space="0" w:color="auto"/>
            </w:tcBorders>
            <w:vAlign w:val="center"/>
            <w:hideMark/>
          </w:tcPr>
          <w:p w14:paraId="31B291B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106.72</w:t>
            </w:r>
          </w:p>
        </w:tc>
      </w:tr>
      <w:tr w:rsidR="00FF4E2C" w:rsidRPr="0092744A" w14:paraId="5122F4AD" w14:textId="77777777" w:rsidTr="00856B7F">
        <w:trPr>
          <w:trHeight w:val="328"/>
          <w:jc w:val="center"/>
        </w:trPr>
        <w:tc>
          <w:tcPr>
            <w:tcW w:w="1883" w:type="dxa"/>
            <w:tcBorders>
              <w:top w:val="nil"/>
              <w:left w:val="single" w:sz="8" w:space="0" w:color="auto"/>
              <w:bottom w:val="single" w:sz="8" w:space="0" w:color="auto"/>
              <w:right w:val="single" w:sz="8" w:space="0" w:color="auto"/>
            </w:tcBorders>
            <w:vAlign w:val="center"/>
            <w:hideMark/>
          </w:tcPr>
          <w:p w14:paraId="2A323E2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4</w:t>
            </w:r>
          </w:p>
        </w:tc>
        <w:tc>
          <w:tcPr>
            <w:tcW w:w="2025" w:type="dxa"/>
            <w:tcBorders>
              <w:top w:val="nil"/>
              <w:left w:val="nil"/>
              <w:bottom w:val="single" w:sz="8" w:space="0" w:color="auto"/>
              <w:right w:val="single" w:sz="8" w:space="0" w:color="auto"/>
            </w:tcBorders>
            <w:vAlign w:val="center"/>
            <w:hideMark/>
          </w:tcPr>
          <w:p w14:paraId="64886A33"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1330.50</w:t>
            </w:r>
          </w:p>
        </w:tc>
        <w:tc>
          <w:tcPr>
            <w:tcW w:w="1883" w:type="dxa"/>
            <w:tcBorders>
              <w:top w:val="nil"/>
              <w:left w:val="nil"/>
              <w:bottom w:val="single" w:sz="8" w:space="0" w:color="auto"/>
              <w:right w:val="single" w:sz="8" w:space="0" w:color="auto"/>
            </w:tcBorders>
            <w:vAlign w:val="center"/>
            <w:hideMark/>
          </w:tcPr>
          <w:p w14:paraId="605F15E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162.75</w:t>
            </w:r>
          </w:p>
        </w:tc>
        <w:tc>
          <w:tcPr>
            <w:tcW w:w="1738" w:type="dxa"/>
            <w:tcBorders>
              <w:top w:val="nil"/>
              <w:left w:val="nil"/>
              <w:bottom w:val="single" w:sz="8" w:space="0" w:color="auto"/>
              <w:right w:val="single" w:sz="8" w:space="0" w:color="auto"/>
            </w:tcBorders>
            <w:vAlign w:val="center"/>
            <w:hideMark/>
          </w:tcPr>
          <w:p w14:paraId="3AD852AD"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1167.75</w:t>
            </w:r>
            <w:r w:rsidRPr="00022F26">
              <w:rPr>
                <w:rFonts w:ascii="Times New Roman" w:eastAsia="Times New Roman" w:hAnsi="Times New Roman" w:cs="Times New Roman"/>
                <w:sz w:val="28"/>
                <w:szCs w:val="28"/>
                <w:vertAlign w:val="superscript"/>
                <w:lang w:val="en-IN" w:eastAsia="en-IN" w:bidi="hi-IN"/>
              </w:rPr>
              <w:t>c</w:t>
            </w:r>
          </w:p>
        </w:tc>
        <w:tc>
          <w:tcPr>
            <w:tcW w:w="1820" w:type="dxa"/>
            <w:tcBorders>
              <w:top w:val="nil"/>
              <w:left w:val="nil"/>
              <w:bottom w:val="single" w:sz="8" w:space="0" w:color="auto"/>
              <w:right w:val="single" w:sz="8" w:space="0" w:color="auto"/>
            </w:tcBorders>
            <w:vAlign w:val="center"/>
            <w:hideMark/>
          </w:tcPr>
          <w:p w14:paraId="17E8982F"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105.10</w:t>
            </w:r>
          </w:p>
        </w:tc>
      </w:tr>
      <w:tr w:rsidR="00FF4E2C" w:rsidRPr="0092744A" w14:paraId="6EC9E827" w14:textId="77777777" w:rsidTr="00856B7F">
        <w:trPr>
          <w:trHeight w:val="286"/>
          <w:jc w:val="center"/>
        </w:trPr>
        <w:tc>
          <w:tcPr>
            <w:tcW w:w="1883" w:type="dxa"/>
            <w:tcBorders>
              <w:top w:val="nil"/>
              <w:left w:val="single" w:sz="8" w:space="0" w:color="auto"/>
              <w:bottom w:val="single" w:sz="8" w:space="0" w:color="auto"/>
              <w:right w:val="single" w:sz="8" w:space="0" w:color="auto"/>
            </w:tcBorders>
            <w:vAlign w:val="center"/>
            <w:hideMark/>
          </w:tcPr>
          <w:p w14:paraId="45117421"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T</w:t>
            </w:r>
            <w:r w:rsidRPr="00022F26">
              <w:rPr>
                <w:rFonts w:ascii="Times New Roman" w:eastAsia="Times New Roman" w:hAnsi="Times New Roman" w:cs="Times New Roman"/>
                <w:sz w:val="24"/>
                <w:szCs w:val="24"/>
                <w:vertAlign w:val="subscript"/>
                <w:lang w:val="en-IN" w:eastAsia="en-IN" w:bidi="hi-IN"/>
              </w:rPr>
              <w:t>5</w:t>
            </w:r>
          </w:p>
        </w:tc>
        <w:tc>
          <w:tcPr>
            <w:tcW w:w="2025" w:type="dxa"/>
            <w:tcBorders>
              <w:top w:val="nil"/>
              <w:left w:val="nil"/>
              <w:bottom w:val="single" w:sz="8" w:space="0" w:color="auto"/>
              <w:right w:val="single" w:sz="8" w:space="0" w:color="auto"/>
            </w:tcBorders>
            <w:vAlign w:val="center"/>
            <w:hideMark/>
          </w:tcPr>
          <w:p w14:paraId="49A0E35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1327.50</w:t>
            </w:r>
          </w:p>
        </w:tc>
        <w:tc>
          <w:tcPr>
            <w:tcW w:w="1883" w:type="dxa"/>
            <w:tcBorders>
              <w:top w:val="nil"/>
              <w:left w:val="nil"/>
              <w:bottom w:val="single" w:sz="8" w:space="0" w:color="auto"/>
              <w:right w:val="single" w:sz="8" w:space="0" w:color="auto"/>
            </w:tcBorders>
            <w:vAlign w:val="center"/>
            <w:hideMark/>
          </w:tcPr>
          <w:p w14:paraId="3C3D5F49"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166.00</w:t>
            </w:r>
          </w:p>
        </w:tc>
        <w:tc>
          <w:tcPr>
            <w:tcW w:w="1738" w:type="dxa"/>
            <w:tcBorders>
              <w:top w:val="nil"/>
              <w:left w:val="nil"/>
              <w:bottom w:val="single" w:sz="8" w:space="0" w:color="auto"/>
              <w:right w:val="single" w:sz="8" w:space="0" w:color="auto"/>
            </w:tcBorders>
            <w:vAlign w:val="center"/>
            <w:hideMark/>
          </w:tcPr>
          <w:p w14:paraId="197D4A97"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1161.50</w:t>
            </w:r>
            <w:r w:rsidRPr="00022F26">
              <w:rPr>
                <w:rFonts w:ascii="Times New Roman" w:eastAsia="Times New Roman" w:hAnsi="Times New Roman" w:cs="Times New Roman"/>
                <w:sz w:val="28"/>
                <w:szCs w:val="28"/>
                <w:vertAlign w:val="superscript"/>
                <w:lang w:val="en-IN" w:eastAsia="en-IN" w:bidi="hi-IN"/>
              </w:rPr>
              <w:t>c</w:t>
            </w:r>
          </w:p>
        </w:tc>
        <w:tc>
          <w:tcPr>
            <w:tcW w:w="1820" w:type="dxa"/>
            <w:tcBorders>
              <w:top w:val="nil"/>
              <w:left w:val="nil"/>
              <w:bottom w:val="single" w:sz="8" w:space="0" w:color="auto"/>
              <w:right w:val="single" w:sz="8" w:space="0" w:color="auto"/>
            </w:tcBorders>
            <w:vAlign w:val="center"/>
            <w:hideMark/>
          </w:tcPr>
          <w:p w14:paraId="76A338E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104.54</w:t>
            </w:r>
          </w:p>
        </w:tc>
      </w:tr>
      <w:tr w:rsidR="00FF4E2C" w:rsidRPr="0092744A" w14:paraId="39508C01" w14:textId="77777777" w:rsidTr="00856B7F">
        <w:trPr>
          <w:trHeight w:val="367"/>
          <w:jc w:val="center"/>
        </w:trPr>
        <w:tc>
          <w:tcPr>
            <w:tcW w:w="1883" w:type="dxa"/>
            <w:tcBorders>
              <w:top w:val="nil"/>
              <w:left w:val="single" w:sz="8" w:space="0" w:color="auto"/>
              <w:bottom w:val="single" w:sz="8" w:space="0" w:color="auto"/>
              <w:right w:val="single" w:sz="8" w:space="0" w:color="auto"/>
            </w:tcBorders>
            <w:vAlign w:val="center"/>
            <w:hideMark/>
          </w:tcPr>
          <w:p w14:paraId="52DC06E5"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SE ±</w:t>
            </w:r>
          </w:p>
        </w:tc>
        <w:tc>
          <w:tcPr>
            <w:tcW w:w="2025" w:type="dxa"/>
            <w:tcBorders>
              <w:top w:val="nil"/>
              <w:left w:val="nil"/>
              <w:bottom w:val="single" w:sz="8" w:space="0" w:color="auto"/>
              <w:right w:val="single" w:sz="8" w:space="0" w:color="auto"/>
            </w:tcBorders>
            <w:vAlign w:val="center"/>
            <w:hideMark/>
          </w:tcPr>
          <w:p w14:paraId="5E015A3A"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c>
          <w:tcPr>
            <w:tcW w:w="1883" w:type="dxa"/>
            <w:tcBorders>
              <w:top w:val="nil"/>
              <w:left w:val="nil"/>
              <w:bottom w:val="single" w:sz="8" w:space="0" w:color="auto"/>
              <w:right w:val="single" w:sz="8" w:space="0" w:color="auto"/>
            </w:tcBorders>
            <w:vAlign w:val="center"/>
            <w:hideMark/>
          </w:tcPr>
          <w:p w14:paraId="74EF5782"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6.72</w:t>
            </w:r>
          </w:p>
        </w:tc>
        <w:tc>
          <w:tcPr>
            <w:tcW w:w="1738" w:type="dxa"/>
            <w:tcBorders>
              <w:top w:val="nil"/>
              <w:left w:val="nil"/>
              <w:bottom w:val="single" w:sz="8" w:space="0" w:color="auto"/>
              <w:right w:val="single" w:sz="8" w:space="0" w:color="auto"/>
            </w:tcBorders>
            <w:vAlign w:val="center"/>
            <w:hideMark/>
          </w:tcPr>
          <w:p w14:paraId="1CFCFA68"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0.28</w:t>
            </w:r>
          </w:p>
        </w:tc>
        <w:tc>
          <w:tcPr>
            <w:tcW w:w="1820" w:type="dxa"/>
            <w:tcBorders>
              <w:top w:val="nil"/>
              <w:left w:val="nil"/>
              <w:bottom w:val="single" w:sz="8" w:space="0" w:color="auto"/>
              <w:right w:val="single" w:sz="8" w:space="0" w:color="auto"/>
            </w:tcBorders>
            <w:vAlign w:val="center"/>
            <w:hideMark/>
          </w:tcPr>
          <w:p w14:paraId="301F3C14"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r>
      <w:tr w:rsidR="00FF4E2C" w:rsidRPr="0092744A" w14:paraId="05B8A425" w14:textId="77777777" w:rsidTr="00856B7F">
        <w:trPr>
          <w:trHeight w:val="417"/>
          <w:jc w:val="center"/>
        </w:trPr>
        <w:tc>
          <w:tcPr>
            <w:tcW w:w="1883" w:type="dxa"/>
            <w:tcBorders>
              <w:top w:val="nil"/>
              <w:left w:val="single" w:sz="8" w:space="0" w:color="auto"/>
              <w:bottom w:val="single" w:sz="8" w:space="0" w:color="auto"/>
              <w:right w:val="single" w:sz="8" w:space="0" w:color="auto"/>
            </w:tcBorders>
            <w:vAlign w:val="center"/>
            <w:hideMark/>
          </w:tcPr>
          <w:p w14:paraId="6217D9CE"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CD (5%)</w:t>
            </w:r>
          </w:p>
        </w:tc>
        <w:tc>
          <w:tcPr>
            <w:tcW w:w="2025" w:type="dxa"/>
            <w:tcBorders>
              <w:top w:val="nil"/>
              <w:left w:val="nil"/>
              <w:bottom w:val="single" w:sz="8" w:space="0" w:color="auto"/>
              <w:right w:val="single" w:sz="8" w:space="0" w:color="auto"/>
            </w:tcBorders>
            <w:vAlign w:val="center"/>
            <w:hideMark/>
          </w:tcPr>
          <w:p w14:paraId="480B8CB3"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c>
          <w:tcPr>
            <w:tcW w:w="1883" w:type="dxa"/>
            <w:tcBorders>
              <w:top w:val="nil"/>
              <w:left w:val="nil"/>
              <w:bottom w:val="single" w:sz="8" w:space="0" w:color="auto"/>
              <w:right w:val="single" w:sz="8" w:space="0" w:color="auto"/>
            </w:tcBorders>
            <w:vAlign w:val="center"/>
            <w:hideMark/>
          </w:tcPr>
          <w:p w14:paraId="7E219932"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20.71</w:t>
            </w:r>
          </w:p>
        </w:tc>
        <w:tc>
          <w:tcPr>
            <w:tcW w:w="1738" w:type="dxa"/>
            <w:tcBorders>
              <w:top w:val="nil"/>
              <w:left w:val="nil"/>
              <w:bottom w:val="single" w:sz="8" w:space="0" w:color="auto"/>
              <w:right w:val="single" w:sz="8" w:space="0" w:color="auto"/>
            </w:tcBorders>
            <w:vAlign w:val="center"/>
            <w:hideMark/>
          </w:tcPr>
          <w:p w14:paraId="69FF2220"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0.88</w:t>
            </w:r>
          </w:p>
        </w:tc>
        <w:tc>
          <w:tcPr>
            <w:tcW w:w="1820" w:type="dxa"/>
            <w:tcBorders>
              <w:top w:val="nil"/>
              <w:left w:val="nil"/>
              <w:bottom w:val="single" w:sz="8" w:space="0" w:color="auto"/>
              <w:right w:val="single" w:sz="8" w:space="0" w:color="auto"/>
            </w:tcBorders>
            <w:vAlign w:val="center"/>
            <w:hideMark/>
          </w:tcPr>
          <w:p w14:paraId="7BCD1557" w14:textId="77777777" w:rsidR="00FF4E2C" w:rsidRPr="00022F26" w:rsidRDefault="00FF4E2C" w:rsidP="00016E38">
            <w:pPr>
              <w:jc w:val="center"/>
              <w:rPr>
                <w:rFonts w:ascii="Times New Roman" w:eastAsia="Times New Roman" w:hAnsi="Times New Roman" w:cs="Times New Roman"/>
                <w:sz w:val="24"/>
                <w:szCs w:val="24"/>
                <w:lang w:val="en-IN" w:eastAsia="en-IN" w:bidi="hi-IN"/>
              </w:rPr>
            </w:pPr>
            <w:r w:rsidRPr="00022F26">
              <w:rPr>
                <w:rFonts w:ascii="Times New Roman" w:eastAsia="Times New Roman" w:hAnsi="Times New Roman" w:cs="Times New Roman"/>
                <w:sz w:val="24"/>
                <w:szCs w:val="24"/>
                <w:lang w:val="en-IN" w:eastAsia="en-IN" w:bidi="hi-IN"/>
              </w:rPr>
              <w:t>-</w:t>
            </w:r>
          </w:p>
        </w:tc>
      </w:tr>
    </w:tbl>
    <w:p w14:paraId="06C86EF9" w14:textId="3866C862" w:rsidR="00FF4E2C" w:rsidRDefault="00FF4E2C"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Pr>
          <w:rFonts w:ascii="Times New Roman" w:hAnsi="Times New Roman" w:cs="Times New Roman"/>
        </w:rPr>
        <w:t>N</w:t>
      </w:r>
      <w:r w:rsidRPr="00717B74">
        <w:rPr>
          <w:rFonts w:ascii="Times New Roman" w:hAnsi="Times New Roman" w:cs="Times New Roman"/>
        </w:rPr>
        <w:t>umbers having different superscripts differed from each other</w:t>
      </w:r>
      <w:r>
        <w:rPr>
          <w:rFonts w:ascii="Times New Roman" w:hAnsi="Times New Roman" w:cs="Times New Roman"/>
        </w:rPr>
        <w:t>.</w:t>
      </w:r>
    </w:p>
    <w:p w14:paraId="08148756" w14:textId="77777777" w:rsidR="00016E38" w:rsidRDefault="0061125B" w:rsidP="00523EE4">
      <w:pPr>
        <w:spacing w:line="360" w:lineRule="auto"/>
        <w:ind w:firstLine="737"/>
        <w:rPr>
          <w:rFonts w:ascii="Times New Roman" w:hAnsi="Times New Roman" w:cs="Times New Roman"/>
          <w:sz w:val="24"/>
          <w:szCs w:val="24"/>
        </w:rPr>
      </w:pPr>
      <w:r w:rsidRPr="0061125B">
        <w:rPr>
          <w:rFonts w:ascii="Times New Roman" w:hAnsi="Times New Roman" w:cs="Times New Roman"/>
          <w:sz w:val="24"/>
          <w:szCs w:val="24"/>
        </w:rPr>
        <w:t>Statistical analysis revealed a significant difference in daily feed intake among the five treatment groups. T₂ showed the highest intake, indicating improved palatability, while T₄ and T₅ recorded comparatively lower values than T₁, T₂</w:t>
      </w:r>
      <w:r w:rsidR="00016E38">
        <w:rPr>
          <w:rFonts w:ascii="Times New Roman" w:hAnsi="Times New Roman" w:cs="Times New Roman"/>
          <w:sz w:val="24"/>
          <w:szCs w:val="24"/>
        </w:rPr>
        <w:t xml:space="preserve"> and </w:t>
      </w:r>
      <w:r w:rsidRPr="0061125B">
        <w:rPr>
          <w:rFonts w:ascii="Times New Roman" w:hAnsi="Times New Roman" w:cs="Times New Roman"/>
          <w:sz w:val="24"/>
          <w:szCs w:val="24"/>
        </w:rPr>
        <w:t xml:space="preserve">T₃. In comparison, </w:t>
      </w:r>
      <w:proofErr w:type="spellStart"/>
      <w:r w:rsidRPr="0061125B">
        <w:rPr>
          <w:rFonts w:ascii="Times New Roman" w:hAnsi="Times New Roman" w:cs="Times New Roman"/>
          <w:sz w:val="24"/>
          <w:szCs w:val="24"/>
        </w:rPr>
        <w:t>Jansuk</w:t>
      </w:r>
      <w:proofErr w:type="spellEnd"/>
      <w:r w:rsidRPr="0061125B">
        <w:rPr>
          <w:rFonts w:ascii="Times New Roman" w:hAnsi="Times New Roman" w:cs="Times New Roman"/>
          <w:sz w:val="24"/>
          <w:szCs w:val="24"/>
        </w:rPr>
        <w:t xml:space="preserve"> et al. (2022) reported higher feed intake, with the control group (T₁) recording 1709.43 g/day, while kids supplemented with 2% and 4% turmeric powder showed slightly lower values of 1661.96 g/day and 1651.28 g/day, respectively. Although intake decreased slightly with increasing turmeric levels, the overall values were higher than those in the present study, suggesting turmeric </w:t>
      </w:r>
      <w:r w:rsidRPr="00523EE4">
        <w:rPr>
          <w:rFonts w:ascii="Times New Roman" w:hAnsi="Times New Roman" w:cs="Times New Roman"/>
          <w:sz w:val="24"/>
          <w:szCs w:val="24"/>
        </w:rPr>
        <w:t>supplementation supports favorable feed acceptance.</w:t>
      </w:r>
    </w:p>
    <w:p w14:paraId="070E3448" w14:textId="272D1893" w:rsidR="0061125B" w:rsidRPr="00523EE4" w:rsidRDefault="00523EE4" w:rsidP="00523EE4">
      <w:pPr>
        <w:spacing w:line="360" w:lineRule="auto"/>
        <w:ind w:firstLine="737"/>
        <w:rPr>
          <w:rFonts w:ascii="Times New Roman" w:hAnsi="Times New Roman" w:cs="Times New Roman"/>
          <w:sz w:val="24"/>
          <w:szCs w:val="24"/>
        </w:rPr>
      </w:pPr>
      <w:r w:rsidRPr="00523EE4">
        <w:rPr>
          <w:rFonts w:ascii="Times New Roman" w:hAnsi="Times New Roman" w:cs="Times New Roman"/>
          <w:b/>
          <w:bCs/>
          <w:sz w:val="24"/>
          <w:szCs w:val="24"/>
        </w:rPr>
        <w:t xml:space="preserve">2. </w:t>
      </w:r>
      <w:r w:rsidR="0061125B" w:rsidRPr="00523EE4">
        <w:rPr>
          <w:rFonts w:ascii="Times New Roman" w:hAnsi="Times New Roman" w:cs="Times New Roman"/>
          <w:b/>
          <w:bCs/>
          <w:sz w:val="24"/>
          <w:szCs w:val="24"/>
        </w:rPr>
        <w:t>Dry matter intake</w:t>
      </w:r>
    </w:p>
    <w:p w14:paraId="3B8D6A30" w14:textId="15D6D36B" w:rsidR="0061125B" w:rsidRPr="00523EE4" w:rsidRDefault="0061125B" w:rsidP="00A11E03">
      <w:pPr>
        <w:spacing w:line="360" w:lineRule="auto"/>
        <w:ind w:firstLine="737"/>
        <w:rPr>
          <w:rFonts w:ascii="Times New Roman" w:hAnsi="Times New Roman" w:cs="Times New Roman"/>
          <w:sz w:val="24"/>
          <w:szCs w:val="24"/>
        </w:rPr>
      </w:pPr>
      <w:r w:rsidRPr="00523EE4">
        <w:rPr>
          <w:rFonts w:ascii="Times New Roman" w:hAnsi="Times New Roman" w:cs="Times New Roman"/>
          <w:sz w:val="24"/>
          <w:szCs w:val="24"/>
        </w:rPr>
        <w:t>The dry matter intake (g/day), DMI per 100 kg body weight (kg) and intake per kg metabolic body weight for various treatment groups, viz. T</w:t>
      </w:r>
      <w:r w:rsidRPr="00523EE4">
        <w:rPr>
          <w:rFonts w:ascii="Times New Roman" w:hAnsi="Times New Roman" w:cs="Times New Roman"/>
          <w:sz w:val="24"/>
          <w:szCs w:val="24"/>
          <w:vertAlign w:val="subscript"/>
        </w:rPr>
        <w:t>1</w:t>
      </w:r>
      <w:r w:rsidRPr="00523EE4">
        <w:rPr>
          <w:rFonts w:ascii="Times New Roman" w:hAnsi="Times New Roman" w:cs="Times New Roman"/>
          <w:sz w:val="24"/>
          <w:szCs w:val="24"/>
        </w:rPr>
        <w:t>, T</w:t>
      </w:r>
      <w:r w:rsidRPr="00523EE4">
        <w:rPr>
          <w:rFonts w:ascii="Times New Roman" w:hAnsi="Times New Roman" w:cs="Times New Roman"/>
          <w:sz w:val="24"/>
          <w:szCs w:val="24"/>
          <w:vertAlign w:val="subscript"/>
        </w:rPr>
        <w:t>2</w:t>
      </w:r>
      <w:r w:rsidRPr="00523EE4">
        <w:rPr>
          <w:rFonts w:ascii="Times New Roman" w:hAnsi="Times New Roman" w:cs="Times New Roman"/>
          <w:sz w:val="24"/>
          <w:szCs w:val="24"/>
        </w:rPr>
        <w:t>, T</w:t>
      </w:r>
      <w:r w:rsidRPr="00523EE4">
        <w:rPr>
          <w:rFonts w:ascii="Times New Roman" w:hAnsi="Times New Roman" w:cs="Times New Roman"/>
          <w:sz w:val="24"/>
          <w:szCs w:val="24"/>
          <w:vertAlign w:val="subscript"/>
        </w:rPr>
        <w:t>3</w:t>
      </w:r>
      <w:r w:rsidRPr="00523EE4">
        <w:rPr>
          <w:rFonts w:ascii="Times New Roman" w:hAnsi="Times New Roman" w:cs="Times New Roman"/>
          <w:sz w:val="24"/>
          <w:szCs w:val="24"/>
        </w:rPr>
        <w:t>, T</w:t>
      </w:r>
      <w:r w:rsidRPr="00523EE4">
        <w:rPr>
          <w:rFonts w:ascii="Times New Roman" w:hAnsi="Times New Roman" w:cs="Times New Roman"/>
          <w:sz w:val="24"/>
          <w:szCs w:val="24"/>
          <w:vertAlign w:val="subscript"/>
        </w:rPr>
        <w:t>4</w:t>
      </w:r>
      <w:r w:rsidRPr="00523EE4">
        <w:rPr>
          <w:rFonts w:ascii="Times New Roman" w:hAnsi="Times New Roman" w:cs="Times New Roman"/>
          <w:sz w:val="24"/>
          <w:szCs w:val="24"/>
        </w:rPr>
        <w:t xml:space="preserve"> and T</w:t>
      </w:r>
      <w:r w:rsidRPr="00523EE4">
        <w:rPr>
          <w:rFonts w:ascii="Times New Roman" w:hAnsi="Times New Roman" w:cs="Times New Roman"/>
          <w:sz w:val="24"/>
          <w:szCs w:val="24"/>
          <w:vertAlign w:val="subscript"/>
        </w:rPr>
        <w:t>5</w:t>
      </w:r>
      <w:r w:rsidRPr="00523EE4">
        <w:rPr>
          <w:rFonts w:ascii="Times New Roman" w:hAnsi="Times New Roman" w:cs="Times New Roman"/>
          <w:sz w:val="24"/>
          <w:szCs w:val="24"/>
        </w:rPr>
        <w:t xml:space="preserve"> are calculated and presented in Table </w:t>
      </w:r>
      <w:r w:rsidR="00523EE4">
        <w:rPr>
          <w:rFonts w:ascii="Times New Roman" w:hAnsi="Times New Roman" w:cs="Times New Roman"/>
          <w:sz w:val="24"/>
          <w:szCs w:val="24"/>
        </w:rPr>
        <w:t>3.</w:t>
      </w:r>
    </w:p>
    <w:p w14:paraId="1AA745AB" w14:textId="0241B5DF" w:rsidR="0061125B" w:rsidRPr="00523EE4" w:rsidRDefault="00523EE4" w:rsidP="00523EE4">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Table 3. </w:t>
      </w:r>
      <w:r w:rsidR="0061125B" w:rsidRPr="00523EE4">
        <w:rPr>
          <w:rFonts w:ascii="Times New Roman" w:hAnsi="Times New Roman" w:cs="Times New Roman"/>
          <w:b/>
          <w:bCs/>
          <w:sz w:val="24"/>
          <w:szCs w:val="24"/>
        </w:rPr>
        <w:t>Average dry matter intake by experimental kids during metabolic period (DM basis)</w:t>
      </w:r>
    </w:p>
    <w:tbl>
      <w:tblPr>
        <w:tblW w:w="9252" w:type="dxa"/>
        <w:jc w:val="center"/>
        <w:tblLook w:val="04A0" w:firstRow="1" w:lastRow="0" w:firstColumn="1" w:lastColumn="0" w:noHBand="0" w:noVBand="1"/>
      </w:tblPr>
      <w:tblGrid>
        <w:gridCol w:w="1488"/>
        <w:gridCol w:w="1928"/>
        <w:gridCol w:w="1790"/>
        <w:gridCol w:w="1926"/>
        <w:gridCol w:w="2120"/>
      </w:tblGrid>
      <w:tr w:rsidR="0061125B" w:rsidRPr="001271B5" w14:paraId="71762A5D" w14:textId="77777777" w:rsidTr="00856B7F">
        <w:trPr>
          <w:trHeight w:val="362"/>
          <w:jc w:val="center"/>
        </w:trPr>
        <w:tc>
          <w:tcPr>
            <w:tcW w:w="1488" w:type="dxa"/>
            <w:vMerge w:val="restart"/>
            <w:tcBorders>
              <w:top w:val="single" w:sz="8" w:space="0" w:color="auto"/>
              <w:left w:val="single" w:sz="8" w:space="0" w:color="auto"/>
              <w:bottom w:val="single" w:sz="8" w:space="0" w:color="000000"/>
              <w:right w:val="single" w:sz="8" w:space="0" w:color="auto"/>
            </w:tcBorders>
            <w:vAlign w:val="center"/>
            <w:hideMark/>
          </w:tcPr>
          <w:p w14:paraId="08FC41D7"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Treatments</w:t>
            </w:r>
          </w:p>
        </w:tc>
        <w:tc>
          <w:tcPr>
            <w:tcW w:w="7764" w:type="dxa"/>
            <w:gridSpan w:val="4"/>
            <w:tcBorders>
              <w:top w:val="single" w:sz="8" w:space="0" w:color="auto"/>
              <w:left w:val="nil"/>
              <w:bottom w:val="single" w:sz="8" w:space="0" w:color="auto"/>
              <w:right w:val="single" w:sz="8" w:space="0" w:color="000000"/>
            </w:tcBorders>
            <w:vAlign w:val="center"/>
            <w:hideMark/>
          </w:tcPr>
          <w:p w14:paraId="50769D1C"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 DMI</w:t>
            </w:r>
          </w:p>
        </w:tc>
      </w:tr>
      <w:tr w:rsidR="0061125B" w:rsidRPr="001271B5" w14:paraId="0CBA28E0" w14:textId="77777777" w:rsidTr="00856B7F">
        <w:trPr>
          <w:trHeight w:val="596"/>
          <w:jc w:val="center"/>
        </w:trPr>
        <w:tc>
          <w:tcPr>
            <w:tcW w:w="1488" w:type="dxa"/>
            <w:vMerge/>
            <w:tcBorders>
              <w:top w:val="single" w:sz="8" w:space="0" w:color="auto"/>
              <w:left w:val="single" w:sz="8" w:space="0" w:color="auto"/>
              <w:bottom w:val="single" w:sz="8" w:space="0" w:color="000000"/>
              <w:right w:val="single" w:sz="8" w:space="0" w:color="auto"/>
            </w:tcBorders>
            <w:vAlign w:val="center"/>
            <w:hideMark/>
          </w:tcPr>
          <w:p w14:paraId="5D4420E7" w14:textId="77777777" w:rsidR="0061125B" w:rsidRPr="001271B5" w:rsidRDefault="0061125B" w:rsidP="00A248C6">
            <w:pPr>
              <w:jc w:val="left"/>
              <w:rPr>
                <w:rFonts w:ascii="Times New Roman" w:eastAsia="Times New Roman" w:hAnsi="Times New Roman" w:cs="Times New Roman"/>
                <w:b/>
                <w:bCs/>
                <w:color w:val="000000"/>
                <w:sz w:val="24"/>
                <w:szCs w:val="24"/>
                <w:lang w:val="en-IN" w:eastAsia="en-IN" w:bidi="hi-IN"/>
              </w:rPr>
            </w:pPr>
          </w:p>
        </w:tc>
        <w:tc>
          <w:tcPr>
            <w:tcW w:w="1928" w:type="dxa"/>
            <w:tcBorders>
              <w:top w:val="nil"/>
              <w:left w:val="nil"/>
              <w:bottom w:val="single" w:sz="8" w:space="0" w:color="auto"/>
              <w:right w:val="single" w:sz="8" w:space="0" w:color="auto"/>
            </w:tcBorders>
            <w:vAlign w:val="center"/>
            <w:hideMark/>
          </w:tcPr>
          <w:p w14:paraId="19AF2625"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Body weight (kg)</w:t>
            </w:r>
          </w:p>
        </w:tc>
        <w:tc>
          <w:tcPr>
            <w:tcW w:w="1790" w:type="dxa"/>
            <w:tcBorders>
              <w:top w:val="nil"/>
              <w:left w:val="nil"/>
              <w:bottom w:val="single" w:sz="8" w:space="0" w:color="auto"/>
              <w:right w:val="single" w:sz="8" w:space="0" w:color="auto"/>
            </w:tcBorders>
            <w:vAlign w:val="center"/>
            <w:hideMark/>
          </w:tcPr>
          <w:p w14:paraId="6F572651"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Daily intake (g/day)</w:t>
            </w:r>
          </w:p>
        </w:tc>
        <w:tc>
          <w:tcPr>
            <w:tcW w:w="1926" w:type="dxa"/>
            <w:tcBorders>
              <w:top w:val="nil"/>
              <w:left w:val="nil"/>
              <w:bottom w:val="single" w:sz="8" w:space="0" w:color="auto"/>
              <w:right w:val="single" w:sz="8" w:space="0" w:color="auto"/>
            </w:tcBorders>
            <w:vAlign w:val="center"/>
            <w:hideMark/>
          </w:tcPr>
          <w:p w14:paraId="7D65D933"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Intake per 100 kg BW (kg)</w:t>
            </w:r>
          </w:p>
        </w:tc>
        <w:tc>
          <w:tcPr>
            <w:tcW w:w="2118" w:type="dxa"/>
            <w:tcBorders>
              <w:top w:val="nil"/>
              <w:left w:val="nil"/>
              <w:bottom w:val="single" w:sz="8" w:space="0" w:color="auto"/>
              <w:right w:val="single" w:sz="8" w:space="0" w:color="auto"/>
            </w:tcBorders>
            <w:vAlign w:val="center"/>
            <w:hideMark/>
          </w:tcPr>
          <w:p w14:paraId="474A6965" w14:textId="77777777" w:rsidR="0061125B" w:rsidRPr="001271B5" w:rsidRDefault="0061125B" w:rsidP="00A248C6">
            <w:pPr>
              <w:jc w:val="center"/>
              <w:rPr>
                <w:rFonts w:ascii="Times New Roman" w:eastAsia="Times New Roman" w:hAnsi="Times New Roman" w:cs="Times New Roman"/>
                <w:b/>
                <w:bCs/>
                <w:color w:val="000000"/>
                <w:sz w:val="24"/>
                <w:szCs w:val="24"/>
                <w:lang w:val="en-IN" w:eastAsia="en-IN" w:bidi="hi-IN"/>
              </w:rPr>
            </w:pPr>
            <w:r w:rsidRPr="001271B5">
              <w:rPr>
                <w:rFonts w:ascii="Times New Roman" w:eastAsia="Times New Roman" w:hAnsi="Times New Roman" w:cs="Times New Roman"/>
                <w:b/>
                <w:bCs/>
                <w:color w:val="000000"/>
                <w:sz w:val="24"/>
                <w:szCs w:val="24"/>
                <w:lang w:val="en-IN" w:eastAsia="en-IN" w:bidi="hi-IN"/>
              </w:rPr>
              <w:t>Intake per kg W</w:t>
            </w:r>
            <w:r w:rsidRPr="001271B5">
              <w:rPr>
                <w:rFonts w:ascii="Times New Roman" w:eastAsia="Times New Roman" w:hAnsi="Times New Roman" w:cs="Times New Roman"/>
                <w:b/>
                <w:bCs/>
                <w:color w:val="000000"/>
                <w:sz w:val="24"/>
                <w:szCs w:val="24"/>
                <w:vertAlign w:val="superscript"/>
                <w:lang w:val="en-IN" w:eastAsia="en-IN" w:bidi="hi-IN"/>
              </w:rPr>
              <w:t xml:space="preserve">0.75 </w:t>
            </w:r>
            <w:r w:rsidRPr="001271B5">
              <w:rPr>
                <w:rFonts w:ascii="Times New Roman" w:eastAsia="Times New Roman" w:hAnsi="Times New Roman" w:cs="Times New Roman"/>
                <w:b/>
                <w:bCs/>
                <w:color w:val="000000"/>
                <w:sz w:val="24"/>
                <w:szCs w:val="24"/>
                <w:lang w:val="en-IN" w:eastAsia="en-IN" w:bidi="hi-IN"/>
              </w:rPr>
              <w:t>BW (g)</w:t>
            </w:r>
          </w:p>
        </w:tc>
      </w:tr>
      <w:tr w:rsidR="00016E38" w:rsidRPr="001271B5" w14:paraId="0ED85DAB"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5CBEE367" w14:textId="4F702E0A"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1</w:t>
            </w:r>
          </w:p>
        </w:tc>
        <w:tc>
          <w:tcPr>
            <w:tcW w:w="1928" w:type="dxa"/>
            <w:tcBorders>
              <w:top w:val="nil"/>
              <w:left w:val="nil"/>
              <w:bottom w:val="single" w:sz="8" w:space="0" w:color="auto"/>
              <w:right w:val="single" w:sz="8" w:space="0" w:color="auto"/>
            </w:tcBorders>
            <w:vAlign w:val="center"/>
            <w:hideMark/>
          </w:tcPr>
          <w:p w14:paraId="2226D1F1"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15.16</w:t>
            </w:r>
          </w:p>
        </w:tc>
        <w:tc>
          <w:tcPr>
            <w:tcW w:w="1790" w:type="dxa"/>
            <w:tcBorders>
              <w:top w:val="nil"/>
              <w:left w:val="nil"/>
              <w:bottom w:val="single" w:sz="8" w:space="0" w:color="auto"/>
              <w:right w:val="single" w:sz="8" w:space="0" w:color="auto"/>
            </w:tcBorders>
            <w:vAlign w:val="center"/>
            <w:hideMark/>
          </w:tcPr>
          <w:p w14:paraId="4650D721"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697.79</w:t>
            </w:r>
          </w:p>
        </w:tc>
        <w:tc>
          <w:tcPr>
            <w:tcW w:w="1926" w:type="dxa"/>
            <w:tcBorders>
              <w:top w:val="nil"/>
              <w:left w:val="nil"/>
              <w:bottom w:val="single" w:sz="8" w:space="0" w:color="auto"/>
              <w:right w:val="single" w:sz="8" w:space="0" w:color="auto"/>
            </w:tcBorders>
            <w:vAlign w:val="center"/>
            <w:hideMark/>
          </w:tcPr>
          <w:p w14:paraId="2659D8E4"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4.61</w:t>
            </w:r>
          </w:p>
        </w:tc>
        <w:tc>
          <w:tcPr>
            <w:tcW w:w="2118" w:type="dxa"/>
            <w:tcBorders>
              <w:top w:val="nil"/>
              <w:left w:val="nil"/>
              <w:bottom w:val="single" w:sz="8" w:space="0" w:color="auto"/>
              <w:right w:val="single" w:sz="8" w:space="0" w:color="auto"/>
            </w:tcBorders>
            <w:vAlign w:val="center"/>
            <w:hideMark/>
          </w:tcPr>
          <w:p w14:paraId="5FE27CBE"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66.25</w:t>
            </w:r>
            <w:r w:rsidRPr="00107626">
              <w:rPr>
                <w:rFonts w:ascii="Times New Roman" w:eastAsia="Times New Roman" w:hAnsi="Times New Roman" w:cs="Times New Roman"/>
                <w:color w:val="000000"/>
                <w:sz w:val="28"/>
                <w:szCs w:val="28"/>
                <w:vertAlign w:val="superscript"/>
                <w:lang w:val="en-IN" w:eastAsia="en-IN" w:bidi="hi-IN"/>
              </w:rPr>
              <w:t>a</w:t>
            </w:r>
          </w:p>
        </w:tc>
      </w:tr>
      <w:tr w:rsidR="00016E38" w:rsidRPr="001271B5" w14:paraId="1F8CF05D"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1D8E1807" w14:textId="14B4D9B3"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2</w:t>
            </w:r>
          </w:p>
        </w:tc>
        <w:tc>
          <w:tcPr>
            <w:tcW w:w="1928" w:type="dxa"/>
            <w:tcBorders>
              <w:top w:val="nil"/>
              <w:left w:val="nil"/>
              <w:bottom w:val="single" w:sz="8" w:space="0" w:color="auto"/>
              <w:right w:val="single" w:sz="8" w:space="0" w:color="auto"/>
            </w:tcBorders>
            <w:vAlign w:val="center"/>
            <w:hideMark/>
          </w:tcPr>
          <w:p w14:paraId="6F3C9324"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15.48</w:t>
            </w:r>
          </w:p>
        </w:tc>
        <w:tc>
          <w:tcPr>
            <w:tcW w:w="1790" w:type="dxa"/>
            <w:tcBorders>
              <w:top w:val="nil"/>
              <w:left w:val="nil"/>
              <w:bottom w:val="single" w:sz="8" w:space="0" w:color="auto"/>
              <w:right w:val="single" w:sz="8" w:space="0" w:color="auto"/>
            </w:tcBorders>
            <w:vAlign w:val="center"/>
            <w:hideMark/>
          </w:tcPr>
          <w:p w14:paraId="01E5BAAD"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713.32</w:t>
            </w:r>
          </w:p>
        </w:tc>
        <w:tc>
          <w:tcPr>
            <w:tcW w:w="1926" w:type="dxa"/>
            <w:tcBorders>
              <w:top w:val="nil"/>
              <w:left w:val="nil"/>
              <w:bottom w:val="single" w:sz="8" w:space="0" w:color="auto"/>
              <w:right w:val="single" w:sz="8" w:space="0" w:color="auto"/>
            </w:tcBorders>
            <w:vAlign w:val="center"/>
            <w:hideMark/>
          </w:tcPr>
          <w:p w14:paraId="65373638"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4.61</w:t>
            </w:r>
          </w:p>
        </w:tc>
        <w:tc>
          <w:tcPr>
            <w:tcW w:w="2118" w:type="dxa"/>
            <w:tcBorders>
              <w:top w:val="nil"/>
              <w:left w:val="nil"/>
              <w:bottom w:val="single" w:sz="8" w:space="0" w:color="auto"/>
              <w:right w:val="single" w:sz="8" w:space="0" w:color="auto"/>
            </w:tcBorders>
            <w:vAlign w:val="center"/>
            <w:hideMark/>
          </w:tcPr>
          <w:p w14:paraId="1227E51B"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69.44</w:t>
            </w:r>
            <w:r w:rsidRPr="00107626">
              <w:rPr>
                <w:rFonts w:ascii="Times New Roman" w:eastAsia="Times New Roman" w:hAnsi="Times New Roman" w:cs="Times New Roman"/>
                <w:color w:val="000000"/>
                <w:sz w:val="28"/>
                <w:szCs w:val="28"/>
                <w:vertAlign w:val="superscript"/>
                <w:lang w:val="en-IN" w:eastAsia="en-IN" w:bidi="hi-IN"/>
              </w:rPr>
              <w:t>a</w:t>
            </w:r>
          </w:p>
        </w:tc>
      </w:tr>
      <w:tr w:rsidR="00016E38" w:rsidRPr="001271B5" w14:paraId="476C2FEF"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7CEDD20F" w14:textId="04FD653E"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lastRenderedPageBreak/>
              <w:t>T</w:t>
            </w:r>
            <w:r w:rsidRPr="00016E38">
              <w:rPr>
                <w:rFonts w:ascii="Times New Roman" w:hAnsi="Times New Roman" w:cs="Times New Roman"/>
                <w:sz w:val="24"/>
                <w:szCs w:val="24"/>
                <w:vertAlign w:val="superscript"/>
              </w:rPr>
              <w:t>3</w:t>
            </w:r>
          </w:p>
        </w:tc>
        <w:tc>
          <w:tcPr>
            <w:tcW w:w="1928" w:type="dxa"/>
            <w:tcBorders>
              <w:top w:val="nil"/>
              <w:left w:val="nil"/>
              <w:bottom w:val="single" w:sz="8" w:space="0" w:color="auto"/>
              <w:right w:val="single" w:sz="8" w:space="0" w:color="auto"/>
            </w:tcBorders>
            <w:vAlign w:val="center"/>
            <w:hideMark/>
          </w:tcPr>
          <w:p w14:paraId="4AA08515"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15.58</w:t>
            </w:r>
          </w:p>
        </w:tc>
        <w:tc>
          <w:tcPr>
            <w:tcW w:w="1790" w:type="dxa"/>
            <w:tcBorders>
              <w:top w:val="nil"/>
              <w:left w:val="nil"/>
              <w:bottom w:val="single" w:sz="8" w:space="0" w:color="auto"/>
              <w:right w:val="single" w:sz="8" w:space="0" w:color="auto"/>
            </w:tcBorders>
            <w:vAlign w:val="center"/>
            <w:hideMark/>
          </w:tcPr>
          <w:p w14:paraId="0B1E4562"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704.23</w:t>
            </w:r>
          </w:p>
        </w:tc>
        <w:tc>
          <w:tcPr>
            <w:tcW w:w="1926" w:type="dxa"/>
            <w:tcBorders>
              <w:top w:val="nil"/>
              <w:left w:val="nil"/>
              <w:bottom w:val="single" w:sz="8" w:space="0" w:color="auto"/>
              <w:right w:val="single" w:sz="8" w:space="0" w:color="auto"/>
            </w:tcBorders>
            <w:vAlign w:val="center"/>
            <w:hideMark/>
          </w:tcPr>
          <w:p w14:paraId="23587068"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4.53</w:t>
            </w:r>
          </w:p>
        </w:tc>
        <w:tc>
          <w:tcPr>
            <w:tcW w:w="2118" w:type="dxa"/>
            <w:tcBorders>
              <w:top w:val="nil"/>
              <w:left w:val="nil"/>
              <w:bottom w:val="single" w:sz="8" w:space="0" w:color="auto"/>
              <w:right w:val="single" w:sz="8" w:space="0" w:color="auto"/>
            </w:tcBorders>
            <w:vAlign w:val="center"/>
            <w:hideMark/>
          </w:tcPr>
          <w:p w14:paraId="12DD1B47"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71.39</w:t>
            </w:r>
            <w:r w:rsidRPr="00107626">
              <w:rPr>
                <w:rFonts w:ascii="Times New Roman" w:eastAsia="Times New Roman" w:hAnsi="Times New Roman" w:cs="Times New Roman"/>
                <w:color w:val="000000"/>
                <w:sz w:val="28"/>
                <w:szCs w:val="28"/>
                <w:vertAlign w:val="superscript"/>
                <w:lang w:val="en-IN" w:eastAsia="en-IN" w:bidi="hi-IN"/>
              </w:rPr>
              <w:t>ab</w:t>
            </w:r>
          </w:p>
        </w:tc>
      </w:tr>
      <w:tr w:rsidR="00016E38" w:rsidRPr="001271B5" w14:paraId="67C8A8E8" w14:textId="77777777" w:rsidTr="00856B7F">
        <w:trPr>
          <w:trHeight w:val="416"/>
          <w:jc w:val="center"/>
        </w:trPr>
        <w:tc>
          <w:tcPr>
            <w:tcW w:w="1488" w:type="dxa"/>
            <w:tcBorders>
              <w:top w:val="nil"/>
              <w:left w:val="single" w:sz="8" w:space="0" w:color="auto"/>
              <w:bottom w:val="single" w:sz="8" w:space="0" w:color="auto"/>
              <w:right w:val="single" w:sz="8" w:space="0" w:color="auto"/>
            </w:tcBorders>
            <w:vAlign w:val="center"/>
            <w:hideMark/>
          </w:tcPr>
          <w:p w14:paraId="1C77C60F" w14:textId="11DE46AC"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4</w:t>
            </w:r>
          </w:p>
        </w:tc>
        <w:tc>
          <w:tcPr>
            <w:tcW w:w="1928" w:type="dxa"/>
            <w:tcBorders>
              <w:top w:val="nil"/>
              <w:left w:val="nil"/>
              <w:bottom w:val="single" w:sz="8" w:space="0" w:color="auto"/>
              <w:right w:val="single" w:sz="8" w:space="0" w:color="auto"/>
            </w:tcBorders>
            <w:vAlign w:val="center"/>
            <w:hideMark/>
          </w:tcPr>
          <w:p w14:paraId="39F5E5F2"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16.40</w:t>
            </w:r>
          </w:p>
        </w:tc>
        <w:tc>
          <w:tcPr>
            <w:tcW w:w="1790" w:type="dxa"/>
            <w:tcBorders>
              <w:top w:val="nil"/>
              <w:left w:val="nil"/>
              <w:bottom w:val="single" w:sz="8" w:space="0" w:color="auto"/>
              <w:right w:val="single" w:sz="8" w:space="0" w:color="auto"/>
            </w:tcBorders>
            <w:vAlign w:val="center"/>
            <w:hideMark/>
          </w:tcPr>
          <w:p w14:paraId="29834D1B"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696.09</w:t>
            </w:r>
          </w:p>
        </w:tc>
        <w:tc>
          <w:tcPr>
            <w:tcW w:w="1926" w:type="dxa"/>
            <w:tcBorders>
              <w:top w:val="nil"/>
              <w:left w:val="nil"/>
              <w:bottom w:val="single" w:sz="8" w:space="0" w:color="auto"/>
              <w:right w:val="single" w:sz="8" w:space="0" w:color="auto"/>
            </w:tcBorders>
            <w:vAlign w:val="center"/>
            <w:hideMark/>
          </w:tcPr>
          <w:p w14:paraId="2D31D6A2"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4.25</w:t>
            </w:r>
          </w:p>
        </w:tc>
        <w:tc>
          <w:tcPr>
            <w:tcW w:w="2118" w:type="dxa"/>
            <w:tcBorders>
              <w:top w:val="nil"/>
              <w:left w:val="nil"/>
              <w:bottom w:val="single" w:sz="8" w:space="0" w:color="auto"/>
              <w:right w:val="single" w:sz="8" w:space="0" w:color="auto"/>
            </w:tcBorders>
            <w:vAlign w:val="center"/>
            <w:hideMark/>
          </w:tcPr>
          <w:p w14:paraId="6C03C5D0"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79.72</w:t>
            </w:r>
            <w:r w:rsidRPr="00107626">
              <w:rPr>
                <w:rFonts w:ascii="Times New Roman" w:eastAsia="Times New Roman" w:hAnsi="Times New Roman" w:cs="Times New Roman"/>
                <w:color w:val="000000"/>
                <w:sz w:val="28"/>
                <w:szCs w:val="28"/>
                <w:vertAlign w:val="superscript"/>
                <w:lang w:val="en-IN" w:eastAsia="en-IN" w:bidi="hi-IN"/>
              </w:rPr>
              <w:t>b</w:t>
            </w:r>
          </w:p>
        </w:tc>
      </w:tr>
      <w:tr w:rsidR="00016E38" w:rsidRPr="001271B5" w14:paraId="51F25444" w14:textId="77777777" w:rsidTr="00856B7F">
        <w:trPr>
          <w:trHeight w:val="362"/>
          <w:jc w:val="center"/>
        </w:trPr>
        <w:tc>
          <w:tcPr>
            <w:tcW w:w="1488" w:type="dxa"/>
            <w:tcBorders>
              <w:top w:val="nil"/>
              <w:left w:val="single" w:sz="8" w:space="0" w:color="auto"/>
              <w:bottom w:val="single" w:sz="8" w:space="0" w:color="auto"/>
              <w:right w:val="single" w:sz="8" w:space="0" w:color="auto"/>
            </w:tcBorders>
            <w:vAlign w:val="center"/>
            <w:hideMark/>
          </w:tcPr>
          <w:p w14:paraId="1804BF4D" w14:textId="09B655A5" w:rsidR="00016E38" w:rsidRPr="00016E38" w:rsidRDefault="00016E38" w:rsidP="00016E38">
            <w:pPr>
              <w:jc w:val="center"/>
              <w:rPr>
                <w:rFonts w:ascii="Times New Roman" w:eastAsia="Times New Roman" w:hAnsi="Times New Roman" w:cs="Times New Roman"/>
                <w:color w:val="000000"/>
                <w:sz w:val="24"/>
                <w:szCs w:val="24"/>
                <w:lang w:val="en-IN" w:eastAsia="en-IN" w:bidi="hi-IN"/>
              </w:rPr>
            </w:pPr>
            <w:r w:rsidRPr="00016E38">
              <w:rPr>
                <w:rFonts w:ascii="Times New Roman" w:hAnsi="Times New Roman" w:cs="Times New Roman"/>
                <w:sz w:val="24"/>
                <w:szCs w:val="24"/>
              </w:rPr>
              <w:t>T</w:t>
            </w:r>
            <w:r w:rsidRPr="00016E38">
              <w:rPr>
                <w:rFonts w:ascii="Times New Roman" w:hAnsi="Times New Roman" w:cs="Times New Roman"/>
                <w:sz w:val="24"/>
                <w:szCs w:val="24"/>
                <w:vertAlign w:val="superscript"/>
              </w:rPr>
              <w:t>5</w:t>
            </w:r>
          </w:p>
        </w:tc>
        <w:tc>
          <w:tcPr>
            <w:tcW w:w="1928" w:type="dxa"/>
            <w:tcBorders>
              <w:top w:val="nil"/>
              <w:left w:val="nil"/>
              <w:bottom w:val="single" w:sz="8" w:space="0" w:color="auto"/>
              <w:right w:val="single" w:sz="8" w:space="0" w:color="auto"/>
            </w:tcBorders>
            <w:vAlign w:val="center"/>
            <w:hideMark/>
          </w:tcPr>
          <w:p w14:paraId="092B997C"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15.86</w:t>
            </w:r>
          </w:p>
        </w:tc>
        <w:tc>
          <w:tcPr>
            <w:tcW w:w="1790" w:type="dxa"/>
            <w:tcBorders>
              <w:top w:val="nil"/>
              <w:left w:val="nil"/>
              <w:bottom w:val="single" w:sz="8" w:space="0" w:color="auto"/>
              <w:right w:val="single" w:sz="8" w:space="0" w:color="auto"/>
            </w:tcBorders>
            <w:vAlign w:val="center"/>
            <w:hideMark/>
          </w:tcPr>
          <w:p w14:paraId="68ABD979"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694.91</w:t>
            </w:r>
          </w:p>
        </w:tc>
        <w:tc>
          <w:tcPr>
            <w:tcW w:w="1926" w:type="dxa"/>
            <w:tcBorders>
              <w:top w:val="nil"/>
              <w:left w:val="nil"/>
              <w:bottom w:val="single" w:sz="8" w:space="0" w:color="auto"/>
              <w:right w:val="single" w:sz="8" w:space="0" w:color="auto"/>
            </w:tcBorders>
            <w:vAlign w:val="center"/>
            <w:hideMark/>
          </w:tcPr>
          <w:p w14:paraId="23C2F656"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4.40</w:t>
            </w:r>
          </w:p>
        </w:tc>
        <w:tc>
          <w:tcPr>
            <w:tcW w:w="2118" w:type="dxa"/>
            <w:tcBorders>
              <w:top w:val="nil"/>
              <w:left w:val="nil"/>
              <w:bottom w:val="single" w:sz="8" w:space="0" w:color="auto"/>
              <w:right w:val="single" w:sz="8" w:space="0" w:color="auto"/>
            </w:tcBorders>
            <w:vAlign w:val="center"/>
            <w:hideMark/>
          </w:tcPr>
          <w:p w14:paraId="097112FE" w14:textId="77777777" w:rsidR="00016E38" w:rsidRPr="001271B5" w:rsidRDefault="00016E38" w:rsidP="00016E38">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75.14</w:t>
            </w:r>
            <w:r w:rsidRPr="00107626">
              <w:rPr>
                <w:rFonts w:ascii="Times New Roman" w:eastAsia="Times New Roman" w:hAnsi="Times New Roman" w:cs="Times New Roman"/>
                <w:color w:val="000000"/>
                <w:sz w:val="28"/>
                <w:szCs w:val="28"/>
                <w:vertAlign w:val="superscript"/>
                <w:lang w:val="en-IN" w:eastAsia="en-IN" w:bidi="hi-IN"/>
              </w:rPr>
              <w:t>b</w:t>
            </w:r>
          </w:p>
        </w:tc>
      </w:tr>
      <w:tr w:rsidR="0061125B" w:rsidRPr="001271B5" w14:paraId="447BAD2D" w14:textId="77777777" w:rsidTr="00856B7F">
        <w:trPr>
          <w:trHeight w:val="362"/>
          <w:jc w:val="center"/>
        </w:trPr>
        <w:tc>
          <w:tcPr>
            <w:tcW w:w="1488" w:type="dxa"/>
            <w:tcBorders>
              <w:top w:val="nil"/>
              <w:left w:val="single" w:sz="8" w:space="0" w:color="auto"/>
              <w:bottom w:val="single" w:sz="8" w:space="0" w:color="auto"/>
              <w:right w:val="single" w:sz="8" w:space="0" w:color="auto"/>
            </w:tcBorders>
            <w:vAlign w:val="center"/>
            <w:hideMark/>
          </w:tcPr>
          <w:p w14:paraId="5897A52B"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SE ±</w:t>
            </w:r>
          </w:p>
        </w:tc>
        <w:tc>
          <w:tcPr>
            <w:tcW w:w="1928" w:type="dxa"/>
            <w:tcBorders>
              <w:top w:val="nil"/>
              <w:left w:val="nil"/>
              <w:bottom w:val="single" w:sz="8" w:space="0" w:color="auto"/>
              <w:right w:val="single" w:sz="8" w:space="0" w:color="auto"/>
            </w:tcBorders>
            <w:vAlign w:val="center"/>
            <w:hideMark/>
          </w:tcPr>
          <w:p w14:paraId="4CA8551C"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0.34</w:t>
            </w:r>
          </w:p>
        </w:tc>
        <w:tc>
          <w:tcPr>
            <w:tcW w:w="1790" w:type="dxa"/>
            <w:tcBorders>
              <w:top w:val="nil"/>
              <w:left w:val="nil"/>
              <w:bottom w:val="single" w:sz="8" w:space="0" w:color="auto"/>
              <w:right w:val="single" w:sz="8" w:space="0" w:color="auto"/>
            </w:tcBorders>
            <w:vAlign w:val="center"/>
            <w:hideMark/>
          </w:tcPr>
          <w:p w14:paraId="70D601FD"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3.61</w:t>
            </w:r>
          </w:p>
        </w:tc>
        <w:tc>
          <w:tcPr>
            <w:tcW w:w="1926" w:type="dxa"/>
            <w:tcBorders>
              <w:top w:val="nil"/>
              <w:left w:val="nil"/>
              <w:bottom w:val="single" w:sz="8" w:space="0" w:color="auto"/>
              <w:right w:val="single" w:sz="8" w:space="0" w:color="auto"/>
            </w:tcBorders>
            <w:vAlign w:val="center"/>
            <w:hideMark/>
          </w:tcPr>
          <w:p w14:paraId="5D17398D"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0.10</w:t>
            </w:r>
          </w:p>
        </w:tc>
        <w:tc>
          <w:tcPr>
            <w:tcW w:w="2118" w:type="dxa"/>
            <w:tcBorders>
              <w:top w:val="nil"/>
              <w:left w:val="nil"/>
              <w:bottom w:val="single" w:sz="8" w:space="0" w:color="auto"/>
              <w:right w:val="single" w:sz="8" w:space="0" w:color="auto"/>
            </w:tcBorders>
            <w:vAlign w:val="center"/>
            <w:hideMark/>
          </w:tcPr>
          <w:p w14:paraId="5F07ACC3"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1.28</w:t>
            </w:r>
          </w:p>
        </w:tc>
      </w:tr>
      <w:tr w:rsidR="0061125B" w:rsidRPr="001271B5" w14:paraId="247B3FFF" w14:textId="77777777" w:rsidTr="00856B7F">
        <w:trPr>
          <w:trHeight w:val="362"/>
          <w:jc w:val="center"/>
        </w:trPr>
        <w:tc>
          <w:tcPr>
            <w:tcW w:w="1488" w:type="dxa"/>
            <w:tcBorders>
              <w:top w:val="nil"/>
              <w:left w:val="single" w:sz="8" w:space="0" w:color="auto"/>
              <w:bottom w:val="single" w:sz="8" w:space="0" w:color="auto"/>
              <w:right w:val="single" w:sz="8" w:space="0" w:color="auto"/>
            </w:tcBorders>
            <w:vAlign w:val="center"/>
            <w:hideMark/>
          </w:tcPr>
          <w:p w14:paraId="57AF663F"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CD (5%)</w:t>
            </w:r>
          </w:p>
        </w:tc>
        <w:tc>
          <w:tcPr>
            <w:tcW w:w="1928" w:type="dxa"/>
            <w:tcBorders>
              <w:top w:val="nil"/>
              <w:left w:val="nil"/>
              <w:bottom w:val="single" w:sz="8" w:space="0" w:color="auto"/>
              <w:right w:val="single" w:sz="8" w:space="0" w:color="auto"/>
            </w:tcBorders>
            <w:vAlign w:val="center"/>
            <w:hideMark/>
          </w:tcPr>
          <w:p w14:paraId="7EF262FD"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NS</w:t>
            </w:r>
          </w:p>
        </w:tc>
        <w:tc>
          <w:tcPr>
            <w:tcW w:w="1790" w:type="dxa"/>
            <w:tcBorders>
              <w:top w:val="nil"/>
              <w:left w:val="nil"/>
              <w:bottom w:val="single" w:sz="8" w:space="0" w:color="auto"/>
              <w:right w:val="single" w:sz="8" w:space="0" w:color="auto"/>
            </w:tcBorders>
            <w:vAlign w:val="center"/>
            <w:hideMark/>
          </w:tcPr>
          <w:p w14:paraId="33CC7787"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11.14</w:t>
            </w:r>
          </w:p>
        </w:tc>
        <w:tc>
          <w:tcPr>
            <w:tcW w:w="1926" w:type="dxa"/>
            <w:tcBorders>
              <w:top w:val="nil"/>
              <w:left w:val="nil"/>
              <w:bottom w:val="single" w:sz="8" w:space="0" w:color="auto"/>
              <w:right w:val="single" w:sz="8" w:space="0" w:color="auto"/>
            </w:tcBorders>
            <w:vAlign w:val="center"/>
            <w:hideMark/>
          </w:tcPr>
          <w:p w14:paraId="46123402"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NS</w:t>
            </w:r>
          </w:p>
        </w:tc>
        <w:tc>
          <w:tcPr>
            <w:tcW w:w="2118" w:type="dxa"/>
            <w:tcBorders>
              <w:top w:val="nil"/>
              <w:left w:val="nil"/>
              <w:bottom w:val="single" w:sz="8" w:space="0" w:color="auto"/>
              <w:right w:val="single" w:sz="8" w:space="0" w:color="auto"/>
            </w:tcBorders>
            <w:vAlign w:val="center"/>
            <w:hideMark/>
          </w:tcPr>
          <w:p w14:paraId="436212E2" w14:textId="77777777" w:rsidR="0061125B" w:rsidRPr="001271B5" w:rsidRDefault="0061125B" w:rsidP="00A248C6">
            <w:pPr>
              <w:jc w:val="center"/>
              <w:rPr>
                <w:rFonts w:ascii="Times New Roman" w:eastAsia="Times New Roman" w:hAnsi="Times New Roman" w:cs="Times New Roman"/>
                <w:color w:val="000000"/>
                <w:sz w:val="24"/>
                <w:szCs w:val="24"/>
                <w:lang w:val="en-IN" w:eastAsia="en-IN" w:bidi="hi-IN"/>
              </w:rPr>
            </w:pPr>
            <w:r w:rsidRPr="001271B5">
              <w:rPr>
                <w:rFonts w:ascii="Times New Roman" w:eastAsia="Times New Roman" w:hAnsi="Times New Roman" w:cs="Times New Roman"/>
                <w:color w:val="000000"/>
                <w:sz w:val="24"/>
                <w:szCs w:val="24"/>
                <w:lang w:val="en-IN" w:eastAsia="en-IN" w:bidi="hi-IN"/>
              </w:rPr>
              <w:t>3.93</w:t>
            </w:r>
          </w:p>
        </w:tc>
      </w:tr>
    </w:tbl>
    <w:p w14:paraId="53520CC9" w14:textId="2572FAF4" w:rsidR="0061125B" w:rsidRDefault="0061125B"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sidRPr="00880E6B">
        <w:rPr>
          <w:rFonts w:ascii="Times New Roman" w:hAnsi="Times New Roman" w:cs="Times New Roman"/>
        </w:rPr>
        <w:t>Numbers having different superscripts differed from each other</w:t>
      </w:r>
    </w:p>
    <w:p w14:paraId="17D1B5FE" w14:textId="4191B57C" w:rsidR="00016E38" w:rsidRPr="00856B7F" w:rsidRDefault="0061125B" w:rsidP="00856B7F">
      <w:pPr>
        <w:spacing w:line="360" w:lineRule="auto"/>
        <w:ind w:firstLine="737"/>
        <w:rPr>
          <w:rFonts w:ascii="Times New Roman" w:hAnsi="Times New Roman" w:cs="Times New Roman"/>
          <w:sz w:val="24"/>
          <w:szCs w:val="24"/>
        </w:rPr>
      </w:pPr>
      <w:r w:rsidRPr="0061125B">
        <w:rPr>
          <w:rFonts w:ascii="Times New Roman" w:hAnsi="Times New Roman" w:cs="Times New Roman"/>
          <w:sz w:val="24"/>
          <w:szCs w:val="24"/>
        </w:rPr>
        <w:t>In the present study, the average daily dry matter intake was 697.79, 713.32, 704.23, 696.09 and 694.91 g/day for T₁, T₂, T₃, T₄ and T₅, respectively, with T₂ showing the highest intake and T₅ the lowest. Intake per 100 kg body weight was comparable across treatments (4.25–4.61 kg), while intake per kg metabolic body weight (W⁰·⁷⁵) ranged from 66.25 g (T₁) to 79.72 g (T₄), showing significant differences. These findings suggest that turmeric supplementation influenced intake when adjusted for metabolic body weight. Comparatively, Kore (2023) reported lower intakes with spirulina (419.16–464.48 g/day), Sawant (2024) observed higher values with ginger powder (731.23–763.95 g/day)</w:t>
      </w:r>
      <w:r w:rsidR="00016E38">
        <w:rPr>
          <w:rFonts w:ascii="Times New Roman" w:hAnsi="Times New Roman" w:cs="Times New Roman"/>
          <w:sz w:val="24"/>
          <w:szCs w:val="24"/>
        </w:rPr>
        <w:t xml:space="preserve"> and </w:t>
      </w:r>
      <w:r w:rsidRPr="0061125B">
        <w:rPr>
          <w:rFonts w:ascii="Times New Roman" w:hAnsi="Times New Roman" w:cs="Times New Roman"/>
          <w:sz w:val="24"/>
          <w:szCs w:val="24"/>
        </w:rPr>
        <w:t xml:space="preserve">Adebisi (2022) reported lower intake (543.66–547.94 g/day). </w:t>
      </w:r>
      <w:proofErr w:type="spellStart"/>
      <w:r w:rsidRPr="0061125B">
        <w:rPr>
          <w:rFonts w:ascii="Times New Roman" w:hAnsi="Times New Roman" w:cs="Times New Roman"/>
          <w:sz w:val="24"/>
          <w:szCs w:val="24"/>
        </w:rPr>
        <w:t>Oderinwale</w:t>
      </w:r>
      <w:proofErr w:type="spellEnd"/>
      <w:r w:rsidRPr="0061125B">
        <w:rPr>
          <w:rFonts w:ascii="Times New Roman" w:hAnsi="Times New Roman" w:cs="Times New Roman"/>
          <w:sz w:val="24"/>
          <w:szCs w:val="24"/>
        </w:rPr>
        <w:t xml:space="preserve"> et al. (2020) found even higher intakes in </w:t>
      </w:r>
      <w:proofErr w:type="spellStart"/>
      <w:r w:rsidRPr="0061125B">
        <w:rPr>
          <w:rFonts w:ascii="Times New Roman" w:hAnsi="Times New Roman" w:cs="Times New Roman"/>
          <w:sz w:val="24"/>
          <w:szCs w:val="24"/>
        </w:rPr>
        <w:t>KalaWAD</w:t>
      </w:r>
      <w:proofErr w:type="spellEnd"/>
      <w:r w:rsidRPr="0061125B">
        <w:rPr>
          <w:rFonts w:ascii="Times New Roman" w:hAnsi="Times New Roman" w:cs="Times New Roman"/>
          <w:sz w:val="24"/>
          <w:szCs w:val="24"/>
        </w:rPr>
        <w:t xml:space="preserve"> and WAD does (917.38–1072.30 g/day), with metabolic intakes of 166.69–187.39 g/kg W⁰·⁷⁵.</w:t>
      </w:r>
    </w:p>
    <w:p w14:paraId="26DF0D74" w14:textId="34E03157" w:rsidR="00445A51" w:rsidRPr="008A0820"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3. </w:t>
      </w:r>
      <w:r w:rsidR="00445A51" w:rsidRPr="008A0820">
        <w:rPr>
          <w:rFonts w:ascii="Times New Roman" w:hAnsi="Times New Roman" w:cs="Times New Roman"/>
          <w:b/>
          <w:bCs/>
          <w:sz w:val="24"/>
          <w:szCs w:val="24"/>
        </w:rPr>
        <w:t>Nutrient intake</w:t>
      </w:r>
    </w:p>
    <w:p w14:paraId="5613D86E" w14:textId="5BA08738" w:rsidR="00445A51" w:rsidRPr="00AA25DF" w:rsidRDefault="00445A51" w:rsidP="00A11E03">
      <w:pPr>
        <w:spacing w:line="360" w:lineRule="auto"/>
        <w:ind w:firstLine="737"/>
        <w:rPr>
          <w:rFonts w:ascii="Times New Roman" w:hAnsi="Times New Roman" w:cs="Times New Roman"/>
          <w:sz w:val="24"/>
          <w:szCs w:val="24"/>
          <w:lang w:val="en-IN"/>
        </w:rPr>
      </w:pPr>
      <w:r w:rsidRPr="008A0820">
        <w:rPr>
          <w:rFonts w:ascii="Times New Roman" w:hAnsi="Times New Roman" w:cs="Times New Roman"/>
          <w:sz w:val="24"/>
          <w:szCs w:val="24"/>
          <w:lang w:val="en-IN"/>
        </w:rPr>
        <w:t>The average daily nutrient intake per animal on a dry matter basis for treatments T</w:t>
      </w:r>
      <w:r w:rsidRPr="008A0820">
        <w:rPr>
          <w:rFonts w:ascii="Times New Roman" w:hAnsi="Times New Roman" w:cs="Times New Roman"/>
          <w:sz w:val="24"/>
          <w:szCs w:val="24"/>
          <w:vertAlign w:val="subscript"/>
          <w:lang w:val="en-IN"/>
        </w:rPr>
        <w:t>1</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3</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4</w:t>
      </w:r>
      <w:r w:rsidRPr="008A0820">
        <w:rPr>
          <w:rFonts w:ascii="Times New Roman" w:hAnsi="Times New Roman" w:cs="Times New Roman"/>
          <w:sz w:val="24"/>
          <w:szCs w:val="24"/>
          <w:lang w:val="en-IN"/>
        </w:rPr>
        <w:t xml:space="preserve"> and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is presented in Table 4.</w:t>
      </w:r>
    </w:p>
    <w:p w14:paraId="5262E421" w14:textId="0A51BC72" w:rsidR="00445A51" w:rsidRPr="00523EE4" w:rsidRDefault="00523EE4" w:rsidP="00523EE4">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rPr>
        <w:t xml:space="preserve">Table 4. </w:t>
      </w:r>
      <w:r w:rsidR="00445A51" w:rsidRPr="00523EE4">
        <w:rPr>
          <w:rFonts w:ascii="Times New Roman" w:hAnsi="Times New Roman" w:cs="Times New Roman"/>
          <w:b/>
          <w:bCs/>
          <w:sz w:val="24"/>
          <w:szCs w:val="24"/>
        </w:rPr>
        <w:t>Average intake of nutrients in experimental kids (DM basis)</w:t>
      </w:r>
    </w:p>
    <w:tbl>
      <w:tblPr>
        <w:tblW w:w="9415" w:type="dxa"/>
        <w:tblInd w:w="132" w:type="dxa"/>
        <w:tblLook w:val="04A0" w:firstRow="1" w:lastRow="0" w:firstColumn="1" w:lastColumn="0" w:noHBand="0" w:noVBand="1"/>
      </w:tblPr>
      <w:tblGrid>
        <w:gridCol w:w="1513"/>
        <w:gridCol w:w="1250"/>
        <w:gridCol w:w="1232"/>
        <w:gridCol w:w="1228"/>
        <w:gridCol w:w="1284"/>
        <w:gridCol w:w="1420"/>
        <w:gridCol w:w="1488"/>
      </w:tblGrid>
      <w:tr w:rsidR="00445A51" w:rsidRPr="0092744A" w14:paraId="6000AFFE" w14:textId="77777777" w:rsidTr="00856B7F">
        <w:trPr>
          <w:trHeight w:val="554"/>
        </w:trPr>
        <w:tc>
          <w:tcPr>
            <w:tcW w:w="1513" w:type="dxa"/>
            <w:vMerge w:val="restart"/>
            <w:tcBorders>
              <w:top w:val="single" w:sz="8" w:space="0" w:color="auto"/>
              <w:left w:val="single" w:sz="8" w:space="0" w:color="auto"/>
              <w:bottom w:val="single" w:sz="8" w:space="0" w:color="000000"/>
              <w:right w:val="single" w:sz="8" w:space="0" w:color="auto"/>
            </w:tcBorders>
            <w:vAlign w:val="center"/>
            <w:hideMark/>
          </w:tcPr>
          <w:p w14:paraId="6C010990"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Treatments</w:t>
            </w:r>
          </w:p>
        </w:tc>
        <w:tc>
          <w:tcPr>
            <w:tcW w:w="7902" w:type="dxa"/>
            <w:gridSpan w:val="6"/>
            <w:tcBorders>
              <w:top w:val="single" w:sz="8" w:space="0" w:color="auto"/>
              <w:left w:val="nil"/>
              <w:bottom w:val="single" w:sz="8" w:space="0" w:color="auto"/>
              <w:right w:val="single" w:sz="8" w:space="0" w:color="000000"/>
            </w:tcBorders>
            <w:vAlign w:val="center"/>
            <w:hideMark/>
          </w:tcPr>
          <w:p w14:paraId="7ED8D8C3"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Nutrient intake (g/d)</w:t>
            </w:r>
          </w:p>
        </w:tc>
      </w:tr>
      <w:tr w:rsidR="00445A51" w:rsidRPr="0092744A" w14:paraId="459C6769" w14:textId="77777777" w:rsidTr="00856B7F">
        <w:trPr>
          <w:trHeight w:val="543"/>
        </w:trPr>
        <w:tc>
          <w:tcPr>
            <w:tcW w:w="1513" w:type="dxa"/>
            <w:vMerge/>
            <w:tcBorders>
              <w:top w:val="single" w:sz="8" w:space="0" w:color="auto"/>
              <w:left w:val="single" w:sz="8" w:space="0" w:color="auto"/>
              <w:bottom w:val="single" w:sz="8" w:space="0" w:color="000000"/>
              <w:right w:val="single" w:sz="8" w:space="0" w:color="auto"/>
            </w:tcBorders>
            <w:vAlign w:val="center"/>
            <w:hideMark/>
          </w:tcPr>
          <w:p w14:paraId="156C868E"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p>
        </w:tc>
        <w:tc>
          <w:tcPr>
            <w:tcW w:w="1250" w:type="dxa"/>
            <w:tcBorders>
              <w:top w:val="nil"/>
              <w:left w:val="nil"/>
              <w:bottom w:val="single" w:sz="8" w:space="0" w:color="auto"/>
              <w:right w:val="single" w:sz="8" w:space="0" w:color="auto"/>
            </w:tcBorders>
            <w:vAlign w:val="center"/>
            <w:hideMark/>
          </w:tcPr>
          <w:p w14:paraId="7F72C2E9"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DM</w:t>
            </w:r>
          </w:p>
        </w:tc>
        <w:tc>
          <w:tcPr>
            <w:tcW w:w="1232" w:type="dxa"/>
            <w:tcBorders>
              <w:top w:val="nil"/>
              <w:left w:val="nil"/>
              <w:bottom w:val="single" w:sz="8" w:space="0" w:color="auto"/>
              <w:right w:val="single" w:sz="8" w:space="0" w:color="auto"/>
            </w:tcBorders>
            <w:vAlign w:val="center"/>
            <w:hideMark/>
          </w:tcPr>
          <w:p w14:paraId="70AC4FDD"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CP</w:t>
            </w:r>
          </w:p>
        </w:tc>
        <w:tc>
          <w:tcPr>
            <w:tcW w:w="1228" w:type="dxa"/>
            <w:tcBorders>
              <w:top w:val="nil"/>
              <w:left w:val="nil"/>
              <w:bottom w:val="single" w:sz="8" w:space="0" w:color="auto"/>
              <w:right w:val="single" w:sz="8" w:space="0" w:color="auto"/>
            </w:tcBorders>
            <w:vAlign w:val="center"/>
            <w:hideMark/>
          </w:tcPr>
          <w:p w14:paraId="1D80CECB"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EE</w:t>
            </w:r>
          </w:p>
        </w:tc>
        <w:tc>
          <w:tcPr>
            <w:tcW w:w="1284" w:type="dxa"/>
            <w:tcBorders>
              <w:top w:val="nil"/>
              <w:left w:val="nil"/>
              <w:bottom w:val="single" w:sz="8" w:space="0" w:color="auto"/>
              <w:right w:val="single" w:sz="8" w:space="0" w:color="auto"/>
            </w:tcBorders>
            <w:vAlign w:val="center"/>
            <w:hideMark/>
          </w:tcPr>
          <w:p w14:paraId="7189FECF"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CF</w:t>
            </w:r>
          </w:p>
        </w:tc>
        <w:tc>
          <w:tcPr>
            <w:tcW w:w="1420" w:type="dxa"/>
            <w:tcBorders>
              <w:top w:val="nil"/>
              <w:left w:val="nil"/>
              <w:bottom w:val="single" w:sz="8" w:space="0" w:color="auto"/>
              <w:right w:val="single" w:sz="8" w:space="0" w:color="auto"/>
            </w:tcBorders>
            <w:vAlign w:val="center"/>
            <w:hideMark/>
          </w:tcPr>
          <w:p w14:paraId="56014CD3"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NFE</w:t>
            </w:r>
          </w:p>
        </w:tc>
        <w:tc>
          <w:tcPr>
            <w:tcW w:w="1486" w:type="dxa"/>
            <w:tcBorders>
              <w:top w:val="nil"/>
              <w:left w:val="nil"/>
              <w:bottom w:val="single" w:sz="8" w:space="0" w:color="auto"/>
              <w:right w:val="single" w:sz="8" w:space="0" w:color="auto"/>
            </w:tcBorders>
            <w:vAlign w:val="center"/>
            <w:hideMark/>
          </w:tcPr>
          <w:p w14:paraId="0AED1DC9" w14:textId="77777777" w:rsidR="00445A51" w:rsidRPr="0092744A" w:rsidRDefault="00445A51" w:rsidP="00A248C6">
            <w:pPr>
              <w:jc w:val="center"/>
              <w:rPr>
                <w:rFonts w:ascii="Times New Roman" w:eastAsia="Times New Roman" w:hAnsi="Times New Roman" w:cs="Times New Roman"/>
                <w:b/>
                <w:bCs/>
                <w:color w:val="000000"/>
                <w:sz w:val="24"/>
                <w:szCs w:val="24"/>
                <w:lang w:val="en-IN" w:eastAsia="en-IN" w:bidi="hi-IN"/>
              </w:rPr>
            </w:pPr>
            <w:r w:rsidRPr="0092744A">
              <w:rPr>
                <w:rFonts w:ascii="Times New Roman" w:eastAsia="Times New Roman" w:hAnsi="Times New Roman" w:cs="Times New Roman"/>
                <w:b/>
                <w:bCs/>
                <w:color w:val="000000"/>
                <w:sz w:val="24"/>
                <w:szCs w:val="24"/>
                <w:lang w:val="en-IN" w:eastAsia="en-IN" w:bidi="hi-IN"/>
              </w:rPr>
              <w:t>Ash</w:t>
            </w:r>
          </w:p>
        </w:tc>
      </w:tr>
      <w:tr w:rsidR="00445A51" w:rsidRPr="0092744A" w14:paraId="746D3126" w14:textId="77777777" w:rsidTr="00856B7F">
        <w:trPr>
          <w:trHeight w:val="490"/>
        </w:trPr>
        <w:tc>
          <w:tcPr>
            <w:tcW w:w="1513" w:type="dxa"/>
            <w:tcBorders>
              <w:top w:val="nil"/>
              <w:left w:val="single" w:sz="8" w:space="0" w:color="auto"/>
              <w:bottom w:val="single" w:sz="8" w:space="0" w:color="auto"/>
              <w:right w:val="single" w:sz="8" w:space="0" w:color="auto"/>
            </w:tcBorders>
            <w:vAlign w:val="center"/>
            <w:hideMark/>
          </w:tcPr>
          <w:p w14:paraId="1C37F440"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1</w:t>
            </w:r>
          </w:p>
        </w:tc>
        <w:tc>
          <w:tcPr>
            <w:tcW w:w="1250" w:type="dxa"/>
            <w:tcBorders>
              <w:top w:val="nil"/>
              <w:left w:val="nil"/>
              <w:bottom w:val="single" w:sz="8" w:space="0" w:color="auto"/>
              <w:right w:val="single" w:sz="8" w:space="0" w:color="auto"/>
            </w:tcBorders>
            <w:noWrap/>
            <w:vAlign w:val="center"/>
            <w:hideMark/>
          </w:tcPr>
          <w:p w14:paraId="29A1EB3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697.79</w:t>
            </w:r>
          </w:p>
        </w:tc>
        <w:tc>
          <w:tcPr>
            <w:tcW w:w="1232" w:type="dxa"/>
            <w:tcBorders>
              <w:top w:val="nil"/>
              <w:left w:val="nil"/>
              <w:bottom w:val="single" w:sz="8" w:space="0" w:color="auto"/>
              <w:right w:val="single" w:sz="8" w:space="0" w:color="auto"/>
            </w:tcBorders>
            <w:vAlign w:val="center"/>
            <w:hideMark/>
          </w:tcPr>
          <w:p w14:paraId="43C90D52"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126.31</w:t>
            </w:r>
          </w:p>
        </w:tc>
        <w:tc>
          <w:tcPr>
            <w:tcW w:w="1228" w:type="dxa"/>
            <w:tcBorders>
              <w:top w:val="nil"/>
              <w:left w:val="nil"/>
              <w:bottom w:val="single" w:sz="8" w:space="0" w:color="auto"/>
              <w:right w:val="single" w:sz="8" w:space="0" w:color="auto"/>
            </w:tcBorders>
            <w:vAlign w:val="center"/>
            <w:hideMark/>
          </w:tcPr>
          <w:p w14:paraId="1310DE0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48.51</w:t>
            </w:r>
          </w:p>
        </w:tc>
        <w:tc>
          <w:tcPr>
            <w:tcW w:w="1284" w:type="dxa"/>
            <w:tcBorders>
              <w:top w:val="nil"/>
              <w:left w:val="nil"/>
              <w:bottom w:val="single" w:sz="8" w:space="0" w:color="auto"/>
              <w:right w:val="single" w:sz="8" w:space="0" w:color="auto"/>
            </w:tcBorders>
            <w:vAlign w:val="center"/>
            <w:hideMark/>
          </w:tcPr>
          <w:p w14:paraId="09237BB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278.36</w:t>
            </w:r>
          </w:p>
        </w:tc>
        <w:tc>
          <w:tcPr>
            <w:tcW w:w="1420" w:type="dxa"/>
            <w:tcBorders>
              <w:top w:val="nil"/>
              <w:left w:val="nil"/>
              <w:bottom w:val="single" w:sz="8" w:space="0" w:color="auto"/>
              <w:right w:val="single" w:sz="8" w:space="0" w:color="auto"/>
            </w:tcBorders>
            <w:vAlign w:val="center"/>
            <w:hideMark/>
          </w:tcPr>
          <w:p w14:paraId="314D803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622.81</w:t>
            </w:r>
          </w:p>
        </w:tc>
        <w:tc>
          <w:tcPr>
            <w:tcW w:w="1486" w:type="dxa"/>
            <w:tcBorders>
              <w:top w:val="nil"/>
              <w:left w:val="nil"/>
              <w:bottom w:val="single" w:sz="8" w:space="0" w:color="auto"/>
              <w:right w:val="single" w:sz="8" w:space="0" w:color="auto"/>
            </w:tcBorders>
            <w:vAlign w:val="center"/>
            <w:hideMark/>
          </w:tcPr>
          <w:p w14:paraId="053C469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103.25</w:t>
            </w:r>
          </w:p>
        </w:tc>
      </w:tr>
      <w:tr w:rsidR="00445A51" w:rsidRPr="0092744A" w14:paraId="00C0F2E6" w14:textId="77777777" w:rsidTr="00856B7F">
        <w:trPr>
          <w:trHeight w:val="526"/>
        </w:trPr>
        <w:tc>
          <w:tcPr>
            <w:tcW w:w="1513" w:type="dxa"/>
            <w:tcBorders>
              <w:top w:val="nil"/>
              <w:left w:val="single" w:sz="8" w:space="0" w:color="auto"/>
              <w:bottom w:val="single" w:sz="8" w:space="0" w:color="auto"/>
              <w:right w:val="single" w:sz="8" w:space="0" w:color="auto"/>
            </w:tcBorders>
            <w:vAlign w:val="center"/>
            <w:hideMark/>
          </w:tcPr>
          <w:p w14:paraId="1C036948"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2</w:t>
            </w:r>
          </w:p>
        </w:tc>
        <w:tc>
          <w:tcPr>
            <w:tcW w:w="1250" w:type="dxa"/>
            <w:tcBorders>
              <w:top w:val="nil"/>
              <w:left w:val="nil"/>
              <w:bottom w:val="single" w:sz="8" w:space="0" w:color="auto"/>
              <w:right w:val="single" w:sz="8" w:space="0" w:color="auto"/>
            </w:tcBorders>
            <w:noWrap/>
            <w:vAlign w:val="center"/>
            <w:hideMark/>
          </w:tcPr>
          <w:p w14:paraId="49EAA6F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713.32</w:t>
            </w:r>
          </w:p>
        </w:tc>
        <w:tc>
          <w:tcPr>
            <w:tcW w:w="1232" w:type="dxa"/>
            <w:tcBorders>
              <w:top w:val="nil"/>
              <w:left w:val="nil"/>
              <w:bottom w:val="single" w:sz="8" w:space="0" w:color="auto"/>
              <w:right w:val="single" w:sz="8" w:space="0" w:color="auto"/>
            </w:tcBorders>
            <w:vAlign w:val="center"/>
            <w:hideMark/>
          </w:tcPr>
          <w:p w14:paraId="4A14AB06"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129.12</w:t>
            </w:r>
          </w:p>
        </w:tc>
        <w:tc>
          <w:tcPr>
            <w:tcW w:w="1228" w:type="dxa"/>
            <w:tcBorders>
              <w:top w:val="nil"/>
              <w:left w:val="nil"/>
              <w:bottom w:val="single" w:sz="8" w:space="0" w:color="auto"/>
              <w:right w:val="single" w:sz="8" w:space="0" w:color="auto"/>
            </w:tcBorders>
            <w:vAlign w:val="center"/>
            <w:hideMark/>
          </w:tcPr>
          <w:p w14:paraId="15F1D5BB"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49.59</w:t>
            </w:r>
          </w:p>
        </w:tc>
        <w:tc>
          <w:tcPr>
            <w:tcW w:w="1284" w:type="dxa"/>
            <w:tcBorders>
              <w:top w:val="nil"/>
              <w:left w:val="nil"/>
              <w:bottom w:val="single" w:sz="8" w:space="0" w:color="auto"/>
              <w:right w:val="single" w:sz="8" w:space="0" w:color="auto"/>
            </w:tcBorders>
            <w:vAlign w:val="center"/>
            <w:hideMark/>
          </w:tcPr>
          <w:p w14:paraId="79A12485"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284.56</w:t>
            </w:r>
          </w:p>
        </w:tc>
        <w:tc>
          <w:tcPr>
            <w:tcW w:w="1420" w:type="dxa"/>
            <w:tcBorders>
              <w:top w:val="nil"/>
              <w:left w:val="nil"/>
              <w:bottom w:val="single" w:sz="8" w:space="0" w:color="auto"/>
              <w:right w:val="single" w:sz="8" w:space="0" w:color="auto"/>
            </w:tcBorders>
            <w:vAlign w:val="center"/>
            <w:hideMark/>
          </w:tcPr>
          <w:p w14:paraId="36030E5C"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636.68</w:t>
            </w:r>
          </w:p>
        </w:tc>
        <w:tc>
          <w:tcPr>
            <w:tcW w:w="1486" w:type="dxa"/>
            <w:tcBorders>
              <w:top w:val="nil"/>
              <w:left w:val="nil"/>
              <w:bottom w:val="single" w:sz="8" w:space="0" w:color="auto"/>
              <w:right w:val="single" w:sz="8" w:space="0" w:color="auto"/>
            </w:tcBorders>
            <w:vAlign w:val="center"/>
            <w:hideMark/>
          </w:tcPr>
          <w:p w14:paraId="2E4AA5A2"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105.55</w:t>
            </w:r>
          </w:p>
        </w:tc>
      </w:tr>
      <w:tr w:rsidR="00445A51" w:rsidRPr="0092744A" w14:paraId="095CFD16" w14:textId="77777777" w:rsidTr="00856B7F">
        <w:trPr>
          <w:trHeight w:val="526"/>
        </w:trPr>
        <w:tc>
          <w:tcPr>
            <w:tcW w:w="1513" w:type="dxa"/>
            <w:tcBorders>
              <w:top w:val="nil"/>
              <w:left w:val="single" w:sz="8" w:space="0" w:color="auto"/>
              <w:bottom w:val="single" w:sz="8" w:space="0" w:color="auto"/>
              <w:right w:val="single" w:sz="8" w:space="0" w:color="auto"/>
            </w:tcBorders>
            <w:vAlign w:val="center"/>
            <w:hideMark/>
          </w:tcPr>
          <w:p w14:paraId="05331A21"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3</w:t>
            </w:r>
          </w:p>
        </w:tc>
        <w:tc>
          <w:tcPr>
            <w:tcW w:w="1250" w:type="dxa"/>
            <w:tcBorders>
              <w:top w:val="nil"/>
              <w:left w:val="nil"/>
              <w:bottom w:val="single" w:sz="8" w:space="0" w:color="auto"/>
              <w:right w:val="single" w:sz="8" w:space="0" w:color="auto"/>
            </w:tcBorders>
            <w:noWrap/>
            <w:vAlign w:val="center"/>
            <w:hideMark/>
          </w:tcPr>
          <w:p w14:paraId="147E1CC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704.23</w:t>
            </w:r>
          </w:p>
        </w:tc>
        <w:tc>
          <w:tcPr>
            <w:tcW w:w="1232" w:type="dxa"/>
            <w:tcBorders>
              <w:top w:val="nil"/>
              <w:left w:val="nil"/>
              <w:bottom w:val="single" w:sz="8" w:space="0" w:color="auto"/>
              <w:right w:val="single" w:sz="8" w:space="0" w:color="auto"/>
            </w:tcBorders>
            <w:vAlign w:val="center"/>
            <w:hideMark/>
          </w:tcPr>
          <w:p w14:paraId="45232438"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127.13</w:t>
            </w:r>
          </w:p>
        </w:tc>
        <w:tc>
          <w:tcPr>
            <w:tcW w:w="1228" w:type="dxa"/>
            <w:tcBorders>
              <w:top w:val="nil"/>
              <w:left w:val="nil"/>
              <w:bottom w:val="single" w:sz="8" w:space="0" w:color="auto"/>
              <w:right w:val="single" w:sz="8" w:space="0" w:color="auto"/>
            </w:tcBorders>
            <w:vAlign w:val="center"/>
            <w:hideMark/>
          </w:tcPr>
          <w:p w14:paraId="703140B4"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48.33</w:t>
            </w:r>
          </w:p>
        </w:tc>
        <w:tc>
          <w:tcPr>
            <w:tcW w:w="1284" w:type="dxa"/>
            <w:tcBorders>
              <w:top w:val="nil"/>
              <w:left w:val="nil"/>
              <w:bottom w:val="single" w:sz="8" w:space="0" w:color="auto"/>
              <w:right w:val="single" w:sz="8" w:space="0" w:color="auto"/>
            </w:tcBorders>
            <w:vAlign w:val="center"/>
            <w:hideMark/>
          </w:tcPr>
          <w:p w14:paraId="2C8C2CE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279.04</w:t>
            </w:r>
          </w:p>
        </w:tc>
        <w:tc>
          <w:tcPr>
            <w:tcW w:w="1420" w:type="dxa"/>
            <w:tcBorders>
              <w:top w:val="nil"/>
              <w:left w:val="nil"/>
              <w:bottom w:val="single" w:sz="8" w:space="0" w:color="auto"/>
              <w:right w:val="single" w:sz="8" w:space="0" w:color="auto"/>
            </w:tcBorders>
            <w:vAlign w:val="center"/>
            <w:hideMark/>
          </w:tcPr>
          <w:p w14:paraId="18A483E6"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631.59</w:t>
            </w:r>
          </w:p>
        </w:tc>
        <w:tc>
          <w:tcPr>
            <w:tcW w:w="1486" w:type="dxa"/>
            <w:tcBorders>
              <w:top w:val="nil"/>
              <w:left w:val="nil"/>
              <w:bottom w:val="single" w:sz="8" w:space="0" w:color="auto"/>
              <w:right w:val="single" w:sz="8" w:space="0" w:color="auto"/>
            </w:tcBorders>
            <w:vAlign w:val="center"/>
            <w:hideMark/>
          </w:tcPr>
          <w:p w14:paraId="7A64D56F"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104.07</w:t>
            </w:r>
          </w:p>
        </w:tc>
      </w:tr>
      <w:tr w:rsidR="00445A51" w:rsidRPr="0092744A" w14:paraId="7B4D5EA2" w14:textId="77777777" w:rsidTr="00856B7F">
        <w:trPr>
          <w:trHeight w:val="466"/>
        </w:trPr>
        <w:tc>
          <w:tcPr>
            <w:tcW w:w="1513" w:type="dxa"/>
            <w:tcBorders>
              <w:top w:val="nil"/>
              <w:left w:val="single" w:sz="8" w:space="0" w:color="auto"/>
              <w:bottom w:val="single" w:sz="8" w:space="0" w:color="auto"/>
              <w:right w:val="single" w:sz="8" w:space="0" w:color="auto"/>
            </w:tcBorders>
            <w:vAlign w:val="center"/>
            <w:hideMark/>
          </w:tcPr>
          <w:p w14:paraId="4F65EEE9"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92744A">
              <w:rPr>
                <w:rFonts w:ascii="Times New Roman" w:eastAsia="Times New Roman" w:hAnsi="Times New Roman" w:cs="Times New Roman"/>
                <w:color w:val="000000"/>
                <w:sz w:val="24"/>
                <w:szCs w:val="24"/>
                <w:vertAlign w:val="subscript"/>
                <w:lang w:val="en-IN" w:eastAsia="en-IN" w:bidi="hi-IN"/>
              </w:rPr>
              <w:t>4</w:t>
            </w:r>
          </w:p>
        </w:tc>
        <w:tc>
          <w:tcPr>
            <w:tcW w:w="1250" w:type="dxa"/>
            <w:tcBorders>
              <w:top w:val="nil"/>
              <w:left w:val="nil"/>
              <w:bottom w:val="single" w:sz="8" w:space="0" w:color="auto"/>
              <w:right w:val="single" w:sz="8" w:space="0" w:color="auto"/>
            </w:tcBorders>
            <w:noWrap/>
            <w:vAlign w:val="center"/>
            <w:hideMark/>
          </w:tcPr>
          <w:p w14:paraId="148B4A26"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696.09</w:t>
            </w:r>
          </w:p>
        </w:tc>
        <w:tc>
          <w:tcPr>
            <w:tcW w:w="1232" w:type="dxa"/>
            <w:tcBorders>
              <w:top w:val="nil"/>
              <w:left w:val="nil"/>
              <w:bottom w:val="single" w:sz="8" w:space="0" w:color="auto"/>
              <w:right w:val="single" w:sz="8" w:space="0" w:color="auto"/>
            </w:tcBorders>
            <w:vAlign w:val="center"/>
            <w:hideMark/>
          </w:tcPr>
          <w:p w14:paraId="3EA83DB1"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125.48</w:t>
            </w:r>
          </w:p>
        </w:tc>
        <w:tc>
          <w:tcPr>
            <w:tcW w:w="1228" w:type="dxa"/>
            <w:tcBorders>
              <w:top w:val="nil"/>
              <w:left w:val="nil"/>
              <w:bottom w:val="single" w:sz="8" w:space="0" w:color="auto"/>
              <w:right w:val="single" w:sz="8" w:space="0" w:color="auto"/>
            </w:tcBorders>
            <w:vAlign w:val="center"/>
            <w:hideMark/>
          </w:tcPr>
          <w:p w14:paraId="57537761"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47.66</w:t>
            </w:r>
          </w:p>
        </w:tc>
        <w:tc>
          <w:tcPr>
            <w:tcW w:w="1284" w:type="dxa"/>
            <w:tcBorders>
              <w:top w:val="nil"/>
              <w:left w:val="nil"/>
              <w:bottom w:val="single" w:sz="8" w:space="0" w:color="auto"/>
              <w:right w:val="single" w:sz="8" w:space="0" w:color="auto"/>
            </w:tcBorders>
            <w:vAlign w:val="center"/>
            <w:hideMark/>
          </w:tcPr>
          <w:p w14:paraId="3817BA67"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275.15</w:t>
            </w:r>
          </w:p>
        </w:tc>
        <w:tc>
          <w:tcPr>
            <w:tcW w:w="1420" w:type="dxa"/>
            <w:tcBorders>
              <w:top w:val="nil"/>
              <w:left w:val="nil"/>
              <w:bottom w:val="single" w:sz="8" w:space="0" w:color="auto"/>
              <w:right w:val="single" w:sz="8" w:space="0" w:color="auto"/>
            </w:tcBorders>
            <w:vAlign w:val="center"/>
            <w:hideMark/>
          </w:tcPr>
          <w:p w14:paraId="0156C60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623.93</w:t>
            </w:r>
          </w:p>
        </w:tc>
        <w:tc>
          <w:tcPr>
            <w:tcW w:w="1486" w:type="dxa"/>
            <w:tcBorders>
              <w:top w:val="nil"/>
              <w:left w:val="nil"/>
              <w:bottom w:val="single" w:sz="8" w:space="0" w:color="auto"/>
              <w:right w:val="single" w:sz="8" w:space="0" w:color="auto"/>
            </w:tcBorders>
            <w:vAlign w:val="center"/>
            <w:hideMark/>
          </w:tcPr>
          <w:p w14:paraId="78F8C93F"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102.68</w:t>
            </w:r>
          </w:p>
        </w:tc>
      </w:tr>
      <w:tr w:rsidR="00445A51" w:rsidRPr="0092744A" w14:paraId="089E90C3" w14:textId="77777777" w:rsidTr="00856B7F">
        <w:trPr>
          <w:trHeight w:val="452"/>
        </w:trPr>
        <w:tc>
          <w:tcPr>
            <w:tcW w:w="1513" w:type="dxa"/>
            <w:tcBorders>
              <w:top w:val="nil"/>
              <w:left w:val="single" w:sz="8" w:space="0" w:color="auto"/>
              <w:bottom w:val="single" w:sz="8" w:space="0" w:color="auto"/>
              <w:right w:val="single" w:sz="8" w:space="0" w:color="auto"/>
            </w:tcBorders>
            <w:vAlign w:val="center"/>
            <w:hideMark/>
          </w:tcPr>
          <w:p w14:paraId="6234760B"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T</w:t>
            </w:r>
            <w:r w:rsidRPr="003A18B1">
              <w:rPr>
                <w:rFonts w:ascii="Times New Roman" w:eastAsia="Times New Roman" w:hAnsi="Times New Roman" w:cs="Times New Roman"/>
                <w:color w:val="000000"/>
                <w:sz w:val="24"/>
                <w:szCs w:val="24"/>
                <w:vertAlign w:val="subscript"/>
                <w:lang w:val="en-IN" w:eastAsia="en-IN" w:bidi="hi-IN"/>
              </w:rPr>
              <w:t>5</w:t>
            </w:r>
          </w:p>
        </w:tc>
        <w:tc>
          <w:tcPr>
            <w:tcW w:w="1250" w:type="dxa"/>
            <w:tcBorders>
              <w:top w:val="nil"/>
              <w:left w:val="nil"/>
              <w:bottom w:val="single" w:sz="8" w:space="0" w:color="auto"/>
              <w:right w:val="single" w:sz="8" w:space="0" w:color="auto"/>
            </w:tcBorders>
            <w:noWrap/>
            <w:vAlign w:val="center"/>
            <w:hideMark/>
          </w:tcPr>
          <w:p w14:paraId="11A17451"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694.91</w:t>
            </w:r>
          </w:p>
        </w:tc>
        <w:tc>
          <w:tcPr>
            <w:tcW w:w="1232" w:type="dxa"/>
            <w:tcBorders>
              <w:top w:val="nil"/>
              <w:left w:val="nil"/>
              <w:bottom w:val="single" w:sz="8" w:space="0" w:color="auto"/>
              <w:right w:val="single" w:sz="8" w:space="0" w:color="auto"/>
            </w:tcBorders>
            <w:vAlign w:val="center"/>
            <w:hideMark/>
          </w:tcPr>
          <w:p w14:paraId="79F8059D"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125.09</w:t>
            </w:r>
          </w:p>
        </w:tc>
        <w:tc>
          <w:tcPr>
            <w:tcW w:w="1228" w:type="dxa"/>
            <w:tcBorders>
              <w:top w:val="nil"/>
              <w:left w:val="nil"/>
              <w:bottom w:val="single" w:sz="8" w:space="0" w:color="auto"/>
              <w:right w:val="single" w:sz="8" w:space="0" w:color="auto"/>
            </w:tcBorders>
            <w:vAlign w:val="center"/>
            <w:hideMark/>
          </w:tcPr>
          <w:p w14:paraId="3AFC4F19"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47.47</w:t>
            </w:r>
          </w:p>
        </w:tc>
        <w:tc>
          <w:tcPr>
            <w:tcW w:w="1284" w:type="dxa"/>
            <w:tcBorders>
              <w:top w:val="nil"/>
              <w:left w:val="nil"/>
              <w:bottom w:val="single" w:sz="8" w:space="0" w:color="auto"/>
              <w:right w:val="single" w:sz="8" w:space="0" w:color="auto"/>
            </w:tcBorders>
            <w:vAlign w:val="center"/>
            <w:hideMark/>
          </w:tcPr>
          <w:p w14:paraId="7C733DAE"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274.01</w:t>
            </w:r>
          </w:p>
        </w:tc>
        <w:tc>
          <w:tcPr>
            <w:tcW w:w="1420" w:type="dxa"/>
            <w:tcBorders>
              <w:top w:val="nil"/>
              <w:left w:val="nil"/>
              <w:bottom w:val="single" w:sz="8" w:space="0" w:color="auto"/>
              <w:right w:val="single" w:sz="8" w:space="0" w:color="auto"/>
            </w:tcBorders>
            <w:vAlign w:val="center"/>
            <w:hideMark/>
          </w:tcPr>
          <w:p w14:paraId="6C1246FA"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622.50</w:t>
            </w:r>
          </w:p>
        </w:tc>
        <w:tc>
          <w:tcPr>
            <w:tcW w:w="1486" w:type="dxa"/>
            <w:tcBorders>
              <w:top w:val="nil"/>
              <w:left w:val="nil"/>
              <w:bottom w:val="single" w:sz="8" w:space="0" w:color="auto"/>
              <w:right w:val="single" w:sz="8" w:space="0" w:color="auto"/>
            </w:tcBorders>
            <w:vAlign w:val="center"/>
            <w:hideMark/>
          </w:tcPr>
          <w:p w14:paraId="1439CDF3" w14:textId="77777777" w:rsidR="00445A51" w:rsidRPr="00DB1317" w:rsidRDefault="00445A51" w:rsidP="00A248C6">
            <w:pPr>
              <w:jc w:val="center"/>
              <w:rPr>
                <w:rFonts w:ascii="Times New Roman" w:eastAsia="Times New Roman" w:hAnsi="Times New Roman" w:cs="Times New Roman"/>
                <w:color w:val="000000"/>
                <w:sz w:val="24"/>
                <w:szCs w:val="24"/>
                <w:lang w:val="en-IN" w:eastAsia="en-IN" w:bidi="hi-IN"/>
              </w:rPr>
            </w:pPr>
            <w:r w:rsidRPr="00DB1317">
              <w:rPr>
                <w:rFonts w:ascii="Times New Roman" w:hAnsi="Times New Roman" w:cs="Times New Roman"/>
                <w:color w:val="000000"/>
              </w:rPr>
              <w:t>102.32</w:t>
            </w:r>
          </w:p>
        </w:tc>
      </w:tr>
      <w:tr w:rsidR="00445A51" w:rsidRPr="0092744A" w14:paraId="540B9BFA" w14:textId="77777777" w:rsidTr="00856B7F">
        <w:trPr>
          <w:trHeight w:val="521"/>
        </w:trPr>
        <w:tc>
          <w:tcPr>
            <w:tcW w:w="1513" w:type="dxa"/>
            <w:tcBorders>
              <w:top w:val="nil"/>
              <w:left w:val="single" w:sz="8" w:space="0" w:color="auto"/>
              <w:bottom w:val="single" w:sz="8" w:space="0" w:color="auto"/>
              <w:right w:val="single" w:sz="8" w:space="0" w:color="auto"/>
            </w:tcBorders>
            <w:vAlign w:val="center"/>
            <w:hideMark/>
          </w:tcPr>
          <w:p w14:paraId="46244622"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SE ±</w:t>
            </w:r>
          </w:p>
        </w:tc>
        <w:tc>
          <w:tcPr>
            <w:tcW w:w="1250" w:type="dxa"/>
            <w:tcBorders>
              <w:top w:val="nil"/>
              <w:left w:val="nil"/>
              <w:bottom w:val="single" w:sz="8" w:space="0" w:color="auto"/>
              <w:right w:val="single" w:sz="8" w:space="0" w:color="auto"/>
            </w:tcBorders>
            <w:noWrap/>
            <w:vAlign w:val="center"/>
            <w:hideMark/>
          </w:tcPr>
          <w:p w14:paraId="78A35027"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3.61</w:t>
            </w:r>
          </w:p>
        </w:tc>
        <w:tc>
          <w:tcPr>
            <w:tcW w:w="1232" w:type="dxa"/>
            <w:tcBorders>
              <w:top w:val="nil"/>
              <w:left w:val="nil"/>
              <w:bottom w:val="single" w:sz="8" w:space="0" w:color="auto"/>
              <w:right w:val="single" w:sz="8" w:space="0" w:color="auto"/>
            </w:tcBorders>
            <w:vAlign w:val="center"/>
            <w:hideMark/>
          </w:tcPr>
          <w:p w14:paraId="2C46E526"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0.65</w:t>
            </w:r>
          </w:p>
        </w:tc>
        <w:tc>
          <w:tcPr>
            <w:tcW w:w="1228" w:type="dxa"/>
            <w:tcBorders>
              <w:top w:val="nil"/>
              <w:left w:val="nil"/>
              <w:bottom w:val="single" w:sz="8" w:space="0" w:color="auto"/>
              <w:right w:val="single" w:sz="8" w:space="0" w:color="auto"/>
            </w:tcBorders>
            <w:vAlign w:val="center"/>
            <w:hideMark/>
          </w:tcPr>
          <w:p w14:paraId="36D1BBBF"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0.25</w:t>
            </w:r>
          </w:p>
        </w:tc>
        <w:tc>
          <w:tcPr>
            <w:tcW w:w="1284" w:type="dxa"/>
            <w:tcBorders>
              <w:top w:val="nil"/>
              <w:left w:val="nil"/>
              <w:bottom w:val="single" w:sz="8" w:space="0" w:color="auto"/>
              <w:right w:val="single" w:sz="8" w:space="0" w:color="auto"/>
            </w:tcBorders>
            <w:vAlign w:val="center"/>
            <w:hideMark/>
          </w:tcPr>
          <w:p w14:paraId="271C592B"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1.43</w:t>
            </w:r>
          </w:p>
        </w:tc>
        <w:tc>
          <w:tcPr>
            <w:tcW w:w="1420" w:type="dxa"/>
            <w:tcBorders>
              <w:top w:val="nil"/>
              <w:left w:val="nil"/>
              <w:bottom w:val="single" w:sz="8" w:space="0" w:color="auto"/>
              <w:right w:val="single" w:sz="8" w:space="0" w:color="auto"/>
            </w:tcBorders>
            <w:vAlign w:val="center"/>
            <w:hideMark/>
          </w:tcPr>
          <w:p w14:paraId="059584BE"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3.24</w:t>
            </w:r>
          </w:p>
        </w:tc>
        <w:tc>
          <w:tcPr>
            <w:tcW w:w="1486" w:type="dxa"/>
            <w:tcBorders>
              <w:top w:val="nil"/>
              <w:left w:val="nil"/>
              <w:bottom w:val="single" w:sz="8" w:space="0" w:color="auto"/>
              <w:right w:val="single" w:sz="8" w:space="0" w:color="auto"/>
            </w:tcBorders>
            <w:vAlign w:val="center"/>
            <w:hideMark/>
          </w:tcPr>
          <w:p w14:paraId="54121064"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0.53</w:t>
            </w:r>
          </w:p>
        </w:tc>
      </w:tr>
      <w:tr w:rsidR="00445A51" w:rsidRPr="0092744A" w14:paraId="262B78F7" w14:textId="77777777" w:rsidTr="00856B7F">
        <w:trPr>
          <w:trHeight w:val="504"/>
        </w:trPr>
        <w:tc>
          <w:tcPr>
            <w:tcW w:w="1513" w:type="dxa"/>
            <w:tcBorders>
              <w:top w:val="nil"/>
              <w:left w:val="single" w:sz="8" w:space="0" w:color="auto"/>
              <w:bottom w:val="single" w:sz="8" w:space="0" w:color="auto"/>
              <w:right w:val="single" w:sz="8" w:space="0" w:color="auto"/>
            </w:tcBorders>
            <w:vAlign w:val="center"/>
            <w:hideMark/>
          </w:tcPr>
          <w:p w14:paraId="5C6BA2E1"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CD (5%)</w:t>
            </w:r>
          </w:p>
        </w:tc>
        <w:tc>
          <w:tcPr>
            <w:tcW w:w="1250" w:type="dxa"/>
            <w:tcBorders>
              <w:top w:val="nil"/>
              <w:left w:val="nil"/>
              <w:bottom w:val="single" w:sz="8" w:space="0" w:color="auto"/>
              <w:right w:val="single" w:sz="8" w:space="0" w:color="auto"/>
            </w:tcBorders>
            <w:vAlign w:val="center"/>
            <w:hideMark/>
          </w:tcPr>
          <w:p w14:paraId="28548282"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11.14</w:t>
            </w:r>
          </w:p>
        </w:tc>
        <w:tc>
          <w:tcPr>
            <w:tcW w:w="1232" w:type="dxa"/>
            <w:tcBorders>
              <w:top w:val="nil"/>
              <w:left w:val="nil"/>
              <w:bottom w:val="single" w:sz="8" w:space="0" w:color="auto"/>
              <w:right w:val="single" w:sz="8" w:space="0" w:color="auto"/>
            </w:tcBorders>
            <w:vAlign w:val="center"/>
            <w:hideMark/>
          </w:tcPr>
          <w:p w14:paraId="4D1F76DD"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2.01</w:t>
            </w:r>
          </w:p>
        </w:tc>
        <w:tc>
          <w:tcPr>
            <w:tcW w:w="1228" w:type="dxa"/>
            <w:tcBorders>
              <w:top w:val="nil"/>
              <w:left w:val="nil"/>
              <w:bottom w:val="single" w:sz="8" w:space="0" w:color="auto"/>
              <w:right w:val="single" w:sz="8" w:space="0" w:color="auto"/>
            </w:tcBorders>
            <w:vAlign w:val="center"/>
            <w:hideMark/>
          </w:tcPr>
          <w:p w14:paraId="4B1FDA9F"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0.77</w:t>
            </w:r>
          </w:p>
        </w:tc>
        <w:tc>
          <w:tcPr>
            <w:tcW w:w="1284" w:type="dxa"/>
            <w:tcBorders>
              <w:top w:val="nil"/>
              <w:left w:val="nil"/>
              <w:bottom w:val="single" w:sz="8" w:space="0" w:color="auto"/>
              <w:right w:val="single" w:sz="8" w:space="0" w:color="auto"/>
            </w:tcBorders>
            <w:vAlign w:val="center"/>
            <w:hideMark/>
          </w:tcPr>
          <w:p w14:paraId="2012D38A"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4.42</w:t>
            </w:r>
          </w:p>
        </w:tc>
        <w:tc>
          <w:tcPr>
            <w:tcW w:w="1420" w:type="dxa"/>
            <w:tcBorders>
              <w:top w:val="nil"/>
              <w:left w:val="nil"/>
              <w:bottom w:val="single" w:sz="8" w:space="0" w:color="auto"/>
              <w:right w:val="single" w:sz="8" w:space="0" w:color="auto"/>
            </w:tcBorders>
            <w:vAlign w:val="center"/>
            <w:hideMark/>
          </w:tcPr>
          <w:p w14:paraId="0D4A1D71"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9.97</w:t>
            </w:r>
          </w:p>
        </w:tc>
        <w:tc>
          <w:tcPr>
            <w:tcW w:w="1486" w:type="dxa"/>
            <w:tcBorders>
              <w:top w:val="nil"/>
              <w:left w:val="nil"/>
              <w:bottom w:val="single" w:sz="8" w:space="0" w:color="auto"/>
              <w:right w:val="single" w:sz="8" w:space="0" w:color="auto"/>
            </w:tcBorders>
            <w:vAlign w:val="center"/>
            <w:hideMark/>
          </w:tcPr>
          <w:p w14:paraId="6F583663" w14:textId="77777777" w:rsidR="00445A51" w:rsidRPr="0092744A" w:rsidRDefault="00445A51" w:rsidP="00A248C6">
            <w:pPr>
              <w:jc w:val="center"/>
              <w:rPr>
                <w:rFonts w:ascii="Times New Roman" w:eastAsia="Times New Roman" w:hAnsi="Times New Roman" w:cs="Times New Roman"/>
                <w:color w:val="000000"/>
                <w:sz w:val="24"/>
                <w:szCs w:val="24"/>
                <w:lang w:val="en-IN" w:eastAsia="en-IN" w:bidi="hi-IN"/>
              </w:rPr>
            </w:pPr>
            <w:r w:rsidRPr="0092744A">
              <w:rPr>
                <w:rFonts w:ascii="Times New Roman" w:eastAsia="Times New Roman" w:hAnsi="Times New Roman" w:cs="Times New Roman"/>
                <w:color w:val="000000"/>
                <w:sz w:val="24"/>
                <w:szCs w:val="24"/>
                <w:lang w:val="en-IN" w:eastAsia="en-IN" w:bidi="hi-IN"/>
              </w:rPr>
              <w:t>1.65</w:t>
            </w:r>
          </w:p>
        </w:tc>
      </w:tr>
    </w:tbl>
    <w:p w14:paraId="08C72803" w14:textId="77777777" w:rsidR="00445A51" w:rsidRPr="00445A51" w:rsidRDefault="00445A51" w:rsidP="00A248C6">
      <w:pPr>
        <w:spacing w:before="240"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 xml:space="preserve">In the present study, the average daily dry matter intake was 697.79, 713.32, 704.23, 696.09 and 694.91 g/day for T₁–T₅, respectively. Corresponding intakes of crude protein, ether extract, crude </w:t>
      </w:r>
      <w:proofErr w:type="spellStart"/>
      <w:r w:rsidRPr="00445A51">
        <w:rPr>
          <w:rFonts w:ascii="Times New Roman" w:hAnsi="Times New Roman" w:cs="Times New Roman"/>
          <w:sz w:val="24"/>
          <w:szCs w:val="24"/>
          <w:lang w:val="en-IN"/>
        </w:rPr>
        <w:lastRenderedPageBreak/>
        <w:t>fiber</w:t>
      </w:r>
      <w:proofErr w:type="spellEnd"/>
      <w:r w:rsidRPr="00445A51">
        <w:rPr>
          <w:rFonts w:ascii="Times New Roman" w:hAnsi="Times New Roman" w:cs="Times New Roman"/>
          <w:sz w:val="24"/>
          <w:szCs w:val="24"/>
          <w:lang w:val="en-IN"/>
        </w:rPr>
        <w:t>, nitrogen-free extract and ash were 126.31–129.12 g, 47.47–49.59 g, 274.01–284.56 g, 622.50–636.68 g and 102.32–105.55 g, with T₂ consistently showing the highest values and T₅ the lowest, indicating better palatability in T₂.</w:t>
      </w:r>
    </w:p>
    <w:p w14:paraId="5D43EECC" w14:textId="59AD4043" w:rsidR="00445A51" w:rsidRPr="008A0820" w:rsidRDefault="00445A51" w:rsidP="00A11E03">
      <w:pPr>
        <w:spacing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 xml:space="preserve">Comparative studies revealed variable results. Kore (2023) reported lower nutrient intakes in Konkan </w:t>
      </w:r>
      <w:proofErr w:type="spellStart"/>
      <w:r w:rsidRPr="00445A51">
        <w:rPr>
          <w:rFonts w:ascii="Times New Roman" w:hAnsi="Times New Roman" w:cs="Times New Roman"/>
          <w:sz w:val="24"/>
          <w:szCs w:val="24"/>
          <w:lang w:val="en-IN"/>
        </w:rPr>
        <w:t>Kanyal</w:t>
      </w:r>
      <w:proofErr w:type="spellEnd"/>
      <w:r w:rsidRPr="00445A51">
        <w:rPr>
          <w:rFonts w:ascii="Times New Roman" w:hAnsi="Times New Roman" w:cs="Times New Roman"/>
          <w:sz w:val="24"/>
          <w:szCs w:val="24"/>
          <w:lang w:val="en-IN"/>
        </w:rPr>
        <w:t xml:space="preserve"> kids fed Spirulina (419.16–464.48 g DM), while Adebisi et al. (2022) also observed lower values in West African Dwarf goats (543.66–547.94 g DM) with turmeric supplementation. Conversely, Sawant (2024) recorded higher or comparable intakes with ginger powder supplementation (731.23–763.95 g DM). Overall, the present findings suggest that turmeric inclusion influenced nutrient intake, with T₂ supporting improved feed acceptance.</w:t>
      </w:r>
    </w:p>
    <w:p w14:paraId="122CE878" w14:textId="5C8FBF57" w:rsidR="00445A51" w:rsidRPr="008A0820"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4. </w:t>
      </w:r>
      <w:r w:rsidR="00445A51" w:rsidRPr="008A0820">
        <w:rPr>
          <w:rFonts w:ascii="Times New Roman" w:hAnsi="Times New Roman" w:cs="Times New Roman"/>
          <w:b/>
          <w:bCs/>
          <w:sz w:val="24"/>
          <w:szCs w:val="24"/>
        </w:rPr>
        <w:t>Nutrient outgo</w:t>
      </w:r>
    </w:p>
    <w:p w14:paraId="5FDF0DB2" w14:textId="3CE4EFD9" w:rsidR="00445A51" w:rsidRPr="00AA25DF" w:rsidRDefault="00445A51" w:rsidP="00A11E03">
      <w:pPr>
        <w:spacing w:line="360" w:lineRule="auto"/>
        <w:rPr>
          <w:rFonts w:ascii="Times New Roman" w:hAnsi="Times New Roman" w:cs="Times New Roman"/>
          <w:b/>
          <w:bCs/>
          <w:sz w:val="24"/>
          <w:szCs w:val="24"/>
          <w:lang w:val="en-IN"/>
        </w:rPr>
      </w:pPr>
      <w:r>
        <w:rPr>
          <w:rFonts w:ascii="Times New Roman" w:hAnsi="Times New Roman" w:cs="Times New Roman"/>
          <w:sz w:val="24"/>
          <w:szCs w:val="24"/>
          <w:lang w:val="en-IN"/>
        </w:rPr>
        <w:tab/>
      </w:r>
      <w:r w:rsidRPr="008A0820">
        <w:rPr>
          <w:rFonts w:ascii="Times New Roman" w:hAnsi="Times New Roman" w:cs="Times New Roman"/>
          <w:sz w:val="24"/>
          <w:szCs w:val="24"/>
          <w:lang w:val="en-IN"/>
        </w:rPr>
        <w:t>The average daily outgo of various nutrients in treatment T</w:t>
      </w:r>
      <w:r w:rsidRPr="008A0820">
        <w:rPr>
          <w:rFonts w:ascii="Times New Roman" w:hAnsi="Times New Roman" w:cs="Times New Roman"/>
          <w:sz w:val="24"/>
          <w:szCs w:val="24"/>
          <w:vertAlign w:val="subscript"/>
          <w:lang w:val="en-IN"/>
        </w:rPr>
        <w:t>1</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2</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3</w:t>
      </w:r>
      <w:r w:rsidRPr="008A0820">
        <w:rPr>
          <w:rFonts w:ascii="Times New Roman" w:hAnsi="Times New Roman" w:cs="Times New Roman"/>
          <w:sz w:val="24"/>
          <w:szCs w:val="24"/>
          <w:lang w:val="en-IN"/>
        </w:rPr>
        <w:t>, T</w:t>
      </w:r>
      <w:r w:rsidRPr="008A0820">
        <w:rPr>
          <w:rFonts w:ascii="Times New Roman" w:hAnsi="Times New Roman" w:cs="Times New Roman"/>
          <w:sz w:val="24"/>
          <w:szCs w:val="24"/>
          <w:vertAlign w:val="subscript"/>
          <w:lang w:val="en-IN"/>
        </w:rPr>
        <w:t>4</w:t>
      </w:r>
      <w:r w:rsidRPr="008A0820">
        <w:rPr>
          <w:rFonts w:ascii="Times New Roman" w:hAnsi="Times New Roman" w:cs="Times New Roman"/>
          <w:sz w:val="24"/>
          <w:szCs w:val="24"/>
          <w:lang w:val="en-IN"/>
        </w:rPr>
        <w:t xml:space="preserve"> and T</w:t>
      </w:r>
      <w:r w:rsidRPr="008A0820">
        <w:rPr>
          <w:rFonts w:ascii="Times New Roman" w:hAnsi="Times New Roman" w:cs="Times New Roman"/>
          <w:sz w:val="24"/>
          <w:szCs w:val="24"/>
          <w:vertAlign w:val="subscript"/>
          <w:lang w:val="en-IN"/>
        </w:rPr>
        <w:t>5</w:t>
      </w:r>
      <w:r w:rsidRPr="008A0820">
        <w:rPr>
          <w:rFonts w:ascii="Times New Roman" w:hAnsi="Times New Roman" w:cs="Times New Roman"/>
          <w:sz w:val="24"/>
          <w:szCs w:val="24"/>
          <w:lang w:val="en-IN"/>
        </w:rPr>
        <w:t xml:space="preserve"> on per cent dry matter basis is presented in Table </w:t>
      </w:r>
      <w:r w:rsidR="00171FD9">
        <w:rPr>
          <w:rFonts w:ascii="Times New Roman" w:hAnsi="Times New Roman" w:cs="Times New Roman"/>
          <w:sz w:val="24"/>
          <w:szCs w:val="24"/>
          <w:lang w:val="en-IN"/>
        </w:rPr>
        <w:t>5</w:t>
      </w:r>
      <w:r w:rsidRPr="008A0820">
        <w:rPr>
          <w:rFonts w:ascii="Times New Roman" w:hAnsi="Times New Roman" w:cs="Times New Roman"/>
          <w:sz w:val="24"/>
          <w:szCs w:val="24"/>
          <w:lang w:val="en-IN"/>
        </w:rPr>
        <w:t>.</w:t>
      </w:r>
    </w:p>
    <w:p w14:paraId="0B1D5828" w14:textId="70F796EE" w:rsidR="00445A51" w:rsidRPr="00032685" w:rsidRDefault="00523EE4" w:rsidP="00523EE4">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Table 5. </w:t>
      </w:r>
      <w:r w:rsidR="00445A51" w:rsidRPr="00032685">
        <w:rPr>
          <w:rFonts w:ascii="Times New Roman" w:hAnsi="Times New Roman" w:cs="Times New Roman"/>
          <w:b/>
          <w:bCs/>
          <w:sz w:val="24"/>
          <w:szCs w:val="24"/>
        </w:rPr>
        <w:t>Average outgo of nutrients in experimental kids (DM basis)</w:t>
      </w:r>
    </w:p>
    <w:tbl>
      <w:tblPr>
        <w:tblW w:w="9387" w:type="dxa"/>
        <w:jc w:val="center"/>
        <w:tblLook w:val="04A0" w:firstRow="1" w:lastRow="0" w:firstColumn="1" w:lastColumn="0" w:noHBand="0" w:noVBand="1"/>
      </w:tblPr>
      <w:tblGrid>
        <w:gridCol w:w="1710"/>
        <w:gridCol w:w="1232"/>
        <w:gridCol w:w="1232"/>
        <w:gridCol w:w="1232"/>
        <w:gridCol w:w="1232"/>
        <w:gridCol w:w="1232"/>
        <w:gridCol w:w="1517"/>
      </w:tblGrid>
      <w:tr w:rsidR="00445A51" w:rsidRPr="0001172A" w14:paraId="5B37D9BF" w14:textId="77777777" w:rsidTr="00856B7F">
        <w:trPr>
          <w:trHeight w:val="507"/>
          <w:jc w:val="center"/>
        </w:trPr>
        <w:tc>
          <w:tcPr>
            <w:tcW w:w="1710" w:type="dxa"/>
            <w:vMerge w:val="restart"/>
            <w:tcBorders>
              <w:top w:val="single" w:sz="8" w:space="0" w:color="auto"/>
              <w:left w:val="single" w:sz="8" w:space="0" w:color="auto"/>
              <w:bottom w:val="single" w:sz="8" w:space="0" w:color="000000"/>
              <w:right w:val="single" w:sz="8" w:space="0" w:color="auto"/>
            </w:tcBorders>
            <w:vAlign w:val="center"/>
            <w:hideMark/>
          </w:tcPr>
          <w:p w14:paraId="6C2BE888"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Treatments</w:t>
            </w:r>
          </w:p>
        </w:tc>
        <w:tc>
          <w:tcPr>
            <w:tcW w:w="7677" w:type="dxa"/>
            <w:gridSpan w:val="6"/>
            <w:tcBorders>
              <w:top w:val="single" w:sz="8" w:space="0" w:color="auto"/>
              <w:left w:val="nil"/>
              <w:bottom w:val="single" w:sz="8" w:space="0" w:color="auto"/>
              <w:right w:val="single" w:sz="8" w:space="0" w:color="000000"/>
            </w:tcBorders>
            <w:vAlign w:val="center"/>
            <w:hideMark/>
          </w:tcPr>
          <w:p w14:paraId="6B84A842"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Nutrients outgo (g/d)</w:t>
            </w:r>
          </w:p>
        </w:tc>
      </w:tr>
      <w:tr w:rsidR="00445A51" w:rsidRPr="0001172A" w14:paraId="0B45F804" w14:textId="77777777" w:rsidTr="00856B7F">
        <w:trPr>
          <w:trHeight w:val="513"/>
          <w:jc w:val="center"/>
        </w:trPr>
        <w:tc>
          <w:tcPr>
            <w:tcW w:w="1710" w:type="dxa"/>
            <w:vMerge/>
            <w:tcBorders>
              <w:top w:val="single" w:sz="8" w:space="0" w:color="auto"/>
              <w:left w:val="single" w:sz="8" w:space="0" w:color="auto"/>
              <w:bottom w:val="single" w:sz="8" w:space="0" w:color="000000"/>
              <w:right w:val="single" w:sz="8" w:space="0" w:color="auto"/>
            </w:tcBorders>
            <w:vAlign w:val="center"/>
            <w:hideMark/>
          </w:tcPr>
          <w:p w14:paraId="08A95247" w14:textId="77777777" w:rsidR="00445A51" w:rsidRPr="0001172A" w:rsidRDefault="00445A51" w:rsidP="00A248C6">
            <w:pPr>
              <w:jc w:val="center"/>
              <w:rPr>
                <w:rFonts w:ascii="Times New Roman" w:hAnsi="Times New Roman" w:cs="Times New Roman"/>
                <w:b/>
                <w:bCs/>
                <w:sz w:val="24"/>
                <w:szCs w:val="24"/>
                <w:lang w:val="en-IN"/>
              </w:rPr>
            </w:pPr>
          </w:p>
        </w:tc>
        <w:tc>
          <w:tcPr>
            <w:tcW w:w="1232" w:type="dxa"/>
            <w:tcBorders>
              <w:top w:val="nil"/>
              <w:left w:val="nil"/>
              <w:bottom w:val="single" w:sz="8" w:space="0" w:color="auto"/>
              <w:right w:val="single" w:sz="8" w:space="0" w:color="auto"/>
            </w:tcBorders>
            <w:vAlign w:val="center"/>
            <w:hideMark/>
          </w:tcPr>
          <w:p w14:paraId="62C611C2"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DM</w:t>
            </w:r>
          </w:p>
        </w:tc>
        <w:tc>
          <w:tcPr>
            <w:tcW w:w="1232" w:type="dxa"/>
            <w:tcBorders>
              <w:top w:val="nil"/>
              <w:left w:val="nil"/>
              <w:bottom w:val="single" w:sz="8" w:space="0" w:color="auto"/>
              <w:right w:val="single" w:sz="8" w:space="0" w:color="auto"/>
            </w:tcBorders>
            <w:vAlign w:val="center"/>
            <w:hideMark/>
          </w:tcPr>
          <w:p w14:paraId="63A42082"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CP</w:t>
            </w:r>
          </w:p>
        </w:tc>
        <w:tc>
          <w:tcPr>
            <w:tcW w:w="1232" w:type="dxa"/>
            <w:tcBorders>
              <w:top w:val="nil"/>
              <w:left w:val="nil"/>
              <w:bottom w:val="single" w:sz="8" w:space="0" w:color="auto"/>
              <w:right w:val="single" w:sz="8" w:space="0" w:color="auto"/>
            </w:tcBorders>
            <w:vAlign w:val="center"/>
            <w:hideMark/>
          </w:tcPr>
          <w:p w14:paraId="2A7FFDAF"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EE</w:t>
            </w:r>
          </w:p>
        </w:tc>
        <w:tc>
          <w:tcPr>
            <w:tcW w:w="1232" w:type="dxa"/>
            <w:tcBorders>
              <w:top w:val="nil"/>
              <w:left w:val="nil"/>
              <w:bottom w:val="single" w:sz="8" w:space="0" w:color="auto"/>
              <w:right w:val="single" w:sz="8" w:space="0" w:color="auto"/>
            </w:tcBorders>
            <w:vAlign w:val="center"/>
            <w:hideMark/>
          </w:tcPr>
          <w:p w14:paraId="0B33EFFB"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CF</w:t>
            </w:r>
          </w:p>
        </w:tc>
        <w:tc>
          <w:tcPr>
            <w:tcW w:w="1232" w:type="dxa"/>
            <w:tcBorders>
              <w:top w:val="nil"/>
              <w:left w:val="nil"/>
              <w:bottom w:val="single" w:sz="8" w:space="0" w:color="auto"/>
              <w:right w:val="single" w:sz="8" w:space="0" w:color="auto"/>
            </w:tcBorders>
            <w:vAlign w:val="center"/>
            <w:hideMark/>
          </w:tcPr>
          <w:p w14:paraId="628A15A5"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NFE</w:t>
            </w:r>
          </w:p>
        </w:tc>
        <w:tc>
          <w:tcPr>
            <w:tcW w:w="1515" w:type="dxa"/>
            <w:tcBorders>
              <w:top w:val="nil"/>
              <w:left w:val="nil"/>
              <w:bottom w:val="single" w:sz="8" w:space="0" w:color="auto"/>
              <w:right w:val="single" w:sz="8" w:space="0" w:color="auto"/>
            </w:tcBorders>
            <w:vAlign w:val="center"/>
            <w:hideMark/>
          </w:tcPr>
          <w:p w14:paraId="666D5440"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Ash</w:t>
            </w:r>
          </w:p>
        </w:tc>
      </w:tr>
      <w:tr w:rsidR="00445A51" w:rsidRPr="0001172A" w14:paraId="469C2960" w14:textId="77777777" w:rsidTr="00856B7F">
        <w:trPr>
          <w:trHeight w:val="509"/>
          <w:jc w:val="center"/>
        </w:trPr>
        <w:tc>
          <w:tcPr>
            <w:tcW w:w="1710" w:type="dxa"/>
            <w:tcBorders>
              <w:top w:val="nil"/>
              <w:left w:val="single" w:sz="8" w:space="0" w:color="auto"/>
              <w:bottom w:val="single" w:sz="8" w:space="0" w:color="auto"/>
              <w:right w:val="single" w:sz="8" w:space="0" w:color="auto"/>
            </w:tcBorders>
            <w:vAlign w:val="center"/>
            <w:hideMark/>
          </w:tcPr>
          <w:p w14:paraId="16485FF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1</w:t>
            </w:r>
          </w:p>
        </w:tc>
        <w:tc>
          <w:tcPr>
            <w:tcW w:w="1232" w:type="dxa"/>
            <w:tcBorders>
              <w:top w:val="nil"/>
              <w:left w:val="nil"/>
              <w:bottom w:val="single" w:sz="8" w:space="0" w:color="auto"/>
              <w:right w:val="single" w:sz="8" w:space="0" w:color="auto"/>
            </w:tcBorders>
            <w:vAlign w:val="center"/>
            <w:hideMark/>
          </w:tcPr>
          <w:p w14:paraId="719718A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130</w:t>
            </w:r>
          </w:p>
        </w:tc>
        <w:tc>
          <w:tcPr>
            <w:tcW w:w="1232" w:type="dxa"/>
            <w:tcBorders>
              <w:top w:val="nil"/>
              <w:left w:val="nil"/>
              <w:bottom w:val="single" w:sz="8" w:space="0" w:color="auto"/>
              <w:right w:val="single" w:sz="8" w:space="0" w:color="auto"/>
            </w:tcBorders>
            <w:vAlign w:val="center"/>
            <w:hideMark/>
          </w:tcPr>
          <w:p w14:paraId="4C9A34F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32.625</w:t>
            </w:r>
          </w:p>
        </w:tc>
        <w:tc>
          <w:tcPr>
            <w:tcW w:w="1232" w:type="dxa"/>
            <w:tcBorders>
              <w:top w:val="nil"/>
              <w:left w:val="nil"/>
              <w:bottom w:val="single" w:sz="8" w:space="0" w:color="auto"/>
              <w:right w:val="single" w:sz="8" w:space="0" w:color="auto"/>
            </w:tcBorders>
            <w:vAlign w:val="center"/>
            <w:hideMark/>
          </w:tcPr>
          <w:p w14:paraId="52EE76F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10.455</w:t>
            </w:r>
          </w:p>
        </w:tc>
        <w:tc>
          <w:tcPr>
            <w:tcW w:w="1232" w:type="dxa"/>
            <w:tcBorders>
              <w:top w:val="nil"/>
              <w:left w:val="nil"/>
              <w:bottom w:val="single" w:sz="8" w:space="0" w:color="auto"/>
              <w:right w:val="single" w:sz="8" w:space="0" w:color="auto"/>
            </w:tcBorders>
            <w:vAlign w:val="center"/>
            <w:hideMark/>
          </w:tcPr>
          <w:p w14:paraId="2155D08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62.4</w:t>
            </w:r>
          </w:p>
        </w:tc>
        <w:tc>
          <w:tcPr>
            <w:tcW w:w="1232" w:type="dxa"/>
            <w:tcBorders>
              <w:top w:val="nil"/>
              <w:left w:val="nil"/>
              <w:bottom w:val="single" w:sz="8" w:space="0" w:color="auto"/>
              <w:right w:val="single" w:sz="8" w:space="0" w:color="auto"/>
            </w:tcBorders>
            <w:vAlign w:val="center"/>
            <w:hideMark/>
          </w:tcPr>
          <w:p w14:paraId="742D576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242.75</w:t>
            </w:r>
          </w:p>
        </w:tc>
        <w:tc>
          <w:tcPr>
            <w:tcW w:w="1515" w:type="dxa"/>
            <w:tcBorders>
              <w:top w:val="nil"/>
              <w:left w:val="nil"/>
              <w:bottom w:val="single" w:sz="8" w:space="0" w:color="auto"/>
              <w:right w:val="single" w:sz="8" w:space="0" w:color="auto"/>
            </w:tcBorders>
            <w:vAlign w:val="center"/>
            <w:hideMark/>
          </w:tcPr>
          <w:p w14:paraId="0A7F098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29.7125</w:t>
            </w:r>
          </w:p>
        </w:tc>
      </w:tr>
      <w:tr w:rsidR="00445A51" w:rsidRPr="0001172A" w14:paraId="3E0F3417" w14:textId="77777777" w:rsidTr="00856B7F">
        <w:trPr>
          <w:trHeight w:val="509"/>
          <w:jc w:val="center"/>
        </w:trPr>
        <w:tc>
          <w:tcPr>
            <w:tcW w:w="1710" w:type="dxa"/>
            <w:tcBorders>
              <w:top w:val="nil"/>
              <w:left w:val="single" w:sz="8" w:space="0" w:color="auto"/>
              <w:bottom w:val="single" w:sz="8" w:space="0" w:color="auto"/>
              <w:right w:val="single" w:sz="8" w:space="0" w:color="auto"/>
            </w:tcBorders>
            <w:vAlign w:val="center"/>
            <w:hideMark/>
          </w:tcPr>
          <w:p w14:paraId="6FEC125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2</w:t>
            </w:r>
          </w:p>
        </w:tc>
        <w:tc>
          <w:tcPr>
            <w:tcW w:w="1232" w:type="dxa"/>
            <w:tcBorders>
              <w:top w:val="nil"/>
              <w:left w:val="nil"/>
              <w:bottom w:val="single" w:sz="8" w:space="0" w:color="auto"/>
              <w:right w:val="single" w:sz="8" w:space="0" w:color="auto"/>
            </w:tcBorders>
            <w:vAlign w:val="center"/>
            <w:hideMark/>
          </w:tcPr>
          <w:p w14:paraId="4E88F5A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126.75</w:t>
            </w:r>
          </w:p>
        </w:tc>
        <w:tc>
          <w:tcPr>
            <w:tcW w:w="1232" w:type="dxa"/>
            <w:tcBorders>
              <w:top w:val="nil"/>
              <w:left w:val="nil"/>
              <w:bottom w:val="single" w:sz="8" w:space="0" w:color="auto"/>
              <w:right w:val="single" w:sz="8" w:space="0" w:color="auto"/>
            </w:tcBorders>
            <w:vAlign w:val="center"/>
            <w:hideMark/>
          </w:tcPr>
          <w:p w14:paraId="7745550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31.825</w:t>
            </w:r>
          </w:p>
        </w:tc>
        <w:tc>
          <w:tcPr>
            <w:tcW w:w="1232" w:type="dxa"/>
            <w:tcBorders>
              <w:top w:val="nil"/>
              <w:left w:val="nil"/>
              <w:bottom w:val="single" w:sz="8" w:space="0" w:color="auto"/>
              <w:right w:val="single" w:sz="8" w:space="0" w:color="auto"/>
            </w:tcBorders>
            <w:vAlign w:val="center"/>
            <w:hideMark/>
          </w:tcPr>
          <w:p w14:paraId="39DC827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10.275</w:t>
            </w:r>
          </w:p>
        </w:tc>
        <w:tc>
          <w:tcPr>
            <w:tcW w:w="1232" w:type="dxa"/>
            <w:tcBorders>
              <w:top w:val="nil"/>
              <w:left w:val="nil"/>
              <w:bottom w:val="single" w:sz="8" w:space="0" w:color="auto"/>
              <w:right w:val="single" w:sz="8" w:space="0" w:color="auto"/>
            </w:tcBorders>
            <w:vAlign w:val="center"/>
            <w:hideMark/>
          </w:tcPr>
          <w:p w14:paraId="5B86695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60.475</w:t>
            </w:r>
          </w:p>
        </w:tc>
        <w:tc>
          <w:tcPr>
            <w:tcW w:w="1232" w:type="dxa"/>
            <w:tcBorders>
              <w:top w:val="nil"/>
              <w:left w:val="nil"/>
              <w:bottom w:val="single" w:sz="8" w:space="0" w:color="auto"/>
              <w:right w:val="single" w:sz="8" w:space="0" w:color="auto"/>
            </w:tcBorders>
            <w:vAlign w:val="center"/>
            <w:hideMark/>
          </w:tcPr>
          <w:p w14:paraId="4E844BC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240.5</w:t>
            </w:r>
          </w:p>
        </w:tc>
        <w:tc>
          <w:tcPr>
            <w:tcW w:w="1515" w:type="dxa"/>
            <w:tcBorders>
              <w:top w:val="nil"/>
              <w:left w:val="nil"/>
              <w:bottom w:val="single" w:sz="8" w:space="0" w:color="auto"/>
              <w:right w:val="single" w:sz="8" w:space="0" w:color="auto"/>
            </w:tcBorders>
            <w:vAlign w:val="center"/>
            <w:hideMark/>
          </w:tcPr>
          <w:p w14:paraId="445CFAD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28.4875</w:t>
            </w:r>
          </w:p>
        </w:tc>
      </w:tr>
      <w:tr w:rsidR="00445A51" w:rsidRPr="0001172A" w14:paraId="0FD0881F" w14:textId="77777777" w:rsidTr="00856B7F">
        <w:trPr>
          <w:trHeight w:val="495"/>
          <w:jc w:val="center"/>
        </w:trPr>
        <w:tc>
          <w:tcPr>
            <w:tcW w:w="1710" w:type="dxa"/>
            <w:tcBorders>
              <w:top w:val="nil"/>
              <w:left w:val="single" w:sz="8" w:space="0" w:color="auto"/>
              <w:bottom w:val="single" w:sz="8" w:space="0" w:color="auto"/>
              <w:right w:val="single" w:sz="8" w:space="0" w:color="auto"/>
            </w:tcBorders>
            <w:vAlign w:val="center"/>
            <w:hideMark/>
          </w:tcPr>
          <w:p w14:paraId="684E1C1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3</w:t>
            </w:r>
          </w:p>
        </w:tc>
        <w:tc>
          <w:tcPr>
            <w:tcW w:w="1232" w:type="dxa"/>
            <w:tcBorders>
              <w:top w:val="nil"/>
              <w:left w:val="nil"/>
              <w:bottom w:val="single" w:sz="8" w:space="0" w:color="auto"/>
              <w:right w:val="single" w:sz="8" w:space="0" w:color="auto"/>
            </w:tcBorders>
            <w:vAlign w:val="center"/>
            <w:hideMark/>
          </w:tcPr>
          <w:p w14:paraId="1799627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119.25</w:t>
            </w:r>
          </w:p>
        </w:tc>
        <w:tc>
          <w:tcPr>
            <w:tcW w:w="1232" w:type="dxa"/>
            <w:tcBorders>
              <w:top w:val="nil"/>
              <w:left w:val="nil"/>
              <w:bottom w:val="single" w:sz="8" w:space="0" w:color="auto"/>
              <w:right w:val="single" w:sz="8" w:space="0" w:color="auto"/>
            </w:tcBorders>
            <w:vAlign w:val="center"/>
            <w:hideMark/>
          </w:tcPr>
          <w:p w14:paraId="7264736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29.7</w:t>
            </w:r>
          </w:p>
        </w:tc>
        <w:tc>
          <w:tcPr>
            <w:tcW w:w="1232" w:type="dxa"/>
            <w:tcBorders>
              <w:top w:val="nil"/>
              <w:left w:val="nil"/>
              <w:bottom w:val="single" w:sz="8" w:space="0" w:color="auto"/>
              <w:right w:val="single" w:sz="8" w:space="0" w:color="auto"/>
            </w:tcBorders>
            <w:vAlign w:val="center"/>
            <w:hideMark/>
          </w:tcPr>
          <w:p w14:paraId="12AD463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9.725</w:t>
            </w:r>
          </w:p>
        </w:tc>
        <w:tc>
          <w:tcPr>
            <w:tcW w:w="1232" w:type="dxa"/>
            <w:tcBorders>
              <w:top w:val="nil"/>
              <w:left w:val="nil"/>
              <w:bottom w:val="single" w:sz="8" w:space="0" w:color="auto"/>
              <w:right w:val="single" w:sz="8" w:space="0" w:color="auto"/>
            </w:tcBorders>
            <w:vAlign w:val="center"/>
            <w:hideMark/>
          </w:tcPr>
          <w:p w14:paraId="1C6C4EA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57.2</w:t>
            </w:r>
          </w:p>
        </w:tc>
        <w:tc>
          <w:tcPr>
            <w:tcW w:w="1232" w:type="dxa"/>
            <w:tcBorders>
              <w:top w:val="nil"/>
              <w:left w:val="nil"/>
              <w:bottom w:val="single" w:sz="8" w:space="0" w:color="auto"/>
              <w:right w:val="single" w:sz="8" w:space="0" w:color="auto"/>
            </w:tcBorders>
            <w:vAlign w:val="center"/>
            <w:hideMark/>
          </w:tcPr>
          <w:p w14:paraId="0211405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235.25</w:t>
            </w:r>
          </w:p>
        </w:tc>
        <w:tc>
          <w:tcPr>
            <w:tcW w:w="1515" w:type="dxa"/>
            <w:tcBorders>
              <w:top w:val="nil"/>
              <w:left w:val="nil"/>
              <w:bottom w:val="single" w:sz="8" w:space="0" w:color="auto"/>
              <w:right w:val="single" w:sz="8" w:space="0" w:color="auto"/>
            </w:tcBorders>
            <w:vAlign w:val="center"/>
            <w:hideMark/>
          </w:tcPr>
          <w:p w14:paraId="6ADF33B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26.675</w:t>
            </w:r>
          </w:p>
        </w:tc>
      </w:tr>
      <w:tr w:rsidR="00445A51" w:rsidRPr="0001172A" w14:paraId="140002C4" w14:textId="77777777" w:rsidTr="00856B7F">
        <w:trPr>
          <w:trHeight w:val="495"/>
          <w:jc w:val="center"/>
        </w:trPr>
        <w:tc>
          <w:tcPr>
            <w:tcW w:w="1710" w:type="dxa"/>
            <w:tcBorders>
              <w:top w:val="nil"/>
              <w:left w:val="single" w:sz="8" w:space="0" w:color="auto"/>
              <w:bottom w:val="single" w:sz="8" w:space="0" w:color="auto"/>
              <w:right w:val="single" w:sz="8" w:space="0" w:color="auto"/>
            </w:tcBorders>
            <w:vAlign w:val="center"/>
            <w:hideMark/>
          </w:tcPr>
          <w:p w14:paraId="4E02C92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4</w:t>
            </w:r>
          </w:p>
        </w:tc>
        <w:tc>
          <w:tcPr>
            <w:tcW w:w="1232" w:type="dxa"/>
            <w:tcBorders>
              <w:top w:val="nil"/>
              <w:left w:val="nil"/>
              <w:bottom w:val="single" w:sz="8" w:space="0" w:color="auto"/>
              <w:right w:val="single" w:sz="8" w:space="0" w:color="auto"/>
            </w:tcBorders>
            <w:vAlign w:val="center"/>
            <w:hideMark/>
          </w:tcPr>
          <w:p w14:paraId="5BEAD5D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112.25</w:t>
            </w:r>
          </w:p>
        </w:tc>
        <w:tc>
          <w:tcPr>
            <w:tcW w:w="1232" w:type="dxa"/>
            <w:tcBorders>
              <w:top w:val="nil"/>
              <w:left w:val="nil"/>
              <w:bottom w:val="single" w:sz="8" w:space="0" w:color="auto"/>
              <w:right w:val="single" w:sz="8" w:space="0" w:color="auto"/>
            </w:tcBorders>
            <w:vAlign w:val="center"/>
            <w:hideMark/>
          </w:tcPr>
          <w:p w14:paraId="5B1ABE0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27.9</w:t>
            </w:r>
          </w:p>
        </w:tc>
        <w:tc>
          <w:tcPr>
            <w:tcW w:w="1232" w:type="dxa"/>
            <w:tcBorders>
              <w:top w:val="nil"/>
              <w:left w:val="nil"/>
              <w:bottom w:val="single" w:sz="8" w:space="0" w:color="auto"/>
              <w:right w:val="single" w:sz="8" w:space="0" w:color="auto"/>
            </w:tcBorders>
            <w:vAlign w:val="center"/>
            <w:hideMark/>
          </w:tcPr>
          <w:p w14:paraId="2BF8BE0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9.25</w:t>
            </w:r>
          </w:p>
        </w:tc>
        <w:tc>
          <w:tcPr>
            <w:tcW w:w="1232" w:type="dxa"/>
            <w:tcBorders>
              <w:top w:val="nil"/>
              <w:left w:val="nil"/>
              <w:bottom w:val="single" w:sz="8" w:space="0" w:color="auto"/>
              <w:right w:val="single" w:sz="8" w:space="0" w:color="auto"/>
            </w:tcBorders>
            <w:vAlign w:val="center"/>
            <w:hideMark/>
          </w:tcPr>
          <w:p w14:paraId="009DED5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53.1</w:t>
            </w:r>
          </w:p>
        </w:tc>
        <w:tc>
          <w:tcPr>
            <w:tcW w:w="1232" w:type="dxa"/>
            <w:tcBorders>
              <w:top w:val="nil"/>
              <w:left w:val="nil"/>
              <w:bottom w:val="single" w:sz="8" w:space="0" w:color="auto"/>
              <w:right w:val="single" w:sz="8" w:space="0" w:color="auto"/>
            </w:tcBorders>
            <w:vAlign w:val="center"/>
            <w:hideMark/>
          </w:tcPr>
          <w:p w14:paraId="45A6758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228</w:t>
            </w:r>
          </w:p>
        </w:tc>
        <w:tc>
          <w:tcPr>
            <w:tcW w:w="1515" w:type="dxa"/>
            <w:tcBorders>
              <w:top w:val="nil"/>
              <w:left w:val="nil"/>
              <w:bottom w:val="single" w:sz="8" w:space="0" w:color="auto"/>
              <w:right w:val="single" w:sz="8" w:space="0" w:color="auto"/>
            </w:tcBorders>
            <w:vAlign w:val="center"/>
            <w:hideMark/>
          </w:tcPr>
          <w:p w14:paraId="1DF67C0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24.975</w:t>
            </w:r>
          </w:p>
        </w:tc>
      </w:tr>
      <w:tr w:rsidR="00445A51" w:rsidRPr="0001172A" w14:paraId="25FAE557" w14:textId="77777777" w:rsidTr="00856B7F">
        <w:trPr>
          <w:trHeight w:val="495"/>
          <w:jc w:val="center"/>
        </w:trPr>
        <w:tc>
          <w:tcPr>
            <w:tcW w:w="1710" w:type="dxa"/>
            <w:tcBorders>
              <w:top w:val="nil"/>
              <w:left w:val="single" w:sz="8" w:space="0" w:color="auto"/>
              <w:bottom w:val="single" w:sz="8" w:space="0" w:color="auto"/>
              <w:right w:val="single" w:sz="8" w:space="0" w:color="auto"/>
            </w:tcBorders>
            <w:vAlign w:val="center"/>
            <w:hideMark/>
          </w:tcPr>
          <w:p w14:paraId="5F76C8D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5</w:t>
            </w:r>
          </w:p>
        </w:tc>
        <w:tc>
          <w:tcPr>
            <w:tcW w:w="1232" w:type="dxa"/>
            <w:tcBorders>
              <w:top w:val="nil"/>
              <w:left w:val="nil"/>
              <w:bottom w:val="single" w:sz="8" w:space="0" w:color="auto"/>
              <w:right w:val="single" w:sz="8" w:space="0" w:color="auto"/>
            </w:tcBorders>
            <w:vAlign w:val="center"/>
            <w:hideMark/>
          </w:tcPr>
          <w:p w14:paraId="6B04677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104.5</w:t>
            </w:r>
          </w:p>
        </w:tc>
        <w:tc>
          <w:tcPr>
            <w:tcW w:w="1232" w:type="dxa"/>
            <w:tcBorders>
              <w:top w:val="nil"/>
              <w:left w:val="nil"/>
              <w:bottom w:val="single" w:sz="8" w:space="0" w:color="auto"/>
              <w:right w:val="single" w:sz="8" w:space="0" w:color="auto"/>
            </w:tcBorders>
            <w:vAlign w:val="center"/>
            <w:hideMark/>
          </w:tcPr>
          <w:p w14:paraId="23029F1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26.575</w:t>
            </w:r>
          </w:p>
        </w:tc>
        <w:tc>
          <w:tcPr>
            <w:tcW w:w="1232" w:type="dxa"/>
            <w:tcBorders>
              <w:top w:val="nil"/>
              <w:left w:val="nil"/>
              <w:bottom w:val="single" w:sz="8" w:space="0" w:color="auto"/>
              <w:right w:val="single" w:sz="8" w:space="0" w:color="auto"/>
            </w:tcBorders>
            <w:vAlign w:val="center"/>
            <w:hideMark/>
          </w:tcPr>
          <w:p w14:paraId="369D30C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8.95</w:t>
            </w:r>
          </w:p>
        </w:tc>
        <w:tc>
          <w:tcPr>
            <w:tcW w:w="1232" w:type="dxa"/>
            <w:tcBorders>
              <w:top w:val="nil"/>
              <w:left w:val="nil"/>
              <w:bottom w:val="single" w:sz="8" w:space="0" w:color="auto"/>
              <w:right w:val="single" w:sz="8" w:space="0" w:color="auto"/>
            </w:tcBorders>
            <w:vAlign w:val="center"/>
            <w:hideMark/>
          </w:tcPr>
          <w:p w14:paraId="476642A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49.725</w:t>
            </w:r>
          </w:p>
        </w:tc>
        <w:tc>
          <w:tcPr>
            <w:tcW w:w="1232" w:type="dxa"/>
            <w:tcBorders>
              <w:top w:val="nil"/>
              <w:left w:val="nil"/>
              <w:bottom w:val="single" w:sz="8" w:space="0" w:color="auto"/>
              <w:right w:val="single" w:sz="8" w:space="0" w:color="auto"/>
            </w:tcBorders>
            <w:vAlign w:val="center"/>
            <w:hideMark/>
          </w:tcPr>
          <w:p w14:paraId="3918B9A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223.25</w:t>
            </w:r>
          </w:p>
        </w:tc>
        <w:tc>
          <w:tcPr>
            <w:tcW w:w="1515" w:type="dxa"/>
            <w:tcBorders>
              <w:top w:val="nil"/>
              <w:left w:val="nil"/>
              <w:bottom w:val="single" w:sz="8" w:space="0" w:color="auto"/>
              <w:right w:val="single" w:sz="8" w:space="0" w:color="auto"/>
            </w:tcBorders>
            <w:vAlign w:val="center"/>
            <w:hideMark/>
          </w:tcPr>
          <w:p w14:paraId="0496BDC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23.3</w:t>
            </w:r>
          </w:p>
        </w:tc>
      </w:tr>
      <w:tr w:rsidR="00445A51" w:rsidRPr="0001172A" w14:paraId="1DA304A7" w14:textId="77777777" w:rsidTr="00856B7F">
        <w:trPr>
          <w:trHeight w:val="425"/>
          <w:jc w:val="center"/>
        </w:trPr>
        <w:tc>
          <w:tcPr>
            <w:tcW w:w="1710" w:type="dxa"/>
            <w:tcBorders>
              <w:top w:val="nil"/>
              <w:left w:val="single" w:sz="8" w:space="0" w:color="auto"/>
              <w:bottom w:val="single" w:sz="8" w:space="0" w:color="auto"/>
              <w:right w:val="single" w:sz="8" w:space="0" w:color="auto"/>
            </w:tcBorders>
            <w:vAlign w:val="center"/>
            <w:hideMark/>
          </w:tcPr>
          <w:p w14:paraId="253D0BF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SE ±</w:t>
            </w:r>
          </w:p>
        </w:tc>
        <w:tc>
          <w:tcPr>
            <w:tcW w:w="1232" w:type="dxa"/>
            <w:tcBorders>
              <w:top w:val="nil"/>
              <w:left w:val="nil"/>
              <w:bottom w:val="single" w:sz="8" w:space="0" w:color="auto"/>
              <w:right w:val="single" w:sz="8" w:space="0" w:color="auto"/>
            </w:tcBorders>
            <w:vAlign w:val="center"/>
            <w:hideMark/>
          </w:tcPr>
          <w:p w14:paraId="320159B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1.83</w:t>
            </w:r>
          </w:p>
        </w:tc>
        <w:tc>
          <w:tcPr>
            <w:tcW w:w="1232" w:type="dxa"/>
            <w:tcBorders>
              <w:top w:val="nil"/>
              <w:left w:val="nil"/>
              <w:bottom w:val="single" w:sz="8" w:space="0" w:color="auto"/>
              <w:right w:val="single" w:sz="8" w:space="0" w:color="auto"/>
            </w:tcBorders>
            <w:vAlign w:val="center"/>
            <w:hideMark/>
          </w:tcPr>
          <w:p w14:paraId="78DB06B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0.42</w:t>
            </w:r>
          </w:p>
        </w:tc>
        <w:tc>
          <w:tcPr>
            <w:tcW w:w="1232" w:type="dxa"/>
            <w:tcBorders>
              <w:top w:val="nil"/>
              <w:left w:val="nil"/>
              <w:bottom w:val="single" w:sz="8" w:space="0" w:color="auto"/>
              <w:right w:val="single" w:sz="8" w:space="0" w:color="auto"/>
            </w:tcBorders>
            <w:vAlign w:val="center"/>
            <w:hideMark/>
          </w:tcPr>
          <w:p w14:paraId="059E4AE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0.17</w:t>
            </w:r>
          </w:p>
        </w:tc>
        <w:tc>
          <w:tcPr>
            <w:tcW w:w="1232" w:type="dxa"/>
            <w:tcBorders>
              <w:top w:val="nil"/>
              <w:left w:val="nil"/>
              <w:bottom w:val="single" w:sz="8" w:space="0" w:color="auto"/>
              <w:right w:val="single" w:sz="8" w:space="0" w:color="auto"/>
            </w:tcBorders>
            <w:vAlign w:val="center"/>
            <w:hideMark/>
          </w:tcPr>
          <w:p w14:paraId="24ACCD2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0.50</w:t>
            </w:r>
          </w:p>
        </w:tc>
        <w:tc>
          <w:tcPr>
            <w:tcW w:w="1232" w:type="dxa"/>
            <w:tcBorders>
              <w:top w:val="nil"/>
              <w:left w:val="nil"/>
              <w:bottom w:val="single" w:sz="8" w:space="0" w:color="auto"/>
              <w:right w:val="single" w:sz="8" w:space="0" w:color="auto"/>
            </w:tcBorders>
            <w:vAlign w:val="center"/>
            <w:hideMark/>
          </w:tcPr>
          <w:p w14:paraId="1446F1F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1.34</w:t>
            </w:r>
          </w:p>
        </w:tc>
        <w:tc>
          <w:tcPr>
            <w:tcW w:w="1515" w:type="dxa"/>
            <w:tcBorders>
              <w:top w:val="nil"/>
              <w:left w:val="nil"/>
              <w:bottom w:val="single" w:sz="8" w:space="0" w:color="auto"/>
              <w:right w:val="single" w:sz="8" w:space="0" w:color="auto"/>
            </w:tcBorders>
            <w:vAlign w:val="center"/>
            <w:hideMark/>
          </w:tcPr>
          <w:p w14:paraId="00BE3FD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0.39</w:t>
            </w:r>
          </w:p>
        </w:tc>
      </w:tr>
      <w:tr w:rsidR="00445A51" w:rsidRPr="0001172A" w14:paraId="39CA9EDF" w14:textId="77777777" w:rsidTr="00856B7F">
        <w:trPr>
          <w:trHeight w:val="417"/>
          <w:jc w:val="center"/>
        </w:trPr>
        <w:tc>
          <w:tcPr>
            <w:tcW w:w="1710" w:type="dxa"/>
            <w:tcBorders>
              <w:top w:val="nil"/>
              <w:left w:val="single" w:sz="8" w:space="0" w:color="auto"/>
              <w:bottom w:val="single" w:sz="8" w:space="0" w:color="auto"/>
              <w:right w:val="single" w:sz="8" w:space="0" w:color="auto"/>
            </w:tcBorders>
            <w:vAlign w:val="center"/>
            <w:hideMark/>
          </w:tcPr>
          <w:p w14:paraId="11F6385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CD (5%)</w:t>
            </w:r>
          </w:p>
        </w:tc>
        <w:tc>
          <w:tcPr>
            <w:tcW w:w="1232" w:type="dxa"/>
            <w:tcBorders>
              <w:top w:val="nil"/>
              <w:left w:val="nil"/>
              <w:bottom w:val="single" w:sz="8" w:space="0" w:color="auto"/>
              <w:right w:val="single" w:sz="8" w:space="0" w:color="auto"/>
            </w:tcBorders>
            <w:vAlign w:val="center"/>
            <w:hideMark/>
          </w:tcPr>
          <w:p w14:paraId="2DDC0D0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5.64</w:t>
            </w:r>
          </w:p>
        </w:tc>
        <w:tc>
          <w:tcPr>
            <w:tcW w:w="1232" w:type="dxa"/>
            <w:tcBorders>
              <w:top w:val="nil"/>
              <w:left w:val="nil"/>
              <w:bottom w:val="single" w:sz="8" w:space="0" w:color="auto"/>
              <w:right w:val="single" w:sz="8" w:space="0" w:color="auto"/>
            </w:tcBorders>
            <w:vAlign w:val="center"/>
            <w:hideMark/>
          </w:tcPr>
          <w:p w14:paraId="6DEC963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1.30</w:t>
            </w:r>
          </w:p>
        </w:tc>
        <w:tc>
          <w:tcPr>
            <w:tcW w:w="1232" w:type="dxa"/>
            <w:tcBorders>
              <w:top w:val="nil"/>
              <w:left w:val="nil"/>
              <w:bottom w:val="single" w:sz="8" w:space="0" w:color="auto"/>
              <w:right w:val="single" w:sz="8" w:space="0" w:color="auto"/>
            </w:tcBorders>
            <w:vAlign w:val="center"/>
            <w:hideMark/>
          </w:tcPr>
          <w:p w14:paraId="284B241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0.51</w:t>
            </w:r>
          </w:p>
        </w:tc>
        <w:tc>
          <w:tcPr>
            <w:tcW w:w="1232" w:type="dxa"/>
            <w:tcBorders>
              <w:top w:val="nil"/>
              <w:left w:val="nil"/>
              <w:bottom w:val="single" w:sz="8" w:space="0" w:color="auto"/>
              <w:right w:val="single" w:sz="8" w:space="0" w:color="auto"/>
            </w:tcBorders>
            <w:vAlign w:val="center"/>
            <w:hideMark/>
          </w:tcPr>
          <w:p w14:paraId="65B55F4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1.54</w:t>
            </w:r>
          </w:p>
        </w:tc>
        <w:tc>
          <w:tcPr>
            <w:tcW w:w="1232" w:type="dxa"/>
            <w:tcBorders>
              <w:top w:val="nil"/>
              <w:left w:val="nil"/>
              <w:bottom w:val="single" w:sz="8" w:space="0" w:color="auto"/>
              <w:right w:val="single" w:sz="8" w:space="0" w:color="auto"/>
            </w:tcBorders>
            <w:vAlign w:val="center"/>
            <w:hideMark/>
          </w:tcPr>
          <w:p w14:paraId="7A13F79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4.14</w:t>
            </w:r>
          </w:p>
        </w:tc>
        <w:tc>
          <w:tcPr>
            <w:tcW w:w="1515" w:type="dxa"/>
            <w:tcBorders>
              <w:top w:val="nil"/>
              <w:left w:val="nil"/>
              <w:bottom w:val="single" w:sz="8" w:space="0" w:color="auto"/>
              <w:right w:val="single" w:sz="8" w:space="0" w:color="auto"/>
            </w:tcBorders>
            <w:vAlign w:val="center"/>
            <w:hideMark/>
          </w:tcPr>
          <w:p w14:paraId="6B0F01F2"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1.19</w:t>
            </w:r>
          </w:p>
        </w:tc>
      </w:tr>
    </w:tbl>
    <w:p w14:paraId="318FD362" w14:textId="4681D0D1" w:rsidR="00445A51" w:rsidRPr="00445A51" w:rsidRDefault="00445A51" w:rsidP="00523EE4">
      <w:pPr>
        <w:spacing w:before="240"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 xml:space="preserve">In the present study, nutrient outgo showed a gradual decline across treatments. Dry matter outgo decreased from 130.00 g in T₁ to 104.50 g in T₅, crude protein from 32.63 g to 26.58 g, ether extract from 10.46 g to 8.95 g, crude </w:t>
      </w:r>
      <w:proofErr w:type="spellStart"/>
      <w:r w:rsidRPr="00445A51">
        <w:rPr>
          <w:rFonts w:ascii="Times New Roman" w:hAnsi="Times New Roman" w:cs="Times New Roman"/>
          <w:sz w:val="24"/>
          <w:szCs w:val="24"/>
          <w:lang w:val="en-IN"/>
        </w:rPr>
        <w:t>fiber</w:t>
      </w:r>
      <w:proofErr w:type="spellEnd"/>
      <w:r w:rsidRPr="00445A51">
        <w:rPr>
          <w:rFonts w:ascii="Times New Roman" w:hAnsi="Times New Roman" w:cs="Times New Roman"/>
          <w:sz w:val="24"/>
          <w:szCs w:val="24"/>
          <w:lang w:val="en-IN"/>
        </w:rPr>
        <w:t xml:space="preserve"> from 62.40 g to 49.73 g, nitrogen-free extract from 242.75 g to 223.25 g</w:t>
      </w:r>
      <w:r w:rsidR="00016E38">
        <w:rPr>
          <w:rFonts w:ascii="Times New Roman" w:hAnsi="Times New Roman" w:cs="Times New Roman"/>
          <w:sz w:val="24"/>
          <w:szCs w:val="24"/>
          <w:lang w:val="en-IN"/>
        </w:rPr>
        <w:t xml:space="preserve"> and </w:t>
      </w:r>
      <w:r w:rsidRPr="00445A51">
        <w:rPr>
          <w:rFonts w:ascii="Times New Roman" w:hAnsi="Times New Roman" w:cs="Times New Roman"/>
          <w:sz w:val="24"/>
          <w:szCs w:val="24"/>
          <w:lang w:val="en-IN"/>
        </w:rPr>
        <w:t>ash from 29.71 g to 23.30 g. This indicates reduced nutrient losses with higher turmeric supplementation.</w:t>
      </w:r>
    </w:p>
    <w:p w14:paraId="75AD317D" w14:textId="77777777" w:rsidR="00445A51" w:rsidRPr="00445A51" w:rsidRDefault="00445A51" w:rsidP="00A11E03">
      <w:pPr>
        <w:spacing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 xml:space="preserve">Comparable findings were reported by Sawant (2024), where nutrient outgo decreased from 139.25 g DM in T₁ to 116.25 g DM in T₅ with ginger supplementation. Similarly, Kore (2023) reported lower overall nutrient outgo values in Konkan </w:t>
      </w:r>
      <w:proofErr w:type="spellStart"/>
      <w:r w:rsidRPr="00445A51">
        <w:rPr>
          <w:rFonts w:ascii="Times New Roman" w:hAnsi="Times New Roman" w:cs="Times New Roman"/>
          <w:sz w:val="24"/>
          <w:szCs w:val="24"/>
          <w:lang w:val="en-IN"/>
        </w:rPr>
        <w:t>Kanyal</w:t>
      </w:r>
      <w:proofErr w:type="spellEnd"/>
      <w:r w:rsidRPr="00445A51">
        <w:rPr>
          <w:rFonts w:ascii="Times New Roman" w:hAnsi="Times New Roman" w:cs="Times New Roman"/>
          <w:sz w:val="24"/>
          <w:szCs w:val="24"/>
          <w:lang w:val="en-IN"/>
        </w:rPr>
        <w:t xml:space="preserve"> kids under Spirulina supplementation, ranging from 72.42–69.25 g DM and 57.92–53.86 g CP across treatments. These comparisons suggest that </w:t>
      </w:r>
      <w:r w:rsidRPr="00445A51">
        <w:rPr>
          <w:rFonts w:ascii="Times New Roman" w:hAnsi="Times New Roman" w:cs="Times New Roman"/>
          <w:sz w:val="24"/>
          <w:szCs w:val="24"/>
          <w:lang w:val="en-IN"/>
        </w:rPr>
        <w:lastRenderedPageBreak/>
        <w:t>phytogenic feed additives, including turmeric, may improve nutrient utilization by reducing excretory losses.</w:t>
      </w:r>
    </w:p>
    <w:p w14:paraId="7CA51BBB" w14:textId="757A6336" w:rsidR="00445A51" w:rsidRPr="008A0820"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5. </w:t>
      </w:r>
      <w:r w:rsidR="00445A51" w:rsidRPr="008A0820">
        <w:rPr>
          <w:rFonts w:ascii="Times New Roman" w:hAnsi="Times New Roman" w:cs="Times New Roman"/>
          <w:b/>
          <w:bCs/>
          <w:sz w:val="24"/>
          <w:szCs w:val="24"/>
        </w:rPr>
        <w:t>Nutrient digested</w:t>
      </w:r>
    </w:p>
    <w:p w14:paraId="6525C746" w14:textId="59BA0ECD" w:rsidR="00445A51" w:rsidRPr="00655EC2" w:rsidRDefault="00445A51" w:rsidP="00A11E03">
      <w:pPr>
        <w:spacing w:line="360" w:lineRule="auto"/>
        <w:ind w:firstLine="737"/>
        <w:rPr>
          <w:rFonts w:ascii="Times New Roman" w:hAnsi="Times New Roman" w:cs="Times New Roman"/>
          <w:sz w:val="24"/>
          <w:szCs w:val="24"/>
        </w:rPr>
      </w:pPr>
      <w:r w:rsidRPr="008A0820">
        <w:rPr>
          <w:rFonts w:ascii="Times New Roman" w:hAnsi="Times New Roman" w:cs="Times New Roman"/>
          <w:sz w:val="24"/>
          <w:szCs w:val="24"/>
        </w:rPr>
        <w:t>The average daily nutrients digested per animal in treatment T</w:t>
      </w:r>
      <w:r w:rsidRPr="008A0820">
        <w:rPr>
          <w:rFonts w:ascii="Times New Roman" w:hAnsi="Times New Roman" w:cs="Times New Roman"/>
          <w:sz w:val="24"/>
          <w:szCs w:val="24"/>
          <w:vertAlign w:val="subscript"/>
        </w:rPr>
        <w:t>1</w:t>
      </w:r>
      <w:r w:rsidRPr="008A0820">
        <w:rPr>
          <w:rFonts w:ascii="Times New Roman" w:hAnsi="Times New Roman" w:cs="Times New Roman"/>
          <w:sz w:val="24"/>
          <w:szCs w:val="24"/>
        </w:rPr>
        <w:t>, T</w:t>
      </w:r>
      <w:r w:rsidRPr="008A0820">
        <w:rPr>
          <w:rFonts w:ascii="Times New Roman" w:hAnsi="Times New Roman" w:cs="Times New Roman"/>
          <w:sz w:val="24"/>
          <w:szCs w:val="24"/>
          <w:vertAlign w:val="subscript"/>
        </w:rPr>
        <w:t>2</w:t>
      </w:r>
      <w:r w:rsidRPr="008A0820">
        <w:rPr>
          <w:rFonts w:ascii="Times New Roman" w:hAnsi="Times New Roman" w:cs="Times New Roman"/>
          <w:sz w:val="24"/>
          <w:szCs w:val="24"/>
        </w:rPr>
        <w:t>, T</w:t>
      </w:r>
      <w:r w:rsidRPr="008A0820">
        <w:rPr>
          <w:rFonts w:ascii="Times New Roman" w:hAnsi="Times New Roman" w:cs="Times New Roman"/>
          <w:sz w:val="24"/>
          <w:szCs w:val="24"/>
          <w:vertAlign w:val="subscript"/>
        </w:rPr>
        <w:t>3</w:t>
      </w:r>
      <w:r w:rsidRPr="008A0820">
        <w:rPr>
          <w:rFonts w:ascii="Times New Roman" w:hAnsi="Times New Roman" w:cs="Times New Roman"/>
          <w:sz w:val="24"/>
          <w:szCs w:val="24"/>
        </w:rPr>
        <w:t>, T</w:t>
      </w:r>
      <w:r w:rsidRPr="008A0820">
        <w:rPr>
          <w:rFonts w:ascii="Times New Roman" w:hAnsi="Times New Roman" w:cs="Times New Roman"/>
          <w:sz w:val="24"/>
          <w:szCs w:val="24"/>
          <w:vertAlign w:val="subscript"/>
        </w:rPr>
        <w:t>4</w:t>
      </w:r>
      <w:r w:rsidRPr="008A0820">
        <w:rPr>
          <w:rFonts w:ascii="Times New Roman" w:hAnsi="Times New Roman" w:cs="Times New Roman"/>
          <w:sz w:val="24"/>
          <w:szCs w:val="24"/>
        </w:rPr>
        <w:t xml:space="preserve"> and T</w:t>
      </w:r>
      <w:r w:rsidRPr="008A0820">
        <w:rPr>
          <w:rFonts w:ascii="Times New Roman" w:hAnsi="Times New Roman" w:cs="Times New Roman"/>
          <w:sz w:val="24"/>
          <w:szCs w:val="24"/>
          <w:vertAlign w:val="subscript"/>
        </w:rPr>
        <w:t>5</w:t>
      </w:r>
      <w:r w:rsidRPr="008A0820">
        <w:rPr>
          <w:rFonts w:ascii="Times New Roman" w:hAnsi="Times New Roman" w:cs="Times New Roman"/>
          <w:sz w:val="24"/>
          <w:szCs w:val="24"/>
        </w:rPr>
        <w:t xml:space="preserve"> on per cent dry matter basis is presented in Table </w:t>
      </w:r>
      <w:r w:rsidR="00171FD9">
        <w:rPr>
          <w:rFonts w:ascii="Times New Roman" w:hAnsi="Times New Roman" w:cs="Times New Roman"/>
          <w:sz w:val="24"/>
          <w:szCs w:val="24"/>
        </w:rPr>
        <w:t>6</w:t>
      </w:r>
      <w:r w:rsidRPr="008A0820">
        <w:rPr>
          <w:rFonts w:ascii="Times New Roman" w:hAnsi="Times New Roman" w:cs="Times New Roman"/>
          <w:sz w:val="24"/>
          <w:szCs w:val="24"/>
        </w:rPr>
        <w:t>.</w:t>
      </w:r>
    </w:p>
    <w:p w14:paraId="755AA975" w14:textId="408B176A" w:rsidR="00445A51" w:rsidRPr="00032685" w:rsidRDefault="00523EE4" w:rsidP="00523EE4">
      <w:pPr>
        <w:pStyle w:val="ListParagraph"/>
        <w:spacing w:line="360" w:lineRule="auto"/>
        <w:ind w:left="0"/>
        <w:rPr>
          <w:rFonts w:ascii="Times New Roman" w:hAnsi="Times New Roman" w:cs="Times New Roman"/>
          <w:b/>
          <w:bCs/>
          <w:sz w:val="24"/>
          <w:szCs w:val="24"/>
        </w:rPr>
      </w:pPr>
      <w:r>
        <w:rPr>
          <w:rFonts w:ascii="Times New Roman" w:hAnsi="Times New Roman" w:cs="Times New Roman"/>
          <w:b/>
          <w:bCs/>
          <w:sz w:val="24"/>
          <w:szCs w:val="24"/>
        </w:rPr>
        <w:t xml:space="preserve">Table 6. </w:t>
      </w:r>
      <w:r w:rsidR="00445A51" w:rsidRPr="00032685">
        <w:rPr>
          <w:rFonts w:ascii="Times New Roman" w:hAnsi="Times New Roman" w:cs="Times New Roman"/>
          <w:b/>
          <w:bCs/>
          <w:sz w:val="24"/>
          <w:szCs w:val="24"/>
        </w:rPr>
        <w:t>Average digested nutrients in experimental kids (DM basis)</w:t>
      </w:r>
    </w:p>
    <w:tbl>
      <w:tblPr>
        <w:tblW w:w="9028" w:type="dxa"/>
        <w:tblInd w:w="392" w:type="dxa"/>
        <w:tblLook w:val="04A0" w:firstRow="1" w:lastRow="0" w:firstColumn="1" w:lastColumn="0" w:noHBand="0" w:noVBand="1"/>
      </w:tblPr>
      <w:tblGrid>
        <w:gridCol w:w="1620"/>
        <w:gridCol w:w="1313"/>
        <w:gridCol w:w="1203"/>
        <w:gridCol w:w="1131"/>
        <w:gridCol w:w="1283"/>
        <w:gridCol w:w="1316"/>
        <w:gridCol w:w="1162"/>
      </w:tblGrid>
      <w:tr w:rsidR="00445A51" w:rsidRPr="0001172A" w14:paraId="6852F4BA" w14:textId="77777777" w:rsidTr="00856B7F">
        <w:trPr>
          <w:trHeight w:val="338"/>
        </w:trPr>
        <w:tc>
          <w:tcPr>
            <w:tcW w:w="1620" w:type="dxa"/>
            <w:vMerge w:val="restart"/>
            <w:tcBorders>
              <w:top w:val="single" w:sz="8" w:space="0" w:color="auto"/>
              <w:left w:val="single" w:sz="8" w:space="0" w:color="auto"/>
              <w:bottom w:val="single" w:sz="8" w:space="0" w:color="000000"/>
              <w:right w:val="single" w:sz="8" w:space="0" w:color="auto"/>
            </w:tcBorders>
            <w:vAlign w:val="center"/>
            <w:hideMark/>
          </w:tcPr>
          <w:p w14:paraId="4490B1EE" w14:textId="77777777" w:rsidR="00445A51" w:rsidRPr="0001172A" w:rsidRDefault="00445A51" w:rsidP="00A248C6">
            <w:pPr>
              <w:ind w:left="42" w:hanging="42"/>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Treatments</w:t>
            </w:r>
          </w:p>
        </w:tc>
        <w:tc>
          <w:tcPr>
            <w:tcW w:w="7408" w:type="dxa"/>
            <w:gridSpan w:val="6"/>
            <w:tcBorders>
              <w:top w:val="single" w:sz="8" w:space="0" w:color="auto"/>
              <w:left w:val="nil"/>
              <w:bottom w:val="single" w:sz="8" w:space="0" w:color="auto"/>
              <w:right w:val="single" w:sz="8" w:space="0" w:color="000000"/>
            </w:tcBorders>
            <w:vAlign w:val="center"/>
            <w:hideMark/>
          </w:tcPr>
          <w:p w14:paraId="7E06DCD6"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Nutrients digested (g/d)</w:t>
            </w:r>
          </w:p>
        </w:tc>
      </w:tr>
      <w:tr w:rsidR="00445A51" w:rsidRPr="0001172A" w14:paraId="7300408F" w14:textId="77777777" w:rsidTr="00856B7F">
        <w:trPr>
          <w:trHeight w:val="338"/>
        </w:trPr>
        <w:tc>
          <w:tcPr>
            <w:tcW w:w="1620" w:type="dxa"/>
            <w:vMerge/>
            <w:tcBorders>
              <w:top w:val="single" w:sz="8" w:space="0" w:color="auto"/>
              <w:left w:val="single" w:sz="8" w:space="0" w:color="auto"/>
              <w:bottom w:val="single" w:sz="8" w:space="0" w:color="000000"/>
              <w:right w:val="single" w:sz="8" w:space="0" w:color="auto"/>
            </w:tcBorders>
            <w:vAlign w:val="center"/>
            <w:hideMark/>
          </w:tcPr>
          <w:p w14:paraId="51836E7E" w14:textId="77777777" w:rsidR="00445A51" w:rsidRPr="0001172A" w:rsidRDefault="00445A51" w:rsidP="00A248C6">
            <w:pPr>
              <w:jc w:val="center"/>
              <w:rPr>
                <w:rFonts w:ascii="Times New Roman" w:hAnsi="Times New Roman" w:cs="Times New Roman"/>
                <w:b/>
                <w:bCs/>
                <w:sz w:val="24"/>
                <w:szCs w:val="24"/>
                <w:lang w:val="en-IN"/>
              </w:rPr>
            </w:pPr>
          </w:p>
        </w:tc>
        <w:tc>
          <w:tcPr>
            <w:tcW w:w="1313" w:type="dxa"/>
            <w:tcBorders>
              <w:top w:val="nil"/>
              <w:left w:val="nil"/>
              <w:bottom w:val="single" w:sz="8" w:space="0" w:color="auto"/>
              <w:right w:val="single" w:sz="8" w:space="0" w:color="auto"/>
            </w:tcBorders>
            <w:vAlign w:val="center"/>
            <w:hideMark/>
          </w:tcPr>
          <w:p w14:paraId="3A32B955"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DM</w:t>
            </w:r>
          </w:p>
        </w:tc>
        <w:tc>
          <w:tcPr>
            <w:tcW w:w="1203" w:type="dxa"/>
            <w:tcBorders>
              <w:top w:val="nil"/>
              <w:left w:val="nil"/>
              <w:bottom w:val="single" w:sz="8" w:space="0" w:color="auto"/>
              <w:right w:val="single" w:sz="8" w:space="0" w:color="auto"/>
            </w:tcBorders>
            <w:vAlign w:val="center"/>
            <w:hideMark/>
          </w:tcPr>
          <w:p w14:paraId="46FCB863"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CP</w:t>
            </w:r>
          </w:p>
        </w:tc>
        <w:tc>
          <w:tcPr>
            <w:tcW w:w="1131" w:type="dxa"/>
            <w:tcBorders>
              <w:top w:val="nil"/>
              <w:left w:val="nil"/>
              <w:bottom w:val="single" w:sz="8" w:space="0" w:color="auto"/>
              <w:right w:val="single" w:sz="8" w:space="0" w:color="auto"/>
            </w:tcBorders>
            <w:vAlign w:val="center"/>
            <w:hideMark/>
          </w:tcPr>
          <w:p w14:paraId="683A84E1"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EE</w:t>
            </w:r>
          </w:p>
        </w:tc>
        <w:tc>
          <w:tcPr>
            <w:tcW w:w="1283" w:type="dxa"/>
            <w:tcBorders>
              <w:top w:val="nil"/>
              <w:left w:val="nil"/>
              <w:bottom w:val="single" w:sz="8" w:space="0" w:color="auto"/>
              <w:right w:val="single" w:sz="8" w:space="0" w:color="auto"/>
            </w:tcBorders>
            <w:vAlign w:val="center"/>
            <w:hideMark/>
          </w:tcPr>
          <w:p w14:paraId="2808A08E"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CF</w:t>
            </w:r>
          </w:p>
        </w:tc>
        <w:tc>
          <w:tcPr>
            <w:tcW w:w="1316" w:type="dxa"/>
            <w:tcBorders>
              <w:top w:val="nil"/>
              <w:left w:val="nil"/>
              <w:bottom w:val="single" w:sz="8" w:space="0" w:color="auto"/>
              <w:right w:val="single" w:sz="8" w:space="0" w:color="auto"/>
            </w:tcBorders>
            <w:vAlign w:val="center"/>
            <w:hideMark/>
          </w:tcPr>
          <w:p w14:paraId="6E0421E1"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NFE</w:t>
            </w:r>
          </w:p>
        </w:tc>
        <w:tc>
          <w:tcPr>
            <w:tcW w:w="1160" w:type="dxa"/>
            <w:tcBorders>
              <w:top w:val="nil"/>
              <w:left w:val="nil"/>
              <w:bottom w:val="single" w:sz="8" w:space="0" w:color="auto"/>
              <w:right w:val="single" w:sz="8" w:space="0" w:color="auto"/>
            </w:tcBorders>
            <w:vAlign w:val="center"/>
            <w:hideMark/>
          </w:tcPr>
          <w:p w14:paraId="2F949AB8" w14:textId="77777777" w:rsidR="00445A51" w:rsidRPr="0001172A" w:rsidRDefault="00445A51" w:rsidP="00A248C6">
            <w:pPr>
              <w:jc w:val="center"/>
              <w:rPr>
                <w:rFonts w:ascii="Times New Roman" w:hAnsi="Times New Roman" w:cs="Times New Roman"/>
                <w:b/>
                <w:bCs/>
                <w:sz w:val="24"/>
                <w:szCs w:val="24"/>
                <w:lang w:val="en-IN"/>
              </w:rPr>
            </w:pPr>
            <w:r w:rsidRPr="0001172A">
              <w:rPr>
                <w:rFonts w:ascii="Times New Roman" w:hAnsi="Times New Roman" w:cs="Times New Roman"/>
                <w:b/>
                <w:bCs/>
                <w:sz w:val="24"/>
                <w:szCs w:val="24"/>
                <w:lang w:val="en-IN"/>
              </w:rPr>
              <w:t>Ash</w:t>
            </w:r>
          </w:p>
        </w:tc>
      </w:tr>
      <w:tr w:rsidR="00445A51" w:rsidRPr="0001172A" w14:paraId="3A1F0112" w14:textId="77777777" w:rsidTr="00856B7F">
        <w:trPr>
          <w:trHeight w:val="407"/>
        </w:trPr>
        <w:tc>
          <w:tcPr>
            <w:tcW w:w="1620" w:type="dxa"/>
            <w:tcBorders>
              <w:top w:val="nil"/>
              <w:left w:val="single" w:sz="8" w:space="0" w:color="auto"/>
              <w:bottom w:val="single" w:sz="8" w:space="0" w:color="auto"/>
              <w:right w:val="single" w:sz="8" w:space="0" w:color="auto"/>
            </w:tcBorders>
            <w:vAlign w:val="center"/>
            <w:hideMark/>
          </w:tcPr>
          <w:p w14:paraId="6BB9A53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1</w:t>
            </w:r>
          </w:p>
        </w:tc>
        <w:tc>
          <w:tcPr>
            <w:tcW w:w="1313" w:type="dxa"/>
            <w:tcBorders>
              <w:top w:val="nil"/>
              <w:left w:val="nil"/>
              <w:bottom w:val="single" w:sz="8" w:space="0" w:color="auto"/>
              <w:right w:val="single" w:sz="8" w:space="0" w:color="auto"/>
            </w:tcBorders>
            <w:vAlign w:val="center"/>
            <w:hideMark/>
          </w:tcPr>
          <w:p w14:paraId="4C04CF3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567.79</w:t>
            </w:r>
          </w:p>
        </w:tc>
        <w:tc>
          <w:tcPr>
            <w:tcW w:w="1203" w:type="dxa"/>
            <w:tcBorders>
              <w:top w:val="nil"/>
              <w:left w:val="nil"/>
              <w:bottom w:val="single" w:sz="8" w:space="0" w:color="auto"/>
              <w:right w:val="single" w:sz="8" w:space="0" w:color="auto"/>
            </w:tcBorders>
            <w:vAlign w:val="center"/>
            <w:hideMark/>
          </w:tcPr>
          <w:p w14:paraId="6F8EDB9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93.69</w:t>
            </w:r>
          </w:p>
        </w:tc>
        <w:tc>
          <w:tcPr>
            <w:tcW w:w="1131" w:type="dxa"/>
            <w:tcBorders>
              <w:top w:val="nil"/>
              <w:left w:val="nil"/>
              <w:bottom w:val="single" w:sz="8" w:space="0" w:color="auto"/>
              <w:right w:val="single" w:sz="8" w:space="0" w:color="auto"/>
            </w:tcBorders>
            <w:vAlign w:val="center"/>
            <w:hideMark/>
          </w:tcPr>
          <w:p w14:paraId="568AB21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37.60</w:t>
            </w:r>
          </w:p>
        </w:tc>
        <w:tc>
          <w:tcPr>
            <w:tcW w:w="1283" w:type="dxa"/>
            <w:tcBorders>
              <w:top w:val="nil"/>
              <w:left w:val="nil"/>
              <w:bottom w:val="single" w:sz="8" w:space="0" w:color="auto"/>
              <w:right w:val="single" w:sz="8" w:space="0" w:color="auto"/>
            </w:tcBorders>
            <w:vAlign w:val="center"/>
            <w:hideMark/>
          </w:tcPr>
          <w:p w14:paraId="21DF7AAB"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215.96</w:t>
            </w:r>
          </w:p>
        </w:tc>
        <w:tc>
          <w:tcPr>
            <w:tcW w:w="1316" w:type="dxa"/>
            <w:tcBorders>
              <w:top w:val="nil"/>
              <w:left w:val="nil"/>
              <w:bottom w:val="single" w:sz="8" w:space="0" w:color="auto"/>
              <w:right w:val="single" w:sz="8" w:space="0" w:color="auto"/>
            </w:tcBorders>
            <w:vAlign w:val="center"/>
            <w:hideMark/>
          </w:tcPr>
          <w:p w14:paraId="1571C93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380.06</w:t>
            </w:r>
          </w:p>
        </w:tc>
        <w:tc>
          <w:tcPr>
            <w:tcW w:w="1160" w:type="dxa"/>
            <w:tcBorders>
              <w:top w:val="nil"/>
              <w:left w:val="nil"/>
              <w:bottom w:val="single" w:sz="8" w:space="0" w:color="auto"/>
              <w:right w:val="single" w:sz="8" w:space="0" w:color="auto"/>
            </w:tcBorders>
            <w:vAlign w:val="center"/>
            <w:hideMark/>
          </w:tcPr>
          <w:p w14:paraId="494012D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73.54</w:t>
            </w:r>
          </w:p>
        </w:tc>
      </w:tr>
      <w:tr w:rsidR="00445A51" w:rsidRPr="0001172A" w14:paraId="7D2F6EE0" w14:textId="77777777" w:rsidTr="00856B7F">
        <w:trPr>
          <w:trHeight w:val="407"/>
        </w:trPr>
        <w:tc>
          <w:tcPr>
            <w:tcW w:w="1620" w:type="dxa"/>
            <w:tcBorders>
              <w:top w:val="nil"/>
              <w:left w:val="single" w:sz="8" w:space="0" w:color="auto"/>
              <w:bottom w:val="single" w:sz="8" w:space="0" w:color="auto"/>
              <w:right w:val="single" w:sz="8" w:space="0" w:color="auto"/>
            </w:tcBorders>
            <w:vAlign w:val="center"/>
            <w:hideMark/>
          </w:tcPr>
          <w:p w14:paraId="5278CFE7"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2</w:t>
            </w:r>
          </w:p>
        </w:tc>
        <w:tc>
          <w:tcPr>
            <w:tcW w:w="1313" w:type="dxa"/>
            <w:tcBorders>
              <w:top w:val="nil"/>
              <w:left w:val="nil"/>
              <w:bottom w:val="single" w:sz="8" w:space="0" w:color="auto"/>
              <w:right w:val="single" w:sz="8" w:space="0" w:color="auto"/>
            </w:tcBorders>
            <w:vAlign w:val="center"/>
            <w:hideMark/>
          </w:tcPr>
          <w:p w14:paraId="7FCCABE1"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586.57</w:t>
            </w:r>
          </w:p>
        </w:tc>
        <w:tc>
          <w:tcPr>
            <w:tcW w:w="1203" w:type="dxa"/>
            <w:tcBorders>
              <w:top w:val="nil"/>
              <w:left w:val="nil"/>
              <w:bottom w:val="single" w:sz="8" w:space="0" w:color="auto"/>
              <w:right w:val="single" w:sz="8" w:space="0" w:color="auto"/>
            </w:tcBorders>
            <w:vAlign w:val="center"/>
            <w:hideMark/>
          </w:tcPr>
          <w:p w14:paraId="69EAC43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97.30</w:t>
            </w:r>
          </w:p>
        </w:tc>
        <w:tc>
          <w:tcPr>
            <w:tcW w:w="1131" w:type="dxa"/>
            <w:tcBorders>
              <w:top w:val="nil"/>
              <w:left w:val="nil"/>
              <w:bottom w:val="single" w:sz="8" w:space="0" w:color="auto"/>
              <w:right w:val="single" w:sz="8" w:space="0" w:color="auto"/>
            </w:tcBorders>
            <w:vAlign w:val="center"/>
            <w:hideMark/>
          </w:tcPr>
          <w:p w14:paraId="6E760DA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39.33</w:t>
            </w:r>
          </w:p>
        </w:tc>
        <w:tc>
          <w:tcPr>
            <w:tcW w:w="1283" w:type="dxa"/>
            <w:tcBorders>
              <w:top w:val="nil"/>
              <w:left w:val="nil"/>
              <w:bottom w:val="single" w:sz="8" w:space="0" w:color="auto"/>
              <w:right w:val="single" w:sz="8" w:space="0" w:color="auto"/>
            </w:tcBorders>
            <w:vAlign w:val="center"/>
            <w:hideMark/>
          </w:tcPr>
          <w:p w14:paraId="41F5B44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224.09</w:t>
            </w:r>
          </w:p>
        </w:tc>
        <w:tc>
          <w:tcPr>
            <w:tcW w:w="1316" w:type="dxa"/>
            <w:tcBorders>
              <w:top w:val="nil"/>
              <w:left w:val="nil"/>
              <w:bottom w:val="single" w:sz="8" w:space="0" w:color="auto"/>
              <w:right w:val="single" w:sz="8" w:space="0" w:color="auto"/>
            </w:tcBorders>
            <w:vAlign w:val="center"/>
            <w:hideMark/>
          </w:tcPr>
          <w:p w14:paraId="0A12CD8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396.18</w:t>
            </w:r>
          </w:p>
        </w:tc>
        <w:tc>
          <w:tcPr>
            <w:tcW w:w="1160" w:type="dxa"/>
            <w:tcBorders>
              <w:top w:val="nil"/>
              <w:left w:val="nil"/>
              <w:bottom w:val="single" w:sz="8" w:space="0" w:color="auto"/>
              <w:right w:val="single" w:sz="8" w:space="0" w:color="auto"/>
            </w:tcBorders>
            <w:vAlign w:val="center"/>
            <w:hideMark/>
          </w:tcPr>
          <w:p w14:paraId="0E62BE6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76.60</w:t>
            </w:r>
          </w:p>
        </w:tc>
      </w:tr>
      <w:tr w:rsidR="00445A51" w:rsidRPr="0001172A" w14:paraId="4C3293FD" w14:textId="77777777" w:rsidTr="00856B7F">
        <w:trPr>
          <w:trHeight w:val="387"/>
        </w:trPr>
        <w:tc>
          <w:tcPr>
            <w:tcW w:w="1620" w:type="dxa"/>
            <w:tcBorders>
              <w:top w:val="nil"/>
              <w:left w:val="single" w:sz="8" w:space="0" w:color="auto"/>
              <w:bottom w:val="single" w:sz="8" w:space="0" w:color="auto"/>
              <w:right w:val="single" w:sz="8" w:space="0" w:color="auto"/>
            </w:tcBorders>
            <w:vAlign w:val="center"/>
            <w:hideMark/>
          </w:tcPr>
          <w:p w14:paraId="1FBD721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3</w:t>
            </w:r>
          </w:p>
        </w:tc>
        <w:tc>
          <w:tcPr>
            <w:tcW w:w="1313" w:type="dxa"/>
            <w:tcBorders>
              <w:top w:val="nil"/>
              <w:left w:val="nil"/>
              <w:bottom w:val="single" w:sz="8" w:space="0" w:color="auto"/>
              <w:right w:val="single" w:sz="8" w:space="0" w:color="auto"/>
            </w:tcBorders>
            <w:vAlign w:val="center"/>
            <w:hideMark/>
          </w:tcPr>
          <w:p w14:paraId="41CE0F8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584.98</w:t>
            </w:r>
          </w:p>
        </w:tc>
        <w:tc>
          <w:tcPr>
            <w:tcW w:w="1203" w:type="dxa"/>
            <w:tcBorders>
              <w:top w:val="nil"/>
              <w:left w:val="nil"/>
              <w:bottom w:val="single" w:sz="8" w:space="0" w:color="auto"/>
              <w:right w:val="single" w:sz="8" w:space="0" w:color="auto"/>
            </w:tcBorders>
            <w:vAlign w:val="center"/>
            <w:hideMark/>
          </w:tcPr>
          <w:p w14:paraId="19378D7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97.43</w:t>
            </w:r>
          </w:p>
        </w:tc>
        <w:tc>
          <w:tcPr>
            <w:tcW w:w="1131" w:type="dxa"/>
            <w:tcBorders>
              <w:top w:val="nil"/>
              <w:left w:val="nil"/>
              <w:bottom w:val="single" w:sz="8" w:space="0" w:color="auto"/>
              <w:right w:val="single" w:sz="8" w:space="0" w:color="auto"/>
            </w:tcBorders>
            <w:vAlign w:val="center"/>
            <w:hideMark/>
          </w:tcPr>
          <w:p w14:paraId="033A974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38.60</w:t>
            </w:r>
          </w:p>
        </w:tc>
        <w:tc>
          <w:tcPr>
            <w:tcW w:w="1283" w:type="dxa"/>
            <w:tcBorders>
              <w:top w:val="nil"/>
              <w:left w:val="nil"/>
              <w:bottom w:val="single" w:sz="8" w:space="0" w:color="auto"/>
              <w:right w:val="single" w:sz="8" w:space="0" w:color="auto"/>
            </w:tcBorders>
            <w:vAlign w:val="center"/>
            <w:hideMark/>
          </w:tcPr>
          <w:p w14:paraId="79CB179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221.84</w:t>
            </w:r>
          </w:p>
        </w:tc>
        <w:tc>
          <w:tcPr>
            <w:tcW w:w="1316" w:type="dxa"/>
            <w:tcBorders>
              <w:top w:val="nil"/>
              <w:left w:val="nil"/>
              <w:bottom w:val="single" w:sz="8" w:space="0" w:color="auto"/>
              <w:right w:val="single" w:sz="8" w:space="0" w:color="auto"/>
            </w:tcBorders>
            <w:vAlign w:val="center"/>
            <w:hideMark/>
          </w:tcPr>
          <w:p w14:paraId="7F5626D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396.34</w:t>
            </w:r>
          </w:p>
        </w:tc>
        <w:tc>
          <w:tcPr>
            <w:tcW w:w="1160" w:type="dxa"/>
            <w:tcBorders>
              <w:top w:val="nil"/>
              <w:left w:val="nil"/>
              <w:bottom w:val="single" w:sz="8" w:space="0" w:color="auto"/>
              <w:right w:val="single" w:sz="8" w:space="0" w:color="auto"/>
            </w:tcBorders>
            <w:vAlign w:val="center"/>
            <w:hideMark/>
          </w:tcPr>
          <w:p w14:paraId="271E306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79.89</w:t>
            </w:r>
          </w:p>
        </w:tc>
      </w:tr>
      <w:tr w:rsidR="00445A51" w:rsidRPr="0001172A" w14:paraId="6882923B" w14:textId="77777777" w:rsidTr="00856B7F">
        <w:trPr>
          <w:trHeight w:val="387"/>
        </w:trPr>
        <w:tc>
          <w:tcPr>
            <w:tcW w:w="1620" w:type="dxa"/>
            <w:tcBorders>
              <w:top w:val="nil"/>
              <w:left w:val="single" w:sz="8" w:space="0" w:color="auto"/>
              <w:bottom w:val="single" w:sz="8" w:space="0" w:color="auto"/>
              <w:right w:val="single" w:sz="8" w:space="0" w:color="auto"/>
            </w:tcBorders>
            <w:vAlign w:val="center"/>
            <w:hideMark/>
          </w:tcPr>
          <w:p w14:paraId="4B6424D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4</w:t>
            </w:r>
          </w:p>
        </w:tc>
        <w:tc>
          <w:tcPr>
            <w:tcW w:w="1313" w:type="dxa"/>
            <w:tcBorders>
              <w:top w:val="nil"/>
              <w:left w:val="nil"/>
              <w:bottom w:val="single" w:sz="8" w:space="0" w:color="auto"/>
              <w:right w:val="single" w:sz="8" w:space="0" w:color="auto"/>
            </w:tcBorders>
            <w:vAlign w:val="center"/>
            <w:hideMark/>
          </w:tcPr>
          <w:p w14:paraId="5BE5C3A3"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583.84</w:t>
            </w:r>
          </w:p>
        </w:tc>
        <w:tc>
          <w:tcPr>
            <w:tcW w:w="1203" w:type="dxa"/>
            <w:tcBorders>
              <w:top w:val="nil"/>
              <w:left w:val="nil"/>
              <w:bottom w:val="single" w:sz="8" w:space="0" w:color="auto"/>
              <w:right w:val="single" w:sz="8" w:space="0" w:color="auto"/>
            </w:tcBorders>
            <w:vAlign w:val="center"/>
            <w:hideMark/>
          </w:tcPr>
          <w:p w14:paraId="188F304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97.58</w:t>
            </w:r>
          </w:p>
        </w:tc>
        <w:tc>
          <w:tcPr>
            <w:tcW w:w="1131" w:type="dxa"/>
            <w:tcBorders>
              <w:top w:val="nil"/>
              <w:left w:val="nil"/>
              <w:bottom w:val="single" w:sz="8" w:space="0" w:color="auto"/>
              <w:right w:val="single" w:sz="8" w:space="0" w:color="auto"/>
            </w:tcBorders>
            <w:vAlign w:val="center"/>
            <w:hideMark/>
          </w:tcPr>
          <w:p w14:paraId="483B5155"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38.01</w:t>
            </w:r>
          </w:p>
        </w:tc>
        <w:tc>
          <w:tcPr>
            <w:tcW w:w="1283" w:type="dxa"/>
            <w:tcBorders>
              <w:top w:val="nil"/>
              <w:left w:val="nil"/>
              <w:bottom w:val="single" w:sz="8" w:space="0" w:color="auto"/>
              <w:right w:val="single" w:sz="8" w:space="0" w:color="auto"/>
            </w:tcBorders>
            <w:vAlign w:val="center"/>
            <w:hideMark/>
          </w:tcPr>
          <w:p w14:paraId="26ABFF4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222.05</w:t>
            </w:r>
          </w:p>
        </w:tc>
        <w:tc>
          <w:tcPr>
            <w:tcW w:w="1316" w:type="dxa"/>
            <w:tcBorders>
              <w:top w:val="nil"/>
              <w:left w:val="nil"/>
              <w:bottom w:val="single" w:sz="8" w:space="0" w:color="auto"/>
              <w:right w:val="single" w:sz="8" w:space="0" w:color="auto"/>
            </w:tcBorders>
            <w:vAlign w:val="center"/>
            <w:hideMark/>
          </w:tcPr>
          <w:p w14:paraId="2F6DE32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395.93</w:t>
            </w:r>
          </w:p>
        </w:tc>
        <w:tc>
          <w:tcPr>
            <w:tcW w:w="1160" w:type="dxa"/>
            <w:tcBorders>
              <w:top w:val="nil"/>
              <w:left w:val="nil"/>
              <w:bottom w:val="single" w:sz="8" w:space="0" w:color="auto"/>
              <w:right w:val="single" w:sz="8" w:space="0" w:color="auto"/>
            </w:tcBorders>
            <w:vAlign w:val="center"/>
            <w:hideMark/>
          </w:tcPr>
          <w:p w14:paraId="25AFE8C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82.11</w:t>
            </w:r>
          </w:p>
        </w:tc>
      </w:tr>
      <w:tr w:rsidR="00445A51" w:rsidRPr="0001172A" w14:paraId="61A84A21" w14:textId="77777777" w:rsidTr="00856B7F">
        <w:trPr>
          <w:trHeight w:val="387"/>
        </w:trPr>
        <w:tc>
          <w:tcPr>
            <w:tcW w:w="1620" w:type="dxa"/>
            <w:tcBorders>
              <w:top w:val="nil"/>
              <w:left w:val="single" w:sz="8" w:space="0" w:color="auto"/>
              <w:bottom w:val="single" w:sz="8" w:space="0" w:color="auto"/>
              <w:right w:val="single" w:sz="8" w:space="0" w:color="auto"/>
            </w:tcBorders>
            <w:vAlign w:val="center"/>
            <w:hideMark/>
          </w:tcPr>
          <w:p w14:paraId="7430BD25" w14:textId="77777777" w:rsidR="00445A51" w:rsidRPr="0001172A" w:rsidRDefault="00445A51" w:rsidP="00A248C6">
            <w:pPr>
              <w:jc w:val="center"/>
              <w:rPr>
                <w:rFonts w:ascii="Times New Roman" w:hAnsi="Times New Roman" w:cs="Times New Roman"/>
                <w:sz w:val="24"/>
                <w:szCs w:val="24"/>
                <w:vertAlign w:val="subscript"/>
                <w:lang w:val="en-IN"/>
              </w:rPr>
            </w:pPr>
            <w:r w:rsidRPr="0001172A">
              <w:rPr>
                <w:rFonts w:ascii="Times New Roman" w:hAnsi="Times New Roman" w:cs="Times New Roman"/>
                <w:sz w:val="24"/>
                <w:szCs w:val="24"/>
                <w:lang w:val="en-IN"/>
              </w:rPr>
              <w:t>T</w:t>
            </w:r>
            <w:r w:rsidRPr="0001172A">
              <w:rPr>
                <w:rFonts w:ascii="Times New Roman" w:hAnsi="Times New Roman" w:cs="Times New Roman"/>
                <w:sz w:val="24"/>
                <w:szCs w:val="24"/>
                <w:vertAlign w:val="subscript"/>
                <w:lang w:val="en-IN"/>
              </w:rPr>
              <w:t>5</w:t>
            </w:r>
          </w:p>
        </w:tc>
        <w:tc>
          <w:tcPr>
            <w:tcW w:w="1313" w:type="dxa"/>
            <w:tcBorders>
              <w:top w:val="nil"/>
              <w:left w:val="nil"/>
              <w:bottom w:val="single" w:sz="8" w:space="0" w:color="auto"/>
              <w:right w:val="single" w:sz="8" w:space="0" w:color="auto"/>
            </w:tcBorders>
            <w:vAlign w:val="center"/>
            <w:hideMark/>
          </w:tcPr>
          <w:p w14:paraId="0CD51AD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590.41</w:t>
            </w:r>
          </w:p>
        </w:tc>
        <w:tc>
          <w:tcPr>
            <w:tcW w:w="1203" w:type="dxa"/>
            <w:tcBorders>
              <w:top w:val="nil"/>
              <w:left w:val="nil"/>
              <w:bottom w:val="single" w:sz="8" w:space="0" w:color="auto"/>
              <w:right w:val="single" w:sz="8" w:space="0" w:color="auto"/>
            </w:tcBorders>
            <w:vAlign w:val="center"/>
            <w:hideMark/>
          </w:tcPr>
          <w:p w14:paraId="66749C2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98.51</w:t>
            </w:r>
          </w:p>
        </w:tc>
        <w:tc>
          <w:tcPr>
            <w:tcW w:w="1131" w:type="dxa"/>
            <w:tcBorders>
              <w:top w:val="nil"/>
              <w:left w:val="nil"/>
              <w:bottom w:val="single" w:sz="8" w:space="0" w:color="auto"/>
              <w:right w:val="single" w:sz="8" w:space="0" w:color="auto"/>
            </w:tcBorders>
            <w:vAlign w:val="center"/>
            <w:hideMark/>
          </w:tcPr>
          <w:p w14:paraId="229848E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38.30</w:t>
            </w:r>
          </w:p>
        </w:tc>
        <w:tc>
          <w:tcPr>
            <w:tcW w:w="1283" w:type="dxa"/>
            <w:tcBorders>
              <w:top w:val="nil"/>
              <w:left w:val="nil"/>
              <w:bottom w:val="single" w:sz="8" w:space="0" w:color="auto"/>
              <w:right w:val="single" w:sz="8" w:space="0" w:color="auto"/>
            </w:tcBorders>
            <w:vAlign w:val="center"/>
            <w:hideMark/>
          </w:tcPr>
          <w:p w14:paraId="4731CEF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224.29</w:t>
            </w:r>
          </w:p>
        </w:tc>
        <w:tc>
          <w:tcPr>
            <w:tcW w:w="1316" w:type="dxa"/>
            <w:tcBorders>
              <w:top w:val="nil"/>
              <w:left w:val="nil"/>
              <w:bottom w:val="single" w:sz="8" w:space="0" w:color="auto"/>
              <w:right w:val="single" w:sz="8" w:space="0" w:color="auto"/>
            </w:tcBorders>
            <w:vAlign w:val="center"/>
            <w:hideMark/>
          </w:tcPr>
          <w:p w14:paraId="5CDD95A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399.25</w:t>
            </w:r>
          </w:p>
        </w:tc>
        <w:tc>
          <w:tcPr>
            <w:tcW w:w="1160" w:type="dxa"/>
            <w:tcBorders>
              <w:top w:val="nil"/>
              <w:left w:val="nil"/>
              <w:bottom w:val="single" w:sz="8" w:space="0" w:color="auto"/>
              <w:right w:val="single" w:sz="8" w:space="0" w:color="auto"/>
            </w:tcBorders>
            <w:vAlign w:val="center"/>
            <w:hideMark/>
          </w:tcPr>
          <w:p w14:paraId="3BC3CD5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85.89</w:t>
            </w:r>
          </w:p>
        </w:tc>
      </w:tr>
      <w:tr w:rsidR="00445A51" w:rsidRPr="0001172A" w14:paraId="4F466EAC" w14:textId="77777777" w:rsidTr="00856B7F">
        <w:trPr>
          <w:trHeight w:val="338"/>
        </w:trPr>
        <w:tc>
          <w:tcPr>
            <w:tcW w:w="1620" w:type="dxa"/>
            <w:tcBorders>
              <w:top w:val="nil"/>
              <w:left w:val="single" w:sz="8" w:space="0" w:color="auto"/>
              <w:bottom w:val="single" w:sz="8" w:space="0" w:color="auto"/>
              <w:right w:val="single" w:sz="8" w:space="0" w:color="auto"/>
            </w:tcBorders>
            <w:vAlign w:val="center"/>
            <w:hideMark/>
          </w:tcPr>
          <w:p w14:paraId="1030CC8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SE ±</w:t>
            </w:r>
          </w:p>
        </w:tc>
        <w:tc>
          <w:tcPr>
            <w:tcW w:w="1313" w:type="dxa"/>
            <w:tcBorders>
              <w:top w:val="nil"/>
              <w:left w:val="nil"/>
              <w:bottom w:val="single" w:sz="8" w:space="0" w:color="auto"/>
              <w:right w:val="single" w:sz="8" w:space="0" w:color="auto"/>
            </w:tcBorders>
            <w:vAlign w:val="center"/>
            <w:hideMark/>
          </w:tcPr>
          <w:p w14:paraId="3B23FAAA"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3.83</w:t>
            </w:r>
          </w:p>
        </w:tc>
        <w:tc>
          <w:tcPr>
            <w:tcW w:w="1203" w:type="dxa"/>
            <w:tcBorders>
              <w:top w:val="nil"/>
              <w:left w:val="nil"/>
              <w:bottom w:val="single" w:sz="8" w:space="0" w:color="auto"/>
              <w:right w:val="single" w:sz="8" w:space="0" w:color="auto"/>
            </w:tcBorders>
            <w:vAlign w:val="center"/>
            <w:hideMark/>
          </w:tcPr>
          <w:p w14:paraId="6E54237F"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0.94</w:t>
            </w:r>
          </w:p>
        </w:tc>
        <w:tc>
          <w:tcPr>
            <w:tcW w:w="1131" w:type="dxa"/>
            <w:tcBorders>
              <w:top w:val="nil"/>
              <w:left w:val="nil"/>
              <w:bottom w:val="single" w:sz="8" w:space="0" w:color="auto"/>
              <w:right w:val="single" w:sz="8" w:space="0" w:color="auto"/>
            </w:tcBorders>
            <w:vAlign w:val="center"/>
            <w:hideMark/>
          </w:tcPr>
          <w:p w14:paraId="2CE2B3E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0.22</w:t>
            </w:r>
          </w:p>
        </w:tc>
        <w:tc>
          <w:tcPr>
            <w:tcW w:w="1283" w:type="dxa"/>
            <w:tcBorders>
              <w:top w:val="nil"/>
              <w:left w:val="nil"/>
              <w:bottom w:val="single" w:sz="8" w:space="0" w:color="auto"/>
              <w:right w:val="single" w:sz="8" w:space="0" w:color="auto"/>
            </w:tcBorders>
            <w:vAlign w:val="center"/>
            <w:hideMark/>
          </w:tcPr>
          <w:p w14:paraId="101B723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1.50</w:t>
            </w:r>
          </w:p>
        </w:tc>
        <w:tc>
          <w:tcPr>
            <w:tcW w:w="1316" w:type="dxa"/>
            <w:tcBorders>
              <w:top w:val="nil"/>
              <w:left w:val="nil"/>
              <w:bottom w:val="single" w:sz="8" w:space="0" w:color="auto"/>
              <w:right w:val="single" w:sz="8" w:space="0" w:color="auto"/>
            </w:tcBorders>
            <w:vAlign w:val="center"/>
            <w:hideMark/>
          </w:tcPr>
          <w:p w14:paraId="07F979A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4.01</w:t>
            </w:r>
          </w:p>
        </w:tc>
        <w:tc>
          <w:tcPr>
            <w:tcW w:w="1160" w:type="dxa"/>
            <w:tcBorders>
              <w:top w:val="nil"/>
              <w:left w:val="nil"/>
              <w:bottom w:val="single" w:sz="8" w:space="0" w:color="auto"/>
              <w:right w:val="single" w:sz="8" w:space="0" w:color="auto"/>
            </w:tcBorders>
            <w:vAlign w:val="center"/>
            <w:hideMark/>
          </w:tcPr>
          <w:p w14:paraId="08BCD510"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0.66</w:t>
            </w:r>
          </w:p>
        </w:tc>
      </w:tr>
      <w:tr w:rsidR="00445A51" w:rsidRPr="0001172A" w14:paraId="7A06FA4C" w14:textId="77777777" w:rsidTr="00856B7F">
        <w:trPr>
          <w:trHeight w:val="342"/>
        </w:trPr>
        <w:tc>
          <w:tcPr>
            <w:tcW w:w="1620" w:type="dxa"/>
            <w:tcBorders>
              <w:top w:val="nil"/>
              <w:left w:val="single" w:sz="8" w:space="0" w:color="auto"/>
              <w:bottom w:val="single" w:sz="8" w:space="0" w:color="auto"/>
              <w:right w:val="single" w:sz="8" w:space="0" w:color="auto"/>
            </w:tcBorders>
            <w:vAlign w:val="center"/>
            <w:hideMark/>
          </w:tcPr>
          <w:p w14:paraId="5C10AE99"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CD (5%)</w:t>
            </w:r>
          </w:p>
        </w:tc>
        <w:tc>
          <w:tcPr>
            <w:tcW w:w="1313" w:type="dxa"/>
            <w:tcBorders>
              <w:top w:val="nil"/>
              <w:left w:val="nil"/>
              <w:bottom w:val="single" w:sz="8" w:space="0" w:color="auto"/>
              <w:right w:val="single" w:sz="8" w:space="0" w:color="auto"/>
            </w:tcBorders>
            <w:vAlign w:val="center"/>
            <w:hideMark/>
          </w:tcPr>
          <w:p w14:paraId="070715ED"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11.80</w:t>
            </w:r>
          </w:p>
        </w:tc>
        <w:tc>
          <w:tcPr>
            <w:tcW w:w="1203" w:type="dxa"/>
            <w:tcBorders>
              <w:top w:val="nil"/>
              <w:left w:val="nil"/>
              <w:bottom w:val="single" w:sz="8" w:space="0" w:color="auto"/>
              <w:right w:val="single" w:sz="8" w:space="0" w:color="auto"/>
            </w:tcBorders>
            <w:vAlign w:val="center"/>
            <w:hideMark/>
          </w:tcPr>
          <w:p w14:paraId="35E0DF9E"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2.89</w:t>
            </w:r>
          </w:p>
        </w:tc>
        <w:tc>
          <w:tcPr>
            <w:tcW w:w="1131" w:type="dxa"/>
            <w:tcBorders>
              <w:top w:val="nil"/>
              <w:left w:val="nil"/>
              <w:bottom w:val="single" w:sz="8" w:space="0" w:color="auto"/>
              <w:right w:val="single" w:sz="8" w:space="0" w:color="auto"/>
            </w:tcBorders>
            <w:vAlign w:val="center"/>
            <w:hideMark/>
          </w:tcPr>
          <w:p w14:paraId="0EEF84EC"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0.68</w:t>
            </w:r>
          </w:p>
        </w:tc>
        <w:tc>
          <w:tcPr>
            <w:tcW w:w="1283" w:type="dxa"/>
            <w:tcBorders>
              <w:top w:val="nil"/>
              <w:left w:val="nil"/>
              <w:bottom w:val="single" w:sz="8" w:space="0" w:color="auto"/>
              <w:right w:val="single" w:sz="8" w:space="0" w:color="auto"/>
            </w:tcBorders>
            <w:vAlign w:val="center"/>
            <w:hideMark/>
          </w:tcPr>
          <w:p w14:paraId="15CB0104"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4.62</w:t>
            </w:r>
          </w:p>
        </w:tc>
        <w:tc>
          <w:tcPr>
            <w:tcW w:w="1316" w:type="dxa"/>
            <w:tcBorders>
              <w:top w:val="nil"/>
              <w:left w:val="nil"/>
              <w:bottom w:val="single" w:sz="8" w:space="0" w:color="auto"/>
              <w:right w:val="single" w:sz="8" w:space="0" w:color="auto"/>
            </w:tcBorders>
            <w:vAlign w:val="center"/>
            <w:hideMark/>
          </w:tcPr>
          <w:p w14:paraId="27F2C188"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12.34</w:t>
            </w:r>
          </w:p>
        </w:tc>
        <w:tc>
          <w:tcPr>
            <w:tcW w:w="1160" w:type="dxa"/>
            <w:tcBorders>
              <w:top w:val="nil"/>
              <w:left w:val="nil"/>
              <w:bottom w:val="single" w:sz="8" w:space="0" w:color="auto"/>
              <w:right w:val="single" w:sz="8" w:space="0" w:color="auto"/>
            </w:tcBorders>
            <w:vAlign w:val="center"/>
            <w:hideMark/>
          </w:tcPr>
          <w:p w14:paraId="26F75866" w14:textId="77777777" w:rsidR="00445A51" w:rsidRPr="0001172A" w:rsidRDefault="00445A51" w:rsidP="00A248C6">
            <w:pPr>
              <w:jc w:val="center"/>
              <w:rPr>
                <w:rFonts w:ascii="Times New Roman" w:hAnsi="Times New Roman" w:cs="Times New Roman"/>
                <w:sz w:val="24"/>
                <w:szCs w:val="24"/>
                <w:lang w:val="en-IN"/>
              </w:rPr>
            </w:pPr>
            <w:r w:rsidRPr="0001172A">
              <w:rPr>
                <w:rFonts w:ascii="Times New Roman" w:hAnsi="Times New Roman" w:cs="Times New Roman"/>
                <w:sz w:val="24"/>
                <w:szCs w:val="24"/>
                <w:lang w:val="en-IN"/>
              </w:rPr>
              <w:t>2.04</w:t>
            </w:r>
          </w:p>
        </w:tc>
      </w:tr>
    </w:tbl>
    <w:p w14:paraId="4844CE2F" w14:textId="6A05EC08" w:rsidR="00445A51" w:rsidRPr="00445A51" w:rsidRDefault="00445A51" w:rsidP="00171FD9">
      <w:pPr>
        <w:spacing w:before="240"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 xml:space="preserve">In the present study, nutrient digestion (g/day) improved progressively from T₁ to T₅. Dry matter digestion increased from 567.79 g in T₁ to 590.41 g in T₅, crude protein from 93.69 g to 98.51 g, ether extract from 37.60 g to 39.33 g, crude </w:t>
      </w:r>
      <w:proofErr w:type="spellStart"/>
      <w:r w:rsidRPr="00445A51">
        <w:rPr>
          <w:rFonts w:ascii="Times New Roman" w:hAnsi="Times New Roman" w:cs="Times New Roman"/>
          <w:sz w:val="24"/>
          <w:szCs w:val="24"/>
          <w:lang w:val="en-IN"/>
        </w:rPr>
        <w:t>fiber</w:t>
      </w:r>
      <w:proofErr w:type="spellEnd"/>
      <w:r w:rsidRPr="00445A51">
        <w:rPr>
          <w:rFonts w:ascii="Times New Roman" w:hAnsi="Times New Roman" w:cs="Times New Roman"/>
          <w:sz w:val="24"/>
          <w:szCs w:val="24"/>
          <w:lang w:val="en-IN"/>
        </w:rPr>
        <w:t xml:space="preserve"> from 215.96 g to 224.29 g, nitrogen-free extract from 380.06 g to 399.25 g</w:t>
      </w:r>
      <w:r w:rsidR="00016E38">
        <w:rPr>
          <w:rFonts w:ascii="Times New Roman" w:hAnsi="Times New Roman" w:cs="Times New Roman"/>
          <w:sz w:val="24"/>
          <w:szCs w:val="24"/>
          <w:lang w:val="en-IN"/>
        </w:rPr>
        <w:t xml:space="preserve"> and </w:t>
      </w:r>
      <w:r w:rsidRPr="00445A51">
        <w:rPr>
          <w:rFonts w:ascii="Times New Roman" w:hAnsi="Times New Roman" w:cs="Times New Roman"/>
          <w:sz w:val="24"/>
          <w:szCs w:val="24"/>
          <w:lang w:val="en-IN"/>
        </w:rPr>
        <w:t>ash from 73.54 g to 85.89 g. These results indicate enhanced nutrient utilization at higher supplementation levels.</w:t>
      </w:r>
    </w:p>
    <w:p w14:paraId="12A6BDEA" w14:textId="77777777" w:rsidR="00445A51" w:rsidRPr="00445A51" w:rsidRDefault="00445A51" w:rsidP="00A11E03">
      <w:pPr>
        <w:spacing w:line="360" w:lineRule="auto"/>
        <w:ind w:firstLine="737"/>
        <w:rPr>
          <w:rFonts w:ascii="Times New Roman" w:hAnsi="Times New Roman" w:cs="Times New Roman"/>
          <w:sz w:val="24"/>
          <w:szCs w:val="24"/>
          <w:lang w:val="en-IN"/>
        </w:rPr>
      </w:pPr>
      <w:r w:rsidRPr="00445A51">
        <w:rPr>
          <w:rFonts w:ascii="Times New Roman" w:hAnsi="Times New Roman" w:cs="Times New Roman"/>
          <w:sz w:val="24"/>
          <w:szCs w:val="24"/>
          <w:lang w:val="en-IN"/>
        </w:rPr>
        <w:t xml:space="preserve">Comparable findings were reported by Sawant (2024), with digested DM ranging from 607.33–629.95 g/day and CP from 108.65–113.98 g/day, while Kore (2023) observed much lower values in Konkan </w:t>
      </w:r>
      <w:proofErr w:type="spellStart"/>
      <w:r w:rsidRPr="00445A51">
        <w:rPr>
          <w:rFonts w:ascii="Times New Roman" w:hAnsi="Times New Roman" w:cs="Times New Roman"/>
          <w:sz w:val="24"/>
          <w:szCs w:val="24"/>
          <w:lang w:val="en-IN"/>
        </w:rPr>
        <w:t>Kanyal</w:t>
      </w:r>
      <w:proofErr w:type="spellEnd"/>
      <w:r w:rsidRPr="00445A51">
        <w:rPr>
          <w:rFonts w:ascii="Times New Roman" w:hAnsi="Times New Roman" w:cs="Times New Roman"/>
          <w:sz w:val="24"/>
          <w:szCs w:val="24"/>
          <w:lang w:val="en-IN"/>
        </w:rPr>
        <w:t xml:space="preserve"> goats under Spirulina supplementation (DM 346.74–395.23 g/day; CP 54.16–69.54 g/day). The present results thus suggest that turmeric inclusion supported improved digestibility of major nutrients compared to basal or alternative supplement diets.</w:t>
      </w:r>
    </w:p>
    <w:p w14:paraId="05ADBB8E" w14:textId="24F11620" w:rsidR="00445A51" w:rsidRDefault="00523EE4" w:rsidP="00523EE4">
      <w:pPr>
        <w:spacing w:line="360" w:lineRule="auto"/>
        <w:ind w:left="567"/>
        <w:rPr>
          <w:rFonts w:ascii="Times New Roman" w:hAnsi="Times New Roman" w:cs="Times New Roman"/>
          <w:b/>
          <w:bCs/>
          <w:sz w:val="24"/>
          <w:szCs w:val="24"/>
          <w:lang w:val="en-IN"/>
        </w:rPr>
      </w:pPr>
      <w:r>
        <w:rPr>
          <w:rFonts w:ascii="Times New Roman" w:hAnsi="Times New Roman" w:cs="Times New Roman"/>
          <w:b/>
          <w:bCs/>
          <w:sz w:val="24"/>
          <w:szCs w:val="24"/>
        </w:rPr>
        <w:t xml:space="preserve">6. </w:t>
      </w:r>
      <w:r w:rsidR="00445A51" w:rsidRPr="008A0820">
        <w:rPr>
          <w:rFonts w:ascii="Times New Roman" w:hAnsi="Times New Roman" w:cs="Times New Roman"/>
          <w:b/>
          <w:bCs/>
          <w:sz w:val="24"/>
          <w:szCs w:val="24"/>
        </w:rPr>
        <w:t>Average nutrient digestibility (%) in kids (DM basis)</w:t>
      </w:r>
    </w:p>
    <w:p w14:paraId="7500E8B6" w14:textId="4940AFB5" w:rsidR="00445A51" w:rsidRPr="005D6D09" w:rsidRDefault="00445A51" w:rsidP="00A11E03">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
      </w:r>
      <w:r w:rsidRPr="005D6D09">
        <w:rPr>
          <w:rFonts w:ascii="Times New Roman" w:hAnsi="Times New Roman" w:cs="Times New Roman"/>
          <w:sz w:val="24"/>
          <w:szCs w:val="24"/>
        </w:rPr>
        <w:t xml:space="preserve">The average nutrient digestibility coefficients of different proximate nutrients in the experimental diets fed to goats were evaluated, presented in Table </w:t>
      </w:r>
      <w:r w:rsidR="00171FD9">
        <w:rPr>
          <w:rFonts w:ascii="Times New Roman" w:hAnsi="Times New Roman" w:cs="Times New Roman"/>
          <w:sz w:val="24"/>
          <w:szCs w:val="24"/>
        </w:rPr>
        <w:t>7.</w:t>
      </w:r>
    </w:p>
    <w:p w14:paraId="3EEC7BD0" w14:textId="776DC6F3" w:rsidR="00445A51" w:rsidRPr="00523EE4" w:rsidRDefault="00523EE4" w:rsidP="00523EE4">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7. </w:t>
      </w:r>
      <w:r w:rsidR="00445A51" w:rsidRPr="00523EE4">
        <w:rPr>
          <w:rFonts w:ascii="Times New Roman" w:hAnsi="Times New Roman" w:cs="Times New Roman"/>
          <w:b/>
          <w:bCs/>
          <w:sz w:val="24"/>
          <w:szCs w:val="24"/>
        </w:rPr>
        <w:t>Average nutrient digestibility in experimental kids (%DM basis)</w:t>
      </w:r>
    </w:p>
    <w:tbl>
      <w:tblPr>
        <w:tblW w:w="9278" w:type="dxa"/>
        <w:jc w:val="center"/>
        <w:tblLook w:val="04A0" w:firstRow="1" w:lastRow="0" w:firstColumn="1" w:lastColumn="0" w:noHBand="0" w:noVBand="1"/>
      </w:tblPr>
      <w:tblGrid>
        <w:gridCol w:w="1589"/>
        <w:gridCol w:w="1264"/>
        <w:gridCol w:w="1265"/>
        <w:gridCol w:w="1267"/>
        <w:gridCol w:w="1267"/>
        <w:gridCol w:w="1267"/>
        <w:gridCol w:w="1359"/>
      </w:tblGrid>
      <w:tr w:rsidR="00445A51" w:rsidRPr="0041577D" w14:paraId="1FAA9403" w14:textId="77777777" w:rsidTr="005A6666">
        <w:trPr>
          <w:trHeight w:val="495"/>
          <w:jc w:val="center"/>
        </w:trPr>
        <w:tc>
          <w:tcPr>
            <w:tcW w:w="1589" w:type="dxa"/>
            <w:vMerge w:val="restart"/>
            <w:tcBorders>
              <w:top w:val="single" w:sz="8" w:space="0" w:color="auto"/>
              <w:left w:val="single" w:sz="8" w:space="0" w:color="auto"/>
              <w:bottom w:val="single" w:sz="8" w:space="0" w:color="000000"/>
              <w:right w:val="single" w:sz="8" w:space="0" w:color="auto"/>
            </w:tcBorders>
            <w:vAlign w:val="center"/>
            <w:hideMark/>
          </w:tcPr>
          <w:p w14:paraId="53BD8911"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Treatments</w:t>
            </w:r>
          </w:p>
        </w:tc>
        <w:tc>
          <w:tcPr>
            <w:tcW w:w="7689" w:type="dxa"/>
            <w:gridSpan w:val="6"/>
            <w:tcBorders>
              <w:top w:val="single" w:sz="8" w:space="0" w:color="auto"/>
              <w:left w:val="nil"/>
              <w:bottom w:val="single" w:sz="8" w:space="0" w:color="auto"/>
              <w:right w:val="single" w:sz="8" w:space="0" w:color="000000"/>
            </w:tcBorders>
            <w:vAlign w:val="center"/>
            <w:hideMark/>
          </w:tcPr>
          <w:p w14:paraId="294037D4"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Nutrients digestibility</w:t>
            </w:r>
          </w:p>
        </w:tc>
      </w:tr>
      <w:tr w:rsidR="00445A51" w:rsidRPr="0041577D" w14:paraId="28618DD5" w14:textId="77777777" w:rsidTr="00A11E03">
        <w:trPr>
          <w:trHeight w:val="582"/>
          <w:jc w:val="center"/>
        </w:trPr>
        <w:tc>
          <w:tcPr>
            <w:tcW w:w="1589" w:type="dxa"/>
            <w:vMerge/>
            <w:tcBorders>
              <w:top w:val="single" w:sz="8" w:space="0" w:color="auto"/>
              <w:left w:val="single" w:sz="8" w:space="0" w:color="auto"/>
              <w:bottom w:val="single" w:sz="8" w:space="0" w:color="000000"/>
              <w:right w:val="single" w:sz="8" w:space="0" w:color="auto"/>
            </w:tcBorders>
            <w:vAlign w:val="center"/>
            <w:hideMark/>
          </w:tcPr>
          <w:p w14:paraId="6DFD0251" w14:textId="77777777" w:rsidR="00445A51" w:rsidRPr="0041577D" w:rsidRDefault="00445A51" w:rsidP="00A248C6">
            <w:pPr>
              <w:jc w:val="center"/>
              <w:rPr>
                <w:rFonts w:ascii="Times New Roman" w:hAnsi="Times New Roman" w:cs="Times New Roman"/>
                <w:b/>
                <w:bCs/>
                <w:sz w:val="24"/>
                <w:szCs w:val="24"/>
                <w:lang w:val="en-IN"/>
              </w:rPr>
            </w:pPr>
          </w:p>
        </w:tc>
        <w:tc>
          <w:tcPr>
            <w:tcW w:w="1264" w:type="dxa"/>
            <w:tcBorders>
              <w:top w:val="nil"/>
              <w:left w:val="nil"/>
              <w:bottom w:val="single" w:sz="8" w:space="0" w:color="auto"/>
              <w:right w:val="single" w:sz="8" w:space="0" w:color="auto"/>
            </w:tcBorders>
            <w:vAlign w:val="center"/>
            <w:hideMark/>
          </w:tcPr>
          <w:p w14:paraId="1E4EC55B"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DM</w:t>
            </w:r>
          </w:p>
        </w:tc>
        <w:tc>
          <w:tcPr>
            <w:tcW w:w="1265" w:type="dxa"/>
            <w:tcBorders>
              <w:top w:val="nil"/>
              <w:left w:val="nil"/>
              <w:bottom w:val="single" w:sz="8" w:space="0" w:color="auto"/>
              <w:right w:val="single" w:sz="8" w:space="0" w:color="auto"/>
            </w:tcBorders>
            <w:vAlign w:val="center"/>
            <w:hideMark/>
          </w:tcPr>
          <w:p w14:paraId="4EF5E523"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CP</w:t>
            </w:r>
          </w:p>
        </w:tc>
        <w:tc>
          <w:tcPr>
            <w:tcW w:w="1267" w:type="dxa"/>
            <w:tcBorders>
              <w:top w:val="nil"/>
              <w:left w:val="nil"/>
              <w:bottom w:val="single" w:sz="8" w:space="0" w:color="auto"/>
              <w:right w:val="single" w:sz="8" w:space="0" w:color="auto"/>
            </w:tcBorders>
            <w:vAlign w:val="center"/>
            <w:hideMark/>
          </w:tcPr>
          <w:p w14:paraId="4A644894"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EE</w:t>
            </w:r>
          </w:p>
        </w:tc>
        <w:tc>
          <w:tcPr>
            <w:tcW w:w="1267" w:type="dxa"/>
            <w:tcBorders>
              <w:top w:val="nil"/>
              <w:left w:val="nil"/>
              <w:bottom w:val="single" w:sz="8" w:space="0" w:color="auto"/>
              <w:right w:val="single" w:sz="8" w:space="0" w:color="auto"/>
            </w:tcBorders>
            <w:vAlign w:val="center"/>
            <w:hideMark/>
          </w:tcPr>
          <w:p w14:paraId="04413FF1"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CF</w:t>
            </w:r>
          </w:p>
        </w:tc>
        <w:tc>
          <w:tcPr>
            <w:tcW w:w="1267" w:type="dxa"/>
            <w:tcBorders>
              <w:top w:val="nil"/>
              <w:left w:val="nil"/>
              <w:bottom w:val="single" w:sz="8" w:space="0" w:color="auto"/>
              <w:right w:val="single" w:sz="8" w:space="0" w:color="auto"/>
            </w:tcBorders>
            <w:vAlign w:val="center"/>
            <w:hideMark/>
          </w:tcPr>
          <w:p w14:paraId="563EC2C9"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NFE</w:t>
            </w:r>
          </w:p>
        </w:tc>
        <w:tc>
          <w:tcPr>
            <w:tcW w:w="1359" w:type="dxa"/>
            <w:tcBorders>
              <w:top w:val="nil"/>
              <w:left w:val="nil"/>
              <w:bottom w:val="single" w:sz="8" w:space="0" w:color="auto"/>
              <w:right w:val="single" w:sz="8" w:space="0" w:color="auto"/>
            </w:tcBorders>
            <w:vAlign w:val="center"/>
            <w:hideMark/>
          </w:tcPr>
          <w:p w14:paraId="40C388BD" w14:textId="77777777" w:rsidR="00445A51" w:rsidRPr="0041577D" w:rsidRDefault="00445A51" w:rsidP="00A248C6">
            <w:pPr>
              <w:jc w:val="center"/>
              <w:rPr>
                <w:rFonts w:ascii="Times New Roman" w:hAnsi="Times New Roman" w:cs="Times New Roman"/>
                <w:b/>
                <w:bCs/>
                <w:sz w:val="24"/>
                <w:szCs w:val="24"/>
                <w:lang w:val="en-IN"/>
              </w:rPr>
            </w:pPr>
            <w:r w:rsidRPr="0041577D">
              <w:rPr>
                <w:rFonts w:ascii="Times New Roman" w:hAnsi="Times New Roman" w:cs="Times New Roman"/>
                <w:b/>
                <w:bCs/>
                <w:sz w:val="24"/>
                <w:szCs w:val="24"/>
                <w:lang w:val="en-IN"/>
              </w:rPr>
              <w:t>ASH</w:t>
            </w:r>
          </w:p>
        </w:tc>
      </w:tr>
      <w:tr w:rsidR="00445A51" w:rsidRPr="0041577D" w14:paraId="50E944EB" w14:textId="77777777" w:rsidTr="00A11E03">
        <w:trPr>
          <w:trHeight w:val="348"/>
          <w:jc w:val="center"/>
        </w:trPr>
        <w:tc>
          <w:tcPr>
            <w:tcW w:w="1589" w:type="dxa"/>
            <w:tcBorders>
              <w:top w:val="nil"/>
              <w:left w:val="single" w:sz="8" w:space="0" w:color="auto"/>
              <w:bottom w:val="single" w:sz="8" w:space="0" w:color="auto"/>
              <w:right w:val="single" w:sz="8" w:space="0" w:color="auto"/>
            </w:tcBorders>
            <w:vAlign w:val="center"/>
            <w:hideMark/>
          </w:tcPr>
          <w:p w14:paraId="418AEFAF"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1</w:t>
            </w:r>
          </w:p>
        </w:tc>
        <w:tc>
          <w:tcPr>
            <w:tcW w:w="1264" w:type="dxa"/>
            <w:tcBorders>
              <w:top w:val="nil"/>
              <w:left w:val="nil"/>
              <w:bottom w:val="single" w:sz="8" w:space="0" w:color="auto"/>
              <w:right w:val="single" w:sz="8" w:space="0" w:color="auto"/>
            </w:tcBorders>
            <w:vAlign w:val="center"/>
            <w:hideMark/>
          </w:tcPr>
          <w:p w14:paraId="0A19D51C"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81.37</w:t>
            </w:r>
          </w:p>
        </w:tc>
        <w:tc>
          <w:tcPr>
            <w:tcW w:w="1265" w:type="dxa"/>
            <w:tcBorders>
              <w:top w:val="nil"/>
              <w:left w:val="nil"/>
              <w:bottom w:val="single" w:sz="8" w:space="0" w:color="auto"/>
              <w:right w:val="single" w:sz="8" w:space="0" w:color="auto"/>
            </w:tcBorders>
            <w:vAlign w:val="center"/>
            <w:hideMark/>
          </w:tcPr>
          <w:p w14:paraId="1C11400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74.17</w:t>
            </w:r>
          </w:p>
        </w:tc>
        <w:tc>
          <w:tcPr>
            <w:tcW w:w="1267" w:type="dxa"/>
            <w:tcBorders>
              <w:top w:val="nil"/>
              <w:left w:val="nil"/>
              <w:bottom w:val="single" w:sz="8" w:space="0" w:color="auto"/>
              <w:right w:val="single" w:sz="8" w:space="0" w:color="auto"/>
            </w:tcBorders>
            <w:vAlign w:val="center"/>
            <w:hideMark/>
          </w:tcPr>
          <w:p w14:paraId="5CD32B5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77.51</w:t>
            </w:r>
          </w:p>
        </w:tc>
        <w:tc>
          <w:tcPr>
            <w:tcW w:w="1267" w:type="dxa"/>
            <w:tcBorders>
              <w:top w:val="nil"/>
              <w:left w:val="nil"/>
              <w:bottom w:val="single" w:sz="8" w:space="0" w:color="auto"/>
              <w:right w:val="single" w:sz="8" w:space="0" w:color="auto"/>
            </w:tcBorders>
            <w:vAlign w:val="center"/>
            <w:hideMark/>
          </w:tcPr>
          <w:p w14:paraId="2C332CD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77.58</w:t>
            </w:r>
          </w:p>
        </w:tc>
        <w:tc>
          <w:tcPr>
            <w:tcW w:w="1267" w:type="dxa"/>
            <w:tcBorders>
              <w:top w:val="nil"/>
              <w:left w:val="nil"/>
              <w:bottom w:val="single" w:sz="8" w:space="0" w:color="auto"/>
              <w:right w:val="single" w:sz="8" w:space="0" w:color="auto"/>
            </w:tcBorders>
            <w:vAlign w:val="center"/>
            <w:hideMark/>
          </w:tcPr>
          <w:p w14:paraId="424BBB0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61.02</w:t>
            </w:r>
          </w:p>
        </w:tc>
        <w:tc>
          <w:tcPr>
            <w:tcW w:w="1359" w:type="dxa"/>
            <w:tcBorders>
              <w:top w:val="nil"/>
              <w:left w:val="nil"/>
              <w:bottom w:val="single" w:sz="8" w:space="0" w:color="auto"/>
              <w:right w:val="single" w:sz="8" w:space="0" w:color="auto"/>
            </w:tcBorders>
            <w:vAlign w:val="center"/>
            <w:hideMark/>
          </w:tcPr>
          <w:p w14:paraId="6E51BDBF"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71.22</w:t>
            </w:r>
          </w:p>
        </w:tc>
      </w:tr>
      <w:tr w:rsidR="00445A51" w:rsidRPr="0041577D" w14:paraId="17DCF0E3" w14:textId="77777777" w:rsidTr="00A11E03">
        <w:trPr>
          <w:trHeight w:val="348"/>
          <w:jc w:val="center"/>
        </w:trPr>
        <w:tc>
          <w:tcPr>
            <w:tcW w:w="1589" w:type="dxa"/>
            <w:tcBorders>
              <w:top w:val="nil"/>
              <w:left w:val="single" w:sz="8" w:space="0" w:color="auto"/>
              <w:bottom w:val="single" w:sz="8" w:space="0" w:color="auto"/>
              <w:right w:val="single" w:sz="8" w:space="0" w:color="auto"/>
            </w:tcBorders>
            <w:vAlign w:val="center"/>
            <w:hideMark/>
          </w:tcPr>
          <w:p w14:paraId="2005C104"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2</w:t>
            </w:r>
          </w:p>
        </w:tc>
        <w:tc>
          <w:tcPr>
            <w:tcW w:w="1264" w:type="dxa"/>
            <w:tcBorders>
              <w:top w:val="nil"/>
              <w:left w:val="nil"/>
              <w:bottom w:val="single" w:sz="8" w:space="0" w:color="auto"/>
              <w:right w:val="single" w:sz="8" w:space="0" w:color="auto"/>
            </w:tcBorders>
            <w:vAlign w:val="center"/>
            <w:hideMark/>
          </w:tcPr>
          <w:p w14:paraId="17CA8189"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82.23</w:t>
            </w:r>
          </w:p>
        </w:tc>
        <w:tc>
          <w:tcPr>
            <w:tcW w:w="1265" w:type="dxa"/>
            <w:tcBorders>
              <w:top w:val="nil"/>
              <w:left w:val="nil"/>
              <w:bottom w:val="single" w:sz="8" w:space="0" w:color="auto"/>
              <w:right w:val="single" w:sz="8" w:space="0" w:color="auto"/>
            </w:tcBorders>
            <w:vAlign w:val="center"/>
            <w:hideMark/>
          </w:tcPr>
          <w:p w14:paraId="4ED8186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75.34</w:t>
            </w:r>
          </w:p>
        </w:tc>
        <w:tc>
          <w:tcPr>
            <w:tcW w:w="1267" w:type="dxa"/>
            <w:tcBorders>
              <w:top w:val="nil"/>
              <w:left w:val="nil"/>
              <w:bottom w:val="single" w:sz="8" w:space="0" w:color="auto"/>
              <w:right w:val="single" w:sz="8" w:space="0" w:color="auto"/>
            </w:tcBorders>
            <w:vAlign w:val="center"/>
            <w:hideMark/>
          </w:tcPr>
          <w:p w14:paraId="532CBA4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79.32</w:t>
            </w:r>
          </w:p>
        </w:tc>
        <w:tc>
          <w:tcPr>
            <w:tcW w:w="1267" w:type="dxa"/>
            <w:tcBorders>
              <w:top w:val="nil"/>
              <w:left w:val="nil"/>
              <w:bottom w:val="single" w:sz="8" w:space="0" w:color="auto"/>
              <w:right w:val="single" w:sz="8" w:space="0" w:color="auto"/>
            </w:tcBorders>
            <w:vAlign w:val="center"/>
            <w:hideMark/>
          </w:tcPr>
          <w:p w14:paraId="75F3ED1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78.75</w:t>
            </w:r>
          </w:p>
        </w:tc>
        <w:tc>
          <w:tcPr>
            <w:tcW w:w="1267" w:type="dxa"/>
            <w:tcBorders>
              <w:top w:val="nil"/>
              <w:left w:val="nil"/>
              <w:bottom w:val="single" w:sz="8" w:space="0" w:color="auto"/>
              <w:right w:val="single" w:sz="8" w:space="0" w:color="auto"/>
            </w:tcBorders>
            <w:vAlign w:val="center"/>
            <w:hideMark/>
          </w:tcPr>
          <w:p w14:paraId="29DC8D3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62.22</w:t>
            </w:r>
          </w:p>
        </w:tc>
        <w:tc>
          <w:tcPr>
            <w:tcW w:w="1359" w:type="dxa"/>
            <w:tcBorders>
              <w:top w:val="nil"/>
              <w:left w:val="nil"/>
              <w:bottom w:val="single" w:sz="8" w:space="0" w:color="auto"/>
              <w:right w:val="single" w:sz="8" w:space="0" w:color="auto"/>
            </w:tcBorders>
            <w:vAlign w:val="center"/>
            <w:hideMark/>
          </w:tcPr>
          <w:p w14:paraId="0D232206"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73.01</w:t>
            </w:r>
          </w:p>
        </w:tc>
      </w:tr>
      <w:tr w:rsidR="00445A51" w:rsidRPr="0041577D" w14:paraId="65908A8F" w14:textId="77777777" w:rsidTr="00A11E03">
        <w:trPr>
          <w:trHeight w:val="336"/>
          <w:jc w:val="center"/>
        </w:trPr>
        <w:tc>
          <w:tcPr>
            <w:tcW w:w="1589" w:type="dxa"/>
            <w:tcBorders>
              <w:top w:val="nil"/>
              <w:left w:val="single" w:sz="8" w:space="0" w:color="auto"/>
              <w:bottom w:val="single" w:sz="8" w:space="0" w:color="auto"/>
              <w:right w:val="single" w:sz="8" w:space="0" w:color="auto"/>
            </w:tcBorders>
            <w:vAlign w:val="center"/>
            <w:hideMark/>
          </w:tcPr>
          <w:p w14:paraId="1211EA7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lastRenderedPageBreak/>
              <w:t>T</w:t>
            </w:r>
            <w:r w:rsidRPr="0041577D">
              <w:rPr>
                <w:rFonts w:ascii="Times New Roman" w:hAnsi="Times New Roman" w:cs="Times New Roman"/>
                <w:sz w:val="24"/>
                <w:szCs w:val="24"/>
                <w:vertAlign w:val="subscript"/>
                <w:lang w:val="en-IN"/>
              </w:rPr>
              <w:t>3</w:t>
            </w:r>
          </w:p>
        </w:tc>
        <w:tc>
          <w:tcPr>
            <w:tcW w:w="1264" w:type="dxa"/>
            <w:tcBorders>
              <w:top w:val="nil"/>
              <w:left w:val="nil"/>
              <w:bottom w:val="single" w:sz="8" w:space="0" w:color="auto"/>
              <w:right w:val="single" w:sz="8" w:space="0" w:color="auto"/>
            </w:tcBorders>
            <w:vAlign w:val="center"/>
            <w:hideMark/>
          </w:tcPr>
          <w:p w14:paraId="545D95D3"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83.06</w:t>
            </w:r>
          </w:p>
        </w:tc>
        <w:tc>
          <w:tcPr>
            <w:tcW w:w="1265" w:type="dxa"/>
            <w:tcBorders>
              <w:top w:val="nil"/>
              <w:left w:val="nil"/>
              <w:bottom w:val="single" w:sz="8" w:space="0" w:color="auto"/>
              <w:right w:val="single" w:sz="8" w:space="0" w:color="auto"/>
            </w:tcBorders>
            <w:vAlign w:val="center"/>
            <w:hideMark/>
          </w:tcPr>
          <w:p w14:paraId="2549A662"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76.62</w:t>
            </w:r>
          </w:p>
        </w:tc>
        <w:tc>
          <w:tcPr>
            <w:tcW w:w="1267" w:type="dxa"/>
            <w:tcBorders>
              <w:top w:val="nil"/>
              <w:left w:val="nil"/>
              <w:bottom w:val="single" w:sz="8" w:space="0" w:color="auto"/>
              <w:right w:val="single" w:sz="8" w:space="0" w:color="auto"/>
            </w:tcBorders>
            <w:vAlign w:val="center"/>
            <w:hideMark/>
          </w:tcPr>
          <w:p w14:paraId="1580B234"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79.88</w:t>
            </w:r>
          </w:p>
        </w:tc>
        <w:tc>
          <w:tcPr>
            <w:tcW w:w="1267" w:type="dxa"/>
            <w:tcBorders>
              <w:top w:val="nil"/>
              <w:left w:val="nil"/>
              <w:bottom w:val="single" w:sz="8" w:space="0" w:color="auto"/>
              <w:right w:val="single" w:sz="8" w:space="0" w:color="auto"/>
            </w:tcBorders>
            <w:vAlign w:val="center"/>
            <w:hideMark/>
          </w:tcPr>
          <w:p w14:paraId="05413C0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79.49</w:t>
            </w:r>
          </w:p>
        </w:tc>
        <w:tc>
          <w:tcPr>
            <w:tcW w:w="1267" w:type="dxa"/>
            <w:tcBorders>
              <w:top w:val="nil"/>
              <w:left w:val="nil"/>
              <w:bottom w:val="single" w:sz="8" w:space="0" w:color="auto"/>
              <w:right w:val="single" w:sz="8" w:space="0" w:color="auto"/>
            </w:tcBorders>
            <w:vAlign w:val="center"/>
            <w:hideMark/>
          </w:tcPr>
          <w:p w14:paraId="32A78DF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62.74</w:t>
            </w:r>
          </w:p>
        </w:tc>
        <w:tc>
          <w:tcPr>
            <w:tcW w:w="1359" w:type="dxa"/>
            <w:tcBorders>
              <w:top w:val="nil"/>
              <w:left w:val="nil"/>
              <w:bottom w:val="single" w:sz="8" w:space="0" w:color="auto"/>
              <w:right w:val="single" w:sz="8" w:space="0" w:color="auto"/>
            </w:tcBorders>
            <w:vAlign w:val="center"/>
            <w:hideMark/>
          </w:tcPr>
          <w:p w14:paraId="60FD040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74.35</w:t>
            </w:r>
          </w:p>
        </w:tc>
      </w:tr>
      <w:tr w:rsidR="00445A51" w:rsidRPr="0041577D" w14:paraId="0DB10D87" w14:textId="77777777" w:rsidTr="00A11E03">
        <w:trPr>
          <w:trHeight w:val="336"/>
          <w:jc w:val="center"/>
        </w:trPr>
        <w:tc>
          <w:tcPr>
            <w:tcW w:w="1589" w:type="dxa"/>
            <w:tcBorders>
              <w:top w:val="nil"/>
              <w:left w:val="single" w:sz="8" w:space="0" w:color="auto"/>
              <w:bottom w:val="single" w:sz="8" w:space="0" w:color="auto"/>
              <w:right w:val="single" w:sz="8" w:space="0" w:color="auto"/>
            </w:tcBorders>
            <w:vAlign w:val="center"/>
            <w:hideMark/>
          </w:tcPr>
          <w:p w14:paraId="7520801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4</w:t>
            </w:r>
          </w:p>
        </w:tc>
        <w:tc>
          <w:tcPr>
            <w:tcW w:w="1264" w:type="dxa"/>
            <w:tcBorders>
              <w:top w:val="nil"/>
              <w:left w:val="nil"/>
              <w:bottom w:val="single" w:sz="8" w:space="0" w:color="auto"/>
              <w:right w:val="single" w:sz="8" w:space="0" w:color="auto"/>
            </w:tcBorders>
            <w:vAlign w:val="center"/>
            <w:hideMark/>
          </w:tcPr>
          <w:p w14:paraId="7ADFD583"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83.87</w:t>
            </w:r>
          </w:p>
        </w:tc>
        <w:tc>
          <w:tcPr>
            <w:tcW w:w="1265" w:type="dxa"/>
            <w:tcBorders>
              <w:top w:val="nil"/>
              <w:left w:val="nil"/>
              <w:bottom w:val="single" w:sz="8" w:space="0" w:color="auto"/>
              <w:right w:val="single" w:sz="8" w:space="0" w:color="auto"/>
            </w:tcBorders>
            <w:vAlign w:val="center"/>
            <w:hideMark/>
          </w:tcPr>
          <w:p w14:paraId="780F01E4"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77.76</w:t>
            </w:r>
          </w:p>
        </w:tc>
        <w:tc>
          <w:tcPr>
            <w:tcW w:w="1267" w:type="dxa"/>
            <w:tcBorders>
              <w:top w:val="nil"/>
              <w:left w:val="nil"/>
              <w:bottom w:val="single" w:sz="8" w:space="0" w:color="auto"/>
              <w:right w:val="single" w:sz="8" w:space="0" w:color="auto"/>
            </w:tcBorders>
            <w:vAlign w:val="center"/>
            <w:hideMark/>
          </w:tcPr>
          <w:p w14:paraId="72C8790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79.75</w:t>
            </w:r>
          </w:p>
        </w:tc>
        <w:tc>
          <w:tcPr>
            <w:tcW w:w="1267" w:type="dxa"/>
            <w:tcBorders>
              <w:top w:val="nil"/>
              <w:left w:val="nil"/>
              <w:bottom w:val="single" w:sz="8" w:space="0" w:color="auto"/>
              <w:right w:val="single" w:sz="8" w:space="0" w:color="auto"/>
            </w:tcBorders>
            <w:vAlign w:val="center"/>
            <w:hideMark/>
          </w:tcPr>
          <w:p w14:paraId="0FD8868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80.70</w:t>
            </w:r>
          </w:p>
        </w:tc>
        <w:tc>
          <w:tcPr>
            <w:tcW w:w="1267" w:type="dxa"/>
            <w:tcBorders>
              <w:top w:val="nil"/>
              <w:left w:val="nil"/>
              <w:bottom w:val="single" w:sz="8" w:space="0" w:color="auto"/>
              <w:right w:val="single" w:sz="8" w:space="0" w:color="auto"/>
            </w:tcBorders>
            <w:vAlign w:val="center"/>
            <w:hideMark/>
          </w:tcPr>
          <w:p w14:paraId="00AD68F9"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63.45</w:t>
            </w:r>
          </w:p>
        </w:tc>
        <w:tc>
          <w:tcPr>
            <w:tcW w:w="1359" w:type="dxa"/>
            <w:tcBorders>
              <w:top w:val="nil"/>
              <w:left w:val="nil"/>
              <w:bottom w:val="single" w:sz="8" w:space="0" w:color="auto"/>
              <w:right w:val="single" w:sz="8" w:space="0" w:color="auto"/>
            </w:tcBorders>
            <w:vAlign w:val="center"/>
            <w:hideMark/>
          </w:tcPr>
          <w:p w14:paraId="17A0C4F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75.68</w:t>
            </w:r>
          </w:p>
        </w:tc>
      </w:tr>
      <w:tr w:rsidR="00445A51" w:rsidRPr="0041577D" w14:paraId="7D7CE4CF" w14:textId="77777777" w:rsidTr="00A11E03">
        <w:trPr>
          <w:trHeight w:val="336"/>
          <w:jc w:val="center"/>
        </w:trPr>
        <w:tc>
          <w:tcPr>
            <w:tcW w:w="1589" w:type="dxa"/>
            <w:tcBorders>
              <w:top w:val="nil"/>
              <w:left w:val="single" w:sz="8" w:space="0" w:color="auto"/>
              <w:bottom w:val="single" w:sz="8" w:space="0" w:color="auto"/>
              <w:right w:val="single" w:sz="8" w:space="0" w:color="auto"/>
            </w:tcBorders>
            <w:vAlign w:val="center"/>
            <w:hideMark/>
          </w:tcPr>
          <w:p w14:paraId="5C60B232"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T</w:t>
            </w:r>
            <w:r w:rsidRPr="0041577D">
              <w:rPr>
                <w:rFonts w:ascii="Times New Roman" w:hAnsi="Times New Roman" w:cs="Times New Roman"/>
                <w:sz w:val="24"/>
                <w:szCs w:val="24"/>
                <w:vertAlign w:val="subscript"/>
                <w:lang w:val="en-IN"/>
              </w:rPr>
              <w:t>5</w:t>
            </w:r>
          </w:p>
        </w:tc>
        <w:tc>
          <w:tcPr>
            <w:tcW w:w="1264" w:type="dxa"/>
            <w:tcBorders>
              <w:top w:val="nil"/>
              <w:left w:val="nil"/>
              <w:bottom w:val="single" w:sz="8" w:space="0" w:color="auto"/>
              <w:right w:val="single" w:sz="8" w:space="0" w:color="auto"/>
            </w:tcBorders>
            <w:vAlign w:val="center"/>
            <w:hideMark/>
          </w:tcPr>
          <w:p w14:paraId="04A1089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84.96</w:t>
            </w:r>
          </w:p>
        </w:tc>
        <w:tc>
          <w:tcPr>
            <w:tcW w:w="1265" w:type="dxa"/>
            <w:tcBorders>
              <w:top w:val="nil"/>
              <w:left w:val="nil"/>
              <w:bottom w:val="single" w:sz="8" w:space="0" w:color="auto"/>
              <w:right w:val="single" w:sz="8" w:space="0" w:color="auto"/>
            </w:tcBorders>
            <w:vAlign w:val="center"/>
            <w:hideMark/>
          </w:tcPr>
          <w:p w14:paraId="30D236C2"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78.74</w:t>
            </w:r>
          </w:p>
        </w:tc>
        <w:tc>
          <w:tcPr>
            <w:tcW w:w="1267" w:type="dxa"/>
            <w:tcBorders>
              <w:top w:val="nil"/>
              <w:left w:val="nil"/>
              <w:bottom w:val="single" w:sz="8" w:space="0" w:color="auto"/>
              <w:right w:val="single" w:sz="8" w:space="0" w:color="auto"/>
            </w:tcBorders>
            <w:vAlign w:val="center"/>
            <w:hideMark/>
          </w:tcPr>
          <w:p w14:paraId="0B8B7E0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80.67</w:t>
            </w:r>
          </w:p>
        </w:tc>
        <w:tc>
          <w:tcPr>
            <w:tcW w:w="1267" w:type="dxa"/>
            <w:tcBorders>
              <w:top w:val="nil"/>
              <w:left w:val="nil"/>
              <w:bottom w:val="single" w:sz="8" w:space="0" w:color="auto"/>
              <w:right w:val="single" w:sz="8" w:space="0" w:color="auto"/>
            </w:tcBorders>
            <w:vAlign w:val="center"/>
            <w:hideMark/>
          </w:tcPr>
          <w:p w14:paraId="016EAC5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81.85</w:t>
            </w:r>
          </w:p>
        </w:tc>
        <w:tc>
          <w:tcPr>
            <w:tcW w:w="1267" w:type="dxa"/>
            <w:tcBorders>
              <w:top w:val="nil"/>
              <w:left w:val="nil"/>
              <w:bottom w:val="single" w:sz="8" w:space="0" w:color="auto"/>
              <w:right w:val="single" w:sz="8" w:space="0" w:color="auto"/>
            </w:tcBorders>
            <w:vAlign w:val="center"/>
            <w:hideMark/>
          </w:tcPr>
          <w:p w14:paraId="0DD51D68"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64.13</w:t>
            </w:r>
          </w:p>
        </w:tc>
        <w:tc>
          <w:tcPr>
            <w:tcW w:w="1359" w:type="dxa"/>
            <w:tcBorders>
              <w:top w:val="nil"/>
              <w:left w:val="nil"/>
              <w:bottom w:val="single" w:sz="8" w:space="0" w:color="auto"/>
              <w:right w:val="single" w:sz="8" w:space="0" w:color="auto"/>
            </w:tcBorders>
            <w:vAlign w:val="center"/>
            <w:hideMark/>
          </w:tcPr>
          <w:p w14:paraId="43D5D5E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77.23</w:t>
            </w:r>
          </w:p>
        </w:tc>
      </w:tr>
      <w:tr w:rsidR="00445A51" w:rsidRPr="0041577D" w14:paraId="032A7317" w14:textId="77777777" w:rsidTr="00A11E03">
        <w:trPr>
          <w:trHeight w:val="329"/>
          <w:jc w:val="center"/>
        </w:trPr>
        <w:tc>
          <w:tcPr>
            <w:tcW w:w="1589" w:type="dxa"/>
            <w:tcBorders>
              <w:top w:val="nil"/>
              <w:left w:val="single" w:sz="8" w:space="0" w:color="auto"/>
              <w:bottom w:val="single" w:sz="8" w:space="0" w:color="auto"/>
              <w:right w:val="single" w:sz="8" w:space="0" w:color="auto"/>
            </w:tcBorders>
            <w:vAlign w:val="center"/>
            <w:hideMark/>
          </w:tcPr>
          <w:p w14:paraId="3B62DD86"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SE ±</w:t>
            </w:r>
          </w:p>
        </w:tc>
        <w:tc>
          <w:tcPr>
            <w:tcW w:w="1264" w:type="dxa"/>
            <w:tcBorders>
              <w:top w:val="nil"/>
              <w:left w:val="nil"/>
              <w:bottom w:val="single" w:sz="8" w:space="0" w:color="auto"/>
              <w:right w:val="single" w:sz="8" w:space="0" w:color="auto"/>
            </w:tcBorders>
            <w:vAlign w:val="center"/>
            <w:hideMark/>
          </w:tcPr>
          <w:p w14:paraId="5AD92F20"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0.27</w:t>
            </w:r>
          </w:p>
        </w:tc>
        <w:tc>
          <w:tcPr>
            <w:tcW w:w="1265" w:type="dxa"/>
            <w:tcBorders>
              <w:top w:val="nil"/>
              <w:left w:val="nil"/>
              <w:bottom w:val="single" w:sz="8" w:space="0" w:color="auto"/>
              <w:right w:val="single" w:sz="8" w:space="0" w:color="auto"/>
            </w:tcBorders>
            <w:vAlign w:val="center"/>
            <w:hideMark/>
          </w:tcPr>
          <w:p w14:paraId="58F1C979"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0.41</w:t>
            </w:r>
          </w:p>
        </w:tc>
        <w:tc>
          <w:tcPr>
            <w:tcW w:w="1267" w:type="dxa"/>
            <w:tcBorders>
              <w:top w:val="nil"/>
              <w:left w:val="nil"/>
              <w:bottom w:val="single" w:sz="8" w:space="0" w:color="auto"/>
              <w:right w:val="single" w:sz="8" w:space="0" w:color="auto"/>
            </w:tcBorders>
            <w:vAlign w:val="center"/>
            <w:hideMark/>
          </w:tcPr>
          <w:p w14:paraId="4ECB018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0.15</w:t>
            </w:r>
          </w:p>
        </w:tc>
        <w:tc>
          <w:tcPr>
            <w:tcW w:w="1267" w:type="dxa"/>
            <w:tcBorders>
              <w:top w:val="nil"/>
              <w:left w:val="nil"/>
              <w:bottom w:val="single" w:sz="8" w:space="0" w:color="auto"/>
              <w:right w:val="single" w:sz="8" w:space="0" w:color="auto"/>
            </w:tcBorders>
            <w:vAlign w:val="center"/>
            <w:hideMark/>
          </w:tcPr>
          <w:p w14:paraId="5D07227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0.20</w:t>
            </w:r>
          </w:p>
        </w:tc>
        <w:tc>
          <w:tcPr>
            <w:tcW w:w="1267" w:type="dxa"/>
            <w:tcBorders>
              <w:top w:val="nil"/>
              <w:left w:val="nil"/>
              <w:bottom w:val="single" w:sz="8" w:space="0" w:color="auto"/>
              <w:right w:val="single" w:sz="8" w:space="0" w:color="auto"/>
            </w:tcBorders>
            <w:vAlign w:val="center"/>
            <w:hideMark/>
          </w:tcPr>
          <w:p w14:paraId="75C2EBF3"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0.34</w:t>
            </w:r>
          </w:p>
        </w:tc>
        <w:tc>
          <w:tcPr>
            <w:tcW w:w="1359" w:type="dxa"/>
            <w:tcBorders>
              <w:top w:val="nil"/>
              <w:left w:val="nil"/>
              <w:bottom w:val="single" w:sz="8" w:space="0" w:color="auto"/>
              <w:right w:val="single" w:sz="8" w:space="0" w:color="auto"/>
            </w:tcBorders>
            <w:vAlign w:val="center"/>
            <w:hideMark/>
          </w:tcPr>
          <w:p w14:paraId="51E2C19D"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0.40</w:t>
            </w:r>
          </w:p>
        </w:tc>
      </w:tr>
      <w:tr w:rsidR="00445A51" w:rsidRPr="0041577D" w14:paraId="512CCF00" w14:textId="77777777" w:rsidTr="00A11E03">
        <w:trPr>
          <w:trHeight w:val="296"/>
          <w:jc w:val="center"/>
        </w:trPr>
        <w:tc>
          <w:tcPr>
            <w:tcW w:w="1589" w:type="dxa"/>
            <w:tcBorders>
              <w:top w:val="nil"/>
              <w:left w:val="single" w:sz="8" w:space="0" w:color="auto"/>
              <w:bottom w:val="single" w:sz="8" w:space="0" w:color="auto"/>
              <w:right w:val="single" w:sz="8" w:space="0" w:color="auto"/>
            </w:tcBorders>
            <w:vAlign w:val="center"/>
            <w:hideMark/>
          </w:tcPr>
          <w:p w14:paraId="0E8DDEAC"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CD (5%)</w:t>
            </w:r>
          </w:p>
        </w:tc>
        <w:tc>
          <w:tcPr>
            <w:tcW w:w="1264" w:type="dxa"/>
            <w:tcBorders>
              <w:top w:val="nil"/>
              <w:left w:val="nil"/>
              <w:bottom w:val="single" w:sz="8" w:space="0" w:color="auto"/>
              <w:right w:val="single" w:sz="8" w:space="0" w:color="auto"/>
            </w:tcBorders>
            <w:vAlign w:val="center"/>
            <w:hideMark/>
          </w:tcPr>
          <w:p w14:paraId="73A4317E"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0.82</w:t>
            </w:r>
          </w:p>
        </w:tc>
        <w:tc>
          <w:tcPr>
            <w:tcW w:w="1265" w:type="dxa"/>
            <w:tcBorders>
              <w:top w:val="nil"/>
              <w:left w:val="nil"/>
              <w:bottom w:val="single" w:sz="8" w:space="0" w:color="auto"/>
              <w:right w:val="single" w:sz="8" w:space="0" w:color="auto"/>
            </w:tcBorders>
            <w:vAlign w:val="center"/>
            <w:hideMark/>
          </w:tcPr>
          <w:p w14:paraId="7D0BAAC7"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1.25</w:t>
            </w:r>
          </w:p>
        </w:tc>
        <w:tc>
          <w:tcPr>
            <w:tcW w:w="1267" w:type="dxa"/>
            <w:tcBorders>
              <w:top w:val="nil"/>
              <w:left w:val="nil"/>
              <w:bottom w:val="single" w:sz="8" w:space="0" w:color="auto"/>
              <w:right w:val="single" w:sz="8" w:space="0" w:color="auto"/>
            </w:tcBorders>
            <w:vAlign w:val="center"/>
            <w:hideMark/>
          </w:tcPr>
          <w:p w14:paraId="43A385CF"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0.46</w:t>
            </w:r>
          </w:p>
        </w:tc>
        <w:tc>
          <w:tcPr>
            <w:tcW w:w="1267" w:type="dxa"/>
            <w:tcBorders>
              <w:top w:val="nil"/>
              <w:left w:val="nil"/>
              <w:bottom w:val="single" w:sz="8" w:space="0" w:color="auto"/>
              <w:right w:val="single" w:sz="8" w:space="0" w:color="auto"/>
            </w:tcBorders>
            <w:vAlign w:val="center"/>
            <w:hideMark/>
          </w:tcPr>
          <w:p w14:paraId="7351373B"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0.62</w:t>
            </w:r>
          </w:p>
        </w:tc>
        <w:tc>
          <w:tcPr>
            <w:tcW w:w="1267" w:type="dxa"/>
            <w:tcBorders>
              <w:top w:val="nil"/>
              <w:left w:val="nil"/>
              <w:bottom w:val="single" w:sz="8" w:space="0" w:color="auto"/>
              <w:right w:val="single" w:sz="8" w:space="0" w:color="auto"/>
            </w:tcBorders>
            <w:vAlign w:val="center"/>
            <w:hideMark/>
          </w:tcPr>
          <w:p w14:paraId="0DC0B4E5"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1.06</w:t>
            </w:r>
          </w:p>
        </w:tc>
        <w:tc>
          <w:tcPr>
            <w:tcW w:w="1359" w:type="dxa"/>
            <w:tcBorders>
              <w:top w:val="nil"/>
              <w:left w:val="nil"/>
              <w:bottom w:val="single" w:sz="8" w:space="0" w:color="auto"/>
              <w:right w:val="single" w:sz="8" w:space="0" w:color="auto"/>
            </w:tcBorders>
            <w:vAlign w:val="center"/>
            <w:hideMark/>
          </w:tcPr>
          <w:p w14:paraId="34E85C61" w14:textId="77777777" w:rsidR="00445A51" w:rsidRPr="0041577D" w:rsidRDefault="00445A51" w:rsidP="00A248C6">
            <w:pPr>
              <w:jc w:val="center"/>
              <w:rPr>
                <w:rFonts w:ascii="Times New Roman" w:hAnsi="Times New Roman" w:cs="Times New Roman"/>
                <w:sz w:val="24"/>
                <w:szCs w:val="24"/>
                <w:lang w:val="en-IN"/>
              </w:rPr>
            </w:pPr>
            <w:r w:rsidRPr="0041577D">
              <w:rPr>
                <w:rFonts w:ascii="Times New Roman" w:hAnsi="Times New Roman" w:cs="Times New Roman"/>
                <w:sz w:val="24"/>
                <w:szCs w:val="24"/>
                <w:lang w:val="en-IN"/>
              </w:rPr>
              <w:t>1.22</w:t>
            </w:r>
          </w:p>
        </w:tc>
      </w:tr>
    </w:tbl>
    <w:p w14:paraId="4D25A4B7" w14:textId="376C935E" w:rsidR="00A11E03" w:rsidRPr="00A11E03" w:rsidRDefault="00A11E03" w:rsidP="00171FD9">
      <w:pPr>
        <w:spacing w:before="240"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 xml:space="preserve">The nutrient digestibility coefficients of different treatments (T₁–T₅) are presented in Table </w:t>
      </w:r>
      <w:r w:rsidR="00171FD9">
        <w:rPr>
          <w:rFonts w:ascii="Times New Roman" w:hAnsi="Times New Roman" w:cs="Times New Roman"/>
          <w:sz w:val="24"/>
          <w:szCs w:val="24"/>
          <w:lang w:val="en-IN"/>
        </w:rPr>
        <w:t>7</w:t>
      </w:r>
      <w:r w:rsidRPr="00A11E03">
        <w:rPr>
          <w:rFonts w:ascii="Times New Roman" w:hAnsi="Times New Roman" w:cs="Times New Roman"/>
          <w:sz w:val="24"/>
          <w:szCs w:val="24"/>
          <w:lang w:val="en-IN"/>
        </w:rPr>
        <w:t xml:space="preserve">. A progressive improvement was observed in dry matter (DM), crude protein (CP), ether extract (EE), crude </w:t>
      </w:r>
      <w:proofErr w:type="spellStart"/>
      <w:r w:rsidRPr="00A11E03">
        <w:rPr>
          <w:rFonts w:ascii="Times New Roman" w:hAnsi="Times New Roman" w:cs="Times New Roman"/>
          <w:sz w:val="24"/>
          <w:szCs w:val="24"/>
          <w:lang w:val="en-IN"/>
        </w:rPr>
        <w:t>fiber</w:t>
      </w:r>
      <w:proofErr w:type="spellEnd"/>
      <w:r w:rsidRPr="00A11E03">
        <w:rPr>
          <w:rFonts w:ascii="Times New Roman" w:hAnsi="Times New Roman" w:cs="Times New Roman"/>
          <w:sz w:val="24"/>
          <w:szCs w:val="24"/>
          <w:lang w:val="en-IN"/>
        </w:rPr>
        <w:t xml:space="preserve"> (CF), nitrogen-free extract (NFE)</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ash digestibility with increasing levels of turmeric supplementation. Dry matter digestibility increased from 81.37% in T₁ to 84.96% in T₅, while CP digestibility improved from 74.17% in T₁ to 78.74% in T₅, suggesting better protein utilization in turmeric-supplemented groups.</w:t>
      </w:r>
    </w:p>
    <w:p w14:paraId="382CE2B6" w14:textId="77777777" w:rsidR="00A11E03" w:rsidRP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 xml:space="preserve">Ether extract digestibility also showed an increasing trend, ranging from 77.51% in T₁ to 80.67% in T₅. Similarly, crude </w:t>
      </w:r>
      <w:proofErr w:type="spellStart"/>
      <w:r w:rsidRPr="00A11E03">
        <w:rPr>
          <w:rFonts w:ascii="Times New Roman" w:hAnsi="Times New Roman" w:cs="Times New Roman"/>
          <w:sz w:val="24"/>
          <w:szCs w:val="24"/>
          <w:lang w:val="en-IN"/>
        </w:rPr>
        <w:t>fiber</w:t>
      </w:r>
      <w:proofErr w:type="spellEnd"/>
      <w:r w:rsidRPr="00A11E03">
        <w:rPr>
          <w:rFonts w:ascii="Times New Roman" w:hAnsi="Times New Roman" w:cs="Times New Roman"/>
          <w:sz w:val="24"/>
          <w:szCs w:val="24"/>
          <w:lang w:val="en-IN"/>
        </w:rPr>
        <w:t xml:space="preserve"> digestibility improved from 77.58% in T₁ to 81.85% in T₅, reflecting better </w:t>
      </w:r>
      <w:proofErr w:type="spellStart"/>
      <w:r w:rsidRPr="00A11E03">
        <w:rPr>
          <w:rFonts w:ascii="Times New Roman" w:hAnsi="Times New Roman" w:cs="Times New Roman"/>
          <w:sz w:val="24"/>
          <w:szCs w:val="24"/>
          <w:lang w:val="en-IN"/>
        </w:rPr>
        <w:t>fiber</w:t>
      </w:r>
      <w:proofErr w:type="spellEnd"/>
      <w:r w:rsidRPr="00A11E03">
        <w:rPr>
          <w:rFonts w:ascii="Times New Roman" w:hAnsi="Times New Roman" w:cs="Times New Roman"/>
          <w:sz w:val="24"/>
          <w:szCs w:val="24"/>
          <w:lang w:val="en-IN"/>
        </w:rPr>
        <w:t xml:space="preserve"> degradation. Nitrogen-free extract digestibility rose steadily from 61.02% in T₁ to 64.13% in T₅, while ash digestibility increased from 71.22% in T₁ to 77.23% in T₅. These results clearly demonstrate that turmeric supplementation consistently enhanced the digestibility of all major nutrients, with maximum values recorded in T₄ and T₅.</w:t>
      </w:r>
    </w:p>
    <w:p w14:paraId="2D023EFA" w14:textId="76B2D589" w:rsid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The overall improvement in digestibility can be attributed to turmeric’s bioactive compounds, particularly curcumin, which enhance gut health, microbial fermentation</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 xml:space="preserve">nutrient absorption. Similar findings were reported by </w:t>
      </w:r>
      <w:proofErr w:type="spellStart"/>
      <w:r w:rsidRPr="00A11E03">
        <w:rPr>
          <w:rFonts w:ascii="Times New Roman" w:hAnsi="Times New Roman" w:cs="Times New Roman"/>
          <w:sz w:val="24"/>
          <w:szCs w:val="24"/>
          <w:lang w:val="en-IN"/>
        </w:rPr>
        <w:t>Khalesizadeh</w:t>
      </w:r>
      <w:proofErr w:type="spellEnd"/>
      <w:r w:rsidRPr="00A11E03">
        <w:rPr>
          <w:rFonts w:ascii="Times New Roman" w:hAnsi="Times New Roman" w:cs="Times New Roman"/>
          <w:sz w:val="24"/>
          <w:szCs w:val="24"/>
          <w:lang w:val="en-IN"/>
        </w:rPr>
        <w:t xml:space="preserve"> et al. (2011), who observed CP digestibility of 77.02% with turmeric supplementation</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Adebisi et al. (2022), who reported EE and CF digestibility values of 74.96% and 81.02% in turmeric-fed goats. Thus, turmeric serves as an effective natural feed additive, improving nutrient utilization, digestibility</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 xml:space="preserve">overall productivity in Konkan </w:t>
      </w:r>
      <w:proofErr w:type="spellStart"/>
      <w:r w:rsidRPr="00A11E03">
        <w:rPr>
          <w:rFonts w:ascii="Times New Roman" w:hAnsi="Times New Roman" w:cs="Times New Roman"/>
          <w:sz w:val="24"/>
          <w:szCs w:val="24"/>
          <w:lang w:val="en-IN"/>
        </w:rPr>
        <w:t>Kanyal</w:t>
      </w:r>
      <w:proofErr w:type="spellEnd"/>
      <w:r w:rsidRPr="00A11E03">
        <w:rPr>
          <w:rFonts w:ascii="Times New Roman" w:hAnsi="Times New Roman" w:cs="Times New Roman"/>
          <w:sz w:val="24"/>
          <w:szCs w:val="24"/>
          <w:lang w:val="en-IN"/>
        </w:rPr>
        <w:t xml:space="preserve"> kids.</w:t>
      </w:r>
    </w:p>
    <w:p w14:paraId="4D4431EB" w14:textId="2B13E1A8" w:rsidR="00A11E03" w:rsidRPr="00A11E03" w:rsidRDefault="00523EE4" w:rsidP="00171FD9">
      <w:pPr>
        <w:pStyle w:val="ListParagraph"/>
        <w:spacing w:line="360" w:lineRule="auto"/>
        <w:ind w:left="0"/>
        <w:rPr>
          <w:rFonts w:ascii="Times New Roman" w:hAnsi="Times New Roman" w:cs="Times New Roman"/>
          <w:b/>
          <w:bCs/>
          <w:sz w:val="24"/>
          <w:szCs w:val="24"/>
          <w:lang w:val="en-IN"/>
        </w:rPr>
      </w:pPr>
      <w:r>
        <w:rPr>
          <w:rFonts w:ascii="Times New Roman" w:hAnsi="Times New Roman" w:cs="Times New Roman"/>
          <w:b/>
          <w:bCs/>
          <w:sz w:val="24"/>
          <w:szCs w:val="24"/>
        </w:rPr>
        <w:t xml:space="preserve">Table 8. </w:t>
      </w:r>
      <w:r w:rsidR="00A11E03" w:rsidRPr="00AE7522">
        <w:rPr>
          <w:rFonts w:ascii="Times New Roman" w:hAnsi="Times New Roman" w:cs="Times New Roman"/>
          <w:b/>
          <w:bCs/>
          <w:sz w:val="24"/>
          <w:szCs w:val="24"/>
        </w:rPr>
        <w:t>Feed conversion efficiency</w:t>
      </w:r>
    </w:p>
    <w:tbl>
      <w:tblPr>
        <w:tblW w:w="9579" w:type="dxa"/>
        <w:jc w:val="center"/>
        <w:tblLook w:val="04A0" w:firstRow="1" w:lastRow="0" w:firstColumn="1" w:lastColumn="0" w:noHBand="0" w:noVBand="1"/>
      </w:tblPr>
      <w:tblGrid>
        <w:gridCol w:w="2754"/>
        <w:gridCol w:w="1427"/>
        <w:gridCol w:w="1286"/>
        <w:gridCol w:w="1285"/>
        <w:gridCol w:w="1427"/>
        <w:gridCol w:w="1400"/>
      </w:tblGrid>
      <w:tr w:rsidR="00A11E03" w:rsidRPr="00783D56" w14:paraId="31426A7F" w14:textId="77777777" w:rsidTr="00856B7F">
        <w:trPr>
          <w:trHeight w:val="1350"/>
          <w:jc w:val="center"/>
        </w:trPr>
        <w:tc>
          <w:tcPr>
            <w:tcW w:w="2754" w:type="dxa"/>
            <w:tcBorders>
              <w:top w:val="single" w:sz="8" w:space="0" w:color="000000"/>
              <w:left w:val="single" w:sz="8" w:space="0" w:color="000000"/>
              <w:bottom w:val="single" w:sz="8" w:space="0" w:color="000000"/>
              <w:right w:val="single" w:sz="8" w:space="0" w:color="000000"/>
            </w:tcBorders>
            <w:vAlign w:val="center"/>
            <w:hideMark/>
          </w:tcPr>
          <w:p w14:paraId="1B233C49"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Treatments</w:t>
            </w:r>
          </w:p>
        </w:tc>
        <w:tc>
          <w:tcPr>
            <w:tcW w:w="1427" w:type="dxa"/>
            <w:tcBorders>
              <w:top w:val="single" w:sz="8" w:space="0" w:color="000000"/>
              <w:left w:val="nil"/>
              <w:bottom w:val="nil"/>
              <w:right w:val="single" w:sz="8" w:space="0" w:color="000000"/>
            </w:tcBorders>
            <w:vAlign w:val="center"/>
            <w:hideMark/>
          </w:tcPr>
          <w:p w14:paraId="31CC8234"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1</w:t>
            </w:r>
          </w:p>
        </w:tc>
        <w:tc>
          <w:tcPr>
            <w:tcW w:w="1286" w:type="dxa"/>
            <w:tcBorders>
              <w:top w:val="single" w:sz="8" w:space="0" w:color="000000"/>
              <w:left w:val="nil"/>
              <w:bottom w:val="nil"/>
              <w:right w:val="single" w:sz="8" w:space="0" w:color="000000"/>
            </w:tcBorders>
            <w:vAlign w:val="center"/>
            <w:hideMark/>
          </w:tcPr>
          <w:p w14:paraId="0DABDBE3"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2</w:t>
            </w:r>
          </w:p>
        </w:tc>
        <w:tc>
          <w:tcPr>
            <w:tcW w:w="1285" w:type="dxa"/>
            <w:tcBorders>
              <w:top w:val="single" w:sz="8" w:space="0" w:color="000000"/>
              <w:left w:val="nil"/>
              <w:bottom w:val="nil"/>
              <w:right w:val="single" w:sz="8" w:space="0" w:color="000000"/>
            </w:tcBorders>
            <w:vAlign w:val="center"/>
            <w:hideMark/>
          </w:tcPr>
          <w:p w14:paraId="151F4286"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3</w:t>
            </w:r>
          </w:p>
        </w:tc>
        <w:tc>
          <w:tcPr>
            <w:tcW w:w="1427" w:type="dxa"/>
            <w:tcBorders>
              <w:top w:val="single" w:sz="8" w:space="0" w:color="000000"/>
              <w:left w:val="nil"/>
              <w:bottom w:val="nil"/>
              <w:right w:val="single" w:sz="8" w:space="0" w:color="000000"/>
            </w:tcBorders>
            <w:vAlign w:val="center"/>
            <w:hideMark/>
          </w:tcPr>
          <w:p w14:paraId="6B47C4DA"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4</w:t>
            </w:r>
          </w:p>
        </w:tc>
        <w:tc>
          <w:tcPr>
            <w:tcW w:w="1398" w:type="dxa"/>
            <w:tcBorders>
              <w:top w:val="single" w:sz="8" w:space="0" w:color="000000"/>
              <w:left w:val="nil"/>
              <w:bottom w:val="nil"/>
              <w:right w:val="single" w:sz="8" w:space="0" w:color="000000"/>
            </w:tcBorders>
            <w:vAlign w:val="center"/>
            <w:hideMark/>
          </w:tcPr>
          <w:p w14:paraId="3B57C58C" w14:textId="77777777" w:rsidR="00A11E03" w:rsidRPr="00783D56" w:rsidRDefault="00A11E03" w:rsidP="00A248C6">
            <w:pPr>
              <w:jc w:val="center"/>
              <w:rPr>
                <w:rFonts w:ascii="Times New Roman" w:hAnsi="Times New Roman" w:cs="Times New Roman"/>
                <w:b/>
                <w:bCs/>
                <w:sz w:val="24"/>
                <w:szCs w:val="24"/>
                <w:vertAlign w:val="subscript"/>
                <w:lang w:val="en-IN"/>
              </w:rPr>
            </w:pPr>
            <w:r w:rsidRPr="00783D56">
              <w:rPr>
                <w:rFonts w:ascii="Times New Roman" w:hAnsi="Times New Roman" w:cs="Times New Roman"/>
                <w:b/>
                <w:bCs/>
                <w:sz w:val="24"/>
                <w:szCs w:val="24"/>
                <w:lang w:val="en-IN"/>
              </w:rPr>
              <w:t>T</w:t>
            </w:r>
            <w:r w:rsidRPr="00783D56">
              <w:rPr>
                <w:rFonts w:ascii="Times New Roman" w:hAnsi="Times New Roman" w:cs="Times New Roman"/>
                <w:b/>
                <w:bCs/>
                <w:sz w:val="24"/>
                <w:szCs w:val="24"/>
                <w:vertAlign w:val="subscript"/>
                <w:lang w:val="en-IN"/>
              </w:rPr>
              <w:t>5</w:t>
            </w:r>
          </w:p>
        </w:tc>
      </w:tr>
      <w:tr w:rsidR="00A11E03" w:rsidRPr="00783D56" w14:paraId="2A2FFD2B" w14:textId="77777777" w:rsidTr="00856B7F">
        <w:trPr>
          <w:trHeight w:val="911"/>
          <w:jc w:val="center"/>
        </w:trPr>
        <w:tc>
          <w:tcPr>
            <w:tcW w:w="2754" w:type="dxa"/>
            <w:tcBorders>
              <w:top w:val="nil"/>
              <w:left w:val="single" w:sz="8" w:space="0" w:color="000000"/>
              <w:bottom w:val="single" w:sz="8" w:space="0" w:color="000000"/>
              <w:right w:val="nil"/>
            </w:tcBorders>
            <w:vAlign w:val="center"/>
            <w:hideMark/>
          </w:tcPr>
          <w:p w14:paraId="5BFC4D6C"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Feed conversion efficiency (%)</w:t>
            </w:r>
          </w:p>
        </w:tc>
        <w:tc>
          <w:tcPr>
            <w:tcW w:w="1427" w:type="dxa"/>
            <w:tcBorders>
              <w:top w:val="single" w:sz="8" w:space="0" w:color="auto"/>
              <w:left w:val="single" w:sz="8" w:space="0" w:color="auto"/>
              <w:bottom w:val="single" w:sz="8" w:space="0" w:color="auto"/>
              <w:right w:val="single" w:sz="8" w:space="0" w:color="000000"/>
            </w:tcBorders>
            <w:vAlign w:val="center"/>
            <w:hideMark/>
          </w:tcPr>
          <w:p w14:paraId="7933066B"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9.50</w:t>
            </w:r>
            <w:r w:rsidRPr="00210C33">
              <w:rPr>
                <w:rFonts w:ascii="Times New Roman" w:hAnsi="Times New Roman" w:cs="Times New Roman"/>
                <w:sz w:val="28"/>
                <w:szCs w:val="28"/>
                <w:vertAlign w:val="superscript"/>
                <w:lang w:val="en-IN"/>
              </w:rPr>
              <w:t>d</w:t>
            </w:r>
          </w:p>
        </w:tc>
        <w:tc>
          <w:tcPr>
            <w:tcW w:w="1286" w:type="dxa"/>
            <w:tcBorders>
              <w:top w:val="single" w:sz="8" w:space="0" w:color="auto"/>
              <w:left w:val="nil"/>
              <w:bottom w:val="single" w:sz="8" w:space="0" w:color="auto"/>
              <w:right w:val="single" w:sz="8" w:space="0" w:color="000000"/>
            </w:tcBorders>
            <w:vAlign w:val="center"/>
            <w:hideMark/>
          </w:tcPr>
          <w:p w14:paraId="358A1D13"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9.74</w:t>
            </w:r>
            <w:r w:rsidRPr="00210C33">
              <w:rPr>
                <w:rFonts w:ascii="Times New Roman" w:hAnsi="Times New Roman" w:cs="Times New Roman"/>
                <w:sz w:val="28"/>
                <w:szCs w:val="28"/>
                <w:vertAlign w:val="superscript"/>
                <w:lang w:val="en-IN"/>
              </w:rPr>
              <w:t>c</w:t>
            </w:r>
          </w:p>
        </w:tc>
        <w:tc>
          <w:tcPr>
            <w:tcW w:w="1285" w:type="dxa"/>
            <w:tcBorders>
              <w:top w:val="single" w:sz="8" w:space="0" w:color="auto"/>
              <w:left w:val="nil"/>
              <w:bottom w:val="single" w:sz="8" w:space="0" w:color="auto"/>
              <w:right w:val="single" w:sz="8" w:space="0" w:color="000000"/>
            </w:tcBorders>
            <w:vAlign w:val="center"/>
            <w:hideMark/>
          </w:tcPr>
          <w:p w14:paraId="0E8A3274"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10.14</w:t>
            </w:r>
            <w:r w:rsidRPr="00210C33">
              <w:rPr>
                <w:rFonts w:ascii="Times New Roman" w:hAnsi="Times New Roman" w:cs="Times New Roman"/>
                <w:sz w:val="28"/>
                <w:szCs w:val="28"/>
                <w:vertAlign w:val="superscript"/>
                <w:lang w:val="en-IN"/>
              </w:rPr>
              <w:t>b</w:t>
            </w:r>
          </w:p>
        </w:tc>
        <w:tc>
          <w:tcPr>
            <w:tcW w:w="1427" w:type="dxa"/>
            <w:tcBorders>
              <w:top w:val="single" w:sz="8" w:space="0" w:color="auto"/>
              <w:left w:val="nil"/>
              <w:bottom w:val="single" w:sz="8" w:space="0" w:color="auto"/>
              <w:right w:val="single" w:sz="8" w:space="0" w:color="000000"/>
            </w:tcBorders>
            <w:vAlign w:val="center"/>
            <w:hideMark/>
          </w:tcPr>
          <w:p w14:paraId="66BE49BB"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11.45</w:t>
            </w:r>
            <w:r w:rsidRPr="00210C33">
              <w:rPr>
                <w:rFonts w:ascii="Times New Roman" w:hAnsi="Times New Roman" w:cs="Times New Roman"/>
                <w:sz w:val="28"/>
                <w:szCs w:val="28"/>
                <w:vertAlign w:val="superscript"/>
                <w:lang w:val="en-IN"/>
              </w:rPr>
              <w:t>a</w:t>
            </w:r>
          </w:p>
        </w:tc>
        <w:tc>
          <w:tcPr>
            <w:tcW w:w="1398" w:type="dxa"/>
            <w:tcBorders>
              <w:top w:val="single" w:sz="8" w:space="0" w:color="auto"/>
              <w:left w:val="nil"/>
              <w:bottom w:val="single" w:sz="8" w:space="0" w:color="auto"/>
              <w:right w:val="single" w:sz="8" w:space="0" w:color="auto"/>
            </w:tcBorders>
            <w:vAlign w:val="center"/>
            <w:hideMark/>
          </w:tcPr>
          <w:p w14:paraId="2D1F709D"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10.81</w:t>
            </w:r>
            <w:r w:rsidRPr="00210C33">
              <w:rPr>
                <w:rFonts w:ascii="Times New Roman" w:hAnsi="Times New Roman" w:cs="Times New Roman"/>
                <w:sz w:val="28"/>
                <w:szCs w:val="28"/>
                <w:vertAlign w:val="superscript"/>
                <w:lang w:val="en-IN"/>
              </w:rPr>
              <w:t>ab</w:t>
            </w:r>
          </w:p>
        </w:tc>
      </w:tr>
      <w:tr w:rsidR="00A11E03" w:rsidRPr="00783D56" w14:paraId="3B862AA6" w14:textId="77777777" w:rsidTr="00856B7F">
        <w:trPr>
          <w:trHeight w:val="675"/>
          <w:jc w:val="center"/>
        </w:trPr>
        <w:tc>
          <w:tcPr>
            <w:tcW w:w="2754" w:type="dxa"/>
            <w:tcBorders>
              <w:top w:val="nil"/>
              <w:left w:val="single" w:sz="8" w:space="0" w:color="000000"/>
              <w:bottom w:val="single" w:sz="8" w:space="0" w:color="000000"/>
              <w:right w:val="nil"/>
            </w:tcBorders>
            <w:vAlign w:val="center"/>
            <w:hideMark/>
          </w:tcPr>
          <w:p w14:paraId="0E103510"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SE ±</w:t>
            </w:r>
          </w:p>
        </w:tc>
        <w:tc>
          <w:tcPr>
            <w:tcW w:w="6825" w:type="dxa"/>
            <w:gridSpan w:val="5"/>
            <w:tcBorders>
              <w:top w:val="single" w:sz="8" w:space="0" w:color="auto"/>
              <w:left w:val="single" w:sz="8" w:space="0" w:color="auto"/>
              <w:bottom w:val="single" w:sz="8" w:space="0" w:color="auto"/>
              <w:right w:val="single" w:sz="8" w:space="0" w:color="000000"/>
            </w:tcBorders>
            <w:vAlign w:val="center"/>
            <w:hideMark/>
          </w:tcPr>
          <w:p w14:paraId="1ED06382"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0.16</w:t>
            </w:r>
          </w:p>
        </w:tc>
      </w:tr>
      <w:tr w:rsidR="00A11E03" w:rsidRPr="00783D56" w14:paraId="2A494580" w14:textId="77777777" w:rsidTr="00856B7F">
        <w:trPr>
          <w:trHeight w:val="794"/>
          <w:jc w:val="center"/>
        </w:trPr>
        <w:tc>
          <w:tcPr>
            <w:tcW w:w="2754" w:type="dxa"/>
            <w:tcBorders>
              <w:top w:val="nil"/>
              <w:left w:val="single" w:sz="8" w:space="0" w:color="000000"/>
              <w:bottom w:val="single" w:sz="8" w:space="0" w:color="000000"/>
              <w:right w:val="nil"/>
            </w:tcBorders>
            <w:vAlign w:val="center"/>
            <w:hideMark/>
          </w:tcPr>
          <w:p w14:paraId="251EF387" w14:textId="77777777" w:rsidR="00A11E03" w:rsidRPr="00783D56" w:rsidRDefault="00A11E03" w:rsidP="00A248C6">
            <w:pPr>
              <w:jc w:val="center"/>
              <w:rPr>
                <w:rFonts w:ascii="Times New Roman" w:hAnsi="Times New Roman" w:cs="Times New Roman"/>
                <w:b/>
                <w:bCs/>
                <w:sz w:val="24"/>
                <w:szCs w:val="24"/>
                <w:lang w:val="en-IN"/>
              </w:rPr>
            </w:pPr>
            <w:r w:rsidRPr="00783D56">
              <w:rPr>
                <w:rFonts w:ascii="Times New Roman" w:hAnsi="Times New Roman" w:cs="Times New Roman"/>
                <w:b/>
                <w:bCs/>
                <w:sz w:val="24"/>
                <w:szCs w:val="24"/>
                <w:lang w:val="en-IN"/>
              </w:rPr>
              <w:t>CD (5%)</w:t>
            </w:r>
          </w:p>
        </w:tc>
        <w:tc>
          <w:tcPr>
            <w:tcW w:w="6825" w:type="dxa"/>
            <w:gridSpan w:val="5"/>
            <w:tcBorders>
              <w:top w:val="nil"/>
              <w:left w:val="single" w:sz="8" w:space="0" w:color="auto"/>
              <w:bottom w:val="single" w:sz="8" w:space="0" w:color="auto"/>
              <w:right w:val="single" w:sz="8" w:space="0" w:color="000000"/>
            </w:tcBorders>
            <w:vAlign w:val="center"/>
            <w:hideMark/>
          </w:tcPr>
          <w:p w14:paraId="2F7157FD" w14:textId="77777777" w:rsidR="00A11E03" w:rsidRPr="00783D56" w:rsidRDefault="00A11E03" w:rsidP="00A248C6">
            <w:pPr>
              <w:jc w:val="center"/>
              <w:rPr>
                <w:rFonts w:ascii="Times New Roman" w:hAnsi="Times New Roman" w:cs="Times New Roman"/>
                <w:sz w:val="24"/>
                <w:szCs w:val="24"/>
                <w:lang w:val="en-IN"/>
              </w:rPr>
            </w:pPr>
            <w:r w:rsidRPr="00783D56">
              <w:rPr>
                <w:rFonts w:ascii="Times New Roman" w:hAnsi="Times New Roman" w:cs="Times New Roman"/>
                <w:sz w:val="24"/>
                <w:szCs w:val="24"/>
                <w:lang w:val="en-IN"/>
              </w:rPr>
              <w:t>0.50</w:t>
            </w:r>
          </w:p>
        </w:tc>
      </w:tr>
    </w:tbl>
    <w:p w14:paraId="74B0FCA1" w14:textId="77777777" w:rsidR="00A11E03" w:rsidRPr="00022F26" w:rsidRDefault="00A11E03"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sidRPr="004C1018">
        <w:rPr>
          <w:rFonts w:ascii="Times New Roman" w:hAnsi="Times New Roman" w:cs="Times New Roman"/>
        </w:rPr>
        <w:t>Numbers having different superscripts differed from each other</w:t>
      </w:r>
    </w:p>
    <w:p w14:paraId="45CF7042" w14:textId="5DB0EC8E" w:rsidR="00445A51" w:rsidRDefault="00A11E03" w:rsidP="00A11E03">
      <w:pPr>
        <w:spacing w:line="360" w:lineRule="auto"/>
        <w:ind w:firstLine="737"/>
        <w:rPr>
          <w:rFonts w:ascii="Times New Roman" w:hAnsi="Times New Roman" w:cs="Times New Roman"/>
          <w:sz w:val="24"/>
          <w:szCs w:val="24"/>
        </w:rPr>
      </w:pPr>
      <w:r w:rsidRPr="008A0820">
        <w:rPr>
          <w:rFonts w:ascii="Times New Roman" w:hAnsi="Times New Roman" w:cs="Times New Roman"/>
          <w:sz w:val="24"/>
          <w:szCs w:val="24"/>
        </w:rPr>
        <w:lastRenderedPageBreak/>
        <w:t xml:space="preserve">In the present study, the feed conversion efficiency (FCE) was </w:t>
      </w:r>
      <w:r>
        <w:rPr>
          <w:rFonts w:ascii="Times New Roman" w:hAnsi="Times New Roman" w:cs="Times New Roman"/>
          <w:sz w:val="24"/>
          <w:szCs w:val="24"/>
        </w:rPr>
        <w:t xml:space="preserve">significantly </w:t>
      </w:r>
      <w:r w:rsidRPr="008A0820">
        <w:rPr>
          <w:rFonts w:ascii="Times New Roman" w:hAnsi="Times New Roman" w:cs="Times New Roman"/>
          <w:sz w:val="24"/>
          <w:szCs w:val="24"/>
        </w:rPr>
        <w:t>high in T</w:t>
      </w:r>
      <w:r w:rsidRPr="008A0820">
        <w:rPr>
          <w:rFonts w:ascii="Times New Roman" w:hAnsi="Times New Roman" w:cs="Times New Roman"/>
          <w:sz w:val="24"/>
          <w:szCs w:val="24"/>
          <w:vertAlign w:val="subscript"/>
        </w:rPr>
        <w:t>4</w:t>
      </w:r>
      <w:r w:rsidRPr="008A0820">
        <w:rPr>
          <w:rFonts w:ascii="Times New Roman" w:hAnsi="Times New Roman" w:cs="Times New Roman"/>
          <w:sz w:val="24"/>
          <w:szCs w:val="24"/>
        </w:rPr>
        <w:t xml:space="preserve"> (11.45%), indicating the most efficient feed utilization, followed by T</w:t>
      </w:r>
      <w:r w:rsidRPr="008A0820">
        <w:rPr>
          <w:rFonts w:ascii="Times New Roman" w:hAnsi="Times New Roman" w:cs="Times New Roman"/>
          <w:sz w:val="24"/>
          <w:szCs w:val="24"/>
          <w:vertAlign w:val="subscript"/>
        </w:rPr>
        <w:t>5</w:t>
      </w:r>
      <w:r w:rsidRPr="008A0820">
        <w:rPr>
          <w:rFonts w:ascii="Times New Roman" w:hAnsi="Times New Roman" w:cs="Times New Roman"/>
          <w:sz w:val="24"/>
          <w:szCs w:val="24"/>
        </w:rPr>
        <w:t xml:space="preserve"> (10.81%), T</w:t>
      </w:r>
      <w:r w:rsidRPr="008A0820">
        <w:rPr>
          <w:rFonts w:ascii="Times New Roman" w:hAnsi="Times New Roman" w:cs="Times New Roman"/>
          <w:sz w:val="24"/>
          <w:szCs w:val="24"/>
          <w:vertAlign w:val="subscript"/>
        </w:rPr>
        <w:t>3</w:t>
      </w:r>
      <w:r w:rsidRPr="008A0820">
        <w:rPr>
          <w:rFonts w:ascii="Times New Roman" w:hAnsi="Times New Roman" w:cs="Times New Roman"/>
          <w:sz w:val="24"/>
          <w:szCs w:val="24"/>
        </w:rPr>
        <w:t xml:space="preserve"> (10.14%)</w:t>
      </w:r>
      <w:r>
        <w:rPr>
          <w:rFonts w:ascii="Times New Roman" w:hAnsi="Times New Roman" w:cs="Times New Roman"/>
          <w:sz w:val="24"/>
          <w:szCs w:val="24"/>
        </w:rPr>
        <w:t xml:space="preserve"> and</w:t>
      </w:r>
      <w:r w:rsidRPr="008A0820">
        <w:rPr>
          <w:rFonts w:ascii="Times New Roman" w:hAnsi="Times New Roman" w:cs="Times New Roman"/>
          <w:sz w:val="24"/>
          <w:szCs w:val="24"/>
        </w:rPr>
        <w:t xml:space="preserve"> T</w:t>
      </w:r>
      <w:r w:rsidRPr="008A0820">
        <w:rPr>
          <w:rFonts w:ascii="Times New Roman" w:hAnsi="Times New Roman" w:cs="Times New Roman"/>
          <w:sz w:val="24"/>
          <w:szCs w:val="24"/>
          <w:vertAlign w:val="subscript"/>
        </w:rPr>
        <w:t>2</w:t>
      </w:r>
      <w:r w:rsidRPr="008A0820">
        <w:rPr>
          <w:rFonts w:ascii="Times New Roman" w:hAnsi="Times New Roman" w:cs="Times New Roman"/>
          <w:sz w:val="24"/>
          <w:szCs w:val="24"/>
        </w:rPr>
        <w:t xml:space="preserve"> (9.74%). The lowest FCE was recorded in the control group, T</w:t>
      </w:r>
      <w:r w:rsidRPr="008A0820">
        <w:rPr>
          <w:rFonts w:ascii="Times New Roman" w:hAnsi="Times New Roman" w:cs="Times New Roman"/>
          <w:sz w:val="24"/>
          <w:szCs w:val="24"/>
          <w:vertAlign w:val="subscript"/>
        </w:rPr>
        <w:t>1</w:t>
      </w:r>
      <w:r w:rsidRPr="008A0820">
        <w:rPr>
          <w:rFonts w:ascii="Times New Roman" w:hAnsi="Times New Roman" w:cs="Times New Roman"/>
          <w:sz w:val="24"/>
          <w:szCs w:val="24"/>
        </w:rPr>
        <w:t xml:space="preserve"> (9.50%), suggesting that the treatments improved feed efficiency compared to the untreated group.</w:t>
      </w:r>
    </w:p>
    <w:p w14:paraId="608FD613" w14:textId="3616E69C" w:rsidR="00A11E03" w:rsidRPr="00523EE4" w:rsidRDefault="00523EE4" w:rsidP="00171FD9">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9. </w:t>
      </w:r>
      <w:r w:rsidR="00A11E03" w:rsidRPr="00523EE4">
        <w:rPr>
          <w:rFonts w:ascii="Times New Roman" w:hAnsi="Times New Roman" w:cs="Times New Roman"/>
          <w:b/>
          <w:bCs/>
          <w:sz w:val="24"/>
          <w:szCs w:val="24"/>
        </w:rPr>
        <w:t>Feed conversion ratio (FCR)</w:t>
      </w:r>
    </w:p>
    <w:tbl>
      <w:tblPr>
        <w:tblW w:w="9420" w:type="dxa"/>
        <w:jc w:val="center"/>
        <w:tblLook w:val="04A0" w:firstRow="1" w:lastRow="0" w:firstColumn="1" w:lastColumn="0" w:noHBand="0" w:noVBand="1"/>
      </w:tblPr>
      <w:tblGrid>
        <w:gridCol w:w="1561"/>
        <w:gridCol w:w="3146"/>
        <w:gridCol w:w="2948"/>
        <w:gridCol w:w="1765"/>
      </w:tblGrid>
      <w:tr w:rsidR="00A11E03" w:rsidRPr="00F257B0" w14:paraId="27F07626" w14:textId="77777777" w:rsidTr="00856B7F">
        <w:trPr>
          <w:trHeight w:val="502"/>
          <w:jc w:val="center"/>
        </w:trPr>
        <w:tc>
          <w:tcPr>
            <w:tcW w:w="1561" w:type="dxa"/>
            <w:tcBorders>
              <w:top w:val="single" w:sz="4" w:space="0" w:color="auto"/>
              <w:left w:val="single" w:sz="4" w:space="0" w:color="auto"/>
              <w:bottom w:val="single" w:sz="4" w:space="0" w:color="auto"/>
              <w:right w:val="single" w:sz="4" w:space="0" w:color="auto"/>
            </w:tcBorders>
            <w:noWrap/>
            <w:vAlign w:val="center"/>
            <w:hideMark/>
          </w:tcPr>
          <w:p w14:paraId="6D41315C"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Treatments</w:t>
            </w:r>
          </w:p>
        </w:tc>
        <w:tc>
          <w:tcPr>
            <w:tcW w:w="3146" w:type="dxa"/>
            <w:tcBorders>
              <w:top w:val="single" w:sz="4" w:space="0" w:color="auto"/>
              <w:left w:val="nil"/>
              <w:bottom w:val="single" w:sz="4" w:space="0" w:color="auto"/>
              <w:right w:val="single" w:sz="4" w:space="0" w:color="auto"/>
            </w:tcBorders>
            <w:noWrap/>
            <w:vAlign w:val="center"/>
            <w:hideMark/>
          </w:tcPr>
          <w:p w14:paraId="790F7547"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Total body w</w:t>
            </w:r>
            <w:r>
              <w:rPr>
                <w:rFonts w:ascii="Times New Roman" w:eastAsia="Times New Roman" w:hAnsi="Times New Roman" w:cs="Times New Roman"/>
                <w:b/>
                <w:bCs/>
                <w:color w:val="000000"/>
                <w:sz w:val="24"/>
                <w:szCs w:val="24"/>
                <w:lang w:val="en-IN" w:eastAsia="en-IN" w:bidi="hi-IN"/>
              </w:rPr>
              <w:t>eigh</w:t>
            </w:r>
            <w:r w:rsidRPr="00F257B0">
              <w:rPr>
                <w:rFonts w:ascii="Times New Roman" w:eastAsia="Times New Roman" w:hAnsi="Times New Roman" w:cs="Times New Roman"/>
                <w:b/>
                <w:bCs/>
                <w:color w:val="000000"/>
                <w:sz w:val="24"/>
                <w:szCs w:val="24"/>
                <w:lang w:val="en-IN" w:eastAsia="en-IN" w:bidi="hi-IN"/>
              </w:rPr>
              <w:t>t gain kg</w:t>
            </w:r>
          </w:p>
        </w:tc>
        <w:tc>
          <w:tcPr>
            <w:tcW w:w="2948" w:type="dxa"/>
            <w:tcBorders>
              <w:top w:val="single" w:sz="4" w:space="0" w:color="auto"/>
              <w:left w:val="nil"/>
              <w:bottom w:val="single" w:sz="4" w:space="0" w:color="auto"/>
              <w:right w:val="single" w:sz="4" w:space="0" w:color="auto"/>
            </w:tcBorders>
            <w:noWrap/>
            <w:vAlign w:val="center"/>
            <w:hideMark/>
          </w:tcPr>
          <w:p w14:paraId="6113237F"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Total feed consumption DM</w:t>
            </w:r>
          </w:p>
        </w:tc>
        <w:tc>
          <w:tcPr>
            <w:tcW w:w="1765" w:type="dxa"/>
            <w:tcBorders>
              <w:top w:val="single" w:sz="4" w:space="0" w:color="auto"/>
              <w:left w:val="nil"/>
              <w:bottom w:val="single" w:sz="4" w:space="0" w:color="auto"/>
              <w:right w:val="single" w:sz="4" w:space="0" w:color="auto"/>
            </w:tcBorders>
            <w:noWrap/>
            <w:vAlign w:val="center"/>
            <w:hideMark/>
          </w:tcPr>
          <w:p w14:paraId="36459EF9"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FCR</w:t>
            </w:r>
          </w:p>
        </w:tc>
      </w:tr>
      <w:tr w:rsidR="00A11E03" w:rsidRPr="00F257B0" w14:paraId="2D482505" w14:textId="77777777" w:rsidTr="00856B7F">
        <w:trPr>
          <w:trHeight w:val="321"/>
          <w:jc w:val="center"/>
        </w:trPr>
        <w:tc>
          <w:tcPr>
            <w:tcW w:w="1561" w:type="dxa"/>
            <w:tcBorders>
              <w:top w:val="nil"/>
              <w:left w:val="single" w:sz="4" w:space="0" w:color="auto"/>
              <w:bottom w:val="single" w:sz="4" w:space="0" w:color="auto"/>
              <w:right w:val="single" w:sz="4" w:space="0" w:color="auto"/>
            </w:tcBorders>
            <w:noWrap/>
            <w:vAlign w:val="center"/>
            <w:hideMark/>
          </w:tcPr>
          <w:p w14:paraId="4EF1526A"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1</w:t>
            </w:r>
          </w:p>
        </w:tc>
        <w:tc>
          <w:tcPr>
            <w:tcW w:w="3146" w:type="dxa"/>
            <w:tcBorders>
              <w:top w:val="nil"/>
              <w:left w:val="nil"/>
              <w:bottom w:val="single" w:sz="4" w:space="0" w:color="auto"/>
              <w:right w:val="single" w:sz="4" w:space="0" w:color="auto"/>
            </w:tcBorders>
            <w:noWrap/>
            <w:vAlign w:val="center"/>
            <w:hideMark/>
          </w:tcPr>
          <w:p w14:paraId="1AF398B5"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5.43</w:t>
            </w:r>
            <w:r w:rsidRPr="00D078E7">
              <w:rPr>
                <w:rFonts w:ascii="Times New Roman" w:eastAsia="Times New Roman" w:hAnsi="Times New Roman" w:cs="Times New Roman"/>
                <w:color w:val="000000"/>
                <w:sz w:val="28"/>
                <w:szCs w:val="28"/>
                <w:vertAlign w:val="superscript"/>
                <w:lang w:val="en-IN" w:eastAsia="en-IN" w:bidi="hi-IN"/>
              </w:rPr>
              <w:t>c</w:t>
            </w:r>
          </w:p>
        </w:tc>
        <w:tc>
          <w:tcPr>
            <w:tcW w:w="2948" w:type="dxa"/>
            <w:tcBorders>
              <w:top w:val="nil"/>
              <w:left w:val="nil"/>
              <w:bottom w:val="single" w:sz="4" w:space="0" w:color="auto"/>
              <w:right w:val="single" w:sz="4" w:space="0" w:color="auto"/>
            </w:tcBorders>
            <w:noWrap/>
            <w:vAlign w:val="center"/>
            <w:hideMark/>
          </w:tcPr>
          <w:p w14:paraId="0E361653"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62.80</w:t>
            </w:r>
          </w:p>
        </w:tc>
        <w:tc>
          <w:tcPr>
            <w:tcW w:w="1765" w:type="dxa"/>
            <w:tcBorders>
              <w:top w:val="nil"/>
              <w:left w:val="nil"/>
              <w:bottom w:val="single" w:sz="4" w:space="0" w:color="auto"/>
              <w:right w:val="single" w:sz="4" w:space="0" w:color="auto"/>
            </w:tcBorders>
            <w:noWrap/>
            <w:vAlign w:val="center"/>
            <w:hideMark/>
          </w:tcPr>
          <w:p w14:paraId="4C0314F7"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11.58</w:t>
            </w:r>
            <w:r w:rsidRPr="00D078E7">
              <w:rPr>
                <w:rFonts w:ascii="Times New Roman" w:eastAsia="Times New Roman" w:hAnsi="Times New Roman" w:cs="Times New Roman"/>
                <w:color w:val="000000"/>
                <w:sz w:val="28"/>
                <w:szCs w:val="28"/>
                <w:vertAlign w:val="superscript"/>
                <w:lang w:val="en-IN" w:eastAsia="en-IN" w:bidi="hi-IN"/>
              </w:rPr>
              <w:t>a</w:t>
            </w:r>
          </w:p>
        </w:tc>
      </w:tr>
      <w:tr w:rsidR="00A11E03" w:rsidRPr="00F257B0" w14:paraId="276646DE" w14:textId="77777777" w:rsidTr="00856B7F">
        <w:trPr>
          <w:trHeight w:val="321"/>
          <w:jc w:val="center"/>
        </w:trPr>
        <w:tc>
          <w:tcPr>
            <w:tcW w:w="1561" w:type="dxa"/>
            <w:tcBorders>
              <w:top w:val="nil"/>
              <w:left w:val="single" w:sz="4" w:space="0" w:color="auto"/>
              <w:bottom w:val="single" w:sz="4" w:space="0" w:color="auto"/>
              <w:right w:val="single" w:sz="4" w:space="0" w:color="auto"/>
            </w:tcBorders>
            <w:noWrap/>
            <w:vAlign w:val="center"/>
            <w:hideMark/>
          </w:tcPr>
          <w:p w14:paraId="43C0E9C3"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2</w:t>
            </w:r>
          </w:p>
        </w:tc>
        <w:tc>
          <w:tcPr>
            <w:tcW w:w="3146" w:type="dxa"/>
            <w:tcBorders>
              <w:top w:val="nil"/>
              <w:left w:val="nil"/>
              <w:bottom w:val="single" w:sz="4" w:space="0" w:color="auto"/>
              <w:right w:val="single" w:sz="4" w:space="0" w:color="auto"/>
            </w:tcBorders>
            <w:noWrap/>
            <w:vAlign w:val="center"/>
            <w:hideMark/>
          </w:tcPr>
          <w:p w14:paraId="5AD4B97A"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5.65</w:t>
            </w:r>
            <w:r w:rsidRPr="00D078E7">
              <w:rPr>
                <w:rFonts w:ascii="Times New Roman" w:eastAsia="Times New Roman" w:hAnsi="Times New Roman" w:cs="Times New Roman"/>
                <w:color w:val="000000"/>
                <w:sz w:val="28"/>
                <w:szCs w:val="28"/>
                <w:vertAlign w:val="superscript"/>
                <w:lang w:val="en-IN" w:eastAsia="en-IN" w:bidi="hi-IN"/>
              </w:rPr>
              <w:t>bc</w:t>
            </w:r>
          </w:p>
        </w:tc>
        <w:tc>
          <w:tcPr>
            <w:tcW w:w="2948" w:type="dxa"/>
            <w:tcBorders>
              <w:top w:val="nil"/>
              <w:left w:val="nil"/>
              <w:bottom w:val="single" w:sz="4" w:space="0" w:color="auto"/>
              <w:right w:val="single" w:sz="4" w:space="0" w:color="auto"/>
            </w:tcBorders>
            <w:noWrap/>
            <w:vAlign w:val="center"/>
            <w:hideMark/>
          </w:tcPr>
          <w:p w14:paraId="2DDC5CC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64.20</w:t>
            </w:r>
          </w:p>
        </w:tc>
        <w:tc>
          <w:tcPr>
            <w:tcW w:w="1765" w:type="dxa"/>
            <w:tcBorders>
              <w:top w:val="nil"/>
              <w:left w:val="nil"/>
              <w:bottom w:val="single" w:sz="4" w:space="0" w:color="auto"/>
              <w:right w:val="single" w:sz="4" w:space="0" w:color="auto"/>
            </w:tcBorders>
            <w:noWrap/>
            <w:vAlign w:val="center"/>
            <w:hideMark/>
          </w:tcPr>
          <w:p w14:paraId="79E027DD"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11.36</w:t>
            </w:r>
            <w:r w:rsidRPr="00D078E7">
              <w:rPr>
                <w:rFonts w:ascii="Times New Roman" w:eastAsia="Times New Roman" w:hAnsi="Times New Roman" w:cs="Times New Roman"/>
                <w:color w:val="000000"/>
                <w:sz w:val="28"/>
                <w:szCs w:val="28"/>
                <w:vertAlign w:val="superscript"/>
                <w:lang w:val="en-IN" w:eastAsia="en-IN" w:bidi="hi-IN"/>
              </w:rPr>
              <w:t>a</w:t>
            </w:r>
          </w:p>
        </w:tc>
      </w:tr>
      <w:tr w:rsidR="00A11E03" w:rsidRPr="00F257B0" w14:paraId="3F0383F3" w14:textId="77777777" w:rsidTr="00856B7F">
        <w:trPr>
          <w:trHeight w:val="321"/>
          <w:jc w:val="center"/>
        </w:trPr>
        <w:tc>
          <w:tcPr>
            <w:tcW w:w="1561" w:type="dxa"/>
            <w:tcBorders>
              <w:top w:val="nil"/>
              <w:left w:val="single" w:sz="4" w:space="0" w:color="auto"/>
              <w:bottom w:val="single" w:sz="4" w:space="0" w:color="auto"/>
              <w:right w:val="single" w:sz="4" w:space="0" w:color="auto"/>
            </w:tcBorders>
            <w:noWrap/>
            <w:vAlign w:val="center"/>
            <w:hideMark/>
          </w:tcPr>
          <w:p w14:paraId="19B9769C"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3</w:t>
            </w:r>
          </w:p>
        </w:tc>
        <w:tc>
          <w:tcPr>
            <w:tcW w:w="3146" w:type="dxa"/>
            <w:tcBorders>
              <w:top w:val="nil"/>
              <w:left w:val="nil"/>
              <w:bottom w:val="single" w:sz="4" w:space="0" w:color="auto"/>
              <w:right w:val="single" w:sz="4" w:space="0" w:color="auto"/>
            </w:tcBorders>
            <w:noWrap/>
            <w:vAlign w:val="center"/>
            <w:hideMark/>
          </w:tcPr>
          <w:p w14:paraId="7B080ED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5.88</w:t>
            </w:r>
            <w:r w:rsidRPr="00D078E7">
              <w:rPr>
                <w:rFonts w:ascii="Times New Roman" w:eastAsia="Times New Roman" w:hAnsi="Times New Roman" w:cs="Times New Roman"/>
                <w:color w:val="000000"/>
                <w:sz w:val="28"/>
                <w:szCs w:val="28"/>
                <w:vertAlign w:val="superscript"/>
                <w:lang w:val="en-IN" w:eastAsia="en-IN" w:bidi="hi-IN"/>
              </w:rPr>
              <w:t>b</w:t>
            </w:r>
          </w:p>
        </w:tc>
        <w:tc>
          <w:tcPr>
            <w:tcW w:w="2948" w:type="dxa"/>
            <w:tcBorders>
              <w:top w:val="nil"/>
              <w:left w:val="nil"/>
              <w:bottom w:val="single" w:sz="4" w:space="0" w:color="auto"/>
              <w:right w:val="single" w:sz="4" w:space="0" w:color="auto"/>
            </w:tcBorders>
            <w:noWrap/>
            <w:vAlign w:val="center"/>
            <w:hideMark/>
          </w:tcPr>
          <w:p w14:paraId="7F2E5BF1"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63.38</w:t>
            </w:r>
          </w:p>
        </w:tc>
        <w:tc>
          <w:tcPr>
            <w:tcW w:w="1765" w:type="dxa"/>
            <w:tcBorders>
              <w:top w:val="nil"/>
              <w:left w:val="nil"/>
              <w:bottom w:val="single" w:sz="4" w:space="0" w:color="auto"/>
              <w:right w:val="single" w:sz="4" w:space="0" w:color="auto"/>
            </w:tcBorders>
            <w:noWrap/>
            <w:vAlign w:val="center"/>
            <w:hideMark/>
          </w:tcPr>
          <w:p w14:paraId="308A26E9"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10.79</w:t>
            </w:r>
            <w:r w:rsidRPr="00D078E7">
              <w:rPr>
                <w:rFonts w:ascii="Times New Roman" w:eastAsia="Times New Roman" w:hAnsi="Times New Roman" w:cs="Times New Roman"/>
                <w:color w:val="000000"/>
                <w:sz w:val="28"/>
                <w:szCs w:val="28"/>
                <w:vertAlign w:val="superscript"/>
                <w:lang w:val="en-IN" w:eastAsia="en-IN" w:bidi="hi-IN"/>
              </w:rPr>
              <w:t>b</w:t>
            </w:r>
          </w:p>
        </w:tc>
      </w:tr>
      <w:tr w:rsidR="00A11E03" w:rsidRPr="00F257B0" w14:paraId="0206EDF5" w14:textId="77777777" w:rsidTr="00856B7F">
        <w:trPr>
          <w:trHeight w:val="321"/>
          <w:jc w:val="center"/>
        </w:trPr>
        <w:tc>
          <w:tcPr>
            <w:tcW w:w="1561" w:type="dxa"/>
            <w:tcBorders>
              <w:top w:val="nil"/>
              <w:left w:val="single" w:sz="4" w:space="0" w:color="auto"/>
              <w:bottom w:val="single" w:sz="4" w:space="0" w:color="auto"/>
              <w:right w:val="single" w:sz="4" w:space="0" w:color="auto"/>
            </w:tcBorders>
            <w:noWrap/>
            <w:vAlign w:val="center"/>
            <w:hideMark/>
          </w:tcPr>
          <w:p w14:paraId="04E9C9D0"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4</w:t>
            </w:r>
          </w:p>
        </w:tc>
        <w:tc>
          <w:tcPr>
            <w:tcW w:w="3146" w:type="dxa"/>
            <w:tcBorders>
              <w:top w:val="nil"/>
              <w:left w:val="nil"/>
              <w:bottom w:val="single" w:sz="4" w:space="0" w:color="auto"/>
              <w:right w:val="single" w:sz="4" w:space="0" w:color="auto"/>
            </w:tcBorders>
            <w:noWrap/>
            <w:vAlign w:val="center"/>
            <w:hideMark/>
          </w:tcPr>
          <w:p w14:paraId="17EFDD73"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6.48</w:t>
            </w:r>
            <w:r w:rsidRPr="00D078E7">
              <w:rPr>
                <w:rFonts w:ascii="Times New Roman" w:eastAsia="Times New Roman" w:hAnsi="Times New Roman" w:cs="Times New Roman"/>
                <w:color w:val="000000"/>
                <w:sz w:val="28"/>
                <w:szCs w:val="28"/>
                <w:vertAlign w:val="superscript"/>
                <w:lang w:val="en-IN" w:eastAsia="en-IN" w:bidi="hi-IN"/>
              </w:rPr>
              <w:t>a</w:t>
            </w:r>
          </w:p>
        </w:tc>
        <w:tc>
          <w:tcPr>
            <w:tcW w:w="2948" w:type="dxa"/>
            <w:tcBorders>
              <w:top w:val="nil"/>
              <w:left w:val="nil"/>
              <w:bottom w:val="single" w:sz="4" w:space="0" w:color="auto"/>
              <w:right w:val="single" w:sz="4" w:space="0" w:color="auto"/>
            </w:tcBorders>
            <w:noWrap/>
            <w:vAlign w:val="center"/>
            <w:hideMark/>
          </w:tcPr>
          <w:p w14:paraId="680F30AF"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62.65</w:t>
            </w:r>
          </w:p>
        </w:tc>
        <w:tc>
          <w:tcPr>
            <w:tcW w:w="1765" w:type="dxa"/>
            <w:tcBorders>
              <w:top w:val="nil"/>
              <w:left w:val="nil"/>
              <w:bottom w:val="single" w:sz="4" w:space="0" w:color="auto"/>
              <w:right w:val="single" w:sz="4" w:space="0" w:color="auto"/>
            </w:tcBorders>
            <w:noWrap/>
            <w:vAlign w:val="center"/>
            <w:hideMark/>
          </w:tcPr>
          <w:p w14:paraId="29CB9459"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9.68</w:t>
            </w:r>
            <w:r w:rsidRPr="00D078E7">
              <w:rPr>
                <w:rFonts w:ascii="Times New Roman" w:eastAsia="Times New Roman" w:hAnsi="Times New Roman" w:cs="Times New Roman"/>
                <w:color w:val="000000"/>
                <w:sz w:val="28"/>
                <w:szCs w:val="28"/>
                <w:vertAlign w:val="superscript"/>
                <w:lang w:val="en-IN" w:eastAsia="en-IN" w:bidi="hi-IN"/>
              </w:rPr>
              <w:t>c</w:t>
            </w:r>
          </w:p>
        </w:tc>
      </w:tr>
      <w:tr w:rsidR="00A11E03" w:rsidRPr="00F257B0" w14:paraId="404D9CF0" w14:textId="77777777" w:rsidTr="00856B7F">
        <w:trPr>
          <w:trHeight w:val="321"/>
          <w:jc w:val="center"/>
        </w:trPr>
        <w:tc>
          <w:tcPr>
            <w:tcW w:w="1561" w:type="dxa"/>
            <w:tcBorders>
              <w:top w:val="nil"/>
              <w:left w:val="single" w:sz="4" w:space="0" w:color="auto"/>
              <w:bottom w:val="single" w:sz="4" w:space="0" w:color="auto"/>
              <w:right w:val="single" w:sz="4" w:space="0" w:color="auto"/>
            </w:tcBorders>
            <w:noWrap/>
            <w:vAlign w:val="center"/>
            <w:hideMark/>
          </w:tcPr>
          <w:p w14:paraId="5EE37864"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T</w:t>
            </w:r>
            <w:r w:rsidRPr="00F257B0">
              <w:rPr>
                <w:rFonts w:ascii="Times New Roman" w:eastAsia="Times New Roman" w:hAnsi="Times New Roman" w:cs="Times New Roman"/>
                <w:b/>
                <w:bCs/>
                <w:color w:val="000000"/>
                <w:sz w:val="24"/>
                <w:szCs w:val="24"/>
                <w:vertAlign w:val="subscript"/>
                <w:lang w:val="en-IN" w:eastAsia="en-IN" w:bidi="hi-IN"/>
              </w:rPr>
              <w:t>5</w:t>
            </w:r>
          </w:p>
        </w:tc>
        <w:tc>
          <w:tcPr>
            <w:tcW w:w="3146" w:type="dxa"/>
            <w:tcBorders>
              <w:top w:val="nil"/>
              <w:left w:val="nil"/>
              <w:bottom w:val="single" w:sz="4" w:space="0" w:color="auto"/>
              <w:right w:val="single" w:sz="4" w:space="0" w:color="auto"/>
            </w:tcBorders>
            <w:noWrap/>
            <w:vAlign w:val="center"/>
            <w:hideMark/>
          </w:tcPr>
          <w:p w14:paraId="578E6A7F"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6.10</w:t>
            </w:r>
            <w:r w:rsidRPr="00D078E7">
              <w:rPr>
                <w:rFonts w:ascii="Times New Roman" w:eastAsia="Times New Roman" w:hAnsi="Times New Roman" w:cs="Times New Roman"/>
                <w:color w:val="000000"/>
                <w:sz w:val="28"/>
                <w:szCs w:val="28"/>
                <w:vertAlign w:val="superscript"/>
                <w:lang w:val="en-IN" w:eastAsia="en-IN" w:bidi="hi-IN"/>
              </w:rPr>
              <w:t>ab</w:t>
            </w:r>
          </w:p>
        </w:tc>
        <w:tc>
          <w:tcPr>
            <w:tcW w:w="2948" w:type="dxa"/>
            <w:tcBorders>
              <w:top w:val="nil"/>
              <w:left w:val="nil"/>
              <w:bottom w:val="single" w:sz="4" w:space="0" w:color="auto"/>
              <w:right w:val="single" w:sz="4" w:space="0" w:color="auto"/>
            </w:tcBorders>
            <w:noWrap/>
            <w:vAlign w:val="center"/>
            <w:hideMark/>
          </w:tcPr>
          <w:p w14:paraId="0D9876A3"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62.54</w:t>
            </w:r>
          </w:p>
        </w:tc>
        <w:tc>
          <w:tcPr>
            <w:tcW w:w="1765" w:type="dxa"/>
            <w:tcBorders>
              <w:top w:val="nil"/>
              <w:left w:val="nil"/>
              <w:bottom w:val="single" w:sz="4" w:space="0" w:color="auto"/>
              <w:right w:val="single" w:sz="4" w:space="0" w:color="auto"/>
            </w:tcBorders>
            <w:noWrap/>
            <w:vAlign w:val="center"/>
            <w:hideMark/>
          </w:tcPr>
          <w:p w14:paraId="2D0BFF4B"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10.25</w:t>
            </w:r>
            <w:r w:rsidRPr="00D078E7">
              <w:rPr>
                <w:rFonts w:ascii="Times New Roman" w:eastAsia="Times New Roman" w:hAnsi="Times New Roman" w:cs="Times New Roman"/>
                <w:color w:val="000000"/>
                <w:sz w:val="28"/>
                <w:szCs w:val="28"/>
                <w:vertAlign w:val="superscript"/>
                <w:lang w:val="en-IN" w:eastAsia="en-IN" w:bidi="hi-IN"/>
              </w:rPr>
              <w:t>bc</w:t>
            </w:r>
          </w:p>
        </w:tc>
      </w:tr>
      <w:tr w:rsidR="00A11E03" w:rsidRPr="00F257B0" w14:paraId="0789B8C5" w14:textId="77777777" w:rsidTr="00856B7F">
        <w:trPr>
          <w:trHeight w:val="277"/>
          <w:jc w:val="center"/>
        </w:trPr>
        <w:tc>
          <w:tcPr>
            <w:tcW w:w="1561" w:type="dxa"/>
            <w:tcBorders>
              <w:top w:val="nil"/>
              <w:left w:val="single" w:sz="4" w:space="0" w:color="auto"/>
              <w:bottom w:val="single" w:sz="4" w:space="0" w:color="auto"/>
              <w:right w:val="single" w:sz="4" w:space="0" w:color="auto"/>
            </w:tcBorders>
            <w:noWrap/>
            <w:vAlign w:val="center"/>
            <w:hideMark/>
          </w:tcPr>
          <w:p w14:paraId="7C8A81F8"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Mean</w:t>
            </w:r>
          </w:p>
        </w:tc>
        <w:tc>
          <w:tcPr>
            <w:tcW w:w="3146" w:type="dxa"/>
            <w:tcBorders>
              <w:top w:val="nil"/>
              <w:left w:val="nil"/>
              <w:bottom w:val="single" w:sz="4" w:space="0" w:color="auto"/>
              <w:right w:val="single" w:sz="4" w:space="0" w:color="auto"/>
            </w:tcBorders>
            <w:noWrap/>
            <w:vAlign w:val="center"/>
            <w:hideMark/>
          </w:tcPr>
          <w:p w14:paraId="68A8FEAD"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5.91</w:t>
            </w:r>
          </w:p>
        </w:tc>
        <w:tc>
          <w:tcPr>
            <w:tcW w:w="2948" w:type="dxa"/>
            <w:tcBorders>
              <w:top w:val="nil"/>
              <w:left w:val="nil"/>
              <w:bottom w:val="single" w:sz="4" w:space="0" w:color="auto"/>
              <w:right w:val="single" w:sz="4" w:space="0" w:color="auto"/>
            </w:tcBorders>
            <w:noWrap/>
            <w:vAlign w:val="center"/>
            <w:hideMark/>
          </w:tcPr>
          <w:p w14:paraId="363F2F2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63.11</w:t>
            </w:r>
          </w:p>
        </w:tc>
        <w:tc>
          <w:tcPr>
            <w:tcW w:w="1765" w:type="dxa"/>
            <w:tcBorders>
              <w:top w:val="nil"/>
              <w:left w:val="nil"/>
              <w:bottom w:val="single" w:sz="4" w:space="0" w:color="auto"/>
              <w:right w:val="single" w:sz="4" w:space="0" w:color="auto"/>
            </w:tcBorders>
            <w:noWrap/>
            <w:vAlign w:val="center"/>
            <w:hideMark/>
          </w:tcPr>
          <w:p w14:paraId="3100D21F"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10.73</w:t>
            </w:r>
          </w:p>
        </w:tc>
      </w:tr>
      <w:tr w:rsidR="00A11E03" w:rsidRPr="00F257B0" w14:paraId="2A314079" w14:textId="77777777" w:rsidTr="00856B7F">
        <w:trPr>
          <w:trHeight w:val="289"/>
          <w:jc w:val="center"/>
        </w:trPr>
        <w:tc>
          <w:tcPr>
            <w:tcW w:w="1561" w:type="dxa"/>
            <w:tcBorders>
              <w:top w:val="nil"/>
              <w:left w:val="single" w:sz="8" w:space="0" w:color="000000"/>
              <w:bottom w:val="single" w:sz="8" w:space="0" w:color="000000"/>
              <w:right w:val="nil"/>
            </w:tcBorders>
            <w:vAlign w:val="center"/>
            <w:hideMark/>
          </w:tcPr>
          <w:p w14:paraId="4982184F"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SE ±</w:t>
            </w:r>
          </w:p>
        </w:tc>
        <w:tc>
          <w:tcPr>
            <w:tcW w:w="3146" w:type="dxa"/>
            <w:tcBorders>
              <w:top w:val="nil"/>
              <w:left w:val="single" w:sz="4" w:space="0" w:color="auto"/>
              <w:bottom w:val="single" w:sz="4" w:space="0" w:color="auto"/>
              <w:right w:val="single" w:sz="4" w:space="0" w:color="auto"/>
            </w:tcBorders>
            <w:noWrap/>
            <w:vAlign w:val="center"/>
            <w:hideMark/>
          </w:tcPr>
          <w:p w14:paraId="1EEB7820"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0.1</w:t>
            </w:r>
          </w:p>
        </w:tc>
        <w:tc>
          <w:tcPr>
            <w:tcW w:w="2948" w:type="dxa"/>
            <w:tcBorders>
              <w:top w:val="nil"/>
              <w:left w:val="nil"/>
              <w:bottom w:val="single" w:sz="4" w:space="0" w:color="auto"/>
              <w:right w:val="single" w:sz="4" w:space="0" w:color="auto"/>
            </w:tcBorders>
            <w:noWrap/>
            <w:vAlign w:val="center"/>
            <w:hideMark/>
          </w:tcPr>
          <w:p w14:paraId="4A6C2CE8"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val="en-IN" w:eastAsia="en-IN" w:bidi="hi-IN"/>
              </w:rPr>
              <w:t>-</w:t>
            </w:r>
          </w:p>
        </w:tc>
        <w:tc>
          <w:tcPr>
            <w:tcW w:w="1765" w:type="dxa"/>
            <w:tcBorders>
              <w:top w:val="nil"/>
              <w:left w:val="nil"/>
              <w:bottom w:val="single" w:sz="4" w:space="0" w:color="auto"/>
              <w:right w:val="single" w:sz="4" w:space="0" w:color="auto"/>
            </w:tcBorders>
            <w:noWrap/>
            <w:vAlign w:val="center"/>
            <w:hideMark/>
          </w:tcPr>
          <w:p w14:paraId="33038C7C"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0.16</w:t>
            </w:r>
          </w:p>
        </w:tc>
      </w:tr>
      <w:tr w:rsidR="00A11E03" w:rsidRPr="00F257B0" w14:paraId="59C0A929" w14:textId="77777777" w:rsidTr="00856B7F">
        <w:trPr>
          <w:trHeight w:val="289"/>
          <w:jc w:val="center"/>
        </w:trPr>
        <w:tc>
          <w:tcPr>
            <w:tcW w:w="1561" w:type="dxa"/>
            <w:tcBorders>
              <w:top w:val="nil"/>
              <w:left w:val="single" w:sz="8" w:space="0" w:color="000000"/>
              <w:bottom w:val="single" w:sz="8" w:space="0" w:color="000000"/>
              <w:right w:val="nil"/>
            </w:tcBorders>
            <w:vAlign w:val="center"/>
            <w:hideMark/>
          </w:tcPr>
          <w:p w14:paraId="3E832A1D" w14:textId="77777777" w:rsidR="00A11E03" w:rsidRPr="00F257B0" w:rsidRDefault="00A11E03" w:rsidP="00A248C6">
            <w:pPr>
              <w:jc w:val="center"/>
              <w:rPr>
                <w:rFonts w:ascii="Times New Roman" w:eastAsia="Times New Roman" w:hAnsi="Times New Roman" w:cs="Times New Roman"/>
                <w:b/>
                <w:bCs/>
                <w:color w:val="000000"/>
                <w:sz w:val="24"/>
                <w:szCs w:val="24"/>
                <w:lang w:val="en-IN" w:eastAsia="en-IN" w:bidi="hi-IN"/>
              </w:rPr>
            </w:pPr>
            <w:r w:rsidRPr="00F257B0">
              <w:rPr>
                <w:rFonts w:ascii="Times New Roman" w:eastAsia="Times New Roman" w:hAnsi="Times New Roman" w:cs="Times New Roman"/>
                <w:b/>
                <w:bCs/>
                <w:color w:val="000000"/>
                <w:sz w:val="24"/>
                <w:szCs w:val="24"/>
                <w:lang w:val="en-IN" w:eastAsia="en-IN" w:bidi="hi-IN"/>
              </w:rPr>
              <w:t>CD (5%)</w:t>
            </w:r>
          </w:p>
        </w:tc>
        <w:tc>
          <w:tcPr>
            <w:tcW w:w="3146" w:type="dxa"/>
            <w:tcBorders>
              <w:top w:val="nil"/>
              <w:left w:val="single" w:sz="4" w:space="0" w:color="auto"/>
              <w:bottom w:val="single" w:sz="4" w:space="0" w:color="auto"/>
              <w:right w:val="single" w:sz="4" w:space="0" w:color="auto"/>
            </w:tcBorders>
            <w:noWrap/>
            <w:vAlign w:val="center"/>
            <w:hideMark/>
          </w:tcPr>
          <w:p w14:paraId="48F3714D"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0.3</w:t>
            </w:r>
          </w:p>
        </w:tc>
        <w:tc>
          <w:tcPr>
            <w:tcW w:w="2948" w:type="dxa"/>
            <w:tcBorders>
              <w:top w:val="nil"/>
              <w:left w:val="nil"/>
              <w:bottom w:val="single" w:sz="4" w:space="0" w:color="auto"/>
              <w:right w:val="single" w:sz="4" w:space="0" w:color="auto"/>
            </w:tcBorders>
            <w:noWrap/>
            <w:vAlign w:val="center"/>
            <w:hideMark/>
          </w:tcPr>
          <w:p w14:paraId="3E4E7DDA"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Pr>
                <w:rFonts w:ascii="Times New Roman" w:eastAsia="Times New Roman" w:hAnsi="Times New Roman" w:cs="Times New Roman"/>
                <w:color w:val="000000"/>
                <w:sz w:val="24"/>
                <w:szCs w:val="24"/>
                <w:lang w:val="en-IN" w:eastAsia="en-IN" w:bidi="hi-IN"/>
              </w:rPr>
              <w:t>-</w:t>
            </w:r>
          </w:p>
        </w:tc>
        <w:tc>
          <w:tcPr>
            <w:tcW w:w="1765" w:type="dxa"/>
            <w:tcBorders>
              <w:top w:val="nil"/>
              <w:left w:val="nil"/>
              <w:bottom w:val="single" w:sz="4" w:space="0" w:color="auto"/>
              <w:right w:val="single" w:sz="4" w:space="0" w:color="auto"/>
            </w:tcBorders>
            <w:noWrap/>
            <w:vAlign w:val="center"/>
            <w:hideMark/>
          </w:tcPr>
          <w:p w14:paraId="643ED6BB" w14:textId="77777777" w:rsidR="00A11E03" w:rsidRPr="00F257B0" w:rsidRDefault="00A11E03" w:rsidP="00A248C6">
            <w:pPr>
              <w:jc w:val="center"/>
              <w:rPr>
                <w:rFonts w:ascii="Times New Roman" w:eastAsia="Times New Roman" w:hAnsi="Times New Roman" w:cs="Times New Roman"/>
                <w:color w:val="000000"/>
                <w:sz w:val="24"/>
                <w:szCs w:val="24"/>
                <w:lang w:val="en-IN" w:eastAsia="en-IN" w:bidi="hi-IN"/>
              </w:rPr>
            </w:pPr>
            <w:r w:rsidRPr="00F257B0">
              <w:rPr>
                <w:rFonts w:ascii="Times New Roman" w:eastAsia="Times New Roman" w:hAnsi="Times New Roman" w:cs="Times New Roman"/>
                <w:color w:val="000000"/>
                <w:sz w:val="24"/>
                <w:szCs w:val="24"/>
                <w:lang w:val="en-IN" w:eastAsia="en-IN" w:bidi="hi-IN"/>
              </w:rPr>
              <w:t>0.49</w:t>
            </w:r>
          </w:p>
        </w:tc>
      </w:tr>
    </w:tbl>
    <w:p w14:paraId="2E5A5F40" w14:textId="77777777" w:rsidR="00A11E03" w:rsidRPr="00022F26" w:rsidRDefault="00A11E03" w:rsidP="00A11E03">
      <w:pPr>
        <w:spacing w:line="360" w:lineRule="auto"/>
        <w:ind w:firstLine="737"/>
        <w:rPr>
          <w:rFonts w:ascii="Times New Roman" w:hAnsi="Times New Roman" w:cs="Times New Roman"/>
        </w:rPr>
      </w:pPr>
      <w:r w:rsidRPr="00022F26">
        <w:rPr>
          <w:rFonts w:ascii="Times New Roman" w:hAnsi="Times New Roman" w:cs="Times New Roman"/>
        </w:rPr>
        <w:t xml:space="preserve">Note: </w:t>
      </w:r>
      <w:r w:rsidRPr="004C1018">
        <w:rPr>
          <w:rFonts w:ascii="Times New Roman" w:hAnsi="Times New Roman" w:cs="Times New Roman"/>
        </w:rPr>
        <w:t>Numbers having different superscripts differed from each other</w:t>
      </w:r>
    </w:p>
    <w:p w14:paraId="22C2881F" w14:textId="12CA0497" w:rsidR="00A11E03" w:rsidRP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In the present study, total body weight gain ranged from 5.43 kg (T₁) to 6.48 kg (T₄), with T₄ recording the highest gain. Total feed consumption on a dry matter basis varied between 62.54 kg (T₅) and 64.20 kg (T₂). Feed conversion ratio (FCR) values were 11.58 (T₁), 11.36 (T₂), 10.79 (T₃), 9.68 (T₄)</w:t>
      </w:r>
      <w:r w:rsidR="00016E38">
        <w:rPr>
          <w:rFonts w:ascii="Times New Roman" w:hAnsi="Times New Roman" w:cs="Times New Roman"/>
          <w:sz w:val="24"/>
          <w:szCs w:val="24"/>
          <w:lang w:val="en-IN"/>
        </w:rPr>
        <w:t xml:space="preserve"> and </w:t>
      </w:r>
      <w:r w:rsidRPr="00A11E03">
        <w:rPr>
          <w:rFonts w:ascii="Times New Roman" w:hAnsi="Times New Roman" w:cs="Times New Roman"/>
          <w:sz w:val="24"/>
          <w:szCs w:val="24"/>
          <w:lang w:val="en-IN"/>
        </w:rPr>
        <w:t>10.25 (T₅), with T₄ showing the most efficient utilization.</w:t>
      </w:r>
    </w:p>
    <w:p w14:paraId="71478A41" w14:textId="676FF374" w:rsidR="00A11E03" w:rsidRDefault="00A11E03" w:rsidP="00A11E03">
      <w:pPr>
        <w:spacing w:line="360" w:lineRule="auto"/>
        <w:ind w:firstLine="737"/>
        <w:rPr>
          <w:rFonts w:ascii="Times New Roman" w:hAnsi="Times New Roman" w:cs="Times New Roman"/>
          <w:sz w:val="24"/>
          <w:szCs w:val="24"/>
          <w:lang w:val="en-IN"/>
        </w:rPr>
      </w:pPr>
      <w:r w:rsidRPr="00A11E03">
        <w:rPr>
          <w:rFonts w:ascii="Times New Roman" w:hAnsi="Times New Roman" w:cs="Times New Roman"/>
          <w:sz w:val="24"/>
          <w:szCs w:val="24"/>
          <w:lang w:val="en-IN"/>
        </w:rPr>
        <w:t xml:space="preserve">The results indicate that turmeric supplementation improved feed efficiency, with the lowest FCR (9.68) in T₄ compared to the control (11.58). Similar improvements in FCR with turmeric supplementation were reported by </w:t>
      </w:r>
      <w:proofErr w:type="spellStart"/>
      <w:r w:rsidRPr="00A11E03">
        <w:rPr>
          <w:rFonts w:ascii="Times New Roman" w:hAnsi="Times New Roman" w:cs="Times New Roman"/>
          <w:sz w:val="24"/>
          <w:szCs w:val="24"/>
          <w:lang w:val="en-IN"/>
        </w:rPr>
        <w:t>Aderinboye</w:t>
      </w:r>
      <w:proofErr w:type="spellEnd"/>
      <w:r w:rsidRPr="00A11E03">
        <w:rPr>
          <w:rFonts w:ascii="Times New Roman" w:hAnsi="Times New Roman" w:cs="Times New Roman"/>
          <w:sz w:val="24"/>
          <w:szCs w:val="24"/>
          <w:lang w:val="en-IN"/>
        </w:rPr>
        <w:t xml:space="preserve"> et al. (2021) and Adebisi et al. (2022), supporting the role of turmeric rhizome powder in enhancing growth performance and nutrient utilization in goats.</w:t>
      </w:r>
    </w:p>
    <w:p w14:paraId="4980484D" w14:textId="5A245163" w:rsidR="00171FD9" w:rsidRPr="00171FD9" w:rsidRDefault="00171FD9" w:rsidP="00171FD9">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
        <w:t xml:space="preserve">7. </w:t>
      </w:r>
      <w:r w:rsidRPr="00171FD9">
        <w:rPr>
          <w:rFonts w:ascii="Times New Roman" w:hAnsi="Times New Roman" w:cs="Times New Roman"/>
          <w:b/>
          <w:bCs/>
          <w:sz w:val="24"/>
          <w:szCs w:val="24"/>
          <w:lang w:val="en-IN"/>
        </w:rPr>
        <w:t>Haemato-Biochemical Parameters</w:t>
      </w:r>
    </w:p>
    <w:p w14:paraId="1D538B46" w14:textId="1F6475BB" w:rsidR="00510500" w:rsidRPr="00523EE4" w:rsidRDefault="00523EE4" w:rsidP="00523EE4">
      <w:pPr>
        <w:tabs>
          <w:tab w:val="left" w:pos="851"/>
        </w:tabs>
        <w:spacing w:line="360" w:lineRule="auto"/>
        <w:rPr>
          <w:rFonts w:ascii="Times New Roman" w:hAnsi="Times New Roman" w:cs="Times New Roman"/>
          <w:b/>
          <w:bCs/>
          <w:sz w:val="24"/>
          <w:szCs w:val="24"/>
          <w:lang w:val="en-IN"/>
        </w:rPr>
      </w:pPr>
      <w:r>
        <w:rPr>
          <w:rFonts w:ascii="Times New Roman" w:hAnsi="Times New Roman" w:cs="Times New Roman"/>
          <w:b/>
          <w:bCs/>
          <w:sz w:val="24"/>
          <w:szCs w:val="24"/>
        </w:rPr>
        <w:t>Table 10.</w:t>
      </w:r>
      <w:r w:rsidR="006D61F5" w:rsidRPr="00523EE4">
        <w:rPr>
          <w:rFonts w:ascii="Times New Roman" w:hAnsi="Times New Roman" w:cs="Times New Roman"/>
          <w:b/>
          <w:bCs/>
          <w:sz w:val="24"/>
          <w:szCs w:val="24"/>
        </w:rPr>
        <w:t xml:space="preserve"> </w:t>
      </w:r>
      <w:r w:rsidR="00510500" w:rsidRPr="00523EE4">
        <w:rPr>
          <w:rFonts w:ascii="Times New Roman" w:hAnsi="Times New Roman" w:cs="Times New Roman"/>
          <w:b/>
          <w:bCs/>
          <w:sz w:val="24"/>
          <w:szCs w:val="24"/>
        </w:rPr>
        <w:t>Effect of feeding turmeric (</w:t>
      </w:r>
      <w:r w:rsidR="00510500" w:rsidRPr="00523EE4">
        <w:rPr>
          <w:rFonts w:ascii="Times New Roman" w:hAnsi="Times New Roman" w:cs="Times New Roman"/>
          <w:b/>
          <w:bCs/>
          <w:i/>
          <w:iCs/>
          <w:sz w:val="24"/>
          <w:szCs w:val="24"/>
        </w:rPr>
        <w:t>Curcuma longa</w:t>
      </w:r>
      <w:r w:rsidR="00510500" w:rsidRPr="00523EE4">
        <w:rPr>
          <w:rFonts w:ascii="Times New Roman" w:hAnsi="Times New Roman" w:cs="Times New Roman"/>
          <w:b/>
          <w:bCs/>
          <w:sz w:val="24"/>
          <w:szCs w:val="24"/>
        </w:rPr>
        <w:t xml:space="preserve"> L.) powder on average </w:t>
      </w:r>
      <w:proofErr w:type="spellStart"/>
      <w:r w:rsidR="00510500" w:rsidRPr="00523EE4">
        <w:rPr>
          <w:rFonts w:ascii="Times New Roman" w:hAnsi="Times New Roman" w:cs="Times New Roman"/>
          <w:b/>
          <w:bCs/>
          <w:sz w:val="24"/>
          <w:szCs w:val="24"/>
        </w:rPr>
        <w:t>haemoglobin</w:t>
      </w:r>
      <w:proofErr w:type="spellEnd"/>
      <w:r w:rsidR="00510500" w:rsidRPr="00523EE4">
        <w:rPr>
          <w:rFonts w:ascii="Times New Roman" w:hAnsi="Times New Roman" w:cs="Times New Roman"/>
          <w:b/>
          <w:bCs/>
          <w:sz w:val="24"/>
          <w:szCs w:val="24"/>
        </w:rPr>
        <w:t xml:space="preserve"> (g/dl) of Konkan </w:t>
      </w:r>
      <w:proofErr w:type="spellStart"/>
      <w:r w:rsidR="00510500" w:rsidRPr="00523EE4">
        <w:rPr>
          <w:rFonts w:ascii="Times New Roman" w:hAnsi="Times New Roman" w:cs="Times New Roman"/>
          <w:b/>
          <w:bCs/>
          <w:sz w:val="24"/>
          <w:szCs w:val="24"/>
        </w:rPr>
        <w:t>Kanyal</w:t>
      </w:r>
      <w:proofErr w:type="spellEnd"/>
      <w:r w:rsidR="00510500" w:rsidRPr="00523EE4">
        <w:rPr>
          <w:rFonts w:ascii="Times New Roman" w:hAnsi="Times New Roman" w:cs="Times New Roman"/>
          <w:b/>
          <w:bCs/>
          <w:sz w:val="24"/>
          <w:szCs w:val="24"/>
        </w:rPr>
        <w:t xml:space="preserve"> kids</w:t>
      </w:r>
    </w:p>
    <w:tbl>
      <w:tblPr>
        <w:tblW w:w="9714" w:type="dxa"/>
        <w:tblInd w:w="113" w:type="dxa"/>
        <w:tblCellMar>
          <w:left w:w="0" w:type="dxa"/>
          <w:right w:w="0" w:type="dxa"/>
        </w:tblCellMar>
        <w:tblLook w:val="04A0" w:firstRow="1" w:lastRow="0" w:firstColumn="1" w:lastColumn="0" w:noHBand="0" w:noVBand="1"/>
      </w:tblPr>
      <w:tblGrid>
        <w:gridCol w:w="1594"/>
        <w:gridCol w:w="1258"/>
        <w:gridCol w:w="665"/>
        <w:gridCol w:w="665"/>
        <w:gridCol w:w="665"/>
        <w:gridCol w:w="796"/>
        <w:gridCol w:w="798"/>
        <w:gridCol w:w="944"/>
        <w:gridCol w:w="831"/>
        <w:gridCol w:w="1498"/>
      </w:tblGrid>
      <w:tr w:rsidR="00171FD9" w:rsidRPr="00C322E9" w14:paraId="04708BBC" w14:textId="77777777" w:rsidTr="00856B7F">
        <w:trPr>
          <w:trHeight w:val="412"/>
        </w:trPr>
        <w:tc>
          <w:tcPr>
            <w:tcW w:w="1594" w:type="dxa"/>
            <w:tcBorders>
              <w:top w:val="single" w:sz="4" w:space="0" w:color="auto"/>
              <w:left w:val="single" w:sz="4" w:space="0" w:color="auto"/>
              <w:bottom w:val="single" w:sz="4" w:space="0" w:color="auto"/>
              <w:right w:val="single" w:sz="4" w:space="0" w:color="auto"/>
            </w:tcBorders>
            <w:noWrap/>
            <w:vAlign w:val="center"/>
            <w:hideMark/>
          </w:tcPr>
          <w:p w14:paraId="2D75443D" w14:textId="77777777" w:rsidR="00171FD9" w:rsidRPr="00C322E9" w:rsidRDefault="00171FD9" w:rsidP="00A248C6">
            <w:pPr>
              <w:jc w:val="center"/>
              <w:rPr>
                <w:rFonts w:ascii="Times New Roman" w:eastAsia="Times New Roman" w:hAnsi="Times New Roman" w:cs="Times New Roman"/>
                <w:color w:val="000000"/>
                <w:sz w:val="24"/>
                <w:szCs w:val="24"/>
                <w:lang w:val="en-IN" w:eastAsia="en-IN" w:bidi="hi-IN"/>
              </w:rPr>
            </w:pPr>
          </w:p>
        </w:tc>
        <w:tc>
          <w:tcPr>
            <w:tcW w:w="4049" w:type="dxa"/>
            <w:gridSpan w:val="5"/>
            <w:tcBorders>
              <w:top w:val="single" w:sz="4" w:space="0" w:color="auto"/>
              <w:left w:val="nil"/>
              <w:bottom w:val="single" w:sz="4" w:space="0" w:color="auto"/>
              <w:right w:val="single" w:sz="4" w:space="0" w:color="auto"/>
            </w:tcBorders>
            <w:noWrap/>
            <w:vAlign w:val="center"/>
            <w:hideMark/>
          </w:tcPr>
          <w:p w14:paraId="5D3BA008" w14:textId="1332E41A" w:rsidR="00171FD9" w:rsidRPr="00C322E9" w:rsidRDefault="00171FD9" w:rsidP="00A248C6">
            <w:pPr>
              <w:jc w:val="center"/>
              <w:rPr>
                <w:rFonts w:ascii="Times New Roman" w:eastAsia="Times New Roman" w:hAnsi="Times New Roman" w:cs="Times New Roman"/>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Treatment</w:t>
            </w:r>
            <w:r>
              <w:rPr>
                <w:rFonts w:ascii="Times New Roman" w:eastAsia="Times New Roman" w:hAnsi="Times New Roman" w:cs="Times New Roman"/>
                <w:b/>
                <w:bCs/>
                <w:color w:val="000000"/>
                <w:sz w:val="24"/>
                <w:szCs w:val="24"/>
                <w:lang w:val="en-IN" w:eastAsia="en-IN" w:bidi="hi-IN"/>
              </w:rPr>
              <w:t>s</w:t>
            </w:r>
          </w:p>
        </w:tc>
        <w:tc>
          <w:tcPr>
            <w:tcW w:w="798" w:type="dxa"/>
            <w:tcBorders>
              <w:top w:val="single" w:sz="4" w:space="0" w:color="auto"/>
              <w:left w:val="nil"/>
              <w:bottom w:val="single" w:sz="4" w:space="0" w:color="auto"/>
              <w:right w:val="single" w:sz="4" w:space="0" w:color="auto"/>
            </w:tcBorders>
            <w:noWrap/>
            <w:vAlign w:val="center"/>
            <w:hideMark/>
          </w:tcPr>
          <w:p w14:paraId="5377398F" w14:textId="77777777" w:rsidR="00171FD9" w:rsidRPr="00171FD9" w:rsidRDefault="00171FD9"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Mean</w:t>
            </w:r>
          </w:p>
        </w:tc>
        <w:tc>
          <w:tcPr>
            <w:tcW w:w="944" w:type="dxa"/>
            <w:tcBorders>
              <w:top w:val="single" w:sz="4" w:space="0" w:color="auto"/>
              <w:left w:val="nil"/>
              <w:bottom w:val="single" w:sz="4" w:space="0" w:color="auto"/>
              <w:right w:val="single" w:sz="4" w:space="0" w:color="auto"/>
            </w:tcBorders>
            <w:noWrap/>
            <w:vAlign w:val="center"/>
            <w:hideMark/>
          </w:tcPr>
          <w:p w14:paraId="1FE7F6F2" w14:textId="73C4C826" w:rsidR="00171FD9" w:rsidRPr="00171FD9" w:rsidRDefault="00171FD9"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SE (M)</w:t>
            </w:r>
          </w:p>
        </w:tc>
        <w:tc>
          <w:tcPr>
            <w:tcW w:w="831" w:type="dxa"/>
            <w:tcBorders>
              <w:top w:val="single" w:sz="4" w:space="0" w:color="auto"/>
              <w:left w:val="nil"/>
              <w:bottom w:val="single" w:sz="4" w:space="0" w:color="auto"/>
              <w:right w:val="single" w:sz="4" w:space="0" w:color="auto"/>
            </w:tcBorders>
            <w:noWrap/>
            <w:vAlign w:val="center"/>
            <w:hideMark/>
          </w:tcPr>
          <w:p w14:paraId="20F96D25" w14:textId="77777777" w:rsidR="00171FD9" w:rsidRPr="00171FD9" w:rsidRDefault="00171FD9"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CD (0.05)</w:t>
            </w:r>
          </w:p>
        </w:tc>
        <w:tc>
          <w:tcPr>
            <w:tcW w:w="1498" w:type="dxa"/>
            <w:tcBorders>
              <w:top w:val="single" w:sz="4" w:space="0" w:color="auto"/>
              <w:left w:val="nil"/>
              <w:bottom w:val="single" w:sz="4" w:space="0" w:color="auto"/>
              <w:right w:val="single" w:sz="4" w:space="0" w:color="auto"/>
            </w:tcBorders>
            <w:noWrap/>
            <w:vAlign w:val="center"/>
            <w:hideMark/>
          </w:tcPr>
          <w:p w14:paraId="1BDCE602" w14:textId="77777777" w:rsidR="00171FD9" w:rsidRPr="00C322E9" w:rsidRDefault="00171FD9" w:rsidP="00A248C6">
            <w:pPr>
              <w:jc w:val="center"/>
              <w:rPr>
                <w:rFonts w:ascii="Times New Roman" w:eastAsia="Times New Roman" w:hAnsi="Times New Roman" w:cs="Times New Roman"/>
                <w:b/>
                <w:bCs/>
                <w:color w:val="000000"/>
                <w:sz w:val="24"/>
                <w:szCs w:val="24"/>
                <w:lang w:val="en-IN" w:eastAsia="en-IN" w:bidi="hi-IN"/>
              </w:rPr>
            </w:pPr>
            <w:r w:rsidRPr="00C322E9">
              <w:rPr>
                <w:rFonts w:ascii="Times New Roman" w:eastAsia="Times New Roman" w:hAnsi="Times New Roman" w:cs="Times New Roman"/>
                <w:b/>
                <w:bCs/>
                <w:color w:val="000000"/>
                <w:sz w:val="24"/>
                <w:szCs w:val="24"/>
                <w:lang w:eastAsia="en-IN" w:bidi="hi-IN"/>
              </w:rPr>
              <w:t>Reference value</w:t>
            </w:r>
          </w:p>
        </w:tc>
      </w:tr>
      <w:tr w:rsidR="000B33EE" w:rsidRPr="00C322E9" w14:paraId="1BD980BD" w14:textId="77777777" w:rsidTr="00856B7F">
        <w:trPr>
          <w:trHeight w:val="552"/>
        </w:trPr>
        <w:tc>
          <w:tcPr>
            <w:tcW w:w="1594" w:type="dxa"/>
            <w:tcBorders>
              <w:top w:val="nil"/>
              <w:left w:val="single" w:sz="4" w:space="0" w:color="auto"/>
              <w:bottom w:val="single" w:sz="4" w:space="0" w:color="auto"/>
              <w:right w:val="single" w:sz="4" w:space="0" w:color="auto"/>
            </w:tcBorders>
            <w:noWrap/>
            <w:vAlign w:val="center"/>
            <w:hideMark/>
          </w:tcPr>
          <w:p w14:paraId="6CAD56D4"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p>
        </w:tc>
        <w:tc>
          <w:tcPr>
            <w:tcW w:w="1258" w:type="dxa"/>
            <w:tcBorders>
              <w:top w:val="nil"/>
              <w:left w:val="nil"/>
              <w:bottom w:val="single" w:sz="4" w:space="0" w:color="auto"/>
              <w:right w:val="single" w:sz="4" w:space="0" w:color="auto"/>
            </w:tcBorders>
            <w:noWrap/>
            <w:vAlign w:val="center"/>
            <w:hideMark/>
          </w:tcPr>
          <w:p w14:paraId="50E8F14F"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1</w:t>
            </w:r>
            <w:r w:rsidRPr="00171FD9">
              <w:rPr>
                <w:rFonts w:ascii="Times New Roman" w:eastAsia="Times New Roman" w:hAnsi="Times New Roman" w:cs="Times New Roman"/>
                <w:b/>
                <w:bCs/>
                <w:color w:val="000000"/>
                <w:sz w:val="24"/>
                <w:szCs w:val="24"/>
                <w:lang w:val="en-IN" w:eastAsia="en-IN" w:bidi="hi-IN"/>
              </w:rPr>
              <w:t xml:space="preserve"> (control)</w:t>
            </w:r>
          </w:p>
        </w:tc>
        <w:tc>
          <w:tcPr>
            <w:tcW w:w="665" w:type="dxa"/>
            <w:tcBorders>
              <w:top w:val="nil"/>
              <w:left w:val="nil"/>
              <w:bottom w:val="single" w:sz="4" w:space="0" w:color="auto"/>
              <w:right w:val="single" w:sz="4" w:space="0" w:color="auto"/>
            </w:tcBorders>
            <w:noWrap/>
            <w:vAlign w:val="center"/>
            <w:hideMark/>
          </w:tcPr>
          <w:p w14:paraId="137E4BED"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2</w:t>
            </w:r>
          </w:p>
        </w:tc>
        <w:tc>
          <w:tcPr>
            <w:tcW w:w="665" w:type="dxa"/>
            <w:tcBorders>
              <w:top w:val="nil"/>
              <w:left w:val="nil"/>
              <w:bottom w:val="single" w:sz="4" w:space="0" w:color="auto"/>
              <w:right w:val="single" w:sz="4" w:space="0" w:color="auto"/>
            </w:tcBorders>
            <w:noWrap/>
            <w:vAlign w:val="center"/>
            <w:hideMark/>
          </w:tcPr>
          <w:p w14:paraId="6F338FF9"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3</w:t>
            </w:r>
          </w:p>
        </w:tc>
        <w:tc>
          <w:tcPr>
            <w:tcW w:w="665" w:type="dxa"/>
            <w:tcBorders>
              <w:top w:val="nil"/>
              <w:left w:val="nil"/>
              <w:bottom w:val="single" w:sz="4" w:space="0" w:color="auto"/>
              <w:right w:val="single" w:sz="4" w:space="0" w:color="auto"/>
            </w:tcBorders>
            <w:noWrap/>
            <w:vAlign w:val="center"/>
            <w:hideMark/>
          </w:tcPr>
          <w:p w14:paraId="28272B3C"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4</w:t>
            </w:r>
          </w:p>
        </w:tc>
        <w:tc>
          <w:tcPr>
            <w:tcW w:w="794" w:type="dxa"/>
            <w:tcBorders>
              <w:top w:val="nil"/>
              <w:left w:val="nil"/>
              <w:bottom w:val="single" w:sz="4" w:space="0" w:color="auto"/>
              <w:right w:val="single" w:sz="4" w:space="0" w:color="auto"/>
            </w:tcBorders>
            <w:noWrap/>
            <w:vAlign w:val="center"/>
            <w:hideMark/>
          </w:tcPr>
          <w:p w14:paraId="01B2664E" w14:textId="77777777" w:rsidR="006A346C" w:rsidRPr="00171FD9" w:rsidRDefault="006A346C" w:rsidP="00A248C6">
            <w:pPr>
              <w:jc w:val="center"/>
              <w:rPr>
                <w:rFonts w:ascii="Times New Roman" w:eastAsia="Times New Roman" w:hAnsi="Times New Roman" w:cs="Times New Roman"/>
                <w:b/>
                <w:bCs/>
                <w:color w:val="000000"/>
                <w:sz w:val="24"/>
                <w:szCs w:val="24"/>
                <w:lang w:val="en-IN" w:eastAsia="en-IN" w:bidi="hi-IN"/>
              </w:rPr>
            </w:pPr>
            <w:r w:rsidRPr="00171FD9">
              <w:rPr>
                <w:rFonts w:ascii="Times New Roman" w:eastAsia="Times New Roman" w:hAnsi="Times New Roman" w:cs="Times New Roman"/>
                <w:b/>
                <w:bCs/>
                <w:color w:val="000000"/>
                <w:sz w:val="24"/>
                <w:szCs w:val="24"/>
                <w:lang w:val="en-IN" w:eastAsia="en-IN" w:bidi="hi-IN"/>
              </w:rPr>
              <w:t>T</w:t>
            </w:r>
            <w:r w:rsidRPr="00171FD9">
              <w:rPr>
                <w:rFonts w:ascii="Times New Roman" w:eastAsia="Times New Roman" w:hAnsi="Times New Roman" w:cs="Times New Roman"/>
                <w:b/>
                <w:bCs/>
                <w:color w:val="000000"/>
                <w:sz w:val="24"/>
                <w:szCs w:val="24"/>
                <w:vertAlign w:val="subscript"/>
                <w:lang w:val="en-IN" w:eastAsia="en-IN" w:bidi="hi-IN"/>
              </w:rPr>
              <w:t>5</w:t>
            </w:r>
          </w:p>
        </w:tc>
        <w:tc>
          <w:tcPr>
            <w:tcW w:w="798" w:type="dxa"/>
            <w:tcBorders>
              <w:top w:val="nil"/>
              <w:left w:val="nil"/>
              <w:bottom w:val="single" w:sz="4" w:space="0" w:color="auto"/>
              <w:right w:val="single" w:sz="4" w:space="0" w:color="auto"/>
            </w:tcBorders>
            <w:noWrap/>
            <w:vAlign w:val="center"/>
            <w:hideMark/>
          </w:tcPr>
          <w:p w14:paraId="340B791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c>
          <w:tcPr>
            <w:tcW w:w="944" w:type="dxa"/>
            <w:tcBorders>
              <w:top w:val="nil"/>
              <w:left w:val="nil"/>
              <w:bottom w:val="single" w:sz="4" w:space="0" w:color="auto"/>
              <w:right w:val="single" w:sz="4" w:space="0" w:color="auto"/>
            </w:tcBorders>
            <w:noWrap/>
            <w:vAlign w:val="center"/>
            <w:hideMark/>
          </w:tcPr>
          <w:p w14:paraId="3730DDB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c>
          <w:tcPr>
            <w:tcW w:w="831" w:type="dxa"/>
            <w:tcBorders>
              <w:top w:val="nil"/>
              <w:left w:val="nil"/>
              <w:bottom w:val="single" w:sz="4" w:space="0" w:color="auto"/>
              <w:right w:val="single" w:sz="4" w:space="0" w:color="auto"/>
            </w:tcBorders>
            <w:noWrap/>
            <w:vAlign w:val="center"/>
            <w:hideMark/>
          </w:tcPr>
          <w:p w14:paraId="68B5AF9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c>
          <w:tcPr>
            <w:tcW w:w="1498" w:type="dxa"/>
            <w:tcBorders>
              <w:top w:val="nil"/>
              <w:left w:val="nil"/>
              <w:bottom w:val="single" w:sz="4" w:space="0" w:color="auto"/>
              <w:right w:val="single" w:sz="4" w:space="0" w:color="auto"/>
            </w:tcBorders>
            <w:noWrap/>
            <w:vAlign w:val="center"/>
            <w:hideMark/>
          </w:tcPr>
          <w:p w14:paraId="1D1DD0A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p>
        </w:tc>
      </w:tr>
      <w:tr w:rsidR="000B33EE" w:rsidRPr="00C322E9" w14:paraId="7FC40539" w14:textId="77777777" w:rsidTr="00856B7F">
        <w:trPr>
          <w:trHeight w:val="356"/>
        </w:trPr>
        <w:tc>
          <w:tcPr>
            <w:tcW w:w="1594" w:type="dxa"/>
            <w:tcBorders>
              <w:top w:val="nil"/>
              <w:left w:val="single" w:sz="4" w:space="0" w:color="auto"/>
              <w:bottom w:val="single" w:sz="4" w:space="0" w:color="auto"/>
              <w:right w:val="single" w:sz="4" w:space="0" w:color="auto"/>
            </w:tcBorders>
            <w:noWrap/>
            <w:vAlign w:val="center"/>
            <w:hideMark/>
          </w:tcPr>
          <w:p w14:paraId="022C9ABF"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Haemoglobin</w:t>
            </w:r>
          </w:p>
        </w:tc>
        <w:tc>
          <w:tcPr>
            <w:tcW w:w="1258" w:type="dxa"/>
            <w:tcBorders>
              <w:top w:val="nil"/>
              <w:left w:val="nil"/>
              <w:bottom w:val="single" w:sz="4" w:space="0" w:color="auto"/>
              <w:right w:val="single" w:sz="4" w:space="0" w:color="auto"/>
            </w:tcBorders>
            <w:noWrap/>
            <w:vAlign w:val="center"/>
            <w:hideMark/>
          </w:tcPr>
          <w:p w14:paraId="04393AD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8.98</w:t>
            </w:r>
          </w:p>
        </w:tc>
        <w:tc>
          <w:tcPr>
            <w:tcW w:w="665" w:type="dxa"/>
            <w:tcBorders>
              <w:top w:val="nil"/>
              <w:left w:val="nil"/>
              <w:bottom w:val="single" w:sz="4" w:space="0" w:color="auto"/>
              <w:right w:val="single" w:sz="4" w:space="0" w:color="auto"/>
            </w:tcBorders>
            <w:noWrap/>
            <w:vAlign w:val="center"/>
            <w:hideMark/>
          </w:tcPr>
          <w:p w14:paraId="2292754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9.50</w:t>
            </w:r>
          </w:p>
        </w:tc>
        <w:tc>
          <w:tcPr>
            <w:tcW w:w="665" w:type="dxa"/>
            <w:tcBorders>
              <w:top w:val="nil"/>
              <w:left w:val="nil"/>
              <w:bottom w:val="single" w:sz="4" w:space="0" w:color="auto"/>
              <w:right w:val="single" w:sz="4" w:space="0" w:color="auto"/>
            </w:tcBorders>
            <w:noWrap/>
            <w:vAlign w:val="center"/>
            <w:hideMark/>
          </w:tcPr>
          <w:p w14:paraId="67AA7109"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9.65</w:t>
            </w:r>
          </w:p>
        </w:tc>
        <w:tc>
          <w:tcPr>
            <w:tcW w:w="665" w:type="dxa"/>
            <w:tcBorders>
              <w:top w:val="nil"/>
              <w:left w:val="nil"/>
              <w:bottom w:val="single" w:sz="4" w:space="0" w:color="auto"/>
              <w:right w:val="single" w:sz="4" w:space="0" w:color="auto"/>
            </w:tcBorders>
            <w:noWrap/>
            <w:vAlign w:val="center"/>
            <w:hideMark/>
          </w:tcPr>
          <w:p w14:paraId="10BF5D1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9.90</w:t>
            </w:r>
          </w:p>
        </w:tc>
        <w:tc>
          <w:tcPr>
            <w:tcW w:w="794" w:type="dxa"/>
            <w:tcBorders>
              <w:top w:val="nil"/>
              <w:left w:val="nil"/>
              <w:bottom w:val="single" w:sz="4" w:space="0" w:color="auto"/>
              <w:right w:val="single" w:sz="4" w:space="0" w:color="auto"/>
            </w:tcBorders>
            <w:noWrap/>
            <w:vAlign w:val="center"/>
            <w:hideMark/>
          </w:tcPr>
          <w:p w14:paraId="186241D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11.63</w:t>
            </w:r>
          </w:p>
        </w:tc>
        <w:tc>
          <w:tcPr>
            <w:tcW w:w="798" w:type="dxa"/>
            <w:tcBorders>
              <w:top w:val="nil"/>
              <w:left w:val="nil"/>
              <w:bottom w:val="single" w:sz="4" w:space="0" w:color="auto"/>
              <w:right w:val="single" w:sz="4" w:space="0" w:color="auto"/>
            </w:tcBorders>
            <w:noWrap/>
            <w:vAlign w:val="center"/>
            <w:hideMark/>
          </w:tcPr>
          <w:p w14:paraId="0C83FDA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9.93</w:t>
            </w:r>
          </w:p>
        </w:tc>
        <w:tc>
          <w:tcPr>
            <w:tcW w:w="944" w:type="dxa"/>
            <w:tcBorders>
              <w:top w:val="nil"/>
              <w:left w:val="nil"/>
              <w:bottom w:val="single" w:sz="4" w:space="0" w:color="auto"/>
              <w:right w:val="single" w:sz="4" w:space="0" w:color="auto"/>
            </w:tcBorders>
            <w:noWrap/>
            <w:vAlign w:val="center"/>
            <w:hideMark/>
          </w:tcPr>
          <w:p w14:paraId="3EA73D9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0.23</w:t>
            </w:r>
          </w:p>
        </w:tc>
        <w:tc>
          <w:tcPr>
            <w:tcW w:w="831" w:type="dxa"/>
            <w:tcBorders>
              <w:top w:val="nil"/>
              <w:left w:val="nil"/>
              <w:bottom w:val="single" w:sz="4" w:space="0" w:color="auto"/>
              <w:right w:val="single" w:sz="4" w:space="0" w:color="auto"/>
            </w:tcBorders>
            <w:noWrap/>
            <w:vAlign w:val="center"/>
            <w:hideMark/>
          </w:tcPr>
          <w:p w14:paraId="30F1E99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0.69</w:t>
            </w:r>
          </w:p>
        </w:tc>
        <w:tc>
          <w:tcPr>
            <w:tcW w:w="1498" w:type="dxa"/>
            <w:tcBorders>
              <w:top w:val="nil"/>
              <w:left w:val="nil"/>
              <w:bottom w:val="single" w:sz="4" w:space="0" w:color="auto"/>
              <w:right w:val="single" w:sz="4" w:space="0" w:color="auto"/>
            </w:tcBorders>
            <w:vAlign w:val="center"/>
            <w:hideMark/>
          </w:tcPr>
          <w:p w14:paraId="4B9A7695"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8.00 – 12.00 (g/dl)</w:t>
            </w:r>
          </w:p>
        </w:tc>
      </w:tr>
      <w:tr w:rsidR="000B33EE" w:rsidRPr="00C322E9" w14:paraId="7DF05C12" w14:textId="77777777" w:rsidTr="00856B7F">
        <w:trPr>
          <w:trHeight w:val="356"/>
        </w:trPr>
        <w:tc>
          <w:tcPr>
            <w:tcW w:w="1594" w:type="dxa"/>
            <w:tcBorders>
              <w:top w:val="nil"/>
              <w:left w:val="single" w:sz="4" w:space="0" w:color="auto"/>
              <w:bottom w:val="single" w:sz="4" w:space="0" w:color="auto"/>
              <w:right w:val="single" w:sz="4" w:space="0" w:color="auto"/>
            </w:tcBorders>
            <w:noWrap/>
            <w:vAlign w:val="center"/>
            <w:hideMark/>
          </w:tcPr>
          <w:p w14:paraId="1E094668"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RBC</w:t>
            </w:r>
          </w:p>
        </w:tc>
        <w:tc>
          <w:tcPr>
            <w:tcW w:w="1258" w:type="dxa"/>
            <w:tcBorders>
              <w:top w:val="nil"/>
              <w:left w:val="nil"/>
              <w:bottom w:val="single" w:sz="4" w:space="0" w:color="auto"/>
              <w:right w:val="single" w:sz="4" w:space="0" w:color="auto"/>
            </w:tcBorders>
            <w:noWrap/>
            <w:vAlign w:val="center"/>
            <w:hideMark/>
          </w:tcPr>
          <w:p w14:paraId="64DED06E"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7.63</w:t>
            </w:r>
          </w:p>
        </w:tc>
        <w:tc>
          <w:tcPr>
            <w:tcW w:w="665" w:type="dxa"/>
            <w:tcBorders>
              <w:top w:val="nil"/>
              <w:left w:val="nil"/>
              <w:bottom w:val="single" w:sz="4" w:space="0" w:color="auto"/>
              <w:right w:val="single" w:sz="4" w:space="0" w:color="auto"/>
            </w:tcBorders>
            <w:noWrap/>
            <w:vAlign w:val="center"/>
            <w:hideMark/>
          </w:tcPr>
          <w:p w14:paraId="52EF053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8.33</w:t>
            </w:r>
          </w:p>
        </w:tc>
        <w:tc>
          <w:tcPr>
            <w:tcW w:w="665" w:type="dxa"/>
            <w:tcBorders>
              <w:top w:val="nil"/>
              <w:left w:val="nil"/>
              <w:bottom w:val="single" w:sz="4" w:space="0" w:color="auto"/>
              <w:right w:val="single" w:sz="4" w:space="0" w:color="auto"/>
            </w:tcBorders>
            <w:noWrap/>
            <w:vAlign w:val="center"/>
            <w:hideMark/>
          </w:tcPr>
          <w:p w14:paraId="36A724F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8.13</w:t>
            </w:r>
          </w:p>
        </w:tc>
        <w:tc>
          <w:tcPr>
            <w:tcW w:w="665" w:type="dxa"/>
            <w:tcBorders>
              <w:top w:val="nil"/>
              <w:left w:val="nil"/>
              <w:bottom w:val="single" w:sz="4" w:space="0" w:color="auto"/>
              <w:right w:val="single" w:sz="4" w:space="0" w:color="auto"/>
            </w:tcBorders>
            <w:noWrap/>
            <w:vAlign w:val="center"/>
            <w:hideMark/>
          </w:tcPr>
          <w:p w14:paraId="4541A405"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8.38</w:t>
            </w:r>
          </w:p>
        </w:tc>
        <w:tc>
          <w:tcPr>
            <w:tcW w:w="794" w:type="dxa"/>
            <w:tcBorders>
              <w:top w:val="nil"/>
              <w:left w:val="nil"/>
              <w:bottom w:val="single" w:sz="4" w:space="0" w:color="auto"/>
              <w:right w:val="single" w:sz="4" w:space="0" w:color="auto"/>
            </w:tcBorders>
            <w:noWrap/>
            <w:vAlign w:val="center"/>
            <w:hideMark/>
          </w:tcPr>
          <w:p w14:paraId="023E259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8.88</w:t>
            </w:r>
          </w:p>
        </w:tc>
        <w:tc>
          <w:tcPr>
            <w:tcW w:w="798" w:type="dxa"/>
            <w:tcBorders>
              <w:top w:val="nil"/>
              <w:left w:val="nil"/>
              <w:bottom w:val="single" w:sz="4" w:space="0" w:color="auto"/>
              <w:right w:val="single" w:sz="4" w:space="0" w:color="auto"/>
            </w:tcBorders>
            <w:noWrap/>
            <w:vAlign w:val="center"/>
            <w:hideMark/>
          </w:tcPr>
          <w:p w14:paraId="2533E5A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8.27</w:t>
            </w:r>
          </w:p>
        </w:tc>
        <w:tc>
          <w:tcPr>
            <w:tcW w:w="944" w:type="dxa"/>
            <w:tcBorders>
              <w:top w:val="nil"/>
              <w:left w:val="nil"/>
              <w:bottom w:val="single" w:sz="4" w:space="0" w:color="auto"/>
              <w:right w:val="single" w:sz="4" w:space="0" w:color="auto"/>
            </w:tcBorders>
            <w:noWrap/>
            <w:vAlign w:val="center"/>
            <w:hideMark/>
          </w:tcPr>
          <w:p w14:paraId="52FEC19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0.46</w:t>
            </w:r>
          </w:p>
        </w:tc>
        <w:tc>
          <w:tcPr>
            <w:tcW w:w="831" w:type="dxa"/>
            <w:tcBorders>
              <w:top w:val="nil"/>
              <w:left w:val="nil"/>
              <w:bottom w:val="single" w:sz="4" w:space="0" w:color="auto"/>
              <w:right w:val="single" w:sz="4" w:space="0" w:color="auto"/>
            </w:tcBorders>
            <w:noWrap/>
            <w:vAlign w:val="center"/>
            <w:hideMark/>
          </w:tcPr>
          <w:p w14:paraId="1255A0F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noWrap/>
            <w:vAlign w:val="center"/>
            <w:hideMark/>
          </w:tcPr>
          <w:p w14:paraId="7A0DC94C"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8.00 – 18.00 (×10</w:t>
            </w:r>
            <w:r w:rsidRPr="00171FD9">
              <w:rPr>
                <w:rFonts w:ascii="Times New Roman" w:eastAsia="Times New Roman" w:hAnsi="Times New Roman" w:cs="Times New Roman"/>
                <w:color w:val="000000"/>
                <w:sz w:val="24"/>
                <w:szCs w:val="24"/>
                <w:vertAlign w:val="superscript"/>
                <w:lang w:eastAsia="en-IN" w:bidi="hi-IN"/>
              </w:rPr>
              <w:t>6</w:t>
            </w:r>
            <w:r w:rsidRPr="00171FD9">
              <w:rPr>
                <w:rFonts w:ascii="Times New Roman" w:eastAsia="Times New Roman" w:hAnsi="Times New Roman" w:cs="Times New Roman"/>
                <w:color w:val="000000"/>
                <w:sz w:val="24"/>
                <w:szCs w:val="24"/>
                <w:lang w:eastAsia="en-IN" w:bidi="hi-IN"/>
              </w:rPr>
              <w:t>/µl)</w:t>
            </w:r>
          </w:p>
        </w:tc>
      </w:tr>
      <w:tr w:rsidR="000B33EE" w:rsidRPr="00C322E9" w14:paraId="6015CF43" w14:textId="77777777" w:rsidTr="00856B7F">
        <w:trPr>
          <w:trHeight w:val="356"/>
        </w:trPr>
        <w:tc>
          <w:tcPr>
            <w:tcW w:w="1594" w:type="dxa"/>
            <w:tcBorders>
              <w:top w:val="nil"/>
              <w:left w:val="single" w:sz="4" w:space="0" w:color="auto"/>
              <w:bottom w:val="single" w:sz="4" w:space="0" w:color="auto"/>
              <w:right w:val="single" w:sz="4" w:space="0" w:color="auto"/>
            </w:tcBorders>
            <w:noWrap/>
            <w:vAlign w:val="center"/>
            <w:hideMark/>
          </w:tcPr>
          <w:p w14:paraId="09091B4C"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WBC</w:t>
            </w:r>
          </w:p>
        </w:tc>
        <w:tc>
          <w:tcPr>
            <w:tcW w:w="1258" w:type="dxa"/>
            <w:tcBorders>
              <w:top w:val="nil"/>
              <w:left w:val="nil"/>
              <w:bottom w:val="single" w:sz="4" w:space="0" w:color="auto"/>
              <w:right w:val="single" w:sz="4" w:space="0" w:color="auto"/>
            </w:tcBorders>
            <w:vAlign w:val="center"/>
            <w:hideMark/>
          </w:tcPr>
          <w:p w14:paraId="3D68F6B8"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10.13</w:t>
            </w:r>
          </w:p>
        </w:tc>
        <w:tc>
          <w:tcPr>
            <w:tcW w:w="665" w:type="dxa"/>
            <w:tcBorders>
              <w:top w:val="nil"/>
              <w:left w:val="nil"/>
              <w:bottom w:val="single" w:sz="4" w:space="0" w:color="auto"/>
              <w:right w:val="single" w:sz="4" w:space="0" w:color="auto"/>
            </w:tcBorders>
            <w:vAlign w:val="center"/>
            <w:hideMark/>
          </w:tcPr>
          <w:p w14:paraId="7ECDCEF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10.2</w:t>
            </w:r>
          </w:p>
        </w:tc>
        <w:tc>
          <w:tcPr>
            <w:tcW w:w="665" w:type="dxa"/>
            <w:tcBorders>
              <w:top w:val="nil"/>
              <w:left w:val="nil"/>
              <w:bottom w:val="single" w:sz="4" w:space="0" w:color="auto"/>
              <w:right w:val="single" w:sz="4" w:space="0" w:color="auto"/>
            </w:tcBorders>
            <w:vAlign w:val="center"/>
            <w:hideMark/>
          </w:tcPr>
          <w:p w14:paraId="388945E0"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10.4</w:t>
            </w:r>
          </w:p>
        </w:tc>
        <w:tc>
          <w:tcPr>
            <w:tcW w:w="665" w:type="dxa"/>
            <w:tcBorders>
              <w:top w:val="nil"/>
              <w:left w:val="nil"/>
              <w:bottom w:val="single" w:sz="4" w:space="0" w:color="auto"/>
              <w:right w:val="single" w:sz="4" w:space="0" w:color="auto"/>
            </w:tcBorders>
            <w:vAlign w:val="center"/>
            <w:hideMark/>
          </w:tcPr>
          <w:p w14:paraId="054A771F"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10.1</w:t>
            </w:r>
          </w:p>
        </w:tc>
        <w:tc>
          <w:tcPr>
            <w:tcW w:w="794" w:type="dxa"/>
            <w:tcBorders>
              <w:top w:val="nil"/>
              <w:left w:val="nil"/>
              <w:bottom w:val="single" w:sz="4" w:space="0" w:color="auto"/>
              <w:right w:val="single" w:sz="4" w:space="0" w:color="auto"/>
            </w:tcBorders>
            <w:vAlign w:val="center"/>
            <w:hideMark/>
          </w:tcPr>
          <w:p w14:paraId="14C8A47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10.3</w:t>
            </w:r>
          </w:p>
        </w:tc>
        <w:tc>
          <w:tcPr>
            <w:tcW w:w="798" w:type="dxa"/>
            <w:tcBorders>
              <w:top w:val="nil"/>
              <w:left w:val="nil"/>
              <w:bottom w:val="single" w:sz="4" w:space="0" w:color="auto"/>
              <w:right w:val="single" w:sz="4" w:space="0" w:color="auto"/>
            </w:tcBorders>
            <w:vAlign w:val="center"/>
            <w:hideMark/>
          </w:tcPr>
          <w:p w14:paraId="70598E7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10.2</w:t>
            </w:r>
          </w:p>
        </w:tc>
        <w:tc>
          <w:tcPr>
            <w:tcW w:w="944" w:type="dxa"/>
            <w:tcBorders>
              <w:top w:val="nil"/>
              <w:left w:val="nil"/>
              <w:bottom w:val="single" w:sz="4" w:space="0" w:color="auto"/>
              <w:right w:val="single" w:sz="4" w:space="0" w:color="auto"/>
            </w:tcBorders>
            <w:vAlign w:val="center"/>
            <w:hideMark/>
          </w:tcPr>
          <w:p w14:paraId="36BC52E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469.3</w:t>
            </w:r>
          </w:p>
        </w:tc>
        <w:tc>
          <w:tcPr>
            <w:tcW w:w="831" w:type="dxa"/>
            <w:tcBorders>
              <w:top w:val="nil"/>
              <w:left w:val="nil"/>
              <w:bottom w:val="single" w:sz="4" w:space="0" w:color="auto"/>
              <w:right w:val="single" w:sz="4" w:space="0" w:color="auto"/>
            </w:tcBorders>
            <w:vAlign w:val="center"/>
            <w:hideMark/>
          </w:tcPr>
          <w:p w14:paraId="71C4A38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noWrap/>
            <w:vAlign w:val="center"/>
            <w:hideMark/>
          </w:tcPr>
          <w:p w14:paraId="1FC19249"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4.0 – 13.0 (×10</w:t>
            </w:r>
            <w:r w:rsidRPr="00171FD9">
              <w:rPr>
                <w:rFonts w:ascii="Times New Roman" w:eastAsia="Times New Roman" w:hAnsi="Times New Roman" w:cs="Times New Roman"/>
                <w:color w:val="000000"/>
                <w:sz w:val="24"/>
                <w:szCs w:val="24"/>
                <w:vertAlign w:val="superscript"/>
                <w:lang w:eastAsia="en-IN" w:bidi="hi-IN"/>
              </w:rPr>
              <w:t>3</w:t>
            </w:r>
            <w:r w:rsidRPr="00171FD9">
              <w:rPr>
                <w:rFonts w:ascii="Times New Roman" w:eastAsia="Times New Roman" w:hAnsi="Times New Roman" w:cs="Times New Roman"/>
                <w:color w:val="000000"/>
                <w:sz w:val="24"/>
                <w:szCs w:val="24"/>
                <w:lang w:eastAsia="en-IN" w:bidi="hi-IN"/>
              </w:rPr>
              <w:t>/µl)</w:t>
            </w:r>
          </w:p>
        </w:tc>
      </w:tr>
      <w:tr w:rsidR="000B33EE" w:rsidRPr="00C322E9" w14:paraId="484FEEC7" w14:textId="77777777" w:rsidTr="00856B7F">
        <w:trPr>
          <w:trHeight w:val="471"/>
        </w:trPr>
        <w:tc>
          <w:tcPr>
            <w:tcW w:w="1594" w:type="dxa"/>
            <w:tcBorders>
              <w:top w:val="nil"/>
              <w:left w:val="single" w:sz="4" w:space="0" w:color="auto"/>
              <w:bottom w:val="single" w:sz="4" w:space="0" w:color="auto"/>
              <w:right w:val="single" w:sz="4" w:space="0" w:color="auto"/>
            </w:tcBorders>
            <w:noWrap/>
            <w:vAlign w:val="center"/>
            <w:hideMark/>
          </w:tcPr>
          <w:p w14:paraId="3FBD27E3"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Total protein</w:t>
            </w:r>
          </w:p>
        </w:tc>
        <w:tc>
          <w:tcPr>
            <w:tcW w:w="1258" w:type="dxa"/>
            <w:tcBorders>
              <w:top w:val="nil"/>
              <w:left w:val="nil"/>
              <w:bottom w:val="single" w:sz="4" w:space="0" w:color="auto"/>
              <w:right w:val="single" w:sz="4" w:space="0" w:color="auto"/>
            </w:tcBorders>
            <w:vAlign w:val="center"/>
            <w:hideMark/>
          </w:tcPr>
          <w:p w14:paraId="56B0148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6.75</w:t>
            </w:r>
          </w:p>
        </w:tc>
        <w:tc>
          <w:tcPr>
            <w:tcW w:w="665" w:type="dxa"/>
            <w:tcBorders>
              <w:top w:val="nil"/>
              <w:left w:val="nil"/>
              <w:bottom w:val="single" w:sz="4" w:space="0" w:color="auto"/>
              <w:right w:val="single" w:sz="4" w:space="0" w:color="auto"/>
            </w:tcBorders>
            <w:vAlign w:val="center"/>
            <w:hideMark/>
          </w:tcPr>
          <w:p w14:paraId="3C10F39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6.71</w:t>
            </w:r>
          </w:p>
        </w:tc>
        <w:tc>
          <w:tcPr>
            <w:tcW w:w="665" w:type="dxa"/>
            <w:tcBorders>
              <w:top w:val="nil"/>
              <w:left w:val="nil"/>
              <w:bottom w:val="single" w:sz="4" w:space="0" w:color="auto"/>
              <w:right w:val="single" w:sz="4" w:space="0" w:color="auto"/>
            </w:tcBorders>
            <w:vAlign w:val="center"/>
            <w:hideMark/>
          </w:tcPr>
          <w:p w14:paraId="715E7CB6"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6.84</w:t>
            </w:r>
          </w:p>
        </w:tc>
        <w:tc>
          <w:tcPr>
            <w:tcW w:w="665" w:type="dxa"/>
            <w:tcBorders>
              <w:top w:val="nil"/>
              <w:left w:val="nil"/>
              <w:bottom w:val="single" w:sz="4" w:space="0" w:color="auto"/>
              <w:right w:val="single" w:sz="4" w:space="0" w:color="auto"/>
            </w:tcBorders>
            <w:vAlign w:val="center"/>
            <w:hideMark/>
          </w:tcPr>
          <w:p w14:paraId="50E3588A"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6.75</w:t>
            </w:r>
          </w:p>
        </w:tc>
        <w:tc>
          <w:tcPr>
            <w:tcW w:w="794" w:type="dxa"/>
            <w:tcBorders>
              <w:top w:val="nil"/>
              <w:left w:val="nil"/>
              <w:bottom w:val="single" w:sz="4" w:space="0" w:color="auto"/>
              <w:right w:val="single" w:sz="4" w:space="0" w:color="auto"/>
            </w:tcBorders>
            <w:vAlign w:val="center"/>
            <w:hideMark/>
          </w:tcPr>
          <w:p w14:paraId="3CC87AE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6.71</w:t>
            </w:r>
          </w:p>
        </w:tc>
        <w:tc>
          <w:tcPr>
            <w:tcW w:w="798" w:type="dxa"/>
            <w:tcBorders>
              <w:top w:val="nil"/>
              <w:left w:val="nil"/>
              <w:bottom w:val="single" w:sz="4" w:space="0" w:color="auto"/>
              <w:right w:val="single" w:sz="4" w:space="0" w:color="auto"/>
            </w:tcBorders>
            <w:vAlign w:val="center"/>
            <w:hideMark/>
          </w:tcPr>
          <w:p w14:paraId="721ECDE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6.75</w:t>
            </w:r>
          </w:p>
        </w:tc>
        <w:tc>
          <w:tcPr>
            <w:tcW w:w="944" w:type="dxa"/>
            <w:tcBorders>
              <w:top w:val="nil"/>
              <w:left w:val="nil"/>
              <w:bottom w:val="single" w:sz="4" w:space="0" w:color="auto"/>
              <w:right w:val="single" w:sz="4" w:space="0" w:color="auto"/>
            </w:tcBorders>
            <w:vAlign w:val="center"/>
            <w:hideMark/>
          </w:tcPr>
          <w:p w14:paraId="22CEBBD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0.14</w:t>
            </w:r>
          </w:p>
        </w:tc>
        <w:tc>
          <w:tcPr>
            <w:tcW w:w="831" w:type="dxa"/>
            <w:tcBorders>
              <w:top w:val="nil"/>
              <w:left w:val="nil"/>
              <w:bottom w:val="single" w:sz="4" w:space="0" w:color="auto"/>
              <w:right w:val="single" w:sz="4" w:space="0" w:color="auto"/>
            </w:tcBorders>
            <w:vAlign w:val="center"/>
            <w:hideMark/>
          </w:tcPr>
          <w:p w14:paraId="7007F5BF"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vAlign w:val="center"/>
            <w:hideMark/>
          </w:tcPr>
          <w:p w14:paraId="7C6BA2C2"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6.4 – 7.0 (g/dl)</w:t>
            </w:r>
          </w:p>
        </w:tc>
      </w:tr>
      <w:tr w:rsidR="000B33EE" w:rsidRPr="00C322E9" w14:paraId="247AFF21" w14:textId="77777777" w:rsidTr="00856B7F">
        <w:trPr>
          <w:trHeight w:val="571"/>
        </w:trPr>
        <w:tc>
          <w:tcPr>
            <w:tcW w:w="1594" w:type="dxa"/>
            <w:tcBorders>
              <w:top w:val="nil"/>
              <w:left w:val="single" w:sz="4" w:space="0" w:color="auto"/>
              <w:bottom w:val="single" w:sz="4" w:space="0" w:color="auto"/>
              <w:right w:val="single" w:sz="4" w:space="0" w:color="auto"/>
            </w:tcBorders>
            <w:noWrap/>
            <w:vAlign w:val="center"/>
            <w:hideMark/>
          </w:tcPr>
          <w:p w14:paraId="3D881D56"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lastRenderedPageBreak/>
              <w:t>Serum albumin</w:t>
            </w:r>
          </w:p>
        </w:tc>
        <w:tc>
          <w:tcPr>
            <w:tcW w:w="1258" w:type="dxa"/>
            <w:tcBorders>
              <w:top w:val="nil"/>
              <w:left w:val="nil"/>
              <w:bottom w:val="single" w:sz="4" w:space="0" w:color="auto"/>
              <w:right w:val="single" w:sz="4" w:space="0" w:color="auto"/>
            </w:tcBorders>
            <w:vAlign w:val="center"/>
            <w:hideMark/>
          </w:tcPr>
          <w:p w14:paraId="29DA4C4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3.63</w:t>
            </w:r>
          </w:p>
        </w:tc>
        <w:tc>
          <w:tcPr>
            <w:tcW w:w="665" w:type="dxa"/>
            <w:tcBorders>
              <w:top w:val="nil"/>
              <w:left w:val="nil"/>
              <w:bottom w:val="single" w:sz="4" w:space="0" w:color="auto"/>
              <w:right w:val="single" w:sz="4" w:space="0" w:color="auto"/>
            </w:tcBorders>
            <w:vAlign w:val="center"/>
            <w:hideMark/>
          </w:tcPr>
          <w:p w14:paraId="36ADFA9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3.54</w:t>
            </w:r>
          </w:p>
        </w:tc>
        <w:tc>
          <w:tcPr>
            <w:tcW w:w="665" w:type="dxa"/>
            <w:tcBorders>
              <w:top w:val="nil"/>
              <w:left w:val="nil"/>
              <w:bottom w:val="single" w:sz="4" w:space="0" w:color="auto"/>
              <w:right w:val="single" w:sz="4" w:space="0" w:color="auto"/>
            </w:tcBorders>
            <w:vAlign w:val="center"/>
            <w:hideMark/>
          </w:tcPr>
          <w:p w14:paraId="4B726949"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3.75</w:t>
            </w:r>
          </w:p>
        </w:tc>
        <w:tc>
          <w:tcPr>
            <w:tcW w:w="665" w:type="dxa"/>
            <w:tcBorders>
              <w:top w:val="nil"/>
              <w:left w:val="nil"/>
              <w:bottom w:val="single" w:sz="4" w:space="0" w:color="auto"/>
              <w:right w:val="single" w:sz="4" w:space="0" w:color="auto"/>
            </w:tcBorders>
            <w:vAlign w:val="center"/>
            <w:hideMark/>
          </w:tcPr>
          <w:p w14:paraId="7F3E02D6"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3.48</w:t>
            </w:r>
          </w:p>
        </w:tc>
        <w:tc>
          <w:tcPr>
            <w:tcW w:w="794" w:type="dxa"/>
            <w:tcBorders>
              <w:top w:val="nil"/>
              <w:left w:val="nil"/>
              <w:bottom w:val="single" w:sz="4" w:space="0" w:color="auto"/>
              <w:right w:val="single" w:sz="4" w:space="0" w:color="auto"/>
            </w:tcBorders>
            <w:vAlign w:val="center"/>
            <w:hideMark/>
          </w:tcPr>
          <w:p w14:paraId="08FFCC79"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3.42</w:t>
            </w:r>
          </w:p>
        </w:tc>
        <w:tc>
          <w:tcPr>
            <w:tcW w:w="798" w:type="dxa"/>
            <w:tcBorders>
              <w:top w:val="nil"/>
              <w:left w:val="nil"/>
              <w:bottom w:val="single" w:sz="4" w:space="0" w:color="auto"/>
              <w:right w:val="single" w:sz="4" w:space="0" w:color="auto"/>
            </w:tcBorders>
            <w:vAlign w:val="center"/>
            <w:hideMark/>
          </w:tcPr>
          <w:p w14:paraId="5853F3D4"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3.56</w:t>
            </w:r>
          </w:p>
        </w:tc>
        <w:tc>
          <w:tcPr>
            <w:tcW w:w="944" w:type="dxa"/>
            <w:tcBorders>
              <w:top w:val="nil"/>
              <w:left w:val="nil"/>
              <w:bottom w:val="single" w:sz="4" w:space="0" w:color="auto"/>
              <w:right w:val="single" w:sz="4" w:space="0" w:color="auto"/>
            </w:tcBorders>
            <w:vAlign w:val="center"/>
            <w:hideMark/>
          </w:tcPr>
          <w:p w14:paraId="27BDFCD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0.14</w:t>
            </w:r>
          </w:p>
        </w:tc>
        <w:tc>
          <w:tcPr>
            <w:tcW w:w="831" w:type="dxa"/>
            <w:tcBorders>
              <w:top w:val="nil"/>
              <w:left w:val="nil"/>
              <w:bottom w:val="single" w:sz="4" w:space="0" w:color="auto"/>
              <w:right w:val="single" w:sz="4" w:space="0" w:color="auto"/>
            </w:tcBorders>
            <w:vAlign w:val="center"/>
            <w:hideMark/>
          </w:tcPr>
          <w:p w14:paraId="3E9A4C8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vAlign w:val="center"/>
            <w:hideMark/>
          </w:tcPr>
          <w:p w14:paraId="4076B142"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2.7 – 3.9 (g/dl)</w:t>
            </w:r>
          </w:p>
        </w:tc>
      </w:tr>
      <w:tr w:rsidR="000B33EE" w:rsidRPr="00C322E9" w14:paraId="58F7B2F4" w14:textId="77777777" w:rsidTr="00856B7F">
        <w:trPr>
          <w:trHeight w:val="577"/>
        </w:trPr>
        <w:tc>
          <w:tcPr>
            <w:tcW w:w="1594" w:type="dxa"/>
            <w:tcBorders>
              <w:top w:val="nil"/>
              <w:left w:val="single" w:sz="4" w:space="0" w:color="auto"/>
              <w:bottom w:val="single" w:sz="4" w:space="0" w:color="auto"/>
              <w:right w:val="single" w:sz="4" w:space="0" w:color="auto"/>
            </w:tcBorders>
            <w:noWrap/>
            <w:vAlign w:val="center"/>
            <w:hideMark/>
          </w:tcPr>
          <w:p w14:paraId="1D9A59C6"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Serum globulin</w:t>
            </w:r>
          </w:p>
        </w:tc>
        <w:tc>
          <w:tcPr>
            <w:tcW w:w="1258" w:type="dxa"/>
            <w:tcBorders>
              <w:top w:val="nil"/>
              <w:left w:val="nil"/>
              <w:bottom w:val="single" w:sz="4" w:space="0" w:color="auto"/>
              <w:right w:val="single" w:sz="4" w:space="0" w:color="auto"/>
            </w:tcBorders>
            <w:vAlign w:val="center"/>
            <w:hideMark/>
          </w:tcPr>
          <w:p w14:paraId="4572D10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3.12</w:t>
            </w:r>
          </w:p>
        </w:tc>
        <w:tc>
          <w:tcPr>
            <w:tcW w:w="665" w:type="dxa"/>
            <w:tcBorders>
              <w:top w:val="nil"/>
              <w:left w:val="nil"/>
              <w:bottom w:val="single" w:sz="4" w:space="0" w:color="auto"/>
              <w:right w:val="single" w:sz="4" w:space="0" w:color="auto"/>
            </w:tcBorders>
            <w:vAlign w:val="center"/>
            <w:hideMark/>
          </w:tcPr>
          <w:p w14:paraId="60C9DA0D"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3.17</w:t>
            </w:r>
          </w:p>
        </w:tc>
        <w:tc>
          <w:tcPr>
            <w:tcW w:w="665" w:type="dxa"/>
            <w:tcBorders>
              <w:top w:val="nil"/>
              <w:left w:val="nil"/>
              <w:bottom w:val="single" w:sz="4" w:space="0" w:color="auto"/>
              <w:right w:val="single" w:sz="4" w:space="0" w:color="auto"/>
            </w:tcBorders>
            <w:vAlign w:val="center"/>
            <w:hideMark/>
          </w:tcPr>
          <w:p w14:paraId="3ABEFCC4"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3.09</w:t>
            </w:r>
          </w:p>
        </w:tc>
        <w:tc>
          <w:tcPr>
            <w:tcW w:w="665" w:type="dxa"/>
            <w:tcBorders>
              <w:top w:val="nil"/>
              <w:left w:val="nil"/>
              <w:bottom w:val="single" w:sz="4" w:space="0" w:color="auto"/>
              <w:right w:val="single" w:sz="4" w:space="0" w:color="auto"/>
            </w:tcBorders>
            <w:vAlign w:val="center"/>
            <w:hideMark/>
          </w:tcPr>
          <w:p w14:paraId="4BF3AF16"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3.27</w:t>
            </w:r>
          </w:p>
        </w:tc>
        <w:tc>
          <w:tcPr>
            <w:tcW w:w="794" w:type="dxa"/>
            <w:tcBorders>
              <w:top w:val="nil"/>
              <w:left w:val="nil"/>
              <w:bottom w:val="single" w:sz="4" w:space="0" w:color="auto"/>
              <w:right w:val="single" w:sz="4" w:space="0" w:color="auto"/>
            </w:tcBorders>
            <w:vAlign w:val="center"/>
            <w:hideMark/>
          </w:tcPr>
          <w:p w14:paraId="5E90CE8F"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3.29</w:t>
            </w:r>
          </w:p>
        </w:tc>
        <w:tc>
          <w:tcPr>
            <w:tcW w:w="798" w:type="dxa"/>
            <w:tcBorders>
              <w:top w:val="nil"/>
              <w:left w:val="nil"/>
              <w:bottom w:val="single" w:sz="4" w:space="0" w:color="auto"/>
              <w:right w:val="single" w:sz="4" w:space="0" w:color="auto"/>
            </w:tcBorders>
            <w:vAlign w:val="center"/>
            <w:hideMark/>
          </w:tcPr>
          <w:p w14:paraId="74512F8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3.19</w:t>
            </w:r>
          </w:p>
        </w:tc>
        <w:tc>
          <w:tcPr>
            <w:tcW w:w="944" w:type="dxa"/>
            <w:tcBorders>
              <w:top w:val="nil"/>
              <w:left w:val="nil"/>
              <w:bottom w:val="single" w:sz="4" w:space="0" w:color="auto"/>
              <w:right w:val="single" w:sz="4" w:space="0" w:color="auto"/>
            </w:tcBorders>
            <w:vAlign w:val="center"/>
            <w:hideMark/>
          </w:tcPr>
          <w:p w14:paraId="6999E167"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0.13</w:t>
            </w:r>
          </w:p>
        </w:tc>
        <w:tc>
          <w:tcPr>
            <w:tcW w:w="831" w:type="dxa"/>
            <w:tcBorders>
              <w:top w:val="nil"/>
              <w:left w:val="nil"/>
              <w:bottom w:val="single" w:sz="4" w:space="0" w:color="auto"/>
              <w:right w:val="single" w:sz="4" w:space="0" w:color="auto"/>
            </w:tcBorders>
            <w:vAlign w:val="center"/>
            <w:hideMark/>
          </w:tcPr>
          <w:p w14:paraId="4F691AA3"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val="en-IN" w:eastAsia="en-IN" w:bidi="hi-IN"/>
              </w:rPr>
              <w:t>NS</w:t>
            </w:r>
          </w:p>
        </w:tc>
        <w:tc>
          <w:tcPr>
            <w:tcW w:w="1498" w:type="dxa"/>
            <w:tcBorders>
              <w:top w:val="nil"/>
              <w:left w:val="nil"/>
              <w:bottom w:val="single" w:sz="4" w:space="0" w:color="auto"/>
              <w:right w:val="single" w:sz="4" w:space="0" w:color="auto"/>
            </w:tcBorders>
            <w:vAlign w:val="center"/>
            <w:hideMark/>
          </w:tcPr>
          <w:p w14:paraId="0E2FC07A"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eastAsia="en-IN" w:bidi="hi-IN"/>
              </w:rPr>
              <w:t>2.7 – 4.1 (g/dl)</w:t>
            </w:r>
          </w:p>
        </w:tc>
      </w:tr>
      <w:tr w:rsidR="000B33EE" w:rsidRPr="00C322E9" w14:paraId="4D7007B9" w14:textId="77777777" w:rsidTr="00856B7F">
        <w:trPr>
          <w:trHeight w:val="560"/>
        </w:trPr>
        <w:tc>
          <w:tcPr>
            <w:tcW w:w="1594" w:type="dxa"/>
            <w:tcBorders>
              <w:top w:val="nil"/>
              <w:left w:val="single" w:sz="4" w:space="0" w:color="auto"/>
              <w:bottom w:val="single" w:sz="4" w:space="0" w:color="auto"/>
              <w:right w:val="single" w:sz="4" w:space="0" w:color="auto"/>
            </w:tcBorders>
            <w:noWrap/>
            <w:vAlign w:val="center"/>
            <w:hideMark/>
          </w:tcPr>
          <w:p w14:paraId="3199220B" w14:textId="77777777" w:rsidR="006A346C" w:rsidRPr="00B84317" w:rsidRDefault="006A346C" w:rsidP="00A248C6">
            <w:pPr>
              <w:jc w:val="center"/>
              <w:rPr>
                <w:rFonts w:ascii="Times New Roman" w:eastAsia="Times New Roman" w:hAnsi="Times New Roman" w:cs="Times New Roman"/>
                <w:b/>
                <w:bCs/>
                <w:color w:val="000000"/>
                <w:sz w:val="24"/>
                <w:szCs w:val="24"/>
                <w:lang w:val="en-IN" w:eastAsia="en-IN" w:bidi="hi-IN"/>
              </w:rPr>
            </w:pPr>
            <w:r w:rsidRPr="00B84317">
              <w:rPr>
                <w:rFonts w:ascii="Times New Roman" w:eastAsia="Times New Roman" w:hAnsi="Times New Roman" w:cs="Times New Roman"/>
                <w:b/>
                <w:bCs/>
                <w:color w:val="000000"/>
                <w:sz w:val="24"/>
                <w:szCs w:val="24"/>
                <w:lang w:val="en-IN" w:eastAsia="en-IN" w:bidi="hi-IN"/>
              </w:rPr>
              <w:t>Total cholesterol</w:t>
            </w:r>
          </w:p>
        </w:tc>
        <w:tc>
          <w:tcPr>
            <w:tcW w:w="1258" w:type="dxa"/>
            <w:tcBorders>
              <w:top w:val="nil"/>
              <w:left w:val="nil"/>
              <w:bottom w:val="single" w:sz="4" w:space="0" w:color="auto"/>
              <w:right w:val="single" w:sz="4" w:space="0" w:color="auto"/>
            </w:tcBorders>
            <w:vAlign w:val="center"/>
            <w:hideMark/>
          </w:tcPr>
          <w:p w14:paraId="5ABBCCF2"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89.75</w:t>
            </w:r>
          </w:p>
        </w:tc>
        <w:tc>
          <w:tcPr>
            <w:tcW w:w="665" w:type="dxa"/>
            <w:tcBorders>
              <w:top w:val="nil"/>
              <w:left w:val="nil"/>
              <w:bottom w:val="single" w:sz="4" w:space="0" w:color="auto"/>
              <w:right w:val="single" w:sz="4" w:space="0" w:color="auto"/>
            </w:tcBorders>
            <w:vAlign w:val="center"/>
            <w:hideMark/>
          </w:tcPr>
          <w:p w14:paraId="71B24EA8"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90.5</w:t>
            </w:r>
          </w:p>
        </w:tc>
        <w:tc>
          <w:tcPr>
            <w:tcW w:w="665" w:type="dxa"/>
            <w:tcBorders>
              <w:top w:val="nil"/>
              <w:left w:val="nil"/>
              <w:bottom w:val="single" w:sz="4" w:space="0" w:color="auto"/>
              <w:right w:val="single" w:sz="4" w:space="0" w:color="auto"/>
            </w:tcBorders>
            <w:vAlign w:val="center"/>
            <w:hideMark/>
          </w:tcPr>
          <w:p w14:paraId="60806EB4"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85.8</w:t>
            </w:r>
          </w:p>
        </w:tc>
        <w:tc>
          <w:tcPr>
            <w:tcW w:w="665" w:type="dxa"/>
            <w:tcBorders>
              <w:top w:val="nil"/>
              <w:left w:val="nil"/>
              <w:bottom w:val="single" w:sz="4" w:space="0" w:color="auto"/>
              <w:right w:val="single" w:sz="4" w:space="0" w:color="auto"/>
            </w:tcBorders>
            <w:vAlign w:val="center"/>
            <w:hideMark/>
          </w:tcPr>
          <w:p w14:paraId="3A23C9FB"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84.5</w:t>
            </w:r>
          </w:p>
        </w:tc>
        <w:tc>
          <w:tcPr>
            <w:tcW w:w="794" w:type="dxa"/>
            <w:tcBorders>
              <w:top w:val="nil"/>
              <w:left w:val="nil"/>
              <w:bottom w:val="single" w:sz="4" w:space="0" w:color="auto"/>
              <w:right w:val="single" w:sz="4" w:space="0" w:color="auto"/>
            </w:tcBorders>
            <w:vAlign w:val="center"/>
            <w:hideMark/>
          </w:tcPr>
          <w:p w14:paraId="0A086CD1"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83</w:t>
            </w:r>
          </w:p>
        </w:tc>
        <w:tc>
          <w:tcPr>
            <w:tcW w:w="798" w:type="dxa"/>
            <w:tcBorders>
              <w:top w:val="nil"/>
              <w:left w:val="nil"/>
              <w:bottom w:val="single" w:sz="4" w:space="0" w:color="auto"/>
              <w:right w:val="single" w:sz="4" w:space="0" w:color="auto"/>
            </w:tcBorders>
            <w:vAlign w:val="center"/>
            <w:hideMark/>
          </w:tcPr>
          <w:p w14:paraId="00433E1C"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86.7</w:t>
            </w:r>
          </w:p>
        </w:tc>
        <w:tc>
          <w:tcPr>
            <w:tcW w:w="944" w:type="dxa"/>
            <w:tcBorders>
              <w:top w:val="nil"/>
              <w:left w:val="nil"/>
              <w:bottom w:val="single" w:sz="4" w:space="0" w:color="auto"/>
              <w:right w:val="single" w:sz="4" w:space="0" w:color="auto"/>
            </w:tcBorders>
            <w:vAlign w:val="center"/>
            <w:hideMark/>
          </w:tcPr>
          <w:p w14:paraId="2EB263C8"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1.74</w:t>
            </w:r>
          </w:p>
        </w:tc>
        <w:tc>
          <w:tcPr>
            <w:tcW w:w="831" w:type="dxa"/>
            <w:tcBorders>
              <w:top w:val="nil"/>
              <w:left w:val="nil"/>
              <w:bottom w:val="single" w:sz="4" w:space="0" w:color="auto"/>
              <w:right w:val="single" w:sz="4" w:space="0" w:color="auto"/>
            </w:tcBorders>
            <w:vAlign w:val="center"/>
            <w:hideMark/>
          </w:tcPr>
          <w:p w14:paraId="0CAABE90" w14:textId="77777777" w:rsidR="006A346C" w:rsidRPr="00C322E9" w:rsidRDefault="006A346C" w:rsidP="00A248C6">
            <w:pPr>
              <w:jc w:val="center"/>
              <w:rPr>
                <w:rFonts w:ascii="Times New Roman" w:eastAsia="Times New Roman" w:hAnsi="Times New Roman" w:cs="Times New Roman"/>
                <w:color w:val="000000"/>
                <w:sz w:val="24"/>
                <w:szCs w:val="24"/>
                <w:lang w:val="en-IN" w:eastAsia="en-IN" w:bidi="hi-IN"/>
              </w:rPr>
            </w:pPr>
            <w:r w:rsidRPr="00C322E9">
              <w:rPr>
                <w:rFonts w:ascii="Times New Roman" w:eastAsia="Times New Roman" w:hAnsi="Times New Roman" w:cs="Times New Roman"/>
                <w:color w:val="000000"/>
                <w:sz w:val="24"/>
                <w:szCs w:val="24"/>
                <w:lang w:eastAsia="en-IN" w:bidi="hi-IN"/>
              </w:rPr>
              <w:t>5.36</w:t>
            </w:r>
          </w:p>
        </w:tc>
        <w:tc>
          <w:tcPr>
            <w:tcW w:w="1498" w:type="dxa"/>
            <w:tcBorders>
              <w:top w:val="nil"/>
              <w:left w:val="nil"/>
              <w:bottom w:val="single" w:sz="4" w:space="0" w:color="auto"/>
              <w:right w:val="single" w:sz="4" w:space="0" w:color="auto"/>
            </w:tcBorders>
            <w:vAlign w:val="center"/>
            <w:hideMark/>
          </w:tcPr>
          <w:p w14:paraId="0D5D4014" w14:textId="77777777" w:rsidR="006A346C" w:rsidRPr="00171FD9" w:rsidRDefault="006A346C" w:rsidP="00A248C6">
            <w:pPr>
              <w:jc w:val="center"/>
              <w:rPr>
                <w:rFonts w:ascii="Times New Roman" w:eastAsia="Times New Roman" w:hAnsi="Times New Roman" w:cs="Times New Roman"/>
                <w:color w:val="000000"/>
                <w:sz w:val="24"/>
                <w:szCs w:val="24"/>
                <w:lang w:val="en-IN" w:eastAsia="en-IN" w:bidi="hi-IN"/>
              </w:rPr>
            </w:pPr>
            <w:r w:rsidRPr="00171FD9">
              <w:rPr>
                <w:rFonts w:ascii="Times New Roman" w:eastAsia="Times New Roman" w:hAnsi="Times New Roman" w:cs="Times New Roman"/>
                <w:color w:val="000000"/>
                <w:sz w:val="24"/>
                <w:szCs w:val="24"/>
                <w:lang w:val="en-IN" w:eastAsia="en-IN" w:bidi="hi-IN"/>
              </w:rPr>
              <w:t>80-120 (mg/dl)</w:t>
            </w:r>
          </w:p>
        </w:tc>
      </w:tr>
    </w:tbl>
    <w:p w14:paraId="7A6A3C09" w14:textId="44F86940" w:rsidR="00510500" w:rsidRPr="008A0820" w:rsidRDefault="00510500" w:rsidP="00A11E03">
      <w:pPr>
        <w:spacing w:line="360" w:lineRule="auto"/>
        <w:ind w:right="283" w:firstLine="737"/>
        <w:jc w:val="right"/>
        <w:rPr>
          <w:rFonts w:ascii="Times New Roman" w:hAnsi="Times New Roman" w:cs="Times New Roman"/>
          <w:b/>
          <w:bCs/>
          <w:sz w:val="24"/>
          <w:szCs w:val="24"/>
        </w:rPr>
      </w:pPr>
      <w:r w:rsidRPr="008A0820">
        <w:rPr>
          <w:rFonts w:ascii="Times New Roman" w:hAnsi="Times New Roman" w:cs="Times New Roman"/>
          <w:b/>
          <w:bCs/>
          <w:sz w:val="24"/>
          <w:szCs w:val="24"/>
        </w:rPr>
        <w:t xml:space="preserve"> (Reference source – Veterinary medicine 2006)</w:t>
      </w:r>
    </w:p>
    <w:p w14:paraId="18B10B30" w14:textId="529B6135" w:rsidR="00801A7D" w:rsidRPr="00856B7F" w:rsidRDefault="00801A7D" w:rsidP="00A11E03">
      <w:pPr>
        <w:spacing w:line="360" w:lineRule="auto"/>
        <w:ind w:firstLine="737"/>
        <w:rPr>
          <w:rFonts w:ascii="Times New Roman" w:hAnsi="Times New Roman" w:cs="Times New Roman"/>
          <w:sz w:val="24"/>
          <w:szCs w:val="24"/>
          <w:lang w:val="en-IN"/>
        </w:rPr>
      </w:pPr>
      <w:r w:rsidRPr="00856B7F">
        <w:rPr>
          <w:rFonts w:ascii="Times New Roman" w:hAnsi="Times New Roman" w:cs="Times New Roman"/>
          <w:sz w:val="24"/>
          <w:szCs w:val="24"/>
          <w:lang w:val="en-IN"/>
        </w:rPr>
        <w:t>The effect of turmeric powder supplementation on haematological and biochemical parameters is summarized in the table</w:t>
      </w:r>
      <w:r w:rsidR="00171FD9" w:rsidRPr="00856B7F">
        <w:rPr>
          <w:rFonts w:ascii="Times New Roman" w:hAnsi="Times New Roman" w:cs="Times New Roman"/>
          <w:sz w:val="24"/>
          <w:szCs w:val="24"/>
          <w:lang w:val="en-IN"/>
        </w:rPr>
        <w:t xml:space="preserve"> 10</w:t>
      </w:r>
      <w:r w:rsidRPr="00856B7F">
        <w:rPr>
          <w:rFonts w:ascii="Times New Roman" w:hAnsi="Times New Roman" w:cs="Times New Roman"/>
          <w:sz w:val="24"/>
          <w:szCs w:val="24"/>
          <w:lang w:val="en-IN"/>
        </w:rPr>
        <w:t>. Among the haematological parameters, haemoglobin concentration exhibited a significant difference (P&lt;0.05) among the treatment groups. The highest haemoglobin value was recorded in T₅ (11.63 g/dL), which was markedly higher than the control group (T₁: 8.98 g/dL). This suggests that increasing levels of turmeric supplementation had a positive influence on haemoglobin synthesis, possibly due to the iron content and antioxidant properties of turmeric that may enhance erythropoiesis.</w:t>
      </w:r>
      <w:r w:rsidRPr="00856B7F">
        <w:rPr>
          <w:rFonts w:ascii="Times New Roman" w:hAnsi="Times New Roman" w:cs="Times New Roman"/>
          <w:sz w:val="24"/>
          <w:szCs w:val="24"/>
        </w:rPr>
        <w:t xml:space="preserve"> Habeeb and El-</w:t>
      </w:r>
      <w:proofErr w:type="spellStart"/>
      <w:r w:rsidRPr="00856B7F">
        <w:rPr>
          <w:rFonts w:ascii="Times New Roman" w:hAnsi="Times New Roman" w:cs="Times New Roman"/>
          <w:sz w:val="24"/>
          <w:szCs w:val="24"/>
        </w:rPr>
        <w:t>Tarabany</w:t>
      </w:r>
      <w:proofErr w:type="spellEnd"/>
      <w:r w:rsidRPr="00856B7F">
        <w:rPr>
          <w:rFonts w:ascii="Times New Roman" w:hAnsi="Times New Roman" w:cs="Times New Roman"/>
          <w:sz w:val="24"/>
          <w:szCs w:val="24"/>
        </w:rPr>
        <w:t xml:space="preserve"> (2012) reported that </w:t>
      </w:r>
      <w:proofErr w:type="spellStart"/>
      <w:r w:rsidRPr="00856B7F">
        <w:rPr>
          <w:rFonts w:ascii="Times New Roman" w:hAnsi="Times New Roman" w:cs="Times New Roman"/>
          <w:sz w:val="24"/>
          <w:szCs w:val="24"/>
        </w:rPr>
        <w:t>haemoglobin</w:t>
      </w:r>
      <w:proofErr w:type="spellEnd"/>
      <w:r w:rsidRPr="00856B7F">
        <w:rPr>
          <w:rFonts w:ascii="Times New Roman" w:hAnsi="Times New Roman" w:cs="Times New Roman"/>
          <w:sz w:val="24"/>
          <w:szCs w:val="24"/>
        </w:rPr>
        <w:t xml:space="preserve"> (Hb) concentration in </w:t>
      </w:r>
      <w:proofErr w:type="spellStart"/>
      <w:r w:rsidRPr="00856B7F">
        <w:rPr>
          <w:rFonts w:ascii="Times New Roman" w:hAnsi="Times New Roman" w:cs="Times New Roman"/>
          <w:sz w:val="24"/>
          <w:szCs w:val="24"/>
        </w:rPr>
        <w:t>Zaraibi</w:t>
      </w:r>
      <w:proofErr w:type="spellEnd"/>
      <w:r w:rsidRPr="00856B7F">
        <w:rPr>
          <w:rFonts w:ascii="Times New Roman" w:hAnsi="Times New Roman" w:cs="Times New Roman"/>
          <w:sz w:val="24"/>
          <w:szCs w:val="24"/>
        </w:rPr>
        <w:t xml:space="preserve"> goats increased from 11.56 g/dL in the control group to 12.50 g/dL with Curcumin supplementation. This suggests that Curcumin enhanced the oxygen-carrying capacity of blood and supported better physiological function under heat stress conditions.</w:t>
      </w:r>
    </w:p>
    <w:p w14:paraId="5B06FBD0" w14:textId="397EEE27" w:rsidR="00801A7D" w:rsidRPr="00856B7F" w:rsidRDefault="00801A7D" w:rsidP="00A11E03">
      <w:pPr>
        <w:spacing w:line="360" w:lineRule="auto"/>
        <w:ind w:firstLine="737"/>
      </w:pPr>
      <w:r w:rsidRPr="00856B7F">
        <w:rPr>
          <w:rFonts w:ascii="Times New Roman" w:hAnsi="Times New Roman" w:cs="Times New Roman"/>
          <w:sz w:val="24"/>
          <w:szCs w:val="24"/>
          <w:lang w:val="en-IN"/>
        </w:rPr>
        <w:t>The RBC (red blood cell) count ranged from 7.63 to 8.88 ×10⁶/</w:t>
      </w:r>
      <w:proofErr w:type="spellStart"/>
      <w:r w:rsidRPr="00856B7F">
        <w:rPr>
          <w:rFonts w:ascii="Times New Roman" w:hAnsi="Times New Roman" w:cs="Times New Roman"/>
          <w:sz w:val="24"/>
          <w:szCs w:val="24"/>
          <w:lang w:val="en-IN"/>
        </w:rPr>
        <w:t>μL</w:t>
      </w:r>
      <w:proofErr w:type="spellEnd"/>
      <w:r w:rsidRPr="00856B7F">
        <w:rPr>
          <w:rFonts w:ascii="Times New Roman" w:hAnsi="Times New Roman" w:cs="Times New Roman"/>
          <w:sz w:val="24"/>
          <w:szCs w:val="24"/>
          <w:lang w:val="en-IN"/>
        </w:rPr>
        <w:t>, with the highest value again observed in T₅. However, the variation among treatments was non-significant (NS), indicating that turmeric supplementation did not substantially affect erythrocyte concentration. Despite the lack of statistical significance, the numerical increase in RBC count in the supplemented groups could still imply improved erythropoietic activity.</w:t>
      </w:r>
      <w:r w:rsidRPr="00856B7F">
        <w:rPr>
          <w:rFonts w:ascii="Times New Roman" w:eastAsia="Times New Roman" w:hAnsi="Times New Roman" w:cs="Times New Roman"/>
          <w:sz w:val="24"/>
          <w:szCs w:val="24"/>
          <w:lang w:val="en-IN" w:eastAsia="en-IN" w:bidi="hi-IN"/>
        </w:rPr>
        <w:t xml:space="preserve"> </w:t>
      </w:r>
      <w:r w:rsidRPr="00856B7F">
        <w:rPr>
          <w:rFonts w:ascii="Times New Roman" w:hAnsi="Times New Roman" w:cs="Times New Roman"/>
          <w:sz w:val="24"/>
          <w:szCs w:val="24"/>
        </w:rPr>
        <w:t xml:space="preserve">Compared to the present study, </w:t>
      </w:r>
      <w:proofErr w:type="spellStart"/>
      <w:r w:rsidRPr="00856B7F">
        <w:rPr>
          <w:rFonts w:ascii="Times New Roman" w:hAnsi="Times New Roman" w:cs="Times New Roman"/>
          <w:sz w:val="24"/>
          <w:szCs w:val="24"/>
        </w:rPr>
        <w:t>Aderinboye</w:t>
      </w:r>
      <w:proofErr w:type="spellEnd"/>
      <w:r w:rsidRPr="00856B7F">
        <w:rPr>
          <w:rFonts w:ascii="Times New Roman" w:hAnsi="Times New Roman" w:cs="Times New Roman"/>
          <w:sz w:val="24"/>
          <w:szCs w:val="24"/>
        </w:rPr>
        <w:t xml:space="preserve"> et al. (2021) reported higher RBC counts in goats supplemented with turmeric, with values increasing from 11.7 to 12.3 × 10⁶/mm³. Similarly, Habeeb and El-</w:t>
      </w:r>
      <w:proofErr w:type="spellStart"/>
      <w:r w:rsidRPr="00856B7F">
        <w:rPr>
          <w:rFonts w:ascii="Times New Roman" w:hAnsi="Times New Roman" w:cs="Times New Roman"/>
          <w:sz w:val="24"/>
          <w:szCs w:val="24"/>
        </w:rPr>
        <w:t>Tarabany</w:t>
      </w:r>
      <w:proofErr w:type="spellEnd"/>
      <w:r w:rsidRPr="00856B7F">
        <w:rPr>
          <w:rFonts w:ascii="Times New Roman" w:hAnsi="Times New Roman" w:cs="Times New Roman"/>
          <w:sz w:val="24"/>
          <w:szCs w:val="24"/>
        </w:rPr>
        <w:t xml:space="preserve"> (2012) observed a significant rise in RBC count from 10.55 to 11.58 million/µL in Curcumin-supplemented </w:t>
      </w:r>
      <w:proofErr w:type="spellStart"/>
      <w:r w:rsidRPr="00856B7F">
        <w:rPr>
          <w:rFonts w:ascii="Times New Roman" w:hAnsi="Times New Roman" w:cs="Times New Roman"/>
          <w:sz w:val="24"/>
          <w:szCs w:val="24"/>
        </w:rPr>
        <w:t>Zaraibi</w:t>
      </w:r>
      <w:proofErr w:type="spellEnd"/>
      <w:r w:rsidRPr="00856B7F">
        <w:rPr>
          <w:rFonts w:ascii="Times New Roman" w:hAnsi="Times New Roman" w:cs="Times New Roman"/>
          <w:sz w:val="24"/>
          <w:szCs w:val="24"/>
        </w:rPr>
        <w:t xml:space="preserve"> goats, supporting the role of turmeric in enhancing erythropoiesis under stress conditions.</w:t>
      </w:r>
    </w:p>
    <w:p w14:paraId="35F7506D" w14:textId="5312FA67" w:rsidR="00801A7D" w:rsidRPr="00856B7F" w:rsidRDefault="00801A7D" w:rsidP="00A11E03">
      <w:pPr>
        <w:spacing w:line="360" w:lineRule="auto"/>
        <w:ind w:firstLine="737"/>
        <w:rPr>
          <w:rFonts w:ascii="Times New Roman" w:hAnsi="Times New Roman" w:cs="Times New Roman"/>
          <w:sz w:val="24"/>
          <w:szCs w:val="24"/>
          <w:lang w:val="en-IN"/>
        </w:rPr>
      </w:pPr>
      <w:r w:rsidRPr="00856B7F">
        <w:rPr>
          <w:rFonts w:ascii="Times New Roman" w:hAnsi="Times New Roman" w:cs="Times New Roman"/>
          <w:sz w:val="24"/>
          <w:szCs w:val="24"/>
          <w:lang w:val="en-IN"/>
        </w:rPr>
        <w:t>Similarly, the WBC (white blood cell) count ranged narrowly from 10.1 to 10.4 ×10³/</w:t>
      </w:r>
      <w:proofErr w:type="spellStart"/>
      <w:r w:rsidRPr="00856B7F">
        <w:rPr>
          <w:rFonts w:ascii="Times New Roman" w:hAnsi="Times New Roman" w:cs="Times New Roman"/>
          <w:sz w:val="24"/>
          <w:szCs w:val="24"/>
          <w:lang w:val="en-IN"/>
        </w:rPr>
        <w:t>μL</w:t>
      </w:r>
      <w:proofErr w:type="spellEnd"/>
      <w:r w:rsidRPr="00856B7F">
        <w:rPr>
          <w:rFonts w:ascii="Times New Roman" w:hAnsi="Times New Roman" w:cs="Times New Roman"/>
          <w:sz w:val="24"/>
          <w:szCs w:val="24"/>
          <w:lang w:val="en-IN"/>
        </w:rPr>
        <w:t>, with no significant difference observed across treatments. This suggests that turmeric supplementation did not adversely impact the immune cell profile of the kids, indicating its safety and non-inflammatory nature at the given supplementation levels.</w:t>
      </w:r>
      <w:r w:rsidRPr="00856B7F">
        <w:rPr>
          <w:rFonts w:ascii="Times New Roman" w:hAnsi="Times New Roman" w:cs="Times New Roman"/>
          <w:sz w:val="24"/>
          <w:szCs w:val="24"/>
        </w:rPr>
        <w:t xml:space="preserve"> Compared with the present investigation, comparable white blood cell (WBC) counts were reported by El-Gohary et al. (2012) ranging from 9.44 ± 0.14 to 10.32 ± 0.50 (×10³/mm³).</w:t>
      </w:r>
    </w:p>
    <w:p w14:paraId="021E090E" w14:textId="6274F1C3" w:rsidR="00F90149" w:rsidRPr="00856B7F" w:rsidRDefault="00801A7D" w:rsidP="00A11E03">
      <w:pPr>
        <w:spacing w:line="360" w:lineRule="auto"/>
        <w:ind w:firstLine="737"/>
        <w:rPr>
          <w:rFonts w:ascii="Times New Roman" w:hAnsi="Times New Roman" w:cs="Times New Roman"/>
          <w:sz w:val="24"/>
          <w:szCs w:val="24"/>
        </w:rPr>
      </w:pPr>
      <w:r w:rsidRPr="00856B7F">
        <w:rPr>
          <w:rFonts w:ascii="Times New Roman" w:hAnsi="Times New Roman" w:cs="Times New Roman"/>
          <w:sz w:val="24"/>
          <w:szCs w:val="24"/>
          <w:lang w:val="en-IN"/>
        </w:rPr>
        <w:t xml:space="preserve">Biochemical parameters such as total protein, serum albumin and serum globulin did not differ significantly among treatments. Total protein values remained fairly constant (6.71–6.84 g/dL), with a pooled mean of 6.75 g/dL, suggesting that protein metabolism was not markedly altered by turmeric </w:t>
      </w:r>
      <w:r w:rsidRPr="00856B7F">
        <w:rPr>
          <w:rFonts w:ascii="Times New Roman" w:hAnsi="Times New Roman" w:cs="Times New Roman"/>
          <w:sz w:val="24"/>
          <w:szCs w:val="24"/>
          <w:lang w:val="en-IN"/>
        </w:rPr>
        <w:lastRenderedPageBreak/>
        <w:t>inclusion in the diet. Serum albumin levels were slightly higher in T₃ (3.75 g/dL) compared to other groups, but the changes were statistically non-significant. Similarly, serum globulin ranged between 3.09 and 3.29 g/dL, remaining stable across groups.</w:t>
      </w:r>
      <w:r w:rsidR="00F90149" w:rsidRPr="00856B7F">
        <w:rPr>
          <w:rFonts w:ascii="Times New Roman" w:hAnsi="Times New Roman" w:cs="Times New Roman"/>
          <w:sz w:val="24"/>
          <w:szCs w:val="24"/>
        </w:rPr>
        <w:t xml:space="preserve"> Habeeb and El-</w:t>
      </w:r>
      <w:proofErr w:type="spellStart"/>
      <w:r w:rsidR="00F90149" w:rsidRPr="00856B7F">
        <w:rPr>
          <w:rFonts w:ascii="Times New Roman" w:hAnsi="Times New Roman" w:cs="Times New Roman"/>
          <w:sz w:val="24"/>
          <w:szCs w:val="24"/>
        </w:rPr>
        <w:t>Tarabany</w:t>
      </w:r>
      <w:proofErr w:type="spellEnd"/>
      <w:r w:rsidR="00F90149" w:rsidRPr="00856B7F">
        <w:rPr>
          <w:rFonts w:ascii="Times New Roman" w:hAnsi="Times New Roman" w:cs="Times New Roman"/>
          <w:sz w:val="24"/>
          <w:szCs w:val="24"/>
        </w:rPr>
        <w:t xml:space="preserve"> (2012) reported that total protein level was 7.65 g/dL in the control group and 8.16 g/dL in the curcumin-treated group. </w:t>
      </w:r>
      <w:proofErr w:type="spellStart"/>
      <w:r w:rsidR="00F90149" w:rsidRPr="00856B7F">
        <w:rPr>
          <w:rFonts w:ascii="Times New Roman" w:hAnsi="Times New Roman" w:cs="Times New Roman"/>
          <w:sz w:val="24"/>
          <w:szCs w:val="24"/>
        </w:rPr>
        <w:t>Aderinboye</w:t>
      </w:r>
      <w:proofErr w:type="spellEnd"/>
      <w:r w:rsidR="00F90149" w:rsidRPr="00856B7F">
        <w:rPr>
          <w:rFonts w:ascii="Times New Roman" w:hAnsi="Times New Roman" w:cs="Times New Roman"/>
          <w:sz w:val="24"/>
          <w:szCs w:val="24"/>
        </w:rPr>
        <w:t xml:space="preserve"> et al. (2021), observed total protein level was 6.40 g/dL in the control group, while goats treated with 2.5 g and 5.0 g turmeric recorded levels of 7.05 g/dL and 6.75 g/dL, respectively. </w:t>
      </w:r>
      <w:proofErr w:type="spellStart"/>
      <w:r w:rsidR="00F90149" w:rsidRPr="00856B7F">
        <w:rPr>
          <w:rFonts w:ascii="Times New Roman" w:hAnsi="Times New Roman" w:cs="Times New Roman"/>
          <w:sz w:val="24"/>
          <w:szCs w:val="24"/>
        </w:rPr>
        <w:t>Aderinboye</w:t>
      </w:r>
      <w:proofErr w:type="spellEnd"/>
      <w:r w:rsidR="00F90149" w:rsidRPr="00856B7F">
        <w:rPr>
          <w:rFonts w:ascii="Times New Roman" w:hAnsi="Times New Roman" w:cs="Times New Roman"/>
          <w:sz w:val="24"/>
          <w:szCs w:val="24"/>
        </w:rPr>
        <w:t xml:space="preserve"> et al. (2021), observed serum albumin levels were 3.10 g/dL in the control group and  3.45 g/dL and 3.25 g/dL in the groups treated with turmeric. </w:t>
      </w:r>
      <w:proofErr w:type="spellStart"/>
      <w:r w:rsidR="00F90149" w:rsidRPr="00856B7F">
        <w:rPr>
          <w:rFonts w:ascii="Times New Roman" w:hAnsi="Times New Roman" w:cs="Times New Roman"/>
          <w:sz w:val="24"/>
          <w:szCs w:val="24"/>
        </w:rPr>
        <w:t>Aderinboye</w:t>
      </w:r>
      <w:proofErr w:type="spellEnd"/>
      <w:r w:rsidR="00F90149" w:rsidRPr="00856B7F">
        <w:rPr>
          <w:rFonts w:ascii="Times New Roman" w:hAnsi="Times New Roman" w:cs="Times New Roman"/>
          <w:sz w:val="24"/>
          <w:szCs w:val="24"/>
        </w:rPr>
        <w:t xml:space="preserve"> et al. (2021), observed globulin levels were 3.30 g/dL in the control group and 3.60 g/dL and 3.50 g/dL in the turmeric-treated groups.</w:t>
      </w:r>
    </w:p>
    <w:p w14:paraId="6450086E" w14:textId="282AEE14" w:rsidR="006D61F5" w:rsidRPr="00856B7F" w:rsidRDefault="00801A7D" w:rsidP="00A11E03">
      <w:pPr>
        <w:spacing w:line="360" w:lineRule="auto"/>
        <w:ind w:firstLine="737"/>
        <w:rPr>
          <w:rFonts w:ascii="Times New Roman" w:hAnsi="Times New Roman" w:cs="Times New Roman"/>
          <w:sz w:val="24"/>
          <w:szCs w:val="24"/>
          <w:lang w:val="en-IN"/>
        </w:rPr>
      </w:pPr>
      <w:r w:rsidRPr="00856B7F">
        <w:rPr>
          <w:rFonts w:ascii="Times New Roman" w:hAnsi="Times New Roman" w:cs="Times New Roman"/>
          <w:sz w:val="24"/>
          <w:szCs w:val="24"/>
          <w:lang w:val="en-IN"/>
        </w:rPr>
        <w:t xml:space="preserve">Interestingly, total cholesterol levels demonstrated a significant reduction (P&lt;0.05) in turmeric-supplemented groups, particularly in T₅ (83 mg/dL), compared to the control (T₁: 89.75 mg/dL). The declining trend in cholesterol levels with increasing turmeric dosage suggests a </w:t>
      </w:r>
      <w:proofErr w:type="spellStart"/>
      <w:r w:rsidRPr="00856B7F">
        <w:rPr>
          <w:rFonts w:ascii="Times New Roman" w:hAnsi="Times New Roman" w:cs="Times New Roman"/>
          <w:sz w:val="24"/>
          <w:szCs w:val="24"/>
          <w:lang w:val="en-IN"/>
        </w:rPr>
        <w:t>hypocholesterolemic</w:t>
      </w:r>
      <w:proofErr w:type="spellEnd"/>
      <w:r w:rsidRPr="00856B7F">
        <w:rPr>
          <w:rFonts w:ascii="Times New Roman" w:hAnsi="Times New Roman" w:cs="Times New Roman"/>
          <w:sz w:val="24"/>
          <w:szCs w:val="24"/>
          <w:lang w:val="en-IN"/>
        </w:rPr>
        <w:t xml:space="preserve"> effect, likely due to the curcumin content of turmeric, known to interfere with hepatic cholesterol synthesis and promote lipid metabolism.</w:t>
      </w:r>
      <w:r w:rsidR="00F90149" w:rsidRPr="00856B7F">
        <w:rPr>
          <w:rFonts w:ascii="Times New Roman" w:hAnsi="Times New Roman" w:cs="Times New Roman"/>
          <w:sz w:val="24"/>
          <w:szCs w:val="24"/>
          <w:lang w:val="en-IN"/>
        </w:rPr>
        <w:t xml:space="preserve"> </w:t>
      </w:r>
      <w:r w:rsidR="00F90149" w:rsidRPr="00856B7F">
        <w:rPr>
          <w:rFonts w:ascii="Times New Roman" w:hAnsi="Times New Roman" w:cs="Times New Roman"/>
          <w:sz w:val="24"/>
          <w:szCs w:val="24"/>
        </w:rPr>
        <w:t>Habeeb and El-</w:t>
      </w:r>
      <w:proofErr w:type="spellStart"/>
      <w:r w:rsidR="00F90149" w:rsidRPr="00856B7F">
        <w:rPr>
          <w:rFonts w:ascii="Times New Roman" w:hAnsi="Times New Roman" w:cs="Times New Roman"/>
          <w:sz w:val="24"/>
          <w:szCs w:val="24"/>
        </w:rPr>
        <w:t>Tarabany</w:t>
      </w:r>
      <w:proofErr w:type="spellEnd"/>
      <w:r w:rsidR="00F90149" w:rsidRPr="00856B7F">
        <w:rPr>
          <w:rFonts w:ascii="Times New Roman" w:hAnsi="Times New Roman" w:cs="Times New Roman"/>
          <w:sz w:val="24"/>
          <w:szCs w:val="24"/>
        </w:rPr>
        <w:t xml:space="preserve"> (2012) reported that total cholesterol levels were 126.6 ± 3.63 mg/dL in the control group and 100.6 ± 3.6 mg/dL in the curcumin-treated group. This significant reduction in cholesterol indicates a beneficial </w:t>
      </w:r>
      <w:proofErr w:type="spellStart"/>
      <w:r w:rsidR="00F90149" w:rsidRPr="00856B7F">
        <w:rPr>
          <w:rFonts w:ascii="Times New Roman" w:hAnsi="Times New Roman" w:cs="Times New Roman"/>
          <w:sz w:val="24"/>
          <w:szCs w:val="24"/>
        </w:rPr>
        <w:t>hypocholesterolemic</w:t>
      </w:r>
      <w:proofErr w:type="spellEnd"/>
      <w:r w:rsidR="00F90149" w:rsidRPr="00856B7F">
        <w:rPr>
          <w:rFonts w:ascii="Times New Roman" w:hAnsi="Times New Roman" w:cs="Times New Roman"/>
          <w:sz w:val="24"/>
          <w:szCs w:val="24"/>
        </w:rPr>
        <w:t xml:space="preserve"> effect of curcumin administration.</w:t>
      </w:r>
      <w:bookmarkStart w:id="6" w:name="_Hlk200056286"/>
    </w:p>
    <w:p w14:paraId="1B73E766" w14:textId="636A4DB0" w:rsidR="00370A3D" w:rsidRDefault="006D61F5" w:rsidP="00A11E03">
      <w:pPr>
        <w:spacing w:line="360" w:lineRule="auto"/>
        <w:rPr>
          <w:rFonts w:ascii="Times New Roman" w:hAnsi="Times New Roman" w:cs="Times New Roman"/>
          <w:sz w:val="24"/>
          <w:szCs w:val="24"/>
        </w:rPr>
      </w:pPr>
      <w:r>
        <w:rPr>
          <w:rFonts w:ascii="Times New Roman" w:hAnsi="Times New Roman" w:cs="Times New Roman"/>
          <w:sz w:val="24"/>
          <w:szCs w:val="24"/>
        </w:rPr>
        <w:tab/>
      </w:r>
      <w:r w:rsidR="00510500" w:rsidRPr="008A0820">
        <w:rPr>
          <w:rFonts w:ascii="Times New Roman" w:hAnsi="Times New Roman" w:cs="Times New Roman"/>
          <w:sz w:val="24"/>
          <w:szCs w:val="24"/>
        </w:rPr>
        <w:t>In the present investigation, total protein levels remain relatively stable across all treatments. The control group (T</w:t>
      </w:r>
      <w:r w:rsidR="00510500" w:rsidRPr="008A0820">
        <w:rPr>
          <w:rFonts w:ascii="Times New Roman" w:hAnsi="Times New Roman" w:cs="Times New Roman"/>
          <w:sz w:val="24"/>
          <w:szCs w:val="24"/>
          <w:vertAlign w:val="subscript"/>
        </w:rPr>
        <w:t>1</w:t>
      </w:r>
      <w:r w:rsidR="00510500" w:rsidRPr="008A0820">
        <w:rPr>
          <w:rFonts w:ascii="Times New Roman" w:hAnsi="Times New Roman" w:cs="Times New Roman"/>
          <w:sz w:val="24"/>
          <w:szCs w:val="24"/>
        </w:rPr>
        <w:t>) shows a value of 6.75, while treatments T</w:t>
      </w:r>
      <w:r w:rsidR="00510500" w:rsidRPr="008A0820">
        <w:rPr>
          <w:rFonts w:ascii="Times New Roman" w:hAnsi="Times New Roman" w:cs="Times New Roman"/>
          <w:sz w:val="24"/>
          <w:szCs w:val="24"/>
          <w:vertAlign w:val="subscript"/>
        </w:rPr>
        <w:t>2</w:t>
      </w:r>
      <w:r w:rsidR="00510500" w:rsidRPr="008A0820">
        <w:rPr>
          <w:rFonts w:ascii="Times New Roman" w:hAnsi="Times New Roman" w:cs="Times New Roman"/>
          <w:sz w:val="24"/>
          <w:szCs w:val="24"/>
        </w:rPr>
        <w:t>, T</w:t>
      </w:r>
      <w:r w:rsidR="00510500" w:rsidRPr="008A0820">
        <w:rPr>
          <w:rFonts w:ascii="Times New Roman" w:hAnsi="Times New Roman" w:cs="Times New Roman"/>
          <w:sz w:val="24"/>
          <w:szCs w:val="24"/>
          <w:vertAlign w:val="subscript"/>
        </w:rPr>
        <w:t>3</w:t>
      </w:r>
      <w:r w:rsidR="00510500" w:rsidRPr="008A0820">
        <w:rPr>
          <w:rFonts w:ascii="Times New Roman" w:hAnsi="Times New Roman" w:cs="Times New Roman"/>
          <w:sz w:val="24"/>
          <w:szCs w:val="24"/>
        </w:rPr>
        <w:t>, T</w:t>
      </w:r>
      <w:r w:rsidR="00510500" w:rsidRPr="008A0820">
        <w:rPr>
          <w:rFonts w:ascii="Times New Roman" w:hAnsi="Times New Roman" w:cs="Times New Roman"/>
          <w:sz w:val="24"/>
          <w:szCs w:val="24"/>
          <w:vertAlign w:val="subscript"/>
        </w:rPr>
        <w:t>4</w:t>
      </w:r>
      <w:r w:rsidR="00510500">
        <w:rPr>
          <w:rFonts w:ascii="Times New Roman" w:hAnsi="Times New Roman" w:cs="Times New Roman"/>
          <w:sz w:val="24"/>
          <w:szCs w:val="24"/>
        </w:rPr>
        <w:t xml:space="preserve"> and</w:t>
      </w:r>
      <w:r w:rsidR="00510500" w:rsidRPr="008A0820">
        <w:rPr>
          <w:rFonts w:ascii="Times New Roman" w:hAnsi="Times New Roman" w:cs="Times New Roman"/>
          <w:sz w:val="24"/>
          <w:szCs w:val="24"/>
        </w:rPr>
        <w:t xml:space="preserve"> T</w:t>
      </w:r>
      <w:r w:rsidR="00510500" w:rsidRPr="008A0820">
        <w:rPr>
          <w:rFonts w:ascii="Times New Roman" w:hAnsi="Times New Roman" w:cs="Times New Roman"/>
          <w:sz w:val="24"/>
          <w:szCs w:val="24"/>
          <w:vertAlign w:val="subscript"/>
        </w:rPr>
        <w:t>5</w:t>
      </w:r>
      <w:r w:rsidR="00510500" w:rsidRPr="008A0820">
        <w:rPr>
          <w:rFonts w:ascii="Times New Roman" w:hAnsi="Times New Roman" w:cs="Times New Roman"/>
          <w:sz w:val="24"/>
          <w:szCs w:val="24"/>
        </w:rPr>
        <w:t xml:space="preserve"> record</w:t>
      </w:r>
      <w:r w:rsidR="009C526E">
        <w:rPr>
          <w:rFonts w:ascii="Times New Roman" w:hAnsi="Times New Roman" w:cs="Times New Roman"/>
          <w:sz w:val="24"/>
          <w:szCs w:val="24"/>
        </w:rPr>
        <w:t>ed</w:t>
      </w:r>
      <w:r w:rsidR="00510500" w:rsidRPr="008A0820">
        <w:rPr>
          <w:rFonts w:ascii="Times New Roman" w:hAnsi="Times New Roman" w:cs="Times New Roman"/>
          <w:sz w:val="24"/>
          <w:szCs w:val="24"/>
        </w:rPr>
        <w:t xml:space="preserve"> values of 6.71, 6.84, 6.75</w:t>
      </w:r>
      <w:r w:rsidR="00510500">
        <w:rPr>
          <w:rFonts w:ascii="Times New Roman" w:hAnsi="Times New Roman" w:cs="Times New Roman"/>
          <w:sz w:val="24"/>
          <w:szCs w:val="24"/>
        </w:rPr>
        <w:t xml:space="preserve"> and</w:t>
      </w:r>
      <w:r w:rsidR="00510500" w:rsidRPr="008A0820">
        <w:rPr>
          <w:rFonts w:ascii="Times New Roman" w:hAnsi="Times New Roman" w:cs="Times New Roman"/>
          <w:sz w:val="24"/>
          <w:szCs w:val="24"/>
        </w:rPr>
        <w:t xml:space="preserve"> 6.71</w:t>
      </w:r>
      <w:r w:rsidR="009C526E">
        <w:rPr>
          <w:rFonts w:ascii="Times New Roman" w:hAnsi="Times New Roman" w:cs="Times New Roman"/>
          <w:sz w:val="24"/>
          <w:szCs w:val="24"/>
        </w:rPr>
        <w:t xml:space="preserve"> g/dL</w:t>
      </w:r>
      <w:r w:rsidR="00510500" w:rsidRPr="008A0820">
        <w:rPr>
          <w:rFonts w:ascii="Times New Roman" w:hAnsi="Times New Roman" w:cs="Times New Roman"/>
          <w:sz w:val="24"/>
          <w:szCs w:val="24"/>
        </w:rPr>
        <w:t>, respectively.</w:t>
      </w:r>
    </w:p>
    <w:p w14:paraId="4633892B" w14:textId="21F17E79" w:rsidR="006A0066" w:rsidRPr="008A0820" w:rsidRDefault="006A0066" w:rsidP="004C63E4">
      <w:pPr>
        <w:spacing w:line="360" w:lineRule="auto"/>
        <w:jc w:val="center"/>
        <w:rPr>
          <w:rFonts w:ascii="Times New Roman" w:hAnsi="Times New Roman" w:cs="Times New Roman"/>
          <w:sz w:val="24"/>
          <w:szCs w:val="24"/>
        </w:rPr>
      </w:pPr>
      <w:commentRangeStart w:id="7"/>
      <w:r>
        <w:rPr>
          <w:rFonts w:ascii="Times New Roman" w:hAnsi="Times New Roman" w:cs="Times New Roman"/>
          <w:sz w:val="24"/>
          <w:szCs w:val="24"/>
        </w:rPr>
        <w:t xml:space="preserve">FIGURE </w:t>
      </w:r>
      <w:r w:rsidR="004C63E4">
        <w:rPr>
          <w:rFonts w:ascii="Times New Roman" w:hAnsi="Times New Roman" w:cs="Times New Roman"/>
          <w:sz w:val="24"/>
          <w:szCs w:val="24"/>
        </w:rPr>
        <w:t>1.</w:t>
      </w:r>
      <w:commentRangeEnd w:id="7"/>
      <w:r w:rsidR="00895C5E">
        <w:rPr>
          <w:rStyle w:val="CommentReference"/>
          <w:rtl/>
        </w:rPr>
        <w:commentReference w:id="7"/>
      </w:r>
    </w:p>
    <w:bookmarkEnd w:id="6"/>
    <w:p w14:paraId="03373A80" w14:textId="0DEC1D9B" w:rsidR="00016E38" w:rsidRPr="00856B7F" w:rsidRDefault="00500F83" w:rsidP="00856B7F">
      <w:pPr>
        <w:spacing w:line="360" w:lineRule="auto"/>
        <w:rPr>
          <w:rFonts w:ascii="Times New Roman" w:hAnsi="Times New Roman" w:cs="Times New Roman"/>
          <w:sz w:val="24"/>
          <w:szCs w:val="24"/>
        </w:rPr>
      </w:pPr>
      <w:r>
        <w:rPr>
          <w:noProof/>
        </w:rPr>
        <w:lastRenderedPageBreak/>
        <w:drawing>
          <wp:inline distT="0" distB="0" distL="0" distR="0" wp14:anchorId="175C9185" wp14:editId="69E9F635">
            <wp:extent cx="6130290" cy="3394710"/>
            <wp:effectExtent l="19050" t="19050" r="22860" b="15240"/>
            <wp:docPr id="1582205514" name="Chart 1">
              <a:extLst xmlns:a="http://schemas.openxmlformats.org/drawingml/2006/main">
                <a:ext uri="{FF2B5EF4-FFF2-40B4-BE49-F238E27FC236}">
                  <a16:creationId xmlns:a16="http://schemas.microsoft.com/office/drawing/2014/main" id="{6AC3A43F-1566-358C-5868-939FA0280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96B6AD" w14:textId="048BD356" w:rsidR="00510500" w:rsidRDefault="00510500" w:rsidP="00A11E03">
      <w:pPr>
        <w:spacing w:line="360" w:lineRule="auto"/>
        <w:ind w:firstLine="737"/>
        <w:jc w:val="left"/>
        <w:rPr>
          <w:rFonts w:ascii="Times New Roman" w:hAnsi="Times New Roman" w:cs="Times New Roman"/>
          <w:b/>
          <w:bCs/>
          <w:sz w:val="24"/>
          <w:szCs w:val="24"/>
        </w:rPr>
      </w:pPr>
      <w:commentRangeStart w:id="8"/>
      <w:r w:rsidRPr="00510500">
        <w:rPr>
          <w:rFonts w:ascii="Times New Roman" w:hAnsi="Times New Roman" w:cs="Times New Roman"/>
          <w:b/>
          <w:bCs/>
          <w:sz w:val="24"/>
          <w:szCs w:val="24"/>
        </w:rPr>
        <w:t>CONCLUSION</w:t>
      </w:r>
    </w:p>
    <w:p w14:paraId="45F5CF24" w14:textId="222CE5DA" w:rsidR="00523EE4" w:rsidRPr="00523EE4" w:rsidRDefault="000A0EB1" w:rsidP="00523EE4">
      <w:pPr>
        <w:spacing w:line="360" w:lineRule="auto"/>
        <w:rPr>
          <w:rFonts w:ascii="Times New Roman" w:hAnsi="Times New Roman" w:cs="Times New Roman"/>
        </w:rPr>
      </w:pPr>
      <w:r>
        <w:rPr>
          <w:rFonts w:ascii="Times New Roman" w:hAnsi="Times New Roman" w:cs="Times New Roman"/>
          <w:sz w:val="24"/>
          <w:szCs w:val="24"/>
        </w:rPr>
        <w:tab/>
      </w:r>
      <w:r w:rsidR="00523EE4" w:rsidRPr="00523EE4">
        <w:rPr>
          <w:rFonts w:ascii="Times New Roman" w:hAnsi="Times New Roman" w:cs="Times New Roman"/>
          <w:sz w:val="24"/>
          <w:szCs w:val="24"/>
        </w:rPr>
        <w:t xml:space="preserve">Turmeric supplementation significantly improved nutrient digestibility in Konkan </w:t>
      </w:r>
      <w:proofErr w:type="spellStart"/>
      <w:r w:rsidR="00523EE4" w:rsidRPr="00523EE4">
        <w:rPr>
          <w:rFonts w:ascii="Times New Roman" w:hAnsi="Times New Roman" w:cs="Times New Roman"/>
          <w:sz w:val="24"/>
          <w:szCs w:val="24"/>
        </w:rPr>
        <w:t>Kanyal</w:t>
      </w:r>
      <w:proofErr w:type="spellEnd"/>
      <w:r w:rsidR="00523EE4" w:rsidRPr="00523EE4">
        <w:rPr>
          <w:rFonts w:ascii="Times New Roman" w:hAnsi="Times New Roman" w:cs="Times New Roman"/>
          <w:sz w:val="24"/>
          <w:szCs w:val="24"/>
        </w:rPr>
        <w:t xml:space="preserve"> kids. The digestibility of dry matter, crude protein, ether extract, crude fiber, nitrogen-free extract</w:t>
      </w:r>
      <w:r w:rsidR="00016E38">
        <w:rPr>
          <w:rFonts w:ascii="Times New Roman" w:hAnsi="Times New Roman" w:cs="Times New Roman"/>
          <w:sz w:val="24"/>
          <w:szCs w:val="24"/>
        </w:rPr>
        <w:t xml:space="preserve"> and </w:t>
      </w:r>
      <w:r w:rsidR="00523EE4" w:rsidRPr="00523EE4">
        <w:rPr>
          <w:rFonts w:ascii="Times New Roman" w:hAnsi="Times New Roman" w:cs="Times New Roman"/>
          <w:sz w:val="24"/>
          <w:szCs w:val="24"/>
        </w:rPr>
        <w:t>ash increased progressively from T₁ (81.37%, 74.17%, 77.51%, 77.58%, 61.02%, 71.22%) to T₅ (84.96%, 78.74%, 80.67%, 81.85%, 64.13%, 77.23%). This steady enhancement across all nutrients highlights the positive influence of turmeric’s bioactive compounds in promoting gut health, microbial activity</w:t>
      </w:r>
      <w:r w:rsidR="00016E38">
        <w:rPr>
          <w:rFonts w:ascii="Times New Roman" w:hAnsi="Times New Roman" w:cs="Times New Roman"/>
          <w:sz w:val="24"/>
          <w:szCs w:val="24"/>
        </w:rPr>
        <w:t xml:space="preserve"> and </w:t>
      </w:r>
      <w:r w:rsidR="00523EE4" w:rsidRPr="00523EE4">
        <w:rPr>
          <w:rFonts w:ascii="Times New Roman" w:hAnsi="Times New Roman" w:cs="Times New Roman"/>
          <w:sz w:val="24"/>
          <w:szCs w:val="24"/>
        </w:rPr>
        <w:t>overall nutrient utilization.</w:t>
      </w:r>
    </w:p>
    <w:p w14:paraId="0218681B" w14:textId="100F1021" w:rsidR="00523EE4" w:rsidRPr="00523EE4" w:rsidRDefault="00523EE4" w:rsidP="00523EE4">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523EE4">
        <w:rPr>
          <w:rFonts w:ascii="Times New Roman" w:hAnsi="Times New Roman" w:cs="Times New Roman"/>
          <w:sz w:val="24"/>
          <w:szCs w:val="24"/>
          <w:lang w:val="en-IN"/>
        </w:rPr>
        <w:t>Feed utilization efficiency also improved with turmeric supplementation. The best feed conversion ratio (9.68) was observed in T₄, indicating more efficient utilization of nutrients compared to the control and other treatment groups. Nutrient digestibility showed a consistent upward trend with increasing turmeric levels, with T₅ (12 g) recording the highest digestibility percentages across most parameters, although T₄ (9 g) performed nearly equally well, suggesting both levels are effective for enhancing digestive efficiency.</w:t>
      </w:r>
    </w:p>
    <w:p w14:paraId="7D5E86FB" w14:textId="0F3964E1" w:rsidR="00523EE4" w:rsidRPr="00523EE4" w:rsidRDefault="00523EE4" w:rsidP="00523EE4">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523EE4">
        <w:rPr>
          <w:rFonts w:ascii="Times New Roman" w:hAnsi="Times New Roman" w:cs="Times New Roman"/>
          <w:sz w:val="24"/>
          <w:szCs w:val="24"/>
          <w:lang w:val="en-IN"/>
        </w:rPr>
        <w:t>In addition, turmeric supplementation improved haematological and biochemical parameters. Significant increases in haemoglobin concentration and red blood cell counts indicated enhanced erythropoiesis and oxygen transport capacity. No adverse effects were observed on white blood cell counts or serum protein profiles, confirming the safety of turmeric inclusion. Furthermore, a dose-dependent reduction in serum cholesterol was noted, suggesting beneficial effects on lipid metabolism and cardiovascular health. Overall, turmeric powder can be recommended as a safe and effective phytogenic feed additive to enhance nutrient digestibility, metabolic health</w:t>
      </w:r>
      <w:r w:rsidR="00016E38">
        <w:rPr>
          <w:rFonts w:ascii="Times New Roman" w:hAnsi="Times New Roman" w:cs="Times New Roman"/>
          <w:sz w:val="24"/>
          <w:szCs w:val="24"/>
          <w:lang w:val="en-IN"/>
        </w:rPr>
        <w:t xml:space="preserve"> and </w:t>
      </w:r>
      <w:r w:rsidRPr="00523EE4">
        <w:rPr>
          <w:rFonts w:ascii="Times New Roman" w:hAnsi="Times New Roman" w:cs="Times New Roman"/>
          <w:sz w:val="24"/>
          <w:szCs w:val="24"/>
          <w:lang w:val="en-IN"/>
        </w:rPr>
        <w:t>welfare in goats.</w:t>
      </w:r>
      <w:commentRangeEnd w:id="8"/>
      <w:r w:rsidR="00633464">
        <w:rPr>
          <w:rStyle w:val="CommentReference"/>
          <w:rtl/>
        </w:rPr>
        <w:commentReference w:id="8"/>
      </w:r>
    </w:p>
    <w:p w14:paraId="5BFDC23E" w14:textId="77777777" w:rsidR="00082CC0" w:rsidRPr="007F6F4E" w:rsidRDefault="00082CC0" w:rsidP="00082CC0">
      <w:pPr>
        <w:spacing w:line="360" w:lineRule="auto"/>
        <w:rPr>
          <w:rFonts w:ascii="Times New Roman" w:hAnsi="Times New Roman" w:cs="Times New Roman"/>
          <w:sz w:val="24"/>
          <w:szCs w:val="24"/>
          <w:lang w:val="en-IN"/>
        </w:rPr>
      </w:pPr>
      <w:r w:rsidRPr="007F6F4E">
        <w:rPr>
          <w:rFonts w:ascii="Times New Roman" w:hAnsi="Times New Roman" w:cs="Times New Roman"/>
          <w:b/>
          <w:bCs/>
          <w:sz w:val="24"/>
          <w:szCs w:val="24"/>
          <w:lang w:val="en-IN"/>
        </w:rPr>
        <w:lastRenderedPageBreak/>
        <w:t>Ethic</w:t>
      </w:r>
      <w:r>
        <w:rPr>
          <w:rFonts w:ascii="Times New Roman" w:hAnsi="Times New Roman" w:cs="Times New Roman"/>
          <w:b/>
          <w:bCs/>
          <w:sz w:val="24"/>
          <w:szCs w:val="24"/>
          <w:lang w:val="en-IN"/>
        </w:rPr>
        <w:t>s</w:t>
      </w:r>
    </w:p>
    <w:p w14:paraId="3111AF13" w14:textId="77777777" w:rsidR="00082CC0" w:rsidRPr="00994D43" w:rsidRDefault="00082CC0" w:rsidP="00082CC0">
      <w:pPr>
        <w:spacing w:line="360" w:lineRule="auto"/>
        <w:rPr>
          <w:rFonts w:ascii="Times New Roman" w:hAnsi="Times New Roman" w:cs="Times New Roman"/>
          <w:sz w:val="24"/>
          <w:szCs w:val="24"/>
          <w:lang w:val="en-IN"/>
        </w:rPr>
      </w:pPr>
      <w:r w:rsidRPr="007F6F4E">
        <w:rPr>
          <w:rFonts w:ascii="Times New Roman" w:hAnsi="Times New Roman" w:cs="Times New Roman"/>
          <w:sz w:val="24"/>
          <w:szCs w:val="24"/>
          <w:lang w:val="en-IN"/>
        </w:rPr>
        <w:t xml:space="preserve">All procedures involving animals in this study were carried out following ethical standards and welfare guidelines. Prior approval was obtained from the Institutional Animal Ethics Committee (IAEC), Dr. </w:t>
      </w:r>
      <w:proofErr w:type="spellStart"/>
      <w:r w:rsidRPr="007F6F4E">
        <w:rPr>
          <w:rFonts w:ascii="Times New Roman" w:hAnsi="Times New Roman" w:cs="Times New Roman"/>
          <w:sz w:val="24"/>
          <w:szCs w:val="24"/>
          <w:lang w:val="en-IN"/>
        </w:rPr>
        <w:t>Balasaheb</w:t>
      </w:r>
      <w:proofErr w:type="spellEnd"/>
      <w:r w:rsidRPr="007F6F4E">
        <w:rPr>
          <w:rFonts w:ascii="Times New Roman" w:hAnsi="Times New Roman" w:cs="Times New Roman"/>
          <w:sz w:val="24"/>
          <w:szCs w:val="24"/>
          <w:lang w:val="en-IN"/>
        </w:rPr>
        <w:t xml:space="preserve"> Sawant Konkan Krishi Vidyapeeth, </w:t>
      </w:r>
      <w:proofErr w:type="spellStart"/>
      <w:r w:rsidRPr="007F6F4E">
        <w:rPr>
          <w:rFonts w:ascii="Times New Roman" w:hAnsi="Times New Roman" w:cs="Times New Roman"/>
          <w:sz w:val="24"/>
          <w:szCs w:val="24"/>
          <w:lang w:val="en-IN"/>
        </w:rPr>
        <w:t>Dapoli</w:t>
      </w:r>
      <w:proofErr w:type="spellEnd"/>
      <w:r w:rsidRPr="007F6F4E">
        <w:rPr>
          <w:rFonts w:ascii="Times New Roman" w:hAnsi="Times New Roman" w:cs="Times New Roman"/>
          <w:sz w:val="24"/>
          <w:szCs w:val="24"/>
          <w:lang w:val="en-IN"/>
        </w:rPr>
        <w:t>. The animals were handled humanely, with due care taken to minimize discomfort and ensure well-being throughout the research period.</w:t>
      </w:r>
    </w:p>
    <w:p w14:paraId="0E762A9F" w14:textId="77777777" w:rsidR="00082CC0" w:rsidRPr="007F6F4E" w:rsidRDefault="00082CC0" w:rsidP="00082CC0">
      <w:pPr>
        <w:spacing w:line="360" w:lineRule="auto"/>
        <w:rPr>
          <w:rFonts w:ascii="Times New Roman" w:hAnsi="Times New Roman" w:cs="Times New Roman"/>
          <w:b/>
          <w:bCs/>
          <w:sz w:val="24"/>
          <w:szCs w:val="24"/>
        </w:rPr>
      </w:pPr>
      <w:r w:rsidRPr="007F6F4E">
        <w:rPr>
          <w:rFonts w:ascii="Times New Roman" w:hAnsi="Times New Roman" w:cs="Times New Roman"/>
          <w:b/>
          <w:bCs/>
          <w:sz w:val="24"/>
          <w:szCs w:val="24"/>
        </w:rPr>
        <w:t xml:space="preserve">Conflict of Interest </w:t>
      </w:r>
    </w:p>
    <w:p w14:paraId="664DCA82" w14:textId="77777777" w:rsidR="00082CC0" w:rsidRDefault="00082CC0" w:rsidP="00082CC0">
      <w:pPr>
        <w:spacing w:line="360" w:lineRule="auto"/>
        <w:rPr>
          <w:rFonts w:ascii="Times New Roman" w:hAnsi="Times New Roman" w:cs="Times New Roman"/>
          <w:sz w:val="24"/>
          <w:szCs w:val="24"/>
        </w:rPr>
      </w:pPr>
      <w:r w:rsidRPr="007F6F4E">
        <w:rPr>
          <w:rFonts w:ascii="Times New Roman" w:hAnsi="Times New Roman" w:cs="Times New Roman"/>
          <w:sz w:val="24"/>
          <w:szCs w:val="24"/>
        </w:rPr>
        <w:t>The authors declare that there is no conflict of interest regarding the publication of this manuscript.</w:t>
      </w:r>
    </w:p>
    <w:p w14:paraId="515ED8A2" w14:textId="77777777" w:rsidR="00082CC0" w:rsidRPr="003C2319" w:rsidRDefault="00082CC0" w:rsidP="00082CC0">
      <w:pPr>
        <w:rPr>
          <w:rFonts w:ascii="Times New Roman" w:hAnsi="Times New Roman" w:cs="Times New Roman"/>
          <w:b/>
          <w:bCs/>
          <w:sz w:val="24"/>
          <w:szCs w:val="24"/>
        </w:rPr>
      </w:pPr>
      <w:r w:rsidRPr="003C2319">
        <w:rPr>
          <w:rFonts w:ascii="Times New Roman" w:hAnsi="Times New Roman" w:cs="Times New Roman"/>
          <w:b/>
          <w:bCs/>
          <w:sz w:val="24"/>
          <w:szCs w:val="24"/>
        </w:rPr>
        <w:t>Disclaimer (Artificial intelligence)</w:t>
      </w:r>
    </w:p>
    <w:p w14:paraId="3EA99EE9" w14:textId="77777777" w:rsidR="00082CC0" w:rsidRPr="003C2319" w:rsidRDefault="00082CC0" w:rsidP="00082CC0">
      <w:pPr>
        <w:rPr>
          <w:rFonts w:ascii="Times New Roman" w:hAnsi="Times New Roman" w:cs="Times New Roman"/>
          <w:sz w:val="24"/>
          <w:szCs w:val="24"/>
        </w:rPr>
      </w:pPr>
    </w:p>
    <w:p w14:paraId="0C42253E" w14:textId="77777777" w:rsidR="00082CC0" w:rsidRDefault="00082CC0" w:rsidP="00082CC0">
      <w:pPr>
        <w:rPr>
          <w:rFonts w:ascii="Times New Roman" w:hAnsi="Times New Roman" w:cs="Times New Roman"/>
          <w:sz w:val="24"/>
          <w:szCs w:val="24"/>
        </w:rPr>
      </w:pPr>
      <w:r w:rsidRPr="003C2319">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47F43E75" w14:textId="77777777" w:rsidR="00C25849" w:rsidRDefault="00C25849" w:rsidP="00082CC0">
      <w:pPr>
        <w:rPr>
          <w:rFonts w:ascii="Times New Roman" w:hAnsi="Times New Roman" w:cs="Times New Roman"/>
          <w:sz w:val="24"/>
          <w:szCs w:val="24"/>
        </w:rPr>
      </w:pPr>
    </w:p>
    <w:p w14:paraId="4526F5EA" w14:textId="77777777" w:rsidR="00C25849" w:rsidRPr="00C25849" w:rsidRDefault="00C25849" w:rsidP="00C25849">
      <w:pPr>
        <w:rPr>
          <w:rFonts w:ascii="Times New Roman" w:hAnsi="Times New Roman" w:cs="Times New Roman"/>
          <w:sz w:val="24"/>
          <w:szCs w:val="24"/>
        </w:rPr>
      </w:pPr>
      <w:r w:rsidRPr="00C25849">
        <w:rPr>
          <w:rFonts w:ascii="Times New Roman" w:hAnsi="Times New Roman" w:cs="Times New Roman"/>
          <w:sz w:val="24"/>
          <w:szCs w:val="24"/>
        </w:rPr>
        <w:t>COMPETING INTERESTS DISCLAIMER:</w:t>
      </w:r>
    </w:p>
    <w:p w14:paraId="07A80743" w14:textId="02B4D945" w:rsidR="00C25849" w:rsidRPr="003C2319" w:rsidRDefault="00C25849" w:rsidP="00C25849">
      <w:pPr>
        <w:rPr>
          <w:rFonts w:ascii="Times New Roman" w:hAnsi="Times New Roman" w:cs="Times New Roman"/>
          <w:sz w:val="24"/>
          <w:szCs w:val="24"/>
        </w:rPr>
      </w:pPr>
      <w:r w:rsidRPr="00C2584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09B71C5" w14:textId="77777777" w:rsidR="00082CC0" w:rsidRPr="007F6F4E" w:rsidRDefault="00082CC0" w:rsidP="00082CC0">
      <w:pPr>
        <w:spacing w:before="240" w:line="360" w:lineRule="auto"/>
        <w:rPr>
          <w:rFonts w:ascii="Times New Roman" w:hAnsi="Times New Roman" w:cs="Times New Roman"/>
          <w:sz w:val="24"/>
          <w:szCs w:val="24"/>
          <w:lang w:val="en-IN"/>
        </w:rPr>
      </w:pPr>
      <w:r w:rsidRPr="00A96E4E">
        <w:rPr>
          <w:rFonts w:ascii="Times New Roman" w:hAnsi="Times New Roman" w:cs="Times New Roman"/>
          <w:b/>
          <w:bCs/>
          <w:sz w:val="24"/>
          <w:szCs w:val="24"/>
        </w:rPr>
        <w:t>References</w:t>
      </w:r>
    </w:p>
    <w:p w14:paraId="5CFB6F7A" w14:textId="77777777" w:rsidR="00742FD2" w:rsidRPr="0085265A"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rPr>
          <w:lang w:val="en-US"/>
        </w:rPr>
        <w:t xml:space="preserve">A.O.A.C. (1995) Official Methods of Analysis 12th </w:t>
      </w:r>
      <w:proofErr w:type="spellStart"/>
      <w:r w:rsidRPr="0085265A">
        <w:rPr>
          <w:lang w:val="en-US"/>
        </w:rPr>
        <w:t>Edn</w:t>
      </w:r>
      <w:proofErr w:type="spellEnd"/>
      <w:r w:rsidRPr="0085265A">
        <w:rPr>
          <w:lang w:val="en-US"/>
        </w:rPr>
        <w:t xml:space="preserve">. Association of Analytical Chemists, Washington, D.C. </w:t>
      </w:r>
    </w:p>
    <w:p w14:paraId="39CC0B90" w14:textId="77777777" w:rsidR="00742FD2" w:rsidRDefault="00742FD2" w:rsidP="00856B7F">
      <w:pPr>
        <w:pStyle w:val="NormalWeb"/>
        <w:numPr>
          <w:ilvl w:val="0"/>
          <w:numId w:val="6"/>
        </w:numPr>
        <w:spacing w:line="276" w:lineRule="auto"/>
        <w:ind w:left="567" w:right="4" w:hanging="567"/>
        <w:jc w:val="both"/>
      </w:pPr>
      <w:r w:rsidRPr="00CD7224">
        <w:t>Ad</w:t>
      </w:r>
      <w:r>
        <w:t xml:space="preserve">ebisi, A.A., </w:t>
      </w:r>
      <w:r w:rsidRPr="00CD7224">
        <w:t xml:space="preserve">Omotoso, O. B., </w:t>
      </w:r>
      <w:r>
        <w:t xml:space="preserve">Olufemi-Amodu, B. and </w:t>
      </w:r>
      <w:proofErr w:type="spellStart"/>
      <w:r>
        <w:t>Fajemisin</w:t>
      </w:r>
      <w:proofErr w:type="spellEnd"/>
      <w:r>
        <w:t>, A.N. 2022</w:t>
      </w:r>
      <w:r w:rsidRPr="00CD7224">
        <w:t xml:space="preserve">. Effect of feeding frequency of </w:t>
      </w:r>
      <w:r>
        <w:t>(</w:t>
      </w:r>
      <w:r w:rsidRPr="004802AA">
        <w:rPr>
          <w:i/>
          <w:iCs/>
        </w:rPr>
        <w:t>Curcuma longa</w:t>
      </w:r>
      <w:r>
        <w:rPr>
          <w:i/>
          <w:iCs/>
        </w:rPr>
        <w:t xml:space="preserve"> </w:t>
      </w:r>
      <w:r>
        <w:t xml:space="preserve">L.) </w:t>
      </w:r>
      <w:r w:rsidRPr="00CD7224">
        <w:t>supplemented diets on nutrients intake, growth performance and rumen ferment</w:t>
      </w:r>
      <w:r>
        <w:t xml:space="preserve">ation characteristics of goats. </w:t>
      </w:r>
      <w:r w:rsidRPr="008E214F">
        <w:rPr>
          <w:i/>
          <w:iCs/>
        </w:rPr>
        <w:t xml:space="preserve">Acta </w:t>
      </w:r>
      <w:proofErr w:type="spellStart"/>
      <w:r w:rsidRPr="008E214F">
        <w:rPr>
          <w:i/>
          <w:iCs/>
        </w:rPr>
        <w:t>fytotechnzoo</w:t>
      </w:r>
      <w:proofErr w:type="spellEnd"/>
      <w:r>
        <w:rPr>
          <w:i/>
          <w:iCs/>
        </w:rPr>
        <w:t xml:space="preserve"> </w:t>
      </w:r>
      <w:r w:rsidRPr="008E214F">
        <w:rPr>
          <w:i/>
          <w:iCs/>
        </w:rPr>
        <w:t>techn</w:t>
      </w:r>
      <w:r w:rsidRPr="00CD7224">
        <w:t>:</w:t>
      </w:r>
      <w:r>
        <w:t>25(3): 185-193.</w:t>
      </w:r>
    </w:p>
    <w:p w14:paraId="63E46F53" w14:textId="77777777" w:rsidR="00742FD2" w:rsidRPr="0085265A" w:rsidRDefault="00742FD2" w:rsidP="00856B7F">
      <w:pPr>
        <w:pStyle w:val="NormalWeb"/>
        <w:numPr>
          <w:ilvl w:val="0"/>
          <w:numId w:val="6"/>
        </w:numPr>
        <w:spacing w:line="276" w:lineRule="auto"/>
        <w:ind w:left="567" w:right="4" w:hanging="567"/>
        <w:jc w:val="both"/>
      </w:pPr>
      <w:proofErr w:type="spellStart"/>
      <w:r w:rsidRPr="0085265A">
        <w:t>Aderinboye</w:t>
      </w:r>
      <w:proofErr w:type="spellEnd"/>
      <w:r w:rsidRPr="0085265A">
        <w:t xml:space="preserve">, R. Y., </w:t>
      </w:r>
      <w:proofErr w:type="spellStart"/>
      <w:r w:rsidRPr="0085265A">
        <w:t>Ojediran</w:t>
      </w:r>
      <w:proofErr w:type="spellEnd"/>
      <w:r w:rsidRPr="0085265A">
        <w:t xml:space="preserve">, T. O. and </w:t>
      </w:r>
      <w:proofErr w:type="spellStart"/>
      <w:r w:rsidRPr="0085265A">
        <w:t>Agunloko</w:t>
      </w:r>
      <w:proofErr w:type="spellEnd"/>
      <w:r w:rsidRPr="0085265A">
        <w:t>, O. O.</w:t>
      </w:r>
      <w:r>
        <w:t xml:space="preserve"> </w:t>
      </w:r>
      <w:r w:rsidRPr="0085265A">
        <w:t xml:space="preserve">2021. Effect of turmeric feed additive on growth performance, haematological and serum biochemical indices of West African Dwarf goats. </w:t>
      </w:r>
      <w:r w:rsidRPr="0085265A">
        <w:rPr>
          <w:i/>
          <w:iCs/>
        </w:rPr>
        <w:t>J. Anim. Prod. Res.</w:t>
      </w:r>
      <w:r w:rsidRPr="0085265A">
        <w:t>, 33(1):98-110.</w:t>
      </w:r>
    </w:p>
    <w:p w14:paraId="377CE790" w14:textId="2E6D4CD9" w:rsidR="00742FD2" w:rsidRPr="007601CA" w:rsidRDefault="00742FD2" w:rsidP="00856B7F">
      <w:pPr>
        <w:pStyle w:val="NormalWeb"/>
        <w:numPr>
          <w:ilvl w:val="0"/>
          <w:numId w:val="6"/>
        </w:numPr>
        <w:spacing w:before="0" w:beforeAutospacing="0" w:after="0" w:afterAutospacing="0" w:line="276" w:lineRule="auto"/>
        <w:ind w:left="567" w:right="4" w:hanging="567"/>
        <w:jc w:val="both"/>
      </w:pPr>
      <w:r w:rsidRPr="007601CA">
        <w:t>Ashraf A</w:t>
      </w:r>
      <w:r>
        <w:t>.</w:t>
      </w:r>
      <w:r w:rsidRPr="007601CA">
        <w:t xml:space="preserve">, </w:t>
      </w:r>
      <w:proofErr w:type="spellStart"/>
      <w:r w:rsidRPr="007601CA">
        <w:t>Shahardar</w:t>
      </w:r>
      <w:proofErr w:type="spellEnd"/>
      <w:r w:rsidRPr="007601CA">
        <w:t xml:space="preserve"> R</w:t>
      </w:r>
      <w:r>
        <w:t xml:space="preserve">. </w:t>
      </w:r>
      <w:r w:rsidRPr="007601CA">
        <w:t>A</w:t>
      </w:r>
      <w:r>
        <w:t>.</w:t>
      </w:r>
      <w:r w:rsidRPr="007601CA">
        <w:t>, Bulbul K</w:t>
      </w:r>
      <w:r>
        <w:t xml:space="preserve"> </w:t>
      </w:r>
      <w:r w:rsidRPr="007601CA">
        <w:t>H, Wani Z</w:t>
      </w:r>
      <w:r>
        <w:t xml:space="preserve">. </w:t>
      </w:r>
      <w:r w:rsidRPr="007601CA">
        <w:t>A</w:t>
      </w:r>
      <w:r>
        <w:t>.</w:t>
      </w:r>
      <w:r w:rsidRPr="007601CA">
        <w:t xml:space="preserve">, </w:t>
      </w:r>
      <w:proofErr w:type="spellStart"/>
      <w:r w:rsidRPr="007601CA">
        <w:t>Allaie</w:t>
      </w:r>
      <w:proofErr w:type="spellEnd"/>
      <w:r w:rsidRPr="007601CA">
        <w:t xml:space="preserve"> I</w:t>
      </w:r>
      <w:r>
        <w:t xml:space="preserve">. </w:t>
      </w:r>
      <w:r w:rsidRPr="007601CA">
        <w:t>M</w:t>
      </w:r>
      <w:r>
        <w:t>.</w:t>
      </w:r>
      <w:r w:rsidRPr="007601CA">
        <w:t xml:space="preserve">, </w:t>
      </w:r>
      <w:proofErr w:type="spellStart"/>
      <w:r w:rsidRPr="007601CA">
        <w:t>Makhdoomi</w:t>
      </w:r>
      <w:proofErr w:type="spellEnd"/>
      <w:r w:rsidRPr="007601CA">
        <w:t xml:space="preserve"> D</w:t>
      </w:r>
      <w:r>
        <w:t xml:space="preserve">. </w:t>
      </w:r>
      <w:r w:rsidRPr="007601CA">
        <w:t>M</w:t>
      </w:r>
      <w:r>
        <w:t>.</w:t>
      </w:r>
      <w:r w:rsidRPr="007601CA">
        <w:t>, Bhat H</w:t>
      </w:r>
      <w:r>
        <w:t xml:space="preserve">. </w:t>
      </w:r>
      <w:r w:rsidRPr="007601CA">
        <w:t>F</w:t>
      </w:r>
      <w:r>
        <w:t>.</w:t>
      </w:r>
      <w:r w:rsidRPr="007601CA">
        <w:t xml:space="preserve"> and Rather M</w:t>
      </w:r>
      <w:r>
        <w:t xml:space="preserve">. </w:t>
      </w:r>
      <w:r w:rsidRPr="007601CA">
        <w:t>A</w:t>
      </w:r>
      <w:r>
        <w:t>.</w:t>
      </w:r>
      <w:r w:rsidRPr="007601CA">
        <w:t xml:space="preserve"> 2020. Anticoccidial efficacy of </w:t>
      </w:r>
      <w:r w:rsidRPr="00742FD2">
        <w:rPr>
          <w:i/>
          <w:iCs/>
        </w:rPr>
        <w:t>Curcuma longa</w:t>
      </w:r>
      <w:r w:rsidRPr="007601CA">
        <w:t xml:space="preserve"> (turmeric) and </w:t>
      </w:r>
      <w:r w:rsidRPr="00742FD2">
        <w:rPr>
          <w:i/>
          <w:iCs/>
        </w:rPr>
        <w:t>Zingiber officinale</w:t>
      </w:r>
      <w:r w:rsidRPr="007601CA">
        <w:t xml:space="preserve"> (ginger) in goats in central Kashmir. </w:t>
      </w:r>
      <w:r w:rsidRPr="00742FD2">
        <w:rPr>
          <w:i/>
          <w:iCs/>
        </w:rPr>
        <w:t>J. of Pharmacognosy and Phytochemistry</w:t>
      </w:r>
      <w:r w:rsidRPr="007601CA">
        <w:t xml:space="preserve">, </w:t>
      </w:r>
      <w:proofErr w:type="spellStart"/>
      <w:r w:rsidRPr="007601CA">
        <w:t>Sp</w:t>
      </w:r>
      <w:proofErr w:type="spellEnd"/>
      <w:r w:rsidRPr="007601CA">
        <w:t xml:space="preserve"> 9(4): 354–360.</w:t>
      </w:r>
    </w:p>
    <w:p w14:paraId="0977C44D" w14:textId="77777777" w:rsidR="00742FD2" w:rsidRDefault="00742FD2" w:rsidP="00856B7F">
      <w:pPr>
        <w:pStyle w:val="NormalWeb"/>
        <w:numPr>
          <w:ilvl w:val="0"/>
          <w:numId w:val="6"/>
        </w:numPr>
        <w:spacing w:before="0" w:beforeAutospacing="0" w:after="0" w:afterAutospacing="0" w:line="276" w:lineRule="auto"/>
        <w:ind w:left="567" w:right="4" w:hanging="567"/>
        <w:jc w:val="both"/>
      </w:pPr>
      <w:proofErr w:type="spellStart"/>
      <w:r>
        <w:t>Caroprese</w:t>
      </w:r>
      <w:proofErr w:type="spellEnd"/>
      <w:r>
        <w:t xml:space="preserve">, M.; Ciliberti, M.G.; Annicchiarico, G.; </w:t>
      </w:r>
      <w:proofErr w:type="spellStart"/>
      <w:r>
        <w:t>Albenzio</w:t>
      </w:r>
      <w:proofErr w:type="spellEnd"/>
      <w:r>
        <w:t>, M.; Muscio, A.; Sevi, A. Hypothalamic pituitary-adrenal axis activation and immune regulation in heat-stressed sheep after supplementation with polyunsaturated fatty acids. J. Dairy Sci. 2014, 97, 4247–4258.</w:t>
      </w:r>
    </w:p>
    <w:p w14:paraId="52B270C6" w14:textId="77777777" w:rsidR="00742FD2" w:rsidRPr="000C57A7" w:rsidRDefault="00742FD2" w:rsidP="00856B7F">
      <w:pPr>
        <w:pStyle w:val="NormalWeb"/>
        <w:numPr>
          <w:ilvl w:val="0"/>
          <w:numId w:val="6"/>
        </w:numPr>
        <w:spacing w:before="0" w:beforeAutospacing="0" w:after="0" w:afterAutospacing="0" w:line="276" w:lineRule="auto"/>
        <w:ind w:left="567" w:right="4" w:hanging="567"/>
        <w:jc w:val="both"/>
        <w:rPr>
          <w:lang w:val="en-US"/>
        </w:rPr>
      </w:pPr>
      <w:r>
        <w:t xml:space="preserve">Chen, S.; Wang, J.; Peng, D.; Li, G.; Chen, J.; Gu, X. Exposure to heat-stress environment an </w:t>
      </w:r>
      <w:proofErr w:type="spellStart"/>
      <w:r>
        <w:t>ects</w:t>
      </w:r>
      <w:proofErr w:type="spellEnd"/>
      <w:r>
        <w:t xml:space="preserve"> the physiology,</w:t>
      </w:r>
      <w:r>
        <w:rPr>
          <w:lang w:val="en-US"/>
        </w:rPr>
        <w:t xml:space="preserve"> </w:t>
      </w:r>
      <w:r>
        <w:t>circulation levels of cytokines and microbiome in dairy cows. Sci. Rep. 2018, 8, 14606.</w:t>
      </w:r>
    </w:p>
    <w:p w14:paraId="229D3B9E"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 xml:space="preserve">Cong, X.; Zhang, Q.; Li, H.; Jiang, Z.; Cao, R.; Gao, S.; Tian, W. </w:t>
      </w:r>
      <w:proofErr w:type="spellStart"/>
      <w:r>
        <w:t>Puerarin</w:t>
      </w:r>
      <w:proofErr w:type="spellEnd"/>
      <w:r>
        <w:t xml:space="preserve"> ameliorates heat stress–induced oxidative damage and apoptosis in bovine Sertoli cells by suppressing ROS production and upregulating Hsp72 expression. Theriogenology 2017, 88, 215–227.</w:t>
      </w:r>
    </w:p>
    <w:p w14:paraId="0504CE28"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t xml:space="preserve">EL-Gohary, E., EL-Saadany, S., Abd-Elkhabeer, M. and Aiad, K.M. 2012. Effect of supplementing some medicinal herbs and plants on the performance of 45 lactating goats productive and reproductive performance. </w:t>
      </w:r>
      <w:r w:rsidRPr="00B7229F">
        <w:rPr>
          <w:i/>
          <w:iCs/>
        </w:rPr>
        <w:t>J. Animal and Poultry Prod</w:t>
      </w:r>
      <w:r w:rsidRPr="0085265A">
        <w:t>., 3 (5): 199-213.</w:t>
      </w:r>
    </w:p>
    <w:p w14:paraId="24657906"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lastRenderedPageBreak/>
        <w:t xml:space="preserve">Elsasser, T.H.; Ross, J.W.; Clay Isom, S. E </w:t>
      </w:r>
      <w:proofErr w:type="spellStart"/>
      <w:r>
        <w:t>ects</w:t>
      </w:r>
      <w:proofErr w:type="spellEnd"/>
      <w:r>
        <w:t xml:space="preserve"> of heat stress on carbohydrate and lipid metabolism in growing</w:t>
      </w:r>
      <w:r>
        <w:rPr>
          <w:lang w:val="en-US"/>
        </w:rPr>
        <w:t xml:space="preserve"> </w:t>
      </w:r>
      <w:r>
        <w:t>pigs. Physiol. Rep. 2015, 3, e12315.</w:t>
      </w:r>
    </w:p>
    <w:p w14:paraId="63E0A043"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 xml:space="preserve">Ferreira, A.J.P.; Palermo-Neto, J. Heat stress impairs performance and induces intestinal inflammation in broiler chickens infected with Salmonella Enteritidis. Avian </w:t>
      </w:r>
      <w:proofErr w:type="spellStart"/>
      <w:r>
        <w:t>Pathol</w:t>
      </w:r>
      <w:proofErr w:type="spellEnd"/>
      <w:r>
        <w:t>. 2012, 41, 421–427.</w:t>
      </w:r>
    </w:p>
    <w:p w14:paraId="3B711650"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t xml:space="preserve">Habeeb, A. A. M. and El </w:t>
      </w:r>
      <w:proofErr w:type="spellStart"/>
      <w:r w:rsidRPr="0085265A">
        <w:t>Tarabany</w:t>
      </w:r>
      <w:proofErr w:type="spellEnd"/>
      <w:r w:rsidRPr="0085265A">
        <w:t xml:space="preserve">, A.A. 2012. Effect of Nigella sativa or Curcumin on daily body weight gain, feed intake and some physiological functions in growing </w:t>
      </w:r>
      <w:proofErr w:type="spellStart"/>
      <w:r w:rsidRPr="0085265A">
        <w:t>Zaraibi</w:t>
      </w:r>
      <w:proofErr w:type="spellEnd"/>
      <w:r w:rsidRPr="0085265A">
        <w:t xml:space="preserve"> goat during hot summer season. </w:t>
      </w:r>
      <w:r w:rsidRPr="0085265A">
        <w:rPr>
          <w:i/>
          <w:iCs/>
        </w:rPr>
        <w:t>J.Rad.Res.Appl.Sci</w:t>
      </w:r>
      <w:r w:rsidRPr="0085265A">
        <w:t>.,5(2): 60-78.</w:t>
      </w:r>
    </w:p>
    <w:p w14:paraId="7C71CB15"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t>Hall, D.; Xu, L.; Drake, V.; Oberley, L.; Oberley, T.; Moseley, P.; Kregel, K. Aging reduces adaptive capacity and stress protein expression in the liver after heat stress. J. Appl. Physiol. 2000, 89, 749–759.</w:t>
      </w:r>
    </w:p>
    <w:p w14:paraId="3488E488"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 xml:space="preserve">Hicks, T.A.; McGlone, J.J.; Whisnant, C.S.; </w:t>
      </w:r>
      <w:proofErr w:type="spellStart"/>
      <w:r>
        <w:t>Kattesh</w:t>
      </w:r>
      <w:proofErr w:type="spellEnd"/>
      <w:r>
        <w:t xml:space="preserve">, H.G.; Norman, R.L. </w:t>
      </w:r>
      <w:proofErr w:type="spellStart"/>
      <w:r>
        <w:t>Behavioral</w:t>
      </w:r>
      <w:proofErr w:type="spellEnd"/>
      <w:r>
        <w:t>, endocrine, immune and performance measures for pigs exposed to acute stress. Sci. J. Anim. Sci. 1998, 76, 474–483.</w:t>
      </w:r>
    </w:p>
    <w:p w14:paraId="7CCA92A4" w14:textId="77777777" w:rsidR="00C55B9A" w:rsidRDefault="00C55B9A" w:rsidP="00856B7F">
      <w:pPr>
        <w:pStyle w:val="NormalWeb"/>
        <w:numPr>
          <w:ilvl w:val="0"/>
          <w:numId w:val="6"/>
        </w:numPr>
        <w:spacing w:line="276" w:lineRule="auto"/>
        <w:ind w:left="567" w:right="4" w:hanging="567"/>
        <w:jc w:val="both"/>
      </w:pPr>
      <w:proofErr w:type="spellStart"/>
      <w:r>
        <w:t>Jansuk</w:t>
      </w:r>
      <w:proofErr w:type="spellEnd"/>
      <w:r>
        <w:t xml:space="preserve"> J., </w:t>
      </w:r>
      <w:proofErr w:type="spellStart"/>
      <w:r>
        <w:t>Puddang</w:t>
      </w:r>
      <w:proofErr w:type="spellEnd"/>
      <w:r>
        <w:t xml:space="preserve"> S., </w:t>
      </w:r>
      <w:proofErr w:type="spellStart"/>
      <w:r>
        <w:t>Nakavirot</w:t>
      </w:r>
      <w:proofErr w:type="spellEnd"/>
      <w:r>
        <w:t xml:space="preserve"> P., Bodee K. and Opart P. 2022. Effect of turmeric (</w:t>
      </w:r>
      <w:r w:rsidRPr="004802AA">
        <w:rPr>
          <w:i/>
          <w:iCs/>
        </w:rPr>
        <w:t>Curcuma longa</w:t>
      </w:r>
      <w:r>
        <w:t xml:space="preserve"> L.) powder supplements in diet on milk yield of lactating goats. </w:t>
      </w:r>
      <w:r w:rsidRPr="008E214F">
        <w:rPr>
          <w:i/>
          <w:iCs/>
        </w:rPr>
        <w:t>Khon Kaen Agri. Suppl</w:t>
      </w:r>
      <w:r>
        <w:t>.1:284-291.</w:t>
      </w:r>
    </w:p>
    <w:p w14:paraId="02B411A6"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 xml:space="preserve">Kantidze, O.; Velichko, A.; </w:t>
      </w:r>
      <w:proofErr w:type="spellStart"/>
      <w:r>
        <w:t>Luzhin</w:t>
      </w:r>
      <w:proofErr w:type="spellEnd"/>
      <w:r>
        <w:t>, A.; Razin, S. Heat stress-induced DNA damage. Acta Nat. 2016, 8.</w:t>
      </w:r>
    </w:p>
    <w:p w14:paraId="51BA0A91" w14:textId="4ED125FA" w:rsidR="00C55B9A" w:rsidRDefault="00C55B9A" w:rsidP="00856B7F">
      <w:pPr>
        <w:pStyle w:val="NormalWeb"/>
        <w:numPr>
          <w:ilvl w:val="0"/>
          <w:numId w:val="6"/>
        </w:numPr>
        <w:spacing w:line="276" w:lineRule="auto"/>
        <w:ind w:left="567" w:right="4" w:hanging="567"/>
        <w:jc w:val="both"/>
      </w:pPr>
      <w:proofErr w:type="spellStart"/>
      <w:r w:rsidRPr="00872593">
        <w:t>Khalesizadeh</w:t>
      </w:r>
      <w:proofErr w:type="spellEnd"/>
      <w:r w:rsidRPr="00872593">
        <w:t xml:space="preserve"> A., Alireza V., Mohsen D.</w:t>
      </w:r>
      <w:r w:rsidR="00016E38">
        <w:t xml:space="preserve"> and </w:t>
      </w:r>
      <w:r w:rsidRPr="00872593">
        <w:t>Valizadeh, R. 2011. The effects of Garlic Oil (</w:t>
      </w:r>
      <w:r w:rsidRPr="006A579F">
        <w:rPr>
          <w:i/>
          <w:iCs/>
        </w:rPr>
        <w:t>Allium sa</w:t>
      </w:r>
      <w:r>
        <w:rPr>
          <w:i/>
          <w:iCs/>
        </w:rPr>
        <w:t>t</w:t>
      </w:r>
      <w:r w:rsidRPr="006A579F">
        <w:rPr>
          <w:i/>
          <w:iCs/>
        </w:rPr>
        <w:t>iva</w:t>
      </w:r>
      <w:r w:rsidRPr="00872593">
        <w:t>) Turmeric Powder (</w:t>
      </w:r>
      <w:r w:rsidRPr="006A579F">
        <w:rPr>
          <w:i/>
          <w:iCs/>
        </w:rPr>
        <w:t>Curcuma longa</w:t>
      </w:r>
      <w:r w:rsidRPr="00872593">
        <w:t xml:space="preserve"> Linn) and </w:t>
      </w:r>
      <w:proofErr w:type="spellStart"/>
      <w:r w:rsidRPr="00872593">
        <w:t>Monensin</w:t>
      </w:r>
      <w:proofErr w:type="spellEnd"/>
      <w:r w:rsidRPr="00872593">
        <w:t xml:space="preserve"> on Total Apparent Digestibility of Nutrients in </w:t>
      </w:r>
      <w:proofErr w:type="spellStart"/>
      <w:r w:rsidRPr="00872593">
        <w:t>Baloochi</w:t>
      </w:r>
      <w:proofErr w:type="spellEnd"/>
      <w:r w:rsidRPr="00872593">
        <w:t xml:space="preserve"> Lambs. </w:t>
      </w:r>
      <w:r w:rsidRPr="008E214F">
        <w:rPr>
          <w:i/>
          <w:iCs/>
        </w:rPr>
        <w:t>Int</w:t>
      </w:r>
      <w:r>
        <w:rPr>
          <w:i/>
          <w:iCs/>
        </w:rPr>
        <w:t>.</w:t>
      </w:r>
      <w:r w:rsidRPr="008E214F">
        <w:rPr>
          <w:i/>
          <w:iCs/>
        </w:rPr>
        <w:t xml:space="preserve"> J</w:t>
      </w:r>
      <w:r>
        <w:rPr>
          <w:i/>
          <w:iCs/>
        </w:rPr>
        <w:t xml:space="preserve">. </w:t>
      </w:r>
      <w:r w:rsidRPr="008E214F">
        <w:rPr>
          <w:i/>
          <w:iCs/>
        </w:rPr>
        <w:t xml:space="preserve">of Bio, </w:t>
      </w:r>
      <w:proofErr w:type="spellStart"/>
      <w:r w:rsidRPr="008E214F">
        <w:rPr>
          <w:i/>
          <w:iCs/>
        </w:rPr>
        <w:t>Bimol</w:t>
      </w:r>
      <w:proofErr w:type="spellEnd"/>
      <w:r>
        <w:rPr>
          <w:i/>
          <w:iCs/>
        </w:rPr>
        <w:t>.</w:t>
      </w:r>
      <w:r w:rsidRPr="008E214F">
        <w:rPr>
          <w:i/>
          <w:iCs/>
        </w:rPr>
        <w:t>, Agri</w:t>
      </w:r>
      <w:r>
        <w:rPr>
          <w:i/>
          <w:iCs/>
        </w:rPr>
        <w:t>.</w:t>
      </w:r>
      <w:r w:rsidRPr="008E214F">
        <w:rPr>
          <w:i/>
          <w:iCs/>
        </w:rPr>
        <w:t>, Food and Biotech</w:t>
      </w:r>
      <w:r>
        <w:rPr>
          <w:i/>
          <w:iCs/>
        </w:rPr>
        <w:t>. E</w:t>
      </w:r>
      <w:r w:rsidRPr="008E214F">
        <w:rPr>
          <w:i/>
          <w:iCs/>
        </w:rPr>
        <w:t>ngi</w:t>
      </w:r>
      <w:r>
        <w:rPr>
          <w:i/>
          <w:iCs/>
        </w:rPr>
        <w:t>.</w:t>
      </w:r>
      <w:r w:rsidRPr="00872593">
        <w:t>, 5 (52): 20-28</w:t>
      </w:r>
    </w:p>
    <w:p w14:paraId="5115B16B" w14:textId="77777777" w:rsidR="00742FD2" w:rsidRDefault="00742FD2" w:rsidP="00856B7F">
      <w:pPr>
        <w:pStyle w:val="NormalWeb"/>
        <w:numPr>
          <w:ilvl w:val="0"/>
          <w:numId w:val="6"/>
        </w:numPr>
        <w:spacing w:before="0" w:beforeAutospacing="0" w:after="0" w:afterAutospacing="0" w:line="276" w:lineRule="auto"/>
        <w:ind w:left="567" w:right="4" w:hanging="567"/>
        <w:jc w:val="both"/>
      </w:pPr>
      <w:proofErr w:type="spellStart"/>
      <w:r>
        <w:t>Mashaly</w:t>
      </w:r>
      <w:proofErr w:type="spellEnd"/>
      <w:r>
        <w:t xml:space="preserve">, M.; Hendricks 3rd, G.; Kalama, M.; Gehad, A.; Abbas, A.; Patterson, P. E </w:t>
      </w:r>
      <w:proofErr w:type="spellStart"/>
      <w:r>
        <w:t>ect</w:t>
      </w:r>
      <w:proofErr w:type="spellEnd"/>
      <w:r>
        <w:t xml:space="preserve"> of heat stress on production parameters and immune responses of commercial laying hens. Poult. Sci. J. 2004, 83, 889–894.</w:t>
      </w:r>
    </w:p>
    <w:p w14:paraId="484444D8" w14:textId="77777777" w:rsidR="00742FD2" w:rsidRDefault="00742FD2" w:rsidP="00856B7F">
      <w:pPr>
        <w:pStyle w:val="NormalWeb"/>
        <w:numPr>
          <w:ilvl w:val="0"/>
          <w:numId w:val="6"/>
        </w:numPr>
        <w:spacing w:before="0" w:beforeAutospacing="0" w:after="0" w:afterAutospacing="0" w:line="276" w:lineRule="auto"/>
        <w:ind w:left="567" w:right="4" w:hanging="567"/>
        <w:jc w:val="both"/>
      </w:pPr>
      <w:proofErr w:type="spellStart"/>
      <w:r>
        <w:t>Maurya,V</w:t>
      </w:r>
      <w:proofErr w:type="spellEnd"/>
      <w:r>
        <w:t xml:space="preserve">.; </w:t>
      </w:r>
      <w:proofErr w:type="spellStart"/>
      <w:r>
        <w:t>Sejian</w:t>
      </w:r>
      <w:proofErr w:type="spellEnd"/>
      <w:r>
        <w:t xml:space="preserve">, V.; Kumar, D.; Naqvi, S. Impact of heat stress, nutritional restriction and combined stresses (heat and nutritional) on growth and reproductive performance of </w:t>
      </w:r>
      <w:proofErr w:type="spellStart"/>
      <w:r>
        <w:t>Malpura</w:t>
      </w:r>
      <w:proofErr w:type="spellEnd"/>
      <w:r>
        <w:t xml:space="preserve"> rams under semi-arid tropical environment. J. Anim. Physiol. Anim. </w:t>
      </w:r>
      <w:proofErr w:type="spellStart"/>
      <w:r>
        <w:t>Nutr</w:t>
      </w:r>
      <w:proofErr w:type="spellEnd"/>
      <w:r>
        <w:t>. 2016, 100, 938–946.</w:t>
      </w:r>
    </w:p>
    <w:p w14:paraId="76E9B6F6" w14:textId="77777777" w:rsidR="00742FD2" w:rsidRDefault="00742FD2" w:rsidP="00856B7F">
      <w:pPr>
        <w:pStyle w:val="NormalWeb"/>
        <w:numPr>
          <w:ilvl w:val="0"/>
          <w:numId w:val="6"/>
        </w:numPr>
        <w:spacing w:line="276" w:lineRule="auto"/>
        <w:ind w:left="567" w:right="4" w:hanging="567"/>
        <w:jc w:val="both"/>
      </w:pPr>
      <w:proofErr w:type="spellStart"/>
      <w:r w:rsidRPr="005E089B">
        <w:t>Narute</w:t>
      </w:r>
      <w:proofErr w:type="spellEnd"/>
      <w:r>
        <w:t xml:space="preserve">, </w:t>
      </w:r>
      <w:r w:rsidRPr="005E089B">
        <w:t>201</w:t>
      </w:r>
      <w:r>
        <w:t>2.</w:t>
      </w:r>
      <w:r w:rsidRPr="005E089B">
        <w:t xml:space="preserve"> </w:t>
      </w:r>
      <w:r>
        <w:t xml:space="preserve">Effect </w:t>
      </w:r>
      <w:r w:rsidRPr="005E089B">
        <w:t xml:space="preserve">of herbal </w:t>
      </w:r>
      <w:r>
        <w:t>combination</w:t>
      </w:r>
      <w:r w:rsidRPr="005E089B">
        <w:t xml:space="preserve">s on </w:t>
      </w:r>
      <w:r>
        <w:t xml:space="preserve">performance </w:t>
      </w:r>
      <w:proofErr w:type="spellStart"/>
      <w:r w:rsidRPr="005E089B">
        <w:t>Osmanabadi</w:t>
      </w:r>
      <w:proofErr w:type="spellEnd"/>
      <w:r w:rsidRPr="005E089B">
        <w:t xml:space="preserve"> goat</w:t>
      </w:r>
      <w:r>
        <w:t xml:space="preserve"> kids</w:t>
      </w:r>
      <w:r w:rsidRPr="005E089B">
        <w:t>.</w:t>
      </w:r>
      <w:r>
        <w:t xml:space="preserve"> M.Sc.</w:t>
      </w:r>
      <w:r w:rsidRPr="00FC3B9B">
        <w:t xml:space="preserve"> </w:t>
      </w:r>
      <w:r w:rsidRPr="00AF6C70">
        <w:t>(</w:t>
      </w:r>
      <w:r>
        <w:t>Vet</w:t>
      </w:r>
      <w:r w:rsidRPr="00AF6C70">
        <w:t>.</w:t>
      </w:r>
      <w:r>
        <w:t xml:space="preserve"> Sci.</w:t>
      </w:r>
      <w:r w:rsidRPr="00AF6C70">
        <w:t xml:space="preserve">) Thesis, </w:t>
      </w:r>
      <w:r w:rsidRPr="00FC3B9B">
        <w:t>Maharashtra Animal &amp; Fishery Science U</w:t>
      </w:r>
      <w:r>
        <w:t>ni</w:t>
      </w:r>
      <w:r w:rsidRPr="00FC3B9B">
        <w:t xml:space="preserve">versity, Nagpur </w:t>
      </w:r>
      <w:r w:rsidRPr="00657281">
        <w:t>(MS.)</w:t>
      </w:r>
      <w:r w:rsidRPr="00AF6C70">
        <w:t>, India.</w:t>
      </w:r>
    </w:p>
    <w:p w14:paraId="7E11DD52" w14:textId="77777777" w:rsidR="00742FD2" w:rsidRDefault="00742FD2" w:rsidP="00856B7F">
      <w:pPr>
        <w:pStyle w:val="NormalWeb"/>
        <w:numPr>
          <w:ilvl w:val="0"/>
          <w:numId w:val="6"/>
        </w:numPr>
        <w:spacing w:before="0" w:beforeAutospacing="0" w:after="0" w:afterAutospacing="0" w:line="276" w:lineRule="auto"/>
        <w:ind w:left="567" w:right="4" w:hanging="567"/>
        <w:jc w:val="both"/>
      </w:pPr>
      <w:r>
        <w:t>Nisar, A.; Sultana, M.; Ashraf, H. Oxidative stress-threat to animal health and production. Int. J. Livest. Res. 2013, 3, 76–83.</w:t>
      </w:r>
    </w:p>
    <w:p w14:paraId="1A0A5B79" w14:textId="77777777" w:rsidR="00742FD2" w:rsidRDefault="00742FD2" w:rsidP="00856B7F">
      <w:pPr>
        <w:pStyle w:val="NormalWeb"/>
        <w:numPr>
          <w:ilvl w:val="0"/>
          <w:numId w:val="6"/>
        </w:numPr>
        <w:spacing w:line="276" w:lineRule="auto"/>
        <w:ind w:left="567" w:right="4" w:hanging="567"/>
        <w:jc w:val="both"/>
      </w:pPr>
      <w:proofErr w:type="spellStart"/>
      <w:r w:rsidRPr="00CD7224">
        <w:t>Oderinwale</w:t>
      </w:r>
      <w:proofErr w:type="spellEnd"/>
      <w:r w:rsidRPr="00CD7224">
        <w:t>, O.A.,</w:t>
      </w:r>
      <w:r>
        <w:t xml:space="preserve"> </w:t>
      </w:r>
      <w:r w:rsidRPr="00CD7224">
        <w:t>Oluwatosin, B</w:t>
      </w:r>
      <w:r>
        <w:t xml:space="preserve">., </w:t>
      </w:r>
      <w:proofErr w:type="spellStart"/>
      <w:r>
        <w:t>Amosu</w:t>
      </w:r>
      <w:proofErr w:type="spellEnd"/>
      <w:r>
        <w:t>, S.D. and Omotayo, S.G. 2017</w:t>
      </w:r>
      <w:r w:rsidRPr="00CD7224">
        <w:t>. Performance of kids produced by three breeds of goat fed diets supplemented with graded level</w:t>
      </w:r>
      <w:r>
        <w:t>s of turmeric powder. Tropical A</w:t>
      </w:r>
      <w:r w:rsidRPr="00CD7224">
        <w:t>nimal</w:t>
      </w:r>
      <w:r>
        <w:t xml:space="preserve"> Health and Production, 52(10): </w:t>
      </w:r>
      <w:r w:rsidRPr="00CD7224">
        <w:t>1239-1248.</w:t>
      </w:r>
    </w:p>
    <w:p w14:paraId="0E647E3D" w14:textId="77777777" w:rsidR="00742FD2" w:rsidRPr="00E12DED" w:rsidRDefault="00742FD2" w:rsidP="00856B7F">
      <w:pPr>
        <w:pStyle w:val="NormalWeb"/>
        <w:numPr>
          <w:ilvl w:val="0"/>
          <w:numId w:val="6"/>
        </w:numPr>
        <w:spacing w:before="0" w:beforeAutospacing="0" w:after="0" w:afterAutospacing="0" w:line="276" w:lineRule="auto"/>
        <w:ind w:left="567" w:right="4" w:hanging="567"/>
        <w:jc w:val="both"/>
      </w:pPr>
      <w:r>
        <w:t>Palermo-Neto, J. Acute heat stress impairs performance parameters and induces mild intestinal enteritis in broiler chickens: Role of acute hypothalamic-pituitary-adrenal axis activation. J. Anim. Sci. 2012, 90, 1986–1994.</w:t>
      </w:r>
    </w:p>
    <w:p w14:paraId="0B4E962E"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bookmarkStart w:id="9" w:name="_Hlk202952269"/>
      <w:proofErr w:type="spellStart"/>
      <w:r w:rsidRPr="00A16DB1">
        <w:rPr>
          <w:lang w:val="en-US"/>
        </w:rPr>
        <w:t>Radostits</w:t>
      </w:r>
      <w:proofErr w:type="spellEnd"/>
      <w:r w:rsidRPr="00A16DB1">
        <w:rPr>
          <w:lang w:val="en-US"/>
        </w:rPr>
        <w:t>, O.M., Clive, G., Kenneth, W.H. and Peter, D.C. (2006) Veterinary Medicine: A Textbook of the Disease of Cattle, Sheep, Goats, Pigs and Horses. Saunders, Edinburgh.</w:t>
      </w:r>
      <w:bookmarkEnd w:id="9"/>
    </w:p>
    <w:p w14:paraId="681B59E0" w14:textId="77777777" w:rsid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rsidRPr="0085265A">
        <w:rPr>
          <w:lang w:val="en-US"/>
        </w:rPr>
        <w:t>Snedecor G</w:t>
      </w:r>
      <w:r>
        <w:rPr>
          <w:lang w:val="en-US"/>
        </w:rPr>
        <w:t>.</w:t>
      </w:r>
      <w:r w:rsidRPr="0085265A">
        <w:rPr>
          <w:lang w:val="en-US"/>
        </w:rPr>
        <w:t xml:space="preserve"> W</w:t>
      </w:r>
      <w:r>
        <w:rPr>
          <w:lang w:val="en-US"/>
        </w:rPr>
        <w:t>.</w:t>
      </w:r>
      <w:r w:rsidRPr="0085265A">
        <w:rPr>
          <w:lang w:val="en-US"/>
        </w:rPr>
        <w:t xml:space="preserve"> and Cochran W</w:t>
      </w:r>
      <w:r>
        <w:rPr>
          <w:lang w:val="en-US"/>
        </w:rPr>
        <w:t>.</w:t>
      </w:r>
      <w:r w:rsidRPr="0085265A">
        <w:rPr>
          <w:lang w:val="en-US"/>
        </w:rPr>
        <w:t xml:space="preserve"> G</w:t>
      </w:r>
      <w:r>
        <w:rPr>
          <w:lang w:val="en-US"/>
        </w:rPr>
        <w:t>.</w:t>
      </w:r>
      <w:r w:rsidRPr="0085265A">
        <w:rPr>
          <w:lang w:val="en-US"/>
        </w:rPr>
        <w:t xml:space="preserve"> (1994) “Statistical methods,” 8th Edition, Iowa State University Press, Ames.</w:t>
      </w:r>
    </w:p>
    <w:p w14:paraId="29A9DBCF" w14:textId="43F6A4C1" w:rsidR="00742FD2" w:rsidRP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lastRenderedPageBreak/>
        <w:t xml:space="preserve">Tao, S.; Monteiro, A.; Thompson, I.; Hayen, M.; Dahl, G. E </w:t>
      </w:r>
      <w:proofErr w:type="spellStart"/>
      <w:r>
        <w:t>ect</w:t>
      </w:r>
      <w:proofErr w:type="spellEnd"/>
      <w:r>
        <w:t xml:space="preserve"> of late-gestation maternal heat stress on growth and immune function of dairy calves. J. Dairy Sci. 2012, 95, 7128–7136.</w:t>
      </w:r>
    </w:p>
    <w:p w14:paraId="7CC002D9" w14:textId="3BC01D52" w:rsidR="00742FD2" w:rsidRPr="00742FD2" w:rsidRDefault="00742FD2" w:rsidP="00856B7F">
      <w:pPr>
        <w:pStyle w:val="NormalWeb"/>
        <w:numPr>
          <w:ilvl w:val="0"/>
          <w:numId w:val="6"/>
        </w:numPr>
        <w:spacing w:before="0" w:beforeAutospacing="0" w:after="0" w:afterAutospacing="0" w:line="276" w:lineRule="auto"/>
        <w:ind w:left="567" w:right="4" w:hanging="567"/>
        <w:jc w:val="both"/>
        <w:rPr>
          <w:lang w:val="en-US"/>
        </w:rPr>
      </w:pPr>
      <w:r>
        <w:t xml:space="preserve">Victoria Sanz Fernandez, M.; Johnson, J.S.; </w:t>
      </w:r>
      <w:proofErr w:type="spellStart"/>
      <w:r>
        <w:t>Abuajamieh</w:t>
      </w:r>
      <w:proofErr w:type="spellEnd"/>
      <w:r>
        <w:t>, M.; Stoakes, S.K.; Seibert, J.T.; Cox, L.; Kahl, S.;</w:t>
      </w:r>
      <w:r>
        <w:rPr>
          <w:lang w:val="en-US"/>
        </w:rPr>
        <w:t xml:space="preserve"> </w:t>
      </w:r>
      <w:r>
        <w:t xml:space="preserve">Zulkifli, I.; Che Norma, M.; </w:t>
      </w:r>
      <w:proofErr w:type="spellStart"/>
      <w:r>
        <w:t>Israf</w:t>
      </w:r>
      <w:proofErr w:type="spellEnd"/>
      <w:r>
        <w:t xml:space="preserve">, D.; Omar, A. The e </w:t>
      </w:r>
      <w:proofErr w:type="spellStart"/>
      <w:r>
        <w:t>ect</w:t>
      </w:r>
      <w:proofErr w:type="spellEnd"/>
      <w:r>
        <w:t xml:space="preserve"> of early age feed restriction on subsequent response to high environmental temperatures in female broiler chickens. Poult. Sci. J. 2000, 79, 1401–1407.</w:t>
      </w:r>
    </w:p>
    <w:sectPr w:rsidR="00742FD2" w:rsidRPr="00742FD2" w:rsidSect="00856B7F">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irak Palani" w:date="2025-08-30T20:26:00Z" w:initials="ZP">
    <w:p w14:paraId="265302AE" w14:textId="70BCE850" w:rsidR="00BD565B" w:rsidRDefault="00BD565B">
      <w:pPr>
        <w:pStyle w:val="CommentText"/>
      </w:pPr>
      <w:r>
        <w:rPr>
          <w:rStyle w:val="CommentReference"/>
        </w:rPr>
        <w:annotationRef/>
      </w:r>
      <w:r w:rsidRPr="00BD565B">
        <w:t>It is better to write the best group and the best concentration of the addition that improved the chemical parameters or digestion.</w:t>
      </w:r>
    </w:p>
  </w:comment>
  <w:comment w:id="1" w:author="Zirak Palani" w:date="2025-08-30T20:27:00Z" w:initials="ZP">
    <w:p w14:paraId="330360C9" w14:textId="49707225" w:rsidR="00EE04BF" w:rsidRDefault="00EE04BF">
      <w:pPr>
        <w:pStyle w:val="CommentText"/>
      </w:pPr>
      <w:r>
        <w:rPr>
          <w:rStyle w:val="CommentReference"/>
        </w:rPr>
        <w:annotationRef/>
      </w:r>
      <w:r w:rsidRPr="00EE04BF">
        <w:t>Try to write only five or six keywords.</w:t>
      </w:r>
    </w:p>
  </w:comment>
  <w:comment w:id="2" w:author="Zirak Palani" w:date="2025-08-30T20:32:00Z" w:initials="ZP">
    <w:p w14:paraId="06C762D1" w14:textId="1CCB8742" w:rsidR="00C437F1" w:rsidRDefault="00C437F1">
      <w:pPr>
        <w:pStyle w:val="CommentText"/>
      </w:pPr>
      <w:r>
        <w:rPr>
          <w:rStyle w:val="CommentReference"/>
        </w:rPr>
        <w:annotationRef/>
      </w:r>
      <w:r w:rsidRPr="00C437F1">
        <w:t>It is better to mention the price per gram of turmeric to make it easier for breeders to determine whether it is economical or not.</w:t>
      </w:r>
    </w:p>
  </w:comment>
  <w:comment w:id="3" w:author="Zirak Palani" w:date="2025-08-30T20:34:00Z" w:initials="ZP">
    <w:p w14:paraId="51D78BFA" w14:textId="179E9E12" w:rsidR="00AD020D" w:rsidRDefault="00AD020D">
      <w:pPr>
        <w:pStyle w:val="CommentText"/>
      </w:pPr>
      <w:r>
        <w:rPr>
          <w:rStyle w:val="CommentReference"/>
        </w:rPr>
        <w:annotationRef/>
      </w:r>
      <w:r w:rsidRPr="00AD020D">
        <w:t>Please explain the basic feed composition.</w:t>
      </w:r>
    </w:p>
  </w:comment>
  <w:comment w:id="4" w:author="Zirak Palani" w:date="2025-08-30T20:37:00Z" w:initials="ZP">
    <w:p w14:paraId="29BE07F5" w14:textId="31CA3D19" w:rsidR="00DD33E5" w:rsidRDefault="00DD33E5">
      <w:pPr>
        <w:pStyle w:val="CommentText"/>
      </w:pPr>
      <w:r>
        <w:rPr>
          <w:rStyle w:val="CommentReference"/>
        </w:rPr>
        <w:annotationRef/>
      </w:r>
      <w:r w:rsidRPr="00DD33E5">
        <w:t>Determine whether the test is human or animal, as there may be a difference in the results. This is considered...</w:t>
      </w:r>
    </w:p>
  </w:comment>
  <w:comment w:id="5" w:author="Zirak Palani" w:date="2025-08-30T20:38:00Z" w:initials="ZP">
    <w:p w14:paraId="69B87BCC" w14:textId="13900D87" w:rsidR="00064EE5" w:rsidRDefault="00064EE5">
      <w:pPr>
        <w:pStyle w:val="CommentText"/>
      </w:pPr>
      <w:r>
        <w:rPr>
          <w:rStyle w:val="CommentReference"/>
        </w:rPr>
        <w:annotationRef/>
      </w:r>
      <w:r w:rsidRPr="00064EE5">
        <w:t>Statistical analysis program name</w:t>
      </w:r>
    </w:p>
  </w:comment>
  <w:comment w:id="7" w:author="Zirak Palani" w:date="2025-08-30T20:43:00Z" w:initials="ZP">
    <w:p w14:paraId="44E1E576" w14:textId="04784448" w:rsidR="00895C5E" w:rsidRDefault="00895C5E">
      <w:pPr>
        <w:pStyle w:val="CommentText"/>
      </w:pPr>
      <w:r>
        <w:rPr>
          <w:rStyle w:val="CommentReference"/>
        </w:rPr>
        <w:annotationRef/>
      </w:r>
      <w:r w:rsidRPr="00895C5E">
        <w:t>In the figures and pictures, write its location at the bottom of the model, write a title for the figure, and at the end of the title write “Measuring levels of biochemical parameters.”</w:t>
      </w:r>
    </w:p>
  </w:comment>
  <w:comment w:id="8" w:author="Zirak Palani" w:date="2025-08-30T20:43:00Z" w:initials="ZP">
    <w:p w14:paraId="3FDC3BB9" w14:textId="58D2E6AE" w:rsidR="00633464" w:rsidRDefault="00633464">
      <w:pPr>
        <w:pStyle w:val="CommentText"/>
      </w:pPr>
      <w:r>
        <w:rPr>
          <w:rStyle w:val="CommentReference"/>
        </w:rPr>
        <w:annotationRef/>
      </w:r>
      <w:r w:rsidRPr="00633464">
        <w:t>The summary is very long and should be shortened to four or five lines at most, in a professional manner.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5302AE" w15:done="0"/>
  <w15:commentEx w15:paraId="330360C9" w15:done="0"/>
  <w15:commentEx w15:paraId="06C762D1" w15:done="0"/>
  <w15:commentEx w15:paraId="51D78BFA" w15:done="0"/>
  <w15:commentEx w15:paraId="29BE07F5" w15:done="0"/>
  <w15:commentEx w15:paraId="69B87BCC" w15:done="0"/>
  <w15:commentEx w15:paraId="44E1E576" w15:done="0"/>
  <w15:commentEx w15:paraId="3FDC3B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23C0EE" w16cex:dateUtc="2025-08-30T17:26:00Z"/>
  <w16cex:commentExtensible w16cex:durableId="7B6CC225" w16cex:dateUtc="2025-08-30T17:27:00Z"/>
  <w16cex:commentExtensible w16cex:durableId="29567E7B" w16cex:dateUtc="2025-08-30T17:32:00Z"/>
  <w16cex:commentExtensible w16cex:durableId="1B5EF26B" w16cex:dateUtc="2025-08-30T17:34:00Z"/>
  <w16cex:commentExtensible w16cex:durableId="403B989F" w16cex:dateUtc="2025-08-30T17:37:00Z"/>
  <w16cex:commentExtensible w16cex:durableId="7832B4C3" w16cex:dateUtc="2025-08-30T17:38:00Z"/>
  <w16cex:commentExtensible w16cex:durableId="040D24A0" w16cex:dateUtc="2025-08-30T17:43:00Z"/>
  <w16cex:commentExtensible w16cex:durableId="5F928EFC" w16cex:dateUtc="2025-08-30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5302AE" w16cid:durableId="0823C0EE"/>
  <w16cid:commentId w16cid:paraId="330360C9" w16cid:durableId="7B6CC225"/>
  <w16cid:commentId w16cid:paraId="06C762D1" w16cid:durableId="29567E7B"/>
  <w16cid:commentId w16cid:paraId="51D78BFA" w16cid:durableId="1B5EF26B"/>
  <w16cid:commentId w16cid:paraId="29BE07F5" w16cid:durableId="403B989F"/>
  <w16cid:commentId w16cid:paraId="69B87BCC" w16cid:durableId="7832B4C3"/>
  <w16cid:commentId w16cid:paraId="44E1E576" w16cid:durableId="040D24A0"/>
  <w16cid:commentId w16cid:paraId="3FDC3BB9" w16cid:durableId="5F928E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6848" w14:textId="77777777" w:rsidR="00DB6E59" w:rsidRDefault="00DB6E59" w:rsidP="0084042A">
      <w:r>
        <w:separator/>
      </w:r>
    </w:p>
  </w:endnote>
  <w:endnote w:type="continuationSeparator" w:id="0">
    <w:p w14:paraId="3F7483C3" w14:textId="77777777" w:rsidR="00DB6E59" w:rsidRDefault="00DB6E59" w:rsidP="00840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D056" w14:textId="77777777" w:rsidR="0084042A" w:rsidRDefault="00840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A2511" w14:textId="77777777" w:rsidR="0084042A" w:rsidRDefault="008404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273C" w14:textId="77777777" w:rsidR="0084042A" w:rsidRDefault="0084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E5079" w14:textId="77777777" w:rsidR="00DB6E59" w:rsidRDefault="00DB6E59" w:rsidP="0084042A">
      <w:r>
        <w:separator/>
      </w:r>
    </w:p>
  </w:footnote>
  <w:footnote w:type="continuationSeparator" w:id="0">
    <w:p w14:paraId="049FA923" w14:textId="77777777" w:rsidR="00DB6E59" w:rsidRDefault="00DB6E59" w:rsidP="00840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5318" w14:textId="1836E713" w:rsidR="0084042A" w:rsidRDefault="00000000">
    <w:pPr>
      <w:pStyle w:val="Header"/>
    </w:pPr>
    <w:r>
      <w:rPr>
        <w:noProof/>
      </w:rPr>
      <w:pict w14:anchorId="64B894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3219" o:spid="_x0000_s1026" type="#_x0000_t136" style="position:absolute;left:0;text-align:left;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C200" w14:textId="159F8EA3" w:rsidR="0084042A" w:rsidRDefault="00000000">
    <w:pPr>
      <w:pStyle w:val="Header"/>
    </w:pPr>
    <w:r>
      <w:rPr>
        <w:noProof/>
      </w:rPr>
      <w:pict w14:anchorId="60F44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3220" o:spid="_x0000_s1027" type="#_x0000_t136" style="position:absolute;left:0;text-align:left;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5247" w14:textId="229CFCAD" w:rsidR="0084042A" w:rsidRDefault="00000000">
    <w:pPr>
      <w:pStyle w:val="Header"/>
    </w:pPr>
    <w:r>
      <w:rPr>
        <w:noProof/>
      </w:rPr>
      <w:pict w14:anchorId="5F142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3218" o:spid="_x0000_s1025" type="#_x0000_t136" style="position:absolute;left:0;text-align:left;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A029D"/>
    <w:multiLevelType w:val="hybridMultilevel"/>
    <w:tmpl w:val="8794B6EE"/>
    <w:lvl w:ilvl="0" w:tplc="4009000F">
      <w:start w:val="1"/>
      <w:numFmt w:val="decimal"/>
      <w:lvlText w:val="%1."/>
      <w:lvlJc w:val="left"/>
      <w:pPr>
        <w:ind w:left="1620" w:hanging="360"/>
      </w:pPr>
      <w:rPr>
        <w:rFonts w:hint="default"/>
        <w:b/>
        <w:bCs/>
      </w:rPr>
    </w:lvl>
    <w:lvl w:ilvl="1" w:tplc="40090019" w:tentative="1">
      <w:start w:val="1"/>
      <w:numFmt w:val="lowerLetter"/>
      <w:lvlText w:val="%2."/>
      <w:lvlJc w:val="left"/>
      <w:pPr>
        <w:ind w:left="2340" w:hanging="360"/>
      </w:pPr>
    </w:lvl>
    <w:lvl w:ilvl="2" w:tplc="4009001B" w:tentative="1">
      <w:start w:val="1"/>
      <w:numFmt w:val="lowerRoman"/>
      <w:lvlText w:val="%3."/>
      <w:lvlJc w:val="right"/>
      <w:pPr>
        <w:ind w:left="3060" w:hanging="180"/>
      </w:pPr>
    </w:lvl>
    <w:lvl w:ilvl="3" w:tplc="4009000F" w:tentative="1">
      <w:start w:val="1"/>
      <w:numFmt w:val="decimal"/>
      <w:lvlText w:val="%4."/>
      <w:lvlJc w:val="left"/>
      <w:pPr>
        <w:ind w:left="3780" w:hanging="360"/>
      </w:pPr>
    </w:lvl>
    <w:lvl w:ilvl="4" w:tplc="40090019" w:tentative="1">
      <w:start w:val="1"/>
      <w:numFmt w:val="lowerLetter"/>
      <w:lvlText w:val="%5."/>
      <w:lvlJc w:val="left"/>
      <w:pPr>
        <w:ind w:left="4500" w:hanging="360"/>
      </w:pPr>
    </w:lvl>
    <w:lvl w:ilvl="5" w:tplc="4009001B" w:tentative="1">
      <w:start w:val="1"/>
      <w:numFmt w:val="lowerRoman"/>
      <w:lvlText w:val="%6."/>
      <w:lvlJc w:val="right"/>
      <w:pPr>
        <w:ind w:left="5220" w:hanging="180"/>
      </w:pPr>
    </w:lvl>
    <w:lvl w:ilvl="6" w:tplc="4009000F" w:tentative="1">
      <w:start w:val="1"/>
      <w:numFmt w:val="decimal"/>
      <w:lvlText w:val="%7."/>
      <w:lvlJc w:val="left"/>
      <w:pPr>
        <w:ind w:left="5940" w:hanging="360"/>
      </w:pPr>
    </w:lvl>
    <w:lvl w:ilvl="7" w:tplc="40090019" w:tentative="1">
      <w:start w:val="1"/>
      <w:numFmt w:val="lowerLetter"/>
      <w:lvlText w:val="%8."/>
      <w:lvlJc w:val="left"/>
      <w:pPr>
        <w:ind w:left="6660" w:hanging="360"/>
      </w:pPr>
    </w:lvl>
    <w:lvl w:ilvl="8" w:tplc="4009001B" w:tentative="1">
      <w:start w:val="1"/>
      <w:numFmt w:val="lowerRoman"/>
      <w:lvlText w:val="%9."/>
      <w:lvlJc w:val="right"/>
      <w:pPr>
        <w:ind w:left="7380" w:hanging="180"/>
      </w:pPr>
    </w:lvl>
  </w:abstractNum>
  <w:abstractNum w:abstractNumId="1" w15:restartNumberingAfterBreak="0">
    <w:nsid w:val="1E48773E"/>
    <w:multiLevelType w:val="hybridMultilevel"/>
    <w:tmpl w:val="63C8538A"/>
    <w:lvl w:ilvl="0" w:tplc="D44844CA">
      <w:start w:val="1"/>
      <w:numFmt w:val="decimal"/>
      <w:lvlText w:val="Table %1."/>
      <w:lvlJc w:val="left"/>
      <w:pPr>
        <w:ind w:left="1800" w:hanging="360"/>
      </w:pPr>
      <w:rPr>
        <w:rFonts w:hint="default"/>
        <w:b/>
        <w:bCs/>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2F1915DF"/>
    <w:multiLevelType w:val="hybridMultilevel"/>
    <w:tmpl w:val="55CCF76E"/>
    <w:lvl w:ilvl="0" w:tplc="D44844CA">
      <w:start w:val="1"/>
      <w:numFmt w:val="decimal"/>
      <w:lvlText w:val="Table %1."/>
      <w:lvlJc w:val="left"/>
      <w:pPr>
        <w:ind w:left="1352" w:hanging="360"/>
      </w:pPr>
      <w:rPr>
        <w:rFonts w:hint="default"/>
        <w:b/>
        <w:bCs/>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3" w15:restartNumberingAfterBreak="0">
    <w:nsid w:val="317D3A6F"/>
    <w:multiLevelType w:val="hybridMultilevel"/>
    <w:tmpl w:val="06D6BA6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50022DB2"/>
    <w:multiLevelType w:val="multilevel"/>
    <w:tmpl w:val="944A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8A52E1"/>
    <w:multiLevelType w:val="multilevel"/>
    <w:tmpl w:val="DDE2CD8C"/>
    <w:styleLink w:val="Style1"/>
    <w:lvl w:ilvl="0">
      <w:start w:val="1"/>
      <w:numFmt w:val="none"/>
      <w:lvlText w:val="3.3.5"/>
      <w:lvlJc w:val="left"/>
      <w:pPr>
        <w:ind w:left="1146" w:hanging="360"/>
      </w:pPr>
      <w:rPr>
        <w:rFonts w:ascii="Times New Roman" w:hAnsi="Times New Roman" w:hint="default"/>
        <w:b/>
        <w:bCs/>
        <w:color w:val="auto"/>
      </w:rPr>
    </w:lvl>
    <w:lvl w:ilvl="1">
      <w:start w:val="1"/>
      <w:numFmt w:val="lowerLetter"/>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3"/>
      <w:numFmt w:val="decimal"/>
      <w:lvlText w:val="3.3.4.%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670501C5"/>
    <w:multiLevelType w:val="hybridMultilevel"/>
    <w:tmpl w:val="8794B6EE"/>
    <w:lvl w:ilvl="0" w:tplc="FFFFFFFF">
      <w:start w:val="1"/>
      <w:numFmt w:val="decimal"/>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68387E40"/>
    <w:multiLevelType w:val="hybridMultilevel"/>
    <w:tmpl w:val="36B2A3C6"/>
    <w:lvl w:ilvl="0" w:tplc="8060406A">
      <w:start w:val="1"/>
      <w:numFmt w:val="decimal"/>
      <w:lvlText w:val="4.%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46435573">
    <w:abstractNumId w:val="5"/>
  </w:num>
  <w:num w:numId="2" w16cid:durableId="507715065">
    <w:abstractNumId w:val="4"/>
  </w:num>
  <w:num w:numId="3" w16cid:durableId="1673070530">
    <w:abstractNumId w:val="2"/>
  </w:num>
  <w:num w:numId="4" w16cid:durableId="1768690327">
    <w:abstractNumId w:val="0"/>
  </w:num>
  <w:num w:numId="5" w16cid:durableId="384765128">
    <w:abstractNumId w:val="1"/>
  </w:num>
  <w:num w:numId="6" w16cid:durableId="349532066">
    <w:abstractNumId w:val="6"/>
  </w:num>
  <w:num w:numId="7" w16cid:durableId="431751290">
    <w:abstractNumId w:val="7"/>
  </w:num>
  <w:num w:numId="8" w16cid:durableId="19077632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rak Palani">
    <w15:presenceInfo w15:providerId="Windows Live" w15:userId="6112c58e1549d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ED"/>
    <w:rsid w:val="00016E38"/>
    <w:rsid w:val="0004732B"/>
    <w:rsid w:val="00064EE5"/>
    <w:rsid w:val="000719C7"/>
    <w:rsid w:val="00071ED5"/>
    <w:rsid w:val="00082CC0"/>
    <w:rsid w:val="000A0EB1"/>
    <w:rsid w:val="000B33EE"/>
    <w:rsid w:val="000C57A7"/>
    <w:rsid w:val="00112845"/>
    <w:rsid w:val="001466F5"/>
    <w:rsid w:val="00171FD9"/>
    <w:rsid w:val="00202090"/>
    <w:rsid w:val="002C0174"/>
    <w:rsid w:val="002E552C"/>
    <w:rsid w:val="002E7C33"/>
    <w:rsid w:val="002F50B4"/>
    <w:rsid w:val="00314ECC"/>
    <w:rsid w:val="00370A3D"/>
    <w:rsid w:val="003F1743"/>
    <w:rsid w:val="004455C2"/>
    <w:rsid w:val="00445A51"/>
    <w:rsid w:val="00480797"/>
    <w:rsid w:val="00486A0F"/>
    <w:rsid w:val="004C63E4"/>
    <w:rsid w:val="00500F83"/>
    <w:rsid w:val="0050129C"/>
    <w:rsid w:val="00510500"/>
    <w:rsid w:val="00523EE4"/>
    <w:rsid w:val="00526FC0"/>
    <w:rsid w:val="005736A5"/>
    <w:rsid w:val="0061125B"/>
    <w:rsid w:val="00613CEF"/>
    <w:rsid w:val="00633464"/>
    <w:rsid w:val="006A0066"/>
    <w:rsid w:val="006A346C"/>
    <w:rsid w:val="006D61F5"/>
    <w:rsid w:val="006E445C"/>
    <w:rsid w:val="00705A25"/>
    <w:rsid w:val="00737585"/>
    <w:rsid w:val="00742FD2"/>
    <w:rsid w:val="00801A7D"/>
    <w:rsid w:val="00831867"/>
    <w:rsid w:val="0084042A"/>
    <w:rsid w:val="00856B7F"/>
    <w:rsid w:val="0086535F"/>
    <w:rsid w:val="008711D1"/>
    <w:rsid w:val="008777BB"/>
    <w:rsid w:val="00895C5E"/>
    <w:rsid w:val="008E5227"/>
    <w:rsid w:val="00950D45"/>
    <w:rsid w:val="009562AD"/>
    <w:rsid w:val="009651DC"/>
    <w:rsid w:val="009C526E"/>
    <w:rsid w:val="00A11E03"/>
    <w:rsid w:val="00A138CB"/>
    <w:rsid w:val="00A16204"/>
    <w:rsid w:val="00A16DB1"/>
    <w:rsid w:val="00A248C6"/>
    <w:rsid w:val="00A542D6"/>
    <w:rsid w:val="00AA2333"/>
    <w:rsid w:val="00AD020D"/>
    <w:rsid w:val="00B3153F"/>
    <w:rsid w:val="00B4481D"/>
    <w:rsid w:val="00B7229F"/>
    <w:rsid w:val="00B84317"/>
    <w:rsid w:val="00BD565B"/>
    <w:rsid w:val="00BF343B"/>
    <w:rsid w:val="00C25849"/>
    <w:rsid w:val="00C35588"/>
    <w:rsid w:val="00C437F1"/>
    <w:rsid w:val="00C55B9A"/>
    <w:rsid w:val="00C72A21"/>
    <w:rsid w:val="00C812DD"/>
    <w:rsid w:val="00CD4C91"/>
    <w:rsid w:val="00CF1A6A"/>
    <w:rsid w:val="00D14435"/>
    <w:rsid w:val="00D76FCA"/>
    <w:rsid w:val="00D77C77"/>
    <w:rsid w:val="00DB6E59"/>
    <w:rsid w:val="00DD33E5"/>
    <w:rsid w:val="00DD79B4"/>
    <w:rsid w:val="00DF0C7A"/>
    <w:rsid w:val="00E04B44"/>
    <w:rsid w:val="00E12DED"/>
    <w:rsid w:val="00E27E92"/>
    <w:rsid w:val="00E92D87"/>
    <w:rsid w:val="00EE04BF"/>
    <w:rsid w:val="00F90149"/>
    <w:rsid w:val="00FA6010"/>
    <w:rsid w:val="00FA6D13"/>
    <w:rsid w:val="00FF4E2C"/>
    <w:rsid w:val="00FF506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0423A"/>
  <w15:chartTrackingRefBased/>
  <w15:docId w15:val="{CDF9B6B6-2C4C-42D9-9154-0F1EB00D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867"/>
  </w:style>
  <w:style w:type="paragraph" w:styleId="Heading1">
    <w:name w:val="heading 1"/>
    <w:basedOn w:val="Normal"/>
    <w:next w:val="Normal"/>
    <w:link w:val="Heading1Char"/>
    <w:uiPriority w:val="9"/>
    <w:qFormat/>
    <w:rsid w:val="008318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12DE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12DE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12DE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12DE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12D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D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D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D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86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318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186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31867"/>
  </w:style>
  <w:style w:type="numbering" w:customStyle="1" w:styleId="Style1">
    <w:name w:val="Style1"/>
    <w:uiPriority w:val="99"/>
    <w:rsid w:val="00B4481D"/>
    <w:pPr>
      <w:numPr>
        <w:numId w:val="1"/>
      </w:numPr>
    </w:pPr>
  </w:style>
  <w:style w:type="character" w:customStyle="1" w:styleId="Heading2Char">
    <w:name w:val="Heading 2 Char"/>
    <w:basedOn w:val="DefaultParagraphFont"/>
    <w:link w:val="Heading2"/>
    <w:uiPriority w:val="9"/>
    <w:semiHidden/>
    <w:rsid w:val="00E12DE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12DE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12DE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12DE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12D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D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D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DED"/>
    <w:rPr>
      <w:rFonts w:eastAsiaTheme="majorEastAsia" w:cstheme="majorBidi"/>
      <w:color w:val="272727" w:themeColor="text1" w:themeTint="D8"/>
    </w:rPr>
  </w:style>
  <w:style w:type="paragraph" w:styleId="Subtitle">
    <w:name w:val="Subtitle"/>
    <w:basedOn w:val="Normal"/>
    <w:next w:val="Normal"/>
    <w:link w:val="SubtitleChar"/>
    <w:uiPriority w:val="11"/>
    <w:qFormat/>
    <w:rsid w:val="00E12D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D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D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12DED"/>
    <w:rPr>
      <w:i/>
      <w:iCs/>
      <w:color w:val="404040" w:themeColor="text1" w:themeTint="BF"/>
    </w:rPr>
  </w:style>
  <w:style w:type="paragraph" w:styleId="ListParagraph">
    <w:name w:val="List Paragraph"/>
    <w:basedOn w:val="Normal"/>
    <w:uiPriority w:val="34"/>
    <w:qFormat/>
    <w:rsid w:val="00E12DED"/>
    <w:pPr>
      <w:ind w:left="720"/>
      <w:contextualSpacing/>
    </w:pPr>
  </w:style>
  <w:style w:type="character" w:styleId="IntenseEmphasis">
    <w:name w:val="Intense Emphasis"/>
    <w:basedOn w:val="DefaultParagraphFont"/>
    <w:uiPriority w:val="21"/>
    <w:qFormat/>
    <w:rsid w:val="00E12DED"/>
    <w:rPr>
      <w:i/>
      <w:iCs/>
      <w:color w:val="365F91" w:themeColor="accent1" w:themeShade="BF"/>
    </w:rPr>
  </w:style>
  <w:style w:type="paragraph" w:styleId="IntenseQuote">
    <w:name w:val="Intense Quote"/>
    <w:basedOn w:val="Normal"/>
    <w:next w:val="Normal"/>
    <w:link w:val="IntenseQuoteChar"/>
    <w:uiPriority w:val="30"/>
    <w:qFormat/>
    <w:rsid w:val="00E12DE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12DED"/>
    <w:rPr>
      <w:i/>
      <w:iCs/>
      <w:color w:val="365F91" w:themeColor="accent1" w:themeShade="BF"/>
    </w:rPr>
  </w:style>
  <w:style w:type="character" w:styleId="IntenseReference">
    <w:name w:val="Intense Reference"/>
    <w:basedOn w:val="DefaultParagraphFont"/>
    <w:uiPriority w:val="32"/>
    <w:qFormat/>
    <w:rsid w:val="00E12DED"/>
    <w:rPr>
      <w:b/>
      <w:bCs/>
      <w:smallCaps/>
      <w:color w:val="365F91" w:themeColor="accent1" w:themeShade="BF"/>
      <w:spacing w:val="5"/>
    </w:rPr>
  </w:style>
  <w:style w:type="paragraph" w:styleId="NormalWeb">
    <w:name w:val="Normal (Web)"/>
    <w:basedOn w:val="Normal"/>
    <w:uiPriority w:val="99"/>
    <w:unhideWhenUsed/>
    <w:rsid w:val="00E12DED"/>
    <w:pPr>
      <w:spacing w:before="100" w:beforeAutospacing="1" w:after="100" w:afterAutospacing="1"/>
      <w:jc w:val="left"/>
    </w:pPr>
    <w:rPr>
      <w:rFonts w:ascii="Times New Roman" w:eastAsia="Times New Roman" w:hAnsi="Times New Roman" w:cs="Times New Roman"/>
      <w:sz w:val="24"/>
      <w:szCs w:val="24"/>
      <w:lang w:val="en-IN" w:eastAsia="en-IN" w:bidi="hi-IN"/>
    </w:rPr>
  </w:style>
  <w:style w:type="character" w:styleId="Strong">
    <w:name w:val="Strong"/>
    <w:basedOn w:val="DefaultParagraphFont"/>
    <w:uiPriority w:val="22"/>
    <w:qFormat/>
    <w:rsid w:val="00E12DED"/>
    <w:rPr>
      <w:b/>
      <w:bCs/>
    </w:rPr>
  </w:style>
  <w:style w:type="character" w:styleId="Hyperlink">
    <w:name w:val="Hyperlink"/>
    <w:basedOn w:val="DefaultParagraphFont"/>
    <w:uiPriority w:val="99"/>
    <w:unhideWhenUsed/>
    <w:rsid w:val="00DD79B4"/>
    <w:rPr>
      <w:color w:val="0000FF" w:themeColor="hyperlink"/>
      <w:u w:val="single"/>
    </w:rPr>
  </w:style>
  <w:style w:type="character" w:styleId="UnresolvedMention">
    <w:name w:val="Unresolved Mention"/>
    <w:basedOn w:val="DefaultParagraphFont"/>
    <w:uiPriority w:val="99"/>
    <w:semiHidden/>
    <w:unhideWhenUsed/>
    <w:rsid w:val="00DD79B4"/>
    <w:rPr>
      <w:color w:val="605E5C"/>
      <w:shd w:val="clear" w:color="auto" w:fill="E1DFDD"/>
    </w:rPr>
  </w:style>
  <w:style w:type="paragraph" w:styleId="Header">
    <w:name w:val="header"/>
    <w:basedOn w:val="Normal"/>
    <w:link w:val="HeaderChar"/>
    <w:uiPriority w:val="99"/>
    <w:unhideWhenUsed/>
    <w:rsid w:val="0084042A"/>
    <w:pPr>
      <w:tabs>
        <w:tab w:val="center" w:pos="4680"/>
        <w:tab w:val="right" w:pos="9360"/>
      </w:tabs>
    </w:pPr>
  </w:style>
  <w:style w:type="character" w:customStyle="1" w:styleId="HeaderChar">
    <w:name w:val="Header Char"/>
    <w:basedOn w:val="DefaultParagraphFont"/>
    <w:link w:val="Header"/>
    <w:uiPriority w:val="99"/>
    <w:rsid w:val="0084042A"/>
  </w:style>
  <w:style w:type="paragraph" w:styleId="Footer">
    <w:name w:val="footer"/>
    <w:basedOn w:val="Normal"/>
    <w:link w:val="FooterChar"/>
    <w:uiPriority w:val="99"/>
    <w:unhideWhenUsed/>
    <w:rsid w:val="0084042A"/>
    <w:pPr>
      <w:tabs>
        <w:tab w:val="center" w:pos="4680"/>
        <w:tab w:val="right" w:pos="9360"/>
      </w:tabs>
    </w:pPr>
  </w:style>
  <w:style w:type="character" w:customStyle="1" w:styleId="FooterChar">
    <w:name w:val="Footer Char"/>
    <w:basedOn w:val="DefaultParagraphFont"/>
    <w:link w:val="Footer"/>
    <w:uiPriority w:val="99"/>
    <w:rsid w:val="0084042A"/>
  </w:style>
  <w:style w:type="character" w:styleId="CommentReference">
    <w:name w:val="annotation reference"/>
    <w:basedOn w:val="DefaultParagraphFont"/>
    <w:uiPriority w:val="99"/>
    <w:semiHidden/>
    <w:unhideWhenUsed/>
    <w:rsid w:val="00BD565B"/>
    <w:rPr>
      <w:sz w:val="16"/>
      <w:szCs w:val="16"/>
    </w:rPr>
  </w:style>
  <w:style w:type="paragraph" w:styleId="CommentText">
    <w:name w:val="annotation text"/>
    <w:basedOn w:val="Normal"/>
    <w:link w:val="CommentTextChar"/>
    <w:uiPriority w:val="99"/>
    <w:semiHidden/>
    <w:unhideWhenUsed/>
    <w:rsid w:val="00BD565B"/>
    <w:rPr>
      <w:sz w:val="20"/>
      <w:szCs w:val="20"/>
    </w:rPr>
  </w:style>
  <w:style w:type="character" w:customStyle="1" w:styleId="CommentTextChar">
    <w:name w:val="Comment Text Char"/>
    <w:basedOn w:val="DefaultParagraphFont"/>
    <w:link w:val="CommentText"/>
    <w:uiPriority w:val="99"/>
    <w:semiHidden/>
    <w:rsid w:val="00BD565B"/>
    <w:rPr>
      <w:sz w:val="20"/>
      <w:szCs w:val="20"/>
    </w:rPr>
  </w:style>
  <w:style w:type="paragraph" w:styleId="CommentSubject">
    <w:name w:val="annotation subject"/>
    <w:basedOn w:val="CommentText"/>
    <w:next w:val="CommentText"/>
    <w:link w:val="CommentSubjectChar"/>
    <w:uiPriority w:val="99"/>
    <w:semiHidden/>
    <w:unhideWhenUsed/>
    <w:rsid w:val="00BD565B"/>
    <w:rPr>
      <w:b/>
      <w:bCs/>
    </w:rPr>
  </w:style>
  <w:style w:type="character" w:customStyle="1" w:styleId="CommentSubjectChar">
    <w:name w:val="Comment Subject Char"/>
    <w:basedOn w:val="CommentTextChar"/>
    <w:link w:val="CommentSubject"/>
    <w:uiPriority w:val="99"/>
    <w:semiHidden/>
    <w:rsid w:val="00BD56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409742">
      <w:bodyDiv w:val="1"/>
      <w:marLeft w:val="0"/>
      <w:marRight w:val="0"/>
      <w:marTop w:val="0"/>
      <w:marBottom w:val="0"/>
      <w:divBdr>
        <w:top w:val="none" w:sz="0" w:space="0" w:color="auto"/>
        <w:left w:val="none" w:sz="0" w:space="0" w:color="auto"/>
        <w:bottom w:val="none" w:sz="0" w:space="0" w:color="auto"/>
        <w:right w:val="none" w:sz="0" w:space="0" w:color="auto"/>
      </w:divBdr>
    </w:div>
    <w:div w:id="373118050">
      <w:bodyDiv w:val="1"/>
      <w:marLeft w:val="0"/>
      <w:marRight w:val="0"/>
      <w:marTop w:val="0"/>
      <w:marBottom w:val="0"/>
      <w:divBdr>
        <w:top w:val="none" w:sz="0" w:space="0" w:color="auto"/>
        <w:left w:val="none" w:sz="0" w:space="0" w:color="auto"/>
        <w:bottom w:val="none" w:sz="0" w:space="0" w:color="auto"/>
        <w:right w:val="none" w:sz="0" w:space="0" w:color="auto"/>
      </w:divBdr>
      <w:divsChild>
        <w:div w:id="1983384390">
          <w:marLeft w:val="0"/>
          <w:marRight w:val="0"/>
          <w:marTop w:val="0"/>
          <w:marBottom w:val="0"/>
          <w:divBdr>
            <w:top w:val="none" w:sz="0" w:space="0" w:color="auto"/>
            <w:left w:val="none" w:sz="0" w:space="0" w:color="auto"/>
            <w:bottom w:val="none" w:sz="0" w:space="0" w:color="auto"/>
            <w:right w:val="none" w:sz="0" w:space="0" w:color="auto"/>
          </w:divBdr>
          <w:divsChild>
            <w:div w:id="374236023">
              <w:marLeft w:val="0"/>
              <w:marRight w:val="0"/>
              <w:marTop w:val="0"/>
              <w:marBottom w:val="0"/>
              <w:divBdr>
                <w:top w:val="none" w:sz="0" w:space="0" w:color="auto"/>
                <w:left w:val="none" w:sz="0" w:space="0" w:color="auto"/>
                <w:bottom w:val="none" w:sz="0" w:space="0" w:color="auto"/>
                <w:right w:val="none" w:sz="0" w:space="0" w:color="auto"/>
              </w:divBdr>
              <w:divsChild>
                <w:div w:id="278032123">
                  <w:marLeft w:val="0"/>
                  <w:marRight w:val="0"/>
                  <w:marTop w:val="0"/>
                  <w:marBottom w:val="0"/>
                  <w:divBdr>
                    <w:top w:val="none" w:sz="0" w:space="0" w:color="auto"/>
                    <w:left w:val="none" w:sz="0" w:space="0" w:color="auto"/>
                    <w:bottom w:val="none" w:sz="0" w:space="0" w:color="auto"/>
                    <w:right w:val="none" w:sz="0" w:space="0" w:color="auto"/>
                  </w:divBdr>
                  <w:divsChild>
                    <w:div w:id="1990942810">
                      <w:marLeft w:val="0"/>
                      <w:marRight w:val="0"/>
                      <w:marTop w:val="0"/>
                      <w:marBottom w:val="0"/>
                      <w:divBdr>
                        <w:top w:val="none" w:sz="0" w:space="0" w:color="auto"/>
                        <w:left w:val="none" w:sz="0" w:space="0" w:color="auto"/>
                        <w:bottom w:val="none" w:sz="0" w:space="0" w:color="auto"/>
                        <w:right w:val="none" w:sz="0" w:space="0" w:color="auto"/>
                      </w:divBdr>
                      <w:divsChild>
                        <w:div w:id="1160347620">
                          <w:marLeft w:val="0"/>
                          <w:marRight w:val="0"/>
                          <w:marTop w:val="0"/>
                          <w:marBottom w:val="0"/>
                          <w:divBdr>
                            <w:top w:val="none" w:sz="0" w:space="0" w:color="auto"/>
                            <w:left w:val="none" w:sz="0" w:space="0" w:color="auto"/>
                            <w:bottom w:val="none" w:sz="0" w:space="0" w:color="auto"/>
                            <w:right w:val="none" w:sz="0" w:space="0" w:color="auto"/>
                          </w:divBdr>
                          <w:divsChild>
                            <w:div w:id="211466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98663">
                  <w:marLeft w:val="0"/>
                  <w:marRight w:val="0"/>
                  <w:marTop w:val="0"/>
                  <w:marBottom w:val="0"/>
                  <w:divBdr>
                    <w:top w:val="none" w:sz="0" w:space="0" w:color="auto"/>
                    <w:left w:val="none" w:sz="0" w:space="0" w:color="auto"/>
                    <w:bottom w:val="none" w:sz="0" w:space="0" w:color="auto"/>
                    <w:right w:val="none" w:sz="0" w:space="0" w:color="auto"/>
                  </w:divBdr>
                  <w:divsChild>
                    <w:div w:id="99630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940891">
      <w:bodyDiv w:val="1"/>
      <w:marLeft w:val="0"/>
      <w:marRight w:val="0"/>
      <w:marTop w:val="0"/>
      <w:marBottom w:val="0"/>
      <w:divBdr>
        <w:top w:val="none" w:sz="0" w:space="0" w:color="auto"/>
        <w:left w:val="none" w:sz="0" w:space="0" w:color="auto"/>
        <w:bottom w:val="none" w:sz="0" w:space="0" w:color="auto"/>
        <w:right w:val="none" w:sz="0" w:space="0" w:color="auto"/>
      </w:divBdr>
    </w:div>
    <w:div w:id="782915876">
      <w:bodyDiv w:val="1"/>
      <w:marLeft w:val="0"/>
      <w:marRight w:val="0"/>
      <w:marTop w:val="0"/>
      <w:marBottom w:val="0"/>
      <w:divBdr>
        <w:top w:val="none" w:sz="0" w:space="0" w:color="auto"/>
        <w:left w:val="none" w:sz="0" w:space="0" w:color="auto"/>
        <w:bottom w:val="none" w:sz="0" w:space="0" w:color="auto"/>
        <w:right w:val="none" w:sz="0" w:space="0" w:color="auto"/>
      </w:divBdr>
    </w:div>
    <w:div w:id="1001349651">
      <w:bodyDiv w:val="1"/>
      <w:marLeft w:val="0"/>
      <w:marRight w:val="0"/>
      <w:marTop w:val="0"/>
      <w:marBottom w:val="0"/>
      <w:divBdr>
        <w:top w:val="none" w:sz="0" w:space="0" w:color="auto"/>
        <w:left w:val="none" w:sz="0" w:space="0" w:color="auto"/>
        <w:bottom w:val="none" w:sz="0" w:space="0" w:color="auto"/>
        <w:right w:val="none" w:sz="0" w:space="0" w:color="auto"/>
      </w:divBdr>
    </w:div>
    <w:div w:id="1059091319">
      <w:bodyDiv w:val="1"/>
      <w:marLeft w:val="0"/>
      <w:marRight w:val="0"/>
      <w:marTop w:val="0"/>
      <w:marBottom w:val="0"/>
      <w:divBdr>
        <w:top w:val="none" w:sz="0" w:space="0" w:color="auto"/>
        <w:left w:val="none" w:sz="0" w:space="0" w:color="auto"/>
        <w:bottom w:val="none" w:sz="0" w:space="0" w:color="auto"/>
        <w:right w:val="none" w:sz="0" w:space="0" w:color="auto"/>
      </w:divBdr>
    </w:div>
    <w:div w:id="1093672490">
      <w:bodyDiv w:val="1"/>
      <w:marLeft w:val="0"/>
      <w:marRight w:val="0"/>
      <w:marTop w:val="0"/>
      <w:marBottom w:val="0"/>
      <w:divBdr>
        <w:top w:val="none" w:sz="0" w:space="0" w:color="auto"/>
        <w:left w:val="none" w:sz="0" w:space="0" w:color="auto"/>
        <w:bottom w:val="none" w:sz="0" w:space="0" w:color="auto"/>
        <w:right w:val="none" w:sz="0" w:space="0" w:color="auto"/>
      </w:divBdr>
    </w:div>
    <w:div w:id="1182206789">
      <w:bodyDiv w:val="1"/>
      <w:marLeft w:val="0"/>
      <w:marRight w:val="0"/>
      <w:marTop w:val="0"/>
      <w:marBottom w:val="0"/>
      <w:divBdr>
        <w:top w:val="none" w:sz="0" w:space="0" w:color="auto"/>
        <w:left w:val="none" w:sz="0" w:space="0" w:color="auto"/>
        <w:bottom w:val="none" w:sz="0" w:space="0" w:color="auto"/>
        <w:right w:val="none" w:sz="0" w:space="0" w:color="auto"/>
      </w:divBdr>
    </w:div>
    <w:div w:id="1292446187">
      <w:bodyDiv w:val="1"/>
      <w:marLeft w:val="0"/>
      <w:marRight w:val="0"/>
      <w:marTop w:val="0"/>
      <w:marBottom w:val="0"/>
      <w:divBdr>
        <w:top w:val="none" w:sz="0" w:space="0" w:color="auto"/>
        <w:left w:val="none" w:sz="0" w:space="0" w:color="auto"/>
        <w:bottom w:val="none" w:sz="0" w:space="0" w:color="auto"/>
        <w:right w:val="none" w:sz="0" w:space="0" w:color="auto"/>
      </w:divBdr>
    </w:div>
    <w:div w:id="1329673910">
      <w:bodyDiv w:val="1"/>
      <w:marLeft w:val="0"/>
      <w:marRight w:val="0"/>
      <w:marTop w:val="0"/>
      <w:marBottom w:val="0"/>
      <w:divBdr>
        <w:top w:val="none" w:sz="0" w:space="0" w:color="auto"/>
        <w:left w:val="none" w:sz="0" w:space="0" w:color="auto"/>
        <w:bottom w:val="none" w:sz="0" w:space="0" w:color="auto"/>
        <w:right w:val="none" w:sz="0" w:space="0" w:color="auto"/>
      </w:divBdr>
    </w:div>
    <w:div w:id="1637028213">
      <w:bodyDiv w:val="1"/>
      <w:marLeft w:val="0"/>
      <w:marRight w:val="0"/>
      <w:marTop w:val="0"/>
      <w:marBottom w:val="0"/>
      <w:divBdr>
        <w:top w:val="none" w:sz="0" w:space="0" w:color="auto"/>
        <w:left w:val="none" w:sz="0" w:space="0" w:color="auto"/>
        <w:bottom w:val="none" w:sz="0" w:space="0" w:color="auto"/>
        <w:right w:val="none" w:sz="0" w:space="0" w:color="auto"/>
      </w:divBdr>
      <w:divsChild>
        <w:div w:id="1106584774">
          <w:marLeft w:val="0"/>
          <w:marRight w:val="0"/>
          <w:marTop w:val="0"/>
          <w:marBottom w:val="0"/>
          <w:divBdr>
            <w:top w:val="none" w:sz="0" w:space="0" w:color="auto"/>
            <w:left w:val="none" w:sz="0" w:space="0" w:color="auto"/>
            <w:bottom w:val="none" w:sz="0" w:space="0" w:color="auto"/>
            <w:right w:val="none" w:sz="0" w:space="0" w:color="auto"/>
          </w:divBdr>
          <w:divsChild>
            <w:div w:id="656423688">
              <w:marLeft w:val="0"/>
              <w:marRight w:val="0"/>
              <w:marTop w:val="0"/>
              <w:marBottom w:val="0"/>
              <w:divBdr>
                <w:top w:val="none" w:sz="0" w:space="0" w:color="auto"/>
                <w:left w:val="none" w:sz="0" w:space="0" w:color="auto"/>
                <w:bottom w:val="none" w:sz="0" w:space="0" w:color="auto"/>
                <w:right w:val="none" w:sz="0" w:space="0" w:color="auto"/>
              </w:divBdr>
              <w:divsChild>
                <w:div w:id="307904251">
                  <w:marLeft w:val="0"/>
                  <w:marRight w:val="0"/>
                  <w:marTop w:val="0"/>
                  <w:marBottom w:val="0"/>
                  <w:divBdr>
                    <w:top w:val="none" w:sz="0" w:space="0" w:color="auto"/>
                    <w:left w:val="none" w:sz="0" w:space="0" w:color="auto"/>
                    <w:bottom w:val="none" w:sz="0" w:space="0" w:color="auto"/>
                    <w:right w:val="none" w:sz="0" w:space="0" w:color="auto"/>
                  </w:divBdr>
                  <w:divsChild>
                    <w:div w:id="674966328">
                      <w:marLeft w:val="0"/>
                      <w:marRight w:val="0"/>
                      <w:marTop w:val="0"/>
                      <w:marBottom w:val="0"/>
                      <w:divBdr>
                        <w:top w:val="none" w:sz="0" w:space="0" w:color="auto"/>
                        <w:left w:val="none" w:sz="0" w:space="0" w:color="auto"/>
                        <w:bottom w:val="none" w:sz="0" w:space="0" w:color="auto"/>
                        <w:right w:val="none" w:sz="0" w:space="0" w:color="auto"/>
                      </w:divBdr>
                      <w:divsChild>
                        <w:div w:id="2132240996">
                          <w:marLeft w:val="0"/>
                          <w:marRight w:val="0"/>
                          <w:marTop w:val="0"/>
                          <w:marBottom w:val="0"/>
                          <w:divBdr>
                            <w:top w:val="none" w:sz="0" w:space="0" w:color="auto"/>
                            <w:left w:val="none" w:sz="0" w:space="0" w:color="auto"/>
                            <w:bottom w:val="none" w:sz="0" w:space="0" w:color="auto"/>
                            <w:right w:val="none" w:sz="0" w:space="0" w:color="auto"/>
                          </w:divBdr>
                          <w:divsChild>
                            <w:div w:id="166389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7522">
                  <w:marLeft w:val="0"/>
                  <w:marRight w:val="0"/>
                  <w:marTop w:val="0"/>
                  <w:marBottom w:val="0"/>
                  <w:divBdr>
                    <w:top w:val="none" w:sz="0" w:space="0" w:color="auto"/>
                    <w:left w:val="none" w:sz="0" w:space="0" w:color="auto"/>
                    <w:bottom w:val="none" w:sz="0" w:space="0" w:color="auto"/>
                    <w:right w:val="none" w:sz="0" w:space="0" w:color="auto"/>
                  </w:divBdr>
                  <w:divsChild>
                    <w:div w:id="90972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84403">
      <w:bodyDiv w:val="1"/>
      <w:marLeft w:val="0"/>
      <w:marRight w:val="0"/>
      <w:marTop w:val="0"/>
      <w:marBottom w:val="0"/>
      <w:divBdr>
        <w:top w:val="none" w:sz="0" w:space="0" w:color="auto"/>
        <w:left w:val="none" w:sz="0" w:space="0" w:color="auto"/>
        <w:bottom w:val="none" w:sz="0" w:space="0" w:color="auto"/>
        <w:right w:val="none" w:sz="0" w:space="0" w:color="auto"/>
      </w:divBdr>
    </w:div>
    <w:div w:id="184018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a:latin typeface="Times New Roman" panose="02020603050405020304" pitchFamily="18" charset="0"/>
                <a:cs typeface="Times New Roman" panose="02020603050405020304" pitchFamily="18" charset="0"/>
              </a:rPr>
              <a:t>Haemato-biochemical</a:t>
            </a:r>
            <a:r>
              <a:rPr lang="en-IN" baseline="0">
                <a:latin typeface="Times New Roman" panose="02020603050405020304" pitchFamily="18" charset="0"/>
                <a:cs typeface="Times New Roman" panose="02020603050405020304" pitchFamily="18" charset="0"/>
              </a:rPr>
              <a:t> Levels</a:t>
            </a:r>
            <a:endParaRPr lang="en-IN">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IN"/>
        </a:p>
      </c:txPr>
    </c:title>
    <c:autoTitleDeleted val="0"/>
    <c:plotArea>
      <c:layout/>
      <c:barChart>
        <c:barDir val="col"/>
        <c:grouping val="clustered"/>
        <c:varyColors val="0"/>
        <c:ser>
          <c:idx val="0"/>
          <c:order val="0"/>
          <c:tx>
            <c:strRef>
              <c:f>Sheet1!$G$7</c:f>
              <c:strCache>
                <c:ptCount val="1"/>
                <c:pt idx="0">
                  <c:v>T1 (control)</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Sheet1!$G$8:$G$14</c:f>
              <c:numCache>
                <c:formatCode>General</c:formatCode>
                <c:ptCount val="7"/>
                <c:pt idx="0">
                  <c:v>8.98</c:v>
                </c:pt>
                <c:pt idx="1">
                  <c:v>7.63</c:v>
                </c:pt>
                <c:pt idx="2">
                  <c:v>10.130000000000001</c:v>
                </c:pt>
                <c:pt idx="3">
                  <c:v>6.75</c:v>
                </c:pt>
                <c:pt idx="4">
                  <c:v>3.63</c:v>
                </c:pt>
                <c:pt idx="5">
                  <c:v>3.12</c:v>
                </c:pt>
                <c:pt idx="6">
                  <c:v>89.75</c:v>
                </c:pt>
              </c:numCache>
            </c:numRef>
          </c:val>
          <c:extLst>
            <c:ext xmlns:c16="http://schemas.microsoft.com/office/drawing/2014/chart" uri="{C3380CC4-5D6E-409C-BE32-E72D297353CC}">
              <c16:uniqueId val="{00000000-BE4B-4824-844E-7FCA0176BF17}"/>
            </c:ext>
          </c:extLst>
        </c:ser>
        <c:ser>
          <c:idx val="1"/>
          <c:order val="1"/>
          <c:tx>
            <c:strRef>
              <c:f>Sheet1!$H$7</c:f>
              <c:strCache>
                <c:ptCount val="1"/>
                <c:pt idx="0">
                  <c:v>T2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Sheet1!$H$8:$H$14</c:f>
              <c:numCache>
                <c:formatCode>General</c:formatCode>
                <c:ptCount val="7"/>
                <c:pt idx="0">
                  <c:v>9.5</c:v>
                </c:pt>
                <c:pt idx="1">
                  <c:v>8.33</c:v>
                </c:pt>
                <c:pt idx="2">
                  <c:v>10.199999999999999</c:v>
                </c:pt>
                <c:pt idx="3">
                  <c:v>6.71</c:v>
                </c:pt>
                <c:pt idx="4">
                  <c:v>3.54</c:v>
                </c:pt>
                <c:pt idx="5">
                  <c:v>3.17</c:v>
                </c:pt>
                <c:pt idx="6">
                  <c:v>90.5</c:v>
                </c:pt>
              </c:numCache>
            </c:numRef>
          </c:val>
          <c:extLst>
            <c:ext xmlns:c16="http://schemas.microsoft.com/office/drawing/2014/chart" uri="{C3380CC4-5D6E-409C-BE32-E72D297353CC}">
              <c16:uniqueId val="{00000001-BE4B-4824-844E-7FCA0176BF17}"/>
            </c:ext>
          </c:extLst>
        </c:ser>
        <c:ser>
          <c:idx val="2"/>
          <c:order val="2"/>
          <c:tx>
            <c:strRef>
              <c:f>Sheet1!$I$7</c:f>
              <c:strCache>
                <c:ptCount val="1"/>
                <c:pt idx="0">
                  <c:v>T3</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Sheet1!$I$8:$I$14</c:f>
              <c:numCache>
                <c:formatCode>General</c:formatCode>
                <c:ptCount val="7"/>
                <c:pt idx="0">
                  <c:v>9.65</c:v>
                </c:pt>
                <c:pt idx="1">
                  <c:v>8.1300000000000008</c:v>
                </c:pt>
                <c:pt idx="2">
                  <c:v>10.4</c:v>
                </c:pt>
                <c:pt idx="3">
                  <c:v>6.84</c:v>
                </c:pt>
                <c:pt idx="4">
                  <c:v>3.75</c:v>
                </c:pt>
                <c:pt idx="5">
                  <c:v>3.09</c:v>
                </c:pt>
                <c:pt idx="6">
                  <c:v>85.8</c:v>
                </c:pt>
              </c:numCache>
            </c:numRef>
          </c:val>
          <c:extLst>
            <c:ext xmlns:c16="http://schemas.microsoft.com/office/drawing/2014/chart" uri="{C3380CC4-5D6E-409C-BE32-E72D297353CC}">
              <c16:uniqueId val="{00000002-BE4B-4824-844E-7FCA0176BF17}"/>
            </c:ext>
          </c:extLst>
        </c:ser>
        <c:ser>
          <c:idx val="3"/>
          <c:order val="3"/>
          <c:tx>
            <c:strRef>
              <c:f>Sheet1!$J$7</c:f>
              <c:strCache>
                <c:ptCount val="1"/>
                <c:pt idx="0">
                  <c:v>T4</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Sheet1!$J$8:$J$14</c:f>
              <c:numCache>
                <c:formatCode>General</c:formatCode>
                <c:ptCount val="7"/>
                <c:pt idx="0">
                  <c:v>9.9</c:v>
                </c:pt>
                <c:pt idx="1">
                  <c:v>8.3800000000000008</c:v>
                </c:pt>
                <c:pt idx="2">
                  <c:v>10.1</c:v>
                </c:pt>
                <c:pt idx="3">
                  <c:v>6.75</c:v>
                </c:pt>
                <c:pt idx="4">
                  <c:v>3.48</c:v>
                </c:pt>
                <c:pt idx="5">
                  <c:v>3.27</c:v>
                </c:pt>
                <c:pt idx="6">
                  <c:v>84.5</c:v>
                </c:pt>
              </c:numCache>
            </c:numRef>
          </c:val>
          <c:extLst>
            <c:ext xmlns:c16="http://schemas.microsoft.com/office/drawing/2014/chart" uri="{C3380CC4-5D6E-409C-BE32-E72D297353CC}">
              <c16:uniqueId val="{00000003-BE4B-4824-844E-7FCA0176BF17}"/>
            </c:ext>
          </c:extLst>
        </c:ser>
        <c:ser>
          <c:idx val="4"/>
          <c:order val="4"/>
          <c:tx>
            <c:strRef>
              <c:f>Sheet1!$K$7</c:f>
              <c:strCache>
                <c:ptCount val="1"/>
                <c:pt idx="0">
                  <c:v>T5</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Sheet1!$F$8:$F$14</c:f>
              <c:strCache>
                <c:ptCount val="7"/>
                <c:pt idx="0">
                  <c:v>Haemoglobin</c:v>
                </c:pt>
                <c:pt idx="1">
                  <c:v>RBC</c:v>
                </c:pt>
                <c:pt idx="2">
                  <c:v>WBC</c:v>
                </c:pt>
                <c:pt idx="3">
                  <c:v>Total protein</c:v>
                </c:pt>
                <c:pt idx="4">
                  <c:v>Serum albumin</c:v>
                </c:pt>
                <c:pt idx="5">
                  <c:v>Serum globulin</c:v>
                </c:pt>
                <c:pt idx="6">
                  <c:v>Total cholesterol</c:v>
                </c:pt>
              </c:strCache>
            </c:strRef>
          </c:cat>
          <c:val>
            <c:numRef>
              <c:f>Sheet1!$K$8:$K$14</c:f>
              <c:numCache>
                <c:formatCode>General</c:formatCode>
                <c:ptCount val="7"/>
                <c:pt idx="0">
                  <c:v>11.63</c:v>
                </c:pt>
                <c:pt idx="1">
                  <c:v>8.8800000000000008</c:v>
                </c:pt>
                <c:pt idx="2">
                  <c:v>10.3</c:v>
                </c:pt>
                <c:pt idx="3">
                  <c:v>6.71</c:v>
                </c:pt>
                <c:pt idx="4">
                  <c:v>3.42</c:v>
                </c:pt>
                <c:pt idx="5">
                  <c:v>3.29</c:v>
                </c:pt>
                <c:pt idx="6">
                  <c:v>83</c:v>
                </c:pt>
              </c:numCache>
            </c:numRef>
          </c:val>
          <c:extLst>
            <c:ext xmlns:c16="http://schemas.microsoft.com/office/drawing/2014/chart" uri="{C3380CC4-5D6E-409C-BE32-E72D297353CC}">
              <c16:uniqueId val="{00000004-BE4B-4824-844E-7FCA0176BF17}"/>
            </c:ext>
          </c:extLst>
        </c:ser>
        <c:dLbls>
          <c:showLegendKey val="0"/>
          <c:showVal val="0"/>
          <c:showCatName val="0"/>
          <c:showSerName val="0"/>
          <c:showPercent val="0"/>
          <c:showBubbleSize val="0"/>
        </c:dLbls>
        <c:gapWidth val="100"/>
        <c:overlap val="-24"/>
        <c:axId val="1448737327"/>
        <c:axId val="1448734447"/>
      </c:barChart>
      <c:catAx>
        <c:axId val="144873732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8734447"/>
        <c:crosses val="autoZero"/>
        <c:auto val="1"/>
        <c:lblAlgn val="ctr"/>
        <c:lblOffset val="100"/>
        <c:noMultiLvlLbl val="0"/>
      </c:catAx>
      <c:valAx>
        <c:axId val="1448734447"/>
        <c:scaling>
          <c:orientation val="minMax"/>
        </c:scaling>
        <c:delete val="0"/>
        <c:axPos val="l"/>
        <c:majorGridlines>
          <c:spPr>
            <a:ln w="9525" cap="flat" cmpd="sng" algn="ctr">
              <a:solidFill>
                <a:srgbClr val="00B050"/>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448737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7674-FD67-4E7A-893A-C991063F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4766</Words>
  <Characters>27170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Karahale</dc:creator>
  <cp:keywords/>
  <dc:description/>
  <cp:lastModifiedBy>Zirak Palani</cp:lastModifiedBy>
  <cp:revision>10</cp:revision>
  <dcterms:created xsi:type="dcterms:W3CDTF">2025-08-30T17:21:00Z</dcterms:created>
  <dcterms:modified xsi:type="dcterms:W3CDTF">2025-08-30T17:46:00Z</dcterms:modified>
</cp:coreProperties>
</file>