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A3C5E" w14:textId="10C4742B" w:rsidR="005745F1" w:rsidRPr="00BA2A2A" w:rsidRDefault="005745F1" w:rsidP="005745F1">
      <w:pPr>
        <w:pStyle w:val="Authornames"/>
        <w:spacing w:before="113" w:after="113"/>
        <w:jc w:val="center"/>
        <w:rPr>
          <w:b/>
          <w:bCs/>
          <w:lang w:eastAsia="en-IN"/>
        </w:rPr>
      </w:pPr>
      <w:r w:rsidRPr="00BA2A2A">
        <w:rPr>
          <w:b/>
          <w:bCs/>
          <w:lang w:eastAsia="en-IN"/>
        </w:rPr>
        <w:t>Water Quality Index-Based Groundwater Assessment for Irrigation and Drinking Purposes in Erode District, Tamil Nadu, India</w:t>
      </w:r>
    </w:p>
    <w:p w14:paraId="3D47FD79" w14:textId="77777777" w:rsidR="005745F1" w:rsidRPr="00BA2A2A" w:rsidRDefault="005745F1" w:rsidP="00C114B4">
      <w:pPr>
        <w:spacing w:line="360" w:lineRule="auto"/>
        <w:jc w:val="center"/>
        <w:rPr>
          <w:rFonts w:ascii="Times New Roman" w:eastAsia="Times New Roman" w:hAnsi="Times New Roman" w:cs="Times New Roman"/>
          <w:b/>
          <w:bCs/>
          <w:sz w:val="28"/>
          <w:szCs w:val="24"/>
          <w:lang w:eastAsia="en-IN"/>
        </w:rPr>
      </w:pPr>
    </w:p>
    <w:p w14:paraId="611A10DA" w14:textId="7777777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Abstract</w:t>
      </w:r>
    </w:p>
    <w:p w14:paraId="40055F13" w14:textId="77777777" w:rsidR="00DA7B6C" w:rsidRPr="00C114B4" w:rsidRDefault="00DA7B6C" w:rsidP="003C72AE">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This research assesses groundwater quality in Erode District, Tamil Nadu, India, for irrigation and drinking purposes through water quality indices. Physiochemical parameters such as pH, electrical conductivity (EC), total dissolved solids (TDS), major cations (Ca²⁺, Mg²⁺, Na⁺, K⁺), and major anions (Cl⁻, SO₄²⁻, CO₃²⁻, HCO₃⁻, NO₂⁻+NO₃⁻) and fluoride were analysed from groundwater samples collected in 44 </w:t>
      </w:r>
      <w:commentRangeStart w:id="0"/>
      <w:r w:rsidRPr="00C114B4">
        <w:rPr>
          <w:rFonts w:ascii="Times New Roman" w:eastAsia="Times New Roman" w:hAnsi="Times New Roman" w:cs="Times New Roman"/>
          <w:bCs/>
          <w:sz w:val="24"/>
          <w:szCs w:val="24"/>
          <w:lang w:eastAsia="en-IN"/>
        </w:rPr>
        <w:t>villages</w:t>
      </w:r>
      <w:commentRangeEnd w:id="0"/>
      <w:r w:rsidR="00A254DD">
        <w:rPr>
          <w:rStyle w:val="CommentReference"/>
        </w:rPr>
        <w:commentReference w:id="0"/>
      </w:r>
      <w:r w:rsidRPr="00C114B4">
        <w:rPr>
          <w:rFonts w:ascii="Times New Roman" w:eastAsia="Times New Roman" w:hAnsi="Times New Roman" w:cs="Times New Roman"/>
          <w:bCs/>
          <w:sz w:val="24"/>
          <w:szCs w:val="24"/>
          <w:lang w:eastAsia="en-IN"/>
        </w:rPr>
        <w:t xml:space="preserve">. Water Quality Index (WQI) for potable use and some irrigation indices such as Sodium Adsorption Ratio (SAR), Residual </w:t>
      </w:r>
      <w:commentRangeStart w:id="1"/>
      <w:r w:rsidRPr="00C114B4">
        <w:rPr>
          <w:rFonts w:ascii="Times New Roman" w:eastAsia="Times New Roman" w:hAnsi="Times New Roman" w:cs="Times New Roman"/>
          <w:bCs/>
          <w:sz w:val="24"/>
          <w:szCs w:val="24"/>
          <w:lang w:eastAsia="en-IN"/>
        </w:rPr>
        <w:t>Sodium</w:t>
      </w:r>
      <w:commentRangeEnd w:id="1"/>
      <w:r w:rsidR="00A254DD">
        <w:rPr>
          <w:rStyle w:val="CommentReference"/>
        </w:rPr>
        <w:commentReference w:id="1"/>
      </w:r>
      <w:r w:rsidRPr="00C114B4">
        <w:rPr>
          <w:rFonts w:ascii="Times New Roman" w:eastAsia="Times New Roman" w:hAnsi="Times New Roman" w:cs="Times New Roman"/>
          <w:bCs/>
          <w:sz w:val="24"/>
          <w:szCs w:val="24"/>
          <w:lang w:eastAsia="en-IN"/>
        </w:rPr>
        <w:t xml:space="preserve"> Carbonate (RSC), and Sodium Percentage (Na %) were determined to evaluate water suitability. Findings showed that 23% of the samples were excellent for drinking, 43% good, 25% poor, and 9% unsuitable according to WQI. For irrigation, 82% of samples were low in sodium hazard, 16% were medium in sodium hazard, </w:t>
      </w:r>
      <w:commentRangeStart w:id="2"/>
      <w:r w:rsidRPr="00C114B4">
        <w:rPr>
          <w:rFonts w:ascii="Times New Roman" w:eastAsia="Times New Roman" w:hAnsi="Times New Roman" w:cs="Times New Roman"/>
          <w:bCs/>
          <w:sz w:val="24"/>
          <w:szCs w:val="24"/>
          <w:lang w:eastAsia="en-IN"/>
        </w:rPr>
        <w:t xml:space="preserve">and 2% were high in sodium hazard according to SAR. RSC values indicated that 77% of the samples were suitable for irrigation and 23% were marginally suitable to unsuitable. Spatial analysis indicated that groundwater quality deterioration was more significant in the eastern and central regions of Erode </w:t>
      </w:r>
      <w:r w:rsidR="00703A36" w:rsidRPr="00C114B4">
        <w:rPr>
          <w:rFonts w:ascii="Times New Roman" w:eastAsia="Times New Roman" w:hAnsi="Times New Roman" w:cs="Times New Roman"/>
          <w:bCs/>
          <w:sz w:val="24"/>
          <w:szCs w:val="24"/>
          <w:lang w:eastAsia="en-IN"/>
        </w:rPr>
        <w:t>District. This</w:t>
      </w:r>
      <w:r w:rsidRPr="00C114B4">
        <w:rPr>
          <w:rFonts w:ascii="Times New Roman" w:eastAsia="Times New Roman" w:hAnsi="Times New Roman" w:cs="Times New Roman"/>
          <w:bCs/>
          <w:sz w:val="24"/>
          <w:szCs w:val="24"/>
          <w:lang w:eastAsia="en-IN"/>
        </w:rPr>
        <w:t xml:space="preserve"> research offers useful data to ensure sustainable groundwater </w:t>
      </w:r>
      <w:commentRangeEnd w:id="2"/>
      <w:r w:rsidR="00000EDD">
        <w:rPr>
          <w:rStyle w:val="CommentReference"/>
        </w:rPr>
        <w:commentReference w:id="2"/>
      </w:r>
      <w:r w:rsidRPr="00C114B4">
        <w:rPr>
          <w:rFonts w:ascii="Times New Roman" w:eastAsia="Times New Roman" w:hAnsi="Times New Roman" w:cs="Times New Roman"/>
          <w:bCs/>
          <w:sz w:val="24"/>
          <w:szCs w:val="24"/>
          <w:lang w:eastAsia="en-IN"/>
        </w:rPr>
        <w:t>management and points towards the necessity for remediation in areas of concern.</w:t>
      </w:r>
    </w:p>
    <w:p w14:paraId="291D3A9D" w14:textId="7D3614A4" w:rsidR="00DA7B6C" w:rsidRPr="001A59F7"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Keywords: </w:t>
      </w:r>
      <w:r w:rsidRPr="001A59F7">
        <w:rPr>
          <w:rFonts w:ascii="Times New Roman" w:eastAsia="Times New Roman" w:hAnsi="Times New Roman" w:cs="Times New Roman"/>
          <w:bCs/>
          <w:sz w:val="24"/>
          <w:szCs w:val="24"/>
          <w:lang w:eastAsia="en-IN"/>
        </w:rPr>
        <w:t xml:space="preserve">Irrigation suitability; Sodium Adsorption Ratio; Residual Sodium </w:t>
      </w:r>
      <w:r w:rsidR="00E10FFB" w:rsidRPr="001A59F7">
        <w:rPr>
          <w:rFonts w:ascii="Times New Roman" w:eastAsia="Times New Roman" w:hAnsi="Times New Roman" w:cs="Times New Roman"/>
          <w:bCs/>
          <w:sz w:val="24"/>
          <w:szCs w:val="24"/>
          <w:lang w:eastAsia="en-IN"/>
        </w:rPr>
        <w:t xml:space="preserve">Carbonate; Sustainable </w:t>
      </w:r>
      <w:commentRangeStart w:id="3"/>
      <w:r w:rsidR="00E10FFB" w:rsidRPr="001A59F7">
        <w:rPr>
          <w:rFonts w:ascii="Times New Roman" w:eastAsia="Times New Roman" w:hAnsi="Times New Roman" w:cs="Times New Roman"/>
          <w:bCs/>
          <w:sz w:val="24"/>
          <w:szCs w:val="24"/>
          <w:lang w:eastAsia="en-IN"/>
        </w:rPr>
        <w:t>ground</w:t>
      </w:r>
      <w:commentRangeEnd w:id="3"/>
      <w:r w:rsidR="00A254DD">
        <w:rPr>
          <w:rStyle w:val="CommentReference"/>
        </w:rPr>
        <w:commentReference w:id="3"/>
      </w:r>
      <w:r w:rsidR="00E10FFB" w:rsidRPr="001A59F7">
        <w:rPr>
          <w:rFonts w:ascii="Times New Roman" w:eastAsia="Times New Roman" w:hAnsi="Times New Roman" w:cs="Times New Roman"/>
          <w:bCs/>
          <w:sz w:val="24"/>
          <w:szCs w:val="24"/>
          <w:lang w:eastAsia="en-IN"/>
        </w:rPr>
        <w:t xml:space="preserve"> water management</w:t>
      </w:r>
      <w:r w:rsidRPr="001A59F7">
        <w:rPr>
          <w:rFonts w:ascii="Times New Roman" w:eastAsia="Times New Roman" w:hAnsi="Times New Roman" w:cs="Times New Roman"/>
          <w:bCs/>
          <w:sz w:val="24"/>
          <w:szCs w:val="24"/>
          <w:lang w:eastAsia="en-IN"/>
        </w:rPr>
        <w:t xml:space="preserve"> </w:t>
      </w:r>
    </w:p>
    <w:p w14:paraId="615E634A" w14:textId="41CE36C0"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Introduction</w:t>
      </w:r>
      <w:bookmarkStart w:id="4" w:name="_GoBack"/>
      <w:bookmarkEnd w:id="4"/>
    </w:p>
    <w:p w14:paraId="7D13E7F1" w14:textId="7E02629D" w:rsidR="00DA7B6C" w:rsidRPr="00BF653F" w:rsidRDefault="00DA7B6C" w:rsidP="00C114B4">
      <w:pPr>
        <w:spacing w:line="360" w:lineRule="auto"/>
        <w:ind w:firstLine="720"/>
        <w:jc w:val="both"/>
        <w:rPr>
          <w:rFonts w:ascii="Times New Roman" w:hAnsi="Times New Roman" w:cs="Times New Roman"/>
          <w:sz w:val="24"/>
          <w:szCs w:val="24"/>
          <w:lang w:eastAsia="en-IN"/>
        </w:rPr>
      </w:pPr>
      <w:r w:rsidRPr="00BF653F">
        <w:rPr>
          <w:rFonts w:ascii="Times New Roman" w:hAnsi="Times New Roman" w:cs="Times New Roman"/>
          <w:sz w:val="24"/>
          <w:szCs w:val="24"/>
          <w:lang w:eastAsia="en-IN"/>
        </w:rPr>
        <w:t>Groundwater is an essential natural resource used as the major source of water for drinking and irrigation purposes in most parts of the globe, particularly in water-limited areas (</w:t>
      </w:r>
      <w:proofErr w:type="spellStart"/>
      <w:r w:rsidRPr="00BF653F">
        <w:rPr>
          <w:rFonts w:ascii="Times New Roman" w:hAnsi="Times New Roman" w:cs="Times New Roman"/>
          <w:sz w:val="24"/>
          <w:szCs w:val="24"/>
          <w:lang w:eastAsia="en-IN"/>
        </w:rPr>
        <w:t>Adimalla</w:t>
      </w:r>
      <w:proofErr w:type="spellEnd"/>
      <w:r w:rsidRPr="00BF653F">
        <w:rPr>
          <w:rFonts w:ascii="Times New Roman" w:hAnsi="Times New Roman" w:cs="Times New Roman"/>
          <w:sz w:val="24"/>
          <w:szCs w:val="24"/>
          <w:lang w:eastAsia="en-IN"/>
        </w:rPr>
        <w:t xml:space="preserve"> and Qian, 2019</w:t>
      </w:r>
      <w:r w:rsidR="00DB23A1" w:rsidRPr="00BF653F">
        <w:rPr>
          <w:rFonts w:ascii="Times New Roman" w:hAnsi="Times New Roman" w:cs="Times New Roman"/>
          <w:sz w:val="24"/>
          <w:szCs w:val="24"/>
          <w:lang w:eastAsia="en-IN"/>
        </w:rPr>
        <w:t xml:space="preserve">; </w:t>
      </w:r>
      <w:proofErr w:type="spellStart"/>
      <w:r w:rsidR="00DB23A1" w:rsidRPr="00BF653F">
        <w:rPr>
          <w:rFonts w:ascii="Times New Roman" w:hAnsi="Times New Roman" w:cs="Times New Roman"/>
          <w:sz w:val="24"/>
          <w:szCs w:val="24"/>
          <w:lang w:eastAsia="en-IN"/>
        </w:rPr>
        <w:t>Bojago</w:t>
      </w:r>
      <w:proofErr w:type="spellEnd"/>
      <w:r w:rsidR="00DB23A1" w:rsidRPr="00BF653F">
        <w:rPr>
          <w:rFonts w:ascii="Times New Roman" w:hAnsi="Times New Roman" w:cs="Times New Roman"/>
          <w:sz w:val="24"/>
          <w:szCs w:val="24"/>
          <w:lang w:eastAsia="en-IN"/>
        </w:rPr>
        <w:t xml:space="preserve"> </w:t>
      </w:r>
      <w:r w:rsidR="00DB23A1" w:rsidRPr="00E10FFB">
        <w:rPr>
          <w:rFonts w:ascii="Times New Roman" w:hAnsi="Times New Roman" w:cs="Times New Roman"/>
          <w:i/>
          <w:iCs/>
          <w:sz w:val="24"/>
          <w:szCs w:val="24"/>
          <w:lang w:eastAsia="en-IN"/>
        </w:rPr>
        <w:t>et al.,</w:t>
      </w:r>
      <w:r w:rsidR="00DB23A1" w:rsidRPr="00BF653F">
        <w:rPr>
          <w:rFonts w:ascii="Times New Roman" w:hAnsi="Times New Roman" w:cs="Times New Roman"/>
          <w:sz w:val="24"/>
          <w:szCs w:val="24"/>
          <w:lang w:eastAsia="en-IN"/>
        </w:rPr>
        <w:t xml:space="preserve"> 2023</w:t>
      </w:r>
      <w:r w:rsidRPr="00BF653F">
        <w:rPr>
          <w:rFonts w:ascii="Times New Roman" w:hAnsi="Times New Roman" w:cs="Times New Roman"/>
          <w:sz w:val="24"/>
          <w:szCs w:val="24"/>
          <w:lang w:eastAsia="en-IN"/>
        </w:rPr>
        <w:t xml:space="preserve">). In India, about 85% of rural drinking water and 60% of irrigation water needs are satisfied by groundwater resources (Central Ground Water Board, 2019). Nevertheless, quick urbanization, industrialization, intensification of agriculture, and climatic change have profoundly influenced the quality of groundwater (Ravi Kumar </w:t>
      </w:r>
      <w:r w:rsidRPr="00387B47">
        <w:rPr>
          <w:rFonts w:ascii="Times New Roman" w:hAnsi="Times New Roman" w:cs="Times New Roman"/>
          <w:i/>
          <w:iCs/>
          <w:sz w:val="24"/>
          <w:szCs w:val="24"/>
          <w:lang w:eastAsia="en-IN"/>
        </w:rPr>
        <w:t>et al</w:t>
      </w:r>
      <w:r w:rsidRPr="00BF653F">
        <w:rPr>
          <w:rFonts w:ascii="Times New Roman" w:hAnsi="Times New Roman" w:cs="Times New Roman"/>
          <w:sz w:val="24"/>
          <w:szCs w:val="24"/>
          <w:lang w:eastAsia="en-IN"/>
        </w:rPr>
        <w:t>., 2017</w:t>
      </w:r>
      <w:r w:rsidR="000133A2" w:rsidRPr="00BF653F">
        <w:rPr>
          <w:rFonts w:ascii="Times New Roman" w:hAnsi="Times New Roman" w:cs="Times New Roman"/>
          <w:sz w:val="24"/>
          <w:szCs w:val="24"/>
          <w:lang w:eastAsia="en-IN"/>
        </w:rPr>
        <w:t xml:space="preserve">; Rajesh </w:t>
      </w:r>
      <w:r w:rsidR="000133A2" w:rsidRPr="00387B47">
        <w:rPr>
          <w:rFonts w:ascii="Times New Roman" w:hAnsi="Times New Roman" w:cs="Times New Roman"/>
          <w:i/>
          <w:iCs/>
          <w:sz w:val="24"/>
          <w:szCs w:val="24"/>
          <w:lang w:eastAsia="en-IN"/>
        </w:rPr>
        <w:t>et al</w:t>
      </w:r>
      <w:r w:rsidR="000133A2" w:rsidRPr="00BF653F">
        <w:rPr>
          <w:rFonts w:ascii="Times New Roman" w:hAnsi="Times New Roman" w:cs="Times New Roman"/>
          <w:sz w:val="24"/>
          <w:szCs w:val="24"/>
          <w:lang w:eastAsia="en-IN"/>
        </w:rPr>
        <w:t>., 2024</w:t>
      </w:r>
      <w:r w:rsidR="002610B0" w:rsidRPr="00BF653F">
        <w:rPr>
          <w:rFonts w:ascii="Times New Roman" w:hAnsi="Times New Roman" w:cs="Times New Roman"/>
          <w:sz w:val="24"/>
          <w:szCs w:val="24"/>
          <w:lang w:eastAsia="en-IN"/>
        </w:rPr>
        <w:t xml:space="preserve">; Ahamad </w:t>
      </w:r>
      <w:r w:rsidR="002610B0" w:rsidRPr="00E10FFB">
        <w:rPr>
          <w:rFonts w:ascii="Times New Roman" w:hAnsi="Times New Roman" w:cs="Times New Roman"/>
          <w:i/>
          <w:iCs/>
          <w:sz w:val="24"/>
          <w:szCs w:val="24"/>
          <w:lang w:eastAsia="en-IN"/>
        </w:rPr>
        <w:t>et al.,</w:t>
      </w:r>
      <w:r w:rsidR="002610B0" w:rsidRPr="00BF653F">
        <w:rPr>
          <w:rFonts w:ascii="Times New Roman" w:hAnsi="Times New Roman" w:cs="Times New Roman"/>
          <w:sz w:val="24"/>
          <w:szCs w:val="24"/>
          <w:lang w:eastAsia="en-IN"/>
        </w:rPr>
        <w:t xml:space="preserve"> 2025</w:t>
      </w:r>
      <w:r w:rsidR="000133A2" w:rsidRPr="00BF653F">
        <w:rPr>
          <w:rFonts w:ascii="Times New Roman" w:hAnsi="Times New Roman" w:cs="Times New Roman"/>
          <w:sz w:val="24"/>
          <w:szCs w:val="24"/>
          <w:lang w:eastAsia="en-IN"/>
        </w:rPr>
        <w:t>). Erode</w:t>
      </w:r>
      <w:r w:rsidRPr="00BF653F">
        <w:rPr>
          <w:rFonts w:ascii="Times New Roman" w:hAnsi="Times New Roman" w:cs="Times New Roman"/>
          <w:sz w:val="24"/>
          <w:szCs w:val="24"/>
          <w:lang w:eastAsia="en-IN"/>
        </w:rPr>
        <w:t xml:space="preserve"> District in the western region of Tamil Nadu, India, is a significant agricultural and industrial region with significant groundwater resource dependency. The industries, cultivation of turmeric, and intensive </w:t>
      </w:r>
      <w:r w:rsidRPr="00BF653F">
        <w:rPr>
          <w:rFonts w:ascii="Times New Roman" w:hAnsi="Times New Roman" w:cs="Times New Roman"/>
          <w:sz w:val="24"/>
          <w:szCs w:val="24"/>
          <w:lang w:eastAsia="en-IN"/>
        </w:rPr>
        <w:lastRenderedPageBreak/>
        <w:t>farming are predominant activities in the district. These activities, combined with natural elements like geology and climate, have the potential to affect groundwater quality (Lang and Kannan, 2007</w:t>
      </w:r>
      <w:r w:rsidR="000133A2" w:rsidRPr="00BF653F">
        <w:rPr>
          <w:rFonts w:ascii="Times New Roman" w:hAnsi="Times New Roman" w:cs="Times New Roman"/>
          <w:sz w:val="24"/>
          <w:szCs w:val="24"/>
          <w:lang w:eastAsia="en-IN"/>
        </w:rPr>
        <w:t xml:space="preserve">; </w:t>
      </w:r>
      <w:proofErr w:type="spellStart"/>
      <w:r w:rsidR="00AB1CB3">
        <w:rPr>
          <w:rFonts w:ascii="Times New Roman" w:hAnsi="Times New Roman" w:cs="Times New Roman"/>
          <w:sz w:val="24"/>
          <w:szCs w:val="24"/>
          <w:lang w:eastAsia="en-IN"/>
        </w:rPr>
        <w:t>Bhutiani</w:t>
      </w:r>
      <w:proofErr w:type="spellEnd"/>
      <w:r w:rsidR="00AB1CB3">
        <w:rPr>
          <w:rFonts w:ascii="Times New Roman" w:hAnsi="Times New Roman" w:cs="Times New Roman"/>
          <w:sz w:val="24"/>
          <w:szCs w:val="24"/>
          <w:lang w:eastAsia="en-IN"/>
        </w:rPr>
        <w:t xml:space="preserve"> </w:t>
      </w:r>
      <w:r w:rsidR="00AB1CB3" w:rsidRPr="00E10FFB">
        <w:rPr>
          <w:rFonts w:ascii="Times New Roman" w:hAnsi="Times New Roman" w:cs="Times New Roman"/>
          <w:i/>
          <w:iCs/>
          <w:sz w:val="24"/>
          <w:szCs w:val="24"/>
          <w:lang w:eastAsia="en-IN"/>
        </w:rPr>
        <w:t xml:space="preserve">et al., </w:t>
      </w:r>
      <w:r w:rsidR="00AB1CB3">
        <w:rPr>
          <w:rFonts w:ascii="Times New Roman" w:hAnsi="Times New Roman" w:cs="Times New Roman"/>
          <w:sz w:val="24"/>
          <w:szCs w:val="24"/>
          <w:lang w:eastAsia="en-IN"/>
        </w:rPr>
        <w:t xml:space="preserve">2019; </w:t>
      </w:r>
      <w:r w:rsidR="005104C9" w:rsidRPr="00BF653F">
        <w:rPr>
          <w:rFonts w:ascii="Times New Roman" w:hAnsi="Times New Roman" w:cs="Times New Roman"/>
          <w:sz w:val="24"/>
          <w:szCs w:val="24"/>
          <w:lang w:eastAsia="en-IN"/>
        </w:rPr>
        <w:t xml:space="preserve">Ahamad </w:t>
      </w:r>
      <w:r w:rsidR="005104C9" w:rsidRPr="00387B47">
        <w:rPr>
          <w:rFonts w:ascii="Times New Roman" w:hAnsi="Times New Roman" w:cs="Times New Roman"/>
          <w:i/>
          <w:iCs/>
          <w:color w:val="EE0000"/>
          <w:sz w:val="24"/>
          <w:szCs w:val="24"/>
          <w:lang w:eastAsia="en-IN"/>
        </w:rPr>
        <w:t xml:space="preserve">et al., </w:t>
      </w:r>
      <w:r w:rsidR="005104C9" w:rsidRPr="00BF653F">
        <w:rPr>
          <w:rFonts w:ascii="Times New Roman" w:hAnsi="Times New Roman" w:cs="Times New Roman"/>
          <w:sz w:val="24"/>
          <w:szCs w:val="24"/>
          <w:lang w:eastAsia="en-IN"/>
        </w:rPr>
        <w:t xml:space="preserve">2023; </w:t>
      </w:r>
      <w:r w:rsidR="00D870E1" w:rsidRPr="00BF653F">
        <w:rPr>
          <w:rFonts w:ascii="Times New Roman" w:hAnsi="Times New Roman" w:cs="Times New Roman"/>
          <w:sz w:val="24"/>
          <w:szCs w:val="24"/>
          <w:lang w:eastAsia="en-IN"/>
        </w:rPr>
        <w:t xml:space="preserve">Rajesh and Prasad, 2024; Sangeetha </w:t>
      </w:r>
      <w:r w:rsidR="00D870E1" w:rsidRPr="00E10FFB">
        <w:rPr>
          <w:rFonts w:ascii="Times New Roman" w:hAnsi="Times New Roman" w:cs="Times New Roman"/>
          <w:i/>
          <w:iCs/>
          <w:sz w:val="24"/>
          <w:szCs w:val="24"/>
          <w:lang w:eastAsia="en-IN"/>
        </w:rPr>
        <w:t>et al.,</w:t>
      </w:r>
      <w:r w:rsidR="00D870E1" w:rsidRPr="00BF653F">
        <w:rPr>
          <w:rFonts w:ascii="Times New Roman" w:hAnsi="Times New Roman" w:cs="Times New Roman"/>
          <w:sz w:val="24"/>
          <w:szCs w:val="24"/>
          <w:lang w:eastAsia="en-IN"/>
        </w:rPr>
        <w:t xml:space="preserve"> 2024</w:t>
      </w:r>
      <w:r w:rsidRPr="00BF653F">
        <w:rPr>
          <w:rFonts w:ascii="Times New Roman" w:hAnsi="Times New Roman" w:cs="Times New Roman"/>
          <w:sz w:val="24"/>
          <w:szCs w:val="24"/>
          <w:lang w:eastAsia="en-IN"/>
        </w:rPr>
        <w:t>).</w:t>
      </w:r>
    </w:p>
    <w:p w14:paraId="7FB6157D" w14:textId="59B22F01" w:rsidR="00DA7B6C" w:rsidRPr="00BF653F" w:rsidRDefault="00DA7B6C" w:rsidP="00C114B4">
      <w:pPr>
        <w:spacing w:line="360" w:lineRule="auto"/>
        <w:ind w:firstLine="720"/>
        <w:jc w:val="both"/>
        <w:rPr>
          <w:rFonts w:ascii="Times New Roman" w:hAnsi="Times New Roman" w:cs="Times New Roman"/>
          <w:sz w:val="24"/>
          <w:szCs w:val="24"/>
          <w:lang w:eastAsia="en-IN"/>
        </w:rPr>
      </w:pPr>
      <w:r w:rsidRPr="00BF653F">
        <w:rPr>
          <w:rFonts w:ascii="Times New Roman" w:hAnsi="Times New Roman" w:cs="Times New Roman"/>
          <w:sz w:val="24"/>
          <w:szCs w:val="24"/>
          <w:lang w:eastAsia="en-IN"/>
        </w:rPr>
        <w:t xml:space="preserve">Groundwater quality assessment is needed to determine its appropriateness for use in different purposes, especially drinking and irrigation. Ingestion of polluted water can contribute to many health problems, ranging from gastrointestinal disorders to fluorosis and methemoglobinemia (WHO, 2017). Irrigation water with poor quality also has undesirable impacts on soil characteristics, crop productivity, and sustainable agriculture in the long run (Ayers and </w:t>
      </w:r>
      <w:proofErr w:type="spellStart"/>
      <w:r w:rsidRPr="00BF653F">
        <w:rPr>
          <w:rFonts w:ascii="Times New Roman" w:hAnsi="Times New Roman" w:cs="Times New Roman"/>
          <w:sz w:val="24"/>
          <w:szCs w:val="24"/>
          <w:lang w:eastAsia="en-IN"/>
        </w:rPr>
        <w:t>Westcot</w:t>
      </w:r>
      <w:proofErr w:type="spellEnd"/>
      <w:r w:rsidRPr="00BF653F">
        <w:rPr>
          <w:rFonts w:ascii="Times New Roman" w:hAnsi="Times New Roman" w:cs="Times New Roman"/>
          <w:sz w:val="24"/>
          <w:szCs w:val="24"/>
          <w:lang w:eastAsia="en-IN"/>
        </w:rPr>
        <w:t>, 1985</w:t>
      </w:r>
      <w:r w:rsidR="00D870E1" w:rsidRPr="00BF653F">
        <w:rPr>
          <w:rFonts w:ascii="Times New Roman" w:hAnsi="Times New Roman" w:cs="Times New Roman"/>
          <w:sz w:val="24"/>
          <w:szCs w:val="24"/>
          <w:lang w:eastAsia="en-IN"/>
        </w:rPr>
        <w:t xml:space="preserve">; </w:t>
      </w:r>
      <w:proofErr w:type="spellStart"/>
      <w:r w:rsidR="00D870E1" w:rsidRPr="00BF653F">
        <w:rPr>
          <w:rFonts w:ascii="Times New Roman" w:hAnsi="Times New Roman" w:cs="Times New Roman"/>
          <w:sz w:val="24"/>
          <w:szCs w:val="24"/>
          <w:lang w:eastAsia="en-IN"/>
        </w:rPr>
        <w:t>Siddharam</w:t>
      </w:r>
      <w:proofErr w:type="spellEnd"/>
      <w:r w:rsidR="00D870E1" w:rsidRPr="00BF653F">
        <w:rPr>
          <w:rFonts w:ascii="Times New Roman" w:hAnsi="Times New Roman" w:cs="Times New Roman"/>
          <w:sz w:val="24"/>
          <w:szCs w:val="24"/>
          <w:lang w:eastAsia="en-IN"/>
        </w:rPr>
        <w:t xml:space="preserve"> </w:t>
      </w:r>
      <w:r w:rsidR="00D870E1" w:rsidRPr="00E10FFB">
        <w:rPr>
          <w:rFonts w:ascii="Times New Roman" w:hAnsi="Times New Roman" w:cs="Times New Roman"/>
          <w:i/>
          <w:iCs/>
          <w:sz w:val="24"/>
          <w:szCs w:val="24"/>
          <w:lang w:eastAsia="en-IN"/>
        </w:rPr>
        <w:t>et al.,</w:t>
      </w:r>
      <w:r w:rsidR="00D870E1" w:rsidRPr="00BF653F">
        <w:rPr>
          <w:rFonts w:ascii="Times New Roman" w:hAnsi="Times New Roman" w:cs="Times New Roman"/>
          <w:sz w:val="24"/>
          <w:szCs w:val="24"/>
          <w:lang w:eastAsia="en-IN"/>
        </w:rPr>
        <w:t xml:space="preserve"> 2024</w:t>
      </w:r>
      <w:r w:rsidR="000E7441" w:rsidRPr="00BF653F">
        <w:rPr>
          <w:rFonts w:ascii="Times New Roman" w:hAnsi="Times New Roman" w:cs="Times New Roman"/>
          <w:sz w:val="24"/>
          <w:szCs w:val="24"/>
          <w:lang w:eastAsia="en-IN"/>
        </w:rPr>
        <w:t>). Water</w:t>
      </w:r>
      <w:r w:rsidRPr="00BF653F">
        <w:rPr>
          <w:rFonts w:ascii="Times New Roman" w:hAnsi="Times New Roman" w:cs="Times New Roman"/>
          <w:sz w:val="24"/>
          <w:szCs w:val="24"/>
          <w:lang w:eastAsia="en-IN"/>
        </w:rPr>
        <w:t xml:space="preserve"> Quality Indices (WQI) have proved to be useful measures to represent complicated water quality information as simple and intelligible data (Horton, 1965; Brown </w:t>
      </w:r>
      <w:r w:rsidRPr="0088718F">
        <w:rPr>
          <w:rFonts w:ascii="Times New Roman" w:hAnsi="Times New Roman" w:cs="Times New Roman"/>
          <w:i/>
          <w:iCs/>
          <w:sz w:val="24"/>
          <w:szCs w:val="24"/>
          <w:lang w:eastAsia="en-IN"/>
        </w:rPr>
        <w:t>et al.,</w:t>
      </w:r>
      <w:r w:rsidRPr="00BF653F">
        <w:rPr>
          <w:rFonts w:ascii="Times New Roman" w:hAnsi="Times New Roman" w:cs="Times New Roman"/>
          <w:sz w:val="24"/>
          <w:szCs w:val="24"/>
          <w:lang w:eastAsia="en-IN"/>
        </w:rPr>
        <w:t xml:space="preserve"> 1970). The WQI combines multiple water quality parameters into one number and presents a single and holistic picture of the overall quality of water (</w:t>
      </w:r>
      <w:proofErr w:type="spellStart"/>
      <w:r w:rsidRPr="00BF653F">
        <w:rPr>
          <w:rFonts w:ascii="Times New Roman" w:hAnsi="Times New Roman" w:cs="Times New Roman"/>
          <w:sz w:val="24"/>
          <w:szCs w:val="24"/>
          <w:lang w:eastAsia="en-IN"/>
        </w:rPr>
        <w:t>Ramakrishnaiah</w:t>
      </w:r>
      <w:proofErr w:type="spellEnd"/>
      <w:r w:rsidRPr="00BF653F">
        <w:rPr>
          <w:rFonts w:ascii="Times New Roman" w:hAnsi="Times New Roman" w:cs="Times New Roman"/>
          <w:sz w:val="24"/>
          <w:szCs w:val="24"/>
          <w:lang w:eastAsia="en-IN"/>
        </w:rPr>
        <w:t xml:space="preserve"> </w:t>
      </w:r>
      <w:r w:rsidRPr="0088718F">
        <w:rPr>
          <w:rFonts w:ascii="Times New Roman" w:hAnsi="Times New Roman" w:cs="Times New Roman"/>
          <w:i/>
          <w:iCs/>
          <w:sz w:val="24"/>
          <w:szCs w:val="24"/>
          <w:lang w:eastAsia="en-IN"/>
        </w:rPr>
        <w:t xml:space="preserve">et al., </w:t>
      </w:r>
      <w:r w:rsidRPr="00BF653F">
        <w:rPr>
          <w:rFonts w:ascii="Times New Roman" w:hAnsi="Times New Roman" w:cs="Times New Roman"/>
          <w:sz w:val="24"/>
          <w:szCs w:val="24"/>
          <w:lang w:eastAsia="en-IN"/>
        </w:rPr>
        <w:t>2009). In the same manner, irrigation indices like Sodium Adsorption Ratio (SAR), Residual Sodium Carbonate (RSC), and Sodium Percentage (Na%) are commonly used to assess the suitability of water for irrigation purposes (Richards, 1954</w:t>
      </w:r>
      <w:r w:rsidR="0088718F" w:rsidRPr="00BF653F">
        <w:rPr>
          <w:rFonts w:ascii="Times New Roman" w:hAnsi="Times New Roman" w:cs="Times New Roman"/>
          <w:sz w:val="24"/>
          <w:szCs w:val="24"/>
          <w:lang w:eastAsia="en-IN"/>
        </w:rPr>
        <w:t>). Even</w:t>
      </w:r>
      <w:r w:rsidRPr="00BF653F">
        <w:rPr>
          <w:rFonts w:ascii="Times New Roman" w:hAnsi="Times New Roman" w:cs="Times New Roman"/>
          <w:sz w:val="24"/>
          <w:szCs w:val="24"/>
          <w:lang w:eastAsia="en-IN"/>
        </w:rPr>
        <w:t xml:space="preserve"> though groundwater plays an important role in Erode District, detailed studies on assessment of groundwater quality by employing various indices are scarce. Hence, this investigation seeks to </w:t>
      </w:r>
      <w:commentRangeStart w:id="5"/>
      <w:r w:rsidRPr="00BF653F">
        <w:rPr>
          <w:rFonts w:ascii="Times New Roman" w:hAnsi="Times New Roman" w:cs="Times New Roman"/>
          <w:sz w:val="24"/>
          <w:szCs w:val="24"/>
          <w:lang w:eastAsia="en-IN"/>
        </w:rPr>
        <w:t>E</w:t>
      </w:r>
      <w:commentRangeEnd w:id="5"/>
      <w:r w:rsidR="00AE25B5">
        <w:rPr>
          <w:rStyle w:val="CommentReference"/>
        </w:rPr>
        <w:commentReference w:id="5"/>
      </w:r>
      <w:r w:rsidRPr="00BF653F">
        <w:rPr>
          <w:rFonts w:ascii="Times New Roman" w:hAnsi="Times New Roman" w:cs="Times New Roman"/>
          <w:sz w:val="24"/>
          <w:szCs w:val="24"/>
          <w:lang w:eastAsia="en-IN"/>
        </w:rPr>
        <w:t xml:space="preserve">stimate the physicochemical features of groundwater, </w:t>
      </w:r>
      <w:commentRangeStart w:id="6"/>
      <w:r w:rsidRPr="00BF653F">
        <w:rPr>
          <w:rFonts w:ascii="Times New Roman" w:hAnsi="Times New Roman" w:cs="Times New Roman"/>
          <w:sz w:val="24"/>
          <w:szCs w:val="24"/>
          <w:lang w:eastAsia="en-IN"/>
        </w:rPr>
        <w:t>Assess</w:t>
      </w:r>
      <w:commentRangeEnd w:id="6"/>
      <w:r w:rsidR="00AE25B5">
        <w:rPr>
          <w:rStyle w:val="CommentReference"/>
        </w:rPr>
        <w:commentReference w:id="6"/>
      </w:r>
      <w:r w:rsidRPr="00BF653F">
        <w:rPr>
          <w:rFonts w:ascii="Times New Roman" w:hAnsi="Times New Roman" w:cs="Times New Roman"/>
          <w:sz w:val="24"/>
          <w:szCs w:val="24"/>
          <w:lang w:eastAsia="en-IN"/>
        </w:rPr>
        <w:t xml:space="preserve"> the potential of groundwater to be used for drinking through WQI, Establish the </w:t>
      </w:r>
      <w:commentRangeStart w:id="7"/>
      <w:proofErr w:type="spellStart"/>
      <w:r w:rsidRPr="00BF653F">
        <w:rPr>
          <w:rFonts w:ascii="Times New Roman" w:hAnsi="Times New Roman" w:cs="Times New Roman"/>
          <w:sz w:val="24"/>
          <w:szCs w:val="24"/>
          <w:lang w:eastAsia="en-IN"/>
        </w:rPr>
        <w:t>irrigability</w:t>
      </w:r>
      <w:commentRangeEnd w:id="7"/>
      <w:proofErr w:type="spellEnd"/>
      <w:r w:rsidR="00AE25B5">
        <w:rPr>
          <w:rStyle w:val="CommentReference"/>
        </w:rPr>
        <w:commentReference w:id="7"/>
      </w:r>
      <w:r w:rsidRPr="00BF653F">
        <w:rPr>
          <w:rFonts w:ascii="Times New Roman" w:hAnsi="Times New Roman" w:cs="Times New Roman"/>
          <w:sz w:val="24"/>
          <w:szCs w:val="24"/>
          <w:lang w:eastAsia="en-IN"/>
        </w:rPr>
        <w:t xml:space="preserve"> of groundwater based on different indices such as SAR, RSC, and </w:t>
      </w:r>
      <w:commentRangeStart w:id="8"/>
      <w:r w:rsidRPr="00BF653F">
        <w:rPr>
          <w:rFonts w:ascii="Times New Roman" w:hAnsi="Times New Roman" w:cs="Times New Roman"/>
          <w:sz w:val="24"/>
          <w:szCs w:val="24"/>
          <w:lang w:eastAsia="en-IN"/>
        </w:rPr>
        <w:t>Na</w:t>
      </w:r>
      <w:commentRangeEnd w:id="8"/>
      <w:r w:rsidR="00AE25B5">
        <w:rPr>
          <w:rStyle w:val="CommentReference"/>
        </w:rPr>
        <w:commentReference w:id="8"/>
      </w:r>
      <w:r w:rsidRPr="00BF653F">
        <w:rPr>
          <w:rFonts w:ascii="Times New Roman" w:hAnsi="Times New Roman" w:cs="Times New Roman"/>
          <w:sz w:val="24"/>
          <w:szCs w:val="24"/>
          <w:lang w:eastAsia="en-IN"/>
        </w:rPr>
        <w:t xml:space="preserve">%. </w:t>
      </w:r>
    </w:p>
    <w:p w14:paraId="07634FE1" w14:textId="637B0938"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Materials and Methods</w:t>
      </w:r>
    </w:p>
    <w:p w14:paraId="07FC1AC5" w14:textId="021DA7AD"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Study Area</w:t>
      </w:r>
    </w:p>
    <w:p w14:paraId="6D9BBB99" w14:textId="23C21AD9" w:rsidR="00F80844"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Erode District is located in the western region of Tamil Nadu, India, between 10.36° to 11.75° North latitude and 76.49° to 77.97° East longitude, with an area of around 5,722 km². The district is under a semi-arid climate with an average of around 700 mm of rainfall </w:t>
      </w:r>
      <w:commentRangeStart w:id="9"/>
      <w:r w:rsidRPr="00C114B4">
        <w:rPr>
          <w:rFonts w:ascii="Times New Roman" w:eastAsia="Times New Roman" w:hAnsi="Times New Roman" w:cs="Times New Roman"/>
          <w:bCs/>
          <w:sz w:val="24"/>
          <w:szCs w:val="24"/>
          <w:lang w:eastAsia="en-IN"/>
        </w:rPr>
        <w:t>annually</w:t>
      </w:r>
      <w:commentRangeEnd w:id="9"/>
      <w:r w:rsidR="00AE25B5">
        <w:rPr>
          <w:rStyle w:val="CommentReference"/>
        </w:rPr>
        <w:commentReference w:id="9"/>
      </w:r>
      <w:r w:rsidRPr="00C114B4">
        <w:rPr>
          <w:rFonts w:ascii="Times New Roman" w:eastAsia="Times New Roman" w:hAnsi="Times New Roman" w:cs="Times New Roman"/>
          <w:bCs/>
          <w:sz w:val="24"/>
          <w:szCs w:val="24"/>
          <w:lang w:eastAsia="en-IN"/>
        </w:rPr>
        <w:t xml:space="preserve">. The important river system of the district is the Cauvery and its tributaries </w:t>
      </w:r>
      <w:proofErr w:type="spellStart"/>
      <w:r w:rsidRPr="00C114B4">
        <w:rPr>
          <w:rFonts w:ascii="Times New Roman" w:eastAsia="Times New Roman" w:hAnsi="Times New Roman" w:cs="Times New Roman"/>
          <w:bCs/>
          <w:sz w:val="24"/>
          <w:szCs w:val="24"/>
          <w:lang w:eastAsia="en-IN"/>
        </w:rPr>
        <w:t>Bhavani</w:t>
      </w:r>
      <w:proofErr w:type="spellEnd"/>
      <w:r w:rsidRPr="00C114B4">
        <w:rPr>
          <w:rFonts w:ascii="Times New Roman" w:eastAsia="Times New Roman" w:hAnsi="Times New Roman" w:cs="Times New Roman"/>
          <w:bCs/>
          <w:sz w:val="24"/>
          <w:szCs w:val="24"/>
          <w:lang w:eastAsia="en-IN"/>
        </w:rPr>
        <w:t xml:space="preserve"> and </w:t>
      </w:r>
      <w:proofErr w:type="spellStart"/>
      <w:r w:rsidRPr="00C114B4">
        <w:rPr>
          <w:rFonts w:ascii="Times New Roman" w:eastAsia="Times New Roman" w:hAnsi="Times New Roman" w:cs="Times New Roman"/>
          <w:bCs/>
          <w:sz w:val="24"/>
          <w:szCs w:val="24"/>
          <w:lang w:eastAsia="en-IN"/>
        </w:rPr>
        <w:t>Noyyal</w:t>
      </w:r>
      <w:proofErr w:type="spellEnd"/>
      <w:r w:rsidRPr="00C114B4">
        <w:rPr>
          <w:rFonts w:ascii="Times New Roman" w:eastAsia="Times New Roman" w:hAnsi="Times New Roman" w:cs="Times New Roman"/>
          <w:bCs/>
          <w:sz w:val="24"/>
          <w:szCs w:val="24"/>
          <w:lang w:eastAsia="en-IN"/>
        </w:rPr>
        <w:t>.</w:t>
      </w:r>
      <w:r w:rsidR="0088718F">
        <w:rPr>
          <w:rFonts w:ascii="Times New Roman" w:eastAsia="Times New Roman" w:hAnsi="Times New Roman" w:cs="Times New Roman"/>
          <w:bCs/>
          <w:sz w:val="24"/>
          <w:szCs w:val="24"/>
          <w:lang w:eastAsia="en-IN"/>
        </w:rPr>
        <w:t xml:space="preserve"> </w:t>
      </w:r>
      <w:r w:rsidRPr="00C114B4">
        <w:rPr>
          <w:rFonts w:ascii="Times New Roman" w:eastAsia="Times New Roman" w:hAnsi="Times New Roman" w:cs="Times New Roman"/>
          <w:bCs/>
          <w:sz w:val="24"/>
          <w:szCs w:val="24"/>
          <w:lang w:eastAsia="en-IN"/>
        </w:rPr>
        <w:t xml:space="preserve">Geologically, the district consists mainly of hard rock units such as granites, gneisses, and </w:t>
      </w:r>
      <w:proofErr w:type="spellStart"/>
      <w:r w:rsidRPr="00C114B4">
        <w:rPr>
          <w:rFonts w:ascii="Times New Roman" w:eastAsia="Times New Roman" w:hAnsi="Times New Roman" w:cs="Times New Roman"/>
          <w:bCs/>
          <w:sz w:val="24"/>
          <w:szCs w:val="24"/>
          <w:lang w:eastAsia="en-IN"/>
        </w:rPr>
        <w:t>charnockites</w:t>
      </w:r>
      <w:proofErr w:type="spellEnd"/>
      <w:r w:rsidRPr="00C114B4">
        <w:rPr>
          <w:rFonts w:ascii="Times New Roman" w:eastAsia="Times New Roman" w:hAnsi="Times New Roman" w:cs="Times New Roman"/>
          <w:bCs/>
          <w:sz w:val="24"/>
          <w:szCs w:val="24"/>
          <w:lang w:eastAsia="en-IN"/>
        </w:rPr>
        <w:t xml:space="preserve"> of Archaean age. Groundwater in the district is found in weathered and </w:t>
      </w:r>
      <w:commentRangeStart w:id="10"/>
      <w:r w:rsidRPr="00C114B4">
        <w:rPr>
          <w:rFonts w:ascii="Times New Roman" w:eastAsia="Times New Roman" w:hAnsi="Times New Roman" w:cs="Times New Roman"/>
          <w:bCs/>
          <w:sz w:val="24"/>
          <w:szCs w:val="24"/>
          <w:lang w:eastAsia="en-IN"/>
        </w:rPr>
        <w:t xml:space="preserve">fractured parts of such crystalline rocks. The thickness of the weathered zone ranges from 5 to 20 meters, creating the major aquifer system within the area. Agriculture is the main vocation </w:t>
      </w:r>
      <w:commentRangeEnd w:id="10"/>
      <w:r w:rsidR="00AE25B5">
        <w:rPr>
          <w:rStyle w:val="CommentReference"/>
        </w:rPr>
        <w:commentReference w:id="10"/>
      </w:r>
      <w:r w:rsidRPr="00C114B4">
        <w:rPr>
          <w:rFonts w:ascii="Times New Roman" w:eastAsia="Times New Roman" w:hAnsi="Times New Roman" w:cs="Times New Roman"/>
          <w:bCs/>
          <w:sz w:val="24"/>
          <w:szCs w:val="24"/>
          <w:lang w:eastAsia="en-IN"/>
        </w:rPr>
        <w:t xml:space="preserve">of the district, where major crops are turmeric, sugarcane, paddy, and vegetables. The textile </w:t>
      </w:r>
      <w:r w:rsidRPr="00C114B4">
        <w:rPr>
          <w:rFonts w:ascii="Times New Roman" w:eastAsia="Times New Roman" w:hAnsi="Times New Roman" w:cs="Times New Roman"/>
          <w:bCs/>
          <w:sz w:val="24"/>
          <w:szCs w:val="24"/>
          <w:lang w:eastAsia="en-IN"/>
        </w:rPr>
        <w:lastRenderedPageBreak/>
        <w:t xml:space="preserve">industries are also popular in the district, especially in </w:t>
      </w:r>
      <w:proofErr w:type="spellStart"/>
      <w:r w:rsidRPr="00C114B4">
        <w:rPr>
          <w:rFonts w:ascii="Times New Roman" w:eastAsia="Times New Roman" w:hAnsi="Times New Roman" w:cs="Times New Roman"/>
          <w:bCs/>
          <w:sz w:val="24"/>
          <w:szCs w:val="24"/>
          <w:lang w:eastAsia="en-IN"/>
        </w:rPr>
        <w:t>Perundurai</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Gobichettipalayam</w:t>
      </w:r>
      <w:proofErr w:type="spellEnd"/>
      <w:r w:rsidRPr="00C114B4">
        <w:rPr>
          <w:rFonts w:ascii="Times New Roman" w:eastAsia="Times New Roman" w:hAnsi="Times New Roman" w:cs="Times New Roman"/>
          <w:bCs/>
          <w:sz w:val="24"/>
          <w:szCs w:val="24"/>
          <w:lang w:eastAsia="en-IN"/>
        </w:rPr>
        <w:t>, and Erode town.</w:t>
      </w:r>
    </w:p>
    <w:p w14:paraId="0A78DA17" w14:textId="46B654C4" w:rsidR="00DA7B6C"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Sampling and Analytical Methods</w:t>
      </w:r>
    </w:p>
    <w:p w14:paraId="45F101EA" w14:textId="77777777" w:rsidR="00233CC1" w:rsidRPr="003C72AE" w:rsidRDefault="00233CC1" w:rsidP="00233CC1">
      <w:pPr>
        <w:spacing w:line="360" w:lineRule="auto"/>
        <w:jc w:val="both"/>
        <w:rPr>
          <w:rFonts w:ascii="Times New Roman" w:eastAsia="Times New Roman" w:hAnsi="Times New Roman" w:cs="Times New Roman"/>
          <w:color w:val="000000" w:themeColor="text1"/>
          <w:sz w:val="24"/>
          <w:szCs w:val="24"/>
          <w:lang w:eastAsia="en-IN"/>
        </w:rPr>
      </w:pPr>
      <w:r w:rsidRPr="003C72AE">
        <w:rPr>
          <w:rFonts w:ascii="Times New Roman" w:eastAsia="Times New Roman" w:hAnsi="Times New Roman" w:cs="Times New Roman"/>
          <w:color w:val="000000" w:themeColor="text1"/>
          <w:sz w:val="24"/>
          <w:szCs w:val="24"/>
          <w:lang w:eastAsia="en-IN"/>
        </w:rPr>
        <w:t xml:space="preserve">A total of 48 groundwater samples were collected from various villages across Erode District, Tamil Nadu, </w:t>
      </w:r>
      <w:commentRangeStart w:id="11"/>
      <w:r w:rsidRPr="003C72AE">
        <w:rPr>
          <w:rFonts w:ascii="Times New Roman" w:eastAsia="Times New Roman" w:hAnsi="Times New Roman" w:cs="Times New Roman"/>
          <w:color w:val="000000" w:themeColor="text1"/>
          <w:sz w:val="24"/>
          <w:szCs w:val="24"/>
          <w:lang w:eastAsia="en-IN"/>
        </w:rPr>
        <w:t>in January 2018</w:t>
      </w:r>
      <w:commentRangeEnd w:id="11"/>
      <w:r w:rsidR="00AE25B5">
        <w:rPr>
          <w:rStyle w:val="CommentReference"/>
        </w:rPr>
        <w:commentReference w:id="11"/>
      </w:r>
      <w:r w:rsidRPr="003C72AE">
        <w:rPr>
          <w:rFonts w:ascii="Times New Roman" w:eastAsia="Times New Roman" w:hAnsi="Times New Roman" w:cs="Times New Roman"/>
          <w:color w:val="000000" w:themeColor="text1"/>
          <w:sz w:val="24"/>
          <w:szCs w:val="24"/>
          <w:lang w:eastAsia="en-IN"/>
        </w:rPr>
        <w:t xml:space="preserve">. The samples were taken from both bore wells and open wells commonly used for drinking and irrigation purposes. In addition to field sampling, secondary data on groundwater levels and historical water quality were obtained from the </w:t>
      </w:r>
      <w:commentRangeStart w:id="12"/>
      <w:r w:rsidRPr="003C72AE">
        <w:rPr>
          <w:rFonts w:ascii="Times New Roman" w:eastAsia="Times New Roman" w:hAnsi="Times New Roman" w:cs="Times New Roman"/>
          <w:color w:val="000000" w:themeColor="text1"/>
          <w:sz w:val="24"/>
          <w:szCs w:val="24"/>
          <w:lang w:eastAsia="en-IN"/>
        </w:rPr>
        <w:t xml:space="preserve">Public Works </w:t>
      </w:r>
      <w:commentRangeEnd w:id="12"/>
      <w:r w:rsidR="00AE25B5">
        <w:rPr>
          <w:rStyle w:val="CommentReference"/>
        </w:rPr>
        <w:commentReference w:id="12"/>
      </w:r>
      <w:r w:rsidRPr="003C72AE">
        <w:rPr>
          <w:rFonts w:ascii="Times New Roman" w:eastAsia="Times New Roman" w:hAnsi="Times New Roman" w:cs="Times New Roman"/>
          <w:color w:val="000000" w:themeColor="text1"/>
          <w:sz w:val="24"/>
          <w:szCs w:val="24"/>
          <w:lang w:eastAsia="en-IN"/>
        </w:rPr>
        <w:t>Department (PWD), Government of Tamil Nadu, and national databases maintained by agencies such as the Central Ground Water Board (CGWB), Ministry of Jal Shakti, Government of India.</w:t>
      </w:r>
    </w:p>
    <w:p w14:paraId="74DA2E7B" w14:textId="24B58EDF" w:rsidR="00233CC1" w:rsidRPr="003C72AE" w:rsidRDefault="00233CC1" w:rsidP="00C114B4">
      <w:pPr>
        <w:spacing w:line="360" w:lineRule="auto"/>
        <w:jc w:val="both"/>
        <w:rPr>
          <w:rFonts w:ascii="Times New Roman" w:eastAsia="Times New Roman" w:hAnsi="Times New Roman" w:cs="Times New Roman"/>
          <w:color w:val="000000" w:themeColor="text1"/>
          <w:sz w:val="24"/>
          <w:szCs w:val="24"/>
          <w:lang w:eastAsia="en-IN"/>
        </w:rPr>
      </w:pPr>
      <w:r w:rsidRPr="003C72AE">
        <w:rPr>
          <w:rFonts w:ascii="Times New Roman" w:eastAsia="Times New Roman" w:hAnsi="Times New Roman" w:cs="Times New Roman"/>
          <w:color w:val="000000" w:themeColor="text1"/>
          <w:sz w:val="24"/>
          <w:szCs w:val="24"/>
          <w:lang w:eastAsia="en-IN"/>
        </w:rPr>
        <w:t xml:space="preserve">All collected samples were stored in clean polyethylene bottles, </w:t>
      </w:r>
      <w:commentRangeStart w:id="13"/>
      <w:proofErr w:type="spellStart"/>
      <w:r w:rsidRPr="003C72AE">
        <w:rPr>
          <w:rFonts w:ascii="Times New Roman" w:eastAsia="Times New Roman" w:hAnsi="Times New Roman" w:cs="Times New Roman"/>
          <w:color w:val="000000" w:themeColor="text1"/>
          <w:sz w:val="24"/>
          <w:szCs w:val="24"/>
          <w:lang w:eastAsia="en-IN"/>
        </w:rPr>
        <w:t>labeled</w:t>
      </w:r>
      <w:commentRangeEnd w:id="13"/>
      <w:proofErr w:type="spellEnd"/>
      <w:r w:rsidR="00AE25B5">
        <w:rPr>
          <w:rStyle w:val="CommentReference"/>
        </w:rPr>
        <w:commentReference w:id="13"/>
      </w:r>
      <w:r w:rsidRPr="003C72AE">
        <w:rPr>
          <w:rFonts w:ascii="Times New Roman" w:eastAsia="Times New Roman" w:hAnsi="Times New Roman" w:cs="Times New Roman"/>
          <w:color w:val="000000" w:themeColor="text1"/>
          <w:sz w:val="24"/>
          <w:szCs w:val="24"/>
          <w:lang w:eastAsia="en-IN"/>
        </w:rPr>
        <w:t xml:space="preserve"> appropriately, and transported to the laboratory for analysis. The </w:t>
      </w:r>
      <w:proofErr w:type="spellStart"/>
      <w:r w:rsidRPr="003C72AE">
        <w:rPr>
          <w:rFonts w:ascii="Times New Roman" w:eastAsia="Times New Roman" w:hAnsi="Times New Roman" w:cs="Times New Roman"/>
          <w:color w:val="000000" w:themeColor="text1"/>
          <w:sz w:val="24"/>
          <w:szCs w:val="24"/>
          <w:lang w:eastAsia="en-IN"/>
        </w:rPr>
        <w:t>physico</w:t>
      </w:r>
      <w:proofErr w:type="spellEnd"/>
      <w:r w:rsidRPr="003C72AE">
        <w:rPr>
          <w:rFonts w:ascii="Times New Roman" w:eastAsia="Times New Roman" w:hAnsi="Times New Roman" w:cs="Times New Roman"/>
          <w:color w:val="000000" w:themeColor="text1"/>
          <w:sz w:val="24"/>
          <w:szCs w:val="24"/>
          <w:lang w:eastAsia="en-IN"/>
        </w:rPr>
        <w:t xml:space="preserve">-chemical analysis of the water samples was carried out at the Soil and Water Testing Laboratory, Tamil Nadu Agricultural University (TNAU), Coimbatore, using standard procedures recommended by the American Public Health Association (APHA, 2012). </w:t>
      </w:r>
      <w:commentRangeStart w:id="14"/>
      <w:r w:rsidRPr="003C72AE">
        <w:rPr>
          <w:rFonts w:ascii="Times New Roman" w:eastAsia="Times New Roman" w:hAnsi="Times New Roman" w:cs="Times New Roman"/>
          <w:color w:val="000000" w:themeColor="text1"/>
          <w:sz w:val="24"/>
          <w:szCs w:val="24"/>
          <w:lang w:eastAsia="en-IN"/>
        </w:rPr>
        <w:t xml:space="preserve">Parameters </w:t>
      </w:r>
      <w:proofErr w:type="spellStart"/>
      <w:r w:rsidRPr="003C72AE">
        <w:rPr>
          <w:rFonts w:ascii="Times New Roman" w:eastAsia="Times New Roman" w:hAnsi="Times New Roman" w:cs="Times New Roman"/>
          <w:color w:val="000000" w:themeColor="text1"/>
          <w:sz w:val="24"/>
          <w:szCs w:val="24"/>
          <w:lang w:eastAsia="en-IN"/>
        </w:rPr>
        <w:t>analyzed</w:t>
      </w:r>
      <w:proofErr w:type="spellEnd"/>
      <w:r w:rsidRPr="003C72AE">
        <w:rPr>
          <w:rFonts w:ascii="Times New Roman" w:eastAsia="Times New Roman" w:hAnsi="Times New Roman" w:cs="Times New Roman"/>
          <w:color w:val="000000" w:themeColor="text1"/>
          <w:sz w:val="24"/>
          <w:szCs w:val="24"/>
          <w:lang w:eastAsia="en-IN"/>
        </w:rPr>
        <w:t xml:space="preserve"> included pH, electrical conductivity (EC), total dissolved solids (TDS), </w:t>
      </w:r>
      <w:commentRangeEnd w:id="14"/>
      <w:r w:rsidR="006F6558">
        <w:rPr>
          <w:rStyle w:val="CommentReference"/>
        </w:rPr>
        <w:commentReference w:id="14"/>
      </w:r>
      <w:r w:rsidRPr="003C72AE">
        <w:rPr>
          <w:rFonts w:ascii="Times New Roman" w:eastAsia="Times New Roman" w:hAnsi="Times New Roman" w:cs="Times New Roman"/>
          <w:color w:val="000000" w:themeColor="text1"/>
          <w:sz w:val="24"/>
          <w:szCs w:val="24"/>
          <w:lang w:eastAsia="en-IN"/>
        </w:rPr>
        <w:t xml:space="preserve">total hardness (TH), calcium (Ca²⁺), magnesium (Mg²⁺), sodium (Na⁺), potassium (K⁺), chloride (Cl⁻), </w:t>
      </w:r>
      <w:proofErr w:type="spellStart"/>
      <w:r w:rsidRPr="003C72AE">
        <w:rPr>
          <w:rFonts w:ascii="Times New Roman" w:eastAsia="Times New Roman" w:hAnsi="Times New Roman" w:cs="Times New Roman"/>
          <w:color w:val="000000" w:themeColor="text1"/>
          <w:sz w:val="24"/>
          <w:szCs w:val="24"/>
          <w:lang w:eastAsia="en-IN"/>
        </w:rPr>
        <w:t>sulfate</w:t>
      </w:r>
      <w:proofErr w:type="spellEnd"/>
      <w:r w:rsidRPr="003C72AE">
        <w:rPr>
          <w:rFonts w:ascii="Times New Roman" w:eastAsia="Times New Roman" w:hAnsi="Times New Roman" w:cs="Times New Roman"/>
          <w:color w:val="000000" w:themeColor="text1"/>
          <w:sz w:val="24"/>
          <w:szCs w:val="24"/>
          <w:lang w:eastAsia="en-IN"/>
        </w:rPr>
        <w:t xml:space="preserve"> (SO₄²⁻), nitrate (NO₃⁻), bicarbonate (HCO₃⁻), and fluoride (F⁻). These values were further used to compute the Water Quality Index (WQI) and assess groundwater suitability for drinking and irrigation purposes.</w:t>
      </w:r>
    </w:p>
    <w:p w14:paraId="6ECD477F" w14:textId="5BDEB088"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Assessment Techniques</w:t>
      </w:r>
    </w:p>
    <w:p w14:paraId="543CB61E" w14:textId="09272D46"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Index (WQI) for Drinking Intent</w:t>
      </w:r>
    </w:p>
    <w:p w14:paraId="382374C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Water Quality Index (WQI) was computed in order to assess the acceptability of groundwater for drinking intent based on the weighted arithmetic index method (Brown et al., 1970). Calculations consist of the following:</w:t>
      </w:r>
    </w:p>
    <w:p w14:paraId="434445B2" w14:textId="77777777" w:rsidR="00DA7B6C" w:rsidRPr="00C114B4" w:rsidRDefault="00DA7B6C" w:rsidP="00C114B4">
      <w:pPr>
        <w:pStyle w:val="ListParagraph"/>
        <w:numPr>
          <w:ilvl w:val="0"/>
          <w:numId w:val="1"/>
        </w:numPr>
        <w:spacing w:line="360" w:lineRule="auto"/>
        <w:ind w:left="426"/>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Assignment of weight (WI) to each parameter depending upon its relative significance in the total water quality.</w:t>
      </w:r>
    </w:p>
    <w:p w14:paraId="2D328F1D" w14:textId="77777777" w:rsidR="00DA7B6C" w:rsidRPr="00C114B4" w:rsidRDefault="00DA7B6C" w:rsidP="00C114B4">
      <w:pPr>
        <w:pStyle w:val="ListParagraph"/>
        <w:numPr>
          <w:ilvl w:val="0"/>
          <w:numId w:val="1"/>
        </w:numPr>
        <w:spacing w:line="360" w:lineRule="auto"/>
        <w:ind w:left="426"/>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Computation of quality rating scale (qi) for every parameter using the formula</w:t>
      </w:r>
    </w:p>
    <w:p w14:paraId="07A91006" w14:textId="77777777" w:rsidR="00DA7B6C" w:rsidRPr="005745F1" w:rsidRDefault="00DA7B6C" w:rsidP="00C114B4">
      <w:pPr>
        <w:tabs>
          <w:tab w:val="left" w:pos="2610"/>
        </w:tabs>
        <w:spacing w:line="360" w:lineRule="auto"/>
        <w:jc w:val="both"/>
        <w:rPr>
          <w:rFonts w:ascii="Times New Roman" w:eastAsia="Times New Roman" w:hAnsi="Times New Roman" w:cs="Times New Roman"/>
          <w:bCs/>
          <w:sz w:val="24"/>
          <w:szCs w:val="24"/>
          <w:lang w:val="pt-BR" w:eastAsia="en-IN"/>
        </w:rPr>
      </w:pPr>
      <w:r w:rsidRPr="00C114B4">
        <w:rPr>
          <w:rFonts w:ascii="Times New Roman" w:eastAsia="Times New Roman" w:hAnsi="Times New Roman" w:cs="Times New Roman"/>
          <w:bCs/>
          <w:sz w:val="24"/>
          <w:szCs w:val="24"/>
          <w:lang w:eastAsia="en-IN"/>
        </w:rPr>
        <w:tab/>
      </w:r>
      <w:r w:rsidRPr="005745F1">
        <w:rPr>
          <w:rFonts w:ascii="Times New Roman" w:eastAsia="Times New Roman" w:hAnsi="Times New Roman" w:cs="Times New Roman"/>
          <w:bCs/>
          <w:sz w:val="24"/>
          <w:szCs w:val="24"/>
          <w:lang w:val="pt-BR" w:eastAsia="en-IN"/>
        </w:rPr>
        <w:t xml:space="preserve">qi = [(Ci - Cio) / (Si - Cio)] × 100 </w:t>
      </w:r>
    </w:p>
    <w:p w14:paraId="7BD86A67" w14:textId="77777777" w:rsidR="00DA7B6C" w:rsidRPr="00C114B4" w:rsidRDefault="00DA7B6C" w:rsidP="00C114B4">
      <w:pPr>
        <w:tabs>
          <w:tab w:val="left" w:pos="2610"/>
        </w:tabs>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lastRenderedPageBreak/>
        <w:t xml:space="preserve">Where, Ci is the concentration of the parameter in the water sample, Si is the standard value of the parameter as per WHO or national standards, and </w:t>
      </w:r>
      <w:proofErr w:type="spellStart"/>
      <w:r w:rsidRPr="00C114B4">
        <w:rPr>
          <w:rFonts w:ascii="Times New Roman" w:eastAsia="Times New Roman" w:hAnsi="Times New Roman" w:cs="Times New Roman"/>
          <w:bCs/>
          <w:sz w:val="24"/>
          <w:szCs w:val="24"/>
          <w:lang w:eastAsia="en-IN"/>
        </w:rPr>
        <w:t>Cio</w:t>
      </w:r>
      <w:proofErr w:type="spellEnd"/>
      <w:r w:rsidRPr="00C114B4">
        <w:rPr>
          <w:rFonts w:ascii="Times New Roman" w:eastAsia="Times New Roman" w:hAnsi="Times New Roman" w:cs="Times New Roman"/>
          <w:bCs/>
          <w:sz w:val="24"/>
          <w:szCs w:val="24"/>
          <w:lang w:eastAsia="en-IN"/>
        </w:rPr>
        <w:t xml:space="preserve"> is the optimal value of the parameter (commonly zero for all parameters except pH, for which </w:t>
      </w:r>
      <w:commentRangeStart w:id="15"/>
      <w:proofErr w:type="spellStart"/>
      <w:r w:rsidRPr="00C114B4">
        <w:rPr>
          <w:rFonts w:ascii="Times New Roman" w:eastAsia="Times New Roman" w:hAnsi="Times New Roman" w:cs="Times New Roman"/>
          <w:bCs/>
          <w:sz w:val="24"/>
          <w:szCs w:val="24"/>
          <w:lang w:eastAsia="en-IN"/>
        </w:rPr>
        <w:t>Cio</w:t>
      </w:r>
      <w:proofErr w:type="spellEnd"/>
      <w:r w:rsidRPr="00C114B4">
        <w:rPr>
          <w:rFonts w:ascii="Times New Roman" w:eastAsia="Times New Roman" w:hAnsi="Times New Roman" w:cs="Times New Roman"/>
          <w:bCs/>
          <w:sz w:val="24"/>
          <w:szCs w:val="24"/>
          <w:lang w:eastAsia="en-IN"/>
        </w:rPr>
        <w:t xml:space="preserve"> = 7</w:t>
      </w:r>
      <w:commentRangeEnd w:id="15"/>
      <w:r w:rsidR="006F6558">
        <w:rPr>
          <w:rStyle w:val="CommentReference"/>
        </w:rPr>
        <w:commentReference w:id="15"/>
      </w:r>
      <w:r w:rsidRPr="00C114B4">
        <w:rPr>
          <w:rFonts w:ascii="Times New Roman" w:eastAsia="Times New Roman" w:hAnsi="Times New Roman" w:cs="Times New Roman"/>
          <w:bCs/>
          <w:sz w:val="24"/>
          <w:szCs w:val="24"/>
          <w:lang w:eastAsia="en-IN"/>
        </w:rPr>
        <w:t>).</w:t>
      </w:r>
    </w:p>
    <w:p w14:paraId="3876E269" w14:textId="77777777" w:rsidR="00DA7B6C" w:rsidRPr="00C114B4" w:rsidRDefault="00DA7B6C" w:rsidP="00C114B4">
      <w:pPr>
        <w:tabs>
          <w:tab w:val="left" w:pos="2610"/>
        </w:tabs>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3. Calculation of the sub-index (</w:t>
      </w:r>
      <w:proofErr w:type="spellStart"/>
      <w:r w:rsidRPr="00C114B4">
        <w:rPr>
          <w:rFonts w:ascii="Times New Roman" w:eastAsia="Times New Roman" w:hAnsi="Times New Roman" w:cs="Times New Roman"/>
          <w:bCs/>
          <w:sz w:val="24"/>
          <w:szCs w:val="24"/>
          <w:lang w:eastAsia="en-IN"/>
        </w:rPr>
        <w:t>SIi</w:t>
      </w:r>
      <w:proofErr w:type="spellEnd"/>
      <w:r w:rsidRPr="00C114B4">
        <w:rPr>
          <w:rFonts w:ascii="Times New Roman" w:eastAsia="Times New Roman" w:hAnsi="Times New Roman" w:cs="Times New Roman"/>
          <w:bCs/>
          <w:sz w:val="24"/>
          <w:szCs w:val="24"/>
          <w:lang w:eastAsia="en-IN"/>
        </w:rPr>
        <w:t>) for every parameter</w:t>
      </w:r>
    </w:p>
    <w:p w14:paraId="43D8ACB0" w14:textId="77777777" w:rsidR="00DA7B6C" w:rsidRPr="00C114B4" w:rsidRDefault="00DA7B6C" w:rsidP="00C114B4">
      <w:pPr>
        <w:spacing w:line="360" w:lineRule="auto"/>
        <w:ind w:firstLine="720"/>
        <w:jc w:val="center"/>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t>SIi</w:t>
      </w:r>
      <w:proofErr w:type="spellEnd"/>
      <w:r w:rsidRPr="00C114B4">
        <w:rPr>
          <w:rFonts w:ascii="Times New Roman" w:eastAsia="Times New Roman" w:hAnsi="Times New Roman" w:cs="Times New Roman"/>
          <w:bCs/>
          <w:sz w:val="24"/>
          <w:szCs w:val="24"/>
          <w:lang w:eastAsia="en-IN"/>
        </w:rPr>
        <w:t xml:space="preserve"> = </w:t>
      </w:r>
      <w:proofErr w:type="spellStart"/>
      <w:r w:rsidRPr="00C114B4">
        <w:rPr>
          <w:rFonts w:ascii="Times New Roman" w:eastAsia="Times New Roman" w:hAnsi="Times New Roman" w:cs="Times New Roman"/>
          <w:bCs/>
          <w:sz w:val="24"/>
          <w:szCs w:val="24"/>
          <w:lang w:eastAsia="en-IN"/>
        </w:rPr>
        <w:t>wi</w:t>
      </w:r>
      <w:proofErr w:type="spellEnd"/>
      <w:r w:rsidRPr="00C114B4">
        <w:rPr>
          <w:rFonts w:ascii="Times New Roman" w:eastAsia="Times New Roman" w:hAnsi="Times New Roman" w:cs="Times New Roman"/>
          <w:bCs/>
          <w:sz w:val="24"/>
          <w:szCs w:val="24"/>
          <w:lang w:eastAsia="en-IN"/>
        </w:rPr>
        <w:t xml:space="preserve"> × qi</w:t>
      </w:r>
    </w:p>
    <w:p w14:paraId="6A65ADE8" w14:textId="77777777" w:rsidR="00DA7B6C" w:rsidRPr="00C114B4"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4. Calculation of the final WQI through the summation of all sub-indices:</w:t>
      </w:r>
    </w:p>
    <w:p w14:paraId="59CD928B" w14:textId="77777777" w:rsidR="00DA7B6C" w:rsidRPr="00C114B4" w:rsidRDefault="00DA7B6C" w:rsidP="00C114B4">
      <w:pPr>
        <w:spacing w:line="360" w:lineRule="auto"/>
        <w:ind w:firstLine="720"/>
        <w:jc w:val="center"/>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WQI = ∑</w:t>
      </w:r>
      <w:proofErr w:type="spellStart"/>
      <w:r w:rsidRPr="00C114B4">
        <w:rPr>
          <w:rFonts w:ascii="Times New Roman" w:eastAsia="Times New Roman" w:hAnsi="Times New Roman" w:cs="Times New Roman"/>
          <w:bCs/>
          <w:sz w:val="24"/>
          <w:szCs w:val="24"/>
          <w:lang w:eastAsia="en-IN"/>
        </w:rPr>
        <w:t>SIi</w:t>
      </w:r>
      <w:proofErr w:type="spellEnd"/>
    </w:p>
    <w:p w14:paraId="3E7BC29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values of WQI were categorized as below &lt;50 (excellent water quality), 50-100 (good water quality), 100-200 (poor water quality), 200-300 (very poor water quality), and &gt;300 (not fit for consumption).</w:t>
      </w:r>
    </w:p>
    <w:p w14:paraId="2CE55B33" w14:textId="3F007E11"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Irrigation Water Quality Indices</w:t>
      </w:r>
    </w:p>
    <w:p w14:paraId="768C2E14" w14:textId="40DB4707" w:rsidR="00B37786" w:rsidRPr="00233CC1" w:rsidRDefault="00DA7B6C" w:rsidP="00233CC1">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Three principal indices were employed to evaluate the suitability of groundwater for irrigation include Sodium Adsorption Ratio (SAR). SAR is a measure of relative ratio of sodium to calcium and magnesium in water and is expressed by the equation: SAR = Na⁺ / √[(Ca²⁺ + Mg²⁺) / 2] Where all concentrations of ions are in mill equivalents per litre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/L).Residual Sodium Carbonate (RSC): RSC reflects the alkalinity risk and is obtained from the following equation: RSC = (CO₃²⁻ + HCO₃⁻) - (Ca²⁺ + Mg²⁺) Where all the concentrations are in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/Sodium Percentage (Na%): Na% is obtained from the following equation: Na% = [Na⁺ / (Ca²⁺ + Mg²⁺ + Na⁺ + K⁺)] × 100</w:t>
      </w:r>
      <w:r w:rsidR="00B37786">
        <w:rPr>
          <w:rFonts w:ascii="Times New Roman" w:eastAsia="Times New Roman" w:hAnsi="Times New Roman" w:cs="Times New Roman"/>
          <w:bCs/>
          <w:sz w:val="24"/>
          <w:szCs w:val="24"/>
          <w:lang w:eastAsia="en-IN"/>
        </w:rPr>
        <w:t>,</w:t>
      </w:r>
      <w:r w:rsidRPr="00C114B4">
        <w:rPr>
          <w:rFonts w:ascii="Times New Roman" w:eastAsia="Times New Roman" w:hAnsi="Times New Roman" w:cs="Times New Roman"/>
          <w:bCs/>
          <w:sz w:val="24"/>
          <w:szCs w:val="24"/>
          <w:lang w:eastAsia="en-IN"/>
        </w:rPr>
        <w:t xml:space="preserve"> </w:t>
      </w:r>
      <w:r w:rsidR="00B37786">
        <w:rPr>
          <w:rFonts w:ascii="Times New Roman" w:eastAsia="Times New Roman" w:hAnsi="Times New Roman" w:cs="Times New Roman"/>
          <w:bCs/>
          <w:sz w:val="24"/>
          <w:szCs w:val="24"/>
          <w:lang w:eastAsia="en-IN"/>
        </w:rPr>
        <w:t>w</w:t>
      </w:r>
      <w:r w:rsidRPr="00C114B4">
        <w:rPr>
          <w:rFonts w:ascii="Times New Roman" w:eastAsia="Times New Roman" w:hAnsi="Times New Roman" w:cs="Times New Roman"/>
          <w:bCs/>
          <w:sz w:val="24"/>
          <w:szCs w:val="24"/>
          <w:lang w:eastAsia="en-IN"/>
        </w:rPr>
        <w:t xml:space="preserve">here all concentrations are in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The classification of water for irrigation based on these indices is presented in Table </w:t>
      </w:r>
      <w:r w:rsidR="00B37786">
        <w:rPr>
          <w:rFonts w:ascii="Times New Roman" w:eastAsia="Times New Roman" w:hAnsi="Times New Roman" w:cs="Times New Roman"/>
          <w:bCs/>
          <w:sz w:val="24"/>
          <w:szCs w:val="24"/>
          <w:lang w:eastAsia="en-IN"/>
        </w:rPr>
        <w:t>1</w:t>
      </w:r>
      <w:r w:rsidRPr="00C114B4">
        <w:rPr>
          <w:rFonts w:ascii="Times New Roman" w:eastAsia="Times New Roman" w:hAnsi="Times New Roman" w:cs="Times New Roman"/>
          <w:bCs/>
          <w:sz w:val="24"/>
          <w:szCs w:val="24"/>
          <w:lang w:eastAsia="en-IN"/>
        </w:rPr>
        <w:t>.</w:t>
      </w:r>
    </w:p>
    <w:p w14:paraId="7AD0AEDF" w14:textId="10F12F64" w:rsidR="00E62755" w:rsidRPr="00C114B4" w:rsidRDefault="00DA7B6C" w:rsidP="00C114B4">
      <w:pPr>
        <w:spacing w:line="360" w:lineRule="auto"/>
        <w:jc w:val="both"/>
        <w:rPr>
          <w:rFonts w:ascii="Times New Roman" w:eastAsia="Times New Roman" w:hAnsi="Times New Roman" w:cs="Times New Roman"/>
          <w:b/>
          <w:bCs/>
          <w:sz w:val="24"/>
          <w:szCs w:val="24"/>
          <w:lang w:eastAsia="en-IN"/>
        </w:rPr>
      </w:pPr>
      <w:commentRangeStart w:id="16"/>
      <w:r w:rsidRPr="00C114B4">
        <w:rPr>
          <w:rFonts w:ascii="Times New Roman" w:eastAsia="Times New Roman" w:hAnsi="Times New Roman" w:cs="Times New Roman"/>
          <w:b/>
          <w:bCs/>
          <w:sz w:val="24"/>
          <w:szCs w:val="24"/>
          <w:lang w:eastAsia="en-IN"/>
        </w:rPr>
        <w:t xml:space="preserve">Statistical Analysis </w:t>
      </w:r>
    </w:p>
    <w:p w14:paraId="32D199B9" w14:textId="7777777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Cs/>
          <w:sz w:val="24"/>
          <w:szCs w:val="24"/>
          <w:lang w:eastAsia="en-IN"/>
        </w:rPr>
        <w:t>Descriptive statistics including minimum, maximum, mean, and standard deviation were calculated for all measured parameters. Pearson correlation analysis was performed to understand the interrelationships among various water quality parameters.</w:t>
      </w:r>
      <w:commentRangeEnd w:id="16"/>
      <w:r w:rsidR="006F6558">
        <w:rPr>
          <w:rStyle w:val="CommentReference"/>
        </w:rPr>
        <w:commentReference w:id="16"/>
      </w:r>
    </w:p>
    <w:p w14:paraId="2E0319A9" w14:textId="0FB3C14F"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Results and Discussion</w:t>
      </w:r>
    </w:p>
    <w:p w14:paraId="47FC3EDD" w14:textId="7E0BAD1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General Hydrochemistry</w:t>
      </w:r>
    </w:p>
    <w:p w14:paraId="33046F4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descriptive statistics for the parameters of groundwater examined in this study are given in </w:t>
      </w:r>
      <w:commentRangeStart w:id="17"/>
      <w:r w:rsidRPr="00C114B4">
        <w:rPr>
          <w:rFonts w:ascii="Times New Roman" w:eastAsia="Times New Roman" w:hAnsi="Times New Roman" w:cs="Times New Roman"/>
          <w:bCs/>
          <w:sz w:val="24"/>
          <w:szCs w:val="24"/>
          <w:lang w:eastAsia="en-IN"/>
        </w:rPr>
        <w:t xml:space="preserve">Table </w:t>
      </w:r>
      <w:r w:rsidR="00B37786">
        <w:rPr>
          <w:rFonts w:ascii="Times New Roman" w:eastAsia="Times New Roman" w:hAnsi="Times New Roman" w:cs="Times New Roman"/>
          <w:bCs/>
          <w:sz w:val="24"/>
          <w:szCs w:val="24"/>
          <w:lang w:eastAsia="en-IN"/>
        </w:rPr>
        <w:t>2</w:t>
      </w:r>
      <w:commentRangeEnd w:id="17"/>
      <w:r w:rsidR="00EC7C3A">
        <w:rPr>
          <w:rStyle w:val="CommentReference"/>
        </w:rPr>
        <w:commentReference w:id="17"/>
      </w:r>
      <w:r w:rsidR="003D5EB9" w:rsidRPr="00C114B4">
        <w:rPr>
          <w:rFonts w:ascii="Times New Roman" w:eastAsia="Times New Roman" w:hAnsi="Times New Roman" w:cs="Times New Roman"/>
          <w:bCs/>
          <w:sz w:val="24"/>
          <w:szCs w:val="24"/>
          <w:lang w:eastAsia="en-IN"/>
        </w:rPr>
        <w:t xml:space="preserve"> and variation of Physiochemical parameters are represented in Fig 1</w:t>
      </w:r>
      <w:r w:rsidRPr="00C114B4">
        <w:rPr>
          <w:rFonts w:ascii="Times New Roman" w:eastAsia="Times New Roman" w:hAnsi="Times New Roman" w:cs="Times New Roman"/>
          <w:bCs/>
          <w:sz w:val="24"/>
          <w:szCs w:val="24"/>
          <w:lang w:eastAsia="en-IN"/>
        </w:rPr>
        <w:t xml:space="preserve">. pH ranged from 7.8 to 8.9 with a mean of 8.5, suggesting that the groundwater in the study area is </w:t>
      </w:r>
      <w:r w:rsidRPr="00C114B4">
        <w:rPr>
          <w:rFonts w:ascii="Times New Roman" w:eastAsia="Times New Roman" w:hAnsi="Times New Roman" w:cs="Times New Roman"/>
          <w:bCs/>
          <w:sz w:val="24"/>
          <w:szCs w:val="24"/>
          <w:lang w:eastAsia="en-IN"/>
        </w:rPr>
        <w:lastRenderedPageBreak/>
        <w:t xml:space="preserve">mostly alkaline. EC values ranged widely from 380 to 2630 </w:t>
      </w:r>
      <w:proofErr w:type="spellStart"/>
      <w:r w:rsidRPr="00C114B4">
        <w:rPr>
          <w:rFonts w:ascii="Times New Roman" w:eastAsia="Times New Roman" w:hAnsi="Times New Roman" w:cs="Times New Roman"/>
          <w:bCs/>
          <w:sz w:val="24"/>
          <w:szCs w:val="24"/>
          <w:lang w:eastAsia="en-IN"/>
        </w:rPr>
        <w:t>μS</w:t>
      </w:r>
      <w:proofErr w:type="spellEnd"/>
      <w:r w:rsidRPr="00C114B4">
        <w:rPr>
          <w:rFonts w:ascii="Times New Roman" w:eastAsia="Times New Roman" w:hAnsi="Times New Roman" w:cs="Times New Roman"/>
          <w:bCs/>
          <w:sz w:val="24"/>
          <w:szCs w:val="24"/>
          <w:lang w:eastAsia="en-IN"/>
        </w:rPr>
        <w:t xml:space="preserve">/cm with a mean of 1146 </w:t>
      </w:r>
      <w:proofErr w:type="spellStart"/>
      <w:r w:rsidRPr="00C114B4">
        <w:rPr>
          <w:rFonts w:ascii="Times New Roman" w:eastAsia="Times New Roman" w:hAnsi="Times New Roman" w:cs="Times New Roman"/>
          <w:bCs/>
          <w:sz w:val="24"/>
          <w:szCs w:val="24"/>
          <w:lang w:eastAsia="en-IN"/>
        </w:rPr>
        <w:t>μS</w:t>
      </w:r>
      <w:proofErr w:type="spellEnd"/>
      <w:r w:rsidRPr="00C114B4">
        <w:rPr>
          <w:rFonts w:ascii="Times New Roman" w:eastAsia="Times New Roman" w:hAnsi="Times New Roman" w:cs="Times New Roman"/>
          <w:bCs/>
          <w:sz w:val="24"/>
          <w:szCs w:val="24"/>
          <w:lang w:eastAsia="en-IN"/>
        </w:rPr>
        <w:t>/cm. Also, TDS concentrations varied from 214 to 1598 mg/L with a mean of 700 mg/</w:t>
      </w:r>
      <w:proofErr w:type="spellStart"/>
      <w:r w:rsidRPr="00C114B4">
        <w:rPr>
          <w:rFonts w:ascii="Times New Roman" w:eastAsia="Times New Roman" w:hAnsi="Times New Roman" w:cs="Times New Roman"/>
          <w:bCs/>
          <w:sz w:val="24"/>
          <w:szCs w:val="24"/>
          <w:lang w:eastAsia="en-IN"/>
        </w:rPr>
        <w:t>L.Among</w:t>
      </w:r>
      <w:proofErr w:type="spellEnd"/>
      <w:r w:rsidRPr="00C114B4">
        <w:rPr>
          <w:rFonts w:ascii="Times New Roman" w:eastAsia="Times New Roman" w:hAnsi="Times New Roman" w:cs="Times New Roman"/>
          <w:bCs/>
          <w:sz w:val="24"/>
          <w:szCs w:val="24"/>
          <w:lang w:eastAsia="en-IN"/>
        </w:rPr>
        <w:t xml:space="preserve"> the cations, sodium (Na⁺) was the prevailing ion with a range of 23 to 391 mg/L (mean: 142 mg/L), followed by magnesium (Mg²⁺) between 12.15 and 140.94 mg/L (mean: 60.7 mg/L), potassium (K⁺) between 1 and 186 mg/L (mean: 30 mg/L), and calcium (Ca²⁺) between 2.4 and 68 mg/L (mean: 14.6 mg/L).</w:t>
      </w:r>
    </w:p>
    <w:p w14:paraId="4ECB07CC" w14:textId="4113FD8D" w:rsidR="003D5EB9" w:rsidRPr="00387B47" w:rsidRDefault="00DA7B6C" w:rsidP="00A2002B">
      <w:pPr>
        <w:spacing w:line="360" w:lineRule="auto"/>
        <w:ind w:firstLine="720"/>
        <w:jc w:val="both"/>
        <w:rPr>
          <w:rFonts w:ascii="Times New Roman" w:eastAsia="Times New Roman" w:hAnsi="Times New Roman" w:cs="Times New Roman"/>
          <w:bCs/>
          <w:color w:val="EE0000"/>
          <w:sz w:val="24"/>
          <w:szCs w:val="24"/>
          <w:lang w:eastAsia="en-IN"/>
        </w:rPr>
      </w:pPr>
      <w:r w:rsidRPr="00C114B4">
        <w:rPr>
          <w:rFonts w:ascii="Times New Roman" w:eastAsia="Times New Roman" w:hAnsi="Times New Roman" w:cs="Times New Roman"/>
          <w:bCs/>
          <w:sz w:val="24"/>
          <w:szCs w:val="24"/>
          <w:lang w:eastAsia="en-IN"/>
        </w:rPr>
        <w:t xml:space="preserve">In anions, bicarbonate (HCO₃⁻) was the prevailing ion with levels of 84.7 to 671 mg/L (mean: 275 mg/L), followed by chloride (Cl⁻) of 35 to 780 mg/L (mean: 173 mg/L), </w:t>
      </w:r>
      <w:proofErr w:type="spellStart"/>
      <w:r w:rsidRPr="00C114B4">
        <w:rPr>
          <w:rFonts w:ascii="Times New Roman" w:eastAsia="Times New Roman" w:hAnsi="Times New Roman" w:cs="Times New Roman"/>
          <w:bCs/>
          <w:sz w:val="24"/>
          <w:szCs w:val="24"/>
          <w:lang w:eastAsia="en-IN"/>
        </w:rPr>
        <w:t>sulfate</w:t>
      </w:r>
      <w:proofErr w:type="spellEnd"/>
      <w:r w:rsidRPr="00C114B4">
        <w:rPr>
          <w:rFonts w:ascii="Times New Roman" w:eastAsia="Times New Roman" w:hAnsi="Times New Roman" w:cs="Times New Roman"/>
          <w:bCs/>
          <w:sz w:val="24"/>
          <w:szCs w:val="24"/>
          <w:lang w:eastAsia="en-IN"/>
        </w:rPr>
        <w:t xml:space="preserve"> (SO₄²⁻) of 4 to 451 mg/L (mean: 80 mg/L), and carbonate (CO₃²⁻) of 0 to 36 mg/L (mean: 14 mg/L). Nitrite and nitrate (NO₂⁻+NO₃⁻) levels ranged from 1 to 168 mg/L with a mean of 56 mg/L, whereas fluoride (F⁻) levels ranged from 0.05 to 1.62 mg/L with a mean of 0.73 mg/</w:t>
      </w:r>
      <w:proofErr w:type="spellStart"/>
      <w:proofErr w:type="gramStart"/>
      <w:r w:rsidRPr="00C114B4">
        <w:rPr>
          <w:rFonts w:ascii="Times New Roman" w:eastAsia="Times New Roman" w:hAnsi="Times New Roman" w:cs="Times New Roman"/>
          <w:bCs/>
          <w:sz w:val="24"/>
          <w:szCs w:val="24"/>
          <w:lang w:eastAsia="en-IN"/>
        </w:rPr>
        <w:t>L.The</w:t>
      </w:r>
      <w:proofErr w:type="spellEnd"/>
      <w:proofErr w:type="gramEnd"/>
      <w:r w:rsidRPr="00C114B4">
        <w:rPr>
          <w:rFonts w:ascii="Times New Roman" w:eastAsia="Times New Roman" w:hAnsi="Times New Roman" w:cs="Times New Roman"/>
          <w:bCs/>
          <w:sz w:val="24"/>
          <w:szCs w:val="24"/>
          <w:lang w:eastAsia="en-IN"/>
        </w:rPr>
        <w:t xml:space="preserve"> elevated levels of Na⁺, HCO₃⁻, and Cl⁻ in groundwater reflect water-rock interactions, especially silicate mineral weathering and ion exchange reactions. The high levels of NO₂⁻+NO₃⁻ in most samples (mean: 56 mg/L) imply anthropogenic input, possibly due to agricultural activities, uncontrolled domestic waste disposal, and/or septic tank leakage </w:t>
      </w:r>
      <w:r w:rsidRPr="00387B47">
        <w:rPr>
          <w:rFonts w:ascii="Times New Roman" w:eastAsia="Times New Roman" w:hAnsi="Times New Roman" w:cs="Times New Roman"/>
          <w:bCs/>
          <w:color w:val="EE0000"/>
          <w:sz w:val="24"/>
          <w:szCs w:val="24"/>
          <w:lang w:eastAsia="en-IN"/>
        </w:rPr>
        <w:t xml:space="preserve">(Suthar </w:t>
      </w:r>
      <w:r w:rsidRPr="00387B47">
        <w:rPr>
          <w:rFonts w:ascii="Times New Roman" w:eastAsia="Times New Roman" w:hAnsi="Times New Roman" w:cs="Times New Roman"/>
          <w:bCs/>
          <w:i/>
          <w:iCs/>
          <w:color w:val="EE0000"/>
          <w:sz w:val="24"/>
          <w:szCs w:val="24"/>
          <w:lang w:eastAsia="en-IN"/>
        </w:rPr>
        <w:t>et al.,</w:t>
      </w:r>
      <w:r w:rsidRPr="00387B47">
        <w:rPr>
          <w:rFonts w:ascii="Times New Roman" w:eastAsia="Times New Roman" w:hAnsi="Times New Roman" w:cs="Times New Roman"/>
          <w:bCs/>
          <w:color w:val="EE0000"/>
          <w:sz w:val="24"/>
          <w:szCs w:val="24"/>
          <w:lang w:eastAsia="en-IN"/>
        </w:rPr>
        <w:t xml:space="preserve"> 2009</w:t>
      </w:r>
      <w:r w:rsidR="000E7441" w:rsidRPr="00387B47">
        <w:rPr>
          <w:rFonts w:ascii="Times New Roman" w:eastAsia="Times New Roman" w:hAnsi="Times New Roman" w:cs="Times New Roman"/>
          <w:bCs/>
          <w:color w:val="EE0000"/>
          <w:sz w:val="24"/>
          <w:szCs w:val="24"/>
          <w:lang w:eastAsia="en-IN"/>
        </w:rPr>
        <w:t xml:space="preserve">; </w:t>
      </w:r>
      <w:proofErr w:type="spellStart"/>
      <w:r w:rsidR="00515244" w:rsidRPr="00387B47">
        <w:rPr>
          <w:rFonts w:ascii="Times New Roman" w:eastAsia="Times New Roman" w:hAnsi="Times New Roman" w:cs="Times New Roman"/>
          <w:bCs/>
          <w:color w:val="EE0000"/>
          <w:sz w:val="24"/>
          <w:szCs w:val="24"/>
          <w:lang w:eastAsia="en-IN"/>
        </w:rPr>
        <w:t>Bhutiani</w:t>
      </w:r>
      <w:proofErr w:type="spellEnd"/>
      <w:r w:rsidR="00515244" w:rsidRPr="00387B47">
        <w:rPr>
          <w:rFonts w:ascii="Times New Roman" w:eastAsia="Times New Roman" w:hAnsi="Times New Roman" w:cs="Times New Roman"/>
          <w:bCs/>
          <w:color w:val="EE0000"/>
          <w:sz w:val="24"/>
          <w:szCs w:val="24"/>
          <w:lang w:eastAsia="en-IN"/>
        </w:rPr>
        <w:t xml:space="preserve"> </w:t>
      </w:r>
      <w:r w:rsidR="00515244" w:rsidRPr="00387B47">
        <w:rPr>
          <w:rFonts w:ascii="Times New Roman" w:eastAsia="Times New Roman" w:hAnsi="Times New Roman" w:cs="Times New Roman"/>
          <w:bCs/>
          <w:i/>
          <w:iCs/>
          <w:color w:val="EE0000"/>
          <w:sz w:val="24"/>
          <w:szCs w:val="24"/>
          <w:lang w:eastAsia="en-IN"/>
        </w:rPr>
        <w:t>et al.,</w:t>
      </w:r>
      <w:r w:rsidR="00515244" w:rsidRPr="00387B47">
        <w:rPr>
          <w:rFonts w:ascii="Times New Roman" w:eastAsia="Times New Roman" w:hAnsi="Times New Roman" w:cs="Times New Roman"/>
          <w:bCs/>
          <w:color w:val="EE0000"/>
          <w:sz w:val="24"/>
          <w:szCs w:val="24"/>
          <w:lang w:eastAsia="en-IN"/>
        </w:rPr>
        <w:t xml:space="preserve"> 2019; </w:t>
      </w:r>
      <w:r w:rsidR="000E7441" w:rsidRPr="00387B47">
        <w:rPr>
          <w:rFonts w:ascii="Times New Roman" w:eastAsia="Times New Roman" w:hAnsi="Times New Roman" w:cs="Times New Roman"/>
          <w:bCs/>
          <w:color w:val="EE0000"/>
          <w:sz w:val="24"/>
          <w:szCs w:val="24"/>
          <w:lang w:eastAsia="en-IN"/>
        </w:rPr>
        <w:t xml:space="preserve">Ameta </w:t>
      </w:r>
      <w:r w:rsidR="000E7441" w:rsidRPr="00387B47">
        <w:rPr>
          <w:rFonts w:ascii="Times New Roman" w:eastAsia="Times New Roman" w:hAnsi="Times New Roman" w:cs="Times New Roman"/>
          <w:bCs/>
          <w:i/>
          <w:iCs/>
          <w:color w:val="EE0000"/>
          <w:sz w:val="24"/>
          <w:szCs w:val="24"/>
          <w:lang w:eastAsia="en-IN"/>
        </w:rPr>
        <w:t>et al.,</w:t>
      </w:r>
      <w:r w:rsidR="000E7441" w:rsidRPr="00387B47">
        <w:rPr>
          <w:rFonts w:ascii="Times New Roman" w:eastAsia="Times New Roman" w:hAnsi="Times New Roman" w:cs="Times New Roman"/>
          <w:bCs/>
          <w:color w:val="EE0000"/>
          <w:sz w:val="24"/>
          <w:szCs w:val="24"/>
          <w:lang w:eastAsia="en-IN"/>
        </w:rPr>
        <w:t xml:space="preserve"> </w:t>
      </w:r>
      <w:commentRangeStart w:id="18"/>
      <w:r w:rsidR="000E7441" w:rsidRPr="00387B47">
        <w:rPr>
          <w:rFonts w:ascii="Times New Roman" w:eastAsia="Times New Roman" w:hAnsi="Times New Roman" w:cs="Times New Roman"/>
          <w:bCs/>
          <w:color w:val="EE0000"/>
          <w:sz w:val="24"/>
          <w:szCs w:val="24"/>
          <w:lang w:eastAsia="en-IN"/>
        </w:rPr>
        <w:t>2023</w:t>
      </w:r>
      <w:commentRangeEnd w:id="18"/>
      <w:r w:rsidR="00EC7C3A">
        <w:rPr>
          <w:rStyle w:val="CommentReference"/>
        </w:rPr>
        <w:commentReference w:id="18"/>
      </w:r>
      <w:r w:rsidRPr="00387B47">
        <w:rPr>
          <w:rFonts w:ascii="Times New Roman" w:eastAsia="Times New Roman" w:hAnsi="Times New Roman" w:cs="Times New Roman"/>
          <w:bCs/>
          <w:color w:val="EE0000"/>
          <w:sz w:val="24"/>
          <w:szCs w:val="24"/>
          <w:lang w:eastAsia="en-IN"/>
        </w:rPr>
        <w:t>).</w:t>
      </w:r>
    </w:p>
    <w:p w14:paraId="5DF70901" w14:textId="77777777" w:rsidR="003D5EB9" w:rsidRPr="00C114B4" w:rsidRDefault="003D5EB9" w:rsidP="00C114B4">
      <w:pPr>
        <w:spacing w:line="360" w:lineRule="auto"/>
        <w:jc w:val="both"/>
        <w:rPr>
          <w:rFonts w:ascii="Times New Roman" w:eastAsia="Times New Roman" w:hAnsi="Times New Roman" w:cs="Times New Roman"/>
          <w:b/>
          <w:bCs/>
          <w:sz w:val="24"/>
          <w:szCs w:val="24"/>
          <w:lang w:eastAsia="en-IN"/>
        </w:rPr>
      </w:pPr>
    </w:p>
    <w:p w14:paraId="260E6737" w14:textId="073866EF" w:rsidR="00AA7FD9" w:rsidRPr="00C114B4" w:rsidRDefault="00AA7FD9"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Corelation analysis</w:t>
      </w:r>
    </w:p>
    <w:p w14:paraId="22498979" w14:textId="0FCBEE6F"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The correlation analysis provides valuable insights into the interrelationships among various groundwater quality parameters in the study area (Fig. 2). Total Dissolved Solids (TDS) showed strong positive correlations with sodium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0.88), chloride (Cl⁻;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0.86), and electrical conductivity (EC_GEN;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0.87), indicating that these ions are the major contributors to salinity and electrical conductivity. Similar trends have been reported by </w:t>
      </w:r>
      <w:r w:rsidR="00923268" w:rsidRPr="00923268">
        <w:rPr>
          <w:rFonts w:ascii="Times New Roman" w:eastAsia="Times New Roman" w:hAnsi="Times New Roman" w:cs="Times New Roman"/>
          <w:color w:val="EE0000"/>
          <w:sz w:val="24"/>
          <w:szCs w:val="24"/>
          <w:lang w:eastAsia="en-IN"/>
        </w:rPr>
        <w:t>Priya &amp;</w:t>
      </w:r>
      <w:r w:rsidRPr="00923268">
        <w:rPr>
          <w:rFonts w:ascii="Times New Roman" w:eastAsia="Times New Roman" w:hAnsi="Times New Roman" w:cs="Times New Roman"/>
          <w:color w:val="EE0000"/>
          <w:sz w:val="24"/>
          <w:szCs w:val="24"/>
          <w:lang w:eastAsia="en-IN"/>
        </w:rPr>
        <w:t>Arulraj, (2011)</w:t>
      </w:r>
      <w:r w:rsidRPr="00E02088">
        <w:rPr>
          <w:rFonts w:ascii="Times New Roman" w:eastAsia="Times New Roman" w:hAnsi="Times New Roman" w:cs="Times New Roman"/>
          <w:color w:val="EE0000"/>
          <w:sz w:val="24"/>
          <w:szCs w:val="24"/>
          <w:lang w:eastAsia="en-IN"/>
        </w:rPr>
        <w:t xml:space="preserve">, </w:t>
      </w:r>
      <w:r w:rsidRPr="00E02088">
        <w:rPr>
          <w:rFonts w:ascii="Times New Roman" w:eastAsia="Times New Roman" w:hAnsi="Times New Roman" w:cs="Times New Roman"/>
          <w:sz w:val="24"/>
          <w:szCs w:val="24"/>
          <w:lang w:eastAsia="en-IN"/>
        </w:rPr>
        <w:t>where Na⁺ and Cl⁻ were the dominant contributors to TDS and EC in groundwater across agricultural regions.</w:t>
      </w:r>
    </w:p>
    <w:p w14:paraId="7A2BBD7F" w14:textId="6A42D089"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Sodium also correlated strongly with Sodium Adsorption Ratio (SAR;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0.85) and sodium percentage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0.86), emphasizing its central role in </w:t>
      </w:r>
      <w:proofErr w:type="spellStart"/>
      <w:r w:rsidRPr="00E02088">
        <w:rPr>
          <w:rFonts w:ascii="Times New Roman" w:eastAsia="Times New Roman" w:hAnsi="Times New Roman" w:cs="Times New Roman"/>
          <w:sz w:val="24"/>
          <w:szCs w:val="24"/>
          <w:lang w:eastAsia="en-IN"/>
        </w:rPr>
        <w:t>sodicity</w:t>
      </w:r>
      <w:proofErr w:type="spellEnd"/>
      <w:r w:rsidRPr="00E02088">
        <w:rPr>
          <w:rFonts w:ascii="Times New Roman" w:eastAsia="Times New Roman" w:hAnsi="Times New Roman" w:cs="Times New Roman"/>
          <w:sz w:val="24"/>
          <w:szCs w:val="24"/>
          <w:lang w:eastAsia="en-IN"/>
        </w:rPr>
        <w:t xml:space="preserve">-related indices that determine irrigation water quality. These findings are in agreement with </w:t>
      </w:r>
      <w:r w:rsidRPr="00E02088">
        <w:rPr>
          <w:rFonts w:ascii="Times New Roman" w:eastAsia="Times New Roman" w:hAnsi="Times New Roman" w:cs="Times New Roman"/>
          <w:color w:val="EE0000"/>
          <w:sz w:val="24"/>
          <w:szCs w:val="24"/>
          <w:lang w:eastAsia="en-IN"/>
        </w:rPr>
        <w:t xml:space="preserve">Changsheng </w:t>
      </w:r>
      <w:r w:rsidRPr="00E02088">
        <w:rPr>
          <w:rFonts w:ascii="Times New Roman" w:eastAsia="Times New Roman" w:hAnsi="Times New Roman" w:cs="Times New Roman"/>
          <w:i/>
          <w:iCs/>
          <w:color w:val="EE0000"/>
          <w:sz w:val="24"/>
          <w:szCs w:val="24"/>
          <w:lang w:eastAsia="en-IN"/>
        </w:rPr>
        <w:t>et al.</w:t>
      </w:r>
      <w:r w:rsidR="00923268" w:rsidRPr="00923268">
        <w:rPr>
          <w:rFonts w:ascii="Times New Roman" w:eastAsia="Times New Roman" w:hAnsi="Times New Roman" w:cs="Times New Roman"/>
          <w:i/>
          <w:iCs/>
          <w:color w:val="EE0000"/>
          <w:sz w:val="24"/>
          <w:szCs w:val="24"/>
          <w:lang w:eastAsia="en-IN"/>
        </w:rPr>
        <w:t>,</w:t>
      </w:r>
      <w:r w:rsidRPr="00E02088">
        <w:rPr>
          <w:rFonts w:ascii="Times New Roman" w:eastAsia="Times New Roman" w:hAnsi="Times New Roman" w:cs="Times New Roman"/>
          <w:color w:val="EE0000"/>
          <w:sz w:val="24"/>
          <w:szCs w:val="24"/>
          <w:lang w:eastAsia="en-IN"/>
        </w:rPr>
        <w:t xml:space="preserve"> (2022), </w:t>
      </w:r>
      <w:r w:rsidRPr="00E02088">
        <w:rPr>
          <w:rFonts w:ascii="Times New Roman" w:eastAsia="Times New Roman" w:hAnsi="Times New Roman" w:cs="Times New Roman"/>
          <w:sz w:val="24"/>
          <w:szCs w:val="24"/>
          <w:lang w:eastAsia="en-IN"/>
        </w:rPr>
        <w:t>who observed comparable relationships in groundwater from semi-arid areas, underscoring sodium’s influence on irrigation suitability.</w:t>
      </w:r>
    </w:p>
    <w:p w14:paraId="6F9F5601" w14:textId="617BED13"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lastRenderedPageBreak/>
        <w:t xml:space="preserve">Total hardness (HAR) exhibited a high correlation with magnesium (Mg²⁺;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0.98) and calcium (Ca²⁺;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0.63), confirming their contributions to water hardness. Electrical conductivity was also positively correlated with Cl⁻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0.87) and HAR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0.68), reflecting the impact of ionic strength on conductivity, as noted by </w:t>
      </w:r>
      <w:r w:rsidR="00923268" w:rsidRPr="00923268">
        <w:rPr>
          <w:rFonts w:ascii="Times New Roman" w:eastAsia="Times New Roman" w:hAnsi="Times New Roman" w:cs="Times New Roman"/>
          <w:bCs/>
          <w:color w:val="EE0000"/>
          <w:sz w:val="24"/>
          <w:szCs w:val="24"/>
          <w:lang w:eastAsia="en-IN"/>
        </w:rPr>
        <w:t>Duraisamy</w:t>
      </w:r>
      <w:r w:rsidRPr="00E02088">
        <w:rPr>
          <w:rFonts w:ascii="Times New Roman" w:eastAsia="Times New Roman" w:hAnsi="Times New Roman" w:cs="Times New Roman"/>
          <w:b/>
          <w:bCs/>
          <w:color w:val="EE0000"/>
          <w:sz w:val="24"/>
          <w:szCs w:val="24"/>
          <w:lang w:eastAsia="en-IN"/>
        </w:rPr>
        <w:t xml:space="preserve"> </w:t>
      </w:r>
      <w:r w:rsidRPr="00E02088">
        <w:rPr>
          <w:rFonts w:ascii="Times New Roman" w:eastAsia="Times New Roman" w:hAnsi="Times New Roman" w:cs="Times New Roman"/>
          <w:i/>
          <w:iCs/>
          <w:color w:val="EE0000"/>
          <w:sz w:val="24"/>
          <w:szCs w:val="24"/>
          <w:lang w:eastAsia="en-IN"/>
        </w:rPr>
        <w:t>et al.</w:t>
      </w:r>
      <w:r w:rsidR="00923268" w:rsidRPr="00923268">
        <w:rPr>
          <w:rFonts w:ascii="Times New Roman" w:eastAsia="Times New Roman" w:hAnsi="Times New Roman" w:cs="Times New Roman"/>
          <w:i/>
          <w:iCs/>
          <w:color w:val="EE0000"/>
          <w:sz w:val="24"/>
          <w:szCs w:val="24"/>
          <w:lang w:eastAsia="en-IN"/>
        </w:rPr>
        <w:t>,</w:t>
      </w:r>
      <w:r w:rsidRPr="00E02088">
        <w:rPr>
          <w:rFonts w:ascii="Times New Roman" w:eastAsia="Times New Roman" w:hAnsi="Times New Roman" w:cs="Times New Roman"/>
          <w:color w:val="EE0000"/>
          <w:sz w:val="24"/>
          <w:szCs w:val="24"/>
          <w:lang w:eastAsia="en-IN"/>
        </w:rPr>
        <w:t xml:space="preserve"> (201</w:t>
      </w:r>
      <w:r w:rsidR="00923268" w:rsidRPr="00923268">
        <w:rPr>
          <w:rFonts w:ascii="Times New Roman" w:eastAsia="Times New Roman" w:hAnsi="Times New Roman" w:cs="Times New Roman"/>
          <w:color w:val="EE0000"/>
          <w:sz w:val="24"/>
          <w:szCs w:val="24"/>
          <w:lang w:eastAsia="en-IN"/>
        </w:rPr>
        <w:t>9</w:t>
      </w:r>
      <w:r w:rsidRPr="00E02088">
        <w:rPr>
          <w:rFonts w:ascii="Times New Roman" w:eastAsia="Times New Roman" w:hAnsi="Times New Roman" w:cs="Times New Roman"/>
          <w:color w:val="EE0000"/>
          <w:sz w:val="24"/>
          <w:szCs w:val="24"/>
          <w:lang w:eastAsia="en-IN"/>
        </w:rPr>
        <w:t>)</w:t>
      </w:r>
      <w:r w:rsidRPr="00E02088">
        <w:rPr>
          <w:rFonts w:ascii="Times New Roman" w:eastAsia="Times New Roman" w:hAnsi="Times New Roman" w:cs="Times New Roman"/>
          <w:sz w:val="24"/>
          <w:szCs w:val="24"/>
          <w:lang w:eastAsia="en-IN"/>
        </w:rPr>
        <w:t xml:space="preserve"> in groundwater studies from Tamil Nadu.</w:t>
      </w:r>
      <w:r>
        <w:rPr>
          <w:rFonts w:ascii="Times New Roman" w:eastAsia="Times New Roman" w:hAnsi="Times New Roman" w:cs="Times New Roman"/>
          <w:sz w:val="24"/>
          <w:szCs w:val="24"/>
          <w:lang w:eastAsia="en-IN"/>
        </w:rPr>
        <w:t xml:space="preserve"> The </w:t>
      </w:r>
      <w:r w:rsidRPr="00E02088">
        <w:rPr>
          <w:rFonts w:ascii="Times New Roman" w:eastAsia="Times New Roman" w:hAnsi="Times New Roman" w:cs="Times New Roman"/>
          <w:sz w:val="24"/>
          <w:szCs w:val="24"/>
          <w:lang w:eastAsia="en-IN"/>
        </w:rPr>
        <w:t xml:space="preserve">Weaker correlations were observed for parameters like pH, </w:t>
      </w:r>
      <w:proofErr w:type="spellStart"/>
      <w:r w:rsidRPr="00E02088">
        <w:rPr>
          <w:rFonts w:ascii="Times New Roman" w:eastAsia="Times New Roman" w:hAnsi="Times New Roman" w:cs="Times New Roman"/>
          <w:sz w:val="24"/>
          <w:szCs w:val="24"/>
          <w:lang w:eastAsia="en-IN"/>
        </w:rPr>
        <w:t>sulfate</w:t>
      </w:r>
      <w:proofErr w:type="spellEnd"/>
      <w:r w:rsidRPr="00E02088">
        <w:rPr>
          <w:rFonts w:ascii="Times New Roman" w:eastAsia="Times New Roman" w:hAnsi="Times New Roman" w:cs="Times New Roman"/>
          <w:sz w:val="24"/>
          <w:szCs w:val="24"/>
          <w:lang w:eastAsia="en-IN"/>
        </w:rPr>
        <w:t xml:space="preserve"> (SO₄²⁻), fluoride (F⁻), and carbonate (CO₃²⁻), suggesting they have less influence on salinity and </w:t>
      </w:r>
      <w:proofErr w:type="spellStart"/>
      <w:r w:rsidRPr="00E02088">
        <w:rPr>
          <w:rFonts w:ascii="Times New Roman" w:eastAsia="Times New Roman" w:hAnsi="Times New Roman" w:cs="Times New Roman"/>
          <w:sz w:val="24"/>
          <w:szCs w:val="24"/>
          <w:lang w:eastAsia="en-IN"/>
        </w:rPr>
        <w:t>sodicity</w:t>
      </w:r>
      <w:proofErr w:type="spellEnd"/>
      <w:r w:rsidRPr="00E02088">
        <w:rPr>
          <w:rFonts w:ascii="Times New Roman" w:eastAsia="Times New Roman" w:hAnsi="Times New Roman" w:cs="Times New Roman"/>
          <w:sz w:val="24"/>
          <w:szCs w:val="24"/>
          <w:lang w:eastAsia="en-IN"/>
        </w:rPr>
        <w:t>. Negative correlations between Mg²⁺ and SAR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–0.35) and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–0.46) may result from competitive ionic interactions affecting sodium uptake and soil </w:t>
      </w:r>
      <w:commentRangeStart w:id="19"/>
      <w:r w:rsidRPr="00E02088">
        <w:rPr>
          <w:rFonts w:ascii="Times New Roman" w:eastAsia="Times New Roman" w:hAnsi="Times New Roman" w:cs="Times New Roman"/>
          <w:sz w:val="24"/>
          <w:szCs w:val="24"/>
          <w:lang w:eastAsia="en-IN"/>
        </w:rPr>
        <w:t>permeability</w:t>
      </w:r>
      <w:commentRangeEnd w:id="19"/>
      <w:r w:rsidR="00EC7C3A">
        <w:rPr>
          <w:rStyle w:val="CommentReference"/>
        </w:rPr>
        <w:commentReference w:id="19"/>
      </w:r>
      <w:r w:rsidRPr="00E02088">
        <w:rPr>
          <w:rFonts w:ascii="Times New Roman" w:eastAsia="Times New Roman" w:hAnsi="Times New Roman" w:cs="Times New Roman"/>
          <w:sz w:val="24"/>
          <w:szCs w:val="24"/>
          <w:lang w:eastAsia="en-IN"/>
        </w:rPr>
        <w:t>.</w:t>
      </w:r>
    </w:p>
    <w:p w14:paraId="53A936F5" w14:textId="1E7F50CB" w:rsidR="003D5EB9"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for Drinking Purposes</w:t>
      </w:r>
    </w:p>
    <w:p w14:paraId="1DAE3045" w14:textId="642B01F6"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Comparison with Drinking Water Standards</w:t>
      </w:r>
    </w:p>
    <w:p w14:paraId="3E7E83AF" w14:textId="07FB63B2" w:rsidR="00DA7B6C" w:rsidRPr="00C114B4"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groundwater quality parameters were also compared against the World Health Organization (WHO) guideline values for drinking water quality (Table 3). The pH level of 45% of the samples was above the guideline maximum value of 8.5, showing alkalinity. The EC reading in 30% of the samples was higher than the </w:t>
      </w:r>
      <w:commentRangeStart w:id="20"/>
      <w:r w:rsidRPr="00C114B4">
        <w:rPr>
          <w:rFonts w:ascii="Times New Roman" w:eastAsia="Times New Roman" w:hAnsi="Times New Roman" w:cs="Times New Roman"/>
          <w:bCs/>
          <w:sz w:val="24"/>
          <w:szCs w:val="24"/>
          <w:lang w:eastAsia="en-IN"/>
        </w:rPr>
        <w:t xml:space="preserve">WHO guideline value of 1500 </w:t>
      </w:r>
      <w:proofErr w:type="spellStart"/>
      <w:r w:rsidRPr="00C114B4">
        <w:rPr>
          <w:rFonts w:ascii="Times New Roman" w:eastAsia="Times New Roman" w:hAnsi="Times New Roman" w:cs="Times New Roman"/>
          <w:bCs/>
          <w:sz w:val="24"/>
          <w:szCs w:val="24"/>
          <w:lang w:eastAsia="en-IN"/>
        </w:rPr>
        <w:t>μS</w:t>
      </w:r>
      <w:proofErr w:type="spellEnd"/>
      <w:r w:rsidRPr="00C114B4">
        <w:rPr>
          <w:rFonts w:ascii="Times New Roman" w:eastAsia="Times New Roman" w:hAnsi="Times New Roman" w:cs="Times New Roman"/>
          <w:bCs/>
          <w:sz w:val="24"/>
          <w:szCs w:val="24"/>
          <w:lang w:eastAsia="en-IN"/>
        </w:rPr>
        <w:t>/cm</w:t>
      </w:r>
      <w:commentRangeEnd w:id="20"/>
      <w:r w:rsidR="00EC7C3A">
        <w:rPr>
          <w:rStyle w:val="CommentReference"/>
        </w:rPr>
        <w:commentReference w:id="20"/>
      </w:r>
      <w:r w:rsidRPr="00C114B4">
        <w:rPr>
          <w:rFonts w:ascii="Times New Roman" w:eastAsia="Times New Roman" w:hAnsi="Times New Roman" w:cs="Times New Roman"/>
          <w:bCs/>
          <w:sz w:val="24"/>
          <w:szCs w:val="24"/>
          <w:lang w:eastAsia="en-IN"/>
        </w:rPr>
        <w:t xml:space="preserve">, which was an indication of elevated mineralization. For TDS, 20% of the samples contained concentrations above the WHO guideline value of 1000 mg/L. Elevated levels of TDS have a bad taste and can irritate the stomach in some people. For the major ions, 25% of the samples contained Na⁺ above the WHO guideline value of 200 mg/L, and 27% of the samples contained Cl⁻ above the guideline value of 250 mg/L. Excessive sodium consumption via drinking water has been linked to hypertension, whereas excessive chlorine levels can give water a salty </w:t>
      </w:r>
      <w:proofErr w:type="spellStart"/>
      <w:r w:rsidRPr="00C114B4">
        <w:rPr>
          <w:rFonts w:ascii="Times New Roman" w:eastAsia="Times New Roman" w:hAnsi="Times New Roman" w:cs="Times New Roman"/>
          <w:bCs/>
          <w:sz w:val="24"/>
          <w:szCs w:val="24"/>
          <w:lang w:eastAsia="en-IN"/>
        </w:rPr>
        <w:t>flavor</w:t>
      </w:r>
      <w:proofErr w:type="spellEnd"/>
      <w:r w:rsidRPr="00C114B4">
        <w:rPr>
          <w:rFonts w:ascii="Times New Roman" w:eastAsia="Times New Roman" w:hAnsi="Times New Roman" w:cs="Times New Roman"/>
          <w:bCs/>
          <w:sz w:val="24"/>
          <w:szCs w:val="24"/>
          <w:lang w:eastAsia="en-IN"/>
        </w:rPr>
        <w:t xml:space="preserve">. Most significantly, 55% of the samples contained NO₂⁻+NO₃⁻ levels in excess of the WHO guideline level of 50 mg/L. High nitrate levels in drinking water present a serious health threat, especially to infants (blue baby syndrome) and expectant mothers </w:t>
      </w:r>
      <w:r w:rsidRPr="00387B47">
        <w:rPr>
          <w:rFonts w:ascii="Times New Roman" w:eastAsia="Times New Roman" w:hAnsi="Times New Roman" w:cs="Times New Roman"/>
          <w:bCs/>
          <w:color w:val="EE0000"/>
          <w:sz w:val="24"/>
          <w:szCs w:val="24"/>
          <w:lang w:eastAsia="en-IN"/>
        </w:rPr>
        <w:t>(</w:t>
      </w:r>
      <w:proofErr w:type="spellStart"/>
      <w:r w:rsidRPr="00387B47">
        <w:rPr>
          <w:rFonts w:ascii="Times New Roman" w:eastAsia="Times New Roman" w:hAnsi="Times New Roman" w:cs="Times New Roman"/>
          <w:bCs/>
          <w:color w:val="EE0000"/>
          <w:sz w:val="24"/>
          <w:szCs w:val="24"/>
          <w:lang w:eastAsia="en-IN"/>
        </w:rPr>
        <w:t>Fewtrell</w:t>
      </w:r>
      <w:proofErr w:type="spellEnd"/>
      <w:r w:rsidRPr="00387B47">
        <w:rPr>
          <w:rFonts w:ascii="Times New Roman" w:eastAsia="Times New Roman" w:hAnsi="Times New Roman" w:cs="Times New Roman"/>
          <w:bCs/>
          <w:color w:val="EE0000"/>
          <w:sz w:val="24"/>
          <w:szCs w:val="24"/>
          <w:lang w:eastAsia="en-IN"/>
        </w:rPr>
        <w:t>, 2004).</w:t>
      </w:r>
      <w:r w:rsidRPr="00C114B4">
        <w:rPr>
          <w:rFonts w:ascii="Times New Roman" w:eastAsia="Times New Roman" w:hAnsi="Times New Roman" w:cs="Times New Roman"/>
          <w:bCs/>
          <w:sz w:val="24"/>
          <w:szCs w:val="24"/>
          <w:lang w:eastAsia="en-IN"/>
        </w:rPr>
        <w:t>Fluoride levels in the majority of samples (95%) were below the WHO guideline level of 1.5 mg/L. Five percent of the samples, however, contained F⁻ levels higher than this threshold, which can potentially cause dental fluorosis</w:t>
      </w:r>
      <w:r w:rsidR="00BF653F">
        <w:rPr>
          <w:rFonts w:ascii="Times New Roman" w:eastAsia="Times New Roman" w:hAnsi="Times New Roman" w:cs="Times New Roman"/>
          <w:bCs/>
          <w:sz w:val="24"/>
          <w:szCs w:val="24"/>
          <w:lang w:eastAsia="en-IN"/>
        </w:rPr>
        <w:t xml:space="preserve"> (Ahamad </w:t>
      </w:r>
      <w:r w:rsidR="00BF653F" w:rsidRPr="00A2002B">
        <w:rPr>
          <w:rFonts w:ascii="Times New Roman" w:eastAsia="Times New Roman" w:hAnsi="Times New Roman" w:cs="Times New Roman"/>
          <w:bCs/>
          <w:i/>
          <w:iCs/>
          <w:sz w:val="24"/>
          <w:szCs w:val="24"/>
          <w:lang w:eastAsia="en-IN"/>
        </w:rPr>
        <w:t>et al.,</w:t>
      </w:r>
      <w:r w:rsidR="00BF653F">
        <w:rPr>
          <w:rFonts w:ascii="Times New Roman" w:eastAsia="Times New Roman" w:hAnsi="Times New Roman" w:cs="Times New Roman"/>
          <w:bCs/>
          <w:sz w:val="24"/>
          <w:szCs w:val="24"/>
          <w:lang w:eastAsia="en-IN"/>
        </w:rPr>
        <w:t xml:space="preserve"> 2024)</w:t>
      </w:r>
      <w:r w:rsidRPr="00C114B4">
        <w:rPr>
          <w:rFonts w:ascii="Times New Roman" w:eastAsia="Times New Roman" w:hAnsi="Times New Roman" w:cs="Times New Roman"/>
          <w:bCs/>
          <w:sz w:val="24"/>
          <w:szCs w:val="24"/>
          <w:lang w:eastAsia="en-IN"/>
        </w:rPr>
        <w:t>.</w:t>
      </w:r>
    </w:p>
    <w:p w14:paraId="168EA865" w14:textId="60F7309A"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Index (WQI)</w:t>
      </w:r>
    </w:p>
    <w:p w14:paraId="79DED9AB" w14:textId="3B569B5B"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calculated WQI values for the groundwater samples ranged from 31.5 to 342.8, with a mean of 98.6. </w:t>
      </w:r>
      <w:commentRangeStart w:id="21"/>
      <w:r w:rsidRPr="00C114B4">
        <w:rPr>
          <w:rFonts w:ascii="Times New Roman" w:eastAsia="Times New Roman" w:hAnsi="Times New Roman" w:cs="Times New Roman"/>
          <w:bCs/>
          <w:sz w:val="24"/>
          <w:szCs w:val="24"/>
          <w:lang w:eastAsia="en-IN"/>
        </w:rPr>
        <w:t>Based on the WQI classification</w:t>
      </w:r>
      <w:commentRangeEnd w:id="21"/>
      <w:r w:rsidR="00EC7C3A">
        <w:rPr>
          <w:rStyle w:val="CommentReference"/>
        </w:rPr>
        <w:commentReference w:id="21"/>
      </w:r>
      <w:r w:rsidRPr="00C114B4">
        <w:rPr>
          <w:rFonts w:ascii="Times New Roman" w:eastAsia="Times New Roman" w:hAnsi="Times New Roman" w:cs="Times New Roman"/>
          <w:bCs/>
          <w:sz w:val="24"/>
          <w:szCs w:val="24"/>
          <w:lang w:eastAsia="en-IN"/>
        </w:rPr>
        <w:t xml:space="preserve">, 23% of the samples were categorized as excellent water quality (WQI &lt; 50), 43% as good water quality (WQI 50-100), 25% as poor water quality (WQI 100-200), 7% as very poor water quality (WQI 200-300), and 2% as </w:t>
      </w:r>
      <w:r w:rsidRPr="00C114B4">
        <w:rPr>
          <w:rFonts w:ascii="Times New Roman" w:eastAsia="Times New Roman" w:hAnsi="Times New Roman" w:cs="Times New Roman"/>
          <w:bCs/>
          <w:sz w:val="24"/>
          <w:szCs w:val="24"/>
          <w:lang w:eastAsia="en-IN"/>
        </w:rPr>
        <w:lastRenderedPageBreak/>
        <w:t>unsuitable for drinking (WQI &gt; 300)</w:t>
      </w:r>
      <w:r w:rsidR="00E02088">
        <w:rPr>
          <w:rFonts w:ascii="Times New Roman" w:eastAsia="Times New Roman" w:hAnsi="Times New Roman" w:cs="Times New Roman"/>
          <w:bCs/>
          <w:sz w:val="24"/>
          <w:szCs w:val="24"/>
          <w:lang w:eastAsia="en-IN"/>
        </w:rPr>
        <w:t>.</w:t>
      </w:r>
      <w:r w:rsidR="00387B47">
        <w:rPr>
          <w:rFonts w:ascii="Times New Roman" w:eastAsia="Times New Roman" w:hAnsi="Times New Roman" w:cs="Times New Roman"/>
          <w:bCs/>
          <w:sz w:val="24"/>
          <w:szCs w:val="24"/>
          <w:lang w:eastAsia="en-IN"/>
        </w:rPr>
        <w:t xml:space="preserve"> </w:t>
      </w:r>
      <w:r w:rsidR="00E02088" w:rsidRPr="00E02088">
        <w:rPr>
          <w:rFonts w:ascii="Times New Roman" w:eastAsia="Times New Roman" w:hAnsi="Times New Roman" w:cs="Times New Roman"/>
          <w:bCs/>
          <w:sz w:val="24"/>
          <w:szCs w:val="24"/>
          <w:lang w:eastAsia="en-IN"/>
        </w:rPr>
        <w:t xml:space="preserve">These results are consistent with the findings of </w:t>
      </w:r>
      <w:r w:rsidR="00E02088" w:rsidRPr="00E02088">
        <w:rPr>
          <w:rFonts w:ascii="Times New Roman" w:eastAsia="Times New Roman" w:hAnsi="Times New Roman" w:cs="Times New Roman"/>
          <w:sz w:val="24"/>
          <w:szCs w:val="24"/>
          <w:lang w:eastAsia="en-IN"/>
        </w:rPr>
        <w:t xml:space="preserve">Changsheng </w:t>
      </w:r>
      <w:r w:rsidR="00E02088" w:rsidRPr="00E02088">
        <w:rPr>
          <w:rFonts w:ascii="Times New Roman" w:eastAsia="Times New Roman" w:hAnsi="Times New Roman" w:cs="Times New Roman"/>
          <w:i/>
          <w:iCs/>
          <w:sz w:val="24"/>
          <w:szCs w:val="24"/>
          <w:lang w:eastAsia="en-IN"/>
        </w:rPr>
        <w:t>et al.</w:t>
      </w:r>
      <w:r w:rsidR="00E02088" w:rsidRPr="00E02088">
        <w:rPr>
          <w:rFonts w:ascii="Times New Roman" w:eastAsia="Times New Roman" w:hAnsi="Times New Roman" w:cs="Times New Roman"/>
          <w:sz w:val="24"/>
          <w:szCs w:val="24"/>
          <w:lang w:eastAsia="en-IN"/>
        </w:rPr>
        <w:t xml:space="preserve"> (2022),</w:t>
      </w:r>
      <w:r w:rsidR="00E02088" w:rsidRPr="00E02088">
        <w:rPr>
          <w:rFonts w:ascii="Times New Roman" w:eastAsia="Times New Roman" w:hAnsi="Times New Roman" w:cs="Times New Roman"/>
          <w:bCs/>
          <w:sz w:val="24"/>
          <w:szCs w:val="24"/>
          <w:lang w:eastAsia="en-IN"/>
        </w:rPr>
        <w:t xml:space="preserve"> who reported similar groundwater quality distributions using WQI-based assessments.</w:t>
      </w:r>
    </w:p>
    <w:p w14:paraId="7551710D" w14:textId="061075EA"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for Irrigation Purposes</w:t>
      </w:r>
    </w:p>
    <w:p w14:paraId="506AEA58" w14:textId="4088500C"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Sodium Adsorption Ratio (SAR)</w:t>
      </w:r>
    </w:p>
    <w:p w14:paraId="30AD1E17" w14:textId="09F7F27E"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SAR levels in the groundwater samples varied from 0.85 to 11.87 with a mean of 3.90. According to the SAR classification, 82% of the samples were of low sodium hazard, 16% medium sodium hazard, and 2% of high sodium hazard with SAR &lt; 10, SAR 10-18, and SAR 18-26, respectively. No samples were classified in the very high sodium hazard class (SAR &gt; 26</w:t>
      </w:r>
      <w:r w:rsidR="00E02088" w:rsidRPr="00C114B4">
        <w:rPr>
          <w:rFonts w:ascii="Times New Roman" w:eastAsia="Times New Roman" w:hAnsi="Times New Roman" w:cs="Times New Roman"/>
          <w:bCs/>
          <w:sz w:val="24"/>
          <w:szCs w:val="24"/>
          <w:lang w:eastAsia="en-IN"/>
        </w:rPr>
        <w:t>). High</w:t>
      </w:r>
      <w:r w:rsidRPr="00C114B4">
        <w:rPr>
          <w:rFonts w:ascii="Times New Roman" w:eastAsia="Times New Roman" w:hAnsi="Times New Roman" w:cs="Times New Roman"/>
          <w:bCs/>
          <w:sz w:val="24"/>
          <w:szCs w:val="24"/>
          <w:lang w:eastAsia="en-IN"/>
        </w:rPr>
        <w:t xml:space="preserve"> SAR levels in irrigation water may cause decreased soil permeability and infiltration rates because of the dispersion of soil aggregates </w:t>
      </w:r>
      <w:r w:rsidRPr="00E02088">
        <w:rPr>
          <w:rFonts w:ascii="Times New Roman" w:eastAsia="Times New Roman" w:hAnsi="Times New Roman" w:cs="Times New Roman"/>
          <w:bCs/>
          <w:color w:val="EE0000"/>
          <w:sz w:val="24"/>
          <w:szCs w:val="24"/>
          <w:lang w:eastAsia="en-IN"/>
        </w:rPr>
        <w:t xml:space="preserve">(Ayers and Westcot, 1985). </w:t>
      </w:r>
      <w:r w:rsidRPr="00C114B4">
        <w:rPr>
          <w:rFonts w:ascii="Times New Roman" w:eastAsia="Times New Roman" w:hAnsi="Times New Roman" w:cs="Times New Roman"/>
          <w:bCs/>
          <w:sz w:val="24"/>
          <w:szCs w:val="24"/>
          <w:lang w:eastAsia="en-IN"/>
        </w:rPr>
        <w:t>This may negatively impact plant growth by minimizing water availability and hindering root development.</w:t>
      </w:r>
    </w:p>
    <w:p w14:paraId="7C683650" w14:textId="4873C57C"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Residual Sodium Carbonate (RSC)</w:t>
      </w:r>
    </w:p>
    <w:p w14:paraId="44F892B9"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RSC values of the groundwater samples </w:t>
      </w:r>
      <w:proofErr w:type="spellStart"/>
      <w:r w:rsidRPr="00C114B4">
        <w:rPr>
          <w:rFonts w:ascii="Times New Roman" w:eastAsia="Times New Roman" w:hAnsi="Times New Roman" w:cs="Times New Roman"/>
          <w:bCs/>
          <w:sz w:val="24"/>
          <w:szCs w:val="24"/>
          <w:lang w:eastAsia="en-IN"/>
        </w:rPr>
        <w:t>analyzed</w:t>
      </w:r>
      <w:proofErr w:type="spellEnd"/>
      <w:r w:rsidRPr="00C114B4">
        <w:rPr>
          <w:rFonts w:ascii="Times New Roman" w:eastAsia="Times New Roman" w:hAnsi="Times New Roman" w:cs="Times New Roman"/>
          <w:bCs/>
          <w:sz w:val="24"/>
          <w:szCs w:val="24"/>
          <w:lang w:eastAsia="en-IN"/>
        </w:rPr>
        <w:t xml:space="preserve"> varied from </w:t>
      </w:r>
      <w:commentRangeStart w:id="22"/>
      <w:r w:rsidRPr="00C114B4">
        <w:rPr>
          <w:rFonts w:ascii="Times New Roman" w:eastAsia="Times New Roman" w:hAnsi="Times New Roman" w:cs="Times New Roman"/>
          <w:bCs/>
          <w:sz w:val="24"/>
          <w:szCs w:val="24"/>
          <w:lang w:eastAsia="en-IN"/>
        </w:rPr>
        <w:t>-9</w:t>
      </w:r>
      <w:commentRangeEnd w:id="22"/>
      <w:r w:rsidR="00EC7C3A">
        <w:rPr>
          <w:rStyle w:val="CommentReference"/>
        </w:rPr>
        <w:commentReference w:id="22"/>
      </w:r>
      <w:r w:rsidRPr="00C114B4">
        <w:rPr>
          <w:rFonts w:ascii="Times New Roman" w:eastAsia="Times New Roman" w:hAnsi="Times New Roman" w:cs="Times New Roman"/>
          <w:bCs/>
          <w:sz w:val="24"/>
          <w:szCs w:val="24"/>
          <w:lang w:eastAsia="en-IN"/>
        </w:rPr>
        <w:t xml:space="preserve">.54 to 7.6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with a mean of 0.85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Based on the RSC classification, 77% of the samples were safe for irrigation (RSC &lt; 1.25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14% were marginally suitable (RSC 1.25-2.5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and 9% were unsuitable (RSC &gt; 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High RSC values point toward an excess of bicarbonate and carbonate ions over calcium and magnesium ions. When such water is applied to irrigation, the calcium and magnesium precipitate as carbonates, and only sodium remains as the major cation in solution. This can raise the SAR of the soil solution, resulting in </w:t>
      </w:r>
      <w:proofErr w:type="spellStart"/>
      <w:r w:rsidRPr="00C114B4">
        <w:rPr>
          <w:rFonts w:ascii="Times New Roman" w:eastAsia="Times New Roman" w:hAnsi="Times New Roman" w:cs="Times New Roman"/>
          <w:bCs/>
          <w:sz w:val="24"/>
          <w:szCs w:val="24"/>
          <w:lang w:eastAsia="en-IN"/>
        </w:rPr>
        <w:t>sodicity</w:t>
      </w:r>
      <w:proofErr w:type="spellEnd"/>
      <w:r w:rsidRPr="00C114B4">
        <w:rPr>
          <w:rFonts w:ascii="Times New Roman" w:eastAsia="Times New Roman" w:hAnsi="Times New Roman" w:cs="Times New Roman"/>
          <w:bCs/>
          <w:sz w:val="24"/>
          <w:szCs w:val="24"/>
          <w:lang w:eastAsia="en-IN"/>
        </w:rPr>
        <w:t xml:space="preserve"> of the soil </w:t>
      </w:r>
      <w:r w:rsidRPr="00E02088">
        <w:rPr>
          <w:rFonts w:ascii="Times New Roman" w:eastAsia="Times New Roman" w:hAnsi="Times New Roman" w:cs="Times New Roman"/>
          <w:bCs/>
          <w:color w:val="EE0000"/>
          <w:sz w:val="24"/>
          <w:szCs w:val="24"/>
          <w:lang w:eastAsia="en-IN"/>
        </w:rPr>
        <w:t>(Eaton, 1950).</w:t>
      </w:r>
    </w:p>
    <w:p w14:paraId="0F21A032" w14:textId="1C6BF9D2"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Sodium Percentage (Na%)</w:t>
      </w:r>
    </w:p>
    <w:p w14:paraId="180B619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Na% contents in groundwater samples varied from 23.36% to 73.99%, and the average was 48.56%. According to the Na% classification, 2% of the samples fell under excellent (&lt;20%), 27% under good (20-40%), 34% under permissible (40-60%), 37% under doubtful (60-80%), and none under unsuitable (&gt;80%). These regions comprise villages like </w:t>
      </w:r>
      <w:proofErr w:type="spellStart"/>
      <w:r w:rsidRPr="00C114B4">
        <w:rPr>
          <w:rFonts w:ascii="Times New Roman" w:eastAsia="Times New Roman" w:hAnsi="Times New Roman" w:cs="Times New Roman"/>
          <w:bCs/>
          <w:sz w:val="24"/>
          <w:szCs w:val="24"/>
          <w:lang w:eastAsia="en-IN"/>
        </w:rPr>
        <w:t>Modakurichi</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Suriyampalayam</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B.</w:t>
      </w:r>
      <w:proofErr w:type="gramStart"/>
      <w:r w:rsidRPr="00C114B4">
        <w:rPr>
          <w:rFonts w:ascii="Times New Roman" w:eastAsia="Times New Roman" w:hAnsi="Times New Roman" w:cs="Times New Roman"/>
          <w:bCs/>
          <w:sz w:val="24"/>
          <w:szCs w:val="24"/>
          <w:lang w:eastAsia="en-IN"/>
        </w:rPr>
        <w:t>P.agraharam</w:t>
      </w:r>
      <w:proofErr w:type="spellEnd"/>
      <w:proofErr w:type="gramEnd"/>
      <w:r w:rsidRPr="00C114B4">
        <w:rPr>
          <w:rFonts w:ascii="Times New Roman" w:eastAsia="Times New Roman" w:hAnsi="Times New Roman" w:cs="Times New Roman"/>
          <w:bCs/>
          <w:sz w:val="24"/>
          <w:szCs w:val="24"/>
          <w:lang w:eastAsia="en-IN"/>
        </w:rPr>
        <w:t xml:space="preserve">, and </w:t>
      </w:r>
      <w:proofErr w:type="spellStart"/>
      <w:r w:rsidRPr="00C114B4">
        <w:rPr>
          <w:rFonts w:ascii="Times New Roman" w:eastAsia="Times New Roman" w:hAnsi="Times New Roman" w:cs="Times New Roman"/>
          <w:bCs/>
          <w:sz w:val="24"/>
          <w:szCs w:val="24"/>
          <w:lang w:eastAsia="en-IN"/>
        </w:rPr>
        <w:t>Hasanur</w:t>
      </w:r>
      <w:proofErr w:type="spellEnd"/>
      <w:r w:rsidRPr="00C114B4">
        <w:rPr>
          <w:rFonts w:ascii="Times New Roman" w:eastAsia="Times New Roman" w:hAnsi="Times New Roman" w:cs="Times New Roman"/>
          <w:bCs/>
          <w:sz w:val="24"/>
          <w:szCs w:val="24"/>
          <w:lang w:eastAsia="en-IN"/>
        </w:rPr>
        <w:t xml:space="preserve">. Excessive Na% in water used for irrigation can contribute to the formation of sodic soils with poor physical qualities, such as decreased permeability, low aeration, and increased soil </w:t>
      </w:r>
      <w:r w:rsidRPr="00E02088">
        <w:rPr>
          <w:rFonts w:ascii="Times New Roman" w:eastAsia="Times New Roman" w:hAnsi="Times New Roman" w:cs="Times New Roman"/>
          <w:bCs/>
          <w:color w:val="EE0000"/>
          <w:sz w:val="24"/>
          <w:szCs w:val="24"/>
          <w:lang w:eastAsia="en-IN"/>
        </w:rPr>
        <w:t xml:space="preserve">crusting (Wilcox, 1955). </w:t>
      </w:r>
      <w:r w:rsidRPr="00C114B4">
        <w:rPr>
          <w:rFonts w:ascii="Times New Roman" w:eastAsia="Times New Roman" w:hAnsi="Times New Roman" w:cs="Times New Roman"/>
          <w:bCs/>
          <w:sz w:val="24"/>
          <w:szCs w:val="24"/>
          <w:lang w:eastAsia="en-IN"/>
        </w:rPr>
        <w:t>Such soil conditions can limit plant growth and decrease yields.</w:t>
      </w:r>
    </w:p>
    <w:p w14:paraId="07AC16B5" w14:textId="755BA39C" w:rsidR="00DA7B6C" w:rsidRPr="00C114B4" w:rsidRDefault="00DA7B6C" w:rsidP="00C114B4">
      <w:pPr>
        <w:spacing w:before="100" w:beforeAutospacing="1" w:after="100" w:afterAutospacing="1" w:line="360" w:lineRule="auto"/>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lastRenderedPageBreak/>
        <w:t>Relationships among Water Quality Parameters</w:t>
      </w:r>
    </w:p>
    <w:p w14:paraId="6FEFD559" w14:textId="77777777" w:rsidR="00DA7B6C" w:rsidRPr="00C114B4" w:rsidRDefault="00DA7B6C"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Pearson correlation analysis was conducted to determine the interrelations between different water quality parameters (Table 4). Highly positive correlations existed between EC and TDS (r = 0.99), which suggest that TDS is dominated mainly by the ionic composition of groundwater. Likewise, high positive correlations were established between EC and Na⁺ (r = 0.85), EC and Cl⁻ (r = 0.87), and Na⁺ and Cl⁻ (r = 0.78), implying that these ions are dominant in groundwater mineralization in the area under study. The high positive correlation between NO₂⁻+NO₃⁻ and Cl⁻ (r = 0.56) implies a shared source of the contaminants, most probably from anthropogenic processes like farming activities and casual dumping of domestic waste. The positive relationship between Na⁺ and HCO₃⁻ (r = 0.62) reflects the control of silicate weathering as well as ion exchange reactions on groundwater chemistry. Irrigation indices, SAR and Na%, were highly positively related to Na⁺ (r = 0.92 and r = 0.89, respectively) and inversely related to Ca²⁺ (r = -0.38 and r = -0.45, respectively) and Mg²⁺ (r = -0.42 and r = -0.61, respectively). These correlations are anticipated considering the mathematical expressions of these indices and underscore the significance of the relative fractions of these ions in assessing the irrigation suitability of groundwater.</w:t>
      </w:r>
    </w:p>
    <w:p w14:paraId="5ED8AEFE" w14:textId="57A08BF6" w:rsidR="00DA7B6C" w:rsidRPr="00C114B4" w:rsidRDefault="00DA7B6C" w:rsidP="00C114B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Conclusion</w:t>
      </w:r>
    </w:p>
    <w:p w14:paraId="39BE2343" w14:textId="77777777" w:rsidR="00DA7B6C" w:rsidRPr="00C114B4" w:rsidRDefault="00DA7B6C"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This research evaluated Erode District, Tamil Nadu's groundwater quality for drinking and irrigation use. Groundwater is relatively alkaline, with pH ranging between 7.8 and 8.9. According to the Water Quality Index (WQI), 66% belong to excellent to good categories, whereas 34% are poor to unsuitable for drinking. Potability is mostly influenced by major pollutants such as nitrate (NO₂⁻+NO₃⁻), sodium (Na⁺), and chloride (Cl⁻). For irrigation use, 82% of the samples showed low sodium hazard as per SAR, and 77% were safe according to RSC classification. Nevertheless, 9% were not suitable according to RSC and 37% of the samples were dubious for irrigation purpose according to sodium percentage (Na%). These findings indicate the different suitability of groundwater in the district and emphasize the requirement for effective groundwater management </w:t>
      </w:r>
      <w:commentRangeStart w:id="23"/>
      <w:r w:rsidRPr="00C114B4">
        <w:rPr>
          <w:rFonts w:ascii="Times New Roman" w:eastAsia="Times New Roman" w:hAnsi="Times New Roman" w:cs="Times New Roman"/>
          <w:bCs/>
          <w:sz w:val="24"/>
          <w:szCs w:val="24"/>
          <w:lang w:eastAsia="en-IN"/>
        </w:rPr>
        <w:t>measures</w:t>
      </w:r>
      <w:commentRangeEnd w:id="23"/>
      <w:r w:rsidR="00EC7C3A">
        <w:rPr>
          <w:rStyle w:val="CommentReference"/>
          <w:rtl/>
        </w:rPr>
        <w:commentReference w:id="23"/>
      </w:r>
      <w:r w:rsidRPr="00C114B4">
        <w:rPr>
          <w:rFonts w:ascii="Times New Roman" w:eastAsia="Times New Roman" w:hAnsi="Times New Roman" w:cs="Times New Roman"/>
          <w:bCs/>
          <w:sz w:val="24"/>
          <w:szCs w:val="24"/>
          <w:lang w:eastAsia="en-IN"/>
        </w:rPr>
        <w:t>.</w:t>
      </w:r>
    </w:p>
    <w:p w14:paraId="4E5B84C6" w14:textId="4526329C" w:rsidR="00DA7B6C" w:rsidRPr="00C114B4" w:rsidRDefault="00DA7B6C" w:rsidP="00C114B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Recommendations</w:t>
      </w:r>
    </w:p>
    <w:p w14:paraId="28018C0E" w14:textId="77777777" w:rsidR="00DA7B6C" w:rsidRDefault="00DA7B6C"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To conserve and manage groundwater in a sustainable manner in Erode District, there are a number of key steps that are suggested. Promote balanced use of fertilizers and organic </w:t>
      </w:r>
      <w:commentRangeStart w:id="24"/>
      <w:r w:rsidRPr="00C114B4">
        <w:rPr>
          <w:rFonts w:ascii="Times New Roman" w:eastAsia="Times New Roman" w:hAnsi="Times New Roman" w:cs="Times New Roman"/>
          <w:bCs/>
          <w:sz w:val="24"/>
          <w:szCs w:val="24"/>
          <w:lang w:eastAsia="en-IN"/>
        </w:rPr>
        <w:lastRenderedPageBreak/>
        <w:t>farming to minimize pollution from nitrates. Enforce industrial effluent treatment very strictly, particularly from textile industries, to avoid chemical pollution. Enhance household waste collection and sewage treatment facilities to minimize household source pollution. Conduct routine monitoring of the quality of groundwater to detect trends in contamination in advance. Enhance public education on groundwater protection and the health effects of water contamination. Encourage rainwater harvesting and artificial recharge to improve groundwater levels and quality. On agricultural land, cultivate salt-tolerant plant varieties and apply gypsum on sodic soil to counter sodium risks. Lastly, implement integrated watershed management strategies to resolve groundwater problems comprehensively and sustainably</w:t>
      </w:r>
      <w:commentRangeEnd w:id="24"/>
      <w:r w:rsidR="00626BB0">
        <w:rPr>
          <w:rStyle w:val="CommentReference"/>
        </w:rPr>
        <w:commentReference w:id="24"/>
      </w:r>
      <w:r w:rsidRPr="00C114B4">
        <w:rPr>
          <w:rFonts w:ascii="Times New Roman" w:eastAsia="Times New Roman" w:hAnsi="Times New Roman" w:cs="Times New Roman"/>
          <w:bCs/>
          <w:sz w:val="24"/>
          <w:szCs w:val="24"/>
          <w:lang w:eastAsia="en-IN"/>
        </w:rPr>
        <w:t>.</w:t>
      </w:r>
    </w:p>
    <w:p w14:paraId="5E66ACAE" w14:textId="77777777" w:rsidR="00A138EE" w:rsidRPr="00A138EE" w:rsidRDefault="00A138EE" w:rsidP="00A138EE">
      <w:pPr>
        <w:spacing w:after="0" w:line="360" w:lineRule="auto"/>
        <w:outlineLvl w:val="2"/>
        <w:rPr>
          <w:rFonts w:ascii="Times New Roman" w:eastAsia="Times New Roman" w:hAnsi="Times New Roman" w:cs="Times New Roman"/>
          <w:b/>
          <w:sz w:val="24"/>
          <w:szCs w:val="24"/>
          <w:lang w:eastAsia="en-IN"/>
        </w:rPr>
      </w:pPr>
      <w:r w:rsidRPr="00A138EE">
        <w:rPr>
          <w:rFonts w:ascii="Times New Roman" w:eastAsia="Times New Roman" w:hAnsi="Times New Roman" w:cs="Times New Roman"/>
          <w:b/>
          <w:sz w:val="24"/>
          <w:szCs w:val="24"/>
          <w:lang w:eastAsia="en-IN"/>
        </w:rPr>
        <w:t>Conflict of interest</w:t>
      </w:r>
    </w:p>
    <w:p w14:paraId="23FB86E0" w14:textId="77777777" w:rsidR="00A138EE" w:rsidRDefault="00A138EE" w:rsidP="00A138EE">
      <w:pPr>
        <w:spacing w:after="0" w:line="240" w:lineRule="auto"/>
        <w:outlineLvl w:val="2"/>
        <w:rPr>
          <w:rFonts w:ascii="Times New Roman" w:eastAsia="Times New Roman" w:hAnsi="Times New Roman" w:cs="Times New Roman"/>
          <w:bCs/>
          <w:sz w:val="24"/>
          <w:szCs w:val="24"/>
          <w:lang w:eastAsia="en-IN"/>
        </w:rPr>
      </w:pPr>
      <w:r w:rsidRPr="00A138EE">
        <w:rPr>
          <w:rFonts w:ascii="Times New Roman" w:eastAsia="Times New Roman" w:hAnsi="Times New Roman" w:cs="Times New Roman"/>
          <w:bCs/>
          <w:sz w:val="24"/>
          <w:szCs w:val="24"/>
          <w:lang w:eastAsia="en-IN"/>
        </w:rPr>
        <w:t>The authors declare that they have no conflicts</w:t>
      </w:r>
      <w:r>
        <w:rPr>
          <w:rFonts w:ascii="Times New Roman" w:eastAsia="Times New Roman" w:hAnsi="Times New Roman" w:cs="Times New Roman"/>
          <w:bCs/>
          <w:sz w:val="24"/>
          <w:szCs w:val="24"/>
          <w:lang w:eastAsia="en-IN"/>
        </w:rPr>
        <w:t xml:space="preserve"> of interest.</w:t>
      </w:r>
      <w:r w:rsidRPr="00A138EE">
        <w:rPr>
          <w:rFonts w:ascii="Times New Roman" w:eastAsia="Times New Roman" w:hAnsi="Times New Roman" w:cs="Times New Roman"/>
          <w:bCs/>
          <w:sz w:val="24"/>
          <w:szCs w:val="24"/>
          <w:lang w:eastAsia="en-IN"/>
        </w:rPr>
        <w:t xml:space="preserve"> </w:t>
      </w:r>
    </w:p>
    <w:p w14:paraId="617ECF48" w14:textId="77777777" w:rsidR="001A59F7" w:rsidRDefault="001A59F7" w:rsidP="00A138EE">
      <w:pPr>
        <w:spacing w:after="0" w:line="240" w:lineRule="auto"/>
        <w:outlineLvl w:val="2"/>
        <w:rPr>
          <w:rFonts w:ascii="Times New Roman" w:eastAsia="Times New Roman" w:hAnsi="Times New Roman" w:cs="Times New Roman"/>
          <w:bCs/>
          <w:sz w:val="24"/>
          <w:szCs w:val="24"/>
          <w:lang w:eastAsia="en-IN"/>
        </w:rPr>
      </w:pPr>
    </w:p>
    <w:p w14:paraId="71CF7DAD" w14:textId="77777777" w:rsidR="001A59F7" w:rsidRPr="001A59F7" w:rsidRDefault="001A59F7" w:rsidP="001A59F7">
      <w:pPr>
        <w:spacing w:after="0" w:line="240" w:lineRule="auto"/>
        <w:outlineLvl w:val="2"/>
        <w:rPr>
          <w:rFonts w:ascii="Times New Roman" w:eastAsia="Times New Roman" w:hAnsi="Times New Roman" w:cs="Times New Roman"/>
          <w:bCs/>
          <w:sz w:val="24"/>
          <w:szCs w:val="24"/>
          <w:lang w:eastAsia="en-IN"/>
        </w:rPr>
      </w:pPr>
      <w:r w:rsidRPr="001A59F7">
        <w:rPr>
          <w:rFonts w:ascii="Times New Roman" w:eastAsia="Times New Roman" w:hAnsi="Times New Roman" w:cs="Times New Roman"/>
          <w:bCs/>
          <w:sz w:val="24"/>
          <w:szCs w:val="24"/>
          <w:lang w:eastAsia="en-IN"/>
        </w:rPr>
        <w:t>COMPETING INTERESTS DISCLAIMER:</w:t>
      </w:r>
    </w:p>
    <w:p w14:paraId="145E43C8" w14:textId="40153C33" w:rsidR="001A59F7" w:rsidRDefault="001A59F7" w:rsidP="001A59F7">
      <w:pPr>
        <w:spacing w:after="0" w:line="240" w:lineRule="auto"/>
        <w:outlineLvl w:val="2"/>
        <w:rPr>
          <w:rFonts w:ascii="Times New Roman" w:eastAsia="Times New Roman" w:hAnsi="Times New Roman" w:cs="Times New Roman"/>
          <w:bCs/>
          <w:sz w:val="24"/>
          <w:szCs w:val="24"/>
          <w:lang w:eastAsia="en-IN"/>
        </w:rPr>
      </w:pPr>
      <w:r w:rsidRPr="001A59F7">
        <w:rPr>
          <w:rFonts w:ascii="Times New Roman" w:eastAsia="Times New Roman" w:hAnsi="Times New Roman" w:cs="Times New Roman"/>
          <w:bCs/>
          <w:sz w:val="24"/>
          <w:szCs w:val="24"/>
          <w:lang w:eastAsia="en-IN"/>
        </w:rPr>
        <w:t>Authors have declared that they have no known competing financial interests OR non-financial interests OR personal relationships that could have appeared to influence the work reported in this paper.</w:t>
      </w:r>
    </w:p>
    <w:p w14:paraId="0371F5ED" w14:textId="77777777" w:rsidR="00A138EE" w:rsidRPr="00C114B4" w:rsidRDefault="00A138EE" w:rsidP="00A138EE">
      <w:pPr>
        <w:spacing w:after="0" w:line="240" w:lineRule="auto"/>
        <w:outlineLvl w:val="2"/>
        <w:rPr>
          <w:rFonts w:ascii="Times New Roman" w:eastAsia="Times New Roman" w:hAnsi="Times New Roman" w:cs="Times New Roman"/>
          <w:bCs/>
          <w:sz w:val="24"/>
          <w:szCs w:val="24"/>
          <w:lang w:eastAsia="en-IN"/>
        </w:rPr>
      </w:pPr>
    </w:p>
    <w:p w14:paraId="45F44191" w14:textId="77777777" w:rsidR="00DD7845" w:rsidRPr="00C114B4" w:rsidRDefault="00C114B4" w:rsidP="00C114B4">
      <w:pPr>
        <w:spacing w:line="360" w:lineRule="auto"/>
        <w:jc w:val="both"/>
        <w:rPr>
          <w:rFonts w:ascii="Times New Roman" w:eastAsia="Times New Roman" w:hAnsi="Times New Roman" w:cs="Times New Roman"/>
          <w:b/>
          <w:sz w:val="24"/>
          <w:szCs w:val="24"/>
          <w:lang w:eastAsia="en-IN"/>
        </w:rPr>
      </w:pPr>
      <w:r w:rsidRPr="00C114B4">
        <w:rPr>
          <w:rFonts w:ascii="Times New Roman" w:eastAsia="Times New Roman" w:hAnsi="Times New Roman" w:cs="Times New Roman"/>
          <w:b/>
          <w:sz w:val="24"/>
          <w:szCs w:val="24"/>
          <w:lang w:eastAsia="en-IN"/>
        </w:rPr>
        <w:t>6</w:t>
      </w:r>
      <w:r w:rsidR="00B37786">
        <w:rPr>
          <w:rFonts w:ascii="Times New Roman" w:eastAsia="Times New Roman" w:hAnsi="Times New Roman" w:cs="Times New Roman"/>
          <w:b/>
          <w:sz w:val="24"/>
          <w:szCs w:val="24"/>
          <w:lang w:eastAsia="en-IN"/>
        </w:rPr>
        <w:t>.</w:t>
      </w:r>
      <w:r w:rsidRPr="00C114B4">
        <w:rPr>
          <w:rFonts w:ascii="Times New Roman" w:eastAsia="Times New Roman" w:hAnsi="Times New Roman" w:cs="Times New Roman"/>
          <w:b/>
          <w:sz w:val="24"/>
          <w:szCs w:val="24"/>
          <w:lang w:eastAsia="en-IN"/>
        </w:rPr>
        <w:t xml:space="preserve"> </w:t>
      </w:r>
      <w:r w:rsidR="00DD7845" w:rsidRPr="00C114B4">
        <w:rPr>
          <w:rFonts w:ascii="Times New Roman" w:eastAsia="Times New Roman" w:hAnsi="Times New Roman" w:cs="Times New Roman"/>
          <w:b/>
          <w:sz w:val="24"/>
          <w:szCs w:val="24"/>
          <w:lang w:eastAsia="en-IN"/>
        </w:rPr>
        <w:t>References</w:t>
      </w:r>
    </w:p>
    <w:p w14:paraId="072E57A2" w14:textId="77777777" w:rsidR="00A2002B" w:rsidRDefault="00A2002B"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A2002B">
        <w:rPr>
          <w:rFonts w:ascii="Times New Roman" w:eastAsia="Times New Roman" w:hAnsi="Times New Roman" w:cs="Times New Roman"/>
          <w:bCs/>
          <w:sz w:val="24"/>
          <w:szCs w:val="24"/>
          <w:lang w:eastAsia="en-IN"/>
        </w:rPr>
        <w:t>Adimalla</w:t>
      </w:r>
      <w:proofErr w:type="spellEnd"/>
      <w:r w:rsidRPr="00A2002B">
        <w:rPr>
          <w:rFonts w:ascii="Times New Roman" w:eastAsia="Times New Roman" w:hAnsi="Times New Roman" w:cs="Times New Roman"/>
          <w:bCs/>
          <w:sz w:val="24"/>
          <w:szCs w:val="24"/>
          <w:lang w:eastAsia="en-IN"/>
        </w:rPr>
        <w:t xml:space="preserve">, N., &amp; Qian, H. (2019). Groundwater quality evaluation using water quality index (WQI) for drinking purposes and human health risk (HHR) assessment in an agricultural region of </w:t>
      </w:r>
      <w:proofErr w:type="spellStart"/>
      <w:r w:rsidRPr="00A2002B">
        <w:rPr>
          <w:rFonts w:ascii="Times New Roman" w:eastAsia="Times New Roman" w:hAnsi="Times New Roman" w:cs="Times New Roman"/>
          <w:bCs/>
          <w:sz w:val="24"/>
          <w:szCs w:val="24"/>
          <w:lang w:eastAsia="en-IN"/>
        </w:rPr>
        <w:t>Nanganur</w:t>
      </w:r>
      <w:proofErr w:type="spellEnd"/>
      <w:r w:rsidRPr="00A2002B">
        <w:rPr>
          <w:rFonts w:ascii="Times New Roman" w:eastAsia="Times New Roman" w:hAnsi="Times New Roman" w:cs="Times New Roman"/>
          <w:bCs/>
          <w:sz w:val="24"/>
          <w:szCs w:val="24"/>
          <w:lang w:eastAsia="en-IN"/>
        </w:rPr>
        <w:t>, south India. </w:t>
      </w:r>
      <w:r w:rsidRPr="00A2002B">
        <w:rPr>
          <w:rFonts w:ascii="Times New Roman" w:eastAsia="Times New Roman" w:hAnsi="Times New Roman" w:cs="Times New Roman"/>
          <w:bCs/>
          <w:i/>
          <w:iCs/>
          <w:sz w:val="24"/>
          <w:szCs w:val="24"/>
          <w:lang w:eastAsia="en-IN"/>
        </w:rPr>
        <w:t>Ecotoxicology and environmental safety</w:t>
      </w:r>
      <w:r w:rsidRPr="00A2002B">
        <w:rPr>
          <w:rFonts w:ascii="Times New Roman" w:eastAsia="Times New Roman" w:hAnsi="Times New Roman" w:cs="Times New Roman"/>
          <w:bCs/>
          <w:sz w:val="24"/>
          <w:szCs w:val="24"/>
          <w:lang w:eastAsia="en-IN"/>
        </w:rPr>
        <w:t>, </w:t>
      </w:r>
      <w:r w:rsidRPr="00A2002B">
        <w:rPr>
          <w:rFonts w:ascii="Times New Roman" w:eastAsia="Times New Roman" w:hAnsi="Times New Roman" w:cs="Times New Roman"/>
          <w:bCs/>
          <w:i/>
          <w:iCs/>
          <w:sz w:val="24"/>
          <w:szCs w:val="24"/>
          <w:lang w:eastAsia="en-IN"/>
        </w:rPr>
        <w:t>176</w:t>
      </w:r>
      <w:r w:rsidRPr="00A2002B">
        <w:rPr>
          <w:rFonts w:ascii="Times New Roman" w:eastAsia="Times New Roman" w:hAnsi="Times New Roman" w:cs="Times New Roman"/>
          <w:bCs/>
          <w:sz w:val="24"/>
          <w:szCs w:val="24"/>
          <w:lang w:eastAsia="en-IN"/>
        </w:rPr>
        <w:t>, 153-161.</w:t>
      </w:r>
    </w:p>
    <w:p w14:paraId="6B7AB767" w14:textId="5315D237" w:rsidR="002610B0" w:rsidRDefault="002610B0"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2610B0">
        <w:rPr>
          <w:rFonts w:ascii="Times New Roman" w:eastAsia="Times New Roman" w:hAnsi="Times New Roman" w:cs="Times New Roman"/>
          <w:bCs/>
          <w:sz w:val="24"/>
          <w:szCs w:val="24"/>
          <w:lang w:eastAsia="en-IN"/>
        </w:rPr>
        <w:t>Ahamad, F., Chauhan, A., Chauhan, P. K., Upadhyay, S. K., Tomar, A., Singh, N., &amp; Andrade, T. (2025). Addressing complex challenges in water quality management: emerging technologies and sustainable strategies. </w:t>
      </w:r>
      <w:r w:rsidRPr="002610B0">
        <w:rPr>
          <w:rFonts w:ascii="Times New Roman" w:eastAsia="Times New Roman" w:hAnsi="Times New Roman" w:cs="Times New Roman"/>
          <w:bCs/>
          <w:i/>
          <w:iCs/>
          <w:sz w:val="24"/>
          <w:szCs w:val="24"/>
          <w:lang w:eastAsia="en-IN"/>
        </w:rPr>
        <w:t>Computational Automation for Water Security</w:t>
      </w:r>
      <w:r w:rsidRPr="002610B0">
        <w:rPr>
          <w:rFonts w:ascii="Times New Roman" w:eastAsia="Times New Roman" w:hAnsi="Times New Roman" w:cs="Times New Roman"/>
          <w:bCs/>
          <w:sz w:val="24"/>
          <w:szCs w:val="24"/>
          <w:lang w:eastAsia="en-IN"/>
        </w:rPr>
        <w:t>, 251-276.</w:t>
      </w:r>
    </w:p>
    <w:p w14:paraId="7AC9216B" w14:textId="77777777" w:rsidR="000A62CD" w:rsidRDefault="000A62CD"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0A62CD">
        <w:rPr>
          <w:rFonts w:ascii="Times New Roman" w:eastAsia="Times New Roman" w:hAnsi="Times New Roman" w:cs="Times New Roman"/>
          <w:bCs/>
          <w:sz w:val="24"/>
          <w:szCs w:val="24"/>
          <w:lang w:eastAsia="en-IN"/>
        </w:rPr>
        <w:t>Ahamad, F., Tyagi, S. K., Singh, M., &amp; Sharma, A. K. (2023). Groundwater in arid and semi-arid regions of India: A review on the quality, management and challenges. </w:t>
      </w:r>
      <w:r w:rsidRPr="000A62CD">
        <w:rPr>
          <w:rFonts w:ascii="Times New Roman" w:eastAsia="Times New Roman" w:hAnsi="Times New Roman" w:cs="Times New Roman"/>
          <w:bCs/>
          <w:i/>
          <w:iCs/>
          <w:sz w:val="24"/>
          <w:szCs w:val="24"/>
          <w:lang w:eastAsia="en-IN"/>
        </w:rPr>
        <w:t>Groundwater in Arid and Semi-Arid Areas: Monitoring, Assessment, Modelling, and Management</w:t>
      </w:r>
      <w:r w:rsidRPr="000A62CD">
        <w:rPr>
          <w:rFonts w:ascii="Times New Roman" w:eastAsia="Times New Roman" w:hAnsi="Times New Roman" w:cs="Times New Roman"/>
          <w:bCs/>
          <w:sz w:val="24"/>
          <w:szCs w:val="24"/>
          <w:lang w:eastAsia="en-IN"/>
        </w:rPr>
        <w:t>, 11-52.</w:t>
      </w:r>
    </w:p>
    <w:p w14:paraId="63644A80" w14:textId="77777777" w:rsidR="002F1753" w:rsidRDefault="002F1753"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2F1753">
        <w:rPr>
          <w:rFonts w:ascii="Times New Roman" w:eastAsia="Times New Roman" w:hAnsi="Times New Roman" w:cs="Times New Roman"/>
          <w:bCs/>
          <w:sz w:val="24"/>
          <w:szCs w:val="24"/>
          <w:lang w:eastAsia="en-IN"/>
        </w:rPr>
        <w:t xml:space="preserve">Ahamad, F., Tyagi, I., </w:t>
      </w:r>
      <w:proofErr w:type="spellStart"/>
      <w:r w:rsidRPr="002F1753">
        <w:rPr>
          <w:rFonts w:ascii="Times New Roman" w:eastAsia="Times New Roman" w:hAnsi="Times New Roman" w:cs="Times New Roman"/>
          <w:bCs/>
          <w:sz w:val="24"/>
          <w:szCs w:val="24"/>
          <w:lang w:eastAsia="en-IN"/>
        </w:rPr>
        <w:t>Bhutiani</w:t>
      </w:r>
      <w:proofErr w:type="spellEnd"/>
      <w:r w:rsidRPr="002F1753">
        <w:rPr>
          <w:rFonts w:ascii="Times New Roman" w:eastAsia="Times New Roman" w:hAnsi="Times New Roman" w:cs="Times New Roman"/>
          <w:bCs/>
          <w:sz w:val="24"/>
          <w:szCs w:val="24"/>
          <w:lang w:eastAsia="en-IN"/>
        </w:rPr>
        <w:t xml:space="preserve">, R., Kumar, V., Tyagi, K., </w:t>
      </w:r>
      <w:proofErr w:type="spellStart"/>
      <w:r w:rsidRPr="002F1753">
        <w:rPr>
          <w:rFonts w:ascii="Times New Roman" w:eastAsia="Times New Roman" w:hAnsi="Times New Roman" w:cs="Times New Roman"/>
          <w:bCs/>
          <w:sz w:val="24"/>
          <w:szCs w:val="24"/>
          <w:lang w:eastAsia="en-IN"/>
        </w:rPr>
        <w:t>Chandniha</w:t>
      </w:r>
      <w:proofErr w:type="spellEnd"/>
      <w:r w:rsidRPr="002F1753">
        <w:rPr>
          <w:rFonts w:ascii="Times New Roman" w:eastAsia="Times New Roman" w:hAnsi="Times New Roman" w:cs="Times New Roman"/>
          <w:bCs/>
          <w:sz w:val="24"/>
          <w:szCs w:val="24"/>
          <w:lang w:eastAsia="en-IN"/>
        </w:rPr>
        <w:t>, S. K., &amp; Sen, N. (2024). Evaluation of the health risk of fluoride and nitrate-rich groundwater in arid and semi-arid parts of India: An overview. Environmental Metagenomics, Water Quality and Suggested Remediation Measures of Polluted Waters: A Combined Approach. Elsevier. pp. 89-105.</w:t>
      </w:r>
    </w:p>
    <w:p w14:paraId="46201BC4" w14:textId="77777777" w:rsidR="000E7441" w:rsidRDefault="000E7441"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lastRenderedPageBreak/>
        <w:t xml:space="preserve">Ameta, S. K., Kamaal, M., &amp; Ahamad, F. (2023). </w:t>
      </w:r>
      <w:r w:rsidRPr="000E7441">
        <w:rPr>
          <w:rFonts w:ascii="Times New Roman" w:eastAsia="Times New Roman" w:hAnsi="Times New Roman" w:cs="Times New Roman"/>
          <w:bCs/>
          <w:sz w:val="24"/>
          <w:szCs w:val="24"/>
          <w:lang w:eastAsia="en-IN"/>
        </w:rPr>
        <w:t xml:space="preserve">Impact of Domestic and Industrial Effluent Disposal on Physicochemical Characteristics of River </w:t>
      </w:r>
      <w:proofErr w:type="spellStart"/>
      <w:r w:rsidRPr="000E7441">
        <w:rPr>
          <w:rFonts w:ascii="Times New Roman" w:eastAsia="Times New Roman" w:hAnsi="Times New Roman" w:cs="Times New Roman"/>
          <w:bCs/>
          <w:sz w:val="24"/>
          <w:szCs w:val="24"/>
          <w:lang w:eastAsia="en-IN"/>
        </w:rPr>
        <w:t>Malin</w:t>
      </w:r>
      <w:proofErr w:type="spellEnd"/>
      <w:r w:rsidRPr="000E7441">
        <w:rPr>
          <w:rFonts w:ascii="Times New Roman" w:eastAsia="Times New Roman" w:hAnsi="Times New Roman" w:cs="Times New Roman"/>
          <w:bCs/>
          <w:sz w:val="24"/>
          <w:szCs w:val="24"/>
          <w:lang w:eastAsia="en-IN"/>
        </w:rPr>
        <w:t xml:space="preserve"> at </w:t>
      </w:r>
      <w:proofErr w:type="spellStart"/>
      <w:r w:rsidRPr="000E7441">
        <w:rPr>
          <w:rFonts w:ascii="Times New Roman" w:eastAsia="Times New Roman" w:hAnsi="Times New Roman" w:cs="Times New Roman"/>
          <w:bCs/>
          <w:sz w:val="24"/>
          <w:szCs w:val="24"/>
          <w:lang w:eastAsia="en-IN"/>
        </w:rPr>
        <w:t>Najibabad</w:t>
      </w:r>
      <w:proofErr w:type="spellEnd"/>
      <w:r w:rsidRPr="000E7441">
        <w:rPr>
          <w:rFonts w:ascii="Times New Roman" w:eastAsia="Times New Roman" w:hAnsi="Times New Roman" w:cs="Times New Roman"/>
          <w:bCs/>
          <w:sz w:val="24"/>
          <w:szCs w:val="24"/>
          <w:lang w:eastAsia="en-IN"/>
        </w:rPr>
        <w:t xml:space="preserve"> City, India. </w:t>
      </w:r>
      <w:proofErr w:type="spellStart"/>
      <w:r w:rsidRPr="000E7441">
        <w:rPr>
          <w:rFonts w:ascii="Times New Roman" w:eastAsia="Times New Roman" w:hAnsi="Times New Roman" w:cs="Times New Roman"/>
          <w:bCs/>
          <w:sz w:val="24"/>
          <w:szCs w:val="24"/>
          <w:lang w:eastAsia="en-IN"/>
        </w:rPr>
        <w:t>AgroEnvironmental</w:t>
      </w:r>
      <w:proofErr w:type="spellEnd"/>
      <w:r w:rsidRPr="000E7441">
        <w:rPr>
          <w:rFonts w:ascii="Times New Roman" w:eastAsia="Times New Roman" w:hAnsi="Times New Roman" w:cs="Times New Roman"/>
          <w:bCs/>
          <w:sz w:val="24"/>
          <w:szCs w:val="24"/>
          <w:lang w:eastAsia="en-IN"/>
        </w:rPr>
        <w:t xml:space="preserve"> Sustainability, 1(3), 246-256.</w:t>
      </w:r>
    </w:p>
    <w:p w14:paraId="5608222C" w14:textId="3DAA3781"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APHA (2012). Standard Methods for the Examination of Water and Wastewater. 22nd Edition, American Public Health Association, American Water Works Association, Water Environment Federation, Washington, D.C.</w:t>
      </w:r>
    </w:p>
    <w:p w14:paraId="1113C6CE"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Ayers, R. S., &amp; Westcot, D. W. (1985). Water quality for agriculture. FAO Irrigation and Drainage Paper No. 29, Food and Agriculture Organization, Rome, Italy.</w:t>
      </w:r>
    </w:p>
    <w:p w14:paraId="19903921" w14:textId="77777777" w:rsidR="00BF653F" w:rsidRDefault="00BF653F"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Bhutiani, R., Ram, K., &amp; Ahamad, F. (2019). </w:t>
      </w:r>
      <w:r w:rsidRPr="00BF653F">
        <w:rPr>
          <w:rFonts w:ascii="Times New Roman" w:eastAsia="Times New Roman" w:hAnsi="Times New Roman" w:cs="Times New Roman"/>
          <w:bCs/>
          <w:sz w:val="24"/>
          <w:szCs w:val="24"/>
          <w:lang w:eastAsia="en-IN"/>
        </w:rPr>
        <w:t xml:space="preserve">Assessment of suitability of ground water quality in and around </w:t>
      </w:r>
      <w:proofErr w:type="spellStart"/>
      <w:r w:rsidRPr="00BF653F">
        <w:rPr>
          <w:rFonts w:ascii="Times New Roman" w:eastAsia="Times New Roman" w:hAnsi="Times New Roman" w:cs="Times New Roman"/>
          <w:bCs/>
          <w:sz w:val="24"/>
          <w:szCs w:val="24"/>
          <w:lang w:eastAsia="en-IN"/>
        </w:rPr>
        <w:t>Laksar</w:t>
      </w:r>
      <w:proofErr w:type="spellEnd"/>
      <w:r w:rsidRPr="00BF653F">
        <w:rPr>
          <w:rFonts w:ascii="Times New Roman" w:eastAsia="Times New Roman" w:hAnsi="Times New Roman" w:cs="Times New Roman"/>
          <w:bCs/>
          <w:sz w:val="24"/>
          <w:szCs w:val="24"/>
          <w:lang w:eastAsia="en-IN"/>
        </w:rPr>
        <w:t xml:space="preserve">, </w:t>
      </w:r>
      <w:proofErr w:type="spellStart"/>
      <w:r w:rsidRPr="00BF653F">
        <w:rPr>
          <w:rFonts w:ascii="Times New Roman" w:eastAsia="Times New Roman" w:hAnsi="Times New Roman" w:cs="Times New Roman"/>
          <w:bCs/>
          <w:sz w:val="24"/>
          <w:szCs w:val="24"/>
          <w:lang w:eastAsia="en-IN"/>
        </w:rPr>
        <w:t>Haridwar</w:t>
      </w:r>
      <w:proofErr w:type="spellEnd"/>
      <w:r w:rsidRPr="00BF653F">
        <w:rPr>
          <w:rFonts w:ascii="Times New Roman" w:eastAsia="Times New Roman" w:hAnsi="Times New Roman" w:cs="Times New Roman"/>
          <w:bCs/>
          <w:sz w:val="24"/>
          <w:szCs w:val="24"/>
          <w:lang w:eastAsia="en-IN"/>
        </w:rPr>
        <w:t xml:space="preserve">, </w:t>
      </w:r>
      <w:proofErr w:type="spellStart"/>
      <w:r w:rsidRPr="00BF653F">
        <w:rPr>
          <w:rFonts w:ascii="Times New Roman" w:eastAsia="Times New Roman" w:hAnsi="Times New Roman" w:cs="Times New Roman"/>
          <w:bCs/>
          <w:sz w:val="24"/>
          <w:szCs w:val="24"/>
          <w:lang w:eastAsia="en-IN"/>
        </w:rPr>
        <w:t>Uttarakhand</w:t>
      </w:r>
      <w:proofErr w:type="spellEnd"/>
      <w:r w:rsidRPr="00BF653F">
        <w:rPr>
          <w:rFonts w:ascii="Times New Roman" w:eastAsia="Times New Roman" w:hAnsi="Times New Roman" w:cs="Times New Roman"/>
          <w:bCs/>
          <w:sz w:val="24"/>
          <w:szCs w:val="24"/>
          <w:lang w:eastAsia="en-IN"/>
        </w:rPr>
        <w:t xml:space="preserve"> on the basis Water Quality Index (WQI).</w:t>
      </w:r>
    </w:p>
    <w:p w14:paraId="1CC61775" w14:textId="77777777" w:rsidR="00C155F6" w:rsidRDefault="00C155F6"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55F6">
        <w:rPr>
          <w:rFonts w:ascii="Times New Roman" w:eastAsia="Times New Roman" w:hAnsi="Times New Roman" w:cs="Times New Roman"/>
          <w:bCs/>
          <w:sz w:val="24"/>
          <w:szCs w:val="24"/>
          <w:lang w:eastAsia="en-IN"/>
        </w:rPr>
        <w:t>Bhutiani</w:t>
      </w:r>
      <w:proofErr w:type="spellEnd"/>
      <w:r w:rsidRPr="00C155F6">
        <w:rPr>
          <w:rFonts w:ascii="Times New Roman" w:eastAsia="Times New Roman" w:hAnsi="Times New Roman" w:cs="Times New Roman"/>
          <w:bCs/>
          <w:sz w:val="24"/>
          <w:szCs w:val="24"/>
          <w:lang w:eastAsia="en-IN"/>
        </w:rPr>
        <w:t>, R., Khanna, D. R., Kumar, R., Ram, K., &amp; Ahamad, F. (2019). Impact assessment of sewage treatment plants’ effluent discharge on the quality of Ganga river at Haridwar, Uttarakhand. </w:t>
      </w:r>
      <w:r w:rsidRPr="00C155F6">
        <w:rPr>
          <w:rFonts w:ascii="Times New Roman" w:eastAsia="Times New Roman" w:hAnsi="Times New Roman" w:cs="Times New Roman"/>
          <w:bCs/>
          <w:i/>
          <w:iCs/>
          <w:sz w:val="24"/>
          <w:szCs w:val="24"/>
          <w:lang w:eastAsia="en-IN"/>
        </w:rPr>
        <w:t xml:space="preserve">Journal of Mountain </w:t>
      </w:r>
      <w:proofErr w:type="gramStart"/>
      <w:r w:rsidRPr="00C155F6">
        <w:rPr>
          <w:rFonts w:ascii="Times New Roman" w:eastAsia="Times New Roman" w:hAnsi="Times New Roman" w:cs="Times New Roman"/>
          <w:bCs/>
          <w:i/>
          <w:iCs/>
          <w:sz w:val="24"/>
          <w:szCs w:val="24"/>
          <w:lang w:eastAsia="en-IN"/>
        </w:rPr>
        <w:t>Research,(</w:t>
      </w:r>
      <w:proofErr w:type="gramEnd"/>
      <w:r w:rsidRPr="00C155F6">
        <w:rPr>
          <w:rFonts w:ascii="Times New Roman" w:eastAsia="Times New Roman" w:hAnsi="Times New Roman" w:cs="Times New Roman"/>
          <w:bCs/>
          <w:i/>
          <w:iCs/>
          <w:sz w:val="24"/>
          <w:szCs w:val="24"/>
          <w:lang w:eastAsia="en-IN"/>
        </w:rPr>
        <w:t>2)</w:t>
      </w:r>
      <w:r w:rsidRPr="00C155F6">
        <w:rPr>
          <w:rFonts w:ascii="Times New Roman" w:eastAsia="Times New Roman" w:hAnsi="Times New Roman" w:cs="Times New Roman"/>
          <w:bCs/>
          <w:sz w:val="24"/>
          <w:szCs w:val="24"/>
          <w:lang w:eastAsia="en-IN"/>
        </w:rPr>
        <w:t>, 77-83.</w:t>
      </w:r>
    </w:p>
    <w:p w14:paraId="3EBE97FD" w14:textId="6D1A15E0"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Brown, R. M., McClelland, N. I., Deininger, R. A., &amp; Tozer, R. G. (1970). A water quality index: Do we dare? Water &amp; Sewage Works, 117(10), 339-343.</w:t>
      </w:r>
    </w:p>
    <w:p w14:paraId="7EFDCCF8" w14:textId="77777777" w:rsidR="00DB23A1" w:rsidRDefault="00DB23A1"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DB23A1">
        <w:rPr>
          <w:rFonts w:ascii="Times New Roman" w:eastAsia="Times New Roman" w:hAnsi="Times New Roman" w:cs="Times New Roman"/>
          <w:bCs/>
          <w:sz w:val="24"/>
          <w:szCs w:val="24"/>
          <w:lang w:eastAsia="en-IN"/>
        </w:rPr>
        <w:t>Bojago</w:t>
      </w:r>
      <w:proofErr w:type="spellEnd"/>
      <w:r w:rsidRPr="00DB23A1">
        <w:rPr>
          <w:rFonts w:ascii="Times New Roman" w:eastAsia="Times New Roman" w:hAnsi="Times New Roman" w:cs="Times New Roman"/>
          <w:bCs/>
          <w:sz w:val="24"/>
          <w:szCs w:val="24"/>
          <w:lang w:eastAsia="en-IN"/>
        </w:rPr>
        <w:t xml:space="preserve">, E., Tyagi, I., Ahamad, F., &amp; </w:t>
      </w:r>
      <w:proofErr w:type="spellStart"/>
      <w:r w:rsidRPr="00DB23A1">
        <w:rPr>
          <w:rFonts w:ascii="Times New Roman" w:eastAsia="Times New Roman" w:hAnsi="Times New Roman" w:cs="Times New Roman"/>
          <w:bCs/>
          <w:sz w:val="24"/>
          <w:szCs w:val="24"/>
          <w:lang w:eastAsia="en-IN"/>
        </w:rPr>
        <w:t>Chandniha</w:t>
      </w:r>
      <w:proofErr w:type="spellEnd"/>
      <w:r w:rsidRPr="00DB23A1">
        <w:rPr>
          <w:rFonts w:ascii="Times New Roman" w:eastAsia="Times New Roman" w:hAnsi="Times New Roman" w:cs="Times New Roman"/>
          <w:bCs/>
          <w:sz w:val="24"/>
          <w:szCs w:val="24"/>
          <w:lang w:eastAsia="en-IN"/>
        </w:rPr>
        <w:t>, S. K. (2023). GIS based spatial-temporal distribution of water quality parameters and heavy metals in drinking water: Ecological and health modelling. </w:t>
      </w:r>
      <w:r w:rsidRPr="00DB23A1">
        <w:rPr>
          <w:rFonts w:ascii="Times New Roman" w:eastAsia="Times New Roman" w:hAnsi="Times New Roman" w:cs="Times New Roman"/>
          <w:bCs/>
          <w:i/>
          <w:iCs/>
          <w:sz w:val="24"/>
          <w:szCs w:val="24"/>
          <w:lang w:eastAsia="en-IN"/>
        </w:rPr>
        <w:t>Physics and Chemistry of the Earth, Parts a/b/c</w:t>
      </w:r>
      <w:r w:rsidRPr="00DB23A1">
        <w:rPr>
          <w:rFonts w:ascii="Times New Roman" w:eastAsia="Times New Roman" w:hAnsi="Times New Roman" w:cs="Times New Roman"/>
          <w:bCs/>
          <w:sz w:val="24"/>
          <w:szCs w:val="24"/>
          <w:lang w:eastAsia="en-IN"/>
        </w:rPr>
        <w:t>, </w:t>
      </w:r>
      <w:r w:rsidRPr="00DB23A1">
        <w:rPr>
          <w:rFonts w:ascii="Times New Roman" w:eastAsia="Times New Roman" w:hAnsi="Times New Roman" w:cs="Times New Roman"/>
          <w:bCs/>
          <w:i/>
          <w:iCs/>
          <w:sz w:val="24"/>
          <w:szCs w:val="24"/>
          <w:lang w:eastAsia="en-IN"/>
        </w:rPr>
        <w:t>130</w:t>
      </w:r>
      <w:r w:rsidRPr="00DB23A1">
        <w:rPr>
          <w:rFonts w:ascii="Times New Roman" w:eastAsia="Times New Roman" w:hAnsi="Times New Roman" w:cs="Times New Roman"/>
          <w:bCs/>
          <w:sz w:val="24"/>
          <w:szCs w:val="24"/>
          <w:lang w:eastAsia="en-IN"/>
        </w:rPr>
        <w:t>, 103399.</w:t>
      </w:r>
    </w:p>
    <w:p w14:paraId="30D9A5DE" w14:textId="13E2CDCC" w:rsidR="00DD7845"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Central Ground Water Board (2019). Ground Water Year Book – Tamil Nadu and Puducherry (2018-19). Ministry of Water Resources, River Development &amp; Ganga Rejuvenation, Government of India.</w:t>
      </w:r>
    </w:p>
    <w:p w14:paraId="319246AA" w14:textId="201443A4" w:rsidR="00387B47" w:rsidRDefault="00387B47"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387B47">
        <w:rPr>
          <w:rFonts w:ascii="Times New Roman" w:eastAsia="Times New Roman" w:hAnsi="Times New Roman" w:cs="Times New Roman"/>
          <w:bCs/>
          <w:sz w:val="24"/>
          <w:szCs w:val="24"/>
          <w:lang w:eastAsia="en-IN"/>
        </w:rPr>
        <w:t xml:space="preserve">Changsheng, H., Akram, W., Rashid, A., Ullah, Z., Shah, M., </w:t>
      </w:r>
      <w:proofErr w:type="spellStart"/>
      <w:r w:rsidRPr="00387B47">
        <w:rPr>
          <w:rFonts w:ascii="Times New Roman" w:eastAsia="Times New Roman" w:hAnsi="Times New Roman" w:cs="Times New Roman"/>
          <w:bCs/>
          <w:sz w:val="24"/>
          <w:szCs w:val="24"/>
          <w:lang w:eastAsia="en-IN"/>
        </w:rPr>
        <w:t>Alrefaei</w:t>
      </w:r>
      <w:proofErr w:type="spellEnd"/>
      <w:r w:rsidRPr="00387B47">
        <w:rPr>
          <w:rFonts w:ascii="Times New Roman" w:eastAsia="Times New Roman" w:hAnsi="Times New Roman" w:cs="Times New Roman"/>
          <w:bCs/>
          <w:sz w:val="24"/>
          <w:szCs w:val="24"/>
          <w:lang w:eastAsia="en-IN"/>
        </w:rPr>
        <w:t>, A. F., ... &amp; Abdel-Daim, M. M. (2022). Quality assessment of groundwater based on geochemical modelling and water quality index (WQI). </w:t>
      </w:r>
      <w:r w:rsidRPr="00387B47">
        <w:rPr>
          <w:rFonts w:ascii="Times New Roman" w:eastAsia="Times New Roman" w:hAnsi="Times New Roman" w:cs="Times New Roman"/>
          <w:bCs/>
          <w:i/>
          <w:iCs/>
          <w:sz w:val="24"/>
          <w:szCs w:val="24"/>
          <w:lang w:eastAsia="en-IN"/>
        </w:rPr>
        <w:t>Water</w:t>
      </w:r>
      <w:r w:rsidRPr="00387B47">
        <w:rPr>
          <w:rFonts w:ascii="Times New Roman" w:eastAsia="Times New Roman" w:hAnsi="Times New Roman" w:cs="Times New Roman"/>
          <w:bCs/>
          <w:sz w:val="24"/>
          <w:szCs w:val="24"/>
          <w:lang w:eastAsia="en-IN"/>
        </w:rPr>
        <w:t>, </w:t>
      </w:r>
      <w:r w:rsidRPr="00387B47">
        <w:rPr>
          <w:rFonts w:ascii="Times New Roman" w:eastAsia="Times New Roman" w:hAnsi="Times New Roman" w:cs="Times New Roman"/>
          <w:bCs/>
          <w:i/>
          <w:iCs/>
          <w:sz w:val="24"/>
          <w:szCs w:val="24"/>
          <w:lang w:eastAsia="en-IN"/>
        </w:rPr>
        <w:t>14</w:t>
      </w:r>
      <w:r w:rsidRPr="00387B47">
        <w:rPr>
          <w:rFonts w:ascii="Times New Roman" w:eastAsia="Times New Roman" w:hAnsi="Times New Roman" w:cs="Times New Roman"/>
          <w:bCs/>
          <w:sz w:val="24"/>
          <w:szCs w:val="24"/>
          <w:lang w:eastAsia="en-IN"/>
        </w:rPr>
        <w:t>(23), 3888.</w:t>
      </w:r>
    </w:p>
    <w:p w14:paraId="08ED1B20" w14:textId="49FCD49E" w:rsidR="00923268" w:rsidRPr="00C114B4" w:rsidRDefault="00923268"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923268">
        <w:rPr>
          <w:rFonts w:ascii="Times New Roman" w:eastAsia="Times New Roman" w:hAnsi="Times New Roman" w:cs="Times New Roman"/>
          <w:bCs/>
          <w:sz w:val="24"/>
          <w:szCs w:val="24"/>
          <w:lang w:val="pt-BR" w:eastAsia="en-IN"/>
        </w:rPr>
        <w:t xml:space="preserve">Duraisamy, S., Govindhaswamy, V., Duraisamy, K., Krishinaraj, S., Balasubramanian, A., &amp; Thirumalaisamy, S. (2019). </w:t>
      </w:r>
      <w:r w:rsidRPr="00923268">
        <w:rPr>
          <w:rFonts w:ascii="Times New Roman" w:eastAsia="Times New Roman" w:hAnsi="Times New Roman" w:cs="Times New Roman"/>
          <w:bCs/>
          <w:sz w:val="24"/>
          <w:szCs w:val="24"/>
          <w:lang w:eastAsia="en-IN"/>
        </w:rPr>
        <w:t xml:space="preserve">Hydrogeochemical characterization and evaluation of groundwater quality in </w:t>
      </w:r>
      <w:proofErr w:type="spellStart"/>
      <w:r w:rsidRPr="00923268">
        <w:rPr>
          <w:rFonts w:ascii="Times New Roman" w:eastAsia="Times New Roman" w:hAnsi="Times New Roman" w:cs="Times New Roman"/>
          <w:bCs/>
          <w:sz w:val="24"/>
          <w:szCs w:val="24"/>
          <w:lang w:eastAsia="en-IN"/>
        </w:rPr>
        <w:t>Kangayam</w:t>
      </w:r>
      <w:proofErr w:type="spellEnd"/>
      <w:r w:rsidRPr="00923268">
        <w:rPr>
          <w:rFonts w:ascii="Times New Roman" w:eastAsia="Times New Roman" w:hAnsi="Times New Roman" w:cs="Times New Roman"/>
          <w:bCs/>
          <w:sz w:val="24"/>
          <w:szCs w:val="24"/>
          <w:lang w:eastAsia="en-IN"/>
        </w:rPr>
        <w:t xml:space="preserve"> taluk, </w:t>
      </w:r>
      <w:proofErr w:type="spellStart"/>
      <w:r w:rsidRPr="00923268">
        <w:rPr>
          <w:rFonts w:ascii="Times New Roman" w:eastAsia="Times New Roman" w:hAnsi="Times New Roman" w:cs="Times New Roman"/>
          <w:bCs/>
          <w:sz w:val="24"/>
          <w:szCs w:val="24"/>
          <w:lang w:eastAsia="en-IN"/>
        </w:rPr>
        <w:t>Tirupur</w:t>
      </w:r>
      <w:proofErr w:type="spellEnd"/>
      <w:r w:rsidRPr="00923268">
        <w:rPr>
          <w:rFonts w:ascii="Times New Roman" w:eastAsia="Times New Roman" w:hAnsi="Times New Roman" w:cs="Times New Roman"/>
          <w:bCs/>
          <w:sz w:val="24"/>
          <w:szCs w:val="24"/>
          <w:lang w:eastAsia="en-IN"/>
        </w:rPr>
        <w:t xml:space="preserve"> district, Tamil Nadu, India, using GIS techniques. </w:t>
      </w:r>
      <w:r w:rsidRPr="00923268">
        <w:rPr>
          <w:rFonts w:ascii="Times New Roman" w:eastAsia="Times New Roman" w:hAnsi="Times New Roman" w:cs="Times New Roman"/>
          <w:bCs/>
          <w:i/>
          <w:iCs/>
          <w:sz w:val="24"/>
          <w:szCs w:val="24"/>
          <w:lang w:eastAsia="en-IN"/>
        </w:rPr>
        <w:t>Environmental Geochemistry and Health</w:t>
      </w:r>
      <w:r w:rsidRPr="00923268">
        <w:rPr>
          <w:rFonts w:ascii="Times New Roman" w:eastAsia="Times New Roman" w:hAnsi="Times New Roman" w:cs="Times New Roman"/>
          <w:bCs/>
          <w:sz w:val="24"/>
          <w:szCs w:val="24"/>
          <w:lang w:eastAsia="en-IN"/>
        </w:rPr>
        <w:t>, </w:t>
      </w:r>
      <w:r w:rsidRPr="00923268">
        <w:rPr>
          <w:rFonts w:ascii="Times New Roman" w:eastAsia="Times New Roman" w:hAnsi="Times New Roman" w:cs="Times New Roman"/>
          <w:bCs/>
          <w:i/>
          <w:iCs/>
          <w:sz w:val="24"/>
          <w:szCs w:val="24"/>
          <w:lang w:eastAsia="en-IN"/>
        </w:rPr>
        <w:t>41</w:t>
      </w:r>
      <w:r w:rsidRPr="00923268">
        <w:rPr>
          <w:rFonts w:ascii="Times New Roman" w:eastAsia="Times New Roman" w:hAnsi="Times New Roman" w:cs="Times New Roman"/>
          <w:bCs/>
          <w:sz w:val="24"/>
          <w:szCs w:val="24"/>
          <w:lang w:eastAsia="en-IN"/>
        </w:rPr>
        <w:t>(2), 851-873.</w:t>
      </w:r>
    </w:p>
    <w:p w14:paraId="28BD1123"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Eaton, F. M. (1950). Significance of carbonates in irrigation waters. Soil Science, 69(2), 123-134.</w:t>
      </w:r>
    </w:p>
    <w:p w14:paraId="78473D3C"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Elango, L., &amp; Kannan, R. (2007). Rock-water interaction and its control on chemical composition of groundwater. Developments in Environmental Science, 5, 229-243.</w:t>
      </w:r>
    </w:p>
    <w:p w14:paraId="6005189C"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lastRenderedPageBreak/>
        <w:t>Fewtrell</w:t>
      </w:r>
      <w:proofErr w:type="spellEnd"/>
      <w:r w:rsidRPr="00C114B4">
        <w:rPr>
          <w:rFonts w:ascii="Times New Roman" w:eastAsia="Times New Roman" w:hAnsi="Times New Roman" w:cs="Times New Roman"/>
          <w:bCs/>
          <w:sz w:val="24"/>
          <w:szCs w:val="24"/>
          <w:lang w:eastAsia="en-IN"/>
        </w:rPr>
        <w:t>, L. (2004). Drinking-water nitrate, methemoglobinemia, and global burden of disease: A discussion. Environmental Health Perspectives, 112(14), 1371-1374.</w:t>
      </w:r>
    </w:p>
    <w:p w14:paraId="3E8E1594" w14:textId="77777777" w:rsidR="00DD7845"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Horton, R. K. (1965). An index number system for rating water quality. Journal of Water Pollution Control Federation, 37(3), 300-306.</w:t>
      </w:r>
    </w:p>
    <w:p w14:paraId="12D9C4E3" w14:textId="6F136239" w:rsidR="00E02088" w:rsidRPr="00C114B4" w:rsidRDefault="00E02088"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E02088">
        <w:rPr>
          <w:rFonts w:ascii="Times New Roman" w:eastAsia="Times New Roman" w:hAnsi="Times New Roman" w:cs="Times New Roman"/>
          <w:bCs/>
          <w:sz w:val="24"/>
          <w:szCs w:val="24"/>
          <w:lang w:eastAsia="en-IN"/>
        </w:rPr>
        <w:t xml:space="preserve">Memon, Y. I., Qureshi, S. S., </w:t>
      </w:r>
      <w:proofErr w:type="spellStart"/>
      <w:r w:rsidRPr="00E02088">
        <w:rPr>
          <w:rFonts w:ascii="Times New Roman" w:eastAsia="Times New Roman" w:hAnsi="Times New Roman" w:cs="Times New Roman"/>
          <w:bCs/>
          <w:sz w:val="24"/>
          <w:szCs w:val="24"/>
          <w:lang w:eastAsia="en-IN"/>
        </w:rPr>
        <w:t>Kandhar</w:t>
      </w:r>
      <w:proofErr w:type="spellEnd"/>
      <w:r w:rsidRPr="00E02088">
        <w:rPr>
          <w:rFonts w:ascii="Times New Roman" w:eastAsia="Times New Roman" w:hAnsi="Times New Roman" w:cs="Times New Roman"/>
          <w:bCs/>
          <w:sz w:val="24"/>
          <w:szCs w:val="24"/>
          <w:lang w:eastAsia="en-IN"/>
        </w:rPr>
        <w:t>, I. A., Qureshi, N. A., Saeed, S., Mubarak, N. M., ... &amp; Saleh, T. A. (2023). Statistical analysis and physicochemical characteristics of groundwater</w:t>
      </w:r>
      <w:r w:rsidRPr="00E02088">
        <w:rPr>
          <w:rFonts w:ascii="Times New Roman" w:eastAsia="Times New Roman" w:hAnsi="Times New Roman" w:cs="Times New Roman"/>
          <w:bCs/>
          <w:sz w:val="24"/>
          <w:szCs w:val="24"/>
          <w:cs/>
          <w:lang w:eastAsia="en-IN"/>
        </w:rPr>
        <w:t>‎</w:t>
      </w:r>
      <w:r w:rsidRPr="00E02088">
        <w:rPr>
          <w:rFonts w:ascii="Times New Roman" w:eastAsia="Times New Roman" w:hAnsi="Times New Roman" w:cs="Times New Roman"/>
          <w:bCs/>
          <w:sz w:val="24"/>
          <w:szCs w:val="24"/>
          <w:rtl/>
          <w:cs/>
          <w:lang w:eastAsia="en-IN"/>
        </w:rPr>
        <w:t xml:space="preserve"> quality parameters: a case study. </w:t>
      </w:r>
      <w:r w:rsidRPr="00E02088">
        <w:rPr>
          <w:rFonts w:ascii="Times New Roman" w:eastAsia="Times New Roman" w:hAnsi="Times New Roman" w:cs="Times New Roman"/>
          <w:bCs/>
          <w:i/>
          <w:iCs/>
          <w:sz w:val="24"/>
          <w:szCs w:val="24"/>
          <w:lang w:eastAsia="en-IN"/>
        </w:rPr>
        <w:t>International Journal of Environmental Analytical Chemistry</w:t>
      </w:r>
      <w:r w:rsidRPr="00E02088">
        <w:rPr>
          <w:rFonts w:ascii="Times New Roman" w:eastAsia="Times New Roman" w:hAnsi="Times New Roman" w:cs="Times New Roman"/>
          <w:bCs/>
          <w:sz w:val="24"/>
          <w:szCs w:val="24"/>
          <w:lang w:eastAsia="en-IN"/>
        </w:rPr>
        <w:t>, </w:t>
      </w:r>
      <w:r w:rsidRPr="00E02088">
        <w:rPr>
          <w:rFonts w:ascii="Times New Roman" w:eastAsia="Times New Roman" w:hAnsi="Times New Roman" w:cs="Times New Roman"/>
          <w:bCs/>
          <w:i/>
          <w:iCs/>
          <w:sz w:val="24"/>
          <w:szCs w:val="24"/>
          <w:lang w:eastAsia="en-IN"/>
        </w:rPr>
        <w:t>103</w:t>
      </w:r>
      <w:r w:rsidRPr="00E02088">
        <w:rPr>
          <w:rFonts w:ascii="Times New Roman" w:eastAsia="Times New Roman" w:hAnsi="Times New Roman" w:cs="Times New Roman"/>
          <w:bCs/>
          <w:sz w:val="24"/>
          <w:szCs w:val="24"/>
          <w:lang w:eastAsia="en-IN"/>
        </w:rPr>
        <w:t>(10), 2270-2291.</w:t>
      </w:r>
    </w:p>
    <w:p w14:paraId="6BDEA0BC" w14:textId="77777777" w:rsidR="00D870E1" w:rsidRPr="00C114B4"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r w:rsidRPr="00C114B4">
        <w:rPr>
          <w:rFonts w:ascii="Times New Roman" w:hAnsi="Times New Roman" w:cs="Times New Roman"/>
          <w:color w:val="000000" w:themeColor="text1"/>
          <w:sz w:val="24"/>
          <w:szCs w:val="24"/>
        </w:rPr>
        <w:t xml:space="preserve">Rajesh, G. M., &amp; Prasad, S. (2024). Extraction of MODIS land surface temperature and its validation over </w:t>
      </w:r>
      <w:proofErr w:type="spellStart"/>
      <w:r w:rsidRPr="00C114B4">
        <w:rPr>
          <w:rFonts w:ascii="Times New Roman" w:hAnsi="Times New Roman" w:cs="Times New Roman"/>
          <w:color w:val="000000" w:themeColor="text1"/>
          <w:sz w:val="24"/>
          <w:szCs w:val="24"/>
        </w:rPr>
        <w:t>Samastipur</w:t>
      </w:r>
      <w:proofErr w:type="spellEnd"/>
      <w:r w:rsidRPr="00C114B4">
        <w:rPr>
          <w:rFonts w:ascii="Times New Roman" w:hAnsi="Times New Roman" w:cs="Times New Roman"/>
          <w:color w:val="000000" w:themeColor="text1"/>
          <w:sz w:val="24"/>
          <w:szCs w:val="24"/>
        </w:rPr>
        <w:t xml:space="preserve"> district of Bihar. </w:t>
      </w:r>
      <w:r w:rsidRPr="00C114B4">
        <w:rPr>
          <w:rFonts w:ascii="Times New Roman" w:hAnsi="Times New Roman" w:cs="Times New Roman"/>
          <w:i/>
          <w:iCs/>
          <w:color w:val="000000" w:themeColor="text1"/>
          <w:sz w:val="24"/>
          <w:szCs w:val="24"/>
        </w:rPr>
        <w:t>Journal of Agrometeorology</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26</w:t>
      </w:r>
      <w:r w:rsidRPr="00C114B4">
        <w:rPr>
          <w:rFonts w:ascii="Times New Roman" w:hAnsi="Times New Roman" w:cs="Times New Roman"/>
          <w:color w:val="000000" w:themeColor="text1"/>
          <w:sz w:val="24"/>
          <w:szCs w:val="24"/>
        </w:rPr>
        <w:t>(1), 124-127.</w:t>
      </w:r>
    </w:p>
    <w:p w14:paraId="56C9418F" w14:textId="77777777" w:rsidR="00D870E1" w:rsidRPr="000F1793" w:rsidRDefault="00D870E1" w:rsidP="000F1793">
      <w:pPr>
        <w:pStyle w:val="ListParagraph"/>
        <w:numPr>
          <w:ilvl w:val="0"/>
          <w:numId w:val="2"/>
        </w:numPr>
        <w:spacing w:line="360" w:lineRule="auto"/>
        <w:jc w:val="both"/>
        <w:rPr>
          <w:rFonts w:ascii="Times New Roman" w:hAnsi="Times New Roman" w:cs="Times New Roman"/>
          <w:color w:val="000000" w:themeColor="text1"/>
          <w:sz w:val="24"/>
          <w:szCs w:val="24"/>
        </w:rPr>
      </w:pPr>
      <w:r w:rsidRPr="00C114B4">
        <w:rPr>
          <w:rFonts w:ascii="Times New Roman" w:hAnsi="Times New Roman" w:cs="Times New Roman"/>
          <w:color w:val="000000" w:themeColor="text1"/>
          <w:sz w:val="24"/>
          <w:szCs w:val="24"/>
        </w:rPr>
        <w:t xml:space="preserve">Rajesh, G. M., Prasad, S., &amp; Bhagat, I. B. (2024). </w:t>
      </w:r>
      <w:proofErr w:type="spellStart"/>
      <w:r w:rsidRPr="00C114B4">
        <w:rPr>
          <w:rFonts w:ascii="Times New Roman" w:hAnsi="Times New Roman" w:cs="Times New Roman"/>
          <w:color w:val="000000" w:themeColor="text1"/>
          <w:sz w:val="24"/>
          <w:szCs w:val="24"/>
        </w:rPr>
        <w:t>Spatio</w:t>
      </w:r>
      <w:proofErr w:type="spellEnd"/>
      <w:r w:rsidRPr="00C114B4">
        <w:rPr>
          <w:rFonts w:ascii="Times New Roman" w:hAnsi="Times New Roman" w:cs="Times New Roman"/>
          <w:color w:val="000000" w:themeColor="text1"/>
          <w:sz w:val="24"/>
          <w:szCs w:val="24"/>
        </w:rPr>
        <w:t xml:space="preserve">-temporal reconstruction of MODIS land surface temperature over </w:t>
      </w:r>
      <w:proofErr w:type="spellStart"/>
      <w:r w:rsidRPr="00C114B4">
        <w:rPr>
          <w:rFonts w:ascii="Times New Roman" w:hAnsi="Times New Roman" w:cs="Times New Roman"/>
          <w:color w:val="000000" w:themeColor="text1"/>
          <w:sz w:val="24"/>
          <w:szCs w:val="24"/>
        </w:rPr>
        <w:t>Samastipur</w:t>
      </w:r>
      <w:proofErr w:type="spellEnd"/>
      <w:r w:rsidRPr="00C114B4">
        <w:rPr>
          <w:rFonts w:ascii="Times New Roman" w:hAnsi="Times New Roman" w:cs="Times New Roman"/>
          <w:color w:val="000000" w:themeColor="text1"/>
          <w:sz w:val="24"/>
          <w:szCs w:val="24"/>
        </w:rPr>
        <w:t xml:space="preserve"> district, Bihar with GLDAS using geo-</w:t>
      </w:r>
      <w:proofErr w:type="spellStart"/>
      <w:r w:rsidRPr="00C114B4">
        <w:rPr>
          <w:rFonts w:ascii="Times New Roman" w:hAnsi="Times New Roman" w:cs="Times New Roman"/>
          <w:color w:val="000000" w:themeColor="text1"/>
          <w:sz w:val="24"/>
          <w:szCs w:val="24"/>
        </w:rPr>
        <w:t>matics</w:t>
      </w:r>
      <w:proofErr w:type="spellEnd"/>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Indian Journal of Ecology</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51</w:t>
      </w:r>
      <w:r w:rsidRPr="00C114B4">
        <w:rPr>
          <w:rFonts w:ascii="Times New Roman" w:hAnsi="Times New Roman" w:cs="Times New Roman"/>
          <w:color w:val="000000" w:themeColor="text1"/>
          <w:sz w:val="24"/>
          <w:szCs w:val="24"/>
        </w:rPr>
        <w:t>(1), 1-13.</w:t>
      </w:r>
    </w:p>
    <w:p w14:paraId="01E4EF22"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t>Ramakrishnaiah</w:t>
      </w:r>
      <w:proofErr w:type="spellEnd"/>
      <w:r w:rsidRPr="00C114B4">
        <w:rPr>
          <w:rFonts w:ascii="Times New Roman" w:eastAsia="Times New Roman" w:hAnsi="Times New Roman" w:cs="Times New Roman"/>
          <w:bCs/>
          <w:sz w:val="24"/>
          <w:szCs w:val="24"/>
          <w:lang w:eastAsia="en-IN"/>
        </w:rPr>
        <w:t xml:space="preserve">, C. R., </w:t>
      </w:r>
      <w:proofErr w:type="spellStart"/>
      <w:r w:rsidRPr="00C114B4">
        <w:rPr>
          <w:rFonts w:ascii="Times New Roman" w:eastAsia="Times New Roman" w:hAnsi="Times New Roman" w:cs="Times New Roman"/>
          <w:bCs/>
          <w:sz w:val="24"/>
          <w:szCs w:val="24"/>
          <w:lang w:eastAsia="en-IN"/>
        </w:rPr>
        <w:t>Sadashivaiah</w:t>
      </w:r>
      <w:proofErr w:type="spellEnd"/>
      <w:r w:rsidRPr="00C114B4">
        <w:rPr>
          <w:rFonts w:ascii="Times New Roman" w:eastAsia="Times New Roman" w:hAnsi="Times New Roman" w:cs="Times New Roman"/>
          <w:bCs/>
          <w:sz w:val="24"/>
          <w:szCs w:val="24"/>
          <w:lang w:eastAsia="en-IN"/>
        </w:rPr>
        <w:t xml:space="preserve">, C., &amp; </w:t>
      </w:r>
      <w:proofErr w:type="spellStart"/>
      <w:r w:rsidRPr="00C114B4">
        <w:rPr>
          <w:rFonts w:ascii="Times New Roman" w:eastAsia="Times New Roman" w:hAnsi="Times New Roman" w:cs="Times New Roman"/>
          <w:bCs/>
          <w:sz w:val="24"/>
          <w:szCs w:val="24"/>
          <w:lang w:eastAsia="en-IN"/>
        </w:rPr>
        <w:t>Ranganna</w:t>
      </w:r>
      <w:proofErr w:type="spellEnd"/>
      <w:r w:rsidRPr="00C114B4">
        <w:rPr>
          <w:rFonts w:ascii="Times New Roman" w:eastAsia="Times New Roman" w:hAnsi="Times New Roman" w:cs="Times New Roman"/>
          <w:bCs/>
          <w:sz w:val="24"/>
          <w:szCs w:val="24"/>
          <w:lang w:eastAsia="en-IN"/>
        </w:rPr>
        <w:t>, G. (2009). Assessment of water quality index for the groundwater in Tumkur Taluk, Karnataka State, India. E-Journal of Chemistry, 6(2), 523-530.</w:t>
      </w:r>
    </w:p>
    <w:p w14:paraId="46B69935"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Ravikumar, P., Somashekar, R. K., &amp; Angami, M. (2017). </w:t>
      </w:r>
      <w:r w:rsidRPr="00C114B4">
        <w:rPr>
          <w:rFonts w:ascii="Times New Roman" w:eastAsia="Times New Roman" w:hAnsi="Times New Roman" w:cs="Times New Roman"/>
          <w:bCs/>
          <w:sz w:val="24"/>
          <w:szCs w:val="24"/>
          <w:lang w:eastAsia="en-IN"/>
        </w:rPr>
        <w:t>Hydrochemistry and evaluation of groundwater suitability for irrigation and drinking purposes in the Markandeya River basin, Belgaum District, Karnataka State, India. Environmental Monitoring and Assessment, 189(6), 248.</w:t>
      </w:r>
    </w:p>
    <w:p w14:paraId="66206663" w14:textId="77777777" w:rsidR="00D870E1" w:rsidRPr="00C114B4"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bookmarkStart w:id="25" w:name="_Hlk191935645"/>
      <w:r w:rsidRPr="00C114B4">
        <w:rPr>
          <w:rFonts w:ascii="Times New Roman" w:hAnsi="Times New Roman" w:cs="Times New Roman"/>
          <w:color w:val="000000" w:themeColor="text1"/>
          <w:sz w:val="24"/>
          <w:szCs w:val="24"/>
        </w:rPr>
        <w:t>Sangeetha</w:t>
      </w:r>
      <w:bookmarkEnd w:id="25"/>
      <w:r w:rsidRPr="00C114B4">
        <w:rPr>
          <w:rFonts w:ascii="Times New Roman" w:hAnsi="Times New Roman" w:cs="Times New Roman"/>
          <w:color w:val="000000" w:themeColor="text1"/>
          <w:sz w:val="24"/>
          <w:szCs w:val="24"/>
        </w:rPr>
        <w:t xml:space="preserve">, C., </w:t>
      </w:r>
      <w:proofErr w:type="spellStart"/>
      <w:r w:rsidRPr="00C114B4">
        <w:rPr>
          <w:rFonts w:ascii="Times New Roman" w:hAnsi="Times New Roman" w:cs="Times New Roman"/>
          <w:color w:val="000000" w:themeColor="text1"/>
          <w:sz w:val="24"/>
          <w:szCs w:val="24"/>
        </w:rPr>
        <w:t>Moond</w:t>
      </w:r>
      <w:proofErr w:type="spellEnd"/>
      <w:r w:rsidRPr="00C114B4">
        <w:rPr>
          <w:rFonts w:ascii="Times New Roman" w:hAnsi="Times New Roman" w:cs="Times New Roman"/>
          <w:color w:val="000000" w:themeColor="text1"/>
          <w:sz w:val="24"/>
          <w:szCs w:val="24"/>
        </w:rPr>
        <w:t>, V., Rajesh, G. M., Damor, J. S., Pandey, S. K., Kumar, P., &amp; Singh, B. (2024). Remote sensing and geographic information systems for precision agriculture: A Review. </w:t>
      </w:r>
      <w:r w:rsidRPr="00C114B4">
        <w:rPr>
          <w:rFonts w:ascii="Times New Roman" w:hAnsi="Times New Roman" w:cs="Times New Roman"/>
          <w:i/>
          <w:iCs/>
          <w:color w:val="000000" w:themeColor="text1"/>
          <w:sz w:val="24"/>
          <w:szCs w:val="24"/>
        </w:rPr>
        <w:t>International Journal of Environment and Climate Change</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14</w:t>
      </w:r>
      <w:r w:rsidRPr="00C114B4">
        <w:rPr>
          <w:rFonts w:ascii="Times New Roman" w:hAnsi="Times New Roman" w:cs="Times New Roman"/>
          <w:color w:val="000000" w:themeColor="text1"/>
          <w:sz w:val="24"/>
          <w:szCs w:val="24"/>
        </w:rPr>
        <w:t>(2), 287-309.</w:t>
      </w:r>
    </w:p>
    <w:p w14:paraId="0404D689" w14:textId="77777777" w:rsidR="00D870E1" w:rsidRPr="00C114B4" w:rsidRDefault="00D870E1" w:rsidP="00C114B4">
      <w:pPr>
        <w:pStyle w:val="ListParagraph"/>
        <w:spacing w:line="360" w:lineRule="auto"/>
        <w:jc w:val="both"/>
        <w:rPr>
          <w:rFonts w:ascii="Times New Roman" w:eastAsia="Times New Roman" w:hAnsi="Times New Roman" w:cs="Times New Roman"/>
          <w:bCs/>
          <w:sz w:val="24"/>
          <w:szCs w:val="24"/>
          <w:lang w:eastAsia="en-IN"/>
        </w:rPr>
      </w:pPr>
    </w:p>
    <w:p w14:paraId="48A6EED4" w14:textId="77777777" w:rsidR="00D870E1"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C114B4">
        <w:rPr>
          <w:rFonts w:ascii="Times New Roman" w:hAnsi="Times New Roman" w:cs="Times New Roman"/>
          <w:color w:val="000000" w:themeColor="text1"/>
          <w:sz w:val="24"/>
          <w:szCs w:val="24"/>
        </w:rPr>
        <w:t>Siddharam</w:t>
      </w:r>
      <w:proofErr w:type="spellEnd"/>
      <w:r w:rsidRPr="00C114B4">
        <w:rPr>
          <w:rFonts w:ascii="Times New Roman" w:hAnsi="Times New Roman" w:cs="Times New Roman"/>
          <w:color w:val="000000" w:themeColor="text1"/>
          <w:sz w:val="24"/>
          <w:szCs w:val="24"/>
        </w:rPr>
        <w:t xml:space="preserve">, </w:t>
      </w:r>
      <w:proofErr w:type="spellStart"/>
      <w:r w:rsidRPr="00C114B4">
        <w:rPr>
          <w:rFonts w:ascii="Times New Roman" w:hAnsi="Times New Roman" w:cs="Times New Roman"/>
          <w:color w:val="000000" w:themeColor="text1"/>
          <w:sz w:val="24"/>
          <w:szCs w:val="24"/>
        </w:rPr>
        <w:t>Aiswarya</w:t>
      </w:r>
      <w:proofErr w:type="spellEnd"/>
      <w:r w:rsidRPr="00C114B4">
        <w:rPr>
          <w:rFonts w:ascii="Times New Roman" w:hAnsi="Times New Roman" w:cs="Times New Roman"/>
          <w:color w:val="000000" w:themeColor="text1"/>
          <w:sz w:val="24"/>
          <w:szCs w:val="24"/>
        </w:rPr>
        <w:t xml:space="preserve">, L., Rajesh, G. M., </w:t>
      </w:r>
      <w:proofErr w:type="spellStart"/>
      <w:r w:rsidRPr="00C114B4">
        <w:rPr>
          <w:rFonts w:ascii="Times New Roman" w:hAnsi="Times New Roman" w:cs="Times New Roman"/>
          <w:color w:val="000000" w:themeColor="text1"/>
          <w:sz w:val="24"/>
          <w:szCs w:val="24"/>
        </w:rPr>
        <w:t>Gaddikeri</w:t>
      </w:r>
      <w:proofErr w:type="spellEnd"/>
      <w:r w:rsidRPr="00C114B4">
        <w:rPr>
          <w:rFonts w:ascii="Times New Roman" w:hAnsi="Times New Roman" w:cs="Times New Roman"/>
          <w:color w:val="000000" w:themeColor="text1"/>
          <w:sz w:val="24"/>
          <w:szCs w:val="24"/>
        </w:rPr>
        <w:t>, V., Jatav, M. S., Dimple, &amp; Rajput, J. (2024). Assessment and Development of Water Resources with Modern Technologies. In </w:t>
      </w:r>
      <w:r w:rsidRPr="00C114B4">
        <w:rPr>
          <w:rFonts w:ascii="Times New Roman" w:hAnsi="Times New Roman" w:cs="Times New Roman"/>
          <w:i/>
          <w:iCs/>
          <w:color w:val="000000" w:themeColor="text1"/>
          <w:sz w:val="24"/>
          <w:szCs w:val="24"/>
        </w:rPr>
        <w:t>Recent Advancements in Sustainable Agricultural Practices: Harnessing Technology for Water Resources, Irrigation and Environmental Management</w:t>
      </w:r>
      <w:r w:rsidRPr="00C114B4">
        <w:rPr>
          <w:rFonts w:ascii="Times New Roman" w:hAnsi="Times New Roman" w:cs="Times New Roman"/>
          <w:color w:val="000000" w:themeColor="text1"/>
          <w:sz w:val="24"/>
          <w:szCs w:val="24"/>
        </w:rPr>
        <w:t xml:space="preserve"> (pp. 225-245). Singapore: Springer Nature </w:t>
      </w:r>
      <w:commentRangeStart w:id="26"/>
      <w:r w:rsidRPr="00C114B4">
        <w:rPr>
          <w:rFonts w:ascii="Times New Roman" w:hAnsi="Times New Roman" w:cs="Times New Roman"/>
          <w:color w:val="000000" w:themeColor="text1"/>
          <w:sz w:val="24"/>
          <w:szCs w:val="24"/>
        </w:rPr>
        <w:t>Singapore</w:t>
      </w:r>
      <w:commentRangeEnd w:id="26"/>
      <w:r w:rsidR="00CE238F">
        <w:rPr>
          <w:rStyle w:val="CommentReference"/>
          <w:rtl/>
        </w:rPr>
        <w:commentReference w:id="26"/>
      </w:r>
      <w:r w:rsidRPr="00C114B4">
        <w:rPr>
          <w:rFonts w:ascii="Times New Roman" w:hAnsi="Times New Roman" w:cs="Times New Roman"/>
          <w:color w:val="000000" w:themeColor="text1"/>
          <w:sz w:val="24"/>
          <w:szCs w:val="24"/>
        </w:rPr>
        <w:t>.</w:t>
      </w:r>
    </w:p>
    <w:p w14:paraId="6E50613B" w14:textId="77777777" w:rsidR="00233CC1" w:rsidRPr="00233CC1" w:rsidRDefault="00233CC1" w:rsidP="00233CC1">
      <w:pPr>
        <w:pStyle w:val="ListParagraph"/>
        <w:rPr>
          <w:rFonts w:ascii="Times New Roman" w:hAnsi="Times New Roman" w:cs="Times New Roman"/>
          <w:color w:val="000000" w:themeColor="text1"/>
          <w:sz w:val="24"/>
          <w:szCs w:val="24"/>
        </w:rPr>
      </w:pPr>
    </w:p>
    <w:p w14:paraId="4EFC29DD" w14:textId="77777777" w:rsidR="00A2002B" w:rsidRPr="00C114B4" w:rsidRDefault="00A2002B" w:rsidP="00A2002B">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1</w:t>
      </w:r>
      <w:r w:rsidRPr="00C114B4">
        <w:rPr>
          <w:rFonts w:ascii="Times New Roman" w:eastAsia="Times New Roman" w:hAnsi="Times New Roman" w:cs="Times New Roman"/>
          <w:b/>
          <w:bCs/>
          <w:sz w:val="24"/>
          <w:szCs w:val="24"/>
          <w:lang w:eastAsia="en-IN"/>
        </w:rPr>
        <w:t>: Classification of irrigation water based on SAR, RSC, and Na%</w:t>
      </w:r>
    </w:p>
    <w:tbl>
      <w:tblPr>
        <w:tblStyle w:val="TableGridLight"/>
        <w:tblW w:w="9222" w:type="dxa"/>
        <w:tblLook w:val="04A0" w:firstRow="1" w:lastRow="0" w:firstColumn="1" w:lastColumn="0" w:noHBand="0" w:noVBand="1"/>
      </w:tblPr>
      <w:tblGrid>
        <w:gridCol w:w="4477"/>
        <w:gridCol w:w="1459"/>
        <w:gridCol w:w="3286"/>
      </w:tblGrid>
      <w:tr w:rsidR="00A2002B" w:rsidRPr="00C114B4" w14:paraId="302FBB14" w14:textId="77777777" w:rsidTr="005B4DBA">
        <w:trPr>
          <w:trHeight w:val="284"/>
        </w:trPr>
        <w:tc>
          <w:tcPr>
            <w:tcW w:w="0" w:type="auto"/>
            <w:hideMark/>
          </w:tcPr>
          <w:p w14:paraId="3ADEDDA7"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lastRenderedPageBreak/>
              <w:t>Index</w:t>
            </w:r>
          </w:p>
        </w:tc>
        <w:tc>
          <w:tcPr>
            <w:tcW w:w="0" w:type="auto"/>
            <w:hideMark/>
          </w:tcPr>
          <w:p w14:paraId="12EA1C66"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Range</w:t>
            </w:r>
          </w:p>
        </w:tc>
        <w:tc>
          <w:tcPr>
            <w:tcW w:w="0" w:type="auto"/>
            <w:hideMark/>
          </w:tcPr>
          <w:p w14:paraId="3A502888"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Class</w:t>
            </w:r>
          </w:p>
        </w:tc>
      </w:tr>
      <w:tr w:rsidR="00A2002B" w:rsidRPr="00C114B4" w14:paraId="4BC55AE9" w14:textId="77777777" w:rsidTr="005B4DBA">
        <w:trPr>
          <w:trHeight w:val="294"/>
        </w:trPr>
        <w:tc>
          <w:tcPr>
            <w:tcW w:w="0" w:type="auto"/>
            <w:hideMark/>
          </w:tcPr>
          <w:p w14:paraId="3228C7A8"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SAR</w:t>
            </w:r>
            <w:r w:rsidRPr="00C114B4">
              <w:rPr>
                <w:rFonts w:ascii="Times New Roman" w:eastAsia="Times New Roman" w:hAnsi="Times New Roman" w:cs="Times New Roman"/>
                <w:sz w:val="24"/>
                <w:szCs w:val="24"/>
                <w:lang w:eastAsia="en-IN"/>
              </w:rPr>
              <w:t xml:space="preserve"> (Sodium Adsorption Ratio)</w:t>
            </w:r>
          </w:p>
        </w:tc>
        <w:tc>
          <w:tcPr>
            <w:tcW w:w="0" w:type="auto"/>
            <w:hideMark/>
          </w:tcPr>
          <w:p w14:paraId="61804641"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10</w:t>
            </w:r>
          </w:p>
        </w:tc>
        <w:tc>
          <w:tcPr>
            <w:tcW w:w="0" w:type="auto"/>
            <w:hideMark/>
          </w:tcPr>
          <w:p w14:paraId="11141DB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Low sodium hazard</w:t>
            </w:r>
          </w:p>
        </w:tc>
      </w:tr>
      <w:tr w:rsidR="00A2002B" w:rsidRPr="00C114B4" w14:paraId="2B2ADF29" w14:textId="77777777" w:rsidTr="005B4DBA">
        <w:trPr>
          <w:trHeight w:val="284"/>
        </w:trPr>
        <w:tc>
          <w:tcPr>
            <w:tcW w:w="0" w:type="auto"/>
            <w:hideMark/>
          </w:tcPr>
          <w:p w14:paraId="6D3D7D86"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6B05788F"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10 – 18</w:t>
            </w:r>
          </w:p>
        </w:tc>
        <w:tc>
          <w:tcPr>
            <w:tcW w:w="0" w:type="auto"/>
            <w:hideMark/>
          </w:tcPr>
          <w:p w14:paraId="4BEF01F5"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Medium sodium hazard</w:t>
            </w:r>
          </w:p>
        </w:tc>
      </w:tr>
      <w:tr w:rsidR="00A2002B" w:rsidRPr="00C114B4" w14:paraId="77ED7FB7" w14:textId="77777777" w:rsidTr="005B4DBA">
        <w:trPr>
          <w:trHeight w:val="294"/>
        </w:trPr>
        <w:tc>
          <w:tcPr>
            <w:tcW w:w="0" w:type="auto"/>
            <w:hideMark/>
          </w:tcPr>
          <w:p w14:paraId="26BFE27E"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2A60B0E6"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18 – 26</w:t>
            </w:r>
          </w:p>
        </w:tc>
        <w:tc>
          <w:tcPr>
            <w:tcW w:w="0" w:type="auto"/>
            <w:hideMark/>
          </w:tcPr>
          <w:p w14:paraId="5A6F3913"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High sodium hazard</w:t>
            </w:r>
          </w:p>
        </w:tc>
      </w:tr>
      <w:tr w:rsidR="00A2002B" w:rsidRPr="00C114B4" w14:paraId="5A405C8B" w14:textId="77777777" w:rsidTr="005B4DBA">
        <w:trPr>
          <w:trHeight w:val="284"/>
        </w:trPr>
        <w:tc>
          <w:tcPr>
            <w:tcW w:w="0" w:type="auto"/>
            <w:hideMark/>
          </w:tcPr>
          <w:p w14:paraId="6D498C4F"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3998A437"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26</w:t>
            </w:r>
          </w:p>
        </w:tc>
        <w:tc>
          <w:tcPr>
            <w:tcW w:w="0" w:type="auto"/>
            <w:hideMark/>
          </w:tcPr>
          <w:p w14:paraId="2FE0B304"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Very high sodium hazard</w:t>
            </w:r>
          </w:p>
        </w:tc>
      </w:tr>
      <w:tr w:rsidR="00A2002B" w:rsidRPr="00C114B4" w14:paraId="6F9E5582" w14:textId="77777777" w:rsidTr="005B4DBA">
        <w:trPr>
          <w:trHeight w:val="294"/>
        </w:trPr>
        <w:tc>
          <w:tcPr>
            <w:tcW w:w="0" w:type="auto"/>
            <w:hideMark/>
          </w:tcPr>
          <w:p w14:paraId="722B3442"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RSC</w:t>
            </w:r>
            <w:r w:rsidRPr="00C114B4">
              <w:rPr>
                <w:rFonts w:ascii="Times New Roman" w:eastAsia="Times New Roman" w:hAnsi="Times New Roman" w:cs="Times New Roman"/>
                <w:sz w:val="24"/>
                <w:szCs w:val="24"/>
                <w:lang w:eastAsia="en-IN"/>
              </w:rPr>
              <w:t xml:space="preserve"> (Residual Sodium Carbonate)</w:t>
            </w:r>
          </w:p>
        </w:tc>
        <w:tc>
          <w:tcPr>
            <w:tcW w:w="0" w:type="auto"/>
            <w:hideMark/>
          </w:tcPr>
          <w:p w14:paraId="7E80BA2A"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1.25</w:t>
            </w:r>
          </w:p>
        </w:tc>
        <w:tc>
          <w:tcPr>
            <w:tcW w:w="0" w:type="auto"/>
            <w:hideMark/>
          </w:tcPr>
          <w:p w14:paraId="2B72D691"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Safe</w:t>
            </w:r>
          </w:p>
        </w:tc>
      </w:tr>
      <w:tr w:rsidR="00A2002B" w:rsidRPr="00C114B4" w14:paraId="4BF74301" w14:textId="77777777" w:rsidTr="005B4DBA">
        <w:trPr>
          <w:trHeight w:val="294"/>
        </w:trPr>
        <w:tc>
          <w:tcPr>
            <w:tcW w:w="0" w:type="auto"/>
            <w:hideMark/>
          </w:tcPr>
          <w:p w14:paraId="28435E74"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3B8B564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1.25 – 2.5</w:t>
            </w:r>
          </w:p>
        </w:tc>
        <w:tc>
          <w:tcPr>
            <w:tcW w:w="0" w:type="auto"/>
            <w:hideMark/>
          </w:tcPr>
          <w:p w14:paraId="6B7A4007"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Marginally suitable</w:t>
            </w:r>
          </w:p>
        </w:tc>
      </w:tr>
      <w:tr w:rsidR="00A2002B" w:rsidRPr="00C114B4" w14:paraId="2A19C1DE" w14:textId="77777777" w:rsidTr="005B4DBA">
        <w:trPr>
          <w:trHeight w:val="284"/>
        </w:trPr>
        <w:tc>
          <w:tcPr>
            <w:tcW w:w="0" w:type="auto"/>
            <w:hideMark/>
          </w:tcPr>
          <w:p w14:paraId="67D25DF2"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0C6AEBED"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2.5</w:t>
            </w:r>
          </w:p>
        </w:tc>
        <w:tc>
          <w:tcPr>
            <w:tcW w:w="0" w:type="auto"/>
            <w:hideMark/>
          </w:tcPr>
          <w:p w14:paraId="7CE9A2DC"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Unsuitable</w:t>
            </w:r>
          </w:p>
        </w:tc>
      </w:tr>
      <w:tr w:rsidR="00A2002B" w:rsidRPr="00C114B4" w14:paraId="1F35CC29" w14:textId="77777777" w:rsidTr="005B4DBA">
        <w:trPr>
          <w:trHeight w:val="294"/>
        </w:trPr>
        <w:tc>
          <w:tcPr>
            <w:tcW w:w="0" w:type="auto"/>
            <w:hideMark/>
          </w:tcPr>
          <w:p w14:paraId="392F2383"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Na%</w:t>
            </w:r>
            <w:r w:rsidRPr="00C114B4">
              <w:rPr>
                <w:rFonts w:ascii="Times New Roman" w:eastAsia="Times New Roman" w:hAnsi="Times New Roman" w:cs="Times New Roman"/>
                <w:sz w:val="24"/>
                <w:szCs w:val="24"/>
                <w:lang w:eastAsia="en-IN"/>
              </w:rPr>
              <w:t xml:space="preserve"> (Sodium Percentage)</w:t>
            </w:r>
          </w:p>
        </w:tc>
        <w:tc>
          <w:tcPr>
            <w:tcW w:w="0" w:type="auto"/>
            <w:hideMark/>
          </w:tcPr>
          <w:p w14:paraId="60722577"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20</w:t>
            </w:r>
          </w:p>
        </w:tc>
        <w:tc>
          <w:tcPr>
            <w:tcW w:w="0" w:type="auto"/>
            <w:hideMark/>
          </w:tcPr>
          <w:p w14:paraId="16142E02"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Excellent</w:t>
            </w:r>
          </w:p>
        </w:tc>
      </w:tr>
      <w:tr w:rsidR="00A2002B" w:rsidRPr="00C114B4" w14:paraId="0E193A03" w14:textId="77777777" w:rsidTr="005B4DBA">
        <w:trPr>
          <w:trHeight w:val="284"/>
        </w:trPr>
        <w:tc>
          <w:tcPr>
            <w:tcW w:w="0" w:type="auto"/>
            <w:hideMark/>
          </w:tcPr>
          <w:p w14:paraId="6DE5F4A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29E831A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20 – 40</w:t>
            </w:r>
          </w:p>
        </w:tc>
        <w:tc>
          <w:tcPr>
            <w:tcW w:w="0" w:type="auto"/>
            <w:hideMark/>
          </w:tcPr>
          <w:p w14:paraId="4BC6362D"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Good</w:t>
            </w:r>
          </w:p>
        </w:tc>
      </w:tr>
      <w:tr w:rsidR="00A2002B" w:rsidRPr="00C114B4" w14:paraId="77C1C3B3" w14:textId="77777777" w:rsidTr="005B4DBA">
        <w:trPr>
          <w:trHeight w:val="294"/>
        </w:trPr>
        <w:tc>
          <w:tcPr>
            <w:tcW w:w="0" w:type="auto"/>
            <w:hideMark/>
          </w:tcPr>
          <w:p w14:paraId="78D33A83"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5A78A0FC"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40 – 60</w:t>
            </w:r>
          </w:p>
        </w:tc>
        <w:tc>
          <w:tcPr>
            <w:tcW w:w="0" w:type="auto"/>
            <w:hideMark/>
          </w:tcPr>
          <w:p w14:paraId="60C4C4E1"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Permissible</w:t>
            </w:r>
          </w:p>
        </w:tc>
      </w:tr>
      <w:tr w:rsidR="00A2002B" w:rsidRPr="00C114B4" w14:paraId="01168A32" w14:textId="77777777" w:rsidTr="005B4DBA">
        <w:trPr>
          <w:trHeight w:val="294"/>
        </w:trPr>
        <w:tc>
          <w:tcPr>
            <w:tcW w:w="0" w:type="auto"/>
            <w:hideMark/>
          </w:tcPr>
          <w:p w14:paraId="5F7DB3AB"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74629AE2"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60 – 80</w:t>
            </w:r>
          </w:p>
        </w:tc>
        <w:tc>
          <w:tcPr>
            <w:tcW w:w="0" w:type="auto"/>
            <w:hideMark/>
          </w:tcPr>
          <w:p w14:paraId="05DCC24C"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Doubtful</w:t>
            </w:r>
          </w:p>
        </w:tc>
      </w:tr>
      <w:tr w:rsidR="00A2002B" w:rsidRPr="00C114B4" w14:paraId="75CB01EC" w14:textId="77777777" w:rsidTr="005B4DBA">
        <w:trPr>
          <w:trHeight w:val="284"/>
        </w:trPr>
        <w:tc>
          <w:tcPr>
            <w:tcW w:w="0" w:type="auto"/>
            <w:hideMark/>
          </w:tcPr>
          <w:p w14:paraId="58C05690"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p>
        </w:tc>
        <w:tc>
          <w:tcPr>
            <w:tcW w:w="0" w:type="auto"/>
            <w:hideMark/>
          </w:tcPr>
          <w:p w14:paraId="65C5A735"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80</w:t>
            </w:r>
          </w:p>
        </w:tc>
        <w:tc>
          <w:tcPr>
            <w:tcW w:w="0" w:type="auto"/>
            <w:hideMark/>
          </w:tcPr>
          <w:p w14:paraId="6AAC79D6" w14:textId="77777777" w:rsidR="00A2002B" w:rsidRPr="00C114B4" w:rsidRDefault="00A2002B" w:rsidP="005B4DBA">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Unsuitable</w:t>
            </w:r>
          </w:p>
        </w:tc>
      </w:tr>
    </w:tbl>
    <w:p w14:paraId="0263F009" w14:textId="77777777" w:rsidR="00A2002B" w:rsidRDefault="00A2002B" w:rsidP="00A2002B">
      <w:pPr>
        <w:pStyle w:val="ListParagraph"/>
        <w:spacing w:line="360" w:lineRule="auto"/>
        <w:jc w:val="both"/>
        <w:rPr>
          <w:rFonts w:ascii="Times New Roman" w:hAnsi="Times New Roman" w:cs="Times New Roman"/>
          <w:color w:val="000000" w:themeColor="text1"/>
          <w:sz w:val="24"/>
          <w:szCs w:val="24"/>
        </w:rPr>
      </w:pPr>
    </w:p>
    <w:p w14:paraId="1823C5F7" w14:textId="77777777" w:rsidR="00A2002B" w:rsidRPr="00C114B4" w:rsidRDefault="00A2002B" w:rsidP="00A2002B">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2</w:t>
      </w:r>
      <w:r w:rsidRPr="00C114B4">
        <w:rPr>
          <w:rFonts w:ascii="Times New Roman" w:eastAsia="Times New Roman" w:hAnsi="Times New Roman" w:cs="Times New Roman"/>
          <w:b/>
          <w:bCs/>
          <w:sz w:val="24"/>
          <w:szCs w:val="24"/>
          <w:lang w:eastAsia="en-IN"/>
        </w:rPr>
        <w:t>: Statistics of Groundwater Quality Parameters Compared with WHO Guidelines</w:t>
      </w:r>
    </w:p>
    <w:tbl>
      <w:tblPr>
        <w:tblStyle w:val="TableGridLight"/>
        <w:tblW w:w="0" w:type="auto"/>
        <w:tblLook w:val="04A0" w:firstRow="1" w:lastRow="0" w:firstColumn="1" w:lastColumn="0" w:noHBand="0" w:noVBand="1"/>
      </w:tblPr>
      <w:tblGrid>
        <w:gridCol w:w="1407"/>
        <w:gridCol w:w="839"/>
        <w:gridCol w:w="1243"/>
        <w:gridCol w:w="1283"/>
        <w:gridCol w:w="803"/>
        <w:gridCol w:w="1818"/>
        <w:gridCol w:w="1623"/>
      </w:tblGrid>
      <w:tr w:rsidR="00A2002B" w:rsidRPr="00C114B4" w14:paraId="2CB51387" w14:textId="77777777" w:rsidTr="005B4DBA">
        <w:tc>
          <w:tcPr>
            <w:tcW w:w="0" w:type="auto"/>
            <w:hideMark/>
          </w:tcPr>
          <w:p w14:paraId="2F6E5326"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Parameter</w:t>
            </w:r>
          </w:p>
        </w:tc>
        <w:tc>
          <w:tcPr>
            <w:tcW w:w="0" w:type="auto"/>
            <w:hideMark/>
          </w:tcPr>
          <w:p w14:paraId="3678980C"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Unit</w:t>
            </w:r>
          </w:p>
        </w:tc>
        <w:tc>
          <w:tcPr>
            <w:tcW w:w="0" w:type="auto"/>
            <w:hideMark/>
          </w:tcPr>
          <w:p w14:paraId="4B6DC386"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Minimum</w:t>
            </w:r>
          </w:p>
        </w:tc>
        <w:tc>
          <w:tcPr>
            <w:tcW w:w="0" w:type="auto"/>
            <w:hideMark/>
          </w:tcPr>
          <w:p w14:paraId="4CF2CA3D"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Maximum</w:t>
            </w:r>
          </w:p>
        </w:tc>
        <w:tc>
          <w:tcPr>
            <w:tcW w:w="0" w:type="auto"/>
            <w:hideMark/>
          </w:tcPr>
          <w:p w14:paraId="194568D8"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Mean</w:t>
            </w:r>
          </w:p>
        </w:tc>
        <w:tc>
          <w:tcPr>
            <w:tcW w:w="0" w:type="auto"/>
            <w:hideMark/>
          </w:tcPr>
          <w:p w14:paraId="16D3E26A"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Standard Deviation</w:t>
            </w:r>
          </w:p>
        </w:tc>
        <w:tc>
          <w:tcPr>
            <w:tcW w:w="0" w:type="auto"/>
            <w:hideMark/>
          </w:tcPr>
          <w:p w14:paraId="59A1BBF9" w14:textId="77777777" w:rsidR="00A2002B" w:rsidRPr="00C114B4" w:rsidRDefault="00A2002B" w:rsidP="005B4DBA">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WHO Guideline</w:t>
            </w:r>
          </w:p>
        </w:tc>
      </w:tr>
      <w:tr w:rsidR="00A2002B" w:rsidRPr="00C114B4" w14:paraId="730BF88C" w14:textId="77777777" w:rsidTr="005B4DBA">
        <w:tc>
          <w:tcPr>
            <w:tcW w:w="0" w:type="auto"/>
            <w:hideMark/>
          </w:tcPr>
          <w:p w14:paraId="39BAF43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pH</w:t>
            </w:r>
          </w:p>
        </w:tc>
        <w:tc>
          <w:tcPr>
            <w:tcW w:w="0" w:type="auto"/>
            <w:hideMark/>
          </w:tcPr>
          <w:p w14:paraId="5438ABF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c>
          <w:tcPr>
            <w:tcW w:w="0" w:type="auto"/>
            <w:hideMark/>
          </w:tcPr>
          <w:p w14:paraId="1D29FA7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7.8</w:t>
            </w:r>
          </w:p>
        </w:tc>
        <w:tc>
          <w:tcPr>
            <w:tcW w:w="0" w:type="auto"/>
            <w:hideMark/>
          </w:tcPr>
          <w:p w14:paraId="6E7AC25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8.9</w:t>
            </w:r>
          </w:p>
        </w:tc>
        <w:tc>
          <w:tcPr>
            <w:tcW w:w="0" w:type="auto"/>
            <w:hideMark/>
          </w:tcPr>
          <w:p w14:paraId="767E109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8.5</w:t>
            </w:r>
          </w:p>
        </w:tc>
        <w:tc>
          <w:tcPr>
            <w:tcW w:w="0" w:type="auto"/>
            <w:hideMark/>
          </w:tcPr>
          <w:p w14:paraId="5D4E74D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0.3</w:t>
            </w:r>
          </w:p>
        </w:tc>
        <w:tc>
          <w:tcPr>
            <w:tcW w:w="0" w:type="auto"/>
            <w:hideMark/>
          </w:tcPr>
          <w:p w14:paraId="25E5918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6.5 – 8.5</w:t>
            </w:r>
          </w:p>
        </w:tc>
      </w:tr>
      <w:tr w:rsidR="00A2002B" w:rsidRPr="00C114B4" w14:paraId="163E3FF4" w14:textId="77777777" w:rsidTr="005B4DBA">
        <w:tc>
          <w:tcPr>
            <w:tcW w:w="0" w:type="auto"/>
            <w:hideMark/>
          </w:tcPr>
          <w:p w14:paraId="2D4B0846"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EC</w:t>
            </w:r>
          </w:p>
        </w:tc>
        <w:tc>
          <w:tcPr>
            <w:tcW w:w="0" w:type="auto"/>
            <w:hideMark/>
          </w:tcPr>
          <w:p w14:paraId="3289312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proofErr w:type="spellStart"/>
            <w:r w:rsidRPr="00C114B4">
              <w:rPr>
                <w:rFonts w:ascii="Times New Roman" w:eastAsia="Times New Roman" w:hAnsi="Times New Roman" w:cs="Times New Roman"/>
                <w:sz w:val="24"/>
                <w:szCs w:val="24"/>
                <w:lang w:eastAsia="en-IN"/>
              </w:rPr>
              <w:t>μS</w:t>
            </w:r>
            <w:proofErr w:type="spellEnd"/>
            <w:r w:rsidRPr="00C114B4">
              <w:rPr>
                <w:rFonts w:ascii="Times New Roman" w:eastAsia="Times New Roman" w:hAnsi="Times New Roman" w:cs="Times New Roman"/>
                <w:sz w:val="24"/>
                <w:szCs w:val="24"/>
                <w:lang w:eastAsia="en-IN"/>
              </w:rPr>
              <w:t>/cm</w:t>
            </w:r>
          </w:p>
        </w:tc>
        <w:tc>
          <w:tcPr>
            <w:tcW w:w="0" w:type="auto"/>
            <w:hideMark/>
          </w:tcPr>
          <w:p w14:paraId="5430A40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380</w:t>
            </w:r>
          </w:p>
        </w:tc>
        <w:tc>
          <w:tcPr>
            <w:tcW w:w="0" w:type="auto"/>
            <w:hideMark/>
          </w:tcPr>
          <w:p w14:paraId="6912679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2630</w:t>
            </w:r>
          </w:p>
        </w:tc>
        <w:tc>
          <w:tcPr>
            <w:tcW w:w="0" w:type="auto"/>
            <w:hideMark/>
          </w:tcPr>
          <w:p w14:paraId="021D79D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1146</w:t>
            </w:r>
          </w:p>
        </w:tc>
        <w:tc>
          <w:tcPr>
            <w:tcW w:w="0" w:type="auto"/>
            <w:hideMark/>
          </w:tcPr>
          <w:p w14:paraId="3FD78FA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586</w:t>
            </w:r>
          </w:p>
        </w:tc>
        <w:tc>
          <w:tcPr>
            <w:tcW w:w="0" w:type="auto"/>
            <w:hideMark/>
          </w:tcPr>
          <w:p w14:paraId="4BAF117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1500</w:t>
            </w:r>
          </w:p>
        </w:tc>
      </w:tr>
      <w:tr w:rsidR="00A2002B" w:rsidRPr="00C114B4" w14:paraId="7E0A8F1D" w14:textId="77777777" w:rsidTr="005B4DBA">
        <w:tc>
          <w:tcPr>
            <w:tcW w:w="0" w:type="auto"/>
            <w:hideMark/>
          </w:tcPr>
          <w:p w14:paraId="6D2823D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TDS</w:t>
            </w:r>
          </w:p>
        </w:tc>
        <w:tc>
          <w:tcPr>
            <w:tcW w:w="0" w:type="auto"/>
            <w:hideMark/>
          </w:tcPr>
          <w:p w14:paraId="37F3014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0084366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214</w:t>
            </w:r>
          </w:p>
        </w:tc>
        <w:tc>
          <w:tcPr>
            <w:tcW w:w="0" w:type="auto"/>
            <w:hideMark/>
          </w:tcPr>
          <w:p w14:paraId="6B27660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1598</w:t>
            </w:r>
          </w:p>
        </w:tc>
        <w:tc>
          <w:tcPr>
            <w:tcW w:w="0" w:type="auto"/>
            <w:hideMark/>
          </w:tcPr>
          <w:p w14:paraId="61811FB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700</w:t>
            </w:r>
          </w:p>
        </w:tc>
        <w:tc>
          <w:tcPr>
            <w:tcW w:w="0" w:type="auto"/>
            <w:hideMark/>
          </w:tcPr>
          <w:p w14:paraId="31AB5FE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367</w:t>
            </w:r>
          </w:p>
        </w:tc>
        <w:tc>
          <w:tcPr>
            <w:tcW w:w="0" w:type="auto"/>
            <w:hideMark/>
          </w:tcPr>
          <w:p w14:paraId="168B6E1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1000</w:t>
            </w:r>
          </w:p>
        </w:tc>
      </w:tr>
      <w:tr w:rsidR="00A2002B" w:rsidRPr="00C114B4" w14:paraId="20194F56" w14:textId="77777777" w:rsidTr="005B4DBA">
        <w:tc>
          <w:tcPr>
            <w:tcW w:w="0" w:type="auto"/>
            <w:hideMark/>
          </w:tcPr>
          <w:p w14:paraId="76213EE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Ca²⁺</w:t>
            </w:r>
          </w:p>
        </w:tc>
        <w:tc>
          <w:tcPr>
            <w:tcW w:w="0" w:type="auto"/>
            <w:hideMark/>
          </w:tcPr>
          <w:p w14:paraId="7477D97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34DDD20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2.4</w:t>
            </w:r>
          </w:p>
        </w:tc>
        <w:tc>
          <w:tcPr>
            <w:tcW w:w="0" w:type="auto"/>
            <w:hideMark/>
          </w:tcPr>
          <w:p w14:paraId="3CCFAB9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68</w:t>
            </w:r>
          </w:p>
        </w:tc>
        <w:tc>
          <w:tcPr>
            <w:tcW w:w="0" w:type="auto"/>
            <w:hideMark/>
          </w:tcPr>
          <w:p w14:paraId="05F59CA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14.6</w:t>
            </w:r>
          </w:p>
        </w:tc>
        <w:tc>
          <w:tcPr>
            <w:tcW w:w="0" w:type="auto"/>
            <w:hideMark/>
          </w:tcPr>
          <w:p w14:paraId="3A87E81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13.8</w:t>
            </w:r>
          </w:p>
        </w:tc>
        <w:tc>
          <w:tcPr>
            <w:tcW w:w="0" w:type="auto"/>
            <w:hideMark/>
          </w:tcPr>
          <w:p w14:paraId="0ADECAD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75</w:t>
            </w:r>
          </w:p>
        </w:tc>
      </w:tr>
      <w:tr w:rsidR="00A2002B" w:rsidRPr="00C114B4" w14:paraId="02E62FAA" w14:textId="77777777" w:rsidTr="005B4DBA">
        <w:tc>
          <w:tcPr>
            <w:tcW w:w="0" w:type="auto"/>
            <w:hideMark/>
          </w:tcPr>
          <w:p w14:paraId="060561E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Mg²⁺</w:t>
            </w:r>
          </w:p>
        </w:tc>
        <w:tc>
          <w:tcPr>
            <w:tcW w:w="0" w:type="auto"/>
            <w:hideMark/>
          </w:tcPr>
          <w:p w14:paraId="178A5FB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3287E10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12.15</w:t>
            </w:r>
          </w:p>
        </w:tc>
        <w:tc>
          <w:tcPr>
            <w:tcW w:w="0" w:type="auto"/>
            <w:hideMark/>
          </w:tcPr>
          <w:p w14:paraId="21D09DB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140.94</w:t>
            </w:r>
          </w:p>
        </w:tc>
        <w:tc>
          <w:tcPr>
            <w:tcW w:w="0" w:type="auto"/>
            <w:hideMark/>
          </w:tcPr>
          <w:p w14:paraId="5B3E421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60.7</w:t>
            </w:r>
          </w:p>
        </w:tc>
        <w:tc>
          <w:tcPr>
            <w:tcW w:w="0" w:type="auto"/>
            <w:hideMark/>
          </w:tcPr>
          <w:p w14:paraId="7E7ABF20"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34.4</w:t>
            </w:r>
          </w:p>
        </w:tc>
        <w:tc>
          <w:tcPr>
            <w:tcW w:w="0" w:type="auto"/>
            <w:hideMark/>
          </w:tcPr>
          <w:p w14:paraId="46032D1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50</w:t>
            </w:r>
          </w:p>
        </w:tc>
      </w:tr>
      <w:tr w:rsidR="00A2002B" w:rsidRPr="00C114B4" w14:paraId="3819C6E7" w14:textId="77777777" w:rsidTr="005B4DBA">
        <w:tc>
          <w:tcPr>
            <w:tcW w:w="0" w:type="auto"/>
            <w:hideMark/>
          </w:tcPr>
          <w:p w14:paraId="53BF51D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Na⁺</w:t>
            </w:r>
          </w:p>
        </w:tc>
        <w:tc>
          <w:tcPr>
            <w:tcW w:w="0" w:type="auto"/>
            <w:hideMark/>
          </w:tcPr>
          <w:p w14:paraId="6DB3911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1CD1934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23</w:t>
            </w:r>
          </w:p>
        </w:tc>
        <w:tc>
          <w:tcPr>
            <w:tcW w:w="0" w:type="auto"/>
            <w:hideMark/>
          </w:tcPr>
          <w:p w14:paraId="2F0C74C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391</w:t>
            </w:r>
          </w:p>
        </w:tc>
        <w:tc>
          <w:tcPr>
            <w:tcW w:w="0" w:type="auto"/>
            <w:hideMark/>
          </w:tcPr>
          <w:p w14:paraId="0BE973B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142</w:t>
            </w:r>
          </w:p>
        </w:tc>
        <w:tc>
          <w:tcPr>
            <w:tcW w:w="0" w:type="auto"/>
            <w:hideMark/>
          </w:tcPr>
          <w:p w14:paraId="16087FB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84</w:t>
            </w:r>
          </w:p>
        </w:tc>
        <w:tc>
          <w:tcPr>
            <w:tcW w:w="0" w:type="auto"/>
            <w:hideMark/>
          </w:tcPr>
          <w:p w14:paraId="5F1808E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200</w:t>
            </w:r>
          </w:p>
        </w:tc>
      </w:tr>
      <w:tr w:rsidR="00A2002B" w:rsidRPr="00C114B4" w14:paraId="1B9779DD" w14:textId="77777777" w:rsidTr="005B4DBA">
        <w:tc>
          <w:tcPr>
            <w:tcW w:w="0" w:type="auto"/>
            <w:hideMark/>
          </w:tcPr>
          <w:p w14:paraId="4FF06EF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K⁺</w:t>
            </w:r>
          </w:p>
        </w:tc>
        <w:tc>
          <w:tcPr>
            <w:tcW w:w="0" w:type="auto"/>
            <w:hideMark/>
          </w:tcPr>
          <w:p w14:paraId="55DE253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6478CB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w:t>
            </w:r>
          </w:p>
        </w:tc>
        <w:tc>
          <w:tcPr>
            <w:tcW w:w="0" w:type="auto"/>
            <w:hideMark/>
          </w:tcPr>
          <w:p w14:paraId="41EF515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186</w:t>
            </w:r>
          </w:p>
        </w:tc>
        <w:tc>
          <w:tcPr>
            <w:tcW w:w="0" w:type="auto"/>
            <w:hideMark/>
          </w:tcPr>
          <w:p w14:paraId="150FEA78"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30</w:t>
            </w:r>
          </w:p>
        </w:tc>
        <w:tc>
          <w:tcPr>
            <w:tcW w:w="0" w:type="auto"/>
            <w:hideMark/>
          </w:tcPr>
          <w:p w14:paraId="1EA2C71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w:t>
            </w:r>
          </w:p>
        </w:tc>
        <w:tc>
          <w:tcPr>
            <w:tcW w:w="0" w:type="auto"/>
            <w:hideMark/>
          </w:tcPr>
          <w:p w14:paraId="65BCEB30"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w:t>
            </w:r>
          </w:p>
        </w:tc>
      </w:tr>
      <w:tr w:rsidR="00A2002B" w:rsidRPr="00C114B4" w14:paraId="611A3906" w14:textId="77777777" w:rsidTr="005B4DBA">
        <w:tc>
          <w:tcPr>
            <w:tcW w:w="0" w:type="auto"/>
            <w:hideMark/>
          </w:tcPr>
          <w:p w14:paraId="1D2ADC9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Cl⁻</w:t>
            </w:r>
          </w:p>
        </w:tc>
        <w:tc>
          <w:tcPr>
            <w:tcW w:w="0" w:type="auto"/>
            <w:hideMark/>
          </w:tcPr>
          <w:p w14:paraId="105C72E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5AFF12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35</w:t>
            </w:r>
          </w:p>
        </w:tc>
        <w:tc>
          <w:tcPr>
            <w:tcW w:w="0" w:type="auto"/>
            <w:hideMark/>
          </w:tcPr>
          <w:p w14:paraId="09C3A06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780</w:t>
            </w:r>
          </w:p>
        </w:tc>
        <w:tc>
          <w:tcPr>
            <w:tcW w:w="0" w:type="auto"/>
            <w:hideMark/>
          </w:tcPr>
          <w:p w14:paraId="30EDD94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173</w:t>
            </w:r>
          </w:p>
        </w:tc>
        <w:tc>
          <w:tcPr>
            <w:tcW w:w="0" w:type="auto"/>
            <w:hideMark/>
          </w:tcPr>
          <w:p w14:paraId="2FB5394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135</w:t>
            </w:r>
          </w:p>
        </w:tc>
        <w:tc>
          <w:tcPr>
            <w:tcW w:w="0" w:type="auto"/>
            <w:hideMark/>
          </w:tcPr>
          <w:p w14:paraId="56644E3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250</w:t>
            </w:r>
          </w:p>
        </w:tc>
      </w:tr>
      <w:tr w:rsidR="00A2002B" w:rsidRPr="00C114B4" w14:paraId="27D67135" w14:textId="77777777" w:rsidTr="005B4DBA">
        <w:tc>
          <w:tcPr>
            <w:tcW w:w="0" w:type="auto"/>
            <w:hideMark/>
          </w:tcPr>
          <w:p w14:paraId="460A843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SO₄²⁻</w:t>
            </w:r>
          </w:p>
        </w:tc>
        <w:tc>
          <w:tcPr>
            <w:tcW w:w="0" w:type="auto"/>
            <w:hideMark/>
          </w:tcPr>
          <w:p w14:paraId="1C7F983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6600169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w:t>
            </w:r>
          </w:p>
        </w:tc>
        <w:tc>
          <w:tcPr>
            <w:tcW w:w="0" w:type="auto"/>
            <w:hideMark/>
          </w:tcPr>
          <w:p w14:paraId="2C7005D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451</w:t>
            </w:r>
          </w:p>
        </w:tc>
        <w:tc>
          <w:tcPr>
            <w:tcW w:w="0" w:type="auto"/>
            <w:hideMark/>
          </w:tcPr>
          <w:p w14:paraId="609DA2A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80</w:t>
            </w:r>
          </w:p>
        </w:tc>
        <w:tc>
          <w:tcPr>
            <w:tcW w:w="0" w:type="auto"/>
            <w:hideMark/>
          </w:tcPr>
          <w:p w14:paraId="1A7704A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73</w:t>
            </w:r>
          </w:p>
        </w:tc>
        <w:tc>
          <w:tcPr>
            <w:tcW w:w="0" w:type="auto"/>
            <w:hideMark/>
          </w:tcPr>
          <w:p w14:paraId="62F9E516"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250</w:t>
            </w:r>
          </w:p>
        </w:tc>
      </w:tr>
      <w:tr w:rsidR="00A2002B" w:rsidRPr="00C114B4" w14:paraId="4FE41137" w14:textId="77777777" w:rsidTr="005B4DBA">
        <w:tc>
          <w:tcPr>
            <w:tcW w:w="0" w:type="auto"/>
            <w:hideMark/>
          </w:tcPr>
          <w:p w14:paraId="68C1CD8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CO₃²⁻</w:t>
            </w:r>
          </w:p>
        </w:tc>
        <w:tc>
          <w:tcPr>
            <w:tcW w:w="0" w:type="auto"/>
            <w:hideMark/>
          </w:tcPr>
          <w:p w14:paraId="6DF694A0"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27B09D2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w:t>
            </w:r>
          </w:p>
        </w:tc>
        <w:tc>
          <w:tcPr>
            <w:tcW w:w="0" w:type="auto"/>
            <w:hideMark/>
          </w:tcPr>
          <w:p w14:paraId="3D89077B"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w:t>
            </w:r>
          </w:p>
        </w:tc>
        <w:tc>
          <w:tcPr>
            <w:tcW w:w="0" w:type="auto"/>
            <w:hideMark/>
          </w:tcPr>
          <w:p w14:paraId="4CF0C343"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w:t>
            </w:r>
          </w:p>
        </w:tc>
        <w:tc>
          <w:tcPr>
            <w:tcW w:w="0" w:type="auto"/>
            <w:hideMark/>
          </w:tcPr>
          <w:p w14:paraId="4B7FC96A"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11</w:t>
            </w:r>
          </w:p>
        </w:tc>
        <w:tc>
          <w:tcPr>
            <w:tcW w:w="0" w:type="auto"/>
            <w:hideMark/>
          </w:tcPr>
          <w:p w14:paraId="005ECCD1"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r>
      <w:tr w:rsidR="00A2002B" w:rsidRPr="00C114B4" w14:paraId="48162A6F" w14:textId="77777777" w:rsidTr="005B4DBA">
        <w:tc>
          <w:tcPr>
            <w:tcW w:w="0" w:type="auto"/>
            <w:hideMark/>
          </w:tcPr>
          <w:p w14:paraId="7B755A06"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HCO₃⁻</w:t>
            </w:r>
          </w:p>
        </w:tc>
        <w:tc>
          <w:tcPr>
            <w:tcW w:w="0" w:type="auto"/>
            <w:hideMark/>
          </w:tcPr>
          <w:p w14:paraId="600B87B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3563960F"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84.7</w:t>
            </w:r>
          </w:p>
        </w:tc>
        <w:tc>
          <w:tcPr>
            <w:tcW w:w="0" w:type="auto"/>
            <w:hideMark/>
          </w:tcPr>
          <w:p w14:paraId="488097F6"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671</w:t>
            </w:r>
          </w:p>
        </w:tc>
        <w:tc>
          <w:tcPr>
            <w:tcW w:w="0" w:type="auto"/>
            <w:hideMark/>
          </w:tcPr>
          <w:p w14:paraId="0852A26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275</w:t>
            </w:r>
          </w:p>
        </w:tc>
        <w:tc>
          <w:tcPr>
            <w:tcW w:w="0" w:type="auto"/>
            <w:hideMark/>
          </w:tcPr>
          <w:p w14:paraId="652CB0F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138</w:t>
            </w:r>
          </w:p>
        </w:tc>
        <w:tc>
          <w:tcPr>
            <w:tcW w:w="0" w:type="auto"/>
            <w:hideMark/>
          </w:tcPr>
          <w:p w14:paraId="7E8ED1D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r>
      <w:tr w:rsidR="00A2002B" w:rsidRPr="00C114B4" w14:paraId="3B339A6F" w14:textId="77777777" w:rsidTr="005B4DBA">
        <w:trPr>
          <w:trHeight w:val="255"/>
        </w:trPr>
        <w:tc>
          <w:tcPr>
            <w:tcW w:w="0" w:type="auto"/>
            <w:hideMark/>
          </w:tcPr>
          <w:p w14:paraId="1566B6A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NO₂⁻ + NO₃⁻</w:t>
            </w:r>
          </w:p>
        </w:tc>
        <w:tc>
          <w:tcPr>
            <w:tcW w:w="0" w:type="auto"/>
            <w:hideMark/>
          </w:tcPr>
          <w:p w14:paraId="207AAFDD"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1DB980C9"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w:t>
            </w:r>
          </w:p>
        </w:tc>
        <w:tc>
          <w:tcPr>
            <w:tcW w:w="0" w:type="auto"/>
            <w:hideMark/>
          </w:tcPr>
          <w:p w14:paraId="708E6E24"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168</w:t>
            </w:r>
          </w:p>
        </w:tc>
        <w:tc>
          <w:tcPr>
            <w:tcW w:w="0" w:type="auto"/>
            <w:hideMark/>
          </w:tcPr>
          <w:p w14:paraId="2324541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56</w:t>
            </w:r>
          </w:p>
        </w:tc>
        <w:tc>
          <w:tcPr>
            <w:tcW w:w="0" w:type="auto"/>
            <w:hideMark/>
          </w:tcPr>
          <w:p w14:paraId="43BAB75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38</w:t>
            </w:r>
          </w:p>
        </w:tc>
        <w:tc>
          <w:tcPr>
            <w:tcW w:w="0" w:type="auto"/>
            <w:hideMark/>
          </w:tcPr>
          <w:p w14:paraId="6D178AC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50</w:t>
            </w:r>
          </w:p>
        </w:tc>
      </w:tr>
      <w:tr w:rsidR="00A2002B" w:rsidRPr="00C114B4" w14:paraId="3CE96E86" w14:textId="77777777" w:rsidTr="005B4DBA">
        <w:tc>
          <w:tcPr>
            <w:tcW w:w="0" w:type="auto"/>
            <w:hideMark/>
          </w:tcPr>
          <w:p w14:paraId="45B85955"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F⁻</w:t>
            </w:r>
          </w:p>
        </w:tc>
        <w:tc>
          <w:tcPr>
            <w:tcW w:w="0" w:type="auto"/>
            <w:hideMark/>
          </w:tcPr>
          <w:p w14:paraId="4C47F6E2"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7FD7103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0.05</w:t>
            </w:r>
          </w:p>
        </w:tc>
        <w:tc>
          <w:tcPr>
            <w:tcW w:w="0" w:type="auto"/>
            <w:hideMark/>
          </w:tcPr>
          <w:p w14:paraId="78971A0C"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1.62</w:t>
            </w:r>
          </w:p>
        </w:tc>
        <w:tc>
          <w:tcPr>
            <w:tcW w:w="0" w:type="auto"/>
            <w:hideMark/>
          </w:tcPr>
          <w:p w14:paraId="57CF448E"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0.73</w:t>
            </w:r>
          </w:p>
        </w:tc>
        <w:tc>
          <w:tcPr>
            <w:tcW w:w="0" w:type="auto"/>
            <w:hideMark/>
          </w:tcPr>
          <w:p w14:paraId="4585E1B7"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0.37</w:t>
            </w:r>
          </w:p>
        </w:tc>
        <w:tc>
          <w:tcPr>
            <w:tcW w:w="0" w:type="auto"/>
            <w:hideMark/>
          </w:tcPr>
          <w:p w14:paraId="3C30F310" w14:textId="77777777" w:rsidR="00A2002B" w:rsidRPr="00C114B4" w:rsidRDefault="00A2002B" w:rsidP="005B4DBA">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w:t>
            </w:r>
          </w:p>
        </w:tc>
      </w:tr>
    </w:tbl>
    <w:p w14:paraId="0381E6AA" w14:textId="77777777" w:rsidR="00A2002B" w:rsidRPr="00C114B4" w:rsidRDefault="00A2002B" w:rsidP="00A2002B">
      <w:pPr>
        <w:pStyle w:val="ListParagraph"/>
        <w:spacing w:line="360" w:lineRule="auto"/>
        <w:jc w:val="both"/>
        <w:rPr>
          <w:rFonts w:ascii="Times New Roman" w:hAnsi="Times New Roman" w:cs="Times New Roman"/>
          <w:color w:val="000000" w:themeColor="text1"/>
          <w:sz w:val="24"/>
          <w:szCs w:val="24"/>
        </w:rPr>
      </w:pPr>
    </w:p>
    <w:p w14:paraId="47252989" w14:textId="77777777" w:rsidR="00D870E1" w:rsidRPr="000F1793" w:rsidRDefault="00D870E1" w:rsidP="000F1793">
      <w:pPr>
        <w:spacing w:line="360" w:lineRule="auto"/>
        <w:ind w:left="360"/>
        <w:jc w:val="both"/>
        <w:rPr>
          <w:rFonts w:ascii="Times New Roman" w:eastAsia="Times New Roman" w:hAnsi="Times New Roman" w:cs="Times New Roman"/>
          <w:bCs/>
          <w:sz w:val="24"/>
          <w:szCs w:val="24"/>
          <w:lang w:eastAsia="en-IN"/>
        </w:rPr>
      </w:pPr>
    </w:p>
    <w:p w14:paraId="77B74389" w14:textId="77777777" w:rsidR="00DD7845" w:rsidRDefault="00DD7845" w:rsidP="00C114B4">
      <w:pPr>
        <w:spacing w:line="360" w:lineRule="auto"/>
        <w:jc w:val="both"/>
        <w:rPr>
          <w:rFonts w:ascii="Times New Roman" w:hAnsi="Times New Roman" w:cs="Times New Roman"/>
        </w:rPr>
      </w:pPr>
    </w:p>
    <w:p w14:paraId="2EE9B538" w14:textId="77777777" w:rsidR="00A2002B" w:rsidRDefault="00A2002B" w:rsidP="00C114B4">
      <w:pPr>
        <w:spacing w:line="360" w:lineRule="auto"/>
        <w:jc w:val="both"/>
        <w:rPr>
          <w:rFonts w:ascii="Times New Roman" w:hAnsi="Times New Roman" w:cs="Times New Roman"/>
        </w:rPr>
      </w:pPr>
    </w:p>
    <w:p w14:paraId="0150E015" w14:textId="77777777" w:rsidR="00A2002B" w:rsidRDefault="00A2002B" w:rsidP="00C114B4">
      <w:pPr>
        <w:spacing w:line="360" w:lineRule="auto"/>
        <w:jc w:val="both"/>
        <w:rPr>
          <w:rFonts w:ascii="Times New Roman" w:hAnsi="Times New Roman" w:cs="Times New Roman"/>
        </w:rPr>
      </w:pPr>
    </w:p>
    <w:p w14:paraId="27029CD4" w14:textId="77777777" w:rsidR="00A2002B" w:rsidRDefault="00A2002B" w:rsidP="00C114B4">
      <w:pPr>
        <w:spacing w:line="360" w:lineRule="auto"/>
        <w:jc w:val="both"/>
        <w:rPr>
          <w:rFonts w:ascii="Times New Roman" w:hAnsi="Times New Roman" w:cs="Times New Roman"/>
        </w:rPr>
      </w:pPr>
    </w:p>
    <w:tbl>
      <w:tblPr>
        <w:tblStyle w:val="TableGrid"/>
        <w:tblpPr w:leftFromText="180" w:rightFromText="180" w:vertAnchor="text" w:horzAnchor="margin" w:tblpXSpec="center" w:tblpY="-61"/>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A2002B" w:rsidRPr="00C114B4" w14:paraId="4B04D59C" w14:textId="77777777" w:rsidTr="005B4DBA">
        <w:tc>
          <w:tcPr>
            <w:tcW w:w="10343" w:type="dxa"/>
          </w:tcPr>
          <w:p w14:paraId="3AD2FB70" w14:textId="77777777" w:rsidR="00A2002B" w:rsidRPr="00C114B4" w:rsidRDefault="00A2002B" w:rsidP="005B4DBA">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noProof/>
                <w:sz w:val="24"/>
                <w:szCs w:val="24"/>
                <w:lang w:val="en-US"/>
              </w:rPr>
              <w:drawing>
                <wp:anchor distT="0" distB="0" distL="114300" distR="114300" simplePos="0" relativeHeight="251659264" behindDoc="0" locked="0" layoutInCell="1" allowOverlap="1" wp14:anchorId="53D7A957" wp14:editId="1388606D">
                  <wp:simplePos x="0" y="0"/>
                  <wp:positionH relativeFrom="column">
                    <wp:posOffset>3246120</wp:posOffset>
                  </wp:positionH>
                  <wp:positionV relativeFrom="paragraph">
                    <wp:posOffset>43815</wp:posOffset>
                  </wp:positionV>
                  <wp:extent cx="2838450" cy="3049270"/>
                  <wp:effectExtent l="0" t="0" r="0" b="0"/>
                  <wp:wrapThrough wrapText="bothSides">
                    <wp:wrapPolygon edited="0">
                      <wp:start x="0" y="0"/>
                      <wp:lineTo x="0" y="21456"/>
                      <wp:lineTo x="21455" y="21456"/>
                      <wp:lineTo x="21455" y="0"/>
                      <wp:lineTo x="0" y="0"/>
                    </wp:wrapPolygon>
                  </wp:wrapThrough>
                  <wp:docPr id="22" name="Picture 22" descr="C:\Users\ACER\Downloads\Purple Creative Concept Map Char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urple Creative Concept Map Chart (1)\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838450" cy="304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14B4">
              <w:rPr>
                <w:rFonts w:ascii="Times New Roman" w:eastAsia="Times New Roman" w:hAnsi="Times New Roman" w:cs="Times New Roman"/>
                <w:b/>
                <w:bCs/>
                <w:noProof/>
                <w:sz w:val="24"/>
                <w:szCs w:val="24"/>
                <w:lang w:val="en-US"/>
              </w:rPr>
              <w:drawing>
                <wp:anchor distT="0" distB="0" distL="114300" distR="114300" simplePos="0" relativeHeight="251660288" behindDoc="0" locked="0" layoutInCell="1" allowOverlap="1" wp14:anchorId="71E7E5B3" wp14:editId="6863F564">
                  <wp:simplePos x="0" y="0"/>
                  <wp:positionH relativeFrom="column">
                    <wp:posOffset>394970</wp:posOffset>
                  </wp:positionH>
                  <wp:positionV relativeFrom="paragraph">
                    <wp:posOffset>0</wp:posOffset>
                  </wp:positionV>
                  <wp:extent cx="2921000" cy="3251835"/>
                  <wp:effectExtent l="0" t="0" r="0" b="5715"/>
                  <wp:wrapSquare wrapText="bothSides"/>
                  <wp:docPr id="21" name="Picture 21" descr="C:\Users\ACER\Downloads\Purple Creative Concept Map Char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urple Creative Concept Map Chart (1)\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65" r="19369"/>
                          <a:stretch/>
                        </pic:blipFill>
                        <pic:spPr bwMode="auto">
                          <a:xfrm>
                            <a:off x="0" y="0"/>
                            <a:ext cx="2921000" cy="325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002B" w:rsidRPr="00C114B4" w14:paraId="3C02D5FA" w14:textId="77777777" w:rsidTr="005B4DBA">
        <w:tc>
          <w:tcPr>
            <w:tcW w:w="10343" w:type="dxa"/>
          </w:tcPr>
          <w:p w14:paraId="1383A2A2" w14:textId="77777777" w:rsidR="00A2002B" w:rsidRPr="00C114B4" w:rsidRDefault="00A2002B" w:rsidP="005B4DBA">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noProof/>
                <w:sz w:val="24"/>
                <w:szCs w:val="24"/>
                <w:lang w:val="en-US"/>
              </w:rPr>
              <w:drawing>
                <wp:anchor distT="0" distB="0" distL="114300" distR="114300" simplePos="0" relativeHeight="251661312" behindDoc="1" locked="0" layoutInCell="1" allowOverlap="1" wp14:anchorId="5DC9F6C9" wp14:editId="3C4E9313">
                  <wp:simplePos x="0" y="0"/>
                  <wp:positionH relativeFrom="column">
                    <wp:posOffset>1385570</wp:posOffset>
                  </wp:positionH>
                  <wp:positionV relativeFrom="paragraph">
                    <wp:posOffset>0</wp:posOffset>
                  </wp:positionV>
                  <wp:extent cx="3797300" cy="2540000"/>
                  <wp:effectExtent l="0" t="0" r="0" b="0"/>
                  <wp:wrapTight wrapText="bothSides">
                    <wp:wrapPolygon edited="0">
                      <wp:start x="0" y="0"/>
                      <wp:lineTo x="0" y="21384"/>
                      <wp:lineTo x="21456" y="21384"/>
                      <wp:lineTo x="21456" y="0"/>
                      <wp:lineTo x="0" y="0"/>
                    </wp:wrapPolygon>
                  </wp:wrapTight>
                  <wp:docPr id="23" name="Picture 23" descr="C:\Users\ACER\Downloads\Purple Creative Concept Map Char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urple Creative Concept Map Chart (1)\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48" t="4598" r="4784" b="15434"/>
                          <a:stretch/>
                        </pic:blipFill>
                        <pic:spPr bwMode="auto">
                          <a:xfrm>
                            <a:off x="0" y="0"/>
                            <a:ext cx="3797300" cy="2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7753D02" w14:textId="093C2690" w:rsidR="00A2002B" w:rsidRPr="00C114B4" w:rsidRDefault="00A2002B" w:rsidP="00A2002B">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1</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 xml:space="preserve"> variation Physiochemical parameters in the study area</w:t>
      </w:r>
      <w:r>
        <w:rPr>
          <w:rFonts w:ascii="Times New Roman" w:eastAsia="Times New Roman" w:hAnsi="Times New Roman" w:cs="Times New Roman"/>
          <w:b/>
          <w:bCs/>
          <w:sz w:val="24"/>
          <w:szCs w:val="24"/>
          <w:lang w:eastAsia="en-IN"/>
        </w:rPr>
        <w:t>.</w:t>
      </w:r>
    </w:p>
    <w:p w14:paraId="0B619D0F" w14:textId="77777777" w:rsidR="00A2002B" w:rsidRPr="00C114B4" w:rsidRDefault="00A2002B" w:rsidP="00C114B4">
      <w:pPr>
        <w:spacing w:line="360" w:lineRule="auto"/>
        <w:jc w:val="both"/>
        <w:rPr>
          <w:rFonts w:ascii="Times New Roman" w:hAnsi="Times New Roman" w:cs="Times New Roman"/>
        </w:rPr>
      </w:pPr>
    </w:p>
    <w:p w14:paraId="4CA6C5A5" w14:textId="77777777" w:rsidR="00DD7845" w:rsidRDefault="00DD7845"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287AB36E" w14:textId="77777777" w:rsidR="00A2002B"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2F8232F4" w14:textId="77777777" w:rsidR="00A2002B"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0BB886F2" w14:textId="77777777" w:rsidR="00A2002B"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2A27F5F3" w14:textId="77777777" w:rsidR="00A2002B"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p>
    <w:p w14:paraId="2D4184C0" w14:textId="458E752B" w:rsidR="00A2002B" w:rsidRPr="00C114B4" w:rsidRDefault="00A2002B"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noProof/>
          <w:sz w:val="24"/>
          <w:szCs w:val="24"/>
          <w:lang w:val="en-US"/>
        </w:rPr>
        <w:drawing>
          <wp:inline distT="0" distB="0" distL="0" distR="0" wp14:anchorId="0531CE0A" wp14:editId="62B9F9D2">
            <wp:extent cx="4689475" cy="3441700"/>
            <wp:effectExtent l="0" t="0" r="0" b="6350"/>
            <wp:docPr id="175928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87063" name="Picture 1759287063"/>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690758" cy="3442642"/>
                    </a:xfrm>
                    <a:prstGeom prst="rect">
                      <a:avLst/>
                    </a:prstGeom>
                    <a:ln>
                      <a:noFill/>
                    </a:ln>
                    <a:extLst>
                      <a:ext uri="{53640926-AAD7-44D8-BBD7-CCE9431645EC}">
                        <a14:shadowObscured xmlns:a14="http://schemas.microsoft.com/office/drawing/2010/main"/>
                      </a:ext>
                    </a:extLst>
                  </pic:spPr>
                </pic:pic>
              </a:graphicData>
            </a:graphic>
          </wp:inline>
        </w:drawing>
      </w:r>
    </w:p>
    <w:p w14:paraId="0F8D8E01" w14:textId="77777777" w:rsidR="00A2002B" w:rsidRPr="00C114B4" w:rsidRDefault="00A2002B" w:rsidP="00A2002B">
      <w:pPr>
        <w:spacing w:line="360" w:lineRule="auto"/>
        <w:jc w:val="both"/>
        <w:rPr>
          <w:rFonts w:ascii="Times New Roman" w:eastAsia="Times New Roman" w:hAnsi="Times New Roman" w:cs="Times New Roman" w:hint="cs"/>
          <w:b/>
          <w:bCs/>
          <w:sz w:val="24"/>
          <w:szCs w:val="24"/>
          <w:rtl/>
          <w:lang w:eastAsia="en-IN" w:bidi="ar-IQ"/>
        </w:rPr>
      </w:pPr>
      <w:r w:rsidRPr="00C114B4">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 xml:space="preserve">ure </w:t>
      </w:r>
      <w:r w:rsidRPr="00C114B4">
        <w:rPr>
          <w:rFonts w:ascii="Times New Roman" w:eastAsia="Times New Roman" w:hAnsi="Times New Roman" w:cs="Times New Roman"/>
          <w:b/>
          <w:bCs/>
          <w:sz w:val="24"/>
          <w:szCs w:val="24"/>
          <w:lang w:eastAsia="en-IN"/>
        </w:rPr>
        <w:t>2</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 xml:space="preserve"> Corelation between various physiochemical parameters over the study </w:t>
      </w:r>
      <w:commentRangeStart w:id="27"/>
      <w:r w:rsidRPr="00C114B4">
        <w:rPr>
          <w:rFonts w:ascii="Times New Roman" w:eastAsia="Times New Roman" w:hAnsi="Times New Roman" w:cs="Times New Roman"/>
          <w:b/>
          <w:bCs/>
          <w:sz w:val="24"/>
          <w:szCs w:val="24"/>
          <w:lang w:eastAsia="en-IN"/>
        </w:rPr>
        <w:t>area</w:t>
      </w:r>
      <w:commentRangeEnd w:id="27"/>
      <w:r w:rsidR="00CE238F">
        <w:rPr>
          <w:rStyle w:val="CommentReference"/>
          <w:rtl/>
        </w:rPr>
        <w:commentReference w:id="27"/>
      </w:r>
    </w:p>
    <w:p w14:paraId="34F933EB" w14:textId="77777777" w:rsidR="00DA7B6C" w:rsidRPr="00C114B4" w:rsidRDefault="00DA7B6C" w:rsidP="00C114B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p>
    <w:sectPr w:rsidR="00DA7B6C" w:rsidRPr="00C114B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initials="A">
    <w:p w14:paraId="48C1D728" w14:textId="290B007E" w:rsidR="00A254DD" w:rsidRDefault="00A254DD">
      <w:pPr>
        <w:pStyle w:val="CommentText"/>
      </w:pPr>
      <w:r>
        <w:rPr>
          <w:rStyle w:val="CommentReference"/>
        </w:rPr>
        <w:annotationRef/>
      </w:r>
      <w:r>
        <w:t xml:space="preserve">Year </w:t>
      </w:r>
    </w:p>
  </w:comment>
  <w:comment w:id="1" w:author="Author" w:initials="A">
    <w:p w14:paraId="45A7F277" w14:textId="05B696BF" w:rsidR="00A254DD" w:rsidRDefault="00A254DD">
      <w:pPr>
        <w:pStyle w:val="CommentText"/>
      </w:pPr>
      <w:r>
        <w:rPr>
          <w:rStyle w:val="CommentReference"/>
        </w:rPr>
        <w:annotationRef/>
      </w:r>
      <w:r>
        <w:t xml:space="preserve">I think there is need to define the </w:t>
      </w:r>
      <w:proofErr w:type="gramStart"/>
      <w:r>
        <w:t>special  and</w:t>
      </w:r>
      <w:proofErr w:type="gramEnd"/>
      <w:r>
        <w:t xml:space="preserve"> temporal variation </w:t>
      </w:r>
    </w:p>
  </w:comment>
  <w:comment w:id="2" w:author="Author" w:initials="A">
    <w:p w14:paraId="5912935B" w14:textId="78ECF42A" w:rsidR="00000EDD" w:rsidRDefault="00000EDD">
      <w:pPr>
        <w:pStyle w:val="CommentText"/>
      </w:pPr>
      <w:r>
        <w:rPr>
          <w:rStyle w:val="CommentReference"/>
        </w:rPr>
        <w:annotationRef/>
      </w:r>
      <w:r>
        <w:t>More data in abstract please.</w:t>
      </w:r>
    </w:p>
  </w:comment>
  <w:comment w:id="3" w:author="Author" w:initials="A">
    <w:p w14:paraId="2B0657AC" w14:textId="26E8A252" w:rsidR="00A254DD" w:rsidRDefault="00A254DD">
      <w:pPr>
        <w:pStyle w:val="CommentText"/>
      </w:pPr>
      <w:r>
        <w:rPr>
          <w:rStyle w:val="CommentReference"/>
        </w:rPr>
        <w:annotationRef/>
      </w:r>
      <w:r>
        <w:t>groundwater</w:t>
      </w:r>
    </w:p>
  </w:comment>
  <w:comment w:id="5" w:author="Author" w:initials="A">
    <w:p w14:paraId="24189531" w14:textId="14E79F1A" w:rsidR="00AE25B5" w:rsidRDefault="00AE25B5">
      <w:pPr>
        <w:pStyle w:val="CommentText"/>
      </w:pPr>
      <w:r>
        <w:rPr>
          <w:rStyle w:val="CommentReference"/>
        </w:rPr>
        <w:annotationRef/>
      </w:r>
      <w:r>
        <w:t>e</w:t>
      </w:r>
    </w:p>
  </w:comment>
  <w:comment w:id="6" w:author="Author" w:initials="A">
    <w:p w14:paraId="55C5A754" w14:textId="3B7BA948" w:rsidR="00AE25B5" w:rsidRDefault="00AE25B5">
      <w:pPr>
        <w:pStyle w:val="CommentText"/>
      </w:pPr>
      <w:r>
        <w:rPr>
          <w:rStyle w:val="CommentReference"/>
        </w:rPr>
        <w:annotationRef/>
      </w:r>
      <w:r>
        <w:t>assess</w:t>
      </w:r>
    </w:p>
  </w:comment>
  <w:comment w:id="7" w:author="Author" w:initials="A">
    <w:p w14:paraId="1219F8F7" w14:textId="474E5B7D" w:rsidR="00AE25B5" w:rsidRDefault="00AE25B5">
      <w:pPr>
        <w:pStyle w:val="CommentText"/>
      </w:pPr>
      <w:r>
        <w:rPr>
          <w:rStyle w:val="CommentReference"/>
        </w:rPr>
        <w:annotationRef/>
      </w:r>
      <w:r>
        <w:t>?</w:t>
      </w:r>
    </w:p>
  </w:comment>
  <w:comment w:id="8" w:author="Author" w:initials="A">
    <w:p w14:paraId="14CF7819" w14:textId="1FEAF378" w:rsidR="00AE25B5" w:rsidRDefault="00AE25B5">
      <w:pPr>
        <w:pStyle w:val="CommentText"/>
      </w:pPr>
      <w:r>
        <w:rPr>
          <w:rStyle w:val="CommentReference"/>
        </w:rPr>
        <w:annotationRef/>
      </w:r>
      <w:r>
        <w:t xml:space="preserve">Where is the aim of </w:t>
      </w:r>
      <w:proofErr w:type="gramStart"/>
      <w:r>
        <w:t>study ?</w:t>
      </w:r>
      <w:proofErr w:type="gramEnd"/>
    </w:p>
  </w:comment>
  <w:comment w:id="9" w:author="Author" w:initials="A">
    <w:p w14:paraId="138B0954" w14:textId="613D2DF4" w:rsidR="00AE25B5" w:rsidRDefault="00AE25B5">
      <w:pPr>
        <w:pStyle w:val="CommentText"/>
      </w:pPr>
      <w:r>
        <w:rPr>
          <w:rStyle w:val="CommentReference"/>
        </w:rPr>
        <w:annotationRef/>
      </w:r>
      <w:r>
        <w:t xml:space="preserve">Reference </w:t>
      </w:r>
    </w:p>
  </w:comment>
  <w:comment w:id="10" w:author="Author" w:initials="A">
    <w:p w14:paraId="67F3D9BF" w14:textId="4A6E4F5E" w:rsidR="00AE25B5" w:rsidRDefault="00AE25B5">
      <w:pPr>
        <w:pStyle w:val="CommentText"/>
      </w:pPr>
      <w:r>
        <w:rPr>
          <w:rStyle w:val="CommentReference"/>
        </w:rPr>
        <w:annotationRef/>
      </w:r>
      <w:r>
        <w:t xml:space="preserve">Please support the data by references </w:t>
      </w:r>
    </w:p>
  </w:comment>
  <w:comment w:id="11" w:author="Author" w:initials="A">
    <w:p w14:paraId="04E7A491" w14:textId="75A07FC9" w:rsidR="00AE25B5" w:rsidRDefault="00AE25B5">
      <w:pPr>
        <w:pStyle w:val="CommentText"/>
      </w:pPr>
      <w:r>
        <w:rPr>
          <w:rStyle w:val="CommentReference"/>
        </w:rPr>
        <w:annotationRef/>
      </w:r>
      <w:r>
        <w:t xml:space="preserve">Why in one season </w:t>
      </w:r>
    </w:p>
  </w:comment>
  <w:comment w:id="12" w:author="Author" w:initials="A">
    <w:p w14:paraId="29532EBE" w14:textId="1BAFD601" w:rsidR="00AE25B5" w:rsidRDefault="00AE25B5">
      <w:pPr>
        <w:pStyle w:val="CommentText"/>
      </w:pPr>
      <w:r>
        <w:rPr>
          <w:rStyle w:val="CommentReference"/>
        </w:rPr>
        <w:annotationRef/>
      </w:r>
      <w:r>
        <w:t>Public works</w:t>
      </w:r>
    </w:p>
  </w:comment>
  <w:comment w:id="13" w:author="Author" w:initials="A">
    <w:p w14:paraId="43B1B0A4" w14:textId="54F7D238" w:rsidR="00AE25B5" w:rsidRDefault="00AE25B5">
      <w:pPr>
        <w:pStyle w:val="CommentText"/>
      </w:pPr>
      <w:r>
        <w:rPr>
          <w:rStyle w:val="CommentReference"/>
        </w:rPr>
        <w:annotationRef/>
      </w:r>
      <w:r>
        <w:t>labelled</w:t>
      </w:r>
    </w:p>
  </w:comment>
  <w:comment w:id="14" w:author="Author" w:initials="A">
    <w:p w14:paraId="385A1861" w14:textId="4AFFAC6C" w:rsidR="006F6558" w:rsidRDefault="006F6558">
      <w:pPr>
        <w:pStyle w:val="CommentText"/>
      </w:pPr>
      <w:r>
        <w:rPr>
          <w:rStyle w:val="CommentReference"/>
        </w:rPr>
        <w:annotationRef/>
      </w:r>
      <w:r>
        <w:t xml:space="preserve">this parameters </w:t>
      </w:r>
      <w:proofErr w:type="gramStart"/>
      <w:r>
        <w:t>measured  in</w:t>
      </w:r>
      <w:proofErr w:type="gramEnd"/>
      <w:r>
        <w:t xml:space="preserve"> field </w:t>
      </w:r>
    </w:p>
  </w:comment>
  <w:comment w:id="15" w:author="Author" w:initials="A">
    <w:p w14:paraId="4D868AFE" w14:textId="0A17C135" w:rsidR="006F6558" w:rsidRDefault="006F6558">
      <w:pPr>
        <w:pStyle w:val="CommentText"/>
      </w:pPr>
      <w:r>
        <w:rPr>
          <w:rStyle w:val="CommentReference"/>
        </w:rPr>
        <w:annotationRef/>
      </w:r>
      <w:proofErr w:type="gramStart"/>
      <w:r>
        <w:t>why</w:t>
      </w:r>
      <w:proofErr w:type="gramEnd"/>
      <w:r>
        <w:t xml:space="preserve"> </w:t>
      </w:r>
    </w:p>
  </w:comment>
  <w:comment w:id="16" w:author="Author" w:initials="A">
    <w:p w14:paraId="4C5BC34D" w14:textId="0BB2A879" w:rsidR="006F6558" w:rsidRDefault="006F6558">
      <w:pPr>
        <w:pStyle w:val="CommentText"/>
      </w:pPr>
      <w:r>
        <w:rPr>
          <w:rStyle w:val="CommentReference"/>
        </w:rPr>
        <w:annotationRef/>
      </w:r>
      <w:r>
        <w:t xml:space="preserve">statistical analysis must be used the models or programmes </w:t>
      </w:r>
    </w:p>
  </w:comment>
  <w:comment w:id="17" w:author="Author" w:initials="A">
    <w:p w14:paraId="1D3DAF7F" w14:textId="21FEA98C" w:rsidR="00EC7C3A" w:rsidRDefault="00EC7C3A" w:rsidP="00EC7C3A">
      <w:pPr>
        <w:pStyle w:val="CommentText"/>
      </w:pPr>
      <w:r>
        <w:rPr>
          <w:rStyle w:val="CommentReference"/>
        </w:rPr>
        <w:annotationRef/>
      </w:r>
      <w:r>
        <w:t>where is table 1</w:t>
      </w:r>
    </w:p>
  </w:comment>
  <w:comment w:id="18" w:author="Author" w:initials="A">
    <w:p w14:paraId="41BB362D" w14:textId="1EF19DD6" w:rsidR="00EC7C3A" w:rsidRDefault="00EC7C3A">
      <w:pPr>
        <w:pStyle w:val="CommentText"/>
      </w:pPr>
      <w:r>
        <w:rPr>
          <w:rStyle w:val="CommentReference"/>
        </w:rPr>
        <w:annotationRef/>
      </w:r>
      <w:r>
        <w:t xml:space="preserve">where is the table </w:t>
      </w:r>
      <w:proofErr w:type="gramStart"/>
      <w:r>
        <w:t>data</w:t>
      </w:r>
      <w:proofErr w:type="gramEnd"/>
      <w:r>
        <w:t xml:space="preserve"> </w:t>
      </w:r>
    </w:p>
  </w:comment>
  <w:comment w:id="19" w:author="Author" w:initials="A">
    <w:p w14:paraId="3640E6F2" w14:textId="12216F97" w:rsidR="00EC7C3A" w:rsidRDefault="00EC7C3A">
      <w:pPr>
        <w:pStyle w:val="CommentText"/>
      </w:pPr>
      <w:r>
        <w:rPr>
          <w:rStyle w:val="CommentReference"/>
        </w:rPr>
        <w:annotationRef/>
      </w:r>
      <w:r>
        <w:t xml:space="preserve">all the figures must be insert after the paragraph </w:t>
      </w:r>
    </w:p>
  </w:comment>
  <w:comment w:id="20" w:author="Author" w:initials="A">
    <w:p w14:paraId="27C2B053" w14:textId="2D8C5758" w:rsidR="00EC7C3A" w:rsidRDefault="00EC7C3A">
      <w:pPr>
        <w:pStyle w:val="CommentText"/>
      </w:pPr>
      <w:r>
        <w:rPr>
          <w:rStyle w:val="CommentReference"/>
        </w:rPr>
        <w:annotationRef/>
      </w:r>
      <w:r>
        <w:t>I think 1000</w:t>
      </w:r>
    </w:p>
  </w:comment>
  <w:comment w:id="21" w:author="Author" w:initials="A">
    <w:p w14:paraId="7BFF8B8E" w14:textId="07BFDBE6" w:rsidR="00EC7C3A" w:rsidRDefault="00EC7C3A">
      <w:pPr>
        <w:pStyle w:val="CommentText"/>
      </w:pPr>
      <w:r>
        <w:rPr>
          <w:rStyle w:val="CommentReference"/>
        </w:rPr>
        <w:annotationRef/>
      </w:r>
      <w:r>
        <w:t xml:space="preserve">Type of WQI classification </w:t>
      </w:r>
    </w:p>
  </w:comment>
  <w:comment w:id="22" w:author="Author" w:initials="A">
    <w:p w14:paraId="6663C9B0" w14:textId="238316E9" w:rsidR="00EC7C3A" w:rsidRDefault="00EC7C3A">
      <w:pPr>
        <w:pStyle w:val="CommentText"/>
      </w:pPr>
      <w:r>
        <w:rPr>
          <w:rStyle w:val="CommentReference"/>
        </w:rPr>
        <w:annotationRef/>
      </w:r>
      <w:r>
        <w:t xml:space="preserve">Why the values is negative what do you </w:t>
      </w:r>
      <w:proofErr w:type="gramStart"/>
      <w:r>
        <w:t>mean .</w:t>
      </w:r>
      <w:proofErr w:type="gramEnd"/>
    </w:p>
  </w:comment>
  <w:comment w:id="23" w:author="Author" w:initials="A">
    <w:p w14:paraId="7DA4DEA3" w14:textId="77777777" w:rsidR="00EC7C3A" w:rsidRPr="00EC7C3A" w:rsidRDefault="00EC7C3A" w:rsidP="00EC7C3A">
      <w:pPr>
        <w:rPr>
          <w:rFonts w:ascii="Times New Roman" w:eastAsia="Times New Roman" w:hAnsi="Times New Roman" w:cs="Times New Roman"/>
          <w:sz w:val="24"/>
          <w:szCs w:val="24"/>
          <w:lang w:val="en-US"/>
        </w:rPr>
      </w:pPr>
      <w:r>
        <w:rPr>
          <w:rStyle w:val="CommentReference"/>
        </w:rPr>
        <w:annotationRef/>
      </w:r>
      <w:r w:rsidRPr="00EC7C3A">
        <w:rPr>
          <w:rFonts w:ascii="Times New Roman" w:eastAsia="Times New Roman" w:hAnsi="Times New Roman" w:cs="Times New Roman"/>
          <w:sz w:val="24"/>
          <w:szCs w:val="24"/>
          <w:lang w:val="en-US"/>
        </w:rPr>
        <w:t>he conclusions must be revised, and the wells that cannot be used for other purposes must be identified.</w:t>
      </w:r>
    </w:p>
    <w:p w14:paraId="7712A158" w14:textId="20C4A1EF" w:rsidR="00EC7C3A" w:rsidRPr="00EC7C3A" w:rsidRDefault="00EC7C3A">
      <w:pPr>
        <w:pStyle w:val="CommentText"/>
        <w:rPr>
          <w:lang w:val="en-US"/>
        </w:rPr>
      </w:pPr>
    </w:p>
  </w:comment>
  <w:comment w:id="24" w:author="Author" w:initials="A">
    <w:p w14:paraId="1B84284C" w14:textId="49AC5521" w:rsidR="00626BB0" w:rsidRDefault="00626BB0">
      <w:pPr>
        <w:pStyle w:val="CommentText"/>
      </w:pPr>
      <w:r>
        <w:rPr>
          <w:rStyle w:val="CommentReference"/>
        </w:rPr>
        <w:annotationRef/>
      </w:r>
      <w:r>
        <w:t xml:space="preserve">The recommendations </w:t>
      </w:r>
      <w:proofErr w:type="gramStart"/>
      <w:r>
        <w:t>is</w:t>
      </w:r>
      <w:proofErr w:type="gramEnd"/>
      <w:r>
        <w:t xml:space="preserve"> too much </w:t>
      </w:r>
    </w:p>
  </w:comment>
  <w:comment w:id="26" w:author="Author" w:initials="A">
    <w:p w14:paraId="13EEE25F" w14:textId="12BD89E0" w:rsidR="00CE238F" w:rsidRPr="00CE238F" w:rsidRDefault="00CE238F">
      <w:pPr>
        <w:pStyle w:val="CommentText"/>
        <w:rPr>
          <w:lang w:val="en-US"/>
        </w:rPr>
      </w:pPr>
      <w:r>
        <w:rPr>
          <w:rStyle w:val="CommentReference"/>
        </w:rPr>
        <w:annotationRef/>
      </w:r>
      <w:r>
        <w:rPr>
          <w:lang w:val="en-US"/>
        </w:rPr>
        <w:t>Match the references in text with list</w:t>
      </w:r>
    </w:p>
  </w:comment>
  <w:comment w:id="27" w:author="Author" w:initials="A">
    <w:p w14:paraId="658C83A9" w14:textId="4C347810" w:rsidR="00CE238F" w:rsidRDefault="00CE238F">
      <w:pPr>
        <w:pStyle w:val="CommentText"/>
      </w:pPr>
      <w:r>
        <w:rPr>
          <w:rStyle w:val="CommentReference"/>
        </w:rPr>
        <w:annotationRef/>
      </w:r>
      <w:r w:rsidRPr="00CE238F">
        <w:t>Figures and tables must be included within the text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C1D728" w15:done="0"/>
  <w15:commentEx w15:paraId="45A7F277" w15:done="0"/>
  <w15:commentEx w15:paraId="5912935B" w15:done="0"/>
  <w15:commentEx w15:paraId="2B0657AC" w15:done="0"/>
  <w15:commentEx w15:paraId="24189531" w15:done="0"/>
  <w15:commentEx w15:paraId="55C5A754" w15:done="0"/>
  <w15:commentEx w15:paraId="1219F8F7" w15:done="0"/>
  <w15:commentEx w15:paraId="14CF7819" w15:done="0"/>
  <w15:commentEx w15:paraId="138B0954" w15:done="0"/>
  <w15:commentEx w15:paraId="67F3D9BF" w15:done="0"/>
  <w15:commentEx w15:paraId="04E7A491" w15:done="0"/>
  <w15:commentEx w15:paraId="29532EBE" w15:done="0"/>
  <w15:commentEx w15:paraId="43B1B0A4" w15:done="0"/>
  <w15:commentEx w15:paraId="385A1861" w15:done="0"/>
  <w15:commentEx w15:paraId="4D868AFE" w15:done="0"/>
  <w15:commentEx w15:paraId="4C5BC34D" w15:done="0"/>
  <w15:commentEx w15:paraId="1D3DAF7F" w15:done="0"/>
  <w15:commentEx w15:paraId="41BB362D" w15:done="0"/>
  <w15:commentEx w15:paraId="3640E6F2" w15:done="0"/>
  <w15:commentEx w15:paraId="27C2B053" w15:done="0"/>
  <w15:commentEx w15:paraId="7BFF8B8E" w15:done="0"/>
  <w15:commentEx w15:paraId="6663C9B0" w15:done="0"/>
  <w15:commentEx w15:paraId="7712A158" w15:done="0"/>
  <w15:commentEx w15:paraId="1B84284C" w15:done="0"/>
  <w15:commentEx w15:paraId="13EEE25F" w15:done="0"/>
  <w15:commentEx w15:paraId="658C83A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86105" w14:textId="77777777" w:rsidR="00FD7377" w:rsidRDefault="00FD7377" w:rsidP="00374127">
      <w:pPr>
        <w:spacing w:after="0" w:line="240" w:lineRule="auto"/>
      </w:pPr>
      <w:r>
        <w:separator/>
      </w:r>
    </w:p>
  </w:endnote>
  <w:endnote w:type="continuationSeparator" w:id="0">
    <w:p w14:paraId="5744DCC6" w14:textId="77777777" w:rsidR="00FD7377" w:rsidRDefault="00FD7377" w:rsidP="00374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BF77C" w14:textId="77777777" w:rsidR="00374127" w:rsidRDefault="0037412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70D0A" w14:textId="77777777" w:rsidR="00374127" w:rsidRDefault="0037412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3ECF6" w14:textId="77777777" w:rsidR="00374127" w:rsidRDefault="003741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98B34" w14:textId="77777777" w:rsidR="00FD7377" w:rsidRDefault="00FD7377" w:rsidP="00374127">
      <w:pPr>
        <w:spacing w:after="0" w:line="240" w:lineRule="auto"/>
      </w:pPr>
      <w:r>
        <w:separator/>
      </w:r>
    </w:p>
  </w:footnote>
  <w:footnote w:type="continuationSeparator" w:id="0">
    <w:p w14:paraId="40B8FD89" w14:textId="77777777" w:rsidR="00FD7377" w:rsidRDefault="00FD7377" w:rsidP="00374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ECF19" w14:textId="2295C2C7" w:rsidR="00374127" w:rsidRDefault="00FD7377">
    <w:pPr>
      <w:pStyle w:val="Header"/>
    </w:pPr>
    <w:r>
      <w:rPr>
        <w:noProof/>
      </w:rPr>
      <w:pict w14:anchorId="006E4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15AB" w14:textId="69938897" w:rsidR="00374127" w:rsidRDefault="00FD7377">
    <w:pPr>
      <w:pStyle w:val="Header"/>
    </w:pPr>
    <w:r>
      <w:rPr>
        <w:noProof/>
      </w:rPr>
      <w:pict w14:anchorId="7FC95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8B22" w14:textId="3E43F231" w:rsidR="00374127" w:rsidRDefault="00FD7377">
    <w:pPr>
      <w:pStyle w:val="Header"/>
    </w:pPr>
    <w:r>
      <w:rPr>
        <w:noProof/>
      </w:rPr>
      <w:pict w14:anchorId="62E31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C31CE"/>
    <w:multiLevelType w:val="hybridMultilevel"/>
    <w:tmpl w:val="B6600AE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CB52573"/>
    <w:multiLevelType w:val="hybridMultilevel"/>
    <w:tmpl w:val="C28881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A9315E"/>
    <w:multiLevelType w:val="hybridMultilevel"/>
    <w:tmpl w:val="22C430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B6C"/>
    <w:rsid w:val="00000EDD"/>
    <w:rsid w:val="000133A2"/>
    <w:rsid w:val="00027F15"/>
    <w:rsid w:val="000A62CD"/>
    <w:rsid w:val="000E7441"/>
    <w:rsid w:val="000F1793"/>
    <w:rsid w:val="0019531D"/>
    <w:rsid w:val="001A59F7"/>
    <w:rsid w:val="001F5593"/>
    <w:rsid w:val="00233CC1"/>
    <w:rsid w:val="002610B0"/>
    <w:rsid w:val="002F1753"/>
    <w:rsid w:val="003131F3"/>
    <w:rsid w:val="003525C4"/>
    <w:rsid w:val="00374127"/>
    <w:rsid w:val="00387B47"/>
    <w:rsid w:val="003A3753"/>
    <w:rsid w:val="003C72AE"/>
    <w:rsid w:val="003D5EB9"/>
    <w:rsid w:val="004C4AC9"/>
    <w:rsid w:val="005104C9"/>
    <w:rsid w:val="00515244"/>
    <w:rsid w:val="005745F1"/>
    <w:rsid w:val="00626BB0"/>
    <w:rsid w:val="006D7146"/>
    <w:rsid w:val="006F6558"/>
    <w:rsid w:val="007022F7"/>
    <w:rsid w:val="00703A36"/>
    <w:rsid w:val="00766DA1"/>
    <w:rsid w:val="00775AB9"/>
    <w:rsid w:val="0088718F"/>
    <w:rsid w:val="008E7A84"/>
    <w:rsid w:val="008F29EB"/>
    <w:rsid w:val="00923268"/>
    <w:rsid w:val="009353CD"/>
    <w:rsid w:val="00965B4D"/>
    <w:rsid w:val="00967269"/>
    <w:rsid w:val="00A138EE"/>
    <w:rsid w:val="00A2002B"/>
    <w:rsid w:val="00A24F4C"/>
    <w:rsid w:val="00A254DD"/>
    <w:rsid w:val="00A85FD9"/>
    <w:rsid w:val="00AA7FD9"/>
    <w:rsid w:val="00AB1CB3"/>
    <w:rsid w:val="00AB78E7"/>
    <w:rsid w:val="00AE25B5"/>
    <w:rsid w:val="00AF43BE"/>
    <w:rsid w:val="00B00F6C"/>
    <w:rsid w:val="00B37786"/>
    <w:rsid w:val="00BA2A2A"/>
    <w:rsid w:val="00BB02F7"/>
    <w:rsid w:val="00BC69CD"/>
    <w:rsid w:val="00BE2FF2"/>
    <w:rsid w:val="00BF653F"/>
    <w:rsid w:val="00C114B4"/>
    <w:rsid w:val="00C1466A"/>
    <w:rsid w:val="00C155F6"/>
    <w:rsid w:val="00C806B9"/>
    <w:rsid w:val="00CE238F"/>
    <w:rsid w:val="00D870E1"/>
    <w:rsid w:val="00DA5E5E"/>
    <w:rsid w:val="00DA7B6C"/>
    <w:rsid w:val="00DB23A1"/>
    <w:rsid w:val="00DD7845"/>
    <w:rsid w:val="00DF2427"/>
    <w:rsid w:val="00E02088"/>
    <w:rsid w:val="00E10FFB"/>
    <w:rsid w:val="00E574A9"/>
    <w:rsid w:val="00E62755"/>
    <w:rsid w:val="00EB44C8"/>
    <w:rsid w:val="00EC7C3A"/>
    <w:rsid w:val="00ED2DB0"/>
    <w:rsid w:val="00ED6FB7"/>
    <w:rsid w:val="00F546E5"/>
    <w:rsid w:val="00F80844"/>
    <w:rsid w:val="00FC72D8"/>
    <w:rsid w:val="00FD737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CD026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B6C"/>
  </w:style>
  <w:style w:type="paragraph" w:styleId="Heading3">
    <w:name w:val="heading 3"/>
    <w:basedOn w:val="Normal"/>
    <w:link w:val="Heading3Char"/>
    <w:uiPriority w:val="9"/>
    <w:qFormat/>
    <w:rsid w:val="00DA7B6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8E7A8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A7B6C"/>
    <w:pPr>
      <w:ind w:left="720"/>
      <w:contextualSpacing/>
    </w:pPr>
  </w:style>
  <w:style w:type="table" w:styleId="TableGridLight">
    <w:name w:val="Grid Table Light"/>
    <w:basedOn w:val="TableNormal"/>
    <w:uiPriority w:val="40"/>
    <w:rsid w:val="00DA7B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DA7B6C"/>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DA7B6C"/>
    <w:rPr>
      <w:b/>
      <w:bCs/>
    </w:rPr>
  </w:style>
  <w:style w:type="table" w:styleId="TableGrid">
    <w:name w:val="Table Grid"/>
    <w:basedOn w:val="TableNormal"/>
    <w:uiPriority w:val="39"/>
    <w:rsid w:val="00BC6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114B4"/>
    <w:rPr>
      <w:color w:val="0000FF"/>
      <w:u w:val="single"/>
    </w:rPr>
  </w:style>
  <w:style w:type="paragraph" w:customStyle="1" w:styleId="Authornames">
    <w:name w:val="Author names"/>
    <w:basedOn w:val="Normal"/>
    <w:next w:val="Normal"/>
    <w:rsid w:val="00C114B4"/>
    <w:pPr>
      <w:suppressAutoHyphens/>
      <w:spacing w:before="240" w:after="0" w:line="360" w:lineRule="auto"/>
    </w:pPr>
    <w:rPr>
      <w:rFonts w:ascii="Times New Roman" w:eastAsia="Times New Roman" w:hAnsi="Times New Roman" w:cs="Times New Roman"/>
      <w:sz w:val="28"/>
      <w:szCs w:val="24"/>
      <w:lang w:val="en-GB" w:eastAsia="zh-CN"/>
    </w:rPr>
  </w:style>
  <w:style w:type="paragraph" w:customStyle="1" w:styleId="Affiliation">
    <w:name w:val="Affiliation"/>
    <w:basedOn w:val="Normal"/>
    <w:rsid w:val="00C114B4"/>
    <w:pPr>
      <w:suppressAutoHyphens/>
      <w:spacing w:before="240" w:after="0" w:line="360" w:lineRule="auto"/>
    </w:pPr>
    <w:rPr>
      <w:rFonts w:ascii="Times New Roman" w:eastAsia="Times New Roman" w:hAnsi="Times New Roman" w:cs="Times New Roman"/>
      <w:i/>
      <w:sz w:val="24"/>
      <w:szCs w:val="24"/>
      <w:lang w:val="en-GB" w:eastAsia="zh-CN"/>
    </w:rPr>
  </w:style>
  <w:style w:type="character" w:customStyle="1" w:styleId="UnresolvedMention1">
    <w:name w:val="Unresolved Mention1"/>
    <w:basedOn w:val="DefaultParagraphFont"/>
    <w:uiPriority w:val="99"/>
    <w:semiHidden/>
    <w:unhideWhenUsed/>
    <w:rsid w:val="000F1793"/>
    <w:rPr>
      <w:color w:val="605E5C"/>
      <w:shd w:val="clear" w:color="auto" w:fill="E1DFDD"/>
    </w:rPr>
  </w:style>
  <w:style w:type="character" w:customStyle="1" w:styleId="Heading4Char">
    <w:name w:val="Heading 4 Char"/>
    <w:basedOn w:val="DefaultParagraphFont"/>
    <w:link w:val="Heading4"/>
    <w:uiPriority w:val="9"/>
    <w:semiHidden/>
    <w:rsid w:val="008E7A84"/>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766DA1"/>
    <w:rPr>
      <w:sz w:val="16"/>
      <w:szCs w:val="16"/>
    </w:rPr>
  </w:style>
  <w:style w:type="paragraph" w:styleId="CommentText">
    <w:name w:val="annotation text"/>
    <w:basedOn w:val="Normal"/>
    <w:link w:val="CommentTextChar"/>
    <w:uiPriority w:val="99"/>
    <w:unhideWhenUsed/>
    <w:rsid w:val="00766DA1"/>
    <w:pPr>
      <w:spacing w:line="240" w:lineRule="auto"/>
    </w:pPr>
    <w:rPr>
      <w:sz w:val="20"/>
      <w:szCs w:val="20"/>
    </w:rPr>
  </w:style>
  <w:style w:type="character" w:customStyle="1" w:styleId="CommentTextChar">
    <w:name w:val="Comment Text Char"/>
    <w:basedOn w:val="DefaultParagraphFont"/>
    <w:link w:val="CommentText"/>
    <w:uiPriority w:val="99"/>
    <w:rsid w:val="00766DA1"/>
    <w:rPr>
      <w:sz w:val="20"/>
      <w:szCs w:val="20"/>
    </w:rPr>
  </w:style>
  <w:style w:type="paragraph" w:styleId="CommentSubject">
    <w:name w:val="annotation subject"/>
    <w:basedOn w:val="CommentText"/>
    <w:next w:val="CommentText"/>
    <w:link w:val="CommentSubjectChar"/>
    <w:uiPriority w:val="99"/>
    <w:semiHidden/>
    <w:unhideWhenUsed/>
    <w:rsid w:val="00766DA1"/>
    <w:rPr>
      <w:b/>
      <w:bCs/>
    </w:rPr>
  </w:style>
  <w:style w:type="character" w:customStyle="1" w:styleId="CommentSubjectChar">
    <w:name w:val="Comment Subject Char"/>
    <w:basedOn w:val="CommentTextChar"/>
    <w:link w:val="CommentSubject"/>
    <w:uiPriority w:val="99"/>
    <w:semiHidden/>
    <w:rsid w:val="00766DA1"/>
    <w:rPr>
      <w:b/>
      <w:bCs/>
      <w:sz w:val="20"/>
      <w:szCs w:val="20"/>
    </w:rPr>
  </w:style>
  <w:style w:type="paragraph" w:styleId="BalloonText">
    <w:name w:val="Balloon Text"/>
    <w:basedOn w:val="Normal"/>
    <w:link w:val="BalloonTextChar"/>
    <w:uiPriority w:val="99"/>
    <w:semiHidden/>
    <w:unhideWhenUsed/>
    <w:rsid w:val="00766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DA1"/>
    <w:rPr>
      <w:rFonts w:ascii="Segoe UI" w:hAnsi="Segoe UI" w:cs="Segoe UI"/>
      <w:sz w:val="18"/>
      <w:szCs w:val="18"/>
    </w:rPr>
  </w:style>
  <w:style w:type="paragraph" w:styleId="Header">
    <w:name w:val="header"/>
    <w:basedOn w:val="Normal"/>
    <w:link w:val="HeaderChar"/>
    <w:uiPriority w:val="99"/>
    <w:unhideWhenUsed/>
    <w:rsid w:val="00374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127"/>
  </w:style>
  <w:style w:type="paragraph" w:styleId="Footer">
    <w:name w:val="footer"/>
    <w:basedOn w:val="Normal"/>
    <w:link w:val="FooterChar"/>
    <w:uiPriority w:val="99"/>
    <w:unhideWhenUsed/>
    <w:rsid w:val="00374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127"/>
  </w:style>
  <w:style w:type="paragraph" w:styleId="Revision">
    <w:name w:val="Revision"/>
    <w:hidden/>
    <w:uiPriority w:val="99"/>
    <w:semiHidden/>
    <w:rsid w:val="005745F1"/>
    <w:pPr>
      <w:spacing w:after="0" w:line="240" w:lineRule="auto"/>
    </w:pPr>
  </w:style>
  <w:style w:type="character" w:customStyle="1" w:styleId="UnresolvedMention">
    <w:name w:val="Unresolved Mention"/>
    <w:basedOn w:val="DefaultParagraphFont"/>
    <w:uiPriority w:val="99"/>
    <w:semiHidden/>
    <w:unhideWhenUsed/>
    <w:rsid w:val="00AB7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48238">
      <w:bodyDiv w:val="1"/>
      <w:marLeft w:val="0"/>
      <w:marRight w:val="0"/>
      <w:marTop w:val="0"/>
      <w:marBottom w:val="0"/>
      <w:divBdr>
        <w:top w:val="none" w:sz="0" w:space="0" w:color="auto"/>
        <w:left w:val="none" w:sz="0" w:space="0" w:color="auto"/>
        <w:bottom w:val="none" w:sz="0" w:space="0" w:color="auto"/>
        <w:right w:val="none" w:sz="0" w:space="0" w:color="auto"/>
      </w:divBdr>
    </w:div>
    <w:div w:id="168758357">
      <w:bodyDiv w:val="1"/>
      <w:marLeft w:val="0"/>
      <w:marRight w:val="0"/>
      <w:marTop w:val="0"/>
      <w:marBottom w:val="0"/>
      <w:divBdr>
        <w:top w:val="none" w:sz="0" w:space="0" w:color="auto"/>
        <w:left w:val="none" w:sz="0" w:space="0" w:color="auto"/>
        <w:bottom w:val="none" w:sz="0" w:space="0" w:color="auto"/>
        <w:right w:val="none" w:sz="0" w:space="0" w:color="auto"/>
      </w:divBdr>
    </w:div>
    <w:div w:id="277496333">
      <w:bodyDiv w:val="1"/>
      <w:marLeft w:val="0"/>
      <w:marRight w:val="0"/>
      <w:marTop w:val="0"/>
      <w:marBottom w:val="0"/>
      <w:divBdr>
        <w:top w:val="none" w:sz="0" w:space="0" w:color="auto"/>
        <w:left w:val="none" w:sz="0" w:space="0" w:color="auto"/>
        <w:bottom w:val="none" w:sz="0" w:space="0" w:color="auto"/>
        <w:right w:val="none" w:sz="0" w:space="0" w:color="auto"/>
      </w:divBdr>
    </w:div>
    <w:div w:id="490298843">
      <w:bodyDiv w:val="1"/>
      <w:marLeft w:val="0"/>
      <w:marRight w:val="0"/>
      <w:marTop w:val="0"/>
      <w:marBottom w:val="0"/>
      <w:divBdr>
        <w:top w:val="none" w:sz="0" w:space="0" w:color="auto"/>
        <w:left w:val="none" w:sz="0" w:space="0" w:color="auto"/>
        <w:bottom w:val="none" w:sz="0" w:space="0" w:color="auto"/>
        <w:right w:val="none" w:sz="0" w:space="0" w:color="auto"/>
      </w:divBdr>
    </w:div>
    <w:div w:id="593982053">
      <w:bodyDiv w:val="1"/>
      <w:marLeft w:val="0"/>
      <w:marRight w:val="0"/>
      <w:marTop w:val="0"/>
      <w:marBottom w:val="0"/>
      <w:divBdr>
        <w:top w:val="none" w:sz="0" w:space="0" w:color="auto"/>
        <w:left w:val="none" w:sz="0" w:space="0" w:color="auto"/>
        <w:bottom w:val="none" w:sz="0" w:space="0" w:color="auto"/>
        <w:right w:val="none" w:sz="0" w:space="0" w:color="auto"/>
      </w:divBdr>
    </w:div>
    <w:div w:id="781266121">
      <w:bodyDiv w:val="1"/>
      <w:marLeft w:val="0"/>
      <w:marRight w:val="0"/>
      <w:marTop w:val="0"/>
      <w:marBottom w:val="0"/>
      <w:divBdr>
        <w:top w:val="none" w:sz="0" w:space="0" w:color="auto"/>
        <w:left w:val="none" w:sz="0" w:space="0" w:color="auto"/>
        <w:bottom w:val="none" w:sz="0" w:space="0" w:color="auto"/>
        <w:right w:val="none" w:sz="0" w:space="0" w:color="auto"/>
      </w:divBdr>
    </w:div>
    <w:div w:id="787821474">
      <w:bodyDiv w:val="1"/>
      <w:marLeft w:val="0"/>
      <w:marRight w:val="0"/>
      <w:marTop w:val="0"/>
      <w:marBottom w:val="0"/>
      <w:divBdr>
        <w:top w:val="none" w:sz="0" w:space="0" w:color="auto"/>
        <w:left w:val="none" w:sz="0" w:space="0" w:color="auto"/>
        <w:bottom w:val="none" w:sz="0" w:space="0" w:color="auto"/>
        <w:right w:val="none" w:sz="0" w:space="0" w:color="auto"/>
      </w:divBdr>
    </w:div>
    <w:div w:id="827405559">
      <w:bodyDiv w:val="1"/>
      <w:marLeft w:val="0"/>
      <w:marRight w:val="0"/>
      <w:marTop w:val="0"/>
      <w:marBottom w:val="0"/>
      <w:divBdr>
        <w:top w:val="none" w:sz="0" w:space="0" w:color="auto"/>
        <w:left w:val="none" w:sz="0" w:space="0" w:color="auto"/>
        <w:bottom w:val="none" w:sz="0" w:space="0" w:color="auto"/>
        <w:right w:val="none" w:sz="0" w:space="0" w:color="auto"/>
      </w:divBdr>
    </w:div>
    <w:div w:id="859926784">
      <w:bodyDiv w:val="1"/>
      <w:marLeft w:val="0"/>
      <w:marRight w:val="0"/>
      <w:marTop w:val="0"/>
      <w:marBottom w:val="0"/>
      <w:divBdr>
        <w:top w:val="none" w:sz="0" w:space="0" w:color="auto"/>
        <w:left w:val="none" w:sz="0" w:space="0" w:color="auto"/>
        <w:bottom w:val="none" w:sz="0" w:space="0" w:color="auto"/>
        <w:right w:val="none" w:sz="0" w:space="0" w:color="auto"/>
      </w:divBdr>
    </w:div>
    <w:div w:id="910391265">
      <w:bodyDiv w:val="1"/>
      <w:marLeft w:val="0"/>
      <w:marRight w:val="0"/>
      <w:marTop w:val="0"/>
      <w:marBottom w:val="0"/>
      <w:divBdr>
        <w:top w:val="none" w:sz="0" w:space="0" w:color="auto"/>
        <w:left w:val="none" w:sz="0" w:space="0" w:color="auto"/>
        <w:bottom w:val="none" w:sz="0" w:space="0" w:color="auto"/>
        <w:right w:val="none" w:sz="0" w:space="0" w:color="auto"/>
      </w:divBdr>
    </w:div>
    <w:div w:id="1318149370">
      <w:bodyDiv w:val="1"/>
      <w:marLeft w:val="0"/>
      <w:marRight w:val="0"/>
      <w:marTop w:val="0"/>
      <w:marBottom w:val="0"/>
      <w:divBdr>
        <w:top w:val="none" w:sz="0" w:space="0" w:color="auto"/>
        <w:left w:val="none" w:sz="0" w:space="0" w:color="auto"/>
        <w:bottom w:val="none" w:sz="0" w:space="0" w:color="auto"/>
        <w:right w:val="none" w:sz="0" w:space="0" w:color="auto"/>
      </w:divBdr>
    </w:div>
    <w:div w:id="1374379114">
      <w:bodyDiv w:val="1"/>
      <w:marLeft w:val="0"/>
      <w:marRight w:val="0"/>
      <w:marTop w:val="0"/>
      <w:marBottom w:val="0"/>
      <w:divBdr>
        <w:top w:val="none" w:sz="0" w:space="0" w:color="auto"/>
        <w:left w:val="none" w:sz="0" w:space="0" w:color="auto"/>
        <w:bottom w:val="none" w:sz="0" w:space="0" w:color="auto"/>
        <w:right w:val="none" w:sz="0" w:space="0" w:color="auto"/>
      </w:divBdr>
    </w:div>
    <w:div w:id="1514804063">
      <w:bodyDiv w:val="1"/>
      <w:marLeft w:val="0"/>
      <w:marRight w:val="0"/>
      <w:marTop w:val="0"/>
      <w:marBottom w:val="0"/>
      <w:divBdr>
        <w:top w:val="none" w:sz="0" w:space="0" w:color="auto"/>
        <w:left w:val="none" w:sz="0" w:space="0" w:color="auto"/>
        <w:bottom w:val="none" w:sz="0" w:space="0" w:color="auto"/>
        <w:right w:val="none" w:sz="0" w:space="0" w:color="auto"/>
      </w:divBdr>
    </w:div>
    <w:div w:id="1523934726">
      <w:bodyDiv w:val="1"/>
      <w:marLeft w:val="0"/>
      <w:marRight w:val="0"/>
      <w:marTop w:val="0"/>
      <w:marBottom w:val="0"/>
      <w:divBdr>
        <w:top w:val="none" w:sz="0" w:space="0" w:color="auto"/>
        <w:left w:val="none" w:sz="0" w:space="0" w:color="auto"/>
        <w:bottom w:val="none" w:sz="0" w:space="0" w:color="auto"/>
        <w:right w:val="none" w:sz="0" w:space="0" w:color="auto"/>
      </w:divBdr>
    </w:div>
    <w:div w:id="2057581305">
      <w:bodyDiv w:val="1"/>
      <w:marLeft w:val="0"/>
      <w:marRight w:val="0"/>
      <w:marTop w:val="0"/>
      <w:marBottom w:val="0"/>
      <w:divBdr>
        <w:top w:val="none" w:sz="0" w:space="0" w:color="auto"/>
        <w:left w:val="none" w:sz="0" w:space="0" w:color="auto"/>
        <w:bottom w:val="none" w:sz="0" w:space="0" w:color="auto"/>
        <w:right w:val="none" w:sz="0" w:space="0" w:color="auto"/>
      </w:divBdr>
    </w:div>
    <w:div w:id="212711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4063</Words>
  <Characters>22753</Characters>
  <Application>Microsoft Office Word</Application>
  <DocSecurity>0</DocSecurity>
  <Lines>505</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2025-08-20T18:35:00Z</dcterms:created>
  <dcterms:modified xsi:type="dcterms:W3CDTF">2025-08-20T19:04:00Z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c98d2674-4b12-400d-810b-4196f585b234</vt:lpwstr>
  </property>
</Properties>
</file>