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6920" w14:textId="77777777" w:rsidR="002C62BA" w:rsidRDefault="0090450C" w:rsidP="00B23CAE">
      <w:pPr>
        <w:spacing w:after="0" w:line="36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Socio-Economic Transformation after Employment Shift: A Study of </w:t>
      </w:r>
      <w:bookmarkStart w:id="0" w:name="_Hlk207893719"/>
      <w:r>
        <w:rPr>
          <w:rFonts w:ascii="Times New Roman" w:eastAsia="Times New Roman" w:hAnsi="Times New Roman" w:cs="Times New Roman"/>
          <w:b/>
          <w:bCs/>
          <w:sz w:val="24"/>
          <w:szCs w:val="24"/>
          <w:lang w:eastAsia="en-IN"/>
        </w:rPr>
        <w:t>Informal Sector Migrants in Andaman and Nicobar Islands</w:t>
      </w:r>
    </w:p>
    <w:bookmarkEnd w:id="0"/>
    <w:p w14:paraId="6473881C" w14:textId="77777777" w:rsidR="00FB3377" w:rsidRDefault="00FB3377" w:rsidP="00B23CAE">
      <w:pPr>
        <w:spacing w:after="0" w:line="360" w:lineRule="auto"/>
        <w:jc w:val="center"/>
        <w:rPr>
          <w:rFonts w:ascii="Times New Roman" w:eastAsia="Times New Roman" w:hAnsi="Times New Roman" w:cs="Times New Roman"/>
          <w:b/>
          <w:bCs/>
          <w:sz w:val="24"/>
          <w:szCs w:val="24"/>
          <w:lang w:eastAsia="en-IN"/>
        </w:rPr>
      </w:pPr>
    </w:p>
    <w:p w14:paraId="67779097" w14:textId="77777777" w:rsidR="00CC2C17" w:rsidRPr="00306F0F" w:rsidRDefault="00CC2C17" w:rsidP="00B23CAE">
      <w:pPr>
        <w:pStyle w:val="NoSpacing"/>
        <w:spacing w:line="360" w:lineRule="auto"/>
        <w:jc w:val="center"/>
        <w:rPr>
          <w:rFonts w:ascii="Times New Roman" w:eastAsia="Times New Roman" w:hAnsi="Times New Roman" w:cs="Times New Roman"/>
          <w:color w:val="101112"/>
          <w:sz w:val="24"/>
          <w:szCs w:val="24"/>
          <w:lang w:eastAsia="en-IN"/>
        </w:rPr>
      </w:pPr>
    </w:p>
    <w:p w14:paraId="733A5B0E" w14:textId="77777777" w:rsidR="00BF3E7D" w:rsidRPr="00DE3D5E" w:rsidRDefault="00BF3E7D" w:rsidP="00B23CAE">
      <w:pPr>
        <w:spacing w:before="100" w:beforeAutospacing="1" w:after="100" w:afterAutospacing="1" w:line="360" w:lineRule="auto"/>
        <w:rPr>
          <w:rFonts w:ascii="Times New Roman" w:eastAsia="Times New Roman" w:hAnsi="Times New Roman" w:cs="Times New Roman"/>
          <w:sz w:val="24"/>
          <w:szCs w:val="24"/>
          <w:u w:val="single"/>
          <w:lang w:eastAsia="en-IN"/>
        </w:rPr>
      </w:pPr>
      <w:r w:rsidRPr="00DE3D5E">
        <w:rPr>
          <w:rFonts w:ascii="Times New Roman" w:eastAsia="Times New Roman" w:hAnsi="Times New Roman" w:cs="Times New Roman"/>
          <w:b/>
          <w:bCs/>
          <w:sz w:val="24"/>
          <w:szCs w:val="24"/>
          <w:u w:val="single"/>
          <w:lang w:eastAsia="en-IN"/>
        </w:rPr>
        <w:t>Abstract</w:t>
      </w:r>
    </w:p>
    <w:p w14:paraId="20C42CA3" w14:textId="77777777" w:rsidR="00BF3E7D" w:rsidRPr="006747DA" w:rsidRDefault="00BF3E7D" w:rsidP="00B23CA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747DA">
        <w:rPr>
          <w:rFonts w:ascii="Times New Roman" w:eastAsia="Times New Roman" w:hAnsi="Times New Roman" w:cs="Times New Roman"/>
          <w:sz w:val="24"/>
          <w:szCs w:val="24"/>
          <w:lang w:eastAsia="en-IN"/>
        </w:rPr>
        <w:t xml:space="preserve">This study </w:t>
      </w:r>
      <w:r w:rsidR="00573463">
        <w:rPr>
          <w:rFonts w:ascii="Times New Roman" w:eastAsia="Times New Roman" w:hAnsi="Times New Roman" w:cs="Times New Roman"/>
          <w:sz w:val="24"/>
          <w:szCs w:val="24"/>
          <w:lang w:eastAsia="en-IN"/>
        </w:rPr>
        <w:t xml:space="preserve">explains </w:t>
      </w:r>
      <w:r w:rsidRPr="006747DA">
        <w:rPr>
          <w:rFonts w:ascii="Times New Roman" w:eastAsia="Times New Roman" w:hAnsi="Times New Roman" w:cs="Times New Roman"/>
          <w:sz w:val="24"/>
          <w:szCs w:val="24"/>
          <w:lang w:eastAsia="en-IN"/>
        </w:rPr>
        <w:t xml:space="preserve">the socio-economic transformation experienced by </w:t>
      </w:r>
      <w:r w:rsidR="00573463">
        <w:rPr>
          <w:rFonts w:ascii="Times New Roman" w:eastAsia="Times New Roman" w:hAnsi="Times New Roman" w:cs="Times New Roman"/>
          <w:sz w:val="24"/>
          <w:szCs w:val="24"/>
          <w:lang w:eastAsia="en-IN"/>
        </w:rPr>
        <w:t xml:space="preserve">the </w:t>
      </w:r>
      <w:r w:rsidRPr="006747DA">
        <w:rPr>
          <w:rFonts w:ascii="Times New Roman" w:eastAsia="Times New Roman" w:hAnsi="Times New Roman" w:cs="Times New Roman"/>
          <w:sz w:val="24"/>
          <w:szCs w:val="24"/>
          <w:lang w:eastAsia="en-IN"/>
        </w:rPr>
        <w:t xml:space="preserve">migrants from West Bengal who relocated to the Andaman and Nicobar Islands. </w:t>
      </w:r>
      <w:r w:rsidR="00573463">
        <w:rPr>
          <w:rFonts w:ascii="Times New Roman" w:eastAsia="Times New Roman" w:hAnsi="Times New Roman" w:cs="Times New Roman"/>
          <w:sz w:val="24"/>
          <w:szCs w:val="24"/>
          <w:lang w:eastAsia="en-IN"/>
        </w:rPr>
        <w:t>Study used</w:t>
      </w:r>
      <w:r w:rsidRPr="006747DA">
        <w:rPr>
          <w:rFonts w:ascii="Times New Roman" w:eastAsia="Times New Roman" w:hAnsi="Times New Roman" w:cs="Times New Roman"/>
          <w:sz w:val="24"/>
          <w:szCs w:val="24"/>
          <w:lang w:eastAsia="en-IN"/>
        </w:rPr>
        <w:t xml:space="preserve"> cross-sectional data from 50 </w:t>
      </w:r>
      <w:r w:rsidR="00573463" w:rsidRPr="006747DA">
        <w:rPr>
          <w:rFonts w:ascii="Times New Roman" w:eastAsia="Times New Roman" w:hAnsi="Times New Roman" w:cs="Times New Roman"/>
          <w:sz w:val="24"/>
          <w:szCs w:val="24"/>
          <w:lang w:eastAsia="en-IN"/>
        </w:rPr>
        <w:t>respondents;</w:t>
      </w:r>
      <w:r w:rsidR="00573463">
        <w:rPr>
          <w:rFonts w:ascii="Times New Roman" w:eastAsia="Times New Roman" w:hAnsi="Times New Roman" w:cs="Times New Roman"/>
          <w:sz w:val="24"/>
          <w:szCs w:val="24"/>
          <w:lang w:eastAsia="en-IN"/>
        </w:rPr>
        <w:t xml:space="preserve"> this study</w:t>
      </w:r>
      <w:r w:rsidRPr="006747DA">
        <w:rPr>
          <w:rFonts w:ascii="Times New Roman" w:eastAsia="Times New Roman" w:hAnsi="Times New Roman" w:cs="Times New Roman"/>
          <w:sz w:val="24"/>
          <w:szCs w:val="24"/>
          <w:lang w:eastAsia="en-IN"/>
        </w:rPr>
        <w:t xml:space="preserve"> compares their pre- and post-migration conditions to assess changes in employment status, income levels, housing, savings, and overall e</w:t>
      </w:r>
      <w:r w:rsidR="00573463">
        <w:rPr>
          <w:rFonts w:ascii="Times New Roman" w:eastAsia="Times New Roman" w:hAnsi="Times New Roman" w:cs="Times New Roman"/>
          <w:sz w:val="24"/>
          <w:szCs w:val="24"/>
          <w:lang w:eastAsia="en-IN"/>
        </w:rPr>
        <w:t>conomic well-being. The finding of this study</w:t>
      </w:r>
      <w:r w:rsidRPr="006747DA">
        <w:rPr>
          <w:rFonts w:ascii="Times New Roman" w:eastAsia="Times New Roman" w:hAnsi="Times New Roman" w:cs="Times New Roman"/>
          <w:sz w:val="24"/>
          <w:szCs w:val="24"/>
          <w:lang w:eastAsia="en-IN"/>
        </w:rPr>
        <w:t xml:space="preserve"> reveal</w:t>
      </w:r>
      <w:r w:rsidR="00573463">
        <w:rPr>
          <w:rFonts w:ascii="Times New Roman" w:eastAsia="Times New Roman" w:hAnsi="Times New Roman" w:cs="Times New Roman"/>
          <w:sz w:val="24"/>
          <w:szCs w:val="24"/>
          <w:lang w:eastAsia="en-IN"/>
        </w:rPr>
        <w:t>s</w:t>
      </w:r>
      <w:r w:rsidRPr="006747DA">
        <w:rPr>
          <w:rFonts w:ascii="Times New Roman" w:eastAsia="Times New Roman" w:hAnsi="Times New Roman" w:cs="Times New Roman"/>
          <w:sz w:val="24"/>
          <w:szCs w:val="24"/>
          <w:lang w:eastAsia="en-IN"/>
        </w:rPr>
        <w:t xml:space="preserve"> that most migrants initially faced economic hardship, with many being unemployed or engaged in unstable daily wage work. Post-migration</w:t>
      </w:r>
      <w:r w:rsidR="00573463">
        <w:rPr>
          <w:rFonts w:ascii="Times New Roman" w:eastAsia="Times New Roman" w:hAnsi="Times New Roman" w:cs="Times New Roman"/>
          <w:sz w:val="24"/>
          <w:szCs w:val="24"/>
          <w:lang w:eastAsia="en-IN"/>
        </w:rPr>
        <w:t xml:space="preserve"> conditions </w:t>
      </w:r>
      <w:proofErr w:type="gramStart"/>
      <w:r w:rsidR="00573463">
        <w:rPr>
          <w:rFonts w:ascii="Times New Roman" w:eastAsia="Times New Roman" w:hAnsi="Times New Roman" w:cs="Times New Roman"/>
          <w:sz w:val="24"/>
          <w:szCs w:val="24"/>
          <w:lang w:eastAsia="en-IN"/>
        </w:rPr>
        <w:t>explores</w:t>
      </w:r>
      <w:proofErr w:type="gramEnd"/>
      <w:r w:rsidR="00573463">
        <w:rPr>
          <w:rFonts w:ascii="Times New Roman" w:eastAsia="Times New Roman" w:hAnsi="Times New Roman" w:cs="Times New Roman"/>
          <w:sz w:val="24"/>
          <w:szCs w:val="24"/>
          <w:lang w:eastAsia="en-IN"/>
        </w:rPr>
        <w:t xml:space="preserve"> that</w:t>
      </w:r>
      <w:r w:rsidRPr="006747DA">
        <w:rPr>
          <w:rFonts w:ascii="Times New Roman" w:eastAsia="Times New Roman" w:hAnsi="Times New Roman" w:cs="Times New Roman"/>
          <w:sz w:val="24"/>
          <w:szCs w:val="24"/>
          <w:lang w:eastAsia="en-IN"/>
        </w:rPr>
        <w:t>, the majority secured consistent employment, predominantly within informal sectors, leading to improved</w:t>
      </w:r>
      <w:r>
        <w:rPr>
          <w:rFonts w:ascii="Times New Roman" w:eastAsia="Times New Roman" w:hAnsi="Times New Roman" w:cs="Times New Roman"/>
          <w:sz w:val="24"/>
          <w:szCs w:val="24"/>
          <w:lang w:eastAsia="en-IN"/>
        </w:rPr>
        <w:t xml:space="preserve"> income and the ability to save </w:t>
      </w:r>
      <w:r w:rsidRPr="006747DA">
        <w:rPr>
          <w:rFonts w:ascii="Times New Roman" w:eastAsia="Times New Roman" w:hAnsi="Times New Roman" w:cs="Times New Roman"/>
          <w:sz w:val="24"/>
          <w:szCs w:val="24"/>
          <w:lang w:eastAsia="en-IN"/>
        </w:rPr>
        <w:t xml:space="preserve">an indicator of enhanced financial stability. </w:t>
      </w:r>
      <w:r w:rsidR="00573463">
        <w:rPr>
          <w:rFonts w:ascii="Times New Roman" w:eastAsia="Times New Roman" w:hAnsi="Times New Roman" w:cs="Times New Roman"/>
          <w:sz w:val="24"/>
          <w:szCs w:val="24"/>
          <w:lang w:eastAsia="en-IN"/>
        </w:rPr>
        <w:t>Their h</w:t>
      </w:r>
      <w:r w:rsidRPr="006747DA">
        <w:rPr>
          <w:rFonts w:ascii="Times New Roman" w:eastAsia="Times New Roman" w:hAnsi="Times New Roman" w:cs="Times New Roman"/>
          <w:sz w:val="24"/>
          <w:szCs w:val="24"/>
          <w:lang w:eastAsia="en-IN"/>
        </w:rPr>
        <w:t>ousing conditions also improved</w:t>
      </w:r>
      <w:r w:rsidR="00573463">
        <w:rPr>
          <w:rFonts w:ascii="Times New Roman" w:eastAsia="Times New Roman" w:hAnsi="Times New Roman" w:cs="Times New Roman"/>
          <w:sz w:val="24"/>
          <w:szCs w:val="24"/>
          <w:lang w:eastAsia="en-IN"/>
        </w:rPr>
        <w:t xml:space="preserve"> very well</w:t>
      </w:r>
      <w:r w:rsidRPr="006747DA">
        <w:rPr>
          <w:rFonts w:ascii="Times New Roman" w:eastAsia="Times New Roman" w:hAnsi="Times New Roman" w:cs="Times New Roman"/>
          <w:sz w:val="24"/>
          <w:szCs w:val="24"/>
          <w:lang w:eastAsia="en-IN"/>
        </w:rPr>
        <w:t xml:space="preserve">, with a shift from temporary to semi-permanent or permanent dwellings. While </w:t>
      </w:r>
      <w:r w:rsidR="00573463">
        <w:rPr>
          <w:rFonts w:ascii="Times New Roman" w:eastAsia="Times New Roman" w:hAnsi="Times New Roman" w:cs="Times New Roman"/>
          <w:sz w:val="24"/>
          <w:szCs w:val="24"/>
          <w:lang w:eastAsia="en-IN"/>
        </w:rPr>
        <w:t xml:space="preserve">they faced </w:t>
      </w:r>
      <w:r w:rsidRPr="006747DA">
        <w:rPr>
          <w:rFonts w:ascii="Times New Roman" w:eastAsia="Times New Roman" w:hAnsi="Times New Roman" w:cs="Times New Roman"/>
          <w:sz w:val="24"/>
          <w:szCs w:val="24"/>
          <w:lang w:eastAsia="en-IN"/>
        </w:rPr>
        <w:t xml:space="preserve">challenges such as limited educational attainment and continued reliance on informal employment persist, </w:t>
      </w:r>
      <w:r w:rsidR="00573463">
        <w:rPr>
          <w:rFonts w:ascii="Times New Roman" w:eastAsia="Times New Roman" w:hAnsi="Times New Roman" w:cs="Times New Roman"/>
          <w:sz w:val="24"/>
          <w:szCs w:val="24"/>
          <w:lang w:eastAsia="en-IN"/>
        </w:rPr>
        <w:t xml:space="preserve">still </w:t>
      </w:r>
      <w:r w:rsidRPr="006747DA">
        <w:rPr>
          <w:rFonts w:ascii="Times New Roman" w:eastAsia="Times New Roman" w:hAnsi="Times New Roman" w:cs="Times New Roman"/>
          <w:sz w:val="24"/>
          <w:szCs w:val="24"/>
          <w:lang w:eastAsia="en-IN"/>
        </w:rPr>
        <w:t>migration has overall resulted in better socio-economic outcomes for the majority of respondents.</w:t>
      </w:r>
      <w:r w:rsidR="00573463">
        <w:rPr>
          <w:rFonts w:ascii="Times New Roman" w:eastAsia="Times New Roman" w:hAnsi="Times New Roman" w:cs="Times New Roman"/>
          <w:sz w:val="24"/>
          <w:szCs w:val="24"/>
          <w:lang w:eastAsia="en-IN"/>
        </w:rPr>
        <w:t xml:space="preserve"> Overall,</w:t>
      </w:r>
      <w:r w:rsidRPr="006747DA">
        <w:rPr>
          <w:rFonts w:ascii="Times New Roman" w:eastAsia="Times New Roman" w:hAnsi="Times New Roman" w:cs="Times New Roman"/>
          <w:sz w:val="24"/>
          <w:szCs w:val="24"/>
          <w:lang w:eastAsia="en-IN"/>
        </w:rPr>
        <w:t xml:space="preserve"> </w:t>
      </w:r>
      <w:r w:rsidR="00573463">
        <w:rPr>
          <w:rFonts w:ascii="Times New Roman" w:eastAsia="Times New Roman" w:hAnsi="Times New Roman" w:cs="Times New Roman"/>
          <w:sz w:val="24"/>
          <w:szCs w:val="24"/>
          <w:lang w:eastAsia="en-IN"/>
        </w:rPr>
        <w:t>t</w:t>
      </w:r>
      <w:r w:rsidRPr="006747DA">
        <w:rPr>
          <w:rFonts w:ascii="Times New Roman" w:eastAsia="Times New Roman" w:hAnsi="Times New Roman" w:cs="Times New Roman"/>
          <w:sz w:val="24"/>
          <w:szCs w:val="24"/>
          <w:lang w:eastAsia="en-IN"/>
        </w:rPr>
        <w:t>he study offers insights into the role of migration as a livelihood strategy and its implications for policy aimed at migrant welfare and regional development.</w:t>
      </w:r>
    </w:p>
    <w:p w14:paraId="20F12922" w14:textId="77777777" w:rsidR="00BF3E7D" w:rsidRPr="006747DA" w:rsidRDefault="00BF3E7D" w:rsidP="00B23CA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0450C">
        <w:rPr>
          <w:rFonts w:ascii="Times New Roman" w:eastAsia="Times New Roman" w:hAnsi="Times New Roman" w:cs="Times New Roman"/>
          <w:b/>
          <w:bCs/>
          <w:sz w:val="24"/>
          <w:szCs w:val="24"/>
          <w:u w:val="single"/>
          <w:lang w:eastAsia="en-IN"/>
        </w:rPr>
        <w:t>Keywords</w:t>
      </w:r>
      <w:r w:rsidRPr="006747DA">
        <w:rPr>
          <w:rFonts w:ascii="Times New Roman" w:eastAsia="Times New Roman" w:hAnsi="Times New Roman" w:cs="Times New Roman"/>
          <w:sz w:val="24"/>
          <w:szCs w:val="24"/>
          <w:u w:val="single"/>
          <w:lang w:eastAsia="en-IN"/>
        </w:rPr>
        <w:br/>
      </w:r>
      <w:r w:rsidRPr="006747DA">
        <w:rPr>
          <w:rFonts w:ascii="Times New Roman" w:eastAsia="Times New Roman" w:hAnsi="Times New Roman" w:cs="Times New Roman"/>
          <w:sz w:val="24"/>
          <w:szCs w:val="24"/>
          <w:lang w:eastAsia="en-IN"/>
        </w:rPr>
        <w:t>Migration, Socio-economic change, Livelihood, Informal sector</w:t>
      </w:r>
      <w:r>
        <w:rPr>
          <w:rFonts w:ascii="Times New Roman" w:eastAsia="Times New Roman" w:hAnsi="Times New Roman" w:cs="Times New Roman"/>
          <w:sz w:val="24"/>
          <w:szCs w:val="24"/>
          <w:lang w:eastAsia="en-IN"/>
        </w:rPr>
        <w:t>, Income</w:t>
      </w:r>
    </w:p>
    <w:p w14:paraId="5EC3AE81" w14:textId="77777777" w:rsidR="002C62BA" w:rsidRPr="0090450C" w:rsidRDefault="002C62BA" w:rsidP="00B23CAE">
      <w:pPr>
        <w:pStyle w:val="Heading3"/>
        <w:spacing w:line="360" w:lineRule="auto"/>
        <w:jc w:val="both"/>
        <w:rPr>
          <w:sz w:val="24"/>
          <w:szCs w:val="24"/>
          <w:u w:val="single"/>
        </w:rPr>
      </w:pPr>
      <w:r w:rsidRPr="0090450C">
        <w:rPr>
          <w:rStyle w:val="Strong"/>
          <w:b/>
          <w:bCs/>
          <w:sz w:val="24"/>
          <w:szCs w:val="24"/>
          <w:u w:val="single"/>
        </w:rPr>
        <w:t>Introduction</w:t>
      </w:r>
    </w:p>
    <w:p w14:paraId="140A6AB3" w14:textId="77777777" w:rsidR="002C62BA" w:rsidRPr="002C62BA" w:rsidRDefault="002C62BA" w:rsidP="00B23CAE">
      <w:pPr>
        <w:pStyle w:val="NormalWeb"/>
        <w:spacing w:line="360" w:lineRule="auto"/>
        <w:jc w:val="both"/>
      </w:pPr>
      <w:r w:rsidRPr="002C62BA">
        <w:t xml:space="preserve">Migration has consistently played a </w:t>
      </w:r>
      <w:r w:rsidR="00573463">
        <w:t xml:space="preserve">very </w:t>
      </w:r>
      <w:proofErr w:type="spellStart"/>
      <w:r w:rsidR="00573463">
        <w:t>vital</w:t>
      </w:r>
      <w:r w:rsidRPr="002C62BA">
        <w:t>l</w:t>
      </w:r>
      <w:proofErr w:type="spellEnd"/>
      <w:r w:rsidRPr="002C62BA">
        <w:t xml:space="preserve"> role in shaping the socio-economic </w:t>
      </w:r>
      <w:r w:rsidR="00573463">
        <w:t>conditions</w:t>
      </w:r>
      <w:r w:rsidRPr="002C62BA">
        <w:t xml:space="preserve"> of individuals, households, and entire communities across the world. It arises from and contributes to broader patterns of regional inequality, labour market segmentation, and structural socio-political dynamics that define both the areas of origin and destination. In India, internal migration especially for employment has become a defining characteristic of the labour economy, significantly contributing to both the challenges of rural underdevelopment and the expansion of informal labour markets in urban and peripheral </w:t>
      </w:r>
      <w:r w:rsidRPr="002C62BA">
        <w:lastRenderedPageBreak/>
        <w:t>regions (Srivastava &amp; Sasikumar, 2003). The informal sector, in particular, absorbs a large proportion of this mobile workforce, encompassing seasonal, circular, and long-term migrants.</w:t>
      </w:r>
    </w:p>
    <w:p w14:paraId="6EAC14B7" w14:textId="77777777" w:rsidR="002C62BA" w:rsidRPr="002C62BA" w:rsidRDefault="002C62BA" w:rsidP="00B23CAE">
      <w:pPr>
        <w:pStyle w:val="NormalWeb"/>
        <w:spacing w:line="360" w:lineRule="auto"/>
        <w:jc w:val="both"/>
      </w:pPr>
      <w:r w:rsidRPr="002C62BA">
        <w:t xml:space="preserve">The transition into informal sector employment is often viewed as a mechanism of economic survival and, potentially, a route to improved living conditions. However, the socio-economic outcomes of such transitions are far from uniform. Migration is not merely a linear process leading to upward mobility; rather it involves complex and contradictory experiences. </w:t>
      </w:r>
      <w:proofErr w:type="spellStart"/>
      <w:r w:rsidRPr="002C62BA">
        <w:t>Rogaly</w:t>
      </w:r>
      <w:proofErr w:type="spellEnd"/>
      <w:r w:rsidRPr="002C62BA">
        <w:t xml:space="preserve"> (2001), in his study of seasonal migration in West Bengal, notes that while temporary migration may alleviate immediate financial stress, it frequently exposes migrants to unstable working environments, limited legal protections, and inadequate access to social security. Similar observations are made by </w:t>
      </w:r>
      <w:proofErr w:type="spellStart"/>
      <w:r w:rsidRPr="002C62BA">
        <w:t>Shambhavi</w:t>
      </w:r>
      <w:proofErr w:type="spellEnd"/>
      <w:r w:rsidRPr="002C62BA">
        <w:t xml:space="preserve"> Singh and Ali (2020), who document the fragile economic status of informal workers in Lucknow despite their contributions to the urban economy.</w:t>
      </w:r>
    </w:p>
    <w:p w14:paraId="5AA39974" w14:textId="77777777" w:rsidR="002C62BA" w:rsidRPr="002C62BA" w:rsidRDefault="002C62BA" w:rsidP="00B23CAE">
      <w:pPr>
        <w:pStyle w:val="NormalWeb"/>
        <w:spacing w:line="360" w:lineRule="auto"/>
        <w:jc w:val="both"/>
      </w:pPr>
      <w:r w:rsidRPr="002C62BA">
        <w:t>Recent theoretical developments have shifted the understanding of migration from purely economic determinants to more nuanced frameworks. De Haas (2010; 2021) offers the aspirations-capabilities framework, which views migration as a function of individuals' desires to improve their lives and their capacity to act upon those desires. This perspective helps explain the decisions of migrants from underdeveloped regions, such as parts of West Bengal, to relocate to remote destinations like the Andaman and Nicobar Islands in pursuit of better livelihood opportunities.</w:t>
      </w:r>
    </w:p>
    <w:p w14:paraId="5142E369" w14:textId="77777777" w:rsidR="002C62BA" w:rsidRPr="002C62BA" w:rsidRDefault="002C62BA" w:rsidP="00B23CAE">
      <w:pPr>
        <w:pStyle w:val="NormalWeb"/>
        <w:spacing w:line="360" w:lineRule="auto"/>
        <w:jc w:val="both"/>
      </w:pPr>
      <w:r w:rsidRPr="002C62BA">
        <w:t>Traditional migration theories remain relevant in understanding this phenomenon. Lee’s (1966) push-pull model continues to offer valuable insights into the motivations behind migration, identifying factors such as unemployment, poverty, and landlessness as drivers from the origin areas, and opportunities for employment, higher wages, and community networks as attractors at the destination. Nonetheless, as Massey (1990) argues through his concept of cumulative causation, the socio-economic consequences of migration are shaped by a complex interaction of household strategies, market demands, and structural institutions, which can either perpetuate inequality or serve as a vehicle for economic advancement.</w:t>
      </w:r>
    </w:p>
    <w:p w14:paraId="0E1B1F0B" w14:textId="77777777" w:rsidR="002C62BA" w:rsidRPr="002C62BA" w:rsidRDefault="002C62BA" w:rsidP="00B23CAE">
      <w:pPr>
        <w:pStyle w:val="NormalWeb"/>
        <w:spacing w:line="360" w:lineRule="auto"/>
        <w:jc w:val="both"/>
      </w:pPr>
      <w:r w:rsidRPr="002C62BA">
        <w:t xml:space="preserve">In recent decades, the Andaman and Nicobar Islands have increasingly become a destination for migrant labour, particularly in sectors like construction, fisheries, domestic services, and small-scale commerce. Migrants from West Bengal represent a significant segment of this </w:t>
      </w:r>
      <w:r w:rsidRPr="002C62BA">
        <w:lastRenderedPageBreak/>
        <w:t>workforce, yet there is limited empirical research assessing how their shift into informal employment affects their socio-economic conditions over time. Although the International Organization for Migration (2019) stresses the importance of protecting migrant workers’ rights and ensuring their inclusion in development frameworks, informal migrants often remain outside the reach of legal protections, public welfare systems, and secure employment benefits.</w:t>
      </w:r>
    </w:p>
    <w:p w14:paraId="4182B20D" w14:textId="77777777" w:rsidR="002C62BA" w:rsidRPr="002C62BA" w:rsidRDefault="002C62BA" w:rsidP="00B23CAE">
      <w:pPr>
        <w:pStyle w:val="NormalWeb"/>
        <w:spacing w:line="360" w:lineRule="auto"/>
        <w:jc w:val="both"/>
      </w:pPr>
      <w:r w:rsidRPr="002C62BA">
        <w:t>This study seeks to address a significant research gap by focusing on migrants from West Bengal who are currently employed in the informal sector within the Andaman and Nicobar Islands. It applies a socio-economic framework to examine whether the shift to informal employment has facilitated upward mobility or exacerbated vulnerability. Using primary data collected from 50 randomly selected respondents, the research investigates changes in key socio-economic indicators before and after migration.</w:t>
      </w:r>
    </w:p>
    <w:p w14:paraId="4DF57A62" w14:textId="77777777" w:rsidR="002C62BA" w:rsidRPr="0090450C" w:rsidRDefault="002C62BA" w:rsidP="00B23CAE">
      <w:pPr>
        <w:pStyle w:val="Heading3"/>
        <w:spacing w:line="360" w:lineRule="auto"/>
        <w:jc w:val="both"/>
        <w:rPr>
          <w:sz w:val="24"/>
          <w:szCs w:val="24"/>
          <w:u w:val="single"/>
        </w:rPr>
      </w:pPr>
      <w:r w:rsidRPr="0090450C">
        <w:rPr>
          <w:rStyle w:val="Strong"/>
          <w:b/>
          <w:bCs/>
          <w:sz w:val="24"/>
          <w:szCs w:val="24"/>
          <w:u w:val="single"/>
        </w:rPr>
        <w:t>Literature Review</w:t>
      </w:r>
    </w:p>
    <w:p w14:paraId="5D64DD63" w14:textId="77777777" w:rsidR="002C62BA" w:rsidRPr="002C62BA" w:rsidRDefault="002C62BA" w:rsidP="00B23CAE">
      <w:pPr>
        <w:pStyle w:val="NormalWeb"/>
        <w:spacing w:line="360" w:lineRule="auto"/>
        <w:jc w:val="both"/>
      </w:pPr>
      <w:r w:rsidRPr="002C62BA">
        <w:t>Migration, particularly for employment, has been the focus of extensive academic inquiry, with scholars examining its causes, processes, and socio-economic consequences. The current study builds on this existing body of literature, especially in the context of informal labour migration within India, drawing from both theoretical and empirical contributions.</w:t>
      </w:r>
    </w:p>
    <w:p w14:paraId="018E0C5D" w14:textId="77777777" w:rsidR="002C62BA" w:rsidRPr="002C62BA" w:rsidRDefault="002C62BA" w:rsidP="00B23CAE">
      <w:pPr>
        <w:pStyle w:val="NormalWeb"/>
        <w:spacing w:line="360" w:lineRule="auto"/>
        <w:jc w:val="both"/>
      </w:pPr>
      <w:proofErr w:type="spellStart"/>
      <w:r w:rsidRPr="002C62BA">
        <w:t>Rogaly</w:t>
      </w:r>
      <w:proofErr w:type="spellEnd"/>
      <w:r w:rsidRPr="002C62BA">
        <w:t xml:space="preserve"> (2001), in his seminal work on seasonal migration in West Bengal, emphasizes the interplay between migration, social transformation, and labour rights. His research reveals that while migration may temporarily enhance household income, it often reinforces economic insecurity due to the precarious nature of informal work. Migrants typically face exploitative labour conditions, limited bargaining power, and minimal access to welfare services. These findings underscore the need to critically evaluate the assumption that migration inherently leads to improved socio-economic status.</w:t>
      </w:r>
      <w:r w:rsidR="00DE3D5E">
        <w:t xml:space="preserve"> </w:t>
      </w:r>
      <w:r w:rsidRPr="002C62BA">
        <w:t>Expanding on the structural dimensions of migration, Massey (1990) introduces the concept of cumulative causation, arguing that migration patterns are shaped not only by individual decisions but also by broader socio-economic structures and institutional mechanisms. His analysis focuses on household strategies and the ways in which early migration experiences create feedback loops that either facilitate or hinder further migration and economic advancement. This theoretical lens is particularly relevant to understanding how repeated or generational migration influences socio-economic mobility in informal labour markets.</w:t>
      </w:r>
    </w:p>
    <w:p w14:paraId="417D06C1" w14:textId="77777777" w:rsidR="002C62BA" w:rsidRPr="002C62BA" w:rsidRDefault="002C62BA" w:rsidP="00B23CAE">
      <w:pPr>
        <w:pStyle w:val="NormalWeb"/>
        <w:spacing w:line="360" w:lineRule="auto"/>
        <w:jc w:val="both"/>
      </w:pPr>
      <w:r w:rsidRPr="002C62BA">
        <w:lastRenderedPageBreak/>
        <w:t>Singh and Ali (2020), in their study of migrant labourers in Lucknow, investigate the socio-economic impact of migration on informal workers. Their research finds that although migration can provide access to employment, it does not necessarily lead to substantial improvements in living standards. Migrants frequently remain marginalized, facing inadequate housing, low wages, and occupational health risks. The study also highlights the limitations of local governance systems in integrating migrant populations into urban service frameworks.</w:t>
      </w:r>
    </w:p>
    <w:p w14:paraId="7478F214" w14:textId="77777777" w:rsidR="002C62BA" w:rsidRPr="002C62BA" w:rsidRDefault="002C62BA" w:rsidP="00B23CAE">
      <w:pPr>
        <w:pStyle w:val="NormalWeb"/>
        <w:spacing w:line="360" w:lineRule="auto"/>
        <w:jc w:val="both"/>
      </w:pPr>
      <w:r w:rsidRPr="002C62BA">
        <w:t>Srivastava and Sasikumar (2003) provide a comprehensive overview of internal migration in India, addressing its drivers, patterns, and policy implications. They note that internal migrants constitute a significant share of the labour force, particularly in informal sectors, yet remain largely excluded from institutional support and public policy attention. Their work calls for a pro-poor policy approach that considers the socio-economic vulnerabilities of migrants and promotes inclusive development.</w:t>
      </w:r>
      <w:r w:rsidR="00DE3D5E">
        <w:t xml:space="preserve"> </w:t>
      </w:r>
      <w:r w:rsidRPr="002C62BA">
        <w:t>Bhagat (2015), in his analysis of urban migration trends in India, discusses the dual challenge of economic integration and social exclusion. He highlights how urban growth has been accompanied by rising informality, with a significant proportion of migrants employed in unregulated sectors. Bhagat argues that the informal nature of urban employment often results in socio-economic stagnation, particularly for unskilled migrants who lack access to healthcare, education, and legal protections.</w:t>
      </w:r>
      <w:r w:rsidR="00DE3D5E">
        <w:t xml:space="preserve"> </w:t>
      </w:r>
      <w:r w:rsidRPr="002C62BA">
        <w:t>The International Organization for Migration (2019) provides a comprehensive glossary and framework for understanding migration terminology and concepts. It emphasizes the importance of safeguarding migrant rights and ensuring their integration into national development strategies. The document reinforces the need for policy frameworks that recognize informal sector migrants as critical stakeholders in both origin and destination regions.</w:t>
      </w:r>
    </w:p>
    <w:p w14:paraId="5EEBD802" w14:textId="77777777" w:rsidR="002C62BA" w:rsidRPr="002C62BA" w:rsidRDefault="002C62BA" w:rsidP="00B23CAE">
      <w:pPr>
        <w:pStyle w:val="NormalWeb"/>
        <w:spacing w:line="360" w:lineRule="auto"/>
        <w:jc w:val="both"/>
      </w:pPr>
      <w:r w:rsidRPr="002C62BA">
        <w:t>Bhattacharjee (2021) examines the health and mobility patterns of regular and seasonal migrants in India. Her study reveals that the health status of migrants is often compromised due to poor working and living conditions, especially in informal employment settings. She advocates for stronger institutional mechanisms to address the health and social care needs of migrants, which are frequently neglected in existing labour and welfare policies.</w:t>
      </w:r>
      <w:r w:rsidR="00DE3D5E">
        <w:t xml:space="preserve"> </w:t>
      </w:r>
      <w:r>
        <w:t>De Haas (2010</w:t>
      </w:r>
      <w:r w:rsidRPr="002C62BA">
        <w:t xml:space="preserve">; 2021) offers a critical re-evaluation of the migration-development nexus. In his earlier work, he critiques linear models that posit a direct positive link between migration and development. He instead proposes a more dynamic approach, viewing migration as both a </w:t>
      </w:r>
      <w:r w:rsidRPr="002C62BA">
        <w:lastRenderedPageBreak/>
        <w:t>driver and a consequence of development, mediated by social structures and individual agency. His more recent contribution, the aspirations-capabilities framework, conceptualizes migration as a function of individuals’ desires and their capacity to act upon them. This framework allows for a more nuanced understanding of why people migrate and how their socio-economic outcomes are shaped by their ability to access resources and opportunities.</w:t>
      </w:r>
      <w:r w:rsidR="00DE3D5E">
        <w:t xml:space="preserve"> </w:t>
      </w:r>
      <w:r w:rsidRPr="002C62BA">
        <w:t xml:space="preserve">Kaur et al. (2011), in their case study of labour migration in Punjab’s agricultural sector, examine the multiple factors influencing migration decisions and outcomes. They find that socio-economic improvements among migrants depend significantly on education, skill levels, and the strength of social networks. Their research supports the argument that migration’s impact is not uniform and must be </w:t>
      </w:r>
      <w:proofErr w:type="spellStart"/>
      <w:r w:rsidRPr="002C62BA">
        <w:t>analyzed</w:t>
      </w:r>
      <w:proofErr w:type="spellEnd"/>
      <w:r w:rsidRPr="002C62BA">
        <w:t xml:space="preserve"> across various indicators such as income, asset ownership, healthcare access, and educational attainment.</w:t>
      </w:r>
    </w:p>
    <w:p w14:paraId="18CAB08D" w14:textId="77777777" w:rsidR="002C62BA" w:rsidRPr="002C62BA" w:rsidRDefault="002C62BA" w:rsidP="00B23CAE">
      <w:pPr>
        <w:pStyle w:val="NormalWeb"/>
        <w:spacing w:line="360" w:lineRule="auto"/>
        <w:jc w:val="both"/>
      </w:pPr>
      <w:r w:rsidRPr="002C62BA">
        <w:t>Lee (1966), through his classic push-pull theory, outlines the fundamental forces driving migration. He categorizes factors into those pushing individuals out of their places of origin (e.g., poverty, unemployment) and those pulling them into new regions (e.g., job opportunities, better living standards). Although formulated decades ago, this model remains foundational in migration studies and continues to provide a useful framework for understanding contemporary patterns of internal migration in India.</w:t>
      </w:r>
      <w:r w:rsidR="00DE3D5E">
        <w:t xml:space="preserve"> </w:t>
      </w:r>
      <w:r w:rsidRPr="002C62BA">
        <w:t>Collectively, these studies highlight several key themes relevant to the present research: the precarious nature of informal employment, the heterogeneity of migration outcomes, the importance of structural and institutional factors, and the need for comprehensive policies that address migrant vulnerabilities. Despite variations in their focus and methodology, these works converge on the view that migration alone does not guarantee socio-economic mobility; rather, it is the interaction of individual agency, social capital, institutional access, and employment quality that determines the degree of transformation.</w:t>
      </w:r>
      <w:r w:rsidR="00DE3D5E">
        <w:t xml:space="preserve"> </w:t>
      </w:r>
      <w:r w:rsidRPr="002C62BA">
        <w:t>The existing literature provides a strong theoretical and empirical foundation for examining the socio-economic impacts of informal sector employment among migrants. However, there remains a significant gap in region-specific studies that focus on geographically isolated areas such as the Andaman and Nicobar Islands. By situating the analysis within this under-researched context, the present study aims to contribute new empirical insights and advance the discourse on internal migration, informality, and development.</w:t>
      </w:r>
    </w:p>
    <w:p w14:paraId="32E3D34F" w14:textId="77777777" w:rsidR="002C62BA" w:rsidRPr="002C62BA" w:rsidRDefault="002C62BA" w:rsidP="00B23CAE">
      <w:pPr>
        <w:spacing w:line="360" w:lineRule="auto"/>
        <w:jc w:val="both"/>
        <w:rPr>
          <w:rFonts w:ascii="Times New Roman" w:hAnsi="Times New Roman" w:cs="Times New Roman"/>
          <w:b/>
          <w:sz w:val="24"/>
          <w:szCs w:val="24"/>
          <w:u w:val="single"/>
        </w:rPr>
      </w:pPr>
      <w:r w:rsidRPr="002C62BA">
        <w:rPr>
          <w:rFonts w:ascii="Times New Roman" w:hAnsi="Times New Roman" w:cs="Times New Roman"/>
          <w:b/>
          <w:sz w:val="24"/>
          <w:szCs w:val="24"/>
          <w:u w:val="single"/>
        </w:rPr>
        <w:t>Objective</w:t>
      </w:r>
    </w:p>
    <w:p w14:paraId="692E5F7A" w14:textId="77777777" w:rsidR="002C62BA" w:rsidRPr="002C62BA" w:rsidRDefault="002C62BA" w:rsidP="00B23CAE">
      <w:pPr>
        <w:spacing w:line="360" w:lineRule="auto"/>
        <w:jc w:val="both"/>
        <w:rPr>
          <w:rFonts w:ascii="Times New Roman" w:hAnsi="Times New Roman" w:cs="Times New Roman"/>
          <w:sz w:val="24"/>
          <w:szCs w:val="24"/>
        </w:rPr>
      </w:pPr>
      <w:r w:rsidRPr="002C62BA">
        <w:rPr>
          <w:rFonts w:ascii="Times New Roman" w:hAnsi="Times New Roman" w:cs="Times New Roman"/>
          <w:sz w:val="24"/>
          <w:szCs w:val="24"/>
        </w:rPr>
        <w:lastRenderedPageBreak/>
        <w:t>To analyse the extent of socio-economic change among migrants by comparing their pre- and post-migration</w:t>
      </w:r>
      <w:r>
        <w:rPr>
          <w:rFonts w:ascii="Times New Roman" w:hAnsi="Times New Roman" w:cs="Times New Roman"/>
          <w:sz w:val="24"/>
          <w:szCs w:val="24"/>
        </w:rPr>
        <w:t xml:space="preserve"> living and economic conditions</w:t>
      </w:r>
    </w:p>
    <w:p w14:paraId="3311CD19" w14:textId="77777777" w:rsidR="0090450C" w:rsidRDefault="0090450C" w:rsidP="00B23CAE">
      <w:pPr>
        <w:pStyle w:val="Heading3"/>
        <w:spacing w:line="360" w:lineRule="auto"/>
        <w:rPr>
          <w:rStyle w:val="Strong"/>
          <w:b/>
          <w:bCs/>
          <w:sz w:val="24"/>
          <w:szCs w:val="24"/>
          <w:u w:val="single"/>
        </w:rPr>
      </w:pPr>
    </w:p>
    <w:p w14:paraId="4CF602A3" w14:textId="77777777" w:rsidR="002C62BA" w:rsidRPr="002C62BA" w:rsidRDefault="002C62BA" w:rsidP="00B23CAE">
      <w:pPr>
        <w:pStyle w:val="Heading3"/>
        <w:spacing w:line="360" w:lineRule="auto"/>
        <w:rPr>
          <w:sz w:val="24"/>
          <w:szCs w:val="24"/>
          <w:u w:val="single"/>
        </w:rPr>
      </w:pPr>
      <w:r w:rsidRPr="002C62BA">
        <w:rPr>
          <w:rStyle w:val="Strong"/>
          <w:b/>
          <w:bCs/>
          <w:sz w:val="24"/>
          <w:szCs w:val="24"/>
          <w:u w:val="single"/>
        </w:rPr>
        <w:t>Research Methodology</w:t>
      </w:r>
    </w:p>
    <w:p w14:paraId="14CFF6CB" w14:textId="77777777" w:rsidR="002C62BA" w:rsidRPr="002C62BA" w:rsidRDefault="002C62BA" w:rsidP="00B23CAE">
      <w:pPr>
        <w:pStyle w:val="NormalWeb"/>
        <w:spacing w:line="360" w:lineRule="auto"/>
        <w:jc w:val="both"/>
      </w:pPr>
      <w:r w:rsidRPr="002C62BA">
        <w:t xml:space="preserve">This study adopts a mixed-method </w:t>
      </w:r>
      <w:r w:rsidR="00C14495">
        <w:t xml:space="preserve">which is an </w:t>
      </w:r>
      <w:r w:rsidRPr="002C62BA">
        <w:t>empirical approach to explore the extent</w:t>
      </w:r>
      <w:r w:rsidR="00C14495">
        <w:t xml:space="preserve"> of the migrants</w:t>
      </w:r>
      <w:r w:rsidRPr="002C62BA">
        <w:t xml:space="preserve"> to which a shift to informal sector employment influences the socio-economic transformation of internal migrants in the Andaman and Nicobar Islands. </w:t>
      </w:r>
      <w:r w:rsidR="00C14495">
        <w:t>Study e</w:t>
      </w:r>
      <w:r w:rsidRPr="002C62BA">
        <w:t>mphasis</w:t>
      </w:r>
      <w:r w:rsidR="00C14495">
        <w:t xml:space="preserve"> that there</w:t>
      </w:r>
      <w:r w:rsidRPr="002C62BA">
        <w:t xml:space="preserve"> is placed on understanding both quantitative changes in socio-economic indicators and qualitative aspects of migrant experiences. The methodology is carefully designed to ensure </w:t>
      </w:r>
      <w:r w:rsidR="00C14495">
        <w:t xml:space="preserve">the </w:t>
      </w:r>
      <w:r w:rsidRPr="002C62BA">
        <w:t>academic rigour, reliability of data, and relevance</w:t>
      </w:r>
      <w:r w:rsidR="00C14495">
        <w:t xml:space="preserve"> to the research objectives. This</w:t>
      </w:r>
      <w:r w:rsidRPr="002C62BA">
        <w:t xml:space="preserve"> research follows a </w:t>
      </w:r>
      <w:r w:rsidRPr="002C62BA">
        <w:rPr>
          <w:rStyle w:val="Strong"/>
          <w:b w:val="0"/>
        </w:rPr>
        <w:t>cross-sectional descriptive design</w:t>
      </w:r>
      <w:r w:rsidRPr="002C62BA">
        <w:t>, aimed at capturing the socio-economic conditions of migrants at a specific point in time. The study comprises</w:t>
      </w:r>
      <w:r w:rsidR="00C14495">
        <w:t xml:space="preserve"> the</w:t>
      </w:r>
      <w:r w:rsidRPr="002C62BA">
        <w:t xml:space="preserve"> internal migrants who have relocated from the state of West Bengal to the Andaman and Nicobar Islands in search of employment and are currently engag</w:t>
      </w:r>
      <w:r w:rsidR="00C14495">
        <w:t>ed in informal sector employment</w:t>
      </w:r>
      <w:r w:rsidRPr="002C62BA">
        <w:t xml:space="preserve">. </w:t>
      </w:r>
      <w:r w:rsidR="00C14495">
        <w:t>As we know that i</w:t>
      </w:r>
      <w:r w:rsidRPr="002C62BA">
        <w:t xml:space="preserve">nformal sector employment is operationally defined to include unregistered, unregulated, or unprotected forms of work such as construction labour, domestic work, retail vending, fishing, and casual tourism-related services. </w:t>
      </w:r>
      <w:r w:rsidR="00C14495">
        <w:t>Further, a</w:t>
      </w:r>
      <w:r w:rsidRPr="002C62BA">
        <w:t xml:space="preserve"> </w:t>
      </w:r>
      <w:r w:rsidRPr="002C62BA">
        <w:rPr>
          <w:rStyle w:val="Strong"/>
          <w:b w:val="0"/>
        </w:rPr>
        <w:t>simple random sampling technique</w:t>
      </w:r>
      <w:r w:rsidRPr="002C62BA">
        <w:t xml:space="preserve"> was employed to select </w:t>
      </w:r>
      <w:r w:rsidR="00C14495">
        <w:t xml:space="preserve">the number of </w:t>
      </w:r>
      <w:r w:rsidRPr="002C62BA">
        <w:t xml:space="preserve">respondents, ensuring that </w:t>
      </w:r>
      <w:r w:rsidR="00C14495">
        <w:t xml:space="preserve">there should be </w:t>
      </w:r>
      <w:r w:rsidRPr="002C62BA">
        <w:t xml:space="preserve">each individual within the defined population had an equal and independent chance of being included. A total of </w:t>
      </w:r>
      <w:r w:rsidRPr="002C62BA">
        <w:rPr>
          <w:rStyle w:val="Strong"/>
          <w:b w:val="0"/>
        </w:rPr>
        <w:t>50 migrants</w:t>
      </w:r>
      <w:r w:rsidRPr="002C62BA">
        <w:t xml:space="preserve"> were selected as the sample size. While the sample is </w:t>
      </w:r>
      <w:r w:rsidR="00C14495">
        <w:t xml:space="preserve">very </w:t>
      </w:r>
      <w:r w:rsidRPr="002C62BA">
        <w:t xml:space="preserve">limited in number, it offers rich data for micro-level analysis and is adequate for exploratory social research. </w:t>
      </w:r>
      <w:r w:rsidR="00C14495">
        <w:t>For this study p</w:t>
      </w:r>
      <w:r w:rsidRPr="002C62BA">
        <w:t xml:space="preserve">rimary data were collected </w:t>
      </w:r>
      <w:r w:rsidR="00C14495">
        <w:t xml:space="preserve">by </w:t>
      </w:r>
      <w:r w:rsidRPr="002C62BA">
        <w:t xml:space="preserve">using a </w:t>
      </w:r>
      <w:r w:rsidR="00C14495">
        <w:t xml:space="preserve">proper </w:t>
      </w:r>
      <w:r w:rsidRPr="002C62BA">
        <w:rPr>
          <w:rStyle w:val="Strong"/>
          <w:b w:val="0"/>
        </w:rPr>
        <w:t>structured Interview schedule</w:t>
      </w:r>
      <w:r w:rsidRPr="002C62BA">
        <w:rPr>
          <w:rStyle w:val="Strong"/>
        </w:rPr>
        <w:t xml:space="preserve">. </w:t>
      </w:r>
      <w:r w:rsidRPr="002C62BA">
        <w:t xml:space="preserve">The questionnaire was </w:t>
      </w:r>
      <w:r w:rsidR="00C14495">
        <w:t>gathered all the data and information th</w:t>
      </w:r>
      <w:r w:rsidRPr="002C62BA">
        <w:t xml:space="preserve">rough </w:t>
      </w:r>
      <w:r w:rsidRPr="002C62BA">
        <w:rPr>
          <w:rStyle w:val="Strong"/>
          <w:b w:val="0"/>
        </w:rPr>
        <w:t>face-to-face interviews</w:t>
      </w:r>
      <w:r w:rsidRPr="002C62BA">
        <w:rPr>
          <w:b/>
        </w:rPr>
        <w:t>,</w:t>
      </w:r>
      <w:r w:rsidRPr="002C62BA">
        <w:t xml:space="preserve"> allowing the researcher to clarify questions. </w:t>
      </w:r>
      <w:r w:rsidR="00C14495">
        <w:t>These interviews were</w:t>
      </w:r>
      <w:r w:rsidRPr="002C62BA">
        <w:t xml:space="preserve"> conducted in Bengali or Hindi, depending on the respondent’s preference</w:t>
      </w:r>
      <w:r w:rsidR="00C14495">
        <w:t xml:space="preserve"> and comfort</w:t>
      </w:r>
      <w:r w:rsidRPr="002C62BA">
        <w:t xml:space="preserve">. </w:t>
      </w:r>
      <w:r w:rsidR="00C14495">
        <w:t xml:space="preserve">For the Secondary data </w:t>
      </w:r>
      <w:r w:rsidRPr="002C62BA">
        <w:t xml:space="preserve">were sourced from existing scholarly literature, migration reports, and official statistics. </w:t>
      </w:r>
      <w:r w:rsidR="00C14495">
        <w:t>At last the d</w:t>
      </w:r>
      <w:r w:rsidRPr="002C62BA">
        <w:t>ata were analy</w:t>
      </w:r>
      <w:r w:rsidR="00573463">
        <w:t>s</w:t>
      </w:r>
      <w:r w:rsidRPr="002C62BA">
        <w:t xml:space="preserve">ed using both </w:t>
      </w:r>
      <w:r w:rsidRPr="002C62BA">
        <w:rPr>
          <w:rStyle w:val="Strong"/>
          <w:b w:val="0"/>
        </w:rPr>
        <w:t>descriptive and</w:t>
      </w:r>
      <w:r w:rsidRPr="002C62BA">
        <w:rPr>
          <w:rStyle w:val="Strong"/>
        </w:rPr>
        <w:t xml:space="preserve"> </w:t>
      </w:r>
      <w:r w:rsidRPr="002C62BA">
        <w:rPr>
          <w:rStyle w:val="Strong"/>
          <w:b w:val="0"/>
        </w:rPr>
        <w:t>inferential statistical tools</w:t>
      </w:r>
      <w:r w:rsidRPr="002C62BA">
        <w:t xml:space="preserve">. Descriptive statistics (mean, median, mode, percentage distribution) were used to present the demographic characteristics and </w:t>
      </w:r>
      <w:r w:rsidR="00C14495">
        <w:t xml:space="preserve">all </w:t>
      </w:r>
      <w:r w:rsidRPr="002C62BA">
        <w:t>changes in socio-economic indicators. Comparative analysis was conducted to examine differences in socio-economic status before and after migration.</w:t>
      </w:r>
    </w:p>
    <w:p w14:paraId="093B797B" w14:textId="77777777" w:rsidR="002C62BA" w:rsidRPr="002C62BA" w:rsidRDefault="002C62BA" w:rsidP="00B23CAE">
      <w:pPr>
        <w:pStyle w:val="Heading4"/>
        <w:spacing w:line="360" w:lineRule="auto"/>
        <w:jc w:val="both"/>
        <w:rPr>
          <w:rFonts w:ascii="Times New Roman" w:hAnsi="Times New Roman" w:cs="Times New Roman"/>
          <w:i w:val="0"/>
          <w:color w:val="auto"/>
          <w:sz w:val="24"/>
          <w:szCs w:val="24"/>
          <w:u w:val="single"/>
        </w:rPr>
      </w:pPr>
      <w:r w:rsidRPr="002C62BA">
        <w:rPr>
          <w:rStyle w:val="Strong"/>
          <w:rFonts w:ascii="Times New Roman" w:hAnsi="Times New Roman" w:cs="Times New Roman"/>
          <w:b/>
          <w:bCs/>
          <w:i w:val="0"/>
          <w:color w:val="auto"/>
          <w:sz w:val="24"/>
          <w:szCs w:val="24"/>
          <w:u w:val="single"/>
        </w:rPr>
        <w:lastRenderedPageBreak/>
        <w:t>Limitations of the Study</w:t>
      </w:r>
    </w:p>
    <w:p w14:paraId="49B00BD8" w14:textId="77777777" w:rsidR="002C62BA" w:rsidRPr="002C62BA" w:rsidRDefault="002C62BA" w:rsidP="00B23CAE">
      <w:pPr>
        <w:pStyle w:val="NormalWeb"/>
        <w:spacing w:line="360" w:lineRule="auto"/>
        <w:jc w:val="both"/>
      </w:pPr>
      <w:r w:rsidRPr="002C62BA">
        <w:t>While the study offers valuable empirical insights, certain limitations must be acknowledged. The sample size of 50 respondents limits the generalizability of the findings. Additionally, reliance on self-reported data may introduce recall bias, particularly in retrospective accounts of pre-migration conditions. Despite these limitations, the study provides a critical micro-level perspective on informal labour migration in a remote region where such research remains scarce.</w:t>
      </w:r>
    </w:p>
    <w:p w14:paraId="01C34519" w14:textId="77777777" w:rsidR="002C62BA" w:rsidRDefault="002C62BA" w:rsidP="00B23CAE">
      <w:pPr>
        <w:pStyle w:val="NormalWeb"/>
        <w:spacing w:line="360" w:lineRule="auto"/>
        <w:rPr>
          <w:b/>
          <w:u w:val="single"/>
        </w:rPr>
      </w:pPr>
      <w:r w:rsidRPr="002C62BA">
        <w:rPr>
          <w:b/>
          <w:u w:val="single"/>
        </w:rPr>
        <w:t>Results and Discussions</w:t>
      </w:r>
    </w:p>
    <w:p w14:paraId="3B3E8B93" w14:textId="77777777" w:rsidR="00E56339" w:rsidRPr="00E56339" w:rsidRDefault="00E56339" w:rsidP="00B23CAE">
      <w:pPr>
        <w:pStyle w:val="Heading3"/>
        <w:spacing w:line="360" w:lineRule="auto"/>
        <w:rPr>
          <w:b w:val="0"/>
          <w:sz w:val="24"/>
          <w:szCs w:val="24"/>
        </w:rPr>
      </w:pPr>
      <w:r w:rsidRPr="00E56339">
        <w:rPr>
          <w:rStyle w:val="Strong"/>
          <w:b/>
          <w:bCs/>
          <w:sz w:val="24"/>
          <w:szCs w:val="24"/>
        </w:rPr>
        <w:t>Age Distribution of Respondents</w:t>
      </w:r>
    </w:p>
    <w:p w14:paraId="697D68C9" w14:textId="77777777" w:rsidR="00E56339" w:rsidRDefault="00E56339" w:rsidP="00B23CAE">
      <w:pPr>
        <w:pStyle w:val="NormalWeb"/>
        <w:spacing w:line="360" w:lineRule="auto"/>
        <w:jc w:val="both"/>
      </w:pPr>
      <w:r>
        <w:t xml:space="preserve">The data shows a strong representation of young and middle-aged individuals, which aligns with broader migration trends in India. The largest group </w:t>
      </w:r>
      <w:r w:rsidRPr="00EF34C9">
        <w:rPr>
          <w:rStyle w:val="Strong"/>
          <w:b w:val="0"/>
        </w:rPr>
        <w:t>29 respondents (58%)</w:t>
      </w:r>
      <w:r>
        <w:t xml:space="preserve"> fall within the </w:t>
      </w:r>
      <w:r w:rsidRPr="00EF34C9">
        <w:rPr>
          <w:rStyle w:val="Strong"/>
          <w:b w:val="0"/>
        </w:rPr>
        <w:t>30–39 years</w:t>
      </w:r>
      <w:r>
        <w:t xml:space="preserve"> age bracket, indicating that migration is most common among individuals in their prime working years. </w:t>
      </w:r>
      <w:r w:rsidRPr="00EF34C9">
        <w:rPr>
          <w:rStyle w:val="Strong"/>
          <w:b w:val="0"/>
        </w:rPr>
        <w:t>16 respondents (32%)</w:t>
      </w:r>
      <w:r>
        <w:t xml:space="preserve"> are </w:t>
      </w:r>
      <w:r w:rsidRPr="00EF34C9">
        <w:rPr>
          <w:rStyle w:val="Strong"/>
          <w:b w:val="0"/>
        </w:rPr>
        <w:t>below 29 years of age</w:t>
      </w:r>
      <w:r>
        <w:t xml:space="preserve">, highlighting a significant youth presence. Smaller segment 4 respondents (8%) are between </w:t>
      </w:r>
      <w:r w:rsidRPr="00EF34C9">
        <w:rPr>
          <w:rStyle w:val="Strong"/>
          <w:b w:val="0"/>
        </w:rPr>
        <w:t>40–49 years</w:t>
      </w:r>
      <w:r>
        <w:t xml:space="preserve">, and only </w:t>
      </w:r>
      <w:r w:rsidRPr="00EF34C9">
        <w:rPr>
          <w:rStyle w:val="Strong"/>
          <w:b w:val="0"/>
        </w:rPr>
        <w:t>1 respondent (2%)</w:t>
      </w:r>
      <w:r>
        <w:t xml:space="preserve"> is </w:t>
      </w:r>
      <w:r w:rsidRPr="00EF34C9">
        <w:rPr>
          <w:rStyle w:val="Strong"/>
          <w:b w:val="0"/>
        </w:rPr>
        <w:t>above 50 years</w:t>
      </w:r>
      <w:r>
        <w:t>. The low representation of older migrants reflects the physical demands of the types of jobs available and a possible preference for younger, more adaptable workers in the informal sector. Overall, the data suggests that migration is predominantly undertaken by economically active age groups who are more likely to adapt to new environments, endure challenging work conditions, and seek upward socio-economic mobility.</w:t>
      </w:r>
    </w:p>
    <w:p w14:paraId="0B29C475" w14:textId="77777777" w:rsidR="00E56339" w:rsidRPr="00E56339" w:rsidRDefault="00E56339" w:rsidP="00B23CAE">
      <w:pPr>
        <w:pStyle w:val="Heading3"/>
        <w:spacing w:line="360" w:lineRule="auto"/>
        <w:rPr>
          <w:sz w:val="24"/>
          <w:szCs w:val="24"/>
        </w:rPr>
      </w:pPr>
      <w:r w:rsidRPr="00E56339">
        <w:rPr>
          <w:rStyle w:val="Strong"/>
          <w:b/>
          <w:bCs/>
          <w:sz w:val="24"/>
          <w:szCs w:val="24"/>
        </w:rPr>
        <w:t>Gender Distribution of Respondents</w:t>
      </w:r>
    </w:p>
    <w:p w14:paraId="5C628362" w14:textId="77777777" w:rsidR="00E56339" w:rsidRDefault="00E56339" w:rsidP="00B23CAE">
      <w:pPr>
        <w:pStyle w:val="NormalWeb"/>
        <w:spacing w:line="360" w:lineRule="auto"/>
        <w:jc w:val="both"/>
      </w:pPr>
      <w:r>
        <w:t xml:space="preserve">The gender composition of the surveyed migrants reveals a significant skew toward male migration. Out of the 50 respondents, </w:t>
      </w:r>
      <w:r w:rsidRPr="00E56339">
        <w:rPr>
          <w:rStyle w:val="Strong"/>
          <w:b w:val="0"/>
        </w:rPr>
        <w:t>39 individuals (78%)</w:t>
      </w:r>
      <w:r>
        <w:t xml:space="preserve"> are </w:t>
      </w:r>
      <w:r w:rsidRPr="00E56339">
        <w:rPr>
          <w:rStyle w:val="Strong"/>
          <w:b w:val="0"/>
        </w:rPr>
        <w:t>male</w:t>
      </w:r>
      <w:r>
        <w:t xml:space="preserve">, while only </w:t>
      </w:r>
      <w:r w:rsidRPr="00E56339">
        <w:rPr>
          <w:rStyle w:val="Strong"/>
          <w:b w:val="0"/>
        </w:rPr>
        <w:t>11 individuals (22%)</w:t>
      </w:r>
      <w:r w:rsidRPr="00E56339">
        <w:rPr>
          <w:b/>
        </w:rPr>
        <w:t xml:space="preserve"> </w:t>
      </w:r>
      <w:r>
        <w:t xml:space="preserve">are </w:t>
      </w:r>
      <w:r w:rsidRPr="00E56339">
        <w:rPr>
          <w:rStyle w:val="Strong"/>
          <w:b w:val="0"/>
        </w:rPr>
        <w:t>female</w:t>
      </w:r>
      <w:r>
        <w:t xml:space="preserve">. This reflects a common trend in internal migration patterns, where males are more likely to migrate independently in search of employment opportunities, especially in physically demanding or male-dominated sectors such as construction and transport. The lower proportion of female migrants may also suggest that women are either migrating as dependents within family units or are underrepresented in migration flows due </w:t>
      </w:r>
      <w:r>
        <w:lastRenderedPageBreak/>
        <w:t>to cultural, social, or safety-related constraints. In contexts where women do migrate for work, they are often employed in domestic labour, caregiving, or informal service sectors.</w:t>
      </w:r>
    </w:p>
    <w:p w14:paraId="4A57405C" w14:textId="77777777" w:rsidR="00E56339" w:rsidRDefault="00E56339" w:rsidP="00B23CAE">
      <w:pPr>
        <w:pStyle w:val="NormalWeb"/>
        <w:spacing w:line="360" w:lineRule="auto"/>
        <w:jc w:val="both"/>
        <w:rPr>
          <w:b/>
        </w:rPr>
      </w:pPr>
      <w:r>
        <w:rPr>
          <w:b/>
        </w:rPr>
        <w:t>Marital Status of Respondents</w:t>
      </w:r>
    </w:p>
    <w:p w14:paraId="104CE9A2" w14:textId="77777777" w:rsidR="00E56339" w:rsidRDefault="00E56339" w:rsidP="00B23CAE">
      <w:pPr>
        <w:pStyle w:val="NormalWeb"/>
        <w:spacing w:line="360" w:lineRule="auto"/>
        <w:jc w:val="both"/>
      </w:pPr>
      <w:r>
        <w:t xml:space="preserve">The marital status of the respondents offers important context for understanding their migration motivations and household dynamics. Among the 50 migrants surveyed, a significant majority </w:t>
      </w:r>
      <w:r w:rsidRPr="00645AD9">
        <w:rPr>
          <w:rStyle w:val="Strong"/>
          <w:b w:val="0"/>
        </w:rPr>
        <w:t>34 individuals (68%)</w:t>
      </w:r>
      <w:r>
        <w:t xml:space="preserve"> are </w:t>
      </w:r>
      <w:r w:rsidRPr="00645AD9">
        <w:rPr>
          <w:rStyle w:val="Strong"/>
          <w:b w:val="0"/>
        </w:rPr>
        <w:t>married</w:t>
      </w:r>
      <w:r>
        <w:t xml:space="preserve">. This indicates that most migrants are likely to have family responsibilities and may be migrating either with their families or to support them financially from a distance. Married migrants often exhibit different settlement patterns, housing needs, and employment preferences compared to single migrants. </w:t>
      </w:r>
      <w:r w:rsidRPr="00645AD9">
        <w:rPr>
          <w:rStyle w:val="Strong"/>
          <w:b w:val="0"/>
        </w:rPr>
        <w:t>15 respondents (30%)</w:t>
      </w:r>
      <w:r>
        <w:t xml:space="preserve"> are </w:t>
      </w:r>
      <w:r w:rsidRPr="00645AD9">
        <w:rPr>
          <w:rStyle w:val="Strong"/>
          <w:b w:val="0"/>
        </w:rPr>
        <w:t>single</w:t>
      </w:r>
      <w:r>
        <w:t xml:space="preserve">, which is typically associated with younger individuals who may have greater flexibility in migration decisions and are more likely to migrate independently in search of employment. Only </w:t>
      </w:r>
      <w:r w:rsidRPr="00645AD9">
        <w:rPr>
          <w:rStyle w:val="Strong"/>
          <w:b w:val="0"/>
        </w:rPr>
        <w:t>1 respondent (2%)</w:t>
      </w:r>
      <w:r>
        <w:t xml:space="preserve"> is </w:t>
      </w:r>
      <w:r w:rsidRPr="00645AD9">
        <w:rPr>
          <w:rStyle w:val="Strong"/>
          <w:b w:val="0"/>
        </w:rPr>
        <w:t>widowed</w:t>
      </w:r>
      <w:r>
        <w:t>, reflecting a very small proportion of migrants who may face unique social or economic vulnerabilities due to their marital status. The dominance of married individuals among the migrants suggests that migration in this context is often part of a broader family livelihood strategy rather than solely an individual economic decision.</w:t>
      </w:r>
    </w:p>
    <w:p w14:paraId="71ABA804" w14:textId="77777777" w:rsidR="0090450C" w:rsidRDefault="0090450C" w:rsidP="00B23CAE">
      <w:pPr>
        <w:pStyle w:val="Heading3"/>
        <w:spacing w:line="360" w:lineRule="auto"/>
        <w:rPr>
          <w:rStyle w:val="Strong"/>
          <w:b/>
          <w:bCs/>
          <w:sz w:val="24"/>
          <w:szCs w:val="24"/>
        </w:rPr>
      </w:pPr>
    </w:p>
    <w:p w14:paraId="61599C2F" w14:textId="77777777" w:rsidR="00E56339" w:rsidRPr="00E56339" w:rsidRDefault="00E56339" w:rsidP="00B23CAE">
      <w:pPr>
        <w:pStyle w:val="Heading3"/>
        <w:spacing w:line="360" w:lineRule="auto"/>
        <w:rPr>
          <w:sz w:val="24"/>
          <w:szCs w:val="24"/>
        </w:rPr>
      </w:pPr>
      <w:r w:rsidRPr="00E56339">
        <w:rPr>
          <w:rStyle w:val="Strong"/>
          <w:b/>
          <w:bCs/>
          <w:sz w:val="24"/>
          <w:szCs w:val="24"/>
        </w:rPr>
        <w:t>Year of Migration to the Andaman and Nicobar Islands</w:t>
      </w:r>
    </w:p>
    <w:p w14:paraId="45C9A54B" w14:textId="77777777" w:rsidR="00E56339" w:rsidRDefault="00E56339" w:rsidP="00B23CAE">
      <w:pPr>
        <w:pStyle w:val="NormalWeb"/>
        <w:spacing w:line="360" w:lineRule="auto"/>
        <w:jc w:val="both"/>
      </w:pPr>
      <w:r>
        <w:t xml:space="preserve">Among the 50 migrants surveyed, the highest concentration </w:t>
      </w:r>
      <w:r w:rsidRPr="00E56339">
        <w:rPr>
          <w:rStyle w:val="Strong"/>
          <w:b w:val="0"/>
        </w:rPr>
        <w:t>20 respondents (40%)</w:t>
      </w:r>
      <w:r>
        <w:rPr>
          <w:rStyle w:val="Strong"/>
          <w:b w:val="0"/>
        </w:rPr>
        <w:t xml:space="preserve"> </w:t>
      </w:r>
      <w:r>
        <w:t xml:space="preserve">migrated between </w:t>
      </w:r>
      <w:r w:rsidRPr="00E56339">
        <w:rPr>
          <w:rStyle w:val="Strong"/>
          <w:b w:val="0"/>
        </w:rPr>
        <w:t>2016 and 2020</w:t>
      </w:r>
      <w:r>
        <w:t xml:space="preserve">, indicating a surge in migration during this period. This spike may be attributed to increased employment opportunities, especially in the construction, tourism, and service sectors, or growing economic distress in source regions like West Bengal. The second-largest group, comprising </w:t>
      </w:r>
      <w:r w:rsidRPr="00E56339">
        <w:rPr>
          <w:rStyle w:val="Strong"/>
          <w:b w:val="0"/>
        </w:rPr>
        <w:t>13 respondents (26%)</w:t>
      </w:r>
      <w:r>
        <w:t xml:space="preserve">, migrated during the </w:t>
      </w:r>
      <w:r w:rsidRPr="00E56339">
        <w:rPr>
          <w:rStyle w:val="Strong"/>
          <w:b w:val="0"/>
        </w:rPr>
        <w:t>2021–2025</w:t>
      </w:r>
      <w:r>
        <w:t xml:space="preserve"> period, suggesting that migration has continued strongly into recent years. </w:t>
      </w:r>
      <w:r w:rsidRPr="00E56339">
        <w:rPr>
          <w:rStyle w:val="Strong"/>
          <w:b w:val="0"/>
        </w:rPr>
        <w:t>9 respondents (18%)</w:t>
      </w:r>
      <w:r>
        <w:t xml:space="preserve"> migrated between </w:t>
      </w:r>
      <w:r w:rsidRPr="00E56339">
        <w:rPr>
          <w:rStyle w:val="Strong"/>
          <w:b w:val="0"/>
        </w:rPr>
        <w:t>2006 and 2010</w:t>
      </w:r>
      <w:r>
        <w:t xml:space="preserve">, </w:t>
      </w:r>
      <w:r w:rsidRPr="00E56339">
        <w:rPr>
          <w:rStyle w:val="Strong"/>
          <w:b w:val="0"/>
        </w:rPr>
        <w:t>5 respondents (10%)</w:t>
      </w:r>
      <w:r>
        <w:t xml:space="preserve"> between </w:t>
      </w:r>
      <w:r w:rsidRPr="00E56339">
        <w:rPr>
          <w:rStyle w:val="Strong"/>
          <w:b w:val="0"/>
        </w:rPr>
        <w:t>2011 and 2015</w:t>
      </w:r>
      <w:r>
        <w:t xml:space="preserve">, and only </w:t>
      </w:r>
      <w:r w:rsidRPr="00E56339">
        <w:rPr>
          <w:rStyle w:val="Strong"/>
          <w:b w:val="0"/>
        </w:rPr>
        <w:t>3 respondents (6%)</w:t>
      </w:r>
      <w:r>
        <w:t xml:space="preserve"> migrated as early as </w:t>
      </w:r>
      <w:r w:rsidRPr="00E56339">
        <w:rPr>
          <w:rStyle w:val="Strong"/>
          <w:b w:val="0"/>
        </w:rPr>
        <w:t>2001–2005</w:t>
      </w:r>
      <w:r>
        <w:t>. Overall, the timeline suggests that the Andaman and Nicobar Islands have increasingly become a destination for migrant workers in recent years, particularly as economic pressures and labour demands have shifted both at the source and destination regions.</w:t>
      </w:r>
    </w:p>
    <w:p w14:paraId="63D70F80" w14:textId="77777777" w:rsidR="00E56339" w:rsidRPr="00E56339" w:rsidRDefault="00E56339" w:rsidP="00B23CAE">
      <w:pPr>
        <w:pStyle w:val="Heading3"/>
        <w:spacing w:line="360" w:lineRule="auto"/>
        <w:rPr>
          <w:sz w:val="24"/>
          <w:szCs w:val="24"/>
        </w:rPr>
      </w:pPr>
      <w:r w:rsidRPr="00E56339">
        <w:rPr>
          <w:rStyle w:val="Strong"/>
          <w:b/>
          <w:bCs/>
          <w:sz w:val="24"/>
          <w:szCs w:val="24"/>
        </w:rPr>
        <w:lastRenderedPageBreak/>
        <w:t>Ownership Status of Housing</w:t>
      </w:r>
    </w:p>
    <w:p w14:paraId="4C7A98DC" w14:textId="77777777" w:rsidR="00E56339" w:rsidRDefault="00E56339" w:rsidP="00B23CAE">
      <w:pPr>
        <w:pStyle w:val="NormalWeb"/>
        <w:spacing w:line="360" w:lineRule="auto"/>
        <w:jc w:val="both"/>
      </w:pPr>
      <w:r>
        <w:t xml:space="preserve">The housing ownership pattern among the 50 migrant respondents reflects their level of economic security and integration into the host region. The majority </w:t>
      </w:r>
      <w:r w:rsidRPr="00E56339">
        <w:rPr>
          <w:rStyle w:val="Strong"/>
          <w:b w:val="0"/>
        </w:rPr>
        <w:t>40 respondents (80%)</w:t>
      </w:r>
      <w:r>
        <w:t xml:space="preserve"> live in </w:t>
      </w:r>
      <w:r w:rsidRPr="00E56339">
        <w:rPr>
          <w:rStyle w:val="Strong"/>
          <w:b w:val="0"/>
        </w:rPr>
        <w:t>rented accommodations</w:t>
      </w:r>
      <w:r>
        <w:t xml:space="preserve">, indicating a high dependence on the rental housing market.  A smaller portion, </w:t>
      </w:r>
      <w:r w:rsidRPr="00E56339">
        <w:rPr>
          <w:rStyle w:val="Strong"/>
          <w:b w:val="0"/>
        </w:rPr>
        <w:t>6 respondents (12%)</w:t>
      </w:r>
      <w:r>
        <w:t xml:space="preserve">, reported that their </w:t>
      </w:r>
      <w:r w:rsidRPr="00E56339">
        <w:rPr>
          <w:rStyle w:val="Strong"/>
          <w:b w:val="0"/>
        </w:rPr>
        <w:t>housing is provided by their employer</w:t>
      </w:r>
      <w:r>
        <w:t>. This suggests a form of job-linked accommodation, which, while redu</w:t>
      </w:r>
      <w:r w:rsidR="00981D50">
        <w:t xml:space="preserve">cing personal housing expenses. </w:t>
      </w:r>
      <w:r>
        <w:t xml:space="preserve">Only </w:t>
      </w:r>
      <w:r w:rsidRPr="00E56339">
        <w:rPr>
          <w:rStyle w:val="Strong"/>
          <w:b w:val="0"/>
        </w:rPr>
        <w:t>4 respondents (8%)</w:t>
      </w:r>
      <w:r>
        <w:t xml:space="preserve"> own their homes, indicating that </w:t>
      </w:r>
      <w:r w:rsidRPr="00E56339">
        <w:rPr>
          <w:rStyle w:val="Strong"/>
          <w:b w:val="0"/>
        </w:rPr>
        <w:t>very few migrants have achieved permanent housing ownership</w:t>
      </w:r>
      <w:r>
        <w:t>. This may be due to several factors, including low income, lack of access to formal housing credit, or legal restrictions on land ownership for migrants.</w:t>
      </w:r>
      <w:r w:rsidR="00981D50">
        <w:t xml:space="preserve"> </w:t>
      </w:r>
      <w:r>
        <w:t>Overall, the data highlights the economic vulnerability of the majority of migrants, as home ownershi</w:t>
      </w:r>
      <w:r w:rsidR="00981D50">
        <w:t xml:space="preserve">p </w:t>
      </w:r>
      <w:r>
        <w:t>a key indicator of sta</w:t>
      </w:r>
      <w:r w:rsidR="00981D50">
        <w:t xml:space="preserve">bility and long-term settlement </w:t>
      </w:r>
      <w:r>
        <w:t xml:space="preserve">is largely absent. </w:t>
      </w:r>
    </w:p>
    <w:p w14:paraId="16471753" w14:textId="77777777" w:rsidR="00981D50" w:rsidRPr="00981D50" w:rsidRDefault="00981D50" w:rsidP="00B23CAE">
      <w:pPr>
        <w:pStyle w:val="Heading3"/>
        <w:spacing w:line="360" w:lineRule="auto"/>
        <w:rPr>
          <w:sz w:val="24"/>
          <w:szCs w:val="24"/>
        </w:rPr>
      </w:pPr>
      <w:r w:rsidRPr="00981D50">
        <w:rPr>
          <w:rStyle w:val="Strong"/>
          <w:b/>
          <w:bCs/>
          <w:sz w:val="24"/>
          <w:szCs w:val="24"/>
        </w:rPr>
        <w:t>Type of Housing among Respondents</w:t>
      </w:r>
    </w:p>
    <w:p w14:paraId="4056981B" w14:textId="77777777" w:rsidR="00981D50" w:rsidRDefault="00981D50" w:rsidP="00B23CAE">
      <w:pPr>
        <w:pStyle w:val="NormalWeb"/>
        <w:spacing w:line="360" w:lineRule="auto"/>
        <w:jc w:val="both"/>
      </w:pPr>
      <w:r>
        <w:t xml:space="preserve">Among the 50 migrants, a majority </w:t>
      </w:r>
      <w:r w:rsidRPr="00981D50">
        <w:rPr>
          <w:rStyle w:val="Strong"/>
          <w:b w:val="0"/>
        </w:rPr>
        <w:t>28 individuals (56%)</w:t>
      </w:r>
      <w:r>
        <w:t xml:space="preserve"> reside in </w:t>
      </w:r>
      <w:r w:rsidRPr="00981D50">
        <w:rPr>
          <w:rStyle w:val="Strong"/>
          <w:b w:val="0"/>
        </w:rPr>
        <w:t>pucca houses</w:t>
      </w:r>
      <w:r>
        <w:t xml:space="preserve">, which suggest that over half of the migrants have managed to secure relatively stable and permanent housing after migration. </w:t>
      </w:r>
      <w:r w:rsidRPr="00981D50">
        <w:rPr>
          <w:rStyle w:val="Strong"/>
          <w:b w:val="0"/>
        </w:rPr>
        <w:t>20 respondents (40%)</w:t>
      </w:r>
      <w:r>
        <w:t xml:space="preserve"> live in </w:t>
      </w:r>
      <w:r w:rsidRPr="00981D50">
        <w:rPr>
          <w:rStyle w:val="Strong"/>
          <w:b w:val="0"/>
        </w:rPr>
        <w:t>semi-pucca houses</w:t>
      </w:r>
      <w:r>
        <w:t xml:space="preserve">, these dwellings reflect moderate improvement in living conditions but still indicate limited access to fully secure and permanent housing. Only </w:t>
      </w:r>
      <w:r w:rsidRPr="00981D50">
        <w:rPr>
          <w:rStyle w:val="Strong"/>
          <w:b w:val="0"/>
        </w:rPr>
        <w:t>2 respondents (4%)</w:t>
      </w:r>
      <w:r>
        <w:t xml:space="preserve"> reported living in </w:t>
      </w:r>
      <w:r w:rsidRPr="00981D50">
        <w:rPr>
          <w:rStyle w:val="Strong"/>
          <w:b w:val="0"/>
        </w:rPr>
        <w:t>kutcha houses</w:t>
      </w:r>
      <w:r>
        <w:t>, these structures are typically associated with poor living conditions and vulnerability. The data shows that while a significant portion of the migrants have achieved some level of housing stability, a notable percentage still live in semi-permanent or temporary accommodations, reflecting the on-going challenges of economic integration and access to formal housing in the host region.</w:t>
      </w:r>
    </w:p>
    <w:p w14:paraId="55160C30" w14:textId="77777777" w:rsidR="00981D50" w:rsidRDefault="00981D50" w:rsidP="00B23CAE">
      <w:pPr>
        <w:pStyle w:val="NormalWeb"/>
        <w:spacing w:line="360" w:lineRule="auto"/>
        <w:jc w:val="both"/>
        <w:rPr>
          <w:b/>
        </w:rPr>
      </w:pPr>
      <w:r w:rsidRPr="00981D50">
        <w:rPr>
          <w:b/>
        </w:rPr>
        <w:t>Reason for Migration of Respondents</w:t>
      </w:r>
    </w:p>
    <w:p w14:paraId="49DE791C" w14:textId="77777777" w:rsidR="00981D50" w:rsidRDefault="00981D50" w:rsidP="00B23CAE">
      <w:pPr>
        <w:pStyle w:val="NormalWeb"/>
        <w:spacing w:line="360" w:lineRule="auto"/>
        <w:jc w:val="both"/>
      </w:pPr>
      <w:r>
        <w:t xml:space="preserve">The primary reason for migration among the respondents is </w:t>
      </w:r>
      <w:r w:rsidRPr="00981D50">
        <w:rPr>
          <w:rStyle w:val="Strong"/>
          <w:b w:val="0"/>
        </w:rPr>
        <w:t>employment</w:t>
      </w:r>
      <w:r>
        <w:t xml:space="preserve">, with </w:t>
      </w:r>
      <w:r w:rsidRPr="00981D50">
        <w:rPr>
          <w:rStyle w:val="Strong"/>
          <w:b w:val="0"/>
        </w:rPr>
        <w:t>36 out of 50 migrants (72%)</w:t>
      </w:r>
      <w:r>
        <w:t xml:space="preserve"> citing the pursuit of job opportunities as their main motivation for relocating to the Andaman and Nicobar Islands. This finding underscores the economic nature of migration, where individuals move primarily in search of livelihood, especially from economically weaker regions such as parts of West Bengal. On the other hand, </w:t>
      </w:r>
      <w:r w:rsidRPr="00981D50">
        <w:rPr>
          <w:rStyle w:val="Strong"/>
          <w:b w:val="0"/>
        </w:rPr>
        <w:t>14 respondents (28%)</w:t>
      </w:r>
      <w:r>
        <w:t xml:space="preserve"> reported </w:t>
      </w:r>
      <w:r w:rsidRPr="00981D50">
        <w:rPr>
          <w:rStyle w:val="Strong"/>
          <w:b w:val="0"/>
        </w:rPr>
        <w:t>family migration</w:t>
      </w:r>
      <w:r>
        <w:t xml:space="preserve"> as their reason, indicating they migrated to </w:t>
      </w:r>
      <w:r>
        <w:lastRenderedPageBreak/>
        <w:t>accompany or reunite with family members who had already relocated or were planning to migrate. This distribution suggests that while economic necessity is the dominant driver of migration, social and familial considerations also play a significant role in shaping migration patterns.</w:t>
      </w:r>
    </w:p>
    <w:p w14:paraId="76D901AF" w14:textId="77777777" w:rsidR="00DF7BF8" w:rsidRPr="00DF7BF8" w:rsidRDefault="00DF7BF8" w:rsidP="00B23CAE">
      <w:pPr>
        <w:pStyle w:val="Heading3"/>
        <w:spacing w:line="360" w:lineRule="auto"/>
        <w:rPr>
          <w:sz w:val="24"/>
          <w:szCs w:val="24"/>
        </w:rPr>
      </w:pPr>
      <w:r w:rsidRPr="00DF7BF8">
        <w:rPr>
          <w:rStyle w:val="Strong"/>
          <w:b/>
          <w:bCs/>
          <w:sz w:val="24"/>
          <w:szCs w:val="24"/>
        </w:rPr>
        <w:t>Educational Profile of Respondents</w:t>
      </w:r>
    </w:p>
    <w:p w14:paraId="7E228098" w14:textId="77777777" w:rsidR="00DF7BF8" w:rsidRDefault="00DF7BF8" w:rsidP="00B23CAE">
      <w:pPr>
        <w:pStyle w:val="NormalWeb"/>
        <w:spacing w:line="360" w:lineRule="auto"/>
        <w:jc w:val="both"/>
        <w:rPr>
          <w:b/>
        </w:rPr>
      </w:pPr>
      <w:r>
        <w:t>The educational background of the migrant respondents plays a crucial role in shaping their employment opportunities, income levels, and overall socio-economic mobility. The data reveals that the majority of migrants possess relatively low levels of formal education, which is reflective of the structural disadvantages faced by many rural migrants in India.</w:t>
      </w:r>
      <w:r w:rsidR="002F4819">
        <w:t xml:space="preserve"> </w:t>
      </w:r>
      <w:r>
        <w:t>The largest proportion</w:t>
      </w:r>
      <w:r w:rsidR="002F4819">
        <w:t xml:space="preserve"> </w:t>
      </w:r>
      <w:r w:rsidRPr="002F4819">
        <w:rPr>
          <w:rStyle w:val="Strong"/>
          <w:b w:val="0"/>
        </w:rPr>
        <w:t>22 respondents (44%)</w:t>
      </w:r>
      <w:r w:rsidR="002F4819">
        <w:t xml:space="preserve"> </w:t>
      </w:r>
      <w:r>
        <w:t xml:space="preserve">have attained </w:t>
      </w:r>
      <w:r w:rsidRPr="002F4819">
        <w:rPr>
          <w:rStyle w:val="Strong"/>
          <w:b w:val="0"/>
        </w:rPr>
        <w:t>primary education</w:t>
      </w:r>
      <w:r>
        <w:t>. This indicates basic literacy and numeracy skills but suggests limited preparedness for skilled employment, thereby confining them largely to unskilled or semi-skilled labour in the informal sector.</w:t>
      </w:r>
      <w:r w:rsidR="002F4819">
        <w:t xml:space="preserve"> </w:t>
      </w:r>
      <w:r w:rsidRPr="002F4819">
        <w:rPr>
          <w:rStyle w:val="Strong"/>
          <w:b w:val="0"/>
        </w:rPr>
        <w:t>14 respondents (28%)</w:t>
      </w:r>
      <w:r w:rsidRPr="002F4819">
        <w:rPr>
          <w:b/>
        </w:rPr>
        <w:t xml:space="preserve"> </w:t>
      </w:r>
      <w:r>
        <w:t xml:space="preserve">are </w:t>
      </w:r>
      <w:r w:rsidRPr="002F4819">
        <w:rPr>
          <w:rStyle w:val="Strong"/>
          <w:b w:val="0"/>
        </w:rPr>
        <w:t>illiterate</w:t>
      </w:r>
      <w:r>
        <w:t>, meaning they have had no formal schooling. This group is particularly vulnerable in the labour market, often relying on physical labour and informal social networks for employment.</w:t>
      </w:r>
      <w:r w:rsidR="002F4819">
        <w:t xml:space="preserve"> </w:t>
      </w:r>
      <w:r w:rsidRPr="002F4819">
        <w:rPr>
          <w:rStyle w:val="Strong"/>
          <w:b w:val="0"/>
        </w:rPr>
        <w:t>9 respondents (18%)</w:t>
      </w:r>
      <w:r>
        <w:t xml:space="preserve"> have received </w:t>
      </w:r>
      <w:r w:rsidRPr="002F4819">
        <w:rPr>
          <w:rStyle w:val="Strong"/>
          <w:b w:val="0"/>
        </w:rPr>
        <w:t>middle school education</w:t>
      </w:r>
      <w:r>
        <w:t>, which may offer slightly better employment prospects but still does not qualify them for skilled or formal sector jobs.</w:t>
      </w:r>
      <w:r w:rsidR="002F4819">
        <w:t xml:space="preserve"> </w:t>
      </w:r>
      <w:r>
        <w:t xml:space="preserve">Only </w:t>
      </w:r>
      <w:r w:rsidRPr="002F4819">
        <w:rPr>
          <w:rStyle w:val="Strong"/>
          <w:b w:val="0"/>
        </w:rPr>
        <w:t>4 respondents (8%)</w:t>
      </w:r>
      <w:r>
        <w:t xml:space="preserve"> reported </w:t>
      </w:r>
      <w:r w:rsidRPr="002F4819">
        <w:rPr>
          <w:rStyle w:val="Strong"/>
          <w:b w:val="0"/>
        </w:rPr>
        <w:t>secondary education</w:t>
      </w:r>
      <w:r>
        <w:t xml:space="preserve">, and a single respondent </w:t>
      </w:r>
      <w:r w:rsidRPr="002F4819">
        <w:rPr>
          <w:b/>
        </w:rPr>
        <w:t>(</w:t>
      </w:r>
      <w:r w:rsidRPr="002F4819">
        <w:rPr>
          <w:rStyle w:val="Strong"/>
          <w:b w:val="0"/>
        </w:rPr>
        <w:t>2%</w:t>
      </w:r>
      <w:r w:rsidRPr="002F4819">
        <w:rPr>
          <w:b/>
        </w:rPr>
        <w:t>)</w:t>
      </w:r>
      <w:r>
        <w:t xml:space="preserve"> had attained </w:t>
      </w:r>
      <w:r w:rsidRPr="002F4819">
        <w:rPr>
          <w:rStyle w:val="Strong"/>
          <w:b w:val="0"/>
        </w:rPr>
        <w:t>higher secondary education</w:t>
      </w:r>
      <w:r>
        <w:t>. Overall, the data reflects a low level of educational attainment among the migrant population, which likely restricts their employment to low-paying and insecure jobs. This educational disadvantage reinforces their dependence on informal employment and limits their bargaining power, access to rights, and long-term economic advancement.</w:t>
      </w:r>
    </w:p>
    <w:p w14:paraId="0CAC4853" w14:textId="77777777" w:rsidR="00DF7BF8" w:rsidRDefault="002F4819" w:rsidP="00B23CAE">
      <w:pPr>
        <w:pStyle w:val="NormalWeb"/>
        <w:spacing w:line="360" w:lineRule="auto"/>
        <w:jc w:val="both"/>
        <w:rPr>
          <w:b/>
        </w:rPr>
      </w:pPr>
      <w:r>
        <w:rPr>
          <w:b/>
        </w:rPr>
        <w:t xml:space="preserve">Table 1. </w:t>
      </w:r>
      <w:r w:rsidR="00DF7BF8" w:rsidRPr="00DF7BF8">
        <w:rPr>
          <w:b/>
        </w:rPr>
        <w:t>Nature of Job before &amp; After Migration of Respondents</w:t>
      </w:r>
    </w:p>
    <w:tbl>
      <w:tblPr>
        <w:tblW w:w="8863" w:type="dxa"/>
        <w:tblInd w:w="93" w:type="dxa"/>
        <w:tblLook w:val="04A0" w:firstRow="1" w:lastRow="0" w:firstColumn="1" w:lastColumn="0" w:noHBand="0" w:noVBand="1"/>
      </w:tblPr>
      <w:tblGrid>
        <w:gridCol w:w="3320"/>
        <w:gridCol w:w="1540"/>
        <w:gridCol w:w="1349"/>
        <w:gridCol w:w="1440"/>
        <w:gridCol w:w="1349"/>
      </w:tblGrid>
      <w:tr w:rsidR="00DF7BF8" w:rsidRPr="00DF7BF8" w14:paraId="1B29068E" w14:textId="77777777" w:rsidTr="00DF7BF8">
        <w:trPr>
          <w:trHeight w:val="330"/>
        </w:trPr>
        <w:tc>
          <w:tcPr>
            <w:tcW w:w="3320" w:type="dxa"/>
            <w:tcBorders>
              <w:top w:val="single" w:sz="4" w:space="0" w:color="95B3D7"/>
              <w:left w:val="single" w:sz="4" w:space="0" w:color="95B3D7"/>
              <w:bottom w:val="single" w:sz="4" w:space="0" w:color="95B3D7"/>
              <w:right w:val="nil"/>
            </w:tcBorders>
            <w:shd w:val="clear" w:color="4F81BD" w:fill="4F81BD"/>
            <w:noWrap/>
            <w:vAlign w:val="bottom"/>
            <w:hideMark/>
          </w:tcPr>
          <w:p w14:paraId="485F4A6E" w14:textId="77777777" w:rsidR="00DF7BF8" w:rsidRPr="00DF7BF8" w:rsidRDefault="00DF7BF8" w:rsidP="00B23CAE">
            <w:pPr>
              <w:spacing w:after="0" w:line="360" w:lineRule="auto"/>
              <w:rPr>
                <w:rFonts w:ascii="Times New Roman" w:eastAsia="Times New Roman" w:hAnsi="Times New Roman" w:cs="Times New Roman"/>
                <w:b/>
                <w:bCs/>
                <w:color w:val="FFFFFF"/>
                <w:sz w:val="24"/>
                <w:szCs w:val="24"/>
                <w:lang w:eastAsia="en-IN"/>
              </w:rPr>
            </w:pPr>
            <w:r w:rsidRPr="00DF7BF8">
              <w:rPr>
                <w:rFonts w:ascii="Times New Roman" w:eastAsia="Times New Roman" w:hAnsi="Times New Roman" w:cs="Times New Roman"/>
                <w:b/>
                <w:bCs/>
                <w:color w:val="FFFFFF"/>
                <w:sz w:val="24"/>
                <w:szCs w:val="24"/>
                <w:lang w:eastAsia="en-IN"/>
              </w:rPr>
              <w:t>Occupational Status of Individual Migrant</w:t>
            </w:r>
          </w:p>
        </w:tc>
        <w:tc>
          <w:tcPr>
            <w:tcW w:w="1540" w:type="dxa"/>
            <w:tcBorders>
              <w:top w:val="single" w:sz="4" w:space="0" w:color="95B3D7"/>
              <w:left w:val="nil"/>
              <w:bottom w:val="single" w:sz="4" w:space="0" w:color="95B3D7"/>
              <w:right w:val="nil"/>
            </w:tcBorders>
            <w:shd w:val="clear" w:color="4F81BD" w:fill="4F81BD"/>
            <w:noWrap/>
            <w:vAlign w:val="bottom"/>
            <w:hideMark/>
          </w:tcPr>
          <w:p w14:paraId="0AB7333C" w14:textId="77777777" w:rsidR="00DF7BF8" w:rsidRPr="00DF7BF8" w:rsidRDefault="00DF7BF8" w:rsidP="00B23CAE">
            <w:pPr>
              <w:spacing w:after="0" w:line="360" w:lineRule="auto"/>
              <w:jc w:val="center"/>
              <w:rPr>
                <w:rFonts w:ascii="Times New Roman" w:eastAsia="Times New Roman" w:hAnsi="Times New Roman" w:cs="Times New Roman"/>
                <w:b/>
                <w:bCs/>
                <w:color w:val="FFFFFF"/>
                <w:sz w:val="24"/>
                <w:szCs w:val="24"/>
                <w:lang w:eastAsia="en-IN"/>
              </w:rPr>
            </w:pPr>
            <w:r w:rsidRPr="00DF7BF8">
              <w:rPr>
                <w:rFonts w:ascii="Times New Roman" w:eastAsia="Times New Roman" w:hAnsi="Times New Roman" w:cs="Times New Roman"/>
                <w:b/>
                <w:bCs/>
                <w:color w:val="FFFFFF"/>
                <w:sz w:val="24"/>
                <w:szCs w:val="24"/>
                <w:lang w:eastAsia="en-IN"/>
              </w:rPr>
              <w:t>Before Migration</w:t>
            </w:r>
          </w:p>
        </w:tc>
        <w:tc>
          <w:tcPr>
            <w:tcW w:w="1280" w:type="dxa"/>
            <w:tcBorders>
              <w:top w:val="single" w:sz="4" w:space="0" w:color="95B3D7"/>
              <w:left w:val="nil"/>
              <w:bottom w:val="single" w:sz="4" w:space="0" w:color="95B3D7"/>
              <w:right w:val="nil"/>
            </w:tcBorders>
            <w:shd w:val="clear" w:color="4F81BD" w:fill="4F81BD"/>
            <w:noWrap/>
            <w:vAlign w:val="bottom"/>
            <w:hideMark/>
          </w:tcPr>
          <w:p w14:paraId="31352D09" w14:textId="77777777" w:rsidR="00DF7BF8" w:rsidRPr="00DF7BF8" w:rsidRDefault="00DF7BF8" w:rsidP="00B23CAE">
            <w:pPr>
              <w:spacing w:after="0" w:line="360" w:lineRule="auto"/>
              <w:rPr>
                <w:rFonts w:ascii="Times New Roman" w:eastAsia="Times New Roman" w:hAnsi="Times New Roman" w:cs="Times New Roman"/>
                <w:b/>
                <w:bCs/>
                <w:color w:val="FFFFFF"/>
                <w:sz w:val="24"/>
                <w:szCs w:val="24"/>
                <w:lang w:eastAsia="en-IN"/>
              </w:rPr>
            </w:pPr>
            <w:r w:rsidRPr="00DF7BF8">
              <w:rPr>
                <w:rFonts w:ascii="Times New Roman" w:eastAsia="Times New Roman" w:hAnsi="Times New Roman" w:cs="Times New Roman"/>
                <w:b/>
                <w:bCs/>
                <w:color w:val="FFFFFF"/>
                <w:sz w:val="24"/>
                <w:szCs w:val="24"/>
                <w:lang w:eastAsia="en-IN"/>
              </w:rPr>
              <w:t>Percentage</w:t>
            </w:r>
          </w:p>
        </w:tc>
        <w:tc>
          <w:tcPr>
            <w:tcW w:w="1440" w:type="dxa"/>
            <w:tcBorders>
              <w:top w:val="single" w:sz="4" w:space="0" w:color="95B3D7"/>
              <w:left w:val="nil"/>
              <w:bottom w:val="single" w:sz="4" w:space="0" w:color="95B3D7"/>
              <w:right w:val="nil"/>
            </w:tcBorders>
            <w:shd w:val="clear" w:color="4F81BD" w:fill="4F81BD"/>
            <w:noWrap/>
            <w:vAlign w:val="bottom"/>
            <w:hideMark/>
          </w:tcPr>
          <w:p w14:paraId="600D7A80" w14:textId="77777777" w:rsidR="00DF7BF8" w:rsidRPr="00DF7BF8" w:rsidRDefault="00DF7BF8" w:rsidP="00B23CAE">
            <w:pPr>
              <w:spacing w:after="0" w:line="360" w:lineRule="auto"/>
              <w:jc w:val="center"/>
              <w:rPr>
                <w:rFonts w:ascii="Times New Roman" w:eastAsia="Times New Roman" w:hAnsi="Times New Roman" w:cs="Times New Roman"/>
                <w:b/>
                <w:bCs/>
                <w:color w:val="FFFFFF"/>
                <w:sz w:val="24"/>
                <w:szCs w:val="24"/>
                <w:lang w:eastAsia="en-IN"/>
              </w:rPr>
            </w:pPr>
            <w:r w:rsidRPr="00DF7BF8">
              <w:rPr>
                <w:rFonts w:ascii="Times New Roman" w:eastAsia="Times New Roman" w:hAnsi="Times New Roman" w:cs="Times New Roman"/>
                <w:b/>
                <w:bCs/>
                <w:color w:val="FFFFFF"/>
                <w:sz w:val="24"/>
                <w:szCs w:val="24"/>
                <w:lang w:eastAsia="en-IN"/>
              </w:rPr>
              <w:t>After Migration</w:t>
            </w:r>
          </w:p>
        </w:tc>
        <w:tc>
          <w:tcPr>
            <w:tcW w:w="1283" w:type="dxa"/>
            <w:tcBorders>
              <w:top w:val="single" w:sz="4" w:space="0" w:color="95B3D7"/>
              <w:left w:val="nil"/>
              <w:bottom w:val="single" w:sz="4" w:space="0" w:color="95B3D7"/>
              <w:right w:val="single" w:sz="4" w:space="0" w:color="95B3D7"/>
            </w:tcBorders>
            <w:shd w:val="clear" w:color="4F81BD" w:fill="4F81BD"/>
            <w:noWrap/>
            <w:vAlign w:val="bottom"/>
            <w:hideMark/>
          </w:tcPr>
          <w:p w14:paraId="00215E3D" w14:textId="77777777" w:rsidR="00DF7BF8" w:rsidRPr="00DF7BF8" w:rsidRDefault="00DF7BF8" w:rsidP="00B23CAE">
            <w:pPr>
              <w:spacing w:after="0" w:line="360" w:lineRule="auto"/>
              <w:rPr>
                <w:rFonts w:ascii="Times New Roman" w:eastAsia="Times New Roman" w:hAnsi="Times New Roman" w:cs="Times New Roman"/>
                <w:b/>
                <w:bCs/>
                <w:color w:val="FFFFFF"/>
                <w:sz w:val="24"/>
                <w:szCs w:val="24"/>
                <w:lang w:eastAsia="en-IN"/>
              </w:rPr>
            </w:pPr>
            <w:r>
              <w:rPr>
                <w:rFonts w:ascii="Times New Roman" w:eastAsia="Times New Roman" w:hAnsi="Times New Roman" w:cs="Times New Roman"/>
                <w:b/>
                <w:bCs/>
                <w:color w:val="FFFFFF"/>
                <w:sz w:val="24"/>
                <w:szCs w:val="24"/>
                <w:lang w:eastAsia="en-IN"/>
              </w:rPr>
              <w:t>Percentage</w:t>
            </w:r>
          </w:p>
        </w:tc>
      </w:tr>
      <w:tr w:rsidR="00DF7BF8" w:rsidRPr="00DF7BF8" w14:paraId="79DE1663" w14:textId="77777777" w:rsidTr="00DF7BF8">
        <w:trPr>
          <w:trHeight w:val="330"/>
        </w:trPr>
        <w:tc>
          <w:tcPr>
            <w:tcW w:w="3320" w:type="dxa"/>
            <w:tcBorders>
              <w:top w:val="single" w:sz="12" w:space="0" w:color="000000"/>
              <w:left w:val="single" w:sz="4" w:space="0" w:color="95B3D7"/>
              <w:bottom w:val="single" w:sz="4" w:space="0" w:color="95B3D7"/>
              <w:right w:val="single" w:sz="12" w:space="0" w:color="000000"/>
            </w:tcBorders>
            <w:shd w:val="clear" w:color="DCE6F1" w:fill="DCE6F1"/>
            <w:hideMark/>
          </w:tcPr>
          <w:p w14:paraId="0FED3880" w14:textId="77777777" w:rsidR="00DF7BF8" w:rsidRPr="00DF7BF8" w:rsidRDefault="00DF7BF8" w:rsidP="00B23CAE">
            <w:pPr>
              <w:spacing w:after="0" w:line="360" w:lineRule="auto"/>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Daily Wage</w:t>
            </w:r>
          </w:p>
        </w:tc>
        <w:tc>
          <w:tcPr>
            <w:tcW w:w="1540" w:type="dxa"/>
            <w:tcBorders>
              <w:top w:val="single" w:sz="12" w:space="0" w:color="000000"/>
              <w:left w:val="single" w:sz="12" w:space="0" w:color="000000"/>
              <w:bottom w:val="single" w:sz="4" w:space="0" w:color="95B3D7"/>
              <w:right w:val="single" w:sz="4" w:space="0" w:color="000000"/>
            </w:tcBorders>
            <w:shd w:val="clear" w:color="DCE6F1" w:fill="DCE6F1"/>
            <w:noWrap/>
            <w:vAlign w:val="center"/>
            <w:hideMark/>
          </w:tcPr>
          <w:p w14:paraId="1A9D503B"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29</w:t>
            </w:r>
          </w:p>
        </w:tc>
        <w:tc>
          <w:tcPr>
            <w:tcW w:w="1280" w:type="dxa"/>
            <w:tcBorders>
              <w:top w:val="single" w:sz="12" w:space="0" w:color="000000"/>
              <w:left w:val="single" w:sz="4" w:space="0" w:color="000000"/>
              <w:bottom w:val="single" w:sz="4" w:space="0" w:color="95B3D7"/>
              <w:right w:val="single" w:sz="4" w:space="0" w:color="000000"/>
            </w:tcBorders>
            <w:shd w:val="clear" w:color="DCE6F1" w:fill="DCE6F1"/>
            <w:noWrap/>
            <w:vAlign w:val="center"/>
            <w:hideMark/>
          </w:tcPr>
          <w:p w14:paraId="201BB716"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58.0</w:t>
            </w:r>
          </w:p>
        </w:tc>
        <w:tc>
          <w:tcPr>
            <w:tcW w:w="1440" w:type="dxa"/>
            <w:tcBorders>
              <w:top w:val="single" w:sz="12" w:space="0" w:color="000000"/>
              <w:left w:val="single" w:sz="12" w:space="0" w:color="000000"/>
              <w:bottom w:val="single" w:sz="4" w:space="0" w:color="95B3D7"/>
              <w:right w:val="single" w:sz="4" w:space="0" w:color="000000"/>
            </w:tcBorders>
            <w:shd w:val="clear" w:color="DCE6F1" w:fill="DCE6F1"/>
            <w:noWrap/>
            <w:vAlign w:val="center"/>
            <w:hideMark/>
          </w:tcPr>
          <w:p w14:paraId="624B7DB0"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21</w:t>
            </w:r>
          </w:p>
        </w:tc>
        <w:tc>
          <w:tcPr>
            <w:tcW w:w="1283" w:type="dxa"/>
            <w:tcBorders>
              <w:top w:val="single" w:sz="12" w:space="0" w:color="000000"/>
              <w:left w:val="nil"/>
              <w:bottom w:val="single" w:sz="4" w:space="0" w:color="95B3D7"/>
              <w:right w:val="single" w:sz="4" w:space="0" w:color="000000"/>
            </w:tcBorders>
            <w:shd w:val="clear" w:color="DCE6F1" w:fill="DCE6F1"/>
            <w:noWrap/>
            <w:vAlign w:val="center"/>
            <w:hideMark/>
          </w:tcPr>
          <w:p w14:paraId="0521B9B5"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42.0</w:t>
            </w:r>
          </w:p>
        </w:tc>
      </w:tr>
      <w:tr w:rsidR="00DF7BF8" w:rsidRPr="00DF7BF8" w14:paraId="28CB7A92" w14:textId="77777777" w:rsidTr="00DF7BF8">
        <w:trPr>
          <w:trHeight w:val="315"/>
        </w:trPr>
        <w:tc>
          <w:tcPr>
            <w:tcW w:w="3320" w:type="dxa"/>
            <w:tcBorders>
              <w:top w:val="single" w:sz="4" w:space="0" w:color="95B3D7"/>
              <w:left w:val="single" w:sz="4" w:space="0" w:color="95B3D7"/>
              <w:bottom w:val="single" w:sz="4" w:space="0" w:color="95B3D7"/>
              <w:right w:val="single" w:sz="12" w:space="0" w:color="000000"/>
            </w:tcBorders>
            <w:hideMark/>
          </w:tcPr>
          <w:p w14:paraId="580DD8A9" w14:textId="77777777" w:rsidR="00DF7BF8" w:rsidRPr="00DF7BF8" w:rsidRDefault="00DF7BF8" w:rsidP="00B23CAE">
            <w:pPr>
              <w:spacing w:after="0" w:line="360" w:lineRule="auto"/>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Permanent</w:t>
            </w:r>
          </w:p>
        </w:tc>
        <w:tc>
          <w:tcPr>
            <w:tcW w:w="1540" w:type="dxa"/>
            <w:tcBorders>
              <w:top w:val="single" w:sz="4" w:space="0" w:color="95B3D7"/>
              <w:left w:val="single" w:sz="12" w:space="0" w:color="000000"/>
              <w:bottom w:val="single" w:sz="4" w:space="0" w:color="95B3D7"/>
              <w:right w:val="single" w:sz="4" w:space="0" w:color="000000"/>
            </w:tcBorders>
            <w:noWrap/>
            <w:vAlign w:val="center"/>
            <w:hideMark/>
          </w:tcPr>
          <w:p w14:paraId="263DBF9C"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7</w:t>
            </w:r>
          </w:p>
        </w:tc>
        <w:tc>
          <w:tcPr>
            <w:tcW w:w="1280" w:type="dxa"/>
            <w:tcBorders>
              <w:top w:val="single" w:sz="4" w:space="0" w:color="95B3D7"/>
              <w:left w:val="single" w:sz="4" w:space="0" w:color="000000"/>
              <w:bottom w:val="single" w:sz="4" w:space="0" w:color="95B3D7"/>
              <w:right w:val="single" w:sz="4" w:space="0" w:color="000000"/>
            </w:tcBorders>
            <w:noWrap/>
            <w:vAlign w:val="center"/>
            <w:hideMark/>
          </w:tcPr>
          <w:p w14:paraId="29EC92F3"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14.0</w:t>
            </w:r>
          </w:p>
        </w:tc>
        <w:tc>
          <w:tcPr>
            <w:tcW w:w="1440" w:type="dxa"/>
            <w:tcBorders>
              <w:top w:val="nil"/>
              <w:left w:val="single" w:sz="12" w:space="0" w:color="000000"/>
              <w:bottom w:val="single" w:sz="4" w:space="0" w:color="95B3D7"/>
              <w:right w:val="single" w:sz="4" w:space="0" w:color="000000"/>
            </w:tcBorders>
            <w:noWrap/>
            <w:vAlign w:val="center"/>
            <w:hideMark/>
          </w:tcPr>
          <w:p w14:paraId="73CE2E7E"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12</w:t>
            </w:r>
          </w:p>
        </w:tc>
        <w:tc>
          <w:tcPr>
            <w:tcW w:w="1283" w:type="dxa"/>
            <w:tcBorders>
              <w:top w:val="nil"/>
              <w:left w:val="nil"/>
              <w:bottom w:val="single" w:sz="4" w:space="0" w:color="95B3D7"/>
              <w:right w:val="single" w:sz="4" w:space="0" w:color="000000"/>
            </w:tcBorders>
            <w:noWrap/>
            <w:vAlign w:val="center"/>
            <w:hideMark/>
          </w:tcPr>
          <w:p w14:paraId="47DA9D25"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24.0</w:t>
            </w:r>
          </w:p>
        </w:tc>
      </w:tr>
      <w:tr w:rsidR="00DF7BF8" w:rsidRPr="00DF7BF8" w14:paraId="7601467A" w14:textId="77777777" w:rsidTr="00DF7BF8">
        <w:trPr>
          <w:trHeight w:val="480"/>
        </w:trPr>
        <w:tc>
          <w:tcPr>
            <w:tcW w:w="3320" w:type="dxa"/>
            <w:tcBorders>
              <w:top w:val="single" w:sz="4" w:space="0" w:color="95B3D7"/>
              <w:left w:val="single" w:sz="4" w:space="0" w:color="95B3D7"/>
              <w:bottom w:val="single" w:sz="4" w:space="0" w:color="95B3D7"/>
              <w:right w:val="single" w:sz="12" w:space="0" w:color="000000"/>
            </w:tcBorders>
            <w:shd w:val="clear" w:color="DCE6F1" w:fill="DCE6F1"/>
            <w:hideMark/>
          </w:tcPr>
          <w:p w14:paraId="2129FC9F" w14:textId="77777777" w:rsidR="00DF7BF8" w:rsidRPr="00DF7BF8" w:rsidRDefault="00DF7BF8" w:rsidP="00B23CAE">
            <w:pPr>
              <w:spacing w:after="0" w:line="360" w:lineRule="auto"/>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Temporary</w:t>
            </w:r>
          </w:p>
        </w:tc>
        <w:tc>
          <w:tcPr>
            <w:tcW w:w="1540" w:type="dxa"/>
            <w:tcBorders>
              <w:top w:val="single" w:sz="4" w:space="0" w:color="95B3D7"/>
              <w:left w:val="single" w:sz="12" w:space="0" w:color="000000"/>
              <w:bottom w:val="single" w:sz="4" w:space="0" w:color="95B3D7"/>
              <w:right w:val="single" w:sz="4" w:space="0" w:color="000000"/>
            </w:tcBorders>
            <w:shd w:val="clear" w:color="DCE6F1" w:fill="DCE6F1"/>
            <w:noWrap/>
            <w:vAlign w:val="center"/>
            <w:hideMark/>
          </w:tcPr>
          <w:p w14:paraId="62CD2179"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14</w:t>
            </w:r>
          </w:p>
        </w:tc>
        <w:tc>
          <w:tcPr>
            <w:tcW w:w="1280" w:type="dxa"/>
            <w:tcBorders>
              <w:top w:val="single" w:sz="4" w:space="0" w:color="95B3D7"/>
              <w:left w:val="single" w:sz="4" w:space="0" w:color="000000"/>
              <w:bottom w:val="single" w:sz="4" w:space="0" w:color="95B3D7"/>
              <w:right w:val="single" w:sz="4" w:space="0" w:color="000000"/>
            </w:tcBorders>
            <w:shd w:val="clear" w:color="DCE6F1" w:fill="DCE6F1"/>
            <w:noWrap/>
            <w:vAlign w:val="center"/>
            <w:hideMark/>
          </w:tcPr>
          <w:p w14:paraId="728A0442"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28.0</w:t>
            </w:r>
          </w:p>
        </w:tc>
        <w:tc>
          <w:tcPr>
            <w:tcW w:w="1440" w:type="dxa"/>
            <w:tcBorders>
              <w:top w:val="nil"/>
              <w:left w:val="single" w:sz="12" w:space="0" w:color="000000"/>
              <w:bottom w:val="single" w:sz="4" w:space="0" w:color="95B3D7"/>
              <w:right w:val="single" w:sz="4" w:space="0" w:color="000000"/>
            </w:tcBorders>
            <w:shd w:val="clear" w:color="DCE6F1" w:fill="DCE6F1"/>
            <w:noWrap/>
            <w:vAlign w:val="center"/>
            <w:hideMark/>
          </w:tcPr>
          <w:p w14:paraId="33D247FF"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17</w:t>
            </w:r>
          </w:p>
        </w:tc>
        <w:tc>
          <w:tcPr>
            <w:tcW w:w="1283" w:type="dxa"/>
            <w:tcBorders>
              <w:top w:val="nil"/>
              <w:left w:val="nil"/>
              <w:bottom w:val="single" w:sz="4" w:space="0" w:color="95B3D7"/>
              <w:right w:val="single" w:sz="4" w:space="0" w:color="000000"/>
            </w:tcBorders>
            <w:shd w:val="clear" w:color="DCE6F1" w:fill="DCE6F1"/>
            <w:noWrap/>
            <w:vAlign w:val="center"/>
            <w:hideMark/>
          </w:tcPr>
          <w:p w14:paraId="2520CA65"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34.0</w:t>
            </w:r>
          </w:p>
        </w:tc>
      </w:tr>
      <w:tr w:rsidR="00DF7BF8" w:rsidRPr="00DF7BF8" w14:paraId="7D07A976" w14:textId="77777777" w:rsidTr="00DF7BF8">
        <w:trPr>
          <w:trHeight w:val="315"/>
        </w:trPr>
        <w:tc>
          <w:tcPr>
            <w:tcW w:w="3320" w:type="dxa"/>
            <w:tcBorders>
              <w:top w:val="single" w:sz="4" w:space="0" w:color="95B3D7"/>
              <w:left w:val="single" w:sz="4" w:space="0" w:color="95B3D7"/>
              <w:bottom w:val="single" w:sz="12" w:space="0" w:color="000000"/>
              <w:right w:val="single" w:sz="12" w:space="0" w:color="000000"/>
            </w:tcBorders>
            <w:hideMark/>
          </w:tcPr>
          <w:p w14:paraId="29F9A298" w14:textId="77777777" w:rsidR="00DF7BF8" w:rsidRPr="00DF7BF8" w:rsidRDefault="00DF7BF8" w:rsidP="00B23CAE">
            <w:pPr>
              <w:spacing w:after="0" w:line="360" w:lineRule="auto"/>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Total</w:t>
            </w:r>
          </w:p>
        </w:tc>
        <w:tc>
          <w:tcPr>
            <w:tcW w:w="1540" w:type="dxa"/>
            <w:tcBorders>
              <w:top w:val="single" w:sz="4" w:space="0" w:color="95B3D7"/>
              <w:left w:val="single" w:sz="12" w:space="0" w:color="000000"/>
              <w:bottom w:val="single" w:sz="12" w:space="0" w:color="000000"/>
              <w:right w:val="single" w:sz="4" w:space="0" w:color="000000"/>
            </w:tcBorders>
            <w:noWrap/>
            <w:vAlign w:val="center"/>
            <w:hideMark/>
          </w:tcPr>
          <w:p w14:paraId="68DF66D3"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50</w:t>
            </w:r>
          </w:p>
        </w:tc>
        <w:tc>
          <w:tcPr>
            <w:tcW w:w="1280" w:type="dxa"/>
            <w:tcBorders>
              <w:top w:val="single" w:sz="4" w:space="0" w:color="95B3D7"/>
              <w:left w:val="single" w:sz="4" w:space="0" w:color="000000"/>
              <w:bottom w:val="single" w:sz="12" w:space="0" w:color="000000"/>
              <w:right w:val="single" w:sz="4" w:space="0" w:color="000000"/>
            </w:tcBorders>
            <w:noWrap/>
            <w:vAlign w:val="center"/>
            <w:hideMark/>
          </w:tcPr>
          <w:p w14:paraId="5D78A30A"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100.0</w:t>
            </w:r>
          </w:p>
        </w:tc>
        <w:tc>
          <w:tcPr>
            <w:tcW w:w="1440" w:type="dxa"/>
            <w:tcBorders>
              <w:top w:val="single" w:sz="4" w:space="0" w:color="95B3D7"/>
              <w:left w:val="single" w:sz="12" w:space="0" w:color="000000"/>
              <w:bottom w:val="single" w:sz="12" w:space="0" w:color="000000"/>
              <w:right w:val="single" w:sz="4" w:space="0" w:color="000000"/>
            </w:tcBorders>
            <w:noWrap/>
            <w:vAlign w:val="center"/>
            <w:hideMark/>
          </w:tcPr>
          <w:p w14:paraId="7813902B"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50</w:t>
            </w:r>
          </w:p>
        </w:tc>
        <w:tc>
          <w:tcPr>
            <w:tcW w:w="1283" w:type="dxa"/>
            <w:tcBorders>
              <w:top w:val="single" w:sz="4" w:space="0" w:color="95B3D7"/>
              <w:left w:val="single" w:sz="4" w:space="0" w:color="000000"/>
              <w:bottom w:val="single" w:sz="12" w:space="0" w:color="000000"/>
              <w:right w:val="single" w:sz="4" w:space="0" w:color="000000"/>
            </w:tcBorders>
            <w:noWrap/>
            <w:vAlign w:val="center"/>
            <w:hideMark/>
          </w:tcPr>
          <w:p w14:paraId="218EC426" w14:textId="77777777" w:rsidR="00DF7BF8" w:rsidRPr="00DF7BF8" w:rsidRDefault="00DF7BF8" w:rsidP="00B23CAE">
            <w:pPr>
              <w:spacing w:after="0" w:line="360" w:lineRule="auto"/>
              <w:jc w:val="center"/>
              <w:rPr>
                <w:rFonts w:ascii="Times New Roman" w:eastAsia="Times New Roman" w:hAnsi="Times New Roman" w:cs="Times New Roman"/>
                <w:color w:val="000000"/>
                <w:sz w:val="24"/>
                <w:szCs w:val="24"/>
                <w:lang w:eastAsia="en-IN"/>
              </w:rPr>
            </w:pPr>
            <w:r w:rsidRPr="00DF7BF8">
              <w:rPr>
                <w:rFonts w:ascii="Times New Roman" w:eastAsia="Times New Roman" w:hAnsi="Times New Roman" w:cs="Times New Roman"/>
                <w:color w:val="000000"/>
                <w:sz w:val="24"/>
                <w:szCs w:val="24"/>
                <w:lang w:eastAsia="en-IN"/>
              </w:rPr>
              <w:t>100.0</w:t>
            </w:r>
          </w:p>
        </w:tc>
      </w:tr>
    </w:tbl>
    <w:p w14:paraId="29FD14E5" w14:textId="77777777" w:rsidR="00DF7BF8" w:rsidRPr="002F4819" w:rsidRDefault="002F4819" w:rsidP="00B23CAE">
      <w:pPr>
        <w:pStyle w:val="NormalWeb"/>
        <w:spacing w:before="0" w:beforeAutospacing="0" w:line="360" w:lineRule="auto"/>
        <w:jc w:val="both"/>
      </w:pPr>
      <w:r w:rsidRPr="002F4819">
        <w:t>Source: Primary Data</w:t>
      </w:r>
    </w:p>
    <w:p w14:paraId="6D1766F0" w14:textId="77777777" w:rsidR="00981D50" w:rsidRDefault="002F4819" w:rsidP="00B23CAE">
      <w:pPr>
        <w:pStyle w:val="NormalWeb"/>
        <w:spacing w:line="360" w:lineRule="auto"/>
        <w:jc w:val="both"/>
      </w:pPr>
      <w:r>
        <w:lastRenderedPageBreak/>
        <w:t>Above table shows the employment profile of the respondents, both before and after migration, provides critical insight into their economic trajectories and the role of migration in altering their livelihoods. Prior to migrating from West Bengal to the Andaman and Nicobar Islands, a substantial portion of respondents (42%) were engaged in daily wage labour, 24% were involved in temporary jobs, and 34% were unemployed. These figures reflect a high degree of economic vulnerability at the place of origin, where limited employment opportunities and unstable job conditions likely acted as strong push factors. Following migration, while some changes are evident, employment largely remained precarious. A majority (58%) of respondents continue to be employed as daily wage labourers, 28% have transitioned into temporary work, and only 14% have secured permanent positions. Although migration has enabled some individuals to shift from unemployment or informal work to more consistent employment, the predominance of insecure and low-paying jobs post-migration indicates that substantial socio-economic improvement remains limited.</w:t>
      </w:r>
    </w:p>
    <w:p w14:paraId="35D4E58C" w14:textId="77777777" w:rsidR="002F4819" w:rsidRDefault="00F365B4" w:rsidP="00B23CAE">
      <w:pPr>
        <w:pStyle w:val="Heading3"/>
        <w:spacing w:after="0" w:afterAutospacing="0" w:line="360" w:lineRule="auto"/>
        <w:rPr>
          <w:rStyle w:val="Strong"/>
          <w:b/>
          <w:bCs/>
        </w:rPr>
      </w:pPr>
      <w:r>
        <w:rPr>
          <w:rStyle w:val="Strong"/>
          <w:b/>
          <w:bCs/>
        </w:rPr>
        <w:t xml:space="preserve">Figure 1. </w:t>
      </w:r>
      <w:r w:rsidR="002F4819">
        <w:rPr>
          <w:rStyle w:val="Strong"/>
          <w:b/>
          <w:bCs/>
        </w:rPr>
        <w:t>Monthly Income of Respondents</w:t>
      </w:r>
    </w:p>
    <w:p w14:paraId="4376F61D" w14:textId="77777777" w:rsidR="00F365B4" w:rsidRDefault="00F365B4" w:rsidP="00B23CAE">
      <w:pPr>
        <w:pStyle w:val="NormalWeb"/>
        <w:spacing w:after="0" w:afterAutospacing="0" w:line="360" w:lineRule="auto"/>
      </w:pPr>
      <w:r>
        <w:rPr>
          <w:noProof/>
        </w:rPr>
        <w:drawing>
          <wp:inline distT="0" distB="0" distL="0" distR="0" wp14:anchorId="01E6E217" wp14:editId="117C3678">
            <wp:extent cx="4290646" cy="2329961"/>
            <wp:effectExtent l="0" t="0" r="1524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CC9099" w14:textId="77777777" w:rsidR="00F365B4" w:rsidRDefault="00F365B4" w:rsidP="00B23CAE">
      <w:pPr>
        <w:pStyle w:val="NormalWeb"/>
        <w:spacing w:before="0" w:beforeAutospacing="0" w:after="0" w:afterAutospacing="0" w:line="360" w:lineRule="auto"/>
      </w:pPr>
      <w:r>
        <w:t>Source: Primary Data</w:t>
      </w:r>
    </w:p>
    <w:p w14:paraId="53D42428" w14:textId="77777777" w:rsidR="00F365B4" w:rsidRDefault="00F365B4" w:rsidP="00B23CA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365B4">
        <w:rPr>
          <w:rFonts w:ascii="Times New Roman" w:hAnsi="Times New Roman" w:cs="Times New Roman"/>
          <w:sz w:val="24"/>
          <w:szCs w:val="24"/>
        </w:rPr>
        <w:t xml:space="preserve">The above figure represents the </w:t>
      </w:r>
      <w:r w:rsidRPr="00F365B4">
        <w:rPr>
          <w:rFonts w:ascii="Times New Roman" w:eastAsia="Times New Roman" w:hAnsi="Times New Roman" w:cs="Times New Roman"/>
          <w:sz w:val="24"/>
          <w:szCs w:val="24"/>
          <w:lang w:eastAsia="en-IN"/>
        </w:rPr>
        <w:t xml:space="preserve">monthly income distribution of the 50 migrant respondents </w:t>
      </w:r>
      <w:r w:rsidR="00B23CAE">
        <w:rPr>
          <w:rFonts w:ascii="Times New Roman" w:eastAsia="Times New Roman" w:hAnsi="Times New Roman" w:cs="Times New Roman"/>
          <w:sz w:val="24"/>
          <w:szCs w:val="24"/>
          <w:lang w:eastAsia="en-IN"/>
        </w:rPr>
        <w:t xml:space="preserve">which </w:t>
      </w:r>
      <w:r w:rsidRPr="00F365B4">
        <w:rPr>
          <w:rFonts w:ascii="Times New Roman" w:eastAsia="Times New Roman" w:hAnsi="Times New Roman" w:cs="Times New Roman"/>
          <w:sz w:val="24"/>
          <w:szCs w:val="24"/>
          <w:lang w:eastAsia="en-IN"/>
        </w:rPr>
        <w:t xml:space="preserve">provides </w:t>
      </w:r>
      <w:r w:rsidR="00B23CAE">
        <w:rPr>
          <w:rFonts w:ascii="Times New Roman" w:eastAsia="Times New Roman" w:hAnsi="Times New Roman" w:cs="Times New Roman"/>
          <w:sz w:val="24"/>
          <w:szCs w:val="24"/>
          <w:lang w:eastAsia="en-IN"/>
        </w:rPr>
        <w:t xml:space="preserve">a </w:t>
      </w:r>
      <w:r w:rsidR="00C14495">
        <w:rPr>
          <w:rFonts w:ascii="Times New Roman" w:eastAsia="Times New Roman" w:hAnsi="Times New Roman" w:cs="Times New Roman"/>
          <w:sz w:val="24"/>
          <w:szCs w:val="24"/>
          <w:lang w:eastAsia="en-IN"/>
        </w:rPr>
        <w:t xml:space="preserve">very </w:t>
      </w:r>
      <w:r w:rsidRPr="00F365B4">
        <w:rPr>
          <w:rFonts w:ascii="Times New Roman" w:eastAsia="Times New Roman" w:hAnsi="Times New Roman" w:cs="Times New Roman"/>
          <w:sz w:val="24"/>
          <w:szCs w:val="24"/>
          <w:lang w:eastAsia="en-IN"/>
        </w:rPr>
        <w:t xml:space="preserve">valuable insight into their current economic </w:t>
      </w:r>
      <w:r w:rsidR="00B23CAE">
        <w:rPr>
          <w:rFonts w:ascii="Times New Roman" w:eastAsia="Times New Roman" w:hAnsi="Times New Roman" w:cs="Times New Roman"/>
          <w:sz w:val="24"/>
          <w:szCs w:val="24"/>
          <w:lang w:eastAsia="en-IN"/>
        </w:rPr>
        <w:t>conditions</w:t>
      </w:r>
      <w:r w:rsidRPr="00F365B4">
        <w:rPr>
          <w:rFonts w:ascii="Times New Roman" w:eastAsia="Times New Roman" w:hAnsi="Times New Roman" w:cs="Times New Roman"/>
          <w:sz w:val="24"/>
          <w:szCs w:val="24"/>
          <w:lang w:eastAsia="en-IN"/>
        </w:rPr>
        <w:t xml:space="preserve"> within the informal labour market of the Andaman and Nicobar Islands, </w:t>
      </w:r>
      <w:r w:rsidR="00B23CAE">
        <w:rPr>
          <w:rFonts w:ascii="Times New Roman" w:eastAsia="Times New Roman" w:hAnsi="Times New Roman" w:cs="Times New Roman"/>
          <w:sz w:val="24"/>
          <w:szCs w:val="24"/>
          <w:lang w:eastAsia="en-IN"/>
        </w:rPr>
        <w:t xml:space="preserve">it indicating that there is a </w:t>
      </w:r>
      <w:proofErr w:type="gramStart"/>
      <w:r w:rsidRPr="00F365B4">
        <w:rPr>
          <w:rFonts w:ascii="Times New Roman" w:eastAsia="Times New Roman" w:hAnsi="Times New Roman" w:cs="Times New Roman"/>
          <w:sz w:val="24"/>
          <w:szCs w:val="24"/>
          <w:lang w:eastAsia="en-IN"/>
        </w:rPr>
        <w:t>shifts</w:t>
      </w:r>
      <w:proofErr w:type="gramEnd"/>
      <w:r w:rsidRPr="00F365B4">
        <w:rPr>
          <w:rFonts w:ascii="Times New Roman" w:eastAsia="Times New Roman" w:hAnsi="Times New Roman" w:cs="Times New Roman"/>
          <w:sz w:val="24"/>
          <w:szCs w:val="24"/>
          <w:lang w:eastAsia="en-IN"/>
        </w:rPr>
        <w:t xml:space="preserve"> from their pre-migration conditions. Prior to migration, many </w:t>
      </w:r>
      <w:r w:rsidR="00C14495">
        <w:rPr>
          <w:rFonts w:ascii="Times New Roman" w:eastAsia="Times New Roman" w:hAnsi="Times New Roman" w:cs="Times New Roman"/>
          <w:sz w:val="24"/>
          <w:szCs w:val="24"/>
          <w:lang w:eastAsia="en-IN"/>
        </w:rPr>
        <w:t xml:space="preserve">of </w:t>
      </w:r>
      <w:r w:rsidR="00B23CAE">
        <w:rPr>
          <w:rFonts w:ascii="Times New Roman" w:eastAsia="Times New Roman" w:hAnsi="Times New Roman" w:cs="Times New Roman"/>
          <w:sz w:val="24"/>
          <w:szCs w:val="24"/>
          <w:lang w:eastAsia="en-IN"/>
        </w:rPr>
        <w:t>the migrants</w:t>
      </w:r>
      <w:r w:rsidR="00C14495">
        <w:rPr>
          <w:rFonts w:ascii="Times New Roman" w:eastAsia="Times New Roman" w:hAnsi="Times New Roman" w:cs="Times New Roman"/>
          <w:sz w:val="24"/>
          <w:szCs w:val="24"/>
          <w:lang w:eastAsia="en-IN"/>
        </w:rPr>
        <w:t xml:space="preserve"> </w:t>
      </w:r>
      <w:r w:rsidRPr="00F365B4">
        <w:rPr>
          <w:rFonts w:ascii="Times New Roman" w:eastAsia="Times New Roman" w:hAnsi="Times New Roman" w:cs="Times New Roman"/>
          <w:sz w:val="24"/>
          <w:szCs w:val="24"/>
          <w:lang w:eastAsia="en-IN"/>
        </w:rPr>
        <w:t xml:space="preserve">were either unemployed or engaged in irregular and poorly paid work, </w:t>
      </w:r>
      <w:r w:rsidR="00B23CAE">
        <w:rPr>
          <w:rFonts w:ascii="Times New Roman" w:eastAsia="Times New Roman" w:hAnsi="Times New Roman" w:cs="Times New Roman"/>
          <w:sz w:val="24"/>
          <w:szCs w:val="24"/>
          <w:lang w:eastAsia="en-IN"/>
        </w:rPr>
        <w:t xml:space="preserve">they had </w:t>
      </w:r>
      <w:r w:rsidRPr="00F365B4">
        <w:rPr>
          <w:rFonts w:ascii="Times New Roman" w:eastAsia="Times New Roman" w:hAnsi="Times New Roman" w:cs="Times New Roman"/>
          <w:sz w:val="24"/>
          <w:szCs w:val="24"/>
          <w:lang w:eastAsia="en-IN"/>
        </w:rPr>
        <w:t>very limited or no income at all.</w:t>
      </w:r>
      <w:r w:rsidR="00B23CAE">
        <w:rPr>
          <w:rFonts w:ascii="Times New Roman" w:eastAsia="Times New Roman" w:hAnsi="Times New Roman" w:cs="Times New Roman"/>
          <w:sz w:val="24"/>
          <w:szCs w:val="24"/>
          <w:lang w:eastAsia="en-IN"/>
        </w:rPr>
        <w:t xml:space="preserve"> We can describe this</w:t>
      </w:r>
      <w:r w:rsidRPr="00F365B4">
        <w:rPr>
          <w:rFonts w:ascii="Times New Roman" w:eastAsia="Times New Roman" w:hAnsi="Times New Roman" w:cs="Times New Roman"/>
          <w:sz w:val="24"/>
          <w:szCs w:val="24"/>
          <w:lang w:eastAsia="en-IN"/>
        </w:rPr>
        <w:t xml:space="preserve"> economic vulnerability was a significant push factor driving </w:t>
      </w:r>
      <w:r w:rsidR="00B23CAE">
        <w:rPr>
          <w:rFonts w:ascii="Times New Roman" w:eastAsia="Times New Roman" w:hAnsi="Times New Roman" w:cs="Times New Roman"/>
          <w:sz w:val="24"/>
          <w:szCs w:val="24"/>
          <w:lang w:eastAsia="en-IN"/>
        </w:rPr>
        <w:t xml:space="preserve">from </w:t>
      </w:r>
      <w:r w:rsidRPr="00F365B4">
        <w:rPr>
          <w:rFonts w:ascii="Times New Roman" w:eastAsia="Times New Roman" w:hAnsi="Times New Roman" w:cs="Times New Roman"/>
          <w:sz w:val="24"/>
          <w:szCs w:val="24"/>
          <w:lang w:eastAsia="en-IN"/>
        </w:rPr>
        <w:t xml:space="preserve">their decision to migrate. Post-migration, the distribution of income shows a </w:t>
      </w:r>
      <w:r w:rsidRPr="00F365B4">
        <w:rPr>
          <w:rFonts w:ascii="Times New Roman" w:eastAsia="Times New Roman" w:hAnsi="Times New Roman" w:cs="Times New Roman"/>
          <w:sz w:val="24"/>
          <w:szCs w:val="24"/>
          <w:lang w:eastAsia="en-IN"/>
        </w:rPr>
        <w:lastRenderedPageBreak/>
        <w:t>concentration within the lower to middle-income brackets, indicating continued participation in low-wage employmen</w:t>
      </w:r>
      <w:r>
        <w:rPr>
          <w:rFonts w:ascii="Times New Roman" w:eastAsia="Times New Roman" w:hAnsi="Times New Roman" w:cs="Times New Roman"/>
          <w:sz w:val="24"/>
          <w:szCs w:val="24"/>
          <w:lang w:eastAsia="en-IN"/>
        </w:rPr>
        <w:t xml:space="preserve">t role. The largest proportion </w:t>
      </w:r>
      <w:r w:rsidRPr="00F365B4">
        <w:rPr>
          <w:rFonts w:ascii="Times New Roman" w:eastAsia="Times New Roman" w:hAnsi="Times New Roman" w:cs="Times New Roman"/>
          <w:sz w:val="24"/>
          <w:szCs w:val="24"/>
          <w:lang w:eastAsia="en-IN"/>
        </w:rPr>
        <w:t>2</w:t>
      </w:r>
      <w:r>
        <w:rPr>
          <w:rFonts w:ascii="Times New Roman" w:eastAsia="Times New Roman" w:hAnsi="Times New Roman" w:cs="Times New Roman"/>
          <w:sz w:val="24"/>
          <w:szCs w:val="24"/>
          <w:lang w:eastAsia="en-IN"/>
        </w:rPr>
        <w:t xml:space="preserve">0 respondents (40%) </w:t>
      </w:r>
      <w:r w:rsidRPr="00F365B4">
        <w:rPr>
          <w:rFonts w:ascii="Times New Roman" w:eastAsia="Times New Roman" w:hAnsi="Times New Roman" w:cs="Times New Roman"/>
          <w:sz w:val="24"/>
          <w:szCs w:val="24"/>
          <w:lang w:eastAsia="en-IN"/>
        </w:rPr>
        <w:t>now earn between ₹10,001 and ₹15,000 per month, reflecting modest wages typically associated with construction work, domestic services, and informal retail. Another 18 respondents (36%) earn between ₹20,001 and ₹25,000, suggesting a relatively better earning capacity, possibly due to engagement in more stable or skilled informal occupations such as masonry, cooking, or supervisory work. Seven respondents (14%) fall within the ₹15,001 to ₹20,000 income range, reflecting moderate earnings. A small segment, comprising 3 respondents (6%), report earning above ₹25,000, which may be attributed to specialized skills or longer tenure in the region. Conversely, 2 respondents (4%) continue to earn below ₹10,000, placing them in a highly vulnerable economic category. This shift from unemployment or minimal income to regular but modest earnings underscores the partial economic improvement brought about by migration. However, the</w:t>
      </w:r>
      <w:r w:rsidR="002871DA">
        <w:rPr>
          <w:rFonts w:ascii="Times New Roman" w:eastAsia="Times New Roman" w:hAnsi="Times New Roman" w:cs="Times New Roman"/>
          <w:sz w:val="24"/>
          <w:szCs w:val="24"/>
          <w:lang w:eastAsia="en-IN"/>
        </w:rPr>
        <w:t xml:space="preserve"> table discuss the</w:t>
      </w:r>
      <w:r w:rsidRPr="00F365B4">
        <w:rPr>
          <w:rFonts w:ascii="Times New Roman" w:eastAsia="Times New Roman" w:hAnsi="Times New Roman" w:cs="Times New Roman"/>
          <w:sz w:val="24"/>
          <w:szCs w:val="24"/>
          <w:lang w:eastAsia="en-IN"/>
        </w:rPr>
        <w:t xml:space="preserve"> predominance of </w:t>
      </w:r>
      <w:r w:rsidR="002871DA">
        <w:rPr>
          <w:rFonts w:ascii="Times New Roman" w:eastAsia="Times New Roman" w:hAnsi="Times New Roman" w:cs="Times New Roman"/>
          <w:sz w:val="24"/>
          <w:szCs w:val="24"/>
          <w:lang w:eastAsia="en-IN"/>
        </w:rPr>
        <w:t xml:space="preserve">the </w:t>
      </w:r>
      <w:r w:rsidRPr="00F365B4">
        <w:rPr>
          <w:rFonts w:ascii="Times New Roman" w:eastAsia="Times New Roman" w:hAnsi="Times New Roman" w:cs="Times New Roman"/>
          <w:sz w:val="24"/>
          <w:szCs w:val="24"/>
          <w:lang w:eastAsia="en-IN"/>
        </w:rPr>
        <w:t xml:space="preserve">low-income levels post-migration also </w:t>
      </w:r>
      <w:r w:rsidR="002871DA">
        <w:rPr>
          <w:rFonts w:ascii="Times New Roman" w:eastAsia="Times New Roman" w:hAnsi="Times New Roman" w:cs="Times New Roman"/>
          <w:sz w:val="24"/>
          <w:szCs w:val="24"/>
          <w:lang w:eastAsia="en-IN"/>
        </w:rPr>
        <w:t xml:space="preserve">it </w:t>
      </w:r>
      <w:r w:rsidRPr="00F365B4">
        <w:rPr>
          <w:rFonts w:ascii="Times New Roman" w:eastAsia="Times New Roman" w:hAnsi="Times New Roman" w:cs="Times New Roman"/>
          <w:sz w:val="24"/>
          <w:szCs w:val="24"/>
          <w:lang w:eastAsia="en-IN"/>
        </w:rPr>
        <w:t>highlights</w:t>
      </w:r>
      <w:r w:rsidR="002871DA">
        <w:rPr>
          <w:rFonts w:ascii="Times New Roman" w:eastAsia="Times New Roman" w:hAnsi="Times New Roman" w:cs="Times New Roman"/>
          <w:sz w:val="24"/>
          <w:szCs w:val="24"/>
          <w:lang w:eastAsia="en-IN"/>
        </w:rPr>
        <w:t xml:space="preserve"> that</w:t>
      </w:r>
      <w:r w:rsidRPr="00F365B4">
        <w:rPr>
          <w:rFonts w:ascii="Times New Roman" w:eastAsia="Times New Roman" w:hAnsi="Times New Roman" w:cs="Times New Roman"/>
          <w:sz w:val="24"/>
          <w:szCs w:val="24"/>
          <w:lang w:eastAsia="en-IN"/>
        </w:rPr>
        <w:t xml:space="preserve"> the</w:t>
      </w:r>
      <w:r w:rsidR="002871DA">
        <w:rPr>
          <w:rFonts w:ascii="Times New Roman" w:eastAsia="Times New Roman" w:hAnsi="Times New Roman" w:cs="Times New Roman"/>
          <w:sz w:val="24"/>
          <w:szCs w:val="24"/>
          <w:lang w:eastAsia="en-IN"/>
        </w:rPr>
        <w:t>re is</w:t>
      </w:r>
      <w:r w:rsidRPr="00F365B4">
        <w:rPr>
          <w:rFonts w:ascii="Times New Roman" w:eastAsia="Times New Roman" w:hAnsi="Times New Roman" w:cs="Times New Roman"/>
          <w:sz w:val="24"/>
          <w:szCs w:val="24"/>
          <w:lang w:eastAsia="en-IN"/>
        </w:rPr>
        <w:t xml:space="preserve"> limited extent of upward mobility and on</w:t>
      </w:r>
      <w:r>
        <w:rPr>
          <w:rFonts w:ascii="Times New Roman" w:eastAsia="Times New Roman" w:hAnsi="Times New Roman" w:cs="Times New Roman"/>
          <w:sz w:val="24"/>
          <w:szCs w:val="24"/>
          <w:lang w:eastAsia="en-IN"/>
        </w:rPr>
        <w:t>-</w:t>
      </w:r>
      <w:r w:rsidRPr="00F365B4">
        <w:rPr>
          <w:rFonts w:ascii="Times New Roman" w:eastAsia="Times New Roman" w:hAnsi="Times New Roman" w:cs="Times New Roman"/>
          <w:sz w:val="24"/>
          <w:szCs w:val="24"/>
          <w:lang w:eastAsia="en-IN"/>
        </w:rPr>
        <w:t>going challenges related to savings, healthcare access, education, and housing among migrant workers.</w:t>
      </w:r>
    </w:p>
    <w:p w14:paraId="0C7C05ED" w14:textId="77777777" w:rsidR="00E20A40" w:rsidRDefault="00E20A40" w:rsidP="00B23CAE">
      <w:pPr>
        <w:spacing w:before="100" w:beforeAutospacing="1" w:after="0" w:line="360" w:lineRule="auto"/>
        <w:jc w:val="both"/>
        <w:rPr>
          <w:rFonts w:ascii="Times New Roman" w:eastAsia="Times New Roman" w:hAnsi="Times New Roman" w:cs="Times New Roman"/>
          <w:b/>
          <w:sz w:val="24"/>
          <w:szCs w:val="24"/>
          <w:lang w:eastAsia="en-IN"/>
        </w:rPr>
      </w:pPr>
      <w:r w:rsidRPr="00E20A40">
        <w:rPr>
          <w:rFonts w:ascii="Times New Roman" w:eastAsia="Times New Roman" w:hAnsi="Times New Roman" w:cs="Times New Roman"/>
          <w:b/>
          <w:sz w:val="24"/>
          <w:szCs w:val="24"/>
          <w:lang w:eastAsia="en-IN"/>
        </w:rPr>
        <w:t>Table 2. Standard deviation of Monthly Income of Migrants</w:t>
      </w:r>
    </w:p>
    <w:tbl>
      <w:tblPr>
        <w:tblStyle w:val="TableGrid"/>
        <w:tblW w:w="0" w:type="auto"/>
        <w:tblInd w:w="250" w:type="dxa"/>
        <w:tblLook w:val="04A0" w:firstRow="1" w:lastRow="0" w:firstColumn="1" w:lastColumn="0" w:noHBand="0" w:noVBand="1"/>
      </w:tblPr>
      <w:tblGrid>
        <w:gridCol w:w="3218"/>
        <w:gridCol w:w="1176"/>
      </w:tblGrid>
      <w:tr w:rsidR="00E20A40" w14:paraId="1036E69A" w14:textId="77777777" w:rsidTr="00E20A40">
        <w:tc>
          <w:tcPr>
            <w:tcW w:w="3218" w:type="dxa"/>
          </w:tcPr>
          <w:p w14:paraId="0CFBFE16" w14:textId="77777777" w:rsidR="00E20A40" w:rsidRPr="00222F6F" w:rsidRDefault="00E20A40" w:rsidP="00B23CAE">
            <w:pPr>
              <w:pStyle w:val="Heading3"/>
              <w:spacing w:after="0" w:afterAutospacing="0" w:line="360" w:lineRule="auto"/>
              <w:outlineLvl w:val="2"/>
              <w:rPr>
                <w:rStyle w:val="Strong"/>
                <w:b/>
                <w:bCs/>
                <w:color w:val="943634" w:themeColor="accent2" w:themeShade="BF"/>
                <w:sz w:val="24"/>
                <w:szCs w:val="24"/>
              </w:rPr>
            </w:pPr>
            <w:r w:rsidRPr="00222F6F">
              <w:rPr>
                <w:rStyle w:val="Strong"/>
                <w:b/>
                <w:bCs/>
                <w:sz w:val="24"/>
                <w:szCs w:val="24"/>
              </w:rPr>
              <w:t>Monthly Income of Migrants</w:t>
            </w:r>
          </w:p>
        </w:tc>
        <w:tc>
          <w:tcPr>
            <w:tcW w:w="1176" w:type="dxa"/>
          </w:tcPr>
          <w:p w14:paraId="3A4F532E" w14:textId="77777777" w:rsidR="00E20A40" w:rsidRDefault="00E20A40" w:rsidP="00B23CAE">
            <w:pPr>
              <w:pStyle w:val="Heading3"/>
              <w:spacing w:after="0" w:afterAutospacing="0" w:line="360" w:lineRule="auto"/>
              <w:outlineLvl w:val="2"/>
              <w:rPr>
                <w:rStyle w:val="Strong"/>
                <w:b/>
                <w:bCs/>
                <w:color w:val="943634" w:themeColor="accent2" w:themeShade="BF"/>
              </w:rPr>
            </w:pPr>
          </w:p>
        </w:tc>
      </w:tr>
      <w:tr w:rsidR="00E20A40" w14:paraId="07F94232" w14:textId="77777777" w:rsidTr="00E20A40">
        <w:tc>
          <w:tcPr>
            <w:tcW w:w="3218" w:type="dxa"/>
            <w:vAlign w:val="bottom"/>
          </w:tcPr>
          <w:p w14:paraId="25396216" w14:textId="77777777" w:rsidR="00E20A40" w:rsidRPr="00222F6F" w:rsidRDefault="00E20A40" w:rsidP="00B23CAE">
            <w:pPr>
              <w:spacing w:line="360" w:lineRule="auto"/>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Mean</w:t>
            </w:r>
          </w:p>
        </w:tc>
        <w:tc>
          <w:tcPr>
            <w:tcW w:w="1176" w:type="dxa"/>
            <w:vAlign w:val="bottom"/>
          </w:tcPr>
          <w:p w14:paraId="2574AC0D" w14:textId="77777777" w:rsidR="00E20A40" w:rsidRPr="00222F6F" w:rsidRDefault="00E20A40" w:rsidP="00B23CAE">
            <w:pPr>
              <w:spacing w:line="360" w:lineRule="auto"/>
              <w:jc w:val="right"/>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17,940</w:t>
            </w:r>
            <w:r>
              <w:rPr>
                <w:rFonts w:ascii="Times New Roman" w:eastAsia="Times New Roman" w:hAnsi="Times New Roman" w:cs="Times New Roman"/>
                <w:color w:val="000000"/>
                <w:sz w:val="24"/>
                <w:szCs w:val="24"/>
                <w:lang w:eastAsia="en-IN"/>
              </w:rPr>
              <w:t>.00</w:t>
            </w:r>
          </w:p>
        </w:tc>
      </w:tr>
      <w:tr w:rsidR="00E20A40" w14:paraId="3515852E" w14:textId="77777777" w:rsidTr="00E20A40">
        <w:tc>
          <w:tcPr>
            <w:tcW w:w="3218" w:type="dxa"/>
            <w:vAlign w:val="bottom"/>
          </w:tcPr>
          <w:p w14:paraId="006D38FB" w14:textId="77777777" w:rsidR="00E20A40" w:rsidRPr="00222F6F" w:rsidRDefault="00E20A40" w:rsidP="00B23CAE">
            <w:pPr>
              <w:spacing w:line="360" w:lineRule="auto"/>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Std. Deviation</w:t>
            </w:r>
          </w:p>
        </w:tc>
        <w:tc>
          <w:tcPr>
            <w:tcW w:w="1176" w:type="dxa"/>
            <w:vAlign w:val="bottom"/>
          </w:tcPr>
          <w:p w14:paraId="792FAD3A" w14:textId="77777777" w:rsidR="00E20A40" w:rsidRPr="00222F6F" w:rsidRDefault="00E20A40" w:rsidP="00B23CAE">
            <w:pPr>
              <w:spacing w:line="360" w:lineRule="auto"/>
              <w:jc w:val="right"/>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5331.5</w:t>
            </w:r>
            <w:r>
              <w:rPr>
                <w:rFonts w:ascii="Times New Roman" w:eastAsia="Times New Roman" w:hAnsi="Times New Roman" w:cs="Times New Roman"/>
                <w:color w:val="000000"/>
                <w:sz w:val="24"/>
                <w:szCs w:val="24"/>
                <w:lang w:eastAsia="en-IN"/>
              </w:rPr>
              <w:t>0</w:t>
            </w:r>
          </w:p>
        </w:tc>
      </w:tr>
      <w:tr w:rsidR="00E20A40" w14:paraId="57AE6E3B" w14:textId="77777777" w:rsidTr="00E20A40">
        <w:tc>
          <w:tcPr>
            <w:tcW w:w="3218" w:type="dxa"/>
            <w:vAlign w:val="bottom"/>
          </w:tcPr>
          <w:p w14:paraId="15A30583" w14:textId="77777777" w:rsidR="00E20A40" w:rsidRPr="00222F6F" w:rsidRDefault="00E20A40" w:rsidP="00B23CAE">
            <w:pPr>
              <w:spacing w:line="360" w:lineRule="auto"/>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Mode</w:t>
            </w:r>
          </w:p>
        </w:tc>
        <w:tc>
          <w:tcPr>
            <w:tcW w:w="1176" w:type="dxa"/>
            <w:vAlign w:val="center"/>
          </w:tcPr>
          <w:p w14:paraId="2A17373A" w14:textId="77777777" w:rsidR="00E20A40" w:rsidRPr="00222F6F" w:rsidRDefault="00E20A40" w:rsidP="00B23CAE">
            <w:pPr>
              <w:spacing w:line="360" w:lineRule="auto"/>
              <w:jc w:val="right"/>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15000.00</w:t>
            </w:r>
          </w:p>
        </w:tc>
      </w:tr>
      <w:tr w:rsidR="00E20A40" w14:paraId="1E0BE114" w14:textId="77777777" w:rsidTr="00E20A40">
        <w:tc>
          <w:tcPr>
            <w:tcW w:w="3218" w:type="dxa"/>
            <w:vAlign w:val="bottom"/>
          </w:tcPr>
          <w:p w14:paraId="59C7B62F" w14:textId="77777777" w:rsidR="00E20A40" w:rsidRPr="00222F6F" w:rsidRDefault="00E20A40" w:rsidP="00B23CAE">
            <w:pPr>
              <w:spacing w:line="360" w:lineRule="auto"/>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Range</w:t>
            </w:r>
          </w:p>
        </w:tc>
        <w:tc>
          <w:tcPr>
            <w:tcW w:w="1176" w:type="dxa"/>
            <w:vAlign w:val="center"/>
          </w:tcPr>
          <w:p w14:paraId="5DA5005D" w14:textId="77777777" w:rsidR="00E20A40" w:rsidRPr="00222F6F" w:rsidRDefault="00E20A40" w:rsidP="00B23CAE">
            <w:pPr>
              <w:spacing w:line="360" w:lineRule="auto"/>
              <w:jc w:val="right"/>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25000.00</w:t>
            </w:r>
          </w:p>
        </w:tc>
      </w:tr>
      <w:tr w:rsidR="00E20A40" w14:paraId="591B3B31" w14:textId="77777777" w:rsidTr="00E20A40">
        <w:tc>
          <w:tcPr>
            <w:tcW w:w="3218" w:type="dxa"/>
            <w:vAlign w:val="bottom"/>
          </w:tcPr>
          <w:p w14:paraId="48C68851" w14:textId="77777777" w:rsidR="00E20A40" w:rsidRPr="00222F6F" w:rsidRDefault="00E20A40" w:rsidP="00B23CAE">
            <w:pPr>
              <w:spacing w:line="360" w:lineRule="auto"/>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Minimum</w:t>
            </w:r>
          </w:p>
        </w:tc>
        <w:tc>
          <w:tcPr>
            <w:tcW w:w="1176" w:type="dxa"/>
            <w:vAlign w:val="center"/>
          </w:tcPr>
          <w:p w14:paraId="03687348" w14:textId="77777777" w:rsidR="00E20A40" w:rsidRPr="00222F6F" w:rsidRDefault="00E20A40" w:rsidP="00B23CAE">
            <w:pPr>
              <w:spacing w:line="360" w:lineRule="auto"/>
              <w:jc w:val="right"/>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5000.00</w:t>
            </w:r>
          </w:p>
        </w:tc>
      </w:tr>
      <w:tr w:rsidR="00E20A40" w14:paraId="6B4AA937" w14:textId="77777777" w:rsidTr="00E20A40">
        <w:tc>
          <w:tcPr>
            <w:tcW w:w="3218" w:type="dxa"/>
            <w:vAlign w:val="bottom"/>
          </w:tcPr>
          <w:p w14:paraId="04BA9CD3" w14:textId="77777777" w:rsidR="00E20A40" w:rsidRPr="00222F6F" w:rsidRDefault="00E20A40" w:rsidP="00B23CAE">
            <w:pPr>
              <w:spacing w:line="360" w:lineRule="auto"/>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Maximum</w:t>
            </w:r>
          </w:p>
        </w:tc>
        <w:tc>
          <w:tcPr>
            <w:tcW w:w="1176" w:type="dxa"/>
            <w:vAlign w:val="center"/>
          </w:tcPr>
          <w:p w14:paraId="061EEBD9" w14:textId="77777777" w:rsidR="00E20A40" w:rsidRPr="00222F6F" w:rsidRDefault="00E20A40" w:rsidP="00B23CAE">
            <w:pPr>
              <w:spacing w:line="360" w:lineRule="auto"/>
              <w:jc w:val="right"/>
              <w:rPr>
                <w:rFonts w:ascii="Times New Roman" w:eastAsia="Times New Roman" w:hAnsi="Times New Roman" w:cs="Times New Roman"/>
                <w:color w:val="000000"/>
                <w:sz w:val="24"/>
                <w:szCs w:val="24"/>
                <w:lang w:eastAsia="en-IN"/>
              </w:rPr>
            </w:pPr>
            <w:r w:rsidRPr="00222F6F">
              <w:rPr>
                <w:rFonts w:ascii="Times New Roman" w:eastAsia="Times New Roman" w:hAnsi="Times New Roman" w:cs="Times New Roman"/>
                <w:color w:val="000000"/>
                <w:sz w:val="24"/>
                <w:szCs w:val="24"/>
                <w:lang w:eastAsia="en-IN"/>
              </w:rPr>
              <w:t>30000.00</w:t>
            </w:r>
          </w:p>
        </w:tc>
      </w:tr>
    </w:tbl>
    <w:p w14:paraId="2A4A8477" w14:textId="77777777" w:rsidR="00E20A40" w:rsidRDefault="0090450C" w:rsidP="00B23CAE">
      <w:pPr>
        <w:spacing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E20A40" w:rsidRPr="00E20A40">
        <w:rPr>
          <w:rFonts w:ascii="Times New Roman" w:eastAsia="Times New Roman" w:hAnsi="Times New Roman" w:cs="Times New Roman"/>
          <w:sz w:val="24"/>
          <w:szCs w:val="24"/>
          <w:lang w:eastAsia="en-IN"/>
        </w:rPr>
        <w:t>Source: Computed Data</w:t>
      </w:r>
    </w:p>
    <w:p w14:paraId="07C888D9" w14:textId="77777777" w:rsidR="00E20A40" w:rsidRPr="00222F6F" w:rsidRDefault="00E20A40" w:rsidP="00B23CAE">
      <w:pPr>
        <w:pStyle w:val="Heading3"/>
        <w:spacing w:line="360" w:lineRule="auto"/>
        <w:jc w:val="both"/>
        <w:rPr>
          <w:rStyle w:val="Strong"/>
          <w:b/>
          <w:bCs/>
          <w:color w:val="943634" w:themeColor="accent2" w:themeShade="BF"/>
          <w:sz w:val="24"/>
          <w:szCs w:val="24"/>
        </w:rPr>
      </w:pPr>
      <w:r w:rsidRPr="00222F6F">
        <w:rPr>
          <w:b w:val="0"/>
          <w:sz w:val="24"/>
          <w:szCs w:val="24"/>
        </w:rPr>
        <w:t>T</w:t>
      </w:r>
      <w:r w:rsidR="00811FCA">
        <w:rPr>
          <w:b w:val="0"/>
          <w:sz w:val="24"/>
          <w:szCs w:val="24"/>
        </w:rPr>
        <w:t xml:space="preserve">able 2 </w:t>
      </w:r>
      <w:r w:rsidR="002871DA">
        <w:rPr>
          <w:b w:val="0"/>
          <w:sz w:val="24"/>
          <w:szCs w:val="24"/>
        </w:rPr>
        <w:t>represents</w:t>
      </w:r>
      <w:r w:rsidR="00811FCA">
        <w:rPr>
          <w:b w:val="0"/>
          <w:sz w:val="24"/>
          <w:szCs w:val="24"/>
        </w:rPr>
        <w:t xml:space="preserve"> th</w:t>
      </w:r>
      <w:r w:rsidRPr="00222F6F">
        <w:rPr>
          <w:b w:val="0"/>
          <w:sz w:val="24"/>
          <w:szCs w:val="24"/>
        </w:rPr>
        <w:t>e analysis of monthly income</w:t>
      </w:r>
      <w:r w:rsidR="002871DA">
        <w:rPr>
          <w:b w:val="0"/>
          <w:sz w:val="24"/>
          <w:szCs w:val="24"/>
        </w:rPr>
        <w:t xml:space="preserve"> of the respondents </w:t>
      </w:r>
      <w:r w:rsidRPr="00222F6F">
        <w:rPr>
          <w:b w:val="0"/>
          <w:sz w:val="24"/>
          <w:szCs w:val="24"/>
        </w:rPr>
        <w:t xml:space="preserve">for the 50 migrant </w:t>
      </w:r>
      <w:r w:rsidR="002871DA">
        <w:rPr>
          <w:b w:val="0"/>
          <w:sz w:val="24"/>
          <w:szCs w:val="24"/>
        </w:rPr>
        <w:t xml:space="preserve">which </w:t>
      </w:r>
      <w:r w:rsidRPr="00222F6F">
        <w:rPr>
          <w:b w:val="0"/>
          <w:sz w:val="24"/>
          <w:szCs w:val="24"/>
        </w:rPr>
        <w:t xml:space="preserve">reveals important insights into their post-migration economic status. The average income </w:t>
      </w:r>
      <w:r w:rsidR="002871DA">
        <w:rPr>
          <w:b w:val="0"/>
          <w:sz w:val="24"/>
          <w:szCs w:val="24"/>
        </w:rPr>
        <w:t xml:space="preserve">of the migrants </w:t>
      </w:r>
      <w:r w:rsidRPr="00222F6F">
        <w:rPr>
          <w:b w:val="0"/>
          <w:sz w:val="24"/>
          <w:szCs w:val="24"/>
        </w:rPr>
        <w:t xml:space="preserve">stands at ₹17,940, </w:t>
      </w:r>
      <w:r w:rsidR="002871DA">
        <w:rPr>
          <w:b w:val="0"/>
          <w:sz w:val="24"/>
          <w:szCs w:val="24"/>
        </w:rPr>
        <w:t xml:space="preserve">which clearly </w:t>
      </w:r>
      <w:r w:rsidRPr="00222F6F">
        <w:rPr>
          <w:b w:val="0"/>
          <w:sz w:val="24"/>
          <w:szCs w:val="24"/>
        </w:rPr>
        <w:t xml:space="preserve">indicating a moderate level of earnings among the group. However, a standard deviation of ₹5,331.50 </w:t>
      </w:r>
      <w:r w:rsidR="002871DA">
        <w:rPr>
          <w:b w:val="0"/>
          <w:sz w:val="24"/>
          <w:szCs w:val="24"/>
        </w:rPr>
        <w:t>explains the</w:t>
      </w:r>
      <w:r w:rsidRPr="00222F6F">
        <w:rPr>
          <w:b w:val="0"/>
          <w:sz w:val="24"/>
          <w:szCs w:val="24"/>
        </w:rPr>
        <w:t xml:space="preserve"> substantial variability in income, reflecting diverse employment outcomes. The most frequently reported income (mode) is ₹15,000, around which a significant portion of respondents’ earnings cluster. Income ranges from a minimum of ₹5,000 to a maximum of </w:t>
      </w:r>
      <w:r w:rsidRPr="00222F6F">
        <w:rPr>
          <w:b w:val="0"/>
          <w:sz w:val="24"/>
          <w:szCs w:val="24"/>
        </w:rPr>
        <w:lastRenderedPageBreak/>
        <w:t>₹30,000, resulting in a range of ₹25,000. This</w:t>
      </w:r>
      <w:r w:rsidR="002871DA">
        <w:rPr>
          <w:b w:val="0"/>
          <w:sz w:val="24"/>
          <w:szCs w:val="24"/>
        </w:rPr>
        <w:t xml:space="preserve"> result suggests the</w:t>
      </w:r>
      <w:r w:rsidRPr="00222F6F">
        <w:rPr>
          <w:b w:val="0"/>
          <w:sz w:val="24"/>
          <w:szCs w:val="24"/>
        </w:rPr>
        <w:t xml:space="preserve"> wide spread illustrates that while some migrants have accessed relatively better-paying opportunities, many</w:t>
      </w:r>
      <w:r w:rsidR="002871DA">
        <w:rPr>
          <w:b w:val="0"/>
          <w:sz w:val="24"/>
          <w:szCs w:val="24"/>
        </w:rPr>
        <w:t xml:space="preserve"> migrants still</w:t>
      </w:r>
      <w:r w:rsidRPr="00222F6F">
        <w:rPr>
          <w:b w:val="0"/>
          <w:sz w:val="24"/>
          <w:szCs w:val="24"/>
        </w:rPr>
        <w:t xml:space="preserve"> remain within lower income brackets. Overall, the </w:t>
      </w:r>
      <w:r w:rsidR="002871DA">
        <w:rPr>
          <w:b w:val="0"/>
          <w:sz w:val="24"/>
          <w:szCs w:val="24"/>
        </w:rPr>
        <w:t xml:space="preserve">data </w:t>
      </w:r>
      <w:r w:rsidRPr="00222F6F">
        <w:rPr>
          <w:b w:val="0"/>
          <w:sz w:val="24"/>
          <w:szCs w:val="24"/>
        </w:rPr>
        <w:t xml:space="preserve">highlights </w:t>
      </w:r>
      <w:r w:rsidR="002871DA">
        <w:rPr>
          <w:b w:val="0"/>
          <w:sz w:val="24"/>
          <w:szCs w:val="24"/>
        </w:rPr>
        <w:t xml:space="preserve">the </w:t>
      </w:r>
      <w:r w:rsidRPr="00222F6F">
        <w:rPr>
          <w:b w:val="0"/>
          <w:sz w:val="24"/>
          <w:szCs w:val="24"/>
        </w:rPr>
        <w:t>both modest economic gains and persistent disparities in earning levels within the migrant population.</w:t>
      </w:r>
    </w:p>
    <w:p w14:paraId="3336A87A" w14:textId="77777777" w:rsidR="002C62BA" w:rsidRDefault="00811FCA" w:rsidP="00B23CAE">
      <w:pPr>
        <w:pStyle w:val="NormalWeb"/>
        <w:spacing w:after="0" w:afterAutospacing="0" w:line="360" w:lineRule="auto"/>
        <w:rPr>
          <w:b/>
        </w:rPr>
      </w:pPr>
      <w:r>
        <w:rPr>
          <w:b/>
        </w:rPr>
        <w:t xml:space="preserve">Table 3. </w:t>
      </w:r>
      <w:r w:rsidR="00B51BB3" w:rsidRPr="00B51BB3">
        <w:rPr>
          <w:b/>
        </w:rPr>
        <w:t>Savings of the Respondents</w:t>
      </w:r>
    </w:p>
    <w:tbl>
      <w:tblPr>
        <w:tblW w:w="6961" w:type="dxa"/>
        <w:tblInd w:w="93" w:type="dxa"/>
        <w:tblLook w:val="04A0" w:firstRow="1" w:lastRow="0" w:firstColumn="1" w:lastColumn="0" w:noHBand="0" w:noVBand="1"/>
      </w:tblPr>
      <w:tblGrid>
        <w:gridCol w:w="1523"/>
        <w:gridCol w:w="1493"/>
        <w:gridCol w:w="1276"/>
        <w:gridCol w:w="1418"/>
        <w:gridCol w:w="1417"/>
      </w:tblGrid>
      <w:tr w:rsidR="00811FCA" w:rsidRPr="00DE7627" w14:paraId="5648AB7D" w14:textId="77777777" w:rsidTr="00080940">
        <w:trPr>
          <w:trHeight w:val="330"/>
        </w:trPr>
        <w:tc>
          <w:tcPr>
            <w:tcW w:w="1357" w:type="dxa"/>
            <w:vMerge w:val="restart"/>
            <w:tcBorders>
              <w:top w:val="single" w:sz="12" w:space="0" w:color="000000"/>
              <w:left w:val="single" w:sz="8" w:space="0" w:color="95B3D7"/>
              <w:bottom w:val="single" w:sz="12" w:space="0" w:color="000000"/>
              <w:right w:val="single" w:sz="12" w:space="0" w:color="000000"/>
            </w:tcBorders>
            <w:shd w:val="clear" w:color="000000" w:fill="4F81BD"/>
            <w:vAlign w:val="center"/>
            <w:hideMark/>
          </w:tcPr>
          <w:p w14:paraId="52EA1A46" w14:textId="77777777" w:rsidR="00811FCA" w:rsidRPr="00DE7627" w:rsidRDefault="00811FCA" w:rsidP="00B23CAE">
            <w:pPr>
              <w:spacing w:after="0" w:line="360" w:lineRule="auto"/>
              <w:rPr>
                <w:rFonts w:ascii="Times New Roman" w:eastAsia="Times New Roman" w:hAnsi="Times New Roman" w:cs="Times New Roman"/>
                <w:b/>
                <w:bCs/>
                <w:color w:val="000000"/>
                <w:sz w:val="24"/>
                <w:szCs w:val="24"/>
                <w:lang w:eastAsia="en-IN"/>
              </w:rPr>
            </w:pPr>
            <w:r w:rsidRPr="00DE7627">
              <w:rPr>
                <w:rFonts w:ascii="Times New Roman" w:eastAsia="Times New Roman" w:hAnsi="Times New Roman" w:cs="Times New Roman"/>
                <w:b/>
                <w:bCs/>
                <w:color w:val="000000"/>
                <w:sz w:val="24"/>
                <w:szCs w:val="24"/>
                <w:lang w:eastAsia="en-IN"/>
              </w:rPr>
              <w:t>Savings of Respondents</w:t>
            </w:r>
          </w:p>
        </w:tc>
        <w:tc>
          <w:tcPr>
            <w:tcW w:w="2769" w:type="dxa"/>
            <w:gridSpan w:val="2"/>
            <w:tcBorders>
              <w:top w:val="single" w:sz="12" w:space="0" w:color="000000"/>
              <w:left w:val="nil"/>
              <w:bottom w:val="single" w:sz="8" w:space="0" w:color="auto"/>
              <w:right w:val="single" w:sz="8" w:space="0" w:color="000000"/>
            </w:tcBorders>
            <w:shd w:val="clear" w:color="000000" w:fill="4F81BD"/>
            <w:vAlign w:val="center"/>
            <w:hideMark/>
          </w:tcPr>
          <w:p w14:paraId="79FED3FB" w14:textId="77777777" w:rsidR="00811FCA" w:rsidRPr="00DE7627" w:rsidRDefault="00811FCA" w:rsidP="00B23CAE">
            <w:pPr>
              <w:spacing w:after="0" w:line="360" w:lineRule="auto"/>
              <w:jc w:val="center"/>
              <w:rPr>
                <w:rFonts w:ascii="Times New Roman" w:eastAsia="Times New Roman" w:hAnsi="Times New Roman" w:cs="Times New Roman"/>
                <w:b/>
                <w:bCs/>
                <w:color w:val="000000"/>
                <w:sz w:val="24"/>
                <w:szCs w:val="24"/>
                <w:lang w:eastAsia="en-IN"/>
              </w:rPr>
            </w:pPr>
            <w:r w:rsidRPr="00DE7627">
              <w:rPr>
                <w:rFonts w:ascii="Times New Roman" w:eastAsia="Times New Roman" w:hAnsi="Times New Roman" w:cs="Times New Roman"/>
                <w:b/>
                <w:bCs/>
                <w:color w:val="000000"/>
                <w:sz w:val="24"/>
                <w:szCs w:val="24"/>
                <w:lang w:eastAsia="en-IN"/>
              </w:rPr>
              <w:t>Before Migration</w:t>
            </w:r>
          </w:p>
        </w:tc>
        <w:tc>
          <w:tcPr>
            <w:tcW w:w="2835" w:type="dxa"/>
            <w:gridSpan w:val="2"/>
            <w:tcBorders>
              <w:top w:val="single" w:sz="12" w:space="0" w:color="000000"/>
              <w:left w:val="nil"/>
              <w:bottom w:val="single" w:sz="8" w:space="0" w:color="auto"/>
              <w:right w:val="single" w:sz="8" w:space="0" w:color="000000"/>
            </w:tcBorders>
            <w:shd w:val="clear" w:color="000000" w:fill="4F81BD"/>
            <w:vAlign w:val="center"/>
            <w:hideMark/>
          </w:tcPr>
          <w:p w14:paraId="40173B3F" w14:textId="77777777" w:rsidR="00811FCA" w:rsidRPr="00DE7627" w:rsidRDefault="00811FCA" w:rsidP="00B23CAE">
            <w:pPr>
              <w:spacing w:after="0" w:line="360" w:lineRule="auto"/>
              <w:jc w:val="center"/>
              <w:rPr>
                <w:rFonts w:ascii="Times New Roman" w:eastAsia="Times New Roman" w:hAnsi="Times New Roman" w:cs="Times New Roman"/>
                <w:b/>
                <w:bCs/>
                <w:color w:val="000000"/>
                <w:sz w:val="24"/>
                <w:szCs w:val="24"/>
                <w:lang w:eastAsia="en-IN"/>
              </w:rPr>
            </w:pPr>
            <w:r w:rsidRPr="00DE7627">
              <w:rPr>
                <w:rFonts w:ascii="Times New Roman" w:eastAsia="Times New Roman" w:hAnsi="Times New Roman" w:cs="Times New Roman"/>
                <w:b/>
                <w:bCs/>
                <w:color w:val="000000"/>
                <w:sz w:val="24"/>
                <w:szCs w:val="24"/>
                <w:lang w:eastAsia="en-IN"/>
              </w:rPr>
              <w:t>After Migration</w:t>
            </w:r>
          </w:p>
        </w:tc>
      </w:tr>
      <w:tr w:rsidR="00811FCA" w:rsidRPr="00811FCA" w14:paraId="0C0FAE11" w14:textId="77777777" w:rsidTr="00080940">
        <w:trPr>
          <w:trHeight w:val="509"/>
        </w:trPr>
        <w:tc>
          <w:tcPr>
            <w:tcW w:w="1357" w:type="dxa"/>
            <w:vMerge/>
            <w:tcBorders>
              <w:top w:val="single" w:sz="12" w:space="0" w:color="000000"/>
              <w:left w:val="single" w:sz="8" w:space="0" w:color="95B3D7"/>
              <w:bottom w:val="single" w:sz="12" w:space="0" w:color="000000"/>
              <w:right w:val="single" w:sz="12" w:space="0" w:color="000000"/>
            </w:tcBorders>
            <w:vAlign w:val="center"/>
            <w:hideMark/>
          </w:tcPr>
          <w:p w14:paraId="3CE7BED1" w14:textId="77777777" w:rsidR="00811FCA" w:rsidRPr="00DE7627" w:rsidRDefault="00811FCA" w:rsidP="00B23CAE">
            <w:pPr>
              <w:spacing w:after="0" w:line="360" w:lineRule="auto"/>
              <w:rPr>
                <w:rFonts w:ascii="Times New Roman" w:eastAsia="Times New Roman" w:hAnsi="Times New Roman" w:cs="Times New Roman"/>
                <w:b/>
                <w:bCs/>
                <w:color w:val="000000"/>
                <w:sz w:val="24"/>
                <w:szCs w:val="24"/>
                <w:lang w:eastAsia="en-IN"/>
              </w:rPr>
            </w:pPr>
          </w:p>
        </w:tc>
        <w:tc>
          <w:tcPr>
            <w:tcW w:w="1493" w:type="dxa"/>
            <w:vMerge w:val="restart"/>
            <w:tcBorders>
              <w:top w:val="nil"/>
              <w:left w:val="single" w:sz="12" w:space="0" w:color="000000"/>
              <w:bottom w:val="single" w:sz="12" w:space="0" w:color="000000"/>
              <w:right w:val="single" w:sz="8" w:space="0" w:color="000000"/>
            </w:tcBorders>
            <w:shd w:val="clear" w:color="000000" w:fill="4F81BD"/>
            <w:vAlign w:val="center"/>
            <w:hideMark/>
          </w:tcPr>
          <w:p w14:paraId="21901AB0" w14:textId="77777777" w:rsidR="00811FCA" w:rsidRPr="00DE7627" w:rsidRDefault="00811FCA" w:rsidP="00B23CAE">
            <w:pPr>
              <w:spacing w:after="0" w:line="360" w:lineRule="auto"/>
              <w:jc w:val="both"/>
              <w:rPr>
                <w:rFonts w:ascii="Times New Roman" w:eastAsia="Times New Roman" w:hAnsi="Times New Roman" w:cs="Times New Roman"/>
                <w:b/>
                <w:bCs/>
                <w:color w:val="000000"/>
                <w:sz w:val="24"/>
                <w:szCs w:val="24"/>
                <w:lang w:eastAsia="en-IN"/>
              </w:rPr>
            </w:pPr>
            <w:r w:rsidRPr="00DE7627">
              <w:rPr>
                <w:rFonts w:ascii="Times New Roman" w:eastAsia="Times New Roman" w:hAnsi="Times New Roman" w:cs="Times New Roman"/>
                <w:b/>
                <w:bCs/>
                <w:color w:val="000000"/>
                <w:sz w:val="24"/>
                <w:szCs w:val="24"/>
                <w:lang w:eastAsia="en-IN"/>
              </w:rPr>
              <w:t>Frequency</w:t>
            </w:r>
          </w:p>
        </w:tc>
        <w:tc>
          <w:tcPr>
            <w:tcW w:w="1276" w:type="dxa"/>
            <w:vMerge w:val="restart"/>
            <w:tcBorders>
              <w:top w:val="nil"/>
              <w:left w:val="single" w:sz="8" w:space="0" w:color="000000"/>
              <w:bottom w:val="single" w:sz="12" w:space="0" w:color="000000"/>
              <w:right w:val="single" w:sz="8" w:space="0" w:color="000000"/>
            </w:tcBorders>
            <w:shd w:val="clear" w:color="000000" w:fill="4F81BD"/>
            <w:vAlign w:val="center"/>
            <w:hideMark/>
          </w:tcPr>
          <w:p w14:paraId="305CA5B5" w14:textId="77777777" w:rsidR="00811FCA" w:rsidRPr="00DE7627" w:rsidRDefault="00811FCA" w:rsidP="00B23CAE">
            <w:pPr>
              <w:spacing w:after="0" w:line="360" w:lineRule="auto"/>
              <w:jc w:val="both"/>
              <w:rPr>
                <w:rFonts w:ascii="Times New Roman" w:eastAsia="Times New Roman" w:hAnsi="Times New Roman" w:cs="Times New Roman"/>
                <w:b/>
                <w:bCs/>
                <w:color w:val="000000"/>
                <w:sz w:val="24"/>
                <w:szCs w:val="24"/>
                <w:lang w:eastAsia="en-IN"/>
              </w:rPr>
            </w:pPr>
            <w:r w:rsidRPr="00DE7627">
              <w:rPr>
                <w:rFonts w:ascii="Times New Roman" w:eastAsia="Times New Roman" w:hAnsi="Times New Roman" w:cs="Times New Roman"/>
                <w:b/>
                <w:bCs/>
                <w:color w:val="000000"/>
                <w:sz w:val="24"/>
                <w:szCs w:val="24"/>
                <w:lang w:eastAsia="en-IN"/>
              </w:rPr>
              <w:t>Percent</w:t>
            </w:r>
          </w:p>
        </w:tc>
        <w:tc>
          <w:tcPr>
            <w:tcW w:w="1418" w:type="dxa"/>
            <w:vMerge w:val="restart"/>
            <w:tcBorders>
              <w:top w:val="nil"/>
              <w:left w:val="single" w:sz="8" w:space="0" w:color="000000"/>
              <w:bottom w:val="single" w:sz="12" w:space="0" w:color="000000"/>
              <w:right w:val="single" w:sz="8" w:space="0" w:color="000000"/>
            </w:tcBorders>
            <w:shd w:val="clear" w:color="000000" w:fill="4F81BD"/>
            <w:vAlign w:val="center"/>
            <w:hideMark/>
          </w:tcPr>
          <w:p w14:paraId="6D4DED70" w14:textId="77777777" w:rsidR="00811FCA" w:rsidRPr="00DE7627" w:rsidRDefault="00811FCA" w:rsidP="00B23CAE">
            <w:pPr>
              <w:spacing w:after="0" w:line="360" w:lineRule="auto"/>
              <w:jc w:val="both"/>
              <w:rPr>
                <w:rFonts w:ascii="Times New Roman" w:eastAsia="Times New Roman" w:hAnsi="Times New Roman" w:cs="Times New Roman"/>
                <w:b/>
                <w:bCs/>
                <w:color w:val="000000"/>
                <w:sz w:val="24"/>
                <w:szCs w:val="24"/>
                <w:lang w:eastAsia="en-IN"/>
              </w:rPr>
            </w:pPr>
            <w:r w:rsidRPr="00DE7627">
              <w:rPr>
                <w:rFonts w:ascii="Times New Roman" w:eastAsia="Times New Roman" w:hAnsi="Times New Roman" w:cs="Times New Roman"/>
                <w:b/>
                <w:bCs/>
                <w:color w:val="000000"/>
                <w:sz w:val="24"/>
                <w:szCs w:val="24"/>
                <w:lang w:eastAsia="en-IN"/>
              </w:rPr>
              <w:t>Frequency</w:t>
            </w:r>
          </w:p>
        </w:tc>
        <w:tc>
          <w:tcPr>
            <w:tcW w:w="1417" w:type="dxa"/>
            <w:vMerge w:val="restart"/>
            <w:tcBorders>
              <w:top w:val="nil"/>
              <w:left w:val="single" w:sz="8" w:space="0" w:color="000000"/>
              <w:bottom w:val="single" w:sz="12" w:space="0" w:color="000000"/>
              <w:right w:val="single" w:sz="8" w:space="0" w:color="000000"/>
            </w:tcBorders>
            <w:shd w:val="clear" w:color="000000" w:fill="4F81BD"/>
            <w:vAlign w:val="center"/>
            <w:hideMark/>
          </w:tcPr>
          <w:p w14:paraId="619AD5F9" w14:textId="77777777" w:rsidR="00811FCA" w:rsidRPr="00DE7627" w:rsidRDefault="00811FCA" w:rsidP="00B23CAE">
            <w:pPr>
              <w:spacing w:after="0" w:line="360" w:lineRule="auto"/>
              <w:jc w:val="both"/>
              <w:rPr>
                <w:rFonts w:ascii="Times New Roman" w:eastAsia="Times New Roman" w:hAnsi="Times New Roman" w:cs="Times New Roman"/>
                <w:b/>
                <w:bCs/>
                <w:color w:val="000000"/>
                <w:sz w:val="24"/>
                <w:szCs w:val="24"/>
                <w:lang w:eastAsia="en-IN"/>
              </w:rPr>
            </w:pPr>
            <w:r w:rsidRPr="00DE7627">
              <w:rPr>
                <w:rFonts w:ascii="Times New Roman" w:eastAsia="Times New Roman" w:hAnsi="Times New Roman" w:cs="Times New Roman"/>
                <w:b/>
                <w:bCs/>
                <w:color w:val="000000"/>
                <w:sz w:val="24"/>
                <w:szCs w:val="24"/>
                <w:lang w:eastAsia="en-IN"/>
              </w:rPr>
              <w:t>Percent</w:t>
            </w:r>
          </w:p>
        </w:tc>
      </w:tr>
      <w:tr w:rsidR="00811FCA" w:rsidRPr="00811FCA" w14:paraId="7E9DAA7B" w14:textId="77777777" w:rsidTr="00080940">
        <w:trPr>
          <w:trHeight w:val="509"/>
        </w:trPr>
        <w:tc>
          <w:tcPr>
            <w:tcW w:w="1357" w:type="dxa"/>
            <w:vMerge/>
            <w:tcBorders>
              <w:top w:val="single" w:sz="12" w:space="0" w:color="000000"/>
              <w:left w:val="single" w:sz="8" w:space="0" w:color="95B3D7"/>
              <w:bottom w:val="single" w:sz="12" w:space="0" w:color="000000"/>
              <w:right w:val="single" w:sz="12" w:space="0" w:color="000000"/>
            </w:tcBorders>
            <w:vAlign w:val="center"/>
            <w:hideMark/>
          </w:tcPr>
          <w:p w14:paraId="50957846" w14:textId="77777777" w:rsidR="00811FCA" w:rsidRPr="00DE7627" w:rsidRDefault="00811FCA" w:rsidP="00B23CAE">
            <w:pPr>
              <w:spacing w:after="0" w:line="360" w:lineRule="auto"/>
              <w:rPr>
                <w:rFonts w:ascii="Times New Roman" w:eastAsia="Times New Roman" w:hAnsi="Times New Roman" w:cs="Times New Roman"/>
                <w:b/>
                <w:bCs/>
                <w:color w:val="000000"/>
                <w:sz w:val="24"/>
                <w:szCs w:val="24"/>
                <w:lang w:eastAsia="en-IN"/>
              </w:rPr>
            </w:pPr>
          </w:p>
        </w:tc>
        <w:tc>
          <w:tcPr>
            <w:tcW w:w="1493" w:type="dxa"/>
            <w:vMerge/>
            <w:tcBorders>
              <w:top w:val="nil"/>
              <w:left w:val="single" w:sz="12" w:space="0" w:color="000000"/>
              <w:bottom w:val="single" w:sz="12" w:space="0" w:color="000000"/>
              <w:right w:val="single" w:sz="8" w:space="0" w:color="000000"/>
            </w:tcBorders>
            <w:vAlign w:val="center"/>
            <w:hideMark/>
          </w:tcPr>
          <w:p w14:paraId="1133F4D1" w14:textId="77777777" w:rsidR="00811FCA" w:rsidRPr="00DE7627" w:rsidRDefault="00811FCA" w:rsidP="00B23CAE">
            <w:pPr>
              <w:spacing w:after="0" w:line="360" w:lineRule="auto"/>
              <w:rPr>
                <w:rFonts w:ascii="Times New Roman" w:eastAsia="Times New Roman" w:hAnsi="Times New Roman" w:cs="Times New Roman"/>
                <w:b/>
                <w:bCs/>
                <w:color w:val="000000"/>
                <w:sz w:val="24"/>
                <w:szCs w:val="24"/>
                <w:lang w:eastAsia="en-IN"/>
              </w:rPr>
            </w:pPr>
          </w:p>
        </w:tc>
        <w:tc>
          <w:tcPr>
            <w:tcW w:w="1276" w:type="dxa"/>
            <w:vMerge/>
            <w:tcBorders>
              <w:top w:val="nil"/>
              <w:left w:val="single" w:sz="8" w:space="0" w:color="000000"/>
              <w:bottom w:val="single" w:sz="12" w:space="0" w:color="000000"/>
              <w:right w:val="single" w:sz="8" w:space="0" w:color="000000"/>
            </w:tcBorders>
            <w:vAlign w:val="center"/>
            <w:hideMark/>
          </w:tcPr>
          <w:p w14:paraId="1143B22C" w14:textId="77777777" w:rsidR="00811FCA" w:rsidRPr="00DE7627" w:rsidRDefault="00811FCA" w:rsidP="00B23CAE">
            <w:pPr>
              <w:spacing w:after="0" w:line="360" w:lineRule="auto"/>
              <w:rPr>
                <w:rFonts w:ascii="Times New Roman" w:eastAsia="Times New Roman" w:hAnsi="Times New Roman" w:cs="Times New Roman"/>
                <w:b/>
                <w:bCs/>
                <w:color w:val="000000"/>
                <w:sz w:val="24"/>
                <w:szCs w:val="24"/>
                <w:lang w:eastAsia="en-IN"/>
              </w:rPr>
            </w:pPr>
          </w:p>
        </w:tc>
        <w:tc>
          <w:tcPr>
            <w:tcW w:w="1418" w:type="dxa"/>
            <w:vMerge/>
            <w:tcBorders>
              <w:top w:val="nil"/>
              <w:left w:val="single" w:sz="8" w:space="0" w:color="000000"/>
              <w:bottom w:val="single" w:sz="12" w:space="0" w:color="000000"/>
              <w:right w:val="single" w:sz="8" w:space="0" w:color="000000"/>
            </w:tcBorders>
            <w:vAlign w:val="center"/>
            <w:hideMark/>
          </w:tcPr>
          <w:p w14:paraId="6D16F6F5" w14:textId="77777777" w:rsidR="00811FCA" w:rsidRPr="00DE7627" w:rsidRDefault="00811FCA" w:rsidP="00B23CAE">
            <w:pPr>
              <w:spacing w:after="0" w:line="360" w:lineRule="auto"/>
              <w:rPr>
                <w:rFonts w:ascii="Times New Roman" w:eastAsia="Times New Roman" w:hAnsi="Times New Roman" w:cs="Times New Roman"/>
                <w:b/>
                <w:bCs/>
                <w:color w:val="000000"/>
                <w:sz w:val="24"/>
                <w:szCs w:val="24"/>
                <w:lang w:eastAsia="en-IN"/>
              </w:rPr>
            </w:pPr>
          </w:p>
        </w:tc>
        <w:tc>
          <w:tcPr>
            <w:tcW w:w="1417" w:type="dxa"/>
            <w:vMerge/>
            <w:tcBorders>
              <w:top w:val="nil"/>
              <w:left w:val="single" w:sz="8" w:space="0" w:color="000000"/>
              <w:bottom w:val="single" w:sz="12" w:space="0" w:color="000000"/>
              <w:right w:val="single" w:sz="8" w:space="0" w:color="000000"/>
            </w:tcBorders>
            <w:vAlign w:val="center"/>
            <w:hideMark/>
          </w:tcPr>
          <w:p w14:paraId="250CFEF4" w14:textId="77777777" w:rsidR="00811FCA" w:rsidRPr="00DE7627" w:rsidRDefault="00811FCA" w:rsidP="00B23CAE">
            <w:pPr>
              <w:spacing w:after="0" w:line="360" w:lineRule="auto"/>
              <w:rPr>
                <w:rFonts w:ascii="Times New Roman" w:eastAsia="Times New Roman" w:hAnsi="Times New Roman" w:cs="Times New Roman"/>
                <w:b/>
                <w:bCs/>
                <w:color w:val="000000"/>
                <w:sz w:val="24"/>
                <w:szCs w:val="24"/>
                <w:lang w:eastAsia="en-IN"/>
              </w:rPr>
            </w:pPr>
          </w:p>
        </w:tc>
      </w:tr>
      <w:tr w:rsidR="00811FCA" w:rsidRPr="00811FCA" w14:paraId="5B5F1FE9" w14:textId="77777777" w:rsidTr="00080940">
        <w:trPr>
          <w:trHeight w:val="330"/>
        </w:trPr>
        <w:tc>
          <w:tcPr>
            <w:tcW w:w="1357" w:type="dxa"/>
            <w:tcBorders>
              <w:top w:val="nil"/>
              <w:left w:val="single" w:sz="8" w:space="0" w:color="95B3D7"/>
              <w:bottom w:val="single" w:sz="8" w:space="0" w:color="95B3D7"/>
              <w:right w:val="single" w:sz="12" w:space="0" w:color="000000"/>
            </w:tcBorders>
            <w:shd w:val="clear" w:color="000000" w:fill="DCE6F1"/>
            <w:vAlign w:val="center"/>
            <w:hideMark/>
          </w:tcPr>
          <w:p w14:paraId="01A23AB5" w14:textId="77777777" w:rsidR="00811FCA" w:rsidRPr="00DE7627" w:rsidRDefault="00811FCA" w:rsidP="00B23CAE">
            <w:pPr>
              <w:spacing w:after="0" w:line="360" w:lineRule="auto"/>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No</w:t>
            </w:r>
          </w:p>
        </w:tc>
        <w:tc>
          <w:tcPr>
            <w:tcW w:w="1493" w:type="dxa"/>
            <w:tcBorders>
              <w:top w:val="nil"/>
              <w:left w:val="nil"/>
              <w:bottom w:val="single" w:sz="8" w:space="0" w:color="95B3D7"/>
              <w:right w:val="single" w:sz="8" w:space="0" w:color="000000"/>
            </w:tcBorders>
            <w:shd w:val="clear" w:color="000000" w:fill="DCE6F1"/>
            <w:noWrap/>
            <w:vAlign w:val="center"/>
            <w:hideMark/>
          </w:tcPr>
          <w:p w14:paraId="47B2D558" w14:textId="77777777" w:rsidR="00811FCA" w:rsidRPr="00DE7627" w:rsidRDefault="00811FCA" w:rsidP="00B23CAE">
            <w:pPr>
              <w:spacing w:after="0" w:line="360" w:lineRule="auto"/>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37</w:t>
            </w:r>
          </w:p>
        </w:tc>
        <w:tc>
          <w:tcPr>
            <w:tcW w:w="1276" w:type="dxa"/>
            <w:tcBorders>
              <w:top w:val="nil"/>
              <w:left w:val="nil"/>
              <w:bottom w:val="single" w:sz="8" w:space="0" w:color="95B3D7"/>
              <w:right w:val="single" w:sz="8" w:space="0" w:color="000000"/>
            </w:tcBorders>
            <w:shd w:val="clear" w:color="000000" w:fill="DCE6F1"/>
            <w:noWrap/>
            <w:vAlign w:val="center"/>
            <w:hideMark/>
          </w:tcPr>
          <w:p w14:paraId="32AF7586" w14:textId="77777777" w:rsidR="00811FCA" w:rsidRPr="00DE7627" w:rsidRDefault="00811FCA" w:rsidP="00B23CAE">
            <w:pPr>
              <w:spacing w:after="0" w:line="360" w:lineRule="auto"/>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74</w:t>
            </w:r>
          </w:p>
        </w:tc>
        <w:tc>
          <w:tcPr>
            <w:tcW w:w="1418" w:type="dxa"/>
            <w:tcBorders>
              <w:top w:val="nil"/>
              <w:left w:val="nil"/>
              <w:bottom w:val="single" w:sz="8" w:space="0" w:color="95B3D7"/>
              <w:right w:val="single" w:sz="8" w:space="0" w:color="000000"/>
            </w:tcBorders>
            <w:shd w:val="clear" w:color="000000" w:fill="DCE6F1"/>
            <w:noWrap/>
            <w:vAlign w:val="center"/>
            <w:hideMark/>
          </w:tcPr>
          <w:p w14:paraId="103C71D8" w14:textId="77777777" w:rsidR="00811FCA" w:rsidRPr="00DE7627" w:rsidRDefault="00811FCA" w:rsidP="00B23CAE">
            <w:pPr>
              <w:spacing w:after="0" w:line="360" w:lineRule="auto"/>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3</w:t>
            </w:r>
          </w:p>
        </w:tc>
        <w:tc>
          <w:tcPr>
            <w:tcW w:w="1417" w:type="dxa"/>
            <w:tcBorders>
              <w:top w:val="nil"/>
              <w:left w:val="nil"/>
              <w:bottom w:val="single" w:sz="8" w:space="0" w:color="95B3D7"/>
              <w:right w:val="single" w:sz="8" w:space="0" w:color="000000"/>
            </w:tcBorders>
            <w:shd w:val="clear" w:color="000000" w:fill="DCE6F1"/>
            <w:noWrap/>
            <w:vAlign w:val="center"/>
            <w:hideMark/>
          </w:tcPr>
          <w:p w14:paraId="79E82EFA" w14:textId="77777777" w:rsidR="00811FCA" w:rsidRPr="00DE7627" w:rsidRDefault="00811FCA" w:rsidP="00B23CAE">
            <w:pPr>
              <w:spacing w:after="0" w:line="360" w:lineRule="auto"/>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6</w:t>
            </w:r>
          </w:p>
        </w:tc>
      </w:tr>
      <w:tr w:rsidR="00811FCA" w:rsidRPr="00811FCA" w14:paraId="7C3A9334" w14:textId="77777777" w:rsidTr="00080940">
        <w:trPr>
          <w:trHeight w:val="315"/>
        </w:trPr>
        <w:tc>
          <w:tcPr>
            <w:tcW w:w="1357" w:type="dxa"/>
            <w:tcBorders>
              <w:top w:val="nil"/>
              <w:left w:val="single" w:sz="8" w:space="0" w:color="95B3D7"/>
              <w:bottom w:val="single" w:sz="8" w:space="0" w:color="95B3D7"/>
              <w:right w:val="single" w:sz="12" w:space="0" w:color="000000"/>
            </w:tcBorders>
            <w:vAlign w:val="center"/>
            <w:hideMark/>
          </w:tcPr>
          <w:p w14:paraId="6B58077B" w14:textId="77777777" w:rsidR="00811FCA" w:rsidRPr="00DE7627" w:rsidRDefault="00811FCA" w:rsidP="00B23CAE">
            <w:pPr>
              <w:spacing w:after="0" w:line="360" w:lineRule="auto"/>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Yes</w:t>
            </w:r>
          </w:p>
        </w:tc>
        <w:tc>
          <w:tcPr>
            <w:tcW w:w="1493" w:type="dxa"/>
            <w:tcBorders>
              <w:top w:val="nil"/>
              <w:left w:val="nil"/>
              <w:bottom w:val="single" w:sz="8" w:space="0" w:color="95B3D7"/>
              <w:right w:val="single" w:sz="8" w:space="0" w:color="000000"/>
            </w:tcBorders>
            <w:noWrap/>
            <w:vAlign w:val="center"/>
            <w:hideMark/>
          </w:tcPr>
          <w:p w14:paraId="2B23F1B8" w14:textId="77777777" w:rsidR="00811FCA" w:rsidRPr="00DE7627" w:rsidRDefault="00811FCA" w:rsidP="00B23CAE">
            <w:pPr>
              <w:spacing w:after="0" w:line="360" w:lineRule="auto"/>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13</w:t>
            </w:r>
          </w:p>
        </w:tc>
        <w:tc>
          <w:tcPr>
            <w:tcW w:w="1276" w:type="dxa"/>
            <w:tcBorders>
              <w:top w:val="nil"/>
              <w:left w:val="nil"/>
              <w:bottom w:val="single" w:sz="8" w:space="0" w:color="95B3D7"/>
              <w:right w:val="single" w:sz="8" w:space="0" w:color="000000"/>
            </w:tcBorders>
            <w:noWrap/>
            <w:vAlign w:val="center"/>
            <w:hideMark/>
          </w:tcPr>
          <w:p w14:paraId="1CFCF963" w14:textId="77777777" w:rsidR="00811FCA" w:rsidRPr="00DE7627" w:rsidRDefault="00811FCA" w:rsidP="00B23CAE">
            <w:pPr>
              <w:spacing w:after="0" w:line="360" w:lineRule="auto"/>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26</w:t>
            </w:r>
          </w:p>
        </w:tc>
        <w:tc>
          <w:tcPr>
            <w:tcW w:w="1418" w:type="dxa"/>
            <w:tcBorders>
              <w:top w:val="nil"/>
              <w:left w:val="nil"/>
              <w:bottom w:val="single" w:sz="8" w:space="0" w:color="95B3D7"/>
              <w:right w:val="single" w:sz="8" w:space="0" w:color="000000"/>
            </w:tcBorders>
            <w:noWrap/>
            <w:vAlign w:val="center"/>
            <w:hideMark/>
          </w:tcPr>
          <w:p w14:paraId="2FF800C4" w14:textId="77777777" w:rsidR="00811FCA" w:rsidRPr="00DE7627" w:rsidRDefault="00811FCA" w:rsidP="00B23CAE">
            <w:pPr>
              <w:spacing w:after="0" w:line="360" w:lineRule="auto"/>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47</w:t>
            </w:r>
          </w:p>
        </w:tc>
        <w:tc>
          <w:tcPr>
            <w:tcW w:w="1417" w:type="dxa"/>
            <w:tcBorders>
              <w:top w:val="nil"/>
              <w:left w:val="nil"/>
              <w:bottom w:val="single" w:sz="8" w:space="0" w:color="95B3D7"/>
              <w:right w:val="single" w:sz="8" w:space="0" w:color="000000"/>
            </w:tcBorders>
            <w:noWrap/>
            <w:vAlign w:val="center"/>
            <w:hideMark/>
          </w:tcPr>
          <w:p w14:paraId="584222B6" w14:textId="77777777" w:rsidR="00811FCA" w:rsidRPr="00DE7627" w:rsidRDefault="00811FCA" w:rsidP="00B23CAE">
            <w:pPr>
              <w:spacing w:after="0" w:line="360" w:lineRule="auto"/>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94</w:t>
            </w:r>
          </w:p>
        </w:tc>
      </w:tr>
      <w:tr w:rsidR="00811FCA" w:rsidRPr="00811FCA" w14:paraId="676D86D5" w14:textId="77777777" w:rsidTr="00080940">
        <w:trPr>
          <w:trHeight w:val="315"/>
        </w:trPr>
        <w:tc>
          <w:tcPr>
            <w:tcW w:w="1357" w:type="dxa"/>
            <w:tcBorders>
              <w:top w:val="nil"/>
              <w:left w:val="single" w:sz="8" w:space="0" w:color="95B3D7"/>
              <w:bottom w:val="single" w:sz="12" w:space="0" w:color="000000"/>
              <w:right w:val="single" w:sz="12" w:space="0" w:color="000000"/>
            </w:tcBorders>
            <w:shd w:val="clear" w:color="000000" w:fill="DCE6F1"/>
            <w:vAlign w:val="center"/>
            <w:hideMark/>
          </w:tcPr>
          <w:p w14:paraId="6E2E3217" w14:textId="77777777" w:rsidR="00811FCA" w:rsidRPr="00DE7627" w:rsidRDefault="00811FCA" w:rsidP="00B23CAE">
            <w:pPr>
              <w:spacing w:after="0" w:line="360" w:lineRule="auto"/>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Total</w:t>
            </w:r>
          </w:p>
        </w:tc>
        <w:tc>
          <w:tcPr>
            <w:tcW w:w="1493" w:type="dxa"/>
            <w:tcBorders>
              <w:top w:val="nil"/>
              <w:left w:val="nil"/>
              <w:bottom w:val="single" w:sz="12" w:space="0" w:color="000000"/>
              <w:right w:val="single" w:sz="8" w:space="0" w:color="000000"/>
            </w:tcBorders>
            <w:shd w:val="clear" w:color="000000" w:fill="DCE6F1"/>
            <w:noWrap/>
            <w:vAlign w:val="center"/>
            <w:hideMark/>
          </w:tcPr>
          <w:p w14:paraId="7D449476" w14:textId="77777777" w:rsidR="00811FCA" w:rsidRPr="00DE7627" w:rsidRDefault="00811FCA" w:rsidP="00B23CAE">
            <w:pPr>
              <w:spacing w:after="0" w:line="360" w:lineRule="auto"/>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50</w:t>
            </w:r>
          </w:p>
        </w:tc>
        <w:tc>
          <w:tcPr>
            <w:tcW w:w="1276" w:type="dxa"/>
            <w:tcBorders>
              <w:top w:val="nil"/>
              <w:left w:val="nil"/>
              <w:bottom w:val="single" w:sz="12" w:space="0" w:color="000000"/>
              <w:right w:val="single" w:sz="8" w:space="0" w:color="000000"/>
            </w:tcBorders>
            <w:shd w:val="clear" w:color="000000" w:fill="DCE6F1"/>
            <w:noWrap/>
            <w:vAlign w:val="center"/>
            <w:hideMark/>
          </w:tcPr>
          <w:p w14:paraId="4B0079AA" w14:textId="77777777" w:rsidR="00811FCA" w:rsidRPr="00DE7627" w:rsidRDefault="00811FCA" w:rsidP="00B23CAE">
            <w:pPr>
              <w:spacing w:after="0" w:line="360" w:lineRule="auto"/>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100</w:t>
            </w:r>
          </w:p>
        </w:tc>
        <w:tc>
          <w:tcPr>
            <w:tcW w:w="1418" w:type="dxa"/>
            <w:tcBorders>
              <w:top w:val="nil"/>
              <w:left w:val="nil"/>
              <w:bottom w:val="single" w:sz="12" w:space="0" w:color="000000"/>
              <w:right w:val="single" w:sz="8" w:space="0" w:color="000000"/>
            </w:tcBorders>
            <w:shd w:val="clear" w:color="000000" w:fill="DCE6F1"/>
            <w:noWrap/>
            <w:vAlign w:val="center"/>
            <w:hideMark/>
          </w:tcPr>
          <w:p w14:paraId="6C483FE7" w14:textId="77777777" w:rsidR="00811FCA" w:rsidRPr="00DE7627" w:rsidRDefault="00811FCA" w:rsidP="00B23CAE">
            <w:pPr>
              <w:spacing w:after="0" w:line="360" w:lineRule="auto"/>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50</w:t>
            </w:r>
          </w:p>
        </w:tc>
        <w:tc>
          <w:tcPr>
            <w:tcW w:w="1417" w:type="dxa"/>
            <w:tcBorders>
              <w:top w:val="nil"/>
              <w:left w:val="nil"/>
              <w:bottom w:val="single" w:sz="12" w:space="0" w:color="000000"/>
              <w:right w:val="single" w:sz="8" w:space="0" w:color="000000"/>
            </w:tcBorders>
            <w:shd w:val="clear" w:color="000000" w:fill="DCE6F1"/>
            <w:noWrap/>
            <w:vAlign w:val="center"/>
            <w:hideMark/>
          </w:tcPr>
          <w:p w14:paraId="2AC87642" w14:textId="77777777" w:rsidR="00811FCA" w:rsidRPr="00DE7627" w:rsidRDefault="00811FCA" w:rsidP="00B23CAE">
            <w:pPr>
              <w:spacing w:after="0" w:line="360" w:lineRule="auto"/>
              <w:jc w:val="center"/>
              <w:rPr>
                <w:rFonts w:ascii="Times New Roman" w:eastAsia="Times New Roman" w:hAnsi="Times New Roman" w:cs="Times New Roman"/>
                <w:color w:val="000000"/>
                <w:sz w:val="24"/>
                <w:szCs w:val="24"/>
                <w:lang w:eastAsia="en-IN"/>
              </w:rPr>
            </w:pPr>
            <w:r w:rsidRPr="00DE7627">
              <w:rPr>
                <w:rFonts w:ascii="Times New Roman" w:eastAsia="Times New Roman" w:hAnsi="Times New Roman" w:cs="Times New Roman"/>
                <w:color w:val="000000"/>
                <w:sz w:val="24"/>
                <w:szCs w:val="24"/>
                <w:lang w:eastAsia="en-IN"/>
              </w:rPr>
              <w:t>100</w:t>
            </w:r>
          </w:p>
        </w:tc>
      </w:tr>
    </w:tbl>
    <w:p w14:paraId="6FDA96CE" w14:textId="77777777" w:rsidR="00811FCA" w:rsidRDefault="00811FCA" w:rsidP="00B23CAE">
      <w:pPr>
        <w:pStyle w:val="NormalWeb"/>
        <w:spacing w:before="0" w:beforeAutospacing="0" w:line="360" w:lineRule="auto"/>
      </w:pPr>
      <w:r w:rsidRPr="00811FCA">
        <w:t>Source: Primary Data</w:t>
      </w:r>
    </w:p>
    <w:p w14:paraId="2FD85F96" w14:textId="77777777" w:rsidR="00811FCA" w:rsidRPr="00811FCA" w:rsidRDefault="00811FCA" w:rsidP="00B23CAE">
      <w:pPr>
        <w:pStyle w:val="NormalWeb"/>
        <w:spacing w:line="360" w:lineRule="auto"/>
        <w:jc w:val="both"/>
      </w:pPr>
      <w:r w:rsidRPr="00811FCA">
        <w:t xml:space="preserve">The above table shows </w:t>
      </w:r>
      <w:r w:rsidR="00950CFE">
        <w:t>that there is a savings</w:t>
      </w:r>
      <w:r w:rsidRPr="00811FCA">
        <w:t xml:space="preserve"> before and after migration </w:t>
      </w:r>
      <w:r w:rsidR="00950CFE">
        <w:t xml:space="preserve">which </w:t>
      </w:r>
      <w:r w:rsidRPr="00811FCA">
        <w:t xml:space="preserve">highlights a significant transformation in the financial stability of the migrant respondents. </w:t>
      </w:r>
      <w:r w:rsidR="00950CFE">
        <w:t>Before</w:t>
      </w:r>
      <w:r w:rsidRPr="00811FCA">
        <w:t xml:space="preserve"> migrating from West Bengal to the Andaman and Nicobar Islands, </w:t>
      </w:r>
      <w:r w:rsidR="00950CFE">
        <w:t xml:space="preserve">it is </w:t>
      </w:r>
      <w:r w:rsidRPr="00811FCA">
        <w:t xml:space="preserve">a substantial majority </w:t>
      </w:r>
      <w:r w:rsidR="00950CFE">
        <w:t xml:space="preserve">which is </w:t>
      </w:r>
      <w:r w:rsidRPr="00811FCA">
        <w:t xml:space="preserve">37 out of 50 respondents (74%) reported </w:t>
      </w:r>
      <w:r w:rsidR="00950CFE">
        <w:t xml:space="preserve">that they were </w:t>
      </w:r>
      <w:r w:rsidRPr="00811FCA">
        <w:t xml:space="preserve">having no financial savings, </w:t>
      </w:r>
      <w:r w:rsidR="00950CFE">
        <w:t xml:space="preserve">which explains that there is a </w:t>
      </w:r>
      <w:r w:rsidRPr="00811FCA">
        <w:t xml:space="preserve">high level of economic vulnerability and a lack of disposable income. Only 13 respondents (26%) had any form of savings, </w:t>
      </w:r>
      <w:r w:rsidR="002871DA">
        <w:t xml:space="preserve">indicating </w:t>
      </w:r>
      <w:r w:rsidRPr="00811FCA">
        <w:t xml:space="preserve">that very few migrants </w:t>
      </w:r>
      <w:r w:rsidR="002871DA">
        <w:t xml:space="preserve">have </w:t>
      </w:r>
      <w:r w:rsidRPr="00811FCA">
        <w:t xml:space="preserve">experienced </w:t>
      </w:r>
      <w:r w:rsidR="002871DA">
        <w:t xml:space="preserve">a very </w:t>
      </w:r>
      <w:r w:rsidRPr="00811FCA">
        <w:t>minimal financial security</w:t>
      </w:r>
      <w:r w:rsidR="002871DA">
        <w:t xml:space="preserve"> before migration</w:t>
      </w:r>
      <w:r w:rsidRPr="00811FCA">
        <w:t xml:space="preserve">. This </w:t>
      </w:r>
      <w:r w:rsidR="002871DA">
        <w:t xml:space="preserve">indicates that there was a </w:t>
      </w:r>
      <w:r w:rsidRPr="00811FCA">
        <w:t xml:space="preserve">lack of savings underscores that migration was likely driven by immediate livelihood needs rather than strategic economic planning. However, after migration, </w:t>
      </w:r>
      <w:r w:rsidR="002871DA">
        <w:t xml:space="preserve">migrants have reported that </w:t>
      </w:r>
      <w:r w:rsidRPr="00811FCA">
        <w:t xml:space="preserve">there is a marked improvement in the financial circumstances of the migrants, with 47 respondents (94%) reporting that they now have savings, and only 3 (6%) remaining without any. This </w:t>
      </w:r>
      <w:r w:rsidR="002871DA">
        <w:t xml:space="preserve">huge </w:t>
      </w:r>
      <w:r w:rsidRPr="00811FCA">
        <w:t xml:space="preserve">increase in the ability to save suggests enhanced </w:t>
      </w:r>
      <w:r w:rsidR="002871DA">
        <w:t xml:space="preserve">migrants </w:t>
      </w:r>
      <w:r w:rsidRPr="00811FCA">
        <w:t xml:space="preserve">employment opportunities, </w:t>
      </w:r>
      <w:r w:rsidR="002871DA">
        <w:t xml:space="preserve">and it became </w:t>
      </w:r>
      <w:r w:rsidRPr="00811FCA">
        <w:t xml:space="preserve">more stable income </w:t>
      </w:r>
      <w:r w:rsidR="002871DA" w:rsidRPr="00811FCA">
        <w:t>sources</w:t>
      </w:r>
      <w:r w:rsidRPr="00811FCA">
        <w:t xml:space="preserve"> and </w:t>
      </w:r>
      <w:r w:rsidR="002871DA">
        <w:t xml:space="preserve">also very great </w:t>
      </w:r>
      <w:r w:rsidRPr="00811FCA">
        <w:t>economic resilience in</w:t>
      </w:r>
      <w:r w:rsidR="002871DA">
        <w:t xml:space="preserve"> the post-migration context. These changes indicating that there is a </w:t>
      </w:r>
      <w:r w:rsidR="002871DA" w:rsidRPr="00811FCA">
        <w:t>shift</w:t>
      </w:r>
      <w:r w:rsidRPr="00811FCA">
        <w:t xml:space="preserve"> from a largely unsaved population to one where the vast majority now report savings reflects the positive impact of migration on financial well-being and </w:t>
      </w:r>
      <w:r w:rsidR="002871DA">
        <w:t>suggests</w:t>
      </w:r>
      <w:r w:rsidRPr="00811FCA">
        <w:t xml:space="preserve"> overall improvement in the socio-economic status of the migrants.</w:t>
      </w:r>
    </w:p>
    <w:p w14:paraId="1AD7D5FC" w14:textId="77777777" w:rsidR="00811FCA" w:rsidRPr="0090450C" w:rsidRDefault="00BF3E7D" w:rsidP="00B23CAE">
      <w:pPr>
        <w:pStyle w:val="NormalWeb"/>
        <w:spacing w:before="0" w:beforeAutospacing="0" w:line="360" w:lineRule="auto"/>
        <w:rPr>
          <w:b/>
          <w:u w:val="single"/>
        </w:rPr>
      </w:pPr>
      <w:r w:rsidRPr="0090450C">
        <w:rPr>
          <w:b/>
          <w:u w:val="single"/>
        </w:rPr>
        <w:t>Discussion</w:t>
      </w:r>
    </w:p>
    <w:p w14:paraId="6538EBE0" w14:textId="77777777" w:rsidR="00BF3E7D" w:rsidRDefault="00DF3C6C" w:rsidP="00B23CA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w:t>
      </w:r>
      <w:r w:rsidR="00BF3E7D" w:rsidRPr="00BF3E7D">
        <w:rPr>
          <w:rFonts w:ascii="Times New Roman" w:hAnsi="Times New Roman" w:cs="Times New Roman"/>
          <w:sz w:val="24"/>
          <w:szCs w:val="24"/>
        </w:rPr>
        <w:t xml:space="preserve"> study highlights </w:t>
      </w:r>
      <w:r>
        <w:rPr>
          <w:rFonts w:ascii="Times New Roman" w:hAnsi="Times New Roman" w:cs="Times New Roman"/>
          <w:sz w:val="24"/>
          <w:szCs w:val="24"/>
        </w:rPr>
        <w:t xml:space="preserve">the important </w:t>
      </w:r>
      <w:r w:rsidR="00BF3E7D" w:rsidRPr="00BF3E7D">
        <w:rPr>
          <w:rFonts w:ascii="Times New Roman" w:hAnsi="Times New Roman" w:cs="Times New Roman"/>
          <w:sz w:val="24"/>
          <w:szCs w:val="24"/>
        </w:rPr>
        <w:t xml:space="preserve">notable transformation </w:t>
      </w:r>
      <w:r>
        <w:rPr>
          <w:rFonts w:ascii="Times New Roman" w:hAnsi="Times New Roman" w:cs="Times New Roman"/>
          <w:sz w:val="24"/>
          <w:szCs w:val="24"/>
        </w:rPr>
        <w:t xml:space="preserve">of the </w:t>
      </w:r>
      <w:r w:rsidR="00BF3E7D" w:rsidRPr="00BF3E7D">
        <w:rPr>
          <w:rFonts w:ascii="Times New Roman" w:hAnsi="Times New Roman" w:cs="Times New Roman"/>
          <w:sz w:val="24"/>
          <w:szCs w:val="24"/>
        </w:rPr>
        <w:t>socio-economic conditions of migrants fr</w:t>
      </w:r>
      <w:r>
        <w:rPr>
          <w:rFonts w:ascii="Times New Roman" w:hAnsi="Times New Roman" w:cs="Times New Roman"/>
          <w:sz w:val="24"/>
          <w:szCs w:val="24"/>
        </w:rPr>
        <w:t xml:space="preserve">om West Bengal after coming </w:t>
      </w:r>
      <w:r w:rsidR="00BF3E7D" w:rsidRPr="00BF3E7D">
        <w:rPr>
          <w:rFonts w:ascii="Times New Roman" w:hAnsi="Times New Roman" w:cs="Times New Roman"/>
          <w:sz w:val="24"/>
          <w:szCs w:val="24"/>
        </w:rPr>
        <w:t xml:space="preserve">to the Andaman and Nicobar Islands. </w:t>
      </w:r>
      <w:r>
        <w:rPr>
          <w:rFonts w:ascii="Times New Roman" w:hAnsi="Times New Roman" w:cs="Times New Roman"/>
          <w:sz w:val="24"/>
          <w:szCs w:val="24"/>
        </w:rPr>
        <w:t>Earlier the</w:t>
      </w:r>
      <w:r w:rsidR="00BF3E7D" w:rsidRPr="00BF3E7D">
        <w:rPr>
          <w:rFonts w:ascii="Times New Roman" w:hAnsi="Times New Roman" w:cs="Times New Roman"/>
          <w:sz w:val="24"/>
          <w:szCs w:val="24"/>
        </w:rPr>
        <w:t xml:space="preserve"> migration, </w:t>
      </w:r>
      <w:r>
        <w:rPr>
          <w:rFonts w:ascii="Times New Roman" w:hAnsi="Times New Roman" w:cs="Times New Roman"/>
          <w:sz w:val="24"/>
          <w:szCs w:val="24"/>
        </w:rPr>
        <w:t xml:space="preserve">it can be </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that </w:t>
      </w:r>
      <w:r w:rsidR="00BF3E7D" w:rsidRPr="00BF3E7D">
        <w:rPr>
          <w:rFonts w:ascii="Times New Roman" w:hAnsi="Times New Roman" w:cs="Times New Roman"/>
          <w:sz w:val="24"/>
          <w:szCs w:val="24"/>
        </w:rPr>
        <w:t xml:space="preserve">many respondents were either unemployed </w:t>
      </w:r>
      <w:r>
        <w:rPr>
          <w:rFonts w:ascii="Times New Roman" w:hAnsi="Times New Roman" w:cs="Times New Roman"/>
          <w:sz w:val="24"/>
          <w:szCs w:val="24"/>
        </w:rPr>
        <w:t xml:space="preserve">in their area </w:t>
      </w:r>
      <w:r w:rsidR="00BF3E7D" w:rsidRPr="00BF3E7D">
        <w:rPr>
          <w:rFonts w:ascii="Times New Roman" w:hAnsi="Times New Roman" w:cs="Times New Roman"/>
          <w:sz w:val="24"/>
          <w:szCs w:val="24"/>
        </w:rPr>
        <w:t>or engaged in informal</w:t>
      </w:r>
      <w:r>
        <w:rPr>
          <w:rFonts w:ascii="Times New Roman" w:hAnsi="Times New Roman" w:cs="Times New Roman"/>
          <w:sz w:val="24"/>
          <w:szCs w:val="24"/>
        </w:rPr>
        <w:t xml:space="preserve"> employment</w:t>
      </w:r>
      <w:r w:rsidR="00BF3E7D" w:rsidRPr="00BF3E7D">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BF3E7D" w:rsidRPr="00BF3E7D">
        <w:rPr>
          <w:rFonts w:ascii="Times New Roman" w:hAnsi="Times New Roman" w:cs="Times New Roman"/>
          <w:sz w:val="24"/>
          <w:szCs w:val="24"/>
        </w:rPr>
        <w:t xml:space="preserve">unstable jobs such as daily wage or temporary work, which </w:t>
      </w:r>
      <w:r>
        <w:rPr>
          <w:rFonts w:ascii="Times New Roman" w:hAnsi="Times New Roman" w:cs="Times New Roman"/>
          <w:sz w:val="24"/>
          <w:szCs w:val="24"/>
        </w:rPr>
        <w:t xml:space="preserve">shows </w:t>
      </w:r>
      <w:r w:rsidR="00BF3E7D" w:rsidRPr="00BF3E7D">
        <w:rPr>
          <w:rFonts w:ascii="Times New Roman" w:hAnsi="Times New Roman" w:cs="Times New Roman"/>
          <w:sz w:val="24"/>
          <w:szCs w:val="24"/>
        </w:rPr>
        <w:t>little financial security. Post-migration, most</w:t>
      </w:r>
      <w:r>
        <w:rPr>
          <w:rFonts w:ascii="Times New Roman" w:hAnsi="Times New Roman" w:cs="Times New Roman"/>
          <w:sz w:val="24"/>
          <w:szCs w:val="24"/>
        </w:rPr>
        <w:t xml:space="preserve"> of the</w:t>
      </w:r>
      <w:r w:rsidR="00BF3E7D" w:rsidRPr="00BF3E7D">
        <w:rPr>
          <w:rFonts w:ascii="Times New Roman" w:hAnsi="Times New Roman" w:cs="Times New Roman"/>
          <w:sz w:val="24"/>
          <w:szCs w:val="24"/>
        </w:rPr>
        <w:t xml:space="preserve"> respondents were able to secure </w:t>
      </w:r>
      <w:r>
        <w:rPr>
          <w:rFonts w:ascii="Times New Roman" w:hAnsi="Times New Roman" w:cs="Times New Roman"/>
          <w:sz w:val="24"/>
          <w:szCs w:val="24"/>
        </w:rPr>
        <w:t xml:space="preserve">their </w:t>
      </w:r>
      <w:r w:rsidR="00BF3E7D" w:rsidRPr="00BF3E7D">
        <w:rPr>
          <w:rFonts w:ascii="Times New Roman" w:hAnsi="Times New Roman" w:cs="Times New Roman"/>
          <w:sz w:val="24"/>
          <w:szCs w:val="24"/>
        </w:rPr>
        <w:t xml:space="preserve">employment, </w:t>
      </w:r>
      <w:r>
        <w:rPr>
          <w:rFonts w:ascii="Times New Roman" w:hAnsi="Times New Roman" w:cs="Times New Roman"/>
          <w:sz w:val="24"/>
          <w:szCs w:val="24"/>
        </w:rPr>
        <w:t xml:space="preserve">with </w:t>
      </w:r>
      <w:r w:rsidR="00BF3E7D" w:rsidRPr="00BF3E7D">
        <w:rPr>
          <w:rFonts w:ascii="Times New Roman" w:hAnsi="Times New Roman" w:cs="Times New Roman"/>
          <w:sz w:val="24"/>
          <w:szCs w:val="24"/>
        </w:rPr>
        <w:t>largely informal sector</w:t>
      </w:r>
      <w:r>
        <w:rPr>
          <w:rFonts w:ascii="Times New Roman" w:hAnsi="Times New Roman" w:cs="Times New Roman"/>
          <w:sz w:val="24"/>
          <w:szCs w:val="24"/>
        </w:rPr>
        <w:t xml:space="preserve"> employment</w:t>
      </w:r>
      <w:r w:rsidR="00BF3E7D" w:rsidRPr="00BF3E7D">
        <w:rPr>
          <w:rFonts w:ascii="Times New Roman" w:hAnsi="Times New Roman" w:cs="Times New Roman"/>
          <w:sz w:val="24"/>
          <w:szCs w:val="24"/>
        </w:rPr>
        <w:t xml:space="preserve">. While permanent jobs </w:t>
      </w:r>
      <w:r>
        <w:rPr>
          <w:rFonts w:ascii="Times New Roman" w:hAnsi="Times New Roman" w:cs="Times New Roman"/>
          <w:sz w:val="24"/>
          <w:szCs w:val="24"/>
        </w:rPr>
        <w:t xml:space="preserve">as </w:t>
      </w:r>
      <w:r w:rsidR="00BF3E7D" w:rsidRPr="00BF3E7D">
        <w:rPr>
          <w:rFonts w:ascii="Times New Roman" w:hAnsi="Times New Roman" w:cs="Times New Roman"/>
          <w:sz w:val="24"/>
          <w:szCs w:val="24"/>
        </w:rPr>
        <w:t>remained</w:t>
      </w:r>
      <w:r>
        <w:rPr>
          <w:rFonts w:ascii="Times New Roman" w:hAnsi="Times New Roman" w:cs="Times New Roman"/>
          <w:sz w:val="24"/>
          <w:szCs w:val="24"/>
        </w:rPr>
        <w:t xml:space="preserve"> very</w:t>
      </w:r>
      <w:r w:rsidR="00BF3E7D" w:rsidRPr="00BF3E7D">
        <w:rPr>
          <w:rFonts w:ascii="Times New Roman" w:hAnsi="Times New Roman" w:cs="Times New Roman"/>
          <w:sz w:val="24"/>
          <w:szCs w:val="24"/>
        </w:rPr>
        <w:t xml:space="preserve"> limited, a significant number experienced improved work consistency. </w:t>
      </w:r>
      <w:r>
        <w:rPr>
          <w:rFonts w:ascii="Times New Roman" w:hAnsi="Times New Roman" w:cs="Times New Roman"/>
          <w:sz w:val="24"/>
          <w:szCs w:val="24"/>
        </w:rPr>
        <w:t xml:space="preserve">Migrants </w:t>
      </w:r>
      <w:r w:rsidR="00BF3E7D" w:rsidRPr="00BF3E7D">
        <w:rPr>
          <w:rFonts w:ascii="Times New Roman" w:hAnsi="Times New Roman" w:cs="Times New Roman"/>
          <w:sz w:val="24"/>
          <w:szCs w:val="24"/>
        </w:rPr>
        <w:t xml:space="preserve">Income levels showed </w:t>
      </w:r>
      <w:r>
        <w:rPr>
          <w:rFonts w:ascii="Times New Roman" w:hAnsi="Times New Roman" w:cs="Times New Roman"/>
          <w:sz w:val="24"/>
          <w:szCs w:val="24"/>
        </w:rPr>
        <w:t xml:space="preserve">that there is </w:t>
      </w:r>
      <w:r w:rsidR="00BF3E7D" w:rsidRPr="00BF3E7D">
        <w:rPr>
          <w:rFonts w:ascii="Times New Roman" w:hAnsi="Times New Roman" w:cs="Times New Roman"/>
          <w:sz w:val="24"/>
          <w:szCs w:val="24"/>
        </w:rPr>
        <w:t xml:space="preserve">an upward trend, with many earning </w:t>
      </w:r>
      <w:r>
        <w:rPr>
          <w:rFonts w:ascii="Times New Roman" w:hAnsi="Times New Roman" w:cs="Times New Roman"/>
          <w:sz w:val="24"/>
          <w:szCs w:val="24"/>
        </w:rPr>
        <w:t xml:space="preserve">unpretentious </w:t>
      </w:r>
      <w:r w:rsidR="00BF3E7D" w:rsidRPr="00BF3E7D">
        <w:rPr>
          <w:rFonts w:ascii="Times New Roman" w:hAnsi="Times New Roman" w:cs="Times New Roman"/>
          <w:sz w:val="24"/>
          <w:szCs w:val="24"/>
        </w:rPr>
        <w:t>but stable monthly wages. The most</w:t>
      </w:r>
      <w:r>
        <w:rPr>
          <w:rFonts w:ascii="Times New Roman" w:hAnsi="Times New Roman" w:cs="Times New Roman"/>
          <w:sz w:val="24"/>
          <w:szCs w:val="24"/>
        </w:rPr>
        <w:t xml:space="preserve"> notable</w:t>
      </w:r>
      <w:r w:rsidR="00BF3E7D" w:rsidRPr="00BF3E7D">
        <w:rPr>
          <w:rFonts w:ascii="Times New Roman" w:hAnsi="Times New Roman" w:cs="Times New Roman"/>
          <w:sz w:val="24"/>
          <w:szCs w:val="24"/>
        </w:rPr>
        <w:t xml:space="preserve"> shift was ob</w:t>
      </w:r>
      <w:r>
        <w:rPr>
          <w:rFonts w:ascii="Times New Roman" w:hAnsi="Times New Roman" w:cs="Times New Roman"/>
          <w:sz w:val="24"/>
          <w:szCs w:val="24"/>
        </w:rPr>
        <w:t xml:space="preserve">served in their ability to save because it is noticed that </w:t>
      </w:r>
      <w:r w:rsidR="00BF3E7D" w:rsidRPr="00BF3E7D">
        <w:rPr>
          <w:rFonts w:ascii="Times New Roman" w:hAnsi="Times New Roman" w:cs="Times New Roman"/>
          <w:sz w:val="24"/>
          <w:szCs w:val="24"/>
        </w:rPr>
        <w:t xml:space="preserve">only a few had savings before migration, </w:t>
      </w:r>
      <w:r>
        <w:rPr>
          <w:rFonts w:ascii="Times New Roman" w:hAnsi="Times New Roman" w:cs="Times New Roman"/>
          <w:sz w:val="24"/>
          <w:szCs w:val="24"/>
        </w:rPr>
        <w:t xml:space="preserve">now the migrants </w:t>
      </w:r>
      <w:r w:rsidR="00BF3E7D" w:rsidRPr="00BF3E7D">
        <w:rPr>
          <w:rFonts w:ascii="Times New Roman" w:hAnsi="Times New Roman" w:cs="Times New Roman"/>
          <w:sz w:val="24"/>
          <w:szCs w:val="24"/>
        </w:rPr>
        <w:t xml:space="preserve">reported </w:t>
      </w:r>
      <w:r>
        <w:rPr>
          <w:rFonts w:ascii="Times New Roman" w:hAnsi="Times New Roman" w:cs="Times New Roman"/>
          <w:sz w:val="24"/>
          <w:szCs w:val="24"/>
        </w:rPr>
        <w:t xml:space="preserve">that </w:t>
      </w:r>
      <w:r w:rsidRPr="00BF3E7D">
        <w:rPr>
          <w:rFonts w:ascii="Times New Roman" w:hAnsi="Times New Roman" w:cs="Times New Roman"/>
          <w:sz w:val="24"/>
          <w:szCs w:val="24"/>
        </w:rPr>
        <w:t xml:space="preserve">the vast majority </w:t>
      </w:r>
      <w:r w:rsidR="00BF3E7D" w:rsidRPr="00BF3E7D">
        <w:rPr>
          <w:rFonts w:ascii="Times New Roman" w:hAnsi="Times New Roman" w:cs="Times New Roman"/>
          <w:sz w:val="24"/>
          <w:szCs w:val="24"/>
        </w:rPr>
        <w:t xml:space="preserve">having savings afterward, </w:t>
      </w:r>
      <w:proofErr w:type="gramStart"/>
      <w:r w:rsidR="00E00244">
        <w:rPr>
          <w:rFonts w:ascii="Times New Roman" w:hAnsi="Times New Roman" w:cs="Times New Roman"/>
          <w:sz w:val="24"/>
          <w:szCs w:val="24"/>
        </w:rPr>
        <w:t>this changes</w:t>
      </w:r>
      <w:proofErr w:type="gramEnd"/>
      <w:r w:rsidR="00E00244">
        <w:rPr>
          <w:rFonts w:ascii="Times New Roman" w:hAnsi="Times New Roman" w:cs="Times New Roman"/>
          <w:sz w:val="24"/>
          <w:szCs w:val="24"/>
        </w:rPr>
        <w:t xml:space="preserve"> </w:t>
      </w:r>
      <w:r w:rsidR="00BF3E7D" w:rsidRPr="00BF3E7D">
        <w:rPr>
          <w:rFonts w:ascii="Times New Roman" w:hAnsi="Times New Roman" w:cs="Times New Roman"/>
          <w:sz w:val="24"/>
          <w:szCs w:val="24"/>
        </w:rPr>
        <w:t xml:space="preserve">indicating </w:t>
      </w:r>
      <w:r w:rsidR="00E00244">
        <w:rPr>
          <w:rFonts w:ascii="Times New Roman" w:hAnsi="Times New Roman" w:cs="Times New Roman"/>
          <w:sz w:val="24"/>
          <w:szCs w:val="24"/>
        </w:rPr>
        <w:t xml:space="preserve">that there situation is </w:t>
      </w:r>
      <w:r w:rsidR="00BF3E7D" w:rsidRPr="00BF3E7D">
        <w:rPr>
          <w:rFonts w:ascii="Times New Roman" w:hAnsi="Times New Roman" w:cs="Times New Roman"/>
          <w:sz w:val="24"/>
          <w:szCs w:val="24"/>
        </w:rPr>
        <w:t>improved financial resilience. Housing conditions</w:t>
      </w:r>
      <w:r w:rsidR="00E00244">
        <w:rPr>
          <w:rFonts w:ascii="Times New Roman" w:hAnsi="Times New Roman" w:cs="Times New Roman"/>
          <w:sz w:val="24"/>
          <w:szCs w:val="24"/>
        </w:rPr>
        <w:t xml:space="preserve"> of the migrants </w:t>
      </w:r>
      <w:r w:rsidR="00BF3E7D" w:rsidRPr="00BF3E7D">
        <w:rPr>
          <w:rFonts w:ascii="Times New Roman" w:hAnsi="Times New Roman" w:cs="Times New Roman"/>
          <w:sz w:val="24"/>
          <w:szCs w:val="24"/>
        </w:rPr>
        <w:t xml:space="preserve">also improved, </w:t>
      </w:r>
      <w:r w:rsidR="00E00244">
        <w:rPr>
          <w:rFonts w:ascii="Times New Roman" w:hAnsi="Times New Roman" w:cs="Times New Roman"/>
          <w:sz w:val="24"/>
          <w:szCs w:val="24"/>
        </w:rPr>
        <w:t xml:space="preserve">now we can say that </w:t>
      </w:r>
      <w:r w:rsidR="00BF3E7D" w:rsidRPr="00BF3E7D">
        <w:rPr>
          <w:rFonts w:ascii="Times New Roman" w:hAnsi="Times New Roman" w:cs="Times New Roman"/>
          <w:sz w:val="24"/>
          <w:szCs w:val="24"/>
        </w:rPr>
        <w:t xml:space="preserve">many </w:t>
      </w:r>
      <w:r w:rsidR="00E00244">
        <w:rPr>
          <w:rFonts w:ascii="Times New Roman" w:hAnsi="Times New Roman" w:cs="Times New Roman"/>
          <w:sz w:val="24"/>
          <w:szCs w:val="24"/>
        </w:rPr>
        <w:t xml:space="preserve">of them </w:t>
      </w:r>
      <w:r w:rsidR="00BF3E7D" w:rsidRPr="00BF3E7D">
        <w:rPr>
          <w:rFonts w:ascii="Times New Roman" w:hAnsi="Times New Roman" w:cs="Times New Roman"/>
          <w:sz w:val="24"/>
          <w:szCs w:val="24"/>
        </w:rPr>
        <w:t xml:space="preserve">now residing in semi-permanent or permanent structures, although rented accommodation remained predominant. Most </w:t>
      </w:r>
      <w:r w:rsidR="00E00244">
        <w:rPr>
          <w:rFonts w:ascii="Times New Roman" w:hAnsi="Times New Roman" w:cs="Times New Roman"/>
          <w:sz w:val="24"/>
          <w:szCs w:val="24"/>
        </w:rPr>
        <w:t xml:space="preserve">of the </w:t>
      </w:r>
      <w:r w:rsidR="00BF3E7D" w:rsidRPr="00BF3E7D">
        <w:rPr>
          <w:rFonts w:ascii="Times New Roman" w:hAnsi="Times New Roman" w:cs="Times New Roman"/>
          <w:sz w:val="24"/>
          <w:szCs w:val="24"/>
        </w:rPr>
        <w:t xml:space="preserve">migrants </w:t>
      </w:r>
      <w:r w:rsidR="00E00244">
        <w:rPr>
          <w:rFonts w:ascii="Times New Roman" w:hAnsi="Times New Roman" w:cs="Times New Roman"/>
          <w:sz w:val="24"/>
          <w:szCs w:val="24"/>
        </w:rPr>
        <w:t xml:space="preserve">now </w:t>
      </w:r>
      <w:r w:rsidR="00BF3E7D" w:rsidRPr="00BF3E7D">
        <w:rPr>
          <w:rFonts w:ascii="Times New Roman" w:hAnsi="Times New Roman" w:cs="Times New Roman"/>
          <w:sz w:val="24"/>
          <w:szCs w:val="24"/>
        </w:rPr>
        <w:t xml:space="preserve">relocated with their families and were predominantly in their working-age years. </w:t>
      </w:r>
      <w:r w:rsidR="00E00244">
        <w:rPr>
          <w:rFonts w:ascii="Times New Roman" w:hAnsi="Times New Roman" w:cs="Times New Roman"/>
          <w:sz w:val="24"/>
          <w:szCs w:val="24"/>
        </w:rPr>
        <w:t xml:space="preserve">But still their </w:t>
      </w:r>
      <w:r w:rsidR="00BF3E7D" w:rsidRPr="00BF3E7D">
        <w:rPr>
          <w:rFonts w:ascii="Times New Roman" w:hAnsi="Times New Roman" w:cs="Times New Roman"/>
          <w:sz w:val="24"/>
          <w:szCs w:val="24"/>
        </w:rPr>
        <w:t xml:space="preserve">Educational attainment </w:t>
      </w:r>
      <w:r w:rsidR="00E00244">
        <w:rPr>
          <w:rFonts w:ascii="Times New Roman" w:hAnsi="Times New Roman" w:cs="Times New Roman"/>
          <w:sz w:val="24"/>
          <w:szCs w:val="24"/>
        </w:rPr>
        <w:t xml:space="preserve">is </w:t>
      </w:r>
      <w:r w:rsidR="00BF3E7D" w:rsidRPr="00BF3E7D">
        <w:rPr>
          <w:rFonts w:ascii="Times New Roman" w:hAnsi="Times New Roman" w:cs="Times New Roman"/>
          <w:sz w:val="24"/>
          <w:szCs w:val="24"/>
        </w:rPr>
        <w:t xml:space="preserve">remained </w:t>
      </w:r>
      <w:r w:rsidR="00E00244">
        <w:rPr>
          <w:rFonts w:ascii="Times New Roman" w:hAnsi="Times New Roman" w:cs="Times New Roman"/>
          <w:sz w:val="24"/>
          <w:szCs w:val="24"/>
        </w:rPr>
        <w:t xml:space="preserve">very </w:t>
      </w:r>
      <w:r w:rsidR="00BF3E7D" w:rsidRPr="00BF3E7D">
        <w:rPr>
          <w:rFonts w:ascii="Times New Roman" w:hAnsi="Times New Roman" w:cs="Times New Roman"/>
          <w:sz w:val="24"/>
          <w:szCs w:val="24"/>
        </w:rPr>
        <w:t xml:space="preserve">low, which </w:t>
      </w:r>
      <w:r w:rsidR="00E00244">
        <w:rPr>
          <w:rFonts w:ascii="Times New Roman" w:hAnsi="Times New Roman" w:cs="Times New Roman"/>
          <w:sz w:val="24"/>
          <w:szCs w:val="24"/>
        </w:rPr>
        <w:t xml:space="preserve">will cause </w:t>
      </w:r>
      <w:r w:rsidR="00BF3E7D" w:rsidRPr="00BF3E7D">
        <w:rPr>
          <w:rFonts w:ascii="Times New Roman" w:hAnsi="Times New Roman" w:cs="Times New Roman"/>
          <w:sz w:val="24"/>
          <w:szCs w:val="24"/>
        </w:rPr>
        <w:t xml:space="preserve">continue to limit long-term upward mobility. Overall, </w:t>
      </w:r>
      <w:r w:rsidR="00950CFE">
        <w:rPr>
          <w:rFonts w:ascii="Times New Roman" w:hAnsi="Times New Roman" w:cs="Times New Roman"/>
          <w:sz w:val="24"/>
          <w:szCs w:val="24"/>
        </w:rPr>
        <w:t>we can see that this study shows</w:t>
      </w:r>
      <w:r w:rsidR="00E00244">
        <w:rPr>
          <w:rFonts w:ascii="Times New Roman" w:hAnsi="Times New Roman" w:cs="Times New Roman"/>
          <w:sz w:val="24"/>
          <w:szCs w:val="24"/>
        </w:rPr>
        <w:t xml:space="preserve"> </w:t>
      </w:r>
      <w:r w:rsidR="00BF3E7D" w:rsidRPr="00BF3E7D">
        <w:rPr>
          <w:rFonts w:ascii="Times New Roman" w:hAnsi="Times New Roman" w:cs="Times New Roman"/>
          <w:sz w:val="24"/>
          <w:szCs w:val="24"/>
        </w:rPr>
        <w:t xml:space="preserve">the data </w:t>
      </w:r>
      <w:r w:rsidR="00950CFE">
        <w:rPr>
          <w:rFonts w:ascii="Times New Roman" w:hAnsi="Times New Roman" w:cs="Times New Roman"/>
          <w:sz w:val="24"/>
          <w:szCs w:val="24"/>
        </w:rPr>
        <w:t xml:space="preserve">which </w:t>
      </w:r>
      <w:r w:rsidR="00BF3E7D" w:rsidRPr="00BF3E7D">
        <w:rPr>
          <w:rFonts w:ascii="Times New Roman" w:hAnsi="Times New Roman" w:cs="Times New Roman"/>
          <w:sz w:val="24"/>
          <w:szCs w:val="24"/>
        </w:rPr>
        <w:t>suggests that</w:t>
      </w:r>
      <w:r w:rsidR="00950CFE">
        <w:rPr>
          <w:rFonts w:ascii="Times New Roman" w:hAnsi="Times New Roman" w:cs="Times New Roman"/>
          <w:sz w:val="24"/>
          <w:szCs w:val="24"/>
        </w:rPr>
        <w:t xml:space="preserve"> </w:t>
      </w:r>
      <w:proofErr w:type="gramStart"/>
      <w:r w:rsidR="00950CFE">
        <w:rPr>
          <w:rFonts w:ascii="Times New Roman" w:hAnsi="Times New Roman" w:cs="Times New Roman"/>
          <w:sz w:val="24"/>
          <w:szCs w:val="24"/>
        </w:rPr>
        <w:t xml:space="preserve">the </w:t>
      </w:r>
      <w:r w:rsidR="00BF3E7D" w:rsidRPr="00BF3E7D">
        <w:rPr>
          <w:rFonts w:ascii="Times New Roman" w:hAnsi="Times New Roman" w:cs="Times New Roman"/>
          <w:sz w:val="24"/>
          <w:szCs w:val="24"/>
        </w:rPr>
        <w:t xml:space="preserve"> migration</w:t>
      </w:r>
      <w:proofErr w:type="gramEnd"/>
      <w:r w:rsidR="00BF3E7D" w:rsidRPr="00BF3E7D">
        <w:rPr>
          <w:rFonts w:ascii="Times New Roman" w:hAnsi="Times New Roman" w:cs="Times New Roman"/>
          <w:sz w:val="24"/>
          <w:szCs w:val="24"/>
        </w:rPr>
        <w:t xml:space="preserve"> has </w:t>
      </w:r>
      <w:r w:rsidR="00950CFE">
        <w:rPr>
          <w:rFonts w:ascii="Times New Roman" w:hAnsi="Times New Roman" w:cs="Times New Roman"/>
          <w:sz w:val="24"/>
          <w:szCs w:val="24"/>
        </w:rPr>
        <w:t xml:space="preserve">a </w:t>
      </w:r>
      <w:r w:rsidR="00BF3E7D" w:rsidRPr="00BF3E7D">
        <w:rPr>
          <w:rFonts w:ascii="Times New Roman" w:hAnsi="Times New Roman" w:cs="Times New Roman"/>
          <w:sz w:val="24"/>
          <w:szCs w:val="24"/>
        </w:rPr>
        <w:t>facilitated better employment opportunities, increased income, improved housing, and</w:t>
      </w:r>
      <w:r w:rsidR="00950CFE">
        <w:rPr>
          <w:rFonts w:ascii="Times New Roman" w:hAnsi="Times New Roman" w:cs="Times New Roman"/>
          <w:sz w:val="24"/>
          <w:szCs w:val="24"/>
        </w:rPr>
        <w:t xml:space="preserve"> also</w:t>
      </w:r>
      <w:r w:rsidR="00BF3E7D" w:rsidRPr="00BF3E7D">
        <w:rPr>
          <w:rFonts w:ascii="Times New Roman" w:hAnsi="Times New Roman" w:cs="Times New Roman"/>
          <w:sz w:val="24"/>
          <w:szCs w:val="24"/>
        </w:rPr>
        <w:t xml:space="preserve"> enhanced financial stability, </w:t>
      </w:r>
      <w:r w:rsidR="00950CFE">
        <w:rPr>
          <w:rFonts w:ascii="Times New Roman" w:hAnsi="Times New Roman" w:cs="Times New Roman"/>
          <w:sz w:val="24"/>
          <w:szCs w:val="24"/>
        </w:rPr>
        <w:t xml:space="preserve">it is </w:t>
      </w:r>
      <w:r w:rsidR="00BF3E7D" w:rsidRPr="00BF3E7D">
        <w:rPr>
          <w:rFonts w:ascii="Times New Roman" w:hAnsi="Times New Roman" w:cs="Times New Roman"/>
          <w:sz w:val="24"/>
          <w:szCs w:val="24"/>
        </w:rPr>
        <w:t>contributing to a more secure and structured livelihood for the migrant population despite on</w:t>
      </w:r>
      <w:r w:rsidR="00BF3E7D">
        <w:rPr>
          <w:rFonts w:ascii="Times New Roman" w:hAnsi="Times New Roman" w:cs="Times New Roman"/>
          <w:sz w:val="24"/>
          <w:szCs w:val="24"/>
        </w:rPr>
        <w:t>-</w:t>
      </w:r>
      <w:r w:rsidR="00BF3E7D" w:rsidRPr="00BF3E7D">
        <w:rPr>
          <w:rFonts w:ascii="Times New Roman" w:hAnsi="Times New Roman" w:cs="Times New Roman"/>
          <w:sz w:val="24"/>
          <w:szCs w:val="24"/>
        </w:rPr>
        <w:t>going challenges</w:t>
      </w:r>
      <w:r w:rsidR="00950CFE">
        <w:rPr>
          <w:rFonts w:ascii="Times New Roman" w:hAnsi="Times New Roman" w:cs="Times New Roman"/>
          <w:sz w:val="24"/>
          <w:szCs w:val="24"/>
        </w:rPr>
        <w:t xml:space="preserve"> of the migrants</w:t>
      </w:r>
      <w:r w:rsidR="00BF3E7D" w:rsidRPr="00BF3E7D">
        <w:rPr>
          <w:rFonts w:ascii="Times New Roman" w:hAnsi="Times New Roman" w:cs="Times New Roman"/>
          <w:sz w:val="24"/>
          <w:szCs w:val="24"/>
        </w:rPr>
        <w:t>.</w:t>
      </w:r>
    </w:p>
    <w:p w14:paraId="53BDED94" w14:textId="77777777" w:rsidR="00BF3E7D" w:rsidRPr="0090450C" w:rsidRDefault="00BF3E7D" w:rsidP="00B23CAE">
      <w:pPr>
        <w:spacing w:before="100" w:beforeAutospacing="1" w:after="100" w:afterAutospacing="1" w:line="360" w:lineRule="auto"/>
        <w:jc w:val="both"/>
        <w:rPr>
          <w:rFonts w:ascii="Times New Roman" w:hAnsi="Times New Roman" w:cs="Times New Roman"/>
          <w:b/>
          <w:sz w:val="24"/>
          <w:szCs w:val="24"/>
          <w:u w:val="single"/>
        </w:rPr>
      </w:pPr>
      <w:r w:rsidRPr="0090450C">
        <w:rPr>
          <w:rFonts w:ascii="Times New Roman" w:hAnsi="Times New Roman" w:cs="Times New Roman"/>
          <w:b/>
          <w:sz w:val="24"/>
          <w:szCs w:val="24"/>
          <w:u w:val="single"/>
        </w:rPr>
        <w:t>Conclusion</w:t>
      </w:r>
    </w:p>
    <w:p w14:paraId="3850349C" w14:textId="77777777" w:rsidR="00BF3E7D" w:rsidRDefault="00BF3E7D" w:rsidP="00B23CA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30CC">
        <w:rPr>
          <w:rFonts w:ascii="Times New Roman" w:eastAsia="Times New Roman" w:hAnsi="Times New Roman" w:cs="Times New Roman"/>
          <w:sz w:val="24"/>
          <w:szCs w:val="24"/>
          <w:lang w:eastAsia="en-IN"/>
        </w:rPr>
        <w:t xml:space="preserve">The </w:t>
      </w:r>
      <w:r w:rsidR="000E3712">
        <w:rPr>
          <w:rFonts w:ascii="Times New Roman" w:eastAsia="Times New Roman" w:hAnsi="Times New Roman" w:cs="Times New Roman"/>
          <w:sz w:val="24"/>
          <w:szCs w:val="24"/>
          <w:lang w:eastAsia="en-IN"/>
        </w:rPr>
        <w:t xml:space="preserve">study </w:t>
      </w:r>
      <w:r w:rsidRPr="003C30CC">
        <w:rPr>
          <w:rFonts w:ascii="Times New Roman" w:eastAsia="Times New Roman" w:hAnsi="Times New Roman" w:cs="Times New Roman"/>
          <w:sz w:val="24"/>
          <w:szCs w:val="24"/>
          <w:lang w:eastAsia="en-IN"/>
        </w:rPr>
        <w:t xml:space="preserve">clearly illustrates that </w:t>
      </w:r>
      <w:r w:rsidR="000E3712">
        <w:rPr>
          <w:rFonts w:ascii="Times New Roman" w:eastAsia="Times New Roman" w:hAnsi="Times New Roman" w:cs="Times New Roman"/>
          <w:sz w:val="24"/>
          <w:szCs w:val="24"/>
          <w:lang w:eastAsia="en-IN"/>
        </w:rPr>
        <w:t xml:space="preserve">how </w:t>
      </w:r>
      <w:r w:rsidRPr="003C30CC">
        <w:rPr>
          <w:rFonts w:ascii="Times New Roman" w:eastAsia="Times New Roman" w:hAnsi="Times New Roman" w:cs="Times New Roman"/>
          <w:sz w:val="24"/>
          <w:szCs w:val="24"/>
          <w:lang w:eastAsia="en-IN"/>
        </w:rPr>
        <w:t>migration from West Bengal to the Andaman and Nicobar Islands has resulted in</w:t>
      </w:r>
      <w:r w:rsidR="000E3712">
        <w:rPr>
          <w:rFonts w:ascii="Times New Roman" w:eastAsia="Times New Roman" w:hAnsi="Times New Roman" w:cs="Times New Roman"/>
          <w:sz w:val="24"/>
          <w:szCs w:val="24"/>
          <w:lang w:eastAsia="en-IN"/>
        </w:rPr>
        <w:t>substantial</w:t>
      </w:r>
      <w:r w:rsidRPr="003C30CC">
        <w:rPr>
          <w:rFonts w:ascii="Times New Roman" w:eastAsia="Times New Roman" w:hAnsi="Times New Roman" w:cs="Times New Roman"/>
          <w:sz w:val="24"/>
          <w:szCs w:val="24"/>
          <w:lang w:eastAsia="en-IN"/>
        </w:rPr>
        <w:t xml:space="preserve"> socio-economic benefits for most respondents. Employment rates have</w:t>
      </w:r>
      <w:r w:rsidR="000E3712">
        <w:rPr>
          <w:rFonts w:ascii="Times New Roman" w:eastAsia="Times New Roman" w:hAnsi="Times New Roman" w:cs="Times New Roman"/>
          <w:sz w:val="24"/>
          <w:szCs w:val="24"/>
          <w:lang w:eastAsia="en-IN"/>
        </w:rPr>
        <w:t xml:space="preserve"> also</w:t>
      </w:r>
      <w:r w:rsidRPr="003C30CC">
        <w:rPr>
          <w:rFonts w:ascii="Times New Roman" w:eastAsia="Times New Roman" w:hAnsi="Times New Roman" w:cs="Times New Roman"/>
          <w:sz w:val="24"/>
          <w:szCs w:val="24"/>
          <w:lang w:eastAsia="en-IN"/>
        </w:rPr>
        <w:t xml:space="preserve"> improved, incomes have increased, and the majority</w:t>
      </w:r>
      <w:r w:rsidR="000E3712">
        <w:rPr>
          <w:rFonts w:ascii="Times New Roman" w:eastAsia="Times New Roman" w:hAnsi="Times New Roman" w:cs="Times New Roman"/>
          <w:sz w:val="24"/>
          <w:szCs w:val="24"/>
          <w:lang w:eastAsia="en-IN"/>
        </w:rPr>
        <w:t xml:space="preserve"> of the respondents now possess</w:t>
      </w:r>
      <w:r>
        <w:rPr>
          <w:rFonts w:ascii="Times New Roman" w:eastAsia="Times New Roman" w:hAnsi="Times New Roman" w:cs="Times New Roman"/>
          <w:sz w:val="24"/>
          <w:szCs w:val="24"/>
          <w:lang w:eastAsia="en-IN"/>
        </w:rPr>
        <w:t xml:space="preserve"> some level of savings </w:t>
      </w:r>
      <w:r w:rsidR="000E3712">
        <w:rPr>
          <w:rFonts w:ascii="Times New Roman" w:eastAsia="Times New Roman" w:hAnsi="Times New Roman" w:cs="Times New Roman"/>
          <w:sz w:val="24"/>
          <w:szCs w:val="24"/>
          <w:lang w:eastAsia="en-IN"/>
        </w:rPr>
        <w:t>which is</w:t>
      </w:r>
      <w:r w:rsidRPr="003C30CC">
        <w:rPr>
          <w:rFonts w:ascii="Times New Roman" w:eastAsia="Times New Roman" w:hAnsi="Times New Roman" w:cs="Times New Roman"/>
          <w:sz w:val="24"/>
          <w:szCs w:val="24"/>
          <w:lang w:eastAsia="en-IN"/>
        </w:rPr>
        <w:t xml:space="preserve"> </w:t>
      </w:r>
      <w:r w:rsidR="000E3712">
        <w:rPr>
          <w:rFonts w:ascii="Times New Roman" w:eastAsia="Times New Roman" w:hAnsi="Times New Roman" w:cs="Times New Roman"/>
          <w:sz w:val="24"/>
          <w:szCs w:val="24"/>
          <w:lang w:eastAsia="en-IN"/>
        </w:rPr>
        <w:t xml:space="preserve">very </w:t>
      </w:r>
      <w:r w:rsidRPr="003C30CC">
        <w:rPr>
          <w:rFonts w:ascii="Times New Roman" w:eastAsia="Times New Roman" w:hAnsi="Times New Roman" w:cs="Times New Roman"/>
          <w:sz w:val="24"/>
          <w:szCs w:val="24"/>
          <w:lang w:eastAsia="en-IN"/>
        </w:rPr>
        <w:t xml:space="preserve">important indicator of </w:t>
      </w:r>
      <w:r w:rsidR="000E3712">
        <w:rPr>
          <w:rFonts w:ascii="Times New Roman" w:eastAsia="Times New Roman" w:hAnsi="Times New Roman" w:cs="Times New Roman"/>
          <w:sz w:val="24"/>
          <w:szCs w:val="24"/>
          <w:lang w:eastAsia="en-IN"/>
        </w:rPr>
        <w:t xml:space="preserve">any </w:t>
      </w:r>
      <w:r w:rsidRPr="003C30CC">
        <w:rPr>
          <w:rFonts w:ascii="Times New Roman" w:eastAsia="Times New Roman" w:hAnsi="Times New Roman" w:cs="Times New Roman"/>
          <w:sz w:val="24"/>
          <w:szCs w:val="24"/>
          <w:lang w:eastAsia="en-IN"/>
        </w:rPr>
        <w:t xml:space="preserve">financial security. </w:t>
      </w:r>
      <w:r w:rsidR="000E3712">
        <w:rPr>
          <w:rFonts w:ascii="Times New Roman" w:eastAsia="Times New Roman" w:hAnsi="Times New Roman" w:cs="Times New Roman"/>
          <w:sz w:val="24"/>
          <w:szCs w:val="24"/>
          <w:lang w:eastAsia="en-IN"/>
        </w:rPr>
        <w:t>Their h</w:t>
      </w:r>
      <w:r w:rsidRPr="003C30CC">
        <w:rPr>
          <w:rFonts w:ascii="Times New Roman" w:eastAsia="Times New Roman" w:hAnsi="Times New Roman" w:cs="Times New Roman"/>
          <w:sz w:val="24"/>
          <w:szCs w:val="24"/>
          <w:lang w:eastAsia="en-IN"/>
        </w:rPr>
        <w:t>ousi</w:t>
      </w:r>
      <w:r w:rsidR="000E3712">
        <w:rPr>
          <w:rFonts w:ascii="Times New Roman" w:eastAsia="Times New Roman" w:hAnsi="Times New Roman" w:cs="Times New Roman"/>
          <w:sz w:val="24"/>
          <w:szCs w:val="24"/>
          <w:lang w:eastAsia="en-IN"/>
        </w:rPr>
        <w:t>ng conditions have also improved</w:t>
      </w:r>
      <w:r w:rsidRPr="003C30CC">
        <w:rPr>
          <w:rFonts w:ascii="Times New Roman" w:eastAsia="Times New Roman" w:hAnsi="Times New Roman" w:cs="Times New Roman"/>
          <w:sz w:val="24"/>
          <w:szCs w:val="24"/>
          <w:lang w:eastAsia="en-IN"/>
        </w:rPr>
        <w:t>, although ownership</w:t>
      </w:r>
      <w:r w:rsidR="000E3712">
        <w:rPr>
          <w:rFonts w:ascii="Times New Roman" w:eastAsia="Times New Roman" w:hAnsi="Times New Roman" w:cs="Times New Roman"/>
          <w:sz w:val="24"/>
          <w:szCs w:val="24"/>
          <w:lang w:eastAsia="en-IN"/>
        </w:rPr>
        <w:t xml:space="preserve"> of the house</w:t>
      </w:r>
      <w:r w:rsidRPr="003C30CC">
        <w:rPr>
          <w:rFonts w:ascii="Times New Roman" w:eastAsia="Times New Roman" w:hAnsi="Times New Roman" w:cs="Times New Roman"/>
          <w:sz w:val="24"/>
          <w:szCs w:val="24"/>
          <w:lang w:eastAsia="en-IN"/>
        </w:rPr>
        <w:t xml:space="preserve"> remains limited, </w:t>
      </w:r>
      <w:r w:rsidR="000E3712">
        <w:rPr>
          <w:rFonts w:ascii="Times New Roman" w:eastAsia="Times New Roman" w:hAnsi="Times New Roman" w:cs="Times New Roman"/>
          <w:sz w:val="24"/>
          <w:szCs w:val="24"/>
          <w:lang w:eastAsia="en-IN"/>
        </w:rPr>
        <w:t xml:space="preserve">this is </w:t>
      </w:r>
      <w:r w:rsidRPr="003C30CC">
        <w:rPr>
          <w:rFonts w:ascii="Times New Roman" w:eastAsia="Times New Roman" w:hAnsi="Times New Roman" w:cs="Times New Roman"/>
          <w:sz w:val="24"/>
          <w:szCs w:val="24"/>
          <w:lang w:eastAsia="en-IN"/>
        </w:rPr>
        <w:t>pointing to a continued dependency</w:t>
      </w:r>
      <w:r w:rsidR="000E3712">
        <w:rPr>
          <w:rFonts w:ascii="Times New Roman" w:eastAsia="Times New Roman" w:hAnsi="Times New Roman" w:cs="Times New Roman"/>
          <w:sz w:val="24"/>
          <w:szCs w:val="24"/>
          <w:lang w:eastAsia="en-IN"/>
        </w:rPr>
        <w:t xml:space="preserve"> of the migrants</w:t>
      </w:r>
      <w:r w:rsidRPr="003C30CC">
        <w:rPr>
          <w:rFonts w:ascii="Times New Roman" w:eastAsia="Times New Roman" w:hAnsi="Times New Roman" w:cs="Times New Roman"/>
          <w:sz w:val="24"/>
          <w:szCs w:val="24"/>
          <w:lang w:eastAsia="en-IN"/>
        </w:rPr>
        <w:t xml:space="preserve"> on rental housing and employer provisions.</w:t>
      </w:r>
      <w:r>
        <w:rPr>
          <w:rFonts w:ascii="Times New Roman" w:eastAsia="Times New Roman" w:hAnsi="Times New Roman" w:cs="Times New Roman"/>
          <w:sz w:val="24"/>
          <w:szCs w:val="24"/>
          <w:lang w:eastAsia="en-IN"/>
        </w:rPr>
        <w:t xml:space="preserve"> While </w:t>
      </w:r>
      <w:r w:rsidR="000E3712">
        <w:rPr>
          <w:rFonts w:ascii="Times New Roman" w:eastAsia="Times New Roman" w:hAnsi="Times New Roman" w:cs="Times New Roman"/>
          <w:sz w:val="24"/>
          <w:szCs w:val="24"/>
          <w:lang w:eastAsia="en-IN"/>
        </w:rPr>
        <w:t xml:space="preserve">all </w:t>
      </w:r>
      <w:r>
        <w:rPr>
          <w:rFonts w:ascii="Times New Roman" w:eastAsia="Times New Roman" w:hAnsi="Times New Roman" w:cs="Times New Roman"/>
          <w:sz w:val="24"/>
          <w:szCs w:val="24"/>
          <w:lang w:eastAsia="en-IN"/>
        </w:rPr>
        <w:t xml:space="preserve">challenges persist </w:t>
      </w:r>
      <w:r w:rsidRPr="003C30CC">
        <w:rPr>
          <w:rFonts w:ascii="Times New Roman" w:eastAsia="Times New Roman" w:hAnsi="Times New Roman" w:cs="Times New Roman"/>
          <w:sz w:val="24"/>
          <w:szCs w:val="24"/>
          <w:lang w:eastAsia="en-IN"/>
        </w:rPr>
        <w:t>such as continued reliance on informal</w:t>
      </w:r>
      <w:r w:rsidR="000E3712">
        <w:rPr>
          <w:rFonts w:ascii="Times New Roman" w:eastAsia="Times New Roman" w:hAnsi="Times New Roman" w:cs="Times New Roman"/>
          <w:sz w:val="24"/>
          <w:szCs w:val="24"/>
          <w:lang w:eastAsia="en-IN"/>
        </w:rPr>
        <w:t xml:space="preserve"> sector</w:t>
      </w:r>
      <w:r w:rsidRPr="003C30CC">
        <w:rPr>
          <w:rFonts w:ascii="Times New Roman" w:eastAsia="Times New Roman" w:hAnsi="Times New Roman" w:cs="Times New Roman"/>
          <w:sz w:val="24"/>
          <w:szCs w:val="24"/>
          <w:lang w:eastAsia="en-IN"/>
        </w:rPr>
        <w:t xml:space="preserve"> and unstable employment, </w:t>
      </w:r>
      <w:r w:rsidR="00004903">
        <w:rPr>
          <w:rFonts w:ascii="Times New Roman" w:eastAsia="Times New Roman" w:hAnsi="Times New Roman" w:cs="Times New Roman"/>
          <w:sz w:val="24"/>
          <w:szCs w:val="24"/>
          <w:lang w:eastAsia="en-IN"/>
        </w:rPr>
        <w:t xml:space="preserve">this is because of </w:t>
      </w:r>
      <w:r w:rsidRPr="003C30CC">
        <w:rPr>
          <w:rFonts w:ascii="Times New Roman" w:eastAsia="Times New Roman" w:hAnsi="Times New Roman" w:cs="Times New Roman"/>
          <w:sz w:val="24"/>
          <w:szCs w:val="24"/>
          <w:lang w:eastAsia="en-IN"/>
        </w:rPr>
        <w:t>low levels of educati</w:t>
      </w:r>
      <w:r>
        <w:rPr>
          <w:rFonts w:ascii="Times New Roman" w:eastAsia="Times New Roman" w:hAnsi="Times New Roman" w:cs="Times New Roman"/>
          <w:sz w:val="24"/>
          <w:szCs w:val="24"/>
          <w:lang w:eastAsia="en-IN"/>
        </w:rPr>
        <w:t xml:space="preserve">on, and limited asset ownership </w:t>
      </w:r>
      <w:r w:rsidR="00004903">
        <w:rPr>
          <w:rFonts w:ascii="Times New Roman" w:eastAsia="Times New Roman" w:hAnsi="Times New Roman" w:cs="Times New Roman"/>
          <w:sz w:val="24"/>
          <w:szCs w:val="24"/>
          <w:lang w:eastAsia="en-IN"/>
        </w:rPr>
        <w:t xml:space="preserve">by the migrants and </w:t>
      </w:r>
      <w:r w:rsidRPr="003C30CC">
        <w:rPr>
          <w:rFonts w:ascii="Times New Roman" w:eastAsia="Times New Roman" w:hAnsi="Times New Roman" w:cs="Times New Roman"/>
          <w:sz w:val="24"/>
          <w:szCs w:val="24"/>
          <w:lang w:eastAsia="en-IN"/>
        </w:rPr>
        <w:t xml:space="preserve">the data underscores a clear pattern of upward mobility post-migration. </w:t>
      </w:r>
    </w:p>
    <w:p w14:paraId="77FF2973" w14:textId="77777777" w:rsidR="00BF3E7D" w:rsidRDefault="00BF3E7D" w:rsidP="00B23CA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30CC">
        <w:rPr>
          <w:rFonts w:ascii="Times New Roman" w:eastAsia="Times New Roman" w:hAnsi="Times New Roman" w:cs="Times New Roman"/>
          <w:sz w:val="24"/>
          <w:szCs w:val="24"/>
          <w:lang w:eastAsia="en-IN"/>
        </w:rPr>
        <w:lastRenderedPageBreak/>
        <w:t>Migration has enabled the respondents to move from economic</w:t>
      </w:r>
      <w:r>
        <w:rPr>
          <w:rFonts w:ascii="Times New Roman" w:eastAsia="Times New Roman" w:hAnsi="Times New Roman" w:cs="Times New Roman"/>
          <w:sz w:val="24"/>
          <w:szCs w:val="24"/>
          <w:lang w:eastAsia="en-IN"/>
        </w:rPr>
        <w:t xml:space="preserve">ally </w:t>
      </w:r>
      <w:r w:rsidRPr="003C30CC">
        <w:rPr>
          <w:rFonts w:ascii="Times New Roman" w:eastAsia="Times New Roman" w:hAnsi="Times New Roman" w:cs="Times New Roman"/>
          <w:sz w:val="24"/>
          <w:szCs w:val="24"/>
          <w:lang w:eastAsia="en-IN"/>
        </w:rPr>
        <w:t xml:space="preserve">toward greater financial stability, even if modest. The findings </w:t>
      </w:r>
      <w:r w:rsidR="00004903">
        <w:rPr>
          <w:rFonts w:ascii="Times New Roman" w:eastAsia="Times New Roman" w:hAnsi="Times New Roman" w:cs="Times New Roman"/>
          <w:sz w:val="24"/>
          <w:szCs w:val="24"/>
          <w:lang w:eastAsia="en-IN"/>
        </w:rPr>
        <w:t xml:space="preserve">of this study </w:t>
      </w:r>
      <w:proofErr w:type="gramStart"/>
      <w:r w:rsidR="00004903">
        <w:rPr>
          <w:rFonts w:ascii="Times New Roman" w:eastAsia="Times New Roman" w:hAnsi="Times New Roman" w:cs="Times New Roman"/>
          <w:sz w:val="24"/>
          <w:szCs w:val="24"/>
          <w:lang w:eastAsia="en-IN"/>
        </w:rPr>
        <w:t>shows</w:t>
      </w:r>
      <w:proofErr w:type="gramEnd"/>
      <w:r w:rsidR="00004903">
        <w:rPr>
          <w:rFonts w:ascii="Times New Roman" w:eastAsia="Times New Roman" w:hAnsi="Times New Roman" w:cs="Times New Roman"/>
          <w:sz w:val="24"/>
          <w:szCs w:val="24"/>
          <w:lang w:eastAsia="en-IN"/>
        </w:rPr>
        <w:t xml:space="preserve"> </w:t>
      </w:r>
      <w:r w:rsidRPr="003C30CC">
        <w:rPr>
          <w:rFonts w:ascii="Times New Roman" w:eastAsia="Times New Roman" w:hAnsi="Times New Roman" w:cs="Times New Roman"/>
          <w:sz w:val="24"/>
          <w:szCs w:val="24"/>
          <w:lang w:eastAsia="en-IN"/>
        </w:rPr>
        <w:t xml:space="preserve">the view that migration, even when </w:t>
      </w:r>
      <w:r w:rsidR="00004903">
        <w:rPr>
          <w:rFonts w:ascii="Times New Roman" w:eastAsia="Times New Roman" w:hAnsi="Times New Roman" w:cs="Times New Roman"/>
          <w:sz w:val="24"/>
          <w:szCs w:val="24"/>
          <w:lang w:eastAsia="en-IN"/>
        </w:rPr>
        <w:t xml:space="preserve">it is </w:t>
      </w:r>
      <w:r w:rsidRPr="003C30CC">
        <w:rPr>
          <w:rFonts w:ascii="Times New Roman" w:eastAsia="Times New Roman" w:hAnsi="Times New Roman" w:cs="Times New Roman"/>
          <w:sz w:val="24"/>
          <w:szCs w:val="24"/>
          <w:lang w:eastAsia="en-IN"/>
        </w:rPr>
        <w:t>driven by distress, can</w:t>
      </w:r>
      <w:r w:rsidR="00004903">
        <w:rPr>
          <w:rFonts w:ascii="Times New Roman" w:eastAsia="Times New Roman" w:hAnsi="Times New Roman" w:cs="Times New Roman"/>
          <w:sz w:val="24"/>
          <w:szCs w:val="24"/>
          <w:lang w:eastAsia="en-IN"/>
        </w:rPr>
        <w:t xml:space="preserve"> also</w:t>
      </w:r>
      <w:r w:rsidRPr="003C30CC">
        <w:rPr>
          <w:rFonts w:ascii="Times New Roman" w:eastAsia="Times New Roman" w:hAnsi="Times New Roman" w:cs="Times New Roman"/>
          <w:sz w:val="24"/>
          <w:szCs w:val="24"/>
          <w:lang w:eastAsia="en-IN"/>
        </w:rPr>
        <w:t xml:space="preserve"> act </w:t>
      </w:r>
      <w:r w:rsidR="00004903">
        <w:rPr>
          <w:rFonts w:ascii="Times New Roman" w:eastAsia="Times New Roman" w:hAnsi="Times New Roman" w:cs="Times New Roman"/>
          <w:sz w:val="24"/>
          <w:szCs w:val="24"/>
          <w:lang w:eastAsia="en-IN"/>
        </w:rPr>
        <w:t xml:space="preserve">like an </w:t>
      </w:r>
      <w:r w:rsidRPr="003C30CC">
        <w:rPr>
          <w:rFonts w:ascii="Times New Roman" w:eastAsia="Times New Roman" w:hAnsi="Times New Roman" w:cs="Times New Roman"/>
          <w:sz w:val="24"/>
          <w:szCs w:val="24"/>
          <w:lang w:eastAsia="en-IN"/>
        </w:rPr>
        <w:t>mechanism of socio-economic t</w:t>
      </w:r>
      <w:r w:rsidR="00004903">
        <w:rPr>
          <w:rFonts w:ascii="Times New Roman" w:eastAsia="Times New Roman" w:hAnsi="Times New Roman" w:cs="Times New Roman"/>
          <w:sz w:val="24"/>
          <w:szCs w:val="24"/>
          <w:lang w:eastAsia="en-IN"/>
        </w:rPr>
        <w:t>ransformation, particularly in the field of the</w:t>
      </w:r>
      <w:r w:rsidRPr="003C30CC">
        <w:rPr>
          <w:rFonts w:ascii="Times New Roman" w:eastAsia="Times New Roman" w:hAnsi="Times New Roman" w:cs="Times New Roman"/>
          <w:sz w:val="24"/>
          <w:szCs w:val="24"/>
          <w:lang w:eastAsia="en-IN"/>
        </w:rPr>
        <w:t xml:space="preserve"> accompanied by access to employment and essential services at the destination.</w:t>
      </w:r>
      <w:r>
        <w:rPr>
          <w:rFonts w:ascii="Times New Roman" w:eastAsia="Times New Roman" w:hAnsi="Times New Roman" w:cs="Times New Roman"/>
          <w:sz w:val="24"/>
          <w:szCs w:val="24"/>
          <w:lang w:eastAsia="en-IN"/>
        </w:rPr>
        <w:t xml:space="preserve"> </w:t>
      </w:r>
      <w:r w:rsidR="00004903">
        <w:rPr>
          <w:rFonts w:ascii="Times New Roman" w:eastAsia="Times New Roman" w:hAnsi="Times New Roman" w:cs="Times New Roman"/>
          <w:sz w:val="24"/>
          <w:szCs w:val="24"/>
          <w:lang w:eastAsia="en-IN"/>
        </w:rPr>
        <w:t>For the migrants it is very difficult t</w:t>
      </w:r>
      <w:r w:rsidRPr="003C30CC">
        <w:rPr>
          <w:rFonts w:ascii="Times New Roman" w:eastAsia="Times New Roman" w:hAnsi="Times New Roman" w:cs="Times New Roman"/>
          <w:sz w:val="24"/>
          <w:szCs w:val="24"/>
          <w:lang w:eastAsia="en-IN"/>
        </w:rPr>
        <w:t xml:space="preserve">o build upon these positive trends, policy interventions </w:t>
      </w:r>
      <w:r w:rsidR="00004903">
        <w:rPr>
          <w:rFonts w:ascii="Times New Roman" w:eastAsia="Times New Roman" w:hAnsi="Times New Roman" w:cs="Times New Roman"/>
          <w:sz w:val="24"/>
          <w:szCs w:val="24"/>
          <w:lang w:eastAsia="en-IN"/>
        </w:rPr>
        <w:t xml:space="preserve">and they </w:t>
      </w:r>
      <w:r w:rsidRPr="003C30CC">
        <w:rPr>
          <w:rFonts w:ascii="Times New Roman" w:eastAsia="Times New Roman" w:hAnsi="Times New Roman" w:cs="Times New Roman"/>
          <w:sz w:val="24"/>
          <w:szCs w:val="24"/>
          <w:lang w:eastAsia="en-IN"/>
        </w:rPr>
        <w:t>should focus on skill development, access to affordable housing, and inclusion in social welfare schemes to ensure that the gains from migration are not only sustained but also expanded for future migrant populations.</w:t>
      </w:r>
    </w:p>
    <w:p w14:paraId="6BDA246F" w14:textId="77777777" w:rsidR="00CC2C17" w:rsidRPr="003750C3" w:rsidRDefault="00CC2C17" w:rsidP="00CC2C17">
      <w:pPr>
        <w:rPr>
          <w:rFonts w:ascii="Times New Roman" w:hAnsi="Times New Roman" w:cs="Times New Roman"/>
          <w:sz w:val="24"/>
          <w:szCs w:val="24"/>
          <w:lang w:eastAsia="en-IN" w:bidi="ta-IN"/>
        </w:rPr>
      </w:pPr>
      <w:r w:rsidRPr="003750C3">
        <w:rPr>
          <w:rFonts w:ascii="Times New Roman" w:hAnsi="Times New Roman" w:cs="Times New Roman"/>
          <w:b/>
          <w:bCs/>
          <w:sz w:val="24"/>
          <w:szCs w:val="24"/>
          <w:lang w:eastAsia="en-IN" w:bidi="ta-IN"/>
        </w:rPr>
        <w:t>Data availability</w:t>
      </w:r>
      <w:r>
        <w:rPr>
          <w:rFonts w:ascii="Times New Roman" w:hAnsi="Times New Roman" w:cs="Times New Roman"/>
          <w:b/>
          <w:bCs/>
          <w:sz w:val="24"/>
          <w:szCs w:val="24"/>
          <w:lang w:eastAsia="en-IN" w:bidi="ta-IN"/>
        </w:rPr>
        <w:t>:</w:t>
      </w:r>
      <w:r w:rsidRPr="003750C3">
        <w:rPr>
          <w:rFonts w:ascii="Times New Roman" w:hAnsi="Times New Roman" w:cs="Times New Roman"/>
          <w:b/>
          <w:bCs/>
          <w:sz w:val="24"/>
          <w:szCs w:val="24"/>
          <w:lang w:eastAsia="en-IN" w:bidi="ta-IN"/>
        </w:rPr>
        <w:t xml:space="preserve"> </w:t>
      </w:r>
      <w:r w:rsidRPr="003750C3">
        <w:rPr>
          <w:rFonts w:ascii="Times New Roman" w:hAnsi="Times New Roman" w:cs="Times New Roman"/>
          <w:sz w:val="24"/>
          <w:szCs w:val="24"/>
          <w:lang w:eastAsia="en-IN" w:bidi="ta-IN"/>
        </w:rPr>
        <w:t>Data will be made available on request.</w:t>
      </w:r>
    </w:p>
    <w:p w14:paraId="5E7DC085" w14:textId="77777777" w:rsidR="00B23CAE" w:rsidRDefault="00B23CAE" w:rsidP="00B23CAE">
      <w:pPr>
        <w:pStyle w:val="BodyText"/>
        <w:spacing w:line="360" w:lineRule="auto"/>
        <w:ind w:left="0"/>
        <w:jc w:val="left"/>
      </w:pPr>
      <w:bookmarkStart w:id="1" w:name="_GoBack"/>
      <w:bookmarkEnd w:id="1"/>
    </w:p>
    <w:p w14:paraId="194F90A0" w14:textId="77777777" w:rsidR="00B23CAE" w:rsidRDefault="00B23CAE" w:rsidP="00B23CAE">
      <w:pPr>
        <w:pStyle w:val="BodyText"/>
        <w:spacing w:line="360" w:lineRule="auto"/>
        <w:ind w:left="0"/>
        <w:jc w:val="left"/>
        <w:rPr>
          <w:b/>
        </w:rPr>
      </w:pPr>
      <w:r w:rsidRPr="00B23CAE">
        <w:rPr>
          <w:b/>
        </w:rPr>
        <w:t>DISCLAIMER (ARTIFICIAL INTELLIGENCE)</w:t>
      </w:r>
    </w:p>
    <w:p w14:paraId="1C6C0997" w14:textId="77777777" w:rsidR="00B23CAE" w:rsidRDefault="00B23CAE" w:rsidP="00B23CAE">
      <w:pPr>
        <w:pStyle w:val="BodyText"/>
        <w:spacing w:line="360" w:lineRule="auto"/>
        <w:ind w:left="0"/>
      </w:pPr>
    </w:p>
    <w:p w14:paraId="77B8B9EC" w14:textId="77777777" w:rsidR="00B23CAE" w:rsidRPr="00B23CAE" w:rsidRDefault="00B23CAE" w:rsidP="00B23CAE">
      <w:pPr>
        <w:pStyle w:val="BodyText"/>
        <w:spacing w:line="360" w:lineRule="auto"/>
        <w:ind w:left="0"/>
      </w:pPr>
      <w:r w:rsidRPr="00B23CAE">
        <w:t>Author(s) hereby declare that NO generative AI technologies such as large language models (</w:t>
      </w:r>
      <w:proofErr w:type="spellStart"/>
      <w:r w:rsidRPr="00B23CAE">
        <w:t>ChatGPT</w:t>
      </w:r>
      <w:proofErr w:type="spellEnd"/>
      <w:r w:rsidRPr="00B23CAE">
        <w:t>, COPILOT, etc.) and text-to-image gener</w:t>
      </w:r>
      <w:r>
        <w:t>ators have been used during tha</w:t>
      </w:r>
      <w:r w:rsidRPr="00B23CAE">
        <w:t>t writing or editing of this manuscript.</w:t>
      </w:r>
    </w:p>
    <w:p w14:paraId="250C8187" w14:textId="77777777" w:rsidR="00CC2C17" w:rsidRPr="009A423C" w:rsidRDefault="00CC2C17" w:rsidP="00CC2C17">
      <w:pPr>
        <w:rPr>
          <w:rFonts w:ascii="Times New Roman" w:hAnsi="Times New Roman" w:cs="Times New Roman"/>
          <w:sz w:val="24"/>
          <w:szCs w:val="24"/>
          <w:lang w:eastAsia="en-IN" w:bidi="ta-IN"/>
        </w:rPr>
      </w:pPr>
      <w:r>
        <w:rPr>
          <w:rFonts w:ascii="Times New Roman" w:hAnsi="Times New Roman" w:cs="Times New Roman"/>
          <w:b/>
          <w:bCs/>
          <w:sz w:val="24"/>
          <w:szCs w:val="24"/>
          <w:lang w:eastAsia="en-IN" w:bidi="ta-IN"/>
        </w:rPr>
        <w:t>Ethics declarations</w:t>
      </w:r>
    </w:p>
    <w:p w14:paraId="5C50CA55" w14:textId="77777777" w:rsidR="00FE7DAA" w:rsidRPr="0090450C" w:rsidRDefault="00FE7DAA" w:rsidP="00B23CAE">
      <w:pPr>
        <w:pStyle w:val="NormalWeb"/>
        <w:spacing w:line="360" w:lineRule="auto"/>
        <w:rPr>
          <w:u w:val="single"/>
        </w:rPr>
      </w:pPr>
      <w:r w:rsidRPr="0090450C">
        <w:rPr>
          <w:rStyle w:val="Strong"/>
          <w:u w:val="single"/>
        </w:rPr>
        <w:t>References</w:t>
      </w:r>
    </w:p>
    <w:p w14:paraId="226F0F80" w14:textId="77777777" w:rsidR="009651ED" w:rsidRPr="009651ED" w:rsidRDefault="009651ED" w:rsidP="00B23CAE">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9651ED">
        <w:rPr>
          <w:rFonts w:ascii="Times New Roman" w:eastAsia="Times New Roman" w:hAnsi="Times New Roman" w:cs="Times New Roman"/>
          <w:sz w:val="24"/>
          <w:szCs w:val="24"/>
          <w:lang w:eastAsia="en-IN"/>
        </w:rPr>
        <w:t xml:space="preserve">Agarwal, B. (1994). </w:t>
      </w:r>
      <w:r w:rsidRPr="009651ED">
        <w:rPr>
          <w:rFonts w:ascii="Times New Roman" w:eastAsia="Times New Roman" w:hAnsi="Times New Roman" w:cs="Times New Roman"/>
          <w:iCs/>
          <w:sz w:val="24"/>
          <w:szCs w:val="24"/>
          <w:lang w:eastAsia="en-IN"/>
        </w:rPr>
        <w:t>A field of one's own: Gender and land rights in South Asia</w:t>
      </w:r>
      <w:r w:rsidRPr="009651ED">
        <w:rPr>
          <w:rFonts w:ascii="Times New Roman" w:eastAsia="Times New Roman" w:hAnsi="Times New Roman" w:cs="Times New Roman"/>
          <w:sz w:val="24"/>
          <w:szCs w:val="24"/>
          <w:lang w:eastAsia="en-IN"/>
        </w:rPr>
        <w:t>. Cambridge University Press 572pp.</w:t>
      </w:r>
      <w:r w:rsidRPr="009651ED">
        <w:rPr>
          <w:rFonts w:ascii="Times New Roman" w:hAnsi="Times New Roman" w:cs="Times New Roman"/>
          <w:sz w:val="24"/>
          <w:szCs w:val="24"/>
        </w:rPr>
        <w:t xml:space="preserve"> </w:t>
      </w:r>
      <w:hyperlink r:id="rId9" w:history="1">
        <w:r w:rsidRPr="009651ED">
          <w:rPr>
            <w:rStyle w:val="Hyperlink"/>
            <w:rFonts w:ascii="Times New Roman" w:eastAsia="Times New Roman" w:hAnsi="Times New Roman" w:cs="Times New Roman"/>
            <w:sz w:val="24"/>
            <w:szCs w:val="24"/>
            <w:lang w:eastAsia="en-IN"/>
          </w:rPr>
          <w:t>https://file.pide.org.pk/pdfpdr/1996/191-196.pdf</w:t>
        </w:r>
      </w:hyperlink>
      <w:r w:rsidRPr="009651ED">
        <w:rPr>
          <w:rFonts w:ascii="Times New Roman" w:eastAsia="Times New Roman" w:hAnsi="Times New Roman" w:cs="Times New Roman"/>
          <w:sz w:val="24"/>
          <w:szCs w:val="24"/>
          <w:lang w:eastAsia="en-IN"/>
        </w:rPr>
        <w:t xml:space="preserve"> </w:t>
      </w:r>
    </w:p>
    <w:p w14:paraId="19B25534" w14:textId="77777777" w:rsidR="009651ED" w:rsidRPr="009651ED" w:rsidRDefault="009651ED" w:rsidP="00B23CAE">
      <w:pPr>
        <w:pStyle w:val="NormalWeb"/>
        <w:spacing w:line="360" w:lineRule="auto"/>
        <w:ind w:left="720" w:hanging="720"/>
        <w:jc w:val="both"/>
      </w:pPr>
      <w:r w:rsidRPr="009651ED">
        <w:t xml:space="preserve">Bhagat, R. B. (2015). </w:t>
      </w:r>
      <w:r w:rsidRPr="009651ED">
        <w:rPr>
          <w:rStyle w:val="Emphasis"/>
          <w:i w:val="0"/>
        </w:rPr>
        <w:t>Urban migration trends, challenges and opportunities in India</w:t>
      </w:r>
      <w:r w:rsidRPr="009651ED">
        <w:t>. World Migration Report.</w:t>
      </w:r>
    </w:p>
    <w:p w14:paraId="697B6C1A" w14:textId="77777777" w:rsidR="009651ED" w:rsidRPr="009651ED" w:rsidRDefault="009651ED" w:rsidP="00B23CAE">
      <w:pPr>
        <w:pStyle w:val="NormalWeb"/>
        <w:spacing w:line="360" w:lineRule="auto"/>
        <w:ind w:left="720" w:hanging="720"/>
        <w:jc w:val="both"/>
        <w:rPr>
          <w:rStyle w:val="Hyperlink"/>
        </w:rPr>
      </w:pPr>
      <w:r w:rsidRPr="009651ED">
        <w:t xml:space="preserve">Bhattacharjee, M. (2021). Mobility and morbidity of regular and seasonal migrants in India. </w:t>
      </w:r>
      <w:r w:rsidRPr="000E3712">
        <w:t>International Journal of Migration, Health and Social Care</w:t>
      </w:r>
      <w:r w:rsidRPr="009651ED">
        <w:t xml:space="preserve">. </w:t>
      </w:r>
      <w:hyperlink r:id="rId10" w:tgtFrame="_new" w:history="1">
        <w:r w:rsidRPr="009651ED">
          <w:rPr>
            <w:rStyle w:val="Hyperlink"/>
          </w:rPr>
          <w:t>https://doi.org/10.1108/ijmhsc-04-2020-0038</w:t>
        </w:r>
      </w:hyperlink>
    </w:p>
    <w:p w14:paraId="3EEF14D6" w14:textId="77777777" w:rsidR="009651ED" w:rsidRPr="009651ED" w:rsidRDefault="009651ED" w:rsidP="00B23CAE">
      <w:pPr>
        <w:spacing w:before="100" w:beforeAutospacing="1" w:after="100" w:afterAutospacing="1" w:line="360" w:lineRule="auto"/>
        <w:ind w:left="720" w:hanging="720"/>
        <w:jc w:val="both"/>
        <w:rPr>
          <w:rStyle w:val="t286pc"/>
          <w:rFonts w:ascii="Times New Roman" w:hAnsi="Times New Roman" w:cs="Times New Roman"/>
          <w:color w:val="0A0A0A"/>
          <w:sz w:val="24"/>
          <w:szCs w:val="24"/>
        </w:rPr>
      </w:pPr>
      <w:r w:rsidRPr="009651ED">
        <w:rPr>
          <w:rFonts w:ascii="Times New Roman" w:eastAsia="Times New Roman" w:hAnsi="Times New Roman" w:cs="Times New Roman"/>
          <w:sz w:val="24"/>
          <w:szCs w:val="24"/>
          <w:lang w:eastAsia="en-IN"/>
        </w:rPr>
        <w:t xml:space="preserve">Castles, S. (2003). Towards a sociology of forced migration and social transformation. </w:t>
      </w:r>
      <w:r w:rsidRPr="009651ED">
        <w:rPr>
          <w:rFonts w:ascii="Times New Roman" w:eastAsia="Times New Roman" w:hAnsi="Times New Roman" w:cs="Times New Roman"/>
          <w:iCs/>
          <w:sz w:val="24"/>
          <w:szCs w:val="24"/>
          <w:lang w:eastAsia="en-IN"/>
        </w:rPr>
        <w:t xml:space="preserve">Sociology, vol.37 Issue no. </w:t>
      </w:r>
      <w:r w:rsidRPr="009651ED">
        <w:rPr>
          <w:rFonts w:ascii="Times New Roman" w:eastAsia="Times New Roman" w:hAnsi="Times New Roman" w:cs="Times New Roman"/>
          <w:sz w:val="24"/>
          <w:szCs w:val="24"/>
          <w:lang w:eastAsia="en-IN"/>
        </w:rPr>
        <w:t>1, pp.13–34.</w:t>
      </w:r>
      <w:r w:rsidRPr="009651ED">
        <w:rPr>
          <w:rFonts w:ascii="Times New Roman" w:hAnsi="Times New Roman" w:cs="Times New Roman"/>
          <w:color w:val="0A0A0A"/>
          <w:sz w:val="24"/>
          <w:szCs w:val="24"/>
        </w:rPr>
        <w:t xml:space="preserve"> </w:t>
      </w:r>
      <w:hyperlink r:id="rId11" w:history="1">
        <w:r w:rsidRPr="009651ED">
          <w:rPr>
            <w:rStyle w:val="Hyperlink"/>
            <w:rFonts w:ascii="Times New Roman" w:hAnsi="Times New Roman" w:cs="Times New Roman"/>
            <w:sz w:val="24"/>
            <w:szCs w:val="24"/>
          </w:rPr>
          <w:t>https://doi.org/10.1177/0038038503037001384</w:t>
        </w:r>
      </w:hyperlink>
      <w:r w:rsidRPr="009651ED">
        <w:rPr>
          <w:rStyle w:val="t286pc"/>
          <w:rFonts w:ascii="Times New Roman" w:hAnsi="Times New Roman" w:cs="Times New Roman"/>
          <w:color w:val="0A0A0A"/>
          <w:sz w:val="24"/>
          <w:szCs w:val="24"/>
        </w:rPr>
        <w:t xml:space="preserve"> </w:t>
      </w:r>
    </w:p>
    <w:p w14:paraId="74FF2517" w14:textId="77777777" w:rsidR="009651ED" w:rsidRPr="009651ED" w:rsidRDefault="009651ED" w:rsidP="00B23CAE">
      <w:pPr>
        <w:spacing w:before="100" w:beforeAutospacing="1" w:after="100" w:afterAutospacing="1" w:line="360" w:lineRule="auto"/>
        <w:ind w:left="720" w:hanging="720"/>
        <w:jc w:val="both"/>
        <w:rPr>
          <w:rStyle w:val="t286pc"/>
          <w:rFonts w:ascii="Times New Roman" w:eastAsia="Times New Roman" w:hAnsi="Times New Roman" w:cs="Times New Roman"/>
          <w:sz w:val="24"/>
          <w:szCs w:val="24"/>
          <w:lang w:eastAsia="en-IN"/>
        </w:rPr>
      </w:pPr>
      <w:r w:rsidRPr="009651ED">
        <w:rPr>
          <w:rFonts w:ascii="Times New Roman" w:hAnsi="Times New Roman" w:cs="Times New Roman"/>
          <w:sz w:val="24"/>
          <w:szCs w:val="24"/>
        </w:rPr>
        <w:t xml:space="preserve">Chowdhury, U. B. R., Ray, P., &amp; </w:t>
      </w:r>
      <w:proofErr w:type="spellStart"/>
      <w:r w:rsidRPr="009651ED">
        <w:rPr>
          <w:rFonts w:ascii="Times New Roman" w:hAnsi="Times New Roman" w:cs="Times New Roman"/>
          <w:sz w:val="24"/>
          <w:szCs w:val="24"/>
        </w:rPr>
        <w:t>Basu</w:t>
      </w:r>
      <w:proofErr w:type="spellEnd"/>
      <w:r w:rsidRPr="009651ED">
        <w:rPr>
          <w:rFonts w:ascii="Times New Roman" w:hAnsi="Times New Roman" w:cs="Times New Roman"/>
          <w:sz w:val="24"/>
          <w:szCs w:val="24"/>
        </w:rPr>
        <w:t xml:space="preserve">, R (2017). Out-Migration in Search of Livelihood: A study of the Rajbanshi Migrants from Koch Bihar, West Bengal. IOSR Journal </w:t>
      </w:r>
      <w:proofErr w:type="gramStart"/>
      <w:r w:rsidRPr="009651ED">
        <w:rPr>
          <w:rFonts w:ascii="Times New Roman" w:hAnsi="Times New Roman" w:cs="Times New Roman"/>
          <w:sz w:val="24"/>
          <w:szCs w:val="24"/>
        </w:rPr>
        <w:t>Of</w:t>
      </w:r>
      <w:proofErr w:type="gramEnd"/>
      <w:r w:rsidRPr="009651ED">
        <w:rPr>
          <w:rFonts w:ascii="Times New Roman" w:hAnsi="Times New Roman" w:cs="Times New Roman"/>
          <w:sz w:val="24"/>
          <w:szCs w:val="24"/>
        </w:rPr>
        <w:t xml:space="preserve"> </w:t>
      </w:r>
      <w:r w:rsidRPr="009651ED">
        <w:rPr>
          <w:rFonts w:ascii="Times New Roman" w:hAnsi="Times New Roman" w:cs="Times New Roman"/>
          <w:sz w:val="24"/>
          <w:szCs w:val="24"/>
        </w:rPr>
        <w:lastRenderedPageBreak/>
        <w:t>Humanities And Social Science (IOSR-JHSS), 22(5), 1-8. DOI: 10.9790/0837 2205090108</w:t>
      </w:r>
    </w:p>
    <w:p w14:paraId="7B3ECAE7" w14:textId="77777777" w:rsidR="009651ED" w:rsidRPr="009651ED" w:rsidRDefault="009651ED" w:rsidP="00B23CAE">
      <w:pPr>
        <w:spacing w:before="100" w:beforeAutospacing="1" w:after="100" w:afterAutospacing="1" w:line="360" w:lineRule="auto"/>
        <w:ind w:left="720" w:hanging="720"/>
        <w:jc w:val="both"/>
        <w:rPr>
          <w:rFonts w:ascii="Times New Roman" w:hAnsi="Times New Roman" w:cs="Times New Roman"/>
          <w:sz w:val="24"/>
          <w:szCs w:val="24"/>
        </w:rPr>
      </w:pPr>
      <w:r w:rsidRPr="009651ED">
        <w:rPr>
          <w:rFonts w:ascii="Times New Roman" w:hAnsi="Times New Roman" w:cs="Times New Roman"/>
          <w:sz w:val="24"/>
          <w:szCs w:val="24"/>
        </w:rPr>
        <w:t xml:space="preserve">Clark, W. A. V. (2020). “Human Migration.” Web Book of Regional Science. 15. </w:t>
      </w:r>
      <w:hyperlink r:id="rId12" w:history="1">
        <w:r w:rsidRPr="009651ED">
          <w:rPr>
            <w:rStyle w:val="Hyperlink"/>
            <w:rFonts w:ascii="Times New Roman" w:hAnsi="Times New Roman" w:cs="Times New Roman"/>
            <w:sz w:val="24"/>
            <w:szCs w:val="24"/>
          </w:rPr>
          <w:t>https://researchrepository.wvu.edu/rri-web-book/15</w:t>
        </w:r>
      </w:hyperlink>
      <w:r w:rsidRPr="009651ED">
        <w:rPr>
          <w:rFonts w:ascii="Times New Roman" w:hAnsi="Times New Roman" w:cs="Times New Roman"/>
          <w:sz w:val="24"/>
          <w:szCs w:val="24"/>
        </w:rPr>
        <w:t xml:space="preserve"> </w:t>
      </w:r>
    </w:p>
    <w:p w14:paraId="32FB0152" w14:textId="77777777" w:rsidR="009651ED" w:rsidRPr="009651ED" w:rsidRDefault="009651ED" w:rsidP="00B23CAE">
      <w:pPr>
        <w:spacing w:before="100" w:beforeAutospacing="1" w:after="100" w:afterAutospacing="1" w:line="360" w:lineRule="auto"/>
        <w:ind w:left="720" w:hanging="720"/>
        <w:jc w:val="both"/>
        <w:rPr>
          <w:rFonts w:ascii="Times New Roman" w:hAnsi="Times New Roman" w:cs="Times New Roman"/>
          <w:sz w:val="24"/>
          <w:szCs w:val="24"/>
        </w:rPr>
      </w:pPr>
      <w:r w:rsidRPr="009651ED">
        <w:rPr>
          <w:rFonts w:ascii="Times New Roman" w:hAnsi="Times New Roman" w:cs="Times New Roman"/>
          <w:sz w:val="24"/>
          <w:szCs w:val="24"/>
        </w:rPr>
        <w:t xml:space="preserve">Davin, D. (1999). Why People Migrate. Internal Migration in Contemporary China (pp. 49-77). Palgrave Macmillan, </w:t>
      </w:r>
      <w:proofErr w:type="spellStart"/>
      <w:r w:rsidRPr="009651ED">
        <w:rPr>
          <w:rFonts w:ascii="Times New Roman" w:hAnsi="Times New Roman" w:cs="Times New Roman"/>
          <w:sz w:val="24"/>
          <w:szCs w:val="24"/>
        </w:rPr>
        <w:t>London.https</w:t>
      </w:r>
      <w:proofErr w:type="spellEnd"/>
      <w:r w:rsidRPr="009651ED">
        <w:rPr>
          <w:rFonts w:ascii="Times New Roman" w:hAnsi="Times New Roman" w:cs="Times New Roman"/>
          <w:sz w:val="24"/>
          <w:szCs w:val="24"/>
        </w:rPr>
        <w:t xml:space="preserve">://doi.org/10.1057/9780230376717_5 </w:t>
      </w:r>
    </w:p>
    <w:p w14:paraId="626E74F0" w14:textId="77777777" w:rsidR="009651ED" w:rsidRPr="009651ED" w:rsidRDefault="009651ED" w:rsidP="00B23CAE">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9651ED">
        <w:rPr>
          <w:rFonts w:ascii="Times New Roman" w:hAnsi="Times New Roman" w:cs="Times New Roman"/>
          <w:sz w:val="24"/>
          <w:szCs w:val="24"/>
        </w:rPr>
        <w:t xml:space="preserve">Davis, Kingsley (1951). The Population of India and Pakistan. Princeton, Princeton </w:t>
      </w:r>
      <w:proofErr w:type="spellStart"/>
      <w:r w:rsidRPr="009651ED">
        <w:rPr>
          <w:rFonts w:ascii="Times New Roman" w:hAnsi="Times New Roman" w:cs="Times New Roman"/>
          <w:sz w:val="24"/>
          <w:szCs w:val="24"/>
        </w:rPr>
        <w:t>UniversityPress</w:t>
      </w:r>
      <w:proofErr w:type="spellEnd"/>
      <w:r w:rsidRPr="009651ED">
        <w:rPr>
          <w:rFonts w:ascii="Times New Roman" w:hAnsi="Times New Roman" w:cs="Times New Roman"/>
          <w:sz w:val="24"/>
          <w:szCs w:val="24"/>
        </w:rPr>
        <w:t>, New Jersey.</w:t>
      </w:r>
    </w:p>
    <w:p w14:paraId="42890656" w14:textId="77777777" w:rsidR="009651ED" w:rsidRPr="009651ED" w:rsidRDefault="009651ED" w:rsidP="00B23CAE">
      <w:pPr>
        <w:pStyle w:val="NormalWeb"/>
        <w:spacing w:line="360" w:lineRule="auto"/>
        <w:ind w:left="720" w:hanging="720"/>
        <w:jc w:val="both"/>
      </w:pPr>
      <w:r w:rsidRPr="009651ED">
        <w:t xml:space="preserve">de Haas, H. (2010a). Migration and development: A theoretical perspective. </w:t>
      </w:r>
      <w:r w:rsidRPr="009651ED">
        <w:rPr>
          <w:rStyle w:val="Emphasis"/>
        </w:rPr>
        <w:t>International Migration Review, 44</w:t>
      </w:r>
      <w:r w:rsidRPr="009651ED">
        <w:t>(1), 227–264.</w:t>
      </w:r>
    </w:p>
    <w:p w14:paraId="1DC4E158" w14:textId="77777777" w:rsidR="009651ED" w:rsidRPr="009651ED" w:rsidRDefault="009651ED" w:rsidP="00B23CAE">
      <w:pPr>
        <w:pStyle w:val="NormalWeb"/>
        <w:spacing w:line="360" w:lineRule="auto"/>
        <w:ind w:left="720" w:hanging="720"/>
        <w:jc w:val="both"/>
        <w:rPr>
          <w:rStyle w:val="Hyperlink"/>
        </w:rPr>
      </w:pPr>
      <w:r w:rsidRPr="009651ED">
        <w:t xml:space="preserve">de Haas, H. (2021). A theory of migration: The aspirations–capabilities framework. </w:t>
      </w:r>
      <w:r w:rsidRPr="009651ED">
        <w:rPr>
          <w:rStyle w:val="Emphasis"/>
        </w:rPr>
        <w:t>Comparative Migration Studies, 9</w:t>
      </w:r>
      <w:r w:rsidRPr="009651ED">
        <w:t xml:space="preserve">(1), 8. </w:t>
      </w:r>
      <w:hyperlink r:id="rId13" w:tgtFrame="_new" w:history="1">
        <w:r w:rsidRPr="009651ED">
          <w:rPr>
            <w:rStyle w:val="Hyperlink"/>
          </w:rPr>
          <w:t>https://doi.org/10.1186/s40878-020-00210-4</w:t>
        </w:r>
      </w:hyperlink>
    </w:p>
    <w:p w14:paraId="2505A71D" w14:textId="77777777" w:rsidR="009651ED" w:rsidRPr="009651ED" w:rsidRDefault="009651ED" w:rsidP="00B23CAE">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9651ED">
        <w:rPr>
          <w:rFonts w:ascii="Times New Roman" w:eastAsia="Times New Roman" w:hAnsi="Times New Roman" w:cs="Times New Roman"/>
          <w:sz w:val="24"/>
          <w:szCs w:val="24"/>
          <w:lang w:eastAsia="en-IN"/>
        </w:rPr>
        <w:t xml:space="preserve">Hugo, G. (2002). </w:t>
      </w:r>
      <w:r w:rsidRPr="009651ED">
        <w:rPr>
          <w:rFonts w:ascii="Times New Roman" w:eastAsia="Times New Roman" w:hAnsi="Times New Roman" w:cs="Times New Roman"/>
          <w:iCs/>
          <w:sz w:val="24"/>
          <w:szCs w:val="24"/>
          <w:lang w:eastAsia="en-IN"/>
        </w:rPr>
        <w:t>Migration and development: A perspective from Asia</w:t>
      </w:r>
      <w:r w:rsidRPr="009651ED">
        <w:rPr>
          <w:rFonts w:ascii="Times New Roman" w:eastAsia="Times New Roman" w:hAnsi="Times New Roman" w:cs="Times New Roman"/>
          <w:sz w:val="24"/>
          <w:szCs w:val="24"/>
          <w:lang w:eastAsia="en-IN"/>
        </w:rPr>
        <w:t xml:space="preserve">. IOM Migration Research Series No. 14. </w:t>
      </w:r>
      <w:hyperlink r:id="rId14" w:history="1">
        <w:r w:rsidRPr="009651ED">
          <w:rPr>
            <w:rStyle w:val="Hyperlink"/>
            <w:rFonts w:ascii="Times New Roman" w:eastAsia="Times New Roman" w:hAnsi="Times New Roman" w:cs="Times New Roman"/>
            <w:sz w:val="24"/>
            <w:szCs w:val="24"/>
            <w:lang w:eastAsia="en-IN"/>
          </w:rPr>
          <w:t>https://www.iom.int/sites/g/files/tmzbdl2616/files/2018-07/mrs_14_2003.pdf</w:t>
        </w:r>
      </w:hyperlink>
      <w:r w:rsidRPr="009651ED">
        <w:rPr>
          <w:rFonts w:ascii="Times New Roman" w:eastAsia="Times New Roman" w:hAnsi="Times New Roman" w:cs="Times New Roman"/>
          <w:sz w:val="24"/>
          <w:szCs w:val="24"/>
          <w:lang w:eastAsia="en-IN"/>
        </w:rPr>
        <w:t xml:space="preserve"> </w:t>
      </w:r>
    </w:p>
    <w:p w14:paraId="64E8DB93" w14:textId="77777777" w:rsidR="009651ED" w:rsidRPr="009651ED" w:rsidRDefault="009651ED" w:rsidP="00B23CAE">
      <w:pPr>
        <w:pStyle w:val="NormalWeb"/>
        <w:spacing w:line="360" w:lineRule="auto"/>
        <w:ind w:left="720" w:hanging="720"/>
        <w:jc w:val="both"/>
        <w:rPr>
          <w:rStyle w:val="Hyperlink"/>
        </w:rPr>
      </w:pPr>
      <w:r w:rsidRPr="009651ED">
        <w:t xml:space="preserve">International Organization for Migration. (2019). </w:t>
      </w:r>
      <w:r w:rsidRPr="009651ED">
        <w:rPr>
          <w:rStyle w:val="Emphasis"/>
        </w:rPr>
        <w:t>The migration glossary</w:t>
      </w:r>
      <w:r w:rsidRPr="009651ED">
        <w:t xml:space="preserve">. Geneva: International Organization for Migration. </w:t>
      </w:r>
      <w:hyperlink r:id="rId15" w:tgtFrame="_new" w:history="1">
        <w:r w:rsidRPr="009651ED">
          <w:rPr>
            <w:rStyle w:val="Hyperlink"/>
          </w:rPr>
          <w:t>https://publications.iom.int/system/files/pdf/iml_34_glossary.pdf</w:t>
        </w:r>
      </w:hyperlink>
    </w:p>
    <w:p w14:paraId="543C80A6" w14:textId="77777777" w:rsidR="009651ED" w:rsidRPr="009651ED" w:rsidRDefault="009651ED" w:rsidP="00B23CAE">
      <w:pPr>
        <w:pStyle w:val="NormalWeb"/>
        <w:spacing w:line="360" w:lineRule="auto"/>
        <w:ind w:left="720" w:hanging="720"/>
        <w:jc w:val="both"/>
      </w:pPr>
      <w:r w:rsidRPr="009651ED">
        <w:t xml:space="preserve">Kaur, B., Singh, J. M., Garg, B. R., Singh, J., &amp; Singh, S. (2011). Causes and impact of labour migration: A case study of Punjab agriculture. </w:t>
      </w:r>
      <w:r w:rsidRPr="009651ED">
        <w:rPr>
          <w:rStyle w:val="Emphasis"/>
        </w:rPr>
        <w:t>Agricultural Economics Research Review, 24</w:t>
      </w:r>
      <w:r w:rsidRPr="009651ED">
        <w:t>, 429–436.</w:t>
      </w:r>
    </w:p>
    <w:p w14:paraId="30204FE0" w14:textId="77777777" w:rsidR="009651ED" w:rsidRPr="009651ED" w:rsidRDefault="009651ED" w:rsidP="00B23CAE">
      <w:pPr>
        <w:pStyle w:val="NormalWeb"/>
        <w:spacing w:line="360" w:lineRule="auto"/>
        <w:ind w:left="720" w:hanging="720"/>
        <w:jc w:val="both"/>
      </w:pPr>
      <w:proofErr w:type="spellStart"/>
      <w:r w:rsidRPr="009651ED">
        <w:t>Keshri</w:t>
      </w:r>
      <w:proofErr w:type="spellEnd"/>
      <w:r w:rsidRPr="009651ED">
        <w:t>, K &amp; Bhagat, R. (2010). Temporary and seasonal migration in India. Genus, 66(3), 25-45</w:t>
      </w:r>
    </w:p>
    <w:p w14:paraId="62A5099B" w14:textId="77777777" w:rsidR="009651ED" w:rsidRPr="009651ED" w:rsidRDefault="009651ED" w:rsidP="00B23CAE">
      <w:pPr>
        <w:pStyle w:val="NormalWeb"/>
        <w:spacing w:line="360" w:lineRule="auto"/>
        <w:ind w:left="720" w:hanging="720"/>
        <w:jc w:val="both"/>
      </w:pPr>
      <w:r w:rsidRPr="009651ED">
        <w:t xml:space="preserve">Kone, Z. L., Liu, M. Y., </w:t>
      </w:r>
      <w:proofErr w:type="spellStart"/>
      <w:r w:rsidRPr="009651ED">
        <w:t>Mattoo</w:t>
      </w:r>
      <w:proofErr w:type="spellEnd"/>
      <w:r w:rsidRPr="009651ED">
        <w:t xml:space="preserve">, A., </w:t>
      </w:r>
      <w:proofErr w:type="spellStart"/>
      <w:r w:rsidRPr="009651ED">
        <w:t>Ozden</w:t>
      </w:r>
      <w:proofErr w:type="spellEnd"/>
      <w:r w:rsidRPr="009651ED">
        <w:t xml:space="preserve">, C., &amp; Sharma, S. (2018). Internal borders and migration in India. Journal of Economic Geography, 18(4), 729-759. </w:t>
      </w:r>
    </w:p>
    <w:p w14:paraId="706E7937" w14:textId="77777777" w:rsidR="009651ED" w:rsidRPr="009651ED" w:rsidRDefault="009651ED" w:rsidP="00B23CAE">
      <w:pPr>
        <w:pStyle w:val="NormalWeb"/>
        <w:spacing w:line="360" w:lineRule="auto"/>
        <w:ind w:left="720" w:hanging="720"/>
        <w:jc w:val="both"/>
      </w:pPr>
      <w:proofErr w:type="spellStart"/>
      <w:r w:rsidRPr="009651ED">
        <w:lastRenderedPageBreak/>
        <w:t>Korra</w:t>
      </w:r>
      <w:proofErr w:type="spellEnd"/>
      <w:r w:rsidRPr="009651ED">
        <w:t xml:space="preserve">, V. (2011). Nature and Characteristics of Seasonal Migration: A Case Study </w:t>
      </w:r>
      <w:proofErr w:type="gramStart"/>
      <w:r w:rsidRPr="009651ED">
        <w:t>In</w:t>
      </w:r>
      <w:proofErr w:type="gramEnd"/>
      <w:r w:rsidRPr="009651ED">
        <w:t xml:space="preserve"> </w:t>
      </w:r>
      <w:proofErr w:type="spellStart"/>
      <w:r w:rsidRPr="009651ED">
        <w:t>Mahabubnagar</w:t>
      </w:r>
      <w:proofErr w:type="spellEnd"/>
      <w:r w:rsidRPr="009651ED">
        <w:t xml:space="preserve"> District of Andhra Pradesh. Demography India, 40 (2),81-100.</w:t>
      </w:r>
    </w:p>
    <w:p w14:paraId="592D2120" w14:textId="77777777" w:rsidR="009651ED" w:rsidRPr="009651ED" w:rsidRDefault="009651ED" w:rsidP="00B23CAE">
      <w:pPr>
        <w:pStyle w:val="NormalWeb"/>
        <w:spacing w:line="360" w:lineRule="auto"/>
        <w:ind w:left="720" w:hanging="720"/>
        <w:jc w:val="both"/>
      </w:pPr>
      <w:r w:rsidRPr="009651ED">
        <w:t xml:space="preserve">Lee, E. S. (1966). A theory of migration. </w:t>
      </w:r>
      <w:r w:rsidRPr="009651ED">
        <w:rPr>
          <w:rStyle w:val="Emphasis"/>
        </w:rPr>
        <w:t>Demography, 3</w:t>
      </w:r>
      <w:r w:rsidRPr="009651ED">
        <w:t xml:space="preserve">(1), 47–57. </w:t>
      </w:r>
      <w:hyperlink r:id="rId16" w:tgtFrame="_new" w:history="1">
        <w:r w:rsidRPr="009651ED">
          <w:rPr>
            <w:rStyle w:val="Hyperlink"/>
          </w:rPr>
          <w:t>https://doi.org/10.2307/2060063</w:t>
        </w:r>
      </w:hyperlink>
    </w:p>
    <w:p w14:paraId="335CA311" w14:textId="77777777" w:rsidR="009651ED" w:rsidRPr="009651ED" w:rsidRDefault="009651ED" w:rsidP="00B23CAE">
      <w:pPr>
        <w:pStyle w:val="NormalWeb"/>
        <w:spacing w:line="360" w:lineRule="auto"/>
        <w:ind w:left="720" w:hanging="720"/>
        <w:jc w:val="both"/>
      </w:pPr>
      <w:r w:rsidRPr="009651ED">
        <w:t xml:space="preserve">Massey, D. S. (1990). Social structure, household strategies, and the cumulative causation of migration. </w:t>
      </w:r>
      <w:r w:rsidRPr="009651ED">
        <w:rPr>
          <w:rStyle w:val="Emphasis"/>
        </w:rPr>
        <w:t>Population Index, 56</w:t>
      </w:r>
      <w:r w:rsidRPr="009651ED">
        <w:t>(1), 3–26.</w:t>
      </w:r>
    </w:p>
    <w:p w14:paraId="03E87FDF" w14:textId="77777777" w:rsidR="009651ED" w:rsidRPr="009651ED" w:rsidRDefault="009651ED" w:rsidP="00B23CAE">
      <w:pPr>
        <w:pStyle w:val="NormalWeb"/>
        <w:spacing w:line="360" w:lineRule="auto"/>
        <w:ind w:left="720" w:hanging="720"/>
        <w:jc w:val="both"/>
      </w:pPr>
      <w:r w:rsidRPr="009651ED">
        <w:t>Mitra, A., &amp; Murayama, M. (2009). Rural to urban migration: a district-level analysis for India. International Journal of Migration, Health, and Social Care, 5(2), 35-52.</w:t>
      </w:r>
    </w:p>
    <w:p w14:paraId="097E4670" w14:textId="77777777" w:rsidR="009651ED" w:rsidRPr="009651ED" w:rsidRDefault="009651ED" w:rsidP="00B23CAE">
      <w:pPr>
        <w:pStyle w:val="NormalWeb"/>
        <w:spacing w:line="360" w:lineRule="auto"/>
        <w:ind w:left="720" w:hanging="720"/>
        <w:jc w:val="both"/>
      </w:pPr>
      <w:r w:rsidRPr="009651ED">
        <w:t xml:space="preserve">Narayan, R, and Singh, S. K (2015). Differentials and Determinants of out Migration in Eastern Uttar Pradesh. Social Science Spectrum, 1(4), (2015): 279-294. </w:t>
      </w:r>
    </w:p>
    <w:p w14:paraId="4C60E18C" w14:textId="77777777" w:rsidR="009651ED" w:rsidRPr="009651ED" w:rsidRDefault="009651ED" w:rsidP="00B23CAE">
      <w:pPr>
        <w:pStyle w:val="NormalWeb"/>
        <w:spacing w:line="360" w:lineRule="auto"/>
        <w:ind w:left="720" w:hanging="720"/>
        <w:jc w:val="both"/>
      </w:pPr>
      <w:r w:rsidRPr="009651ED">
        <w:t xml:space="preserve">Noronha, S.M.D. (1998). Migrant construction workers in Goa. </w:t>
      </w:r>
      <w:proofErr w:type="spellStart"/>
      <w:r w:rsidRPr="009651ED">
        <w:t>TheIndian</w:t>
      </w:r>
      <w:proofErr w:type="spellEnd"/>
      <w:r w:rsidRPr="009651ED">
        <w:t xml:space="preserve"> Journal of Labour Economics. 41(4), Oct-Dec</w:t>
      </w:r>
    </w:p>
    <w:p w14:paraId="3BB98DCD" w14:textId="77777777" w:rsidR="009651ED" w:rsidRPr="009651ED" w:rsidRDefault="009651ED" w:rsidP="00B23CAE">
      <w:pPr>
        <w:pStyle w:val="NormalWeb"/>
        <w:spacing w:line="360" w:lineRule="auto"/>
        <w:ind w:left="720" w:hanging="720"/>
        <w:jc w:val="both"/>
      </w:pPr>
      <w:proofErr w:type="spellStart"/>
      <w:r w:rsidRPr="009651ED">
        <w:t>Ottonelli</w:t>
      </w:r>
      <w:proofErr w:type="spellEnd"/>
      <w:r w:rsidRPr="009651ED">
        <w:t xml:space="preserve">, V., &amp; </w:t>
      </w:r>
      <w:proofErr w:type="spellStart"/>
      <w:r w:rsidRPr="009651ED">
        <w:t>Torresi</w:t>
      </w:r>
      <w:proofErr w:type="spellEnd"/>
      <w:r w:rsidRPr="009651ED">
        <w:t xml:space="preserve">, T. (2013). When is Migration Voluntary? International Migration Review, 47(4), 783–813. </w:t>
      </w:r>
      <w:hyperlink r:id="rId17" w:history="1">
        <w:r w:rsidRPr="009651ED">
          <w:rPr>
            <w:rStyle w:val="Hyperlink"/>
          </w:rPr>
          <w:t>https://doi.org/10.1111/imre.12048</w:t>
        </w:r>
      </w:hyperlink>
      <w:r w:rsidRPr="009651ED">
        <w:t xml:space="preserve"> </w:t>
      </w:r>
    </w:p>
    <w:p w14:paraId="5881D86C" w14:textId="77777777" w:rsidR="009651ED" w:rsidRPr="009651ED" w:rsidRDefault="009651ED" w:rsidP="00B23CAE">
      <w:pPr>
        <w:pStyle w:val="NormalWeb"/>
        <w:spacing w:line="360" w:lineRule="auto"/>
        <w:ind w:left="720" w:hanging="720"/>
        <w:jc w:val="both"/>
      </w:pPr>
      <w:proofErr w:type="spellStart"/>
      <w:r w:rsidRPr="009651ED">
        <w:t>Rajan</w:t>
      </w:r>
      <w:proofErr w:type="spellEnd"/>
      <w:r w:rsidRPr="009651ED">
        <w:t xml:space="preserve">, S. I., &amp; Zachariah, K. C. (2010). </w:t>
      </w:r>
      <w:r w:rsidRPr="009651ED">
        <w:rPr>
          <w:iCs/>
        </w:rPr>
        <w:t xml:space="preserve">Migration, remittances and development: The Kerala </w:t>
      </w:r>
      <w:proofErr w:type="spellStart"/>
      <w:proofErr w:type="gramStart"/>
      <w:r w:rsidRPr="009651ED">
        <w:rPr>
          <w:iCs/>
        </w:rPr>
        <w:t>experience</w:t>
      </w:r>
      <w:r w:rsidRPr="009651ED">
        <w:t>._</w:t>
      </w:r>
      <w:proofErr w:type="gramEnd"/>
      <w:r w:rsidRPr="009651ED">
        <w:t>Routledge</w:t>
      </w:r>
      <w:proofErr w:type="spellEnd"/>
      <w:r w:rsidRPr="009651ED">
        <w:t xml:space="preserve">. </w:t>
      </w:r>
      <w:hyperlink r:id="rId18" w:history="1">
        <w:r w:rsidRPr="009651ED">
          <w:rPr>
            <w:rStyle w:val="Hyperlink"/>
          </w:rPr>
          <w:t>https://scholar.google.co.in/scholar?q=%EF%81%B6+Rajan,+S.+I.,+%26+Zachariah,+K.+C.+(2010).+Migration,+remittances+and+development:+The+Kerala+experience.+Routledge&amp;hl=en&amp;as_sdt=0&amp;as_vis=1&amp;oi=scholart</w:t>
        </w:r>
      </w:hyperlink>
    </w:p>
    <w:p w14:paraId="0858971B" w14:textId="77777777" w:rsidR="009651ED" w:rsidRPr="009651ED" w:rsidRDefault="009651ED" w:rsidP="00B23CAE">
      <w:pPr>
        <w:pStyle w:val="NormalWeb"/>
        <w:spacing w:line="360" w:lineRule="auto"/>
        <w:ind w:left="720" w:hanging="720"/>
        <w:jc w:val="both"/>
      </w:pPr>
      <w:proofErr w:type="spellStart"/>
      <w:r w:rsidRPr="009651ED">
        <w:t>Rogaly</w:t>
      </w:r>
      <w:proofErr w:type="spellEnd"/>
      <w:r w:rsidRPr="009651ED">
        <w:t xml:space="preserve">, B. (2001). Seasonal migration, social change and migrants’ rights: Lessons from West Bengal. </w:t>
      </w:r>
      <w:r w:rsidRPr="009651ED">
        <w:rPr>
          <w:rStyle w:val="Emphasis"/>
        </w:rPr>
        <w:t>Economic and Political Weekly, 36</w:t>
      </w:r>
      <w:r w:rsidRPr="009651ED">
        <w:t>(49), 4547–4559.</w:t>
      </w:r>
    </w:p>
    <w:p w14:paraId="49A9A18D" w14:textId="77777777" w:rsidR="009651ED" w:rsidRPr="009651ED" w:rsidRDefault="009651ED" w:rsidP="00B23CAE">
      <w:pPr>
        <w:pStyle w:val="NormalWeb"/>
        <w:spacing w:line="360" w:lineRule="auto"/>
        <w:ind w:left="720" w:hanging="720"/>
        <w:jc w:val="both"/>
      </w:pPr>
      <w:r w:rsidRPr="009651ED">
        <w:t xml:space="preserve">Singh, S., &amp; Ali, S. (2020). Impact of migration on the socio-economic conditions of migratory workers in Lucknow, Uttar Pradesh. </w:t>
      </w:r>
      <w:r w:rsidRPr="009651ED">
        <w:rPr>
          <w:rStyle w:val="Emphasis"/>
        </w:rPr>
        <w:t>Our Heritage, 68</w:t>
      </w:r>
      <w:r w:rsidRPr="009651ED">
        <w:t>(30), 5265–5277.</w:t>
      </w:r>
    </w:p>
    <w:p w14:paraId="0BA787A6" w14:textId="77777777" w:rsidR="009651ED" w:rsidRPr="009651ED" w:rsidRDefault="009651ED" w:rsidP="00B23CAE">
      <w:pPr>
        <w:pStyle w:val="NormalWeb"/>
        <w:spacing w:line="360" w:lineRule="auto"/>
        <w:ind w:left="720" w:hanging="720"/>
        <w:jc w:val="both"/>
      </w:pPr>
      <w:r w:rsidRPr="009651ED">
        <w:t xml:space="preserve">Srivastava, R., &amp; Sasikumar, S. K. (2003). An overview of migration in India, its impacts and key issues. In </w:t>
      </w:r>
      <w:r w:rsidRPr="009651ED">
        <w:rPr>
          <w:rStyle w:val="Emphasis"/>
        </w:rPr>
        <w:t>Regional Conference on Migration, Development and Pro-Poor Policy Choices in Asia</w:t>
      </w:r>
      <w:r w:rsidRPr="009651ED">
        <w:t xml:space="preserve"> (pp. 22–24). Dhaka: DFID–Bangladesh and RMMRU.</w:t>
      </w:r>
    </w:p>
    <w:p w14:paraId="350BB496" w14:textId="77777777" w:rsidR="009651ED" w:rsidRPr="009651ED" w:rsidRDefault="009651ED" w:rsidP="00B23CAE">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9651ED">
        <w:rPr>
          <w:rFonts w:ascii="Times New Roman" w:eastAsia="Times New Roman" w:hAnsi="Times New Roman" w:cs="Times New Roman"/>
          <w:sz w:val="24"/>
          <w:szCs w:val="24"/>
          <w:lang w:eastAsia="en-IN"/>
        </w:rPr>
        <w:lastRenderedPageBreak/>
        <w:t xml:space="preserve">Taylor, J. E. (1999). The new economics of labour migration and the role of remittances in the migration process. </w:t>
      </w:r>
      <w:r w:rsidRPr="009651ED">
        <w:rPr>
          <w:rFonts w:ascii="Times New Roman" w:eastAsia="Times New Roman" w:hAnsi="Times New Roman" w:cs="Times New Roman"/>
          <w:iCs/>
          <w:sz w:val="24"/>
          <w:szCs w:val="24"/>
          <w:lang w:eastAsia="en-IN"/>
        </w:rPr>
        <w:t>International Migration, vol.37 Issue no.</w:t>
      </w:r>
      <w:r w:rsidRPr="009651ED">
        <w:rPr>
          <w:rFonts w:ascii="Times New Roman" w:eastAsia="Times New Roman" w:hAnsi="Times New Roman" w:cs="Times New Roman"/>
          <w:sz w:val="24"/>
          <w:szCs w:val="24"/>
          <w:lang w:eastAsia="en-IN"/>
        </w:rPr>
        <w:t>1, pp.63–88.</w:t>
      </w:r>
      <w:r w:rsidRPr="009651ED">
        <w:rPr>
          <w:rFonts w:ascii="Times New Roman" w:hAnsi="Times New Roman" w:cs="Times New Roman"/>
          <w:sz w:val="24"/>
          <w:szCs w:val="24"/>
        </w:rPr>
        <w:t xml:space="preserve">  </w:t>
      </w:r>
      <w:r w:rsidRPr="009651ED">
        <w:rPr>
          <w:rFonts w:ascii="Times New Roman" w:eastAsia="Times New Roman" w:hAnsi="Times New Roman" w:cs="Times New Roman"/>
          <w:color w:val="548DD4" w:themeColor="text2" w:themeTint="99"/>
          <w:sz w:val="24"/>
          <w:szCs w:val="24"/>
          <w:lang w:eastAsia="en-IN"/>
        </w:rPr>
        <w:t xml:space="preserve">DOI: 10.1111/1468-2435.00066      </w:t>
      </w:r>
    </w:p>
    <w:p w14:paraId="1D1BAAB2" w14:textId="77777777" w:rsidR="009651ED" w:rsidRPr="009651ED" w:rsidRDefault="009651ED" w:rsidP="00B23CAE">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proofErr w:type="spellStart"/>
      <w:r w:rsidRPr="009651ED">
        <w:rPr>
          <w:rFonts w:ascii="Times New Roman" w:eastAsia="Times New Roman" w:hAnsi="Times New Roman" w:cs="Times New Roman"/>
          <w:sz w:val="24"/>
          <w:szCs w:val="24"/>
          <w:lang w:eastAsia="en-IN"/>
        </w:rPr>
        <w:t>Tumbe</w:t>
      </w:r>
      <w:proofErr w:type="spellEnd"/>
      <w:r w:rsidRPr="009651ED">
        <w:rPr>
          <w:rFonts w:ascii="Times New Roman" w:eastAsia="Times New Roman" w:hAnsi="Times New Roman" w:cs="Times New Roman"/>
          <w:sz w:val="24"/>
          <w:szCs w:val="24"/>
          <w:lang w:eastAsia="en-IN"/>
        </w:rPr>
        <w:t xml:space="preserve">, C. (2012). Migration persistence across twentieth-century India. </w:t>
      </w:r>
      <w:r w:rsidRPr="009651ED">
        <w:rPr>
          <w:rFonts w:ascii="Times New Roman" w:eastAsia="Times New Roman" w:hAnsi="Times New Roman" w:cs="Times New Roman"/>
          <w:iCs/>
          <w:sz w:val="24"/>
          <w:szCs w:val="24"/>
          <w:lang w:eastAsia="en-IN"/>
        </w:rPr>
        <w:t>Migration and Development, vol.1 Issue no.</w:t>
      </w:r>
      <w:r w:rsidRPr="009651ED">
        <w:rPr>
          <w:rFonts w:ascii="Times New Roman" w:eastAsia="Times New Roman" w:hAnsi="Times New Roman" w:cs="Times New Roman"/>
          <w:sz w:val="24"/>
          <w:szCs w:val="24"/>
          <w:lang w:eastAsia="en-IN"/>
        </w:rPr>
        <w:t xml:space="preserve">1, pp.87–112. </w:t>
      </w:r>
      <w:hyperlink r:id="rId19" w:history="1">
        <w:r w:rsidRPr="009651ED">
          <w:rPr>
            <w:rStyle w:val="Hyperlink"/>
            <w:rFonts w:ascii="Times New Roman" w:hAnsi="Times New Roman" w:cs="Times New Roman"/>
            <w:color w:val="006DB4"/>
            <w:sz w:val="24"/>
            <w:szCs w:val="24"/>
          </w:rPr>
          <w:t>https://doi.org/10.1080/21632324.2012.716225</w:t>
        </w:r>
      </w:hyperlink>
      <w:r w:rsidRPr="009651ED">
        <w:rPr>
          <w:rFonts w:ascii="Times New Roman" w:hAnsi="Times New Roman" w:cs="Times New Roman"/>
          <w:color w:val="333333"/>
          <w:sz w:val="24"/>
          <w:szCs w:val="24"/>
        </w:rPr>
        <w:t xml:space="preserve"> </w:t>
      </w:r>
    </w:p>
    <w:p w14:paraId="49703E16" w14:textId="77777777" w:rsidR="009651ED" w:rsidRPr="009651ED" w:rsidRDefault="009651ED" w:rsidP="00B23CAE">
      <w:pPr>
        <w:pStyle w:val="NormalWeb"/>
        <w:spacing w:line="360" w:lineRule="auto"/>
        <w:ind w:left="720" w:hanging="720"/>
        <w:jc w:val="both"/>
      </w:pPr>
      <w:proofErr w:type="spellStart"/>
      <w:r w:rsidRPr="009651ED">
        <w:t>Tumbe</w:t>
      </w:r>
      <w:proofErr w:type="spellEnd"/>
      <w:r w:rsidRPr="009651ED">
        <w:t xml:space="preserve">, C. (2018). </w:t>
      </w:r>
      <w:r w:rsidRPr="009651ED">
        <w:rPr>
          <w:rStyle w:val="Emphasis"/>
        </w:rPr>
        <w:t>India Moving: A History of Migration</w:t>
      </w:r>
      <w:r w:rsidRPr="009651ED">
        <w:t xml:space="preserve">. Penguin Random House India </w:t>
      </w:r>
      <w:r w:rsidRPr="009651ED">
        <w:rPr>
          <w:shd w:val="clear" w:color="auto" w:fill="FFFFFF"/>
        </w:rPr>
        <w:t>ISBN: 9789353051631</w:t>
      </w:r>
      <w:r w:rsidRPr="009651ED">
        <w:t xml:space="preserve">. </w:t>
      </w:r>
      <w:hyperlink r:id="rId20" w:history="1">
        <w:r w:rsidRPr="009651ED">
          <w:rPr>
            <w:rStyle w:val="Hyperlink"/>
          </w:rPr>
          <w:t>https://www.penguin.co.in/book/india-moving/</w:t>
        </w:r>
      </w:hyperlink>
      <w:r w:rsidRPr="009651ED">
        <w:t xml:space="preserve">  </w:t>
      </w:r>
    </w:p>
    <w:p w14:paraId="720AC082" w14:textId="77777777" w:rsidR="009651ED" w:rsidRPr="009651ED" w:rsidRDefault="009651ED" w:rsidP="00B23CAE">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9651ED">
        <w:rPr>
          <w:rFonts w:ascii="Times New Roman" w:eastAsia="Times New Roman" w:hAnsi="Times New Roman" w:cs="Times New Roman"/>
          <w:sz w:val="24"/>
          <w:szCs w:val="24"/>
          <w:lang w:eastAsia="en-IN"/>
        </w:rPr>
        <w:t xml:space="preserve">World Bank. (2011). </w:t>
      </w:r>
      <w:r w:rsidRPr="009651ED">
        <w:rPr>
          <w:rFonts w:ascii="Times New Roman" w:eastAsia="Times New Roman" w:hAnsi="Times New Roman" w:cs="Times New Roman"/>
          <w:iCs/>
          <w:sz w:val="24"/>
          <w:szCs w:val="24"/>
          <w:lang w:eastAsia="en-IN"/>
        </w:rPr>
        <w:t>Migration and remittances fact book 2011</w:t>
      </w:r>
      <w:r w:rsidRPr="009651ED">
        <w:rPr>
          <w:rFonts w:ascii="Times New Roman" w:eastAsia="Times New Roman" w:hAnsi="Times New Roman" w:cs="Times New Roman"/>
          <w:sz w:val="24"/>
          <w:szCs w:val="24"/>
          <w:lang w:eastAsia="en-IN"/>
        </w:rPr>
        <w:t>. World Bank Publications.</w:t>
      </w:r>
      <w:hyperlink r:id="rId21" w:history="1">
        <w:r w:rsidRPr="009651ED">
          <w:rPr>
            <w:rStyle w:val="Hyperlink"/>
            <w:rFonts w:ascii="Times New Roman" w:eastAsia="Times New Roman" w:hAnsi="Times New Roman" w:cs="Times New Roman"/>
            <w:sz w:val="24"/>
            <w:szCs w:val="24"/>
            <w:lang w:eastAsia="en-IN"/>
          </w:rPr>
          <w:t>https://documents.worldbank.org/pt/publication/documents-reports/documentdetail/630421468163744010/migration-and-remittances-factbook-2011</w:t>
        </w:r>
      </w:hyperlink>
      <w:r w:rsidRPr="009651ED">
        <w:rPr>
          <w:rFonts w:ascii="Times New Roman" w:eastAsia="Times New Roman" w:hAnsi="Times New Roman" w:cs="Times New Roman"/>
          <w:sz w:val="24"/>
          <w:szCs w:val="24"/>
          <w:lang w:eastAsia="en-IN"/>
        </w:rPr>
        <w:t xml:space="preserve"> </w:t>
      </w:r>
    </w:p>
    <w:p w14:paraId="2188385C" w14:textId="77777777" w:rsidR="009651ED" w:rsidRPr="009651ED" w:rsidRDefault="009651ED" w:rsidP="00B23CAE">
      <w:pPr>
        <w:tabs>
          <w:tab w:val="left" w:pos="1027"/>
        </w:tabs>
        <w:spacing w:line="360" w:lineRule="auto"/>
        <w:ind w:left="720" w:hanging="720"/>
        <w:jc w:val="both"/>
        <w:rPr>
          <w:rFonts w:ascii="Times New Roman" w:hAnsi="Times New Roman" w:cs="Times New Roman"/>
          <w:sz w:val="24"/>
          <w:szCs w:val="24"/>
        </w:rPr>
      </w:pPr>
      <w:proofErr w:type="spellStart"/>
      <w:r w:rsidRPr="009651ED">
        <w:rPr>
          <w:rFonts w:ascii="Times New Roman" w:hAnsi="Times New Roman" w:cs="Times New Roman"/>
          <w:sz w:val="24"/>
          <w:szCs w:val="24"/>
        </w:rPr>
        <w:t>Zehmisch</w:t>
      </w:r>
      <w:proofErr w:type="spellEnd"/>
      <w:r w:rsidRPr="009651ED">
        <w:rPr>
          <w:rFonts w:ascii="Times New Roman" w:hAnsi="Times New Roman" w:cs="Times New Roman"/>
          <w:sz w:val="24"/>
          <w:szCs w:val="24"/>
        </w:rPr>
        <w:t xml:space="preserve">, P. (2013). The invisible architects of Andaman: Manifestations of aboriginal migration from Ranchi. In F. </w:t>
      </w:r>
      <w:proofErr w:type="spellStart"/>
      <w:r w:rsidRPr="009651ED">
        <w:rPr>
          <w:rFonts w:ascii="Times New Roman" w:hAnsi="Times New Roman" w:cs="Times New Roman"/>
          <w:sz w:val="24"/>
          <w:szCs w:val="24"/>
        </w:rPr>
        <w:t>Heidemann</w:t>
      </w:r>
      <w:proofErr w:type="spellEnd"/>
      <w:r w:rsidRPr="009651ED">
        <w:rPr>
          <w:rFonts w:ascii="Times New Roman" w:hAnsi="Times New Roman" w:cs="Times New Roman"/>
          <w:sz w:val="24"/>
          <w:szCs w:val="24"/>
        </w:rPr>
        <w:t xml:space="preserve"> &amp; P. </w:t>
      </w:r>
      <w:proofErr w:type="spellStart"/>
      <w:r w:rsidRPr="009651ED">
        <w:rPr>
          <w:rFonts w:ascii="Times New Roman" w:hAnsi="Times New Roman" w:cs="Times New Roman"/>
          <w:sz w:val="24"/>
          <w:szCs w:val="24"/>
        </w:rPr>
        <w:t>Zehmisch</w:t>
      </w:r>
      <w:proofErr w:type="spellEnd"/>
      <w:r w:rsidRPr="009651ED">
        <w:rPr>
          <w:rFonts w:ascii="Times New Roman" w:hAnsi="Times New Roman" w:cs="Times New Roman"/>
          <w:sz w:val="24"/>
          <w:szCs w:val="24"/>
        </w:rPr>
        <w:t xml:space="preserve"> (Eds.), Manifestations of history: Time, space and community in the Andaman Islands, pp. </w:t>
      </w:r>
      <w:r w:rsidRPr="009651ED">
        <w:rPr>
          <w:rFonts w:ascii="Times New Roman" w:hAnsi="Times New Roman" w:cs="Times New Roman"/>
          <w:spacing w:val="-2"/>
          <w:sz w:val="24"/>
          <w:szCs w:val="24"/>
        </w:rPr>
        <w:t xml:space="preserve">122–138. </w:t>
      </w:r>
      <w:hyperlink r:id="rId22" w:history="1">
        <w:r w:rsidRPr="009651ED">
          <w:rPr>
            <w:rStyle w:val="Hyperlink"/>
            <w:rFonts w:ascii="Times New Roman" w:hAnsi="Times New Roman" w:cs="Times New Roman"/>
            <w:sz w:val="24"/>
            <w:szCs w:val="24"/>
          </w:rPr>
          <w:t>https://doi.org/10.1017/s0026749x2100038x</w:t>
        </w:r>
      </w:hyperlink>
      <w:r w:rsidRPr="009651ED">
        <w:rPr>
          <w:rFonts w:ascii="Times New Roman" w:hAnsi="Times New Roman" w:cs="Times New Roman"/>
          <w:color w:val="05103E"/>
          <w:sz w:val="24"/>
          <w:szCs w:val="24"/>
        </w:rPr>
        <w:t xml:space="preserve"> </w:t>
      </w:r>
    </w:p>
    <w:sectPr w:rsidR="009651ED" w:rsidRPr="009651ED">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6614F" w14:textId="77777777" w:rsidR="00A07196" w:rsidRDefault="00A07196" w:rsidP="00FB2ABA">
      <w:pPr>
        <w:spacing w:after="0" w:line="240" w:lineRule="auto"/>
      </w:pPr>
      <w:r>
        <w:separator/>
      </w:r>
    </w:p>
  </w:endnote>
  <w:endnote w:type="continuationSeparator" w:id="0">
    <w:p w14:paraId="252A64F7" w14:textId="77777777" w:rsidR="00A07196" w:rsidRDefault="00A07196" w:rsidP="00FB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6D89C" w14:textId="77777777" w:rsidR="00FB2ABA" w:rsidRDefault="00FB2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C1FD" w14:textId="77777777" w:rsidR="00FB2ABA" w:rsidRDefault="00FB2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132DA" w14:textId="77777777" w:rsidR="00FB2ABA" w:rsidRDefault="00FB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B02CA" w14:textId="77777777" w:rsidR="00A07196" w:rsidRDefault="00A07196" w:rsidP="00FB2ABA">
      <w:pPr>
        <w:spacing w:after="0" w:line="240" w:lineRule="auto"/>
      </w:pPr>
      <w:r>
        <w:separator/>
      </w:r>
    </w:p>
  </w:footnote>
  <w:footnote w:type="continuationSeparator" w:id="0">
    <w:p w14:paraId="3EC271A3" w14:textId="77777777" w:rsidR="00A07196" w:rsidRDefault="00A07196" w:rsidP="00FB2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FA66" w14:textId="0100D980" w:rsidR="00FB2ABA" w:rsidRDefault="00FB2ABA">
    <w:pPr>
      <w:pStyle w:val="Header"/>
    </w:pPr>
    <w:r>
      <w:rPr>
        <w:noProof/>
      </w:rPr>
      <w:pict w14:anchorId="2F559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45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4D348" w14:textId="3F110800" w:rsidR="00FB2ABA" w:rsidRDefault="00FB2ABA">
    <w:pPr>
      <w:pStyle w:val="Header"/>
    </w:pPr>
    <w:r>
      <w:rPr>
        <w:noProof/>
      </w:rPr>
      <w:pict w14:anchorId="0E2BB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45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1692" w14:textId="77A5BDAF" w:rsidR="00FB2ABA" w:rsidRDefault="00FB2ABA">
    <w:pPr>
      <w:pStyle w:val="Header"/>
    </w:pPr>
    <w:r>
      <w:rPr>
        <w:noProof/>
      </w:rPr>
      <w:pict w14:anchorId="60820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45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95648"/>
    <w:multiLevelType w:val="multilevel"/>
    <w:tmpl w:val="B1A2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7143D"/>
    <w:multiLevelType w:val="multilevel"/>
    <w:tmpl w:val="20B2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A1F82"/>
    <w:multiLevelType w:val="multilevel"/>
    <w:tmpl w:val="C7D0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4A3148"/>
    <w:multiLevelType w:val="multilevel"/>
    <w:tmpl w:val="D24ADAFE"/>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2BA"/>
    <w:rsid w:val="00004903"/>
    <w:rsid w:val="00045AA9"/>
    <w:rsid w:val="000E3712"/>
    <w:rsid w:val="001D304E"/>
    <w:rsid w:val="002871DA"/>
    <w:rsid w:val="002C62BA"/>
    <w:rsid w:val="002F4819"/>
    <w:rsid w:val="003E68C0"/>
    <w:rsid w:val="00573463"/>
    <w:rsid w:val="00627187"/>
    <w:rsid w:val="007E7B0E"/>
    <w:rsid w:val="00811FCA"/>
    <w:rsid w:val="008712B0"/>
    <w:rsid w:val="0090450C"/>
    <w:rsid w:val="00933392"/>
    <w:rsid w:val="00950CFE"/>
    <w:rsid w:val="009651ED"/>
    <w:rsid w:val="00981D50"/>
    <w:rsid w:val="009C7D68"/>
    <w:rsid w:val="00A04CAB"/>
    <w:rsid w:val="00A07196"/>
    <w:rsid w:val="00B23CAE"/>
    <w:rsid w:val="00B51BB3"/>
    <w:rsid w:val="00BC34F0"/>
    <w:rsid w:val="00BF3E7D"/>
    <w:rsid w:val="00C14495"/>
    <w:rsid w:val="00C76045"/>
    <w:rsid w:val="00CC2C17"/>
    <w:rsid w:val="00DE3D5E"/>
    <w:rsid w:val="00DF3C6C"/>
    <w:rsid w:val="00DF4ABA"/>
    <w:rsid w:val="00DF7BF8"/>
    <w:rsid w:val="00E00244"/>
    <w:rsid w:val="00E20A40"/>
    <w:rsid w:val="00E56339"/>
    <w:rsid w:val="00F04DBE"/>
    <w:rsid w:val="00F365B4"/>
    <w:rsid w:val="00FB2ABA"/>
    <w:rsid w:val="00FB3377"/>
    <w:rsid w:val="00FE7DA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7AF1E7"/>
  <w15:docId w15:val="{3B966F4D-2C8F-433B-BA4F-CADC067B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BA"/>
  </w:style>
  <w:style w:type="paragraph" w:styleId="Heading1">
    <w:name w:val="heading 1"/>
    <w:basedOn w:val="Normal"/>
    <w:next w:val="Normal"/>
    <w:link w:val="Heading1Char"/>
    <w:uiPriority w:val="9"/>
    <w:qFormat/>
    <w:rsid w:val="009045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C62B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2C62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62BA"/>
    <w:pPr>
      <w:spacing w:after="0" w:line="240" w:lineRule="auto"/>
    </w:pPr>
  </w:style>
  <w:style w:type="character" w:styleId="Hyperlink">
    <w:name w:val="Hyperlink"/>
    <w:basedOn w:val="DefaultParagraphFont"/>
    <w:uiPriority w:val="99"/>
    <w:unhideWhenUsed/>
    <w:rsid w:val="002C62BA"/>
    <w:rPr>
      <w:color w:val="0000FF" w:themeColor="hyperlink"/>
      <w:u w:val="single"/>
    </w:rPr>
  </w:style>
  <w:style w:type="character" w:customStyle="1" w:styleId="Heading3Char">
    <w:name w:val="Heading 3 Char"/>
    <w:basedOn w:val="DefaultParagraphFont"/>
    <w:link w:val="Heading3"/>
    <w:uiPriority w:val="9"/>
    <w:rsid w:val="002C62BA"/>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2C62BA"/>
    <w:rPr>
      <w:b/>
      <w:bCs/>
    </w:rPr>
  </w:style>
  <w:style w:type="paragraph" w:styleId="NormalWeb">
    <w:name w:val="Normal (Web)"/>
    <w:basedOn w:val="Normal"/>
    <w:uiPriority w:val="99"/>
    <w:unhideWhenUsed/>
    <w:rsid w:val="002C62B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ibliography">
    <w:name w:val="Bibliography"/>
    <w:basedOn w:val="Normal"/>
    <w:next w:val="Normal"/>
    <w:uiPriority w:val="37"/>
    <w:unhideWhenUsed/>
    <w:rsid w:val="002C62BA"/>
  </w:style>
  <w:style w:type="character" w:customStyle="1" w:styleId="Heading4Char">
    <w:name w:val="Heading 4 Char"/>
    <w:basedOn w:val="DefaultParagraphFont"/>
    <w:link w:val="Heading4"/>
    <w:uiPriority w:val="9"/>
    <w:semiHidden/>
    <w:rsid w:val="002C62B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F36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5B4"/>
    <w:rPr>
      <w:rFonts w:ascii="Tahoma" w:hAnsi="Tahoma" w:cs="Tahoma"/>
      <w:sz w:val="16"/>
      <w:szCs w:val="16"/>
    </w:rPr>
  </w:style>
  <w:style w:type="table" w:styleId="TableGrid">
    <w:name w:val="Table Grid"/>
    <w:basedOn w:val="TableNormal"/>
    <w:uiPriority w:val="59"/>
    <w:rsid w:val="00E20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E7DAA"/>
    <w:rPr>
      <w:i/>
      <w:iCs/>
    </w:rPr>
  </w:style>
  <w:style w:type="character" w:customStyle="1" w:styleId="Heading1Char">
    <w:name w:val="Heading 1 Char"/>
    <w:basedOn w:val="DefaultParagraphFont"/>
    <w:link w:val="Heading1"/>
    <w:uiPriority w:val="9"/>
    <w:rsid w:val="0090450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90450C"/>
    <w:pPr>
      <w:widowControl w:val="0"/>
      <w:autoSpaceDE w:val="0"/>
      <w:autoSpaceDN w:val="0"/>
      <w:spacing w:after="0" w:line="240" w:lineRule="auto"/>
      <w:ind w:left="307"/>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0450C"/>
    <w:rPr>
      <w:rFonts w:ascii="Times New Roman" w:eastAsia="Times New Roman" w:hAnsi="Times New Roman" w:cs="Times New Roman"/>
      <w:sz w:val="24"/>
      <w:szCs w:val="24"/>
      <w:lang w:val="en-US"/>
    </w:rPr>
  </w:style>
  <w:style w:type="character" w:customStyle="1" w:styleId="t286pc">
    <w:name w:val="t286pc"/>
    <w:basedOn w:val="DefaultParagraphFont"/>
    <w:rsid w:val="00BC34F0"/>
  </w:style>
  <w:style w:type="paragraph" w:styleId="ListParagraph">
    <w:name w:val="List Paragraph"/>
    <w:basedOn w:val="Normal"/>
    <w:uiPriority w:val="1"/>
    <w:qFormat/>
    <w:rsid w:val="00933392"/>
    <w:pPr>
      <w:widowControl w:val="0"/>
      <w:autoSpaceDE w:val="0"/>
      <w:autoSpaceDN w:val="0"/>
      <w:spacing w:before="2" w:after="0" w:line="240" w:lineRule="auto"/>
      <w:ind w:left="1027" w:right="730" w:hanging="360"/>
      <w:jc w:val="both"/>
    </w:pPr>
    <w:rPr>
      <w:rFonts w:ascii="Times New Roman" w:eastAsia="Times New Roman" w:hAnsi="Times New Roman" w:cs="Times New Roman"/>
      <w:lang w:val="en-US"/>
    </w:rPr>
  </w:style>
  <w:style w:type="paragraph" w:styleId="Header">
    <w:name w:val="header"/>
    <w:basedOn w:val="Normal"/>
    <w:link w:val="HeaderChar"/>
    <w:uiPriority w:val="99"/>
    <w:unhideWhenUsed/>
    <w:rsid w:val="00FB2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ABA"/>
  </w:style>
  <w:style w:type="paragraph" w:styleId="Footer">
    <w:name w:val="footer"/>
    <w:basedOn w:val="Normal"/>
    <w:link w:val="FooterChar"/>
    <w:uiPriority w:val="99"/>
    <w:unhideWhenUsed/>
    <w:rsid w:val="00FB2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417691">
      <w:bodyDiv w:val="1"/>
      <w:marLeft w:val="0"/>
      <w:marRight w:val="0"/>
      <w:marTop w:val="0"/>
      <w:marBottom w:val="0"/>
      <w:divBdr>
        <w:top w:val="none" w:sz="0" w:space="0" w:color="auto"/>
        <w:left w:val="none" w:sz="0" w:space="0" w:color="auto"/>
        <w:bottom w:val="none" w:sz="0" w:space="0" w:color="auto"/>
        <w:right w:val="none" w:sz="0" w:space="0" w:color="auto"/>
      </w:divBdr>
    </w:div>
    <w:div w:id="1732077544">
      <w:bodyDiv w:val="1"/>
      <w:marLeft w:val="0"/>
      <w:marRight w:val="0"/>
      <w:marTop w:val="0"/>
      <w:marBottom w:val="0"/>
      <w:divBdr>
        <w:top w:val="none" w:sz="0" w:space="0" w:color="auto"/>
        <w:left w:val="none" w:sz="0" w:space="0" w:color="auto"/>
        <w:bottom w:val="none" w:sz="0" w:space="0" w:color="auto"/>
        <w:right w:val="none" w:sz="0" w:space="0" w:color="auto"/>
      </w:divBdr>
    </w:div>
    <w:div w:id="18156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86/s40878-020-00210-4" TargetMode="External"/><Relationship Id="rId18" Type="http://schemas.openxmlformats.org/officeDocument/2006/relationships/hyperlink" Target="https://scholar.google.co.in/scholar?q=%EF%81%B6+Rajan,+S.+I.,+%26+Zachariah,+K.+C.+(2010).+Migration,+remittances+and+development:+The+Kerala+experience.+Routledge&amp;hl=en&amp;as_sdt=0&amp;as_vis=1&amp;oi=scholar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cuments.worldbank.org/pt/publication/documents-reports/documentdetail/630421468163744010/migration-and-remittances-factbook-2011" TargetMode="External"/><Relationship Id="rId7" Type="http://schemas.openxmlformats.org/officeDocument/2006/relationships/endnotes" Target="endnotes.xml"/><Relationship Id="rId12" Type="http://schemas.openxmlformats.org/officeDocument/2006/relationships/hyperlink" Target="https://researchrepository.wvu.edu/rri-web-book/15" TargetMode="External"/><Relationship Id="rId17" Type="http://schemas.openxmlformats.org/officeDocument/2006/relationships/hyperlink" Target="https://doi.org/10.1111/imre.1204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307/2060063" TargetMode="External"/><Relationship Id="rId20" Type="http://schemas.openxmlformats.org/officeDocument/2006/relationships/hyperlink" Target="https://www.penguin.co.in/book/india-mov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038038503037001384"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ublications.iom.int/system/files/pdf/iml_34_glossary.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108/ijmhsc-04-2020-0038" TargetMode="External"/><Relationship Id="rId19" Type="http://schemas.openxmlformats.org/officeDocument/2006/relationships/hyperlink" Target="https://doi.org/10.1080/21632324.2012.716225" TargetMode="External"/><Relationship Id="rId4" Type="http://schemas.openxmlformats.org/officeDocument/2006/relationships/settings" Target="settings.xml"/><Relationship Id="rId9" Type="http://schemas.openxmlformats.org/officeDocument/2006/relationships/hyperlink" Target="https://file.pide.org.pk/pdfpdr/1996/191-196.pdf" TargetMode="External"/><Relationship Id="rId14" Type="http://schemas.openxmlformats.org/officeDocument/2006/relationships/hyperlink" Target="https://www.iom.int/sites/g/files/tmzbdl2616/files/2018-07/mrs_14_2003.pdf" TargetMode="External"/><Relationship Id="rId22" Type="http://schemas.openxmlformats.org/officeDocument/2006/relationships/hyperlink" Target="https://doi.org/10.1017/s0026749x2100038x"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Data%20Paper%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Sheet4!$B$1</c:f>
              <c:strCache>
                <c:ptCount val="1"/>
                <c:pt idx="0">
                  <c:v>Frequency</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Sheet4!$A$2:$A$6</c:f>
              <c:strCache>
                <c:ptCount val="5"/>
                <c:pt idx="0">
                  <c:v>Below 10,000</c:v>
                </c:pt>
                <c:pt idx="1">
                  <c:v>10,001 – 15,000</c:v>
                </c:pt>
                <c:pt idx="2">
                  <c:v>15,001 – 20,000</c:v>
                </c:pt>
                <c:pt idx="3">
                  <c:v>20,001 – 25,000</c:v>
                </c:pt>
                <c:pt idx="4">
                  <c:v>Above 25,000</c:v>
                </c:pt>
              </c:strCache>
            </c:strRef>
          </c:cat>
          <c:val>
            <c:numRef>
              <c:f>Sheet4!$B$2:$B$6</c:f>
              <c:numCache>
                <c:formatCode>General</c:formatCode>
                <c:ptCount val="5"/>
                <c:pt idx="0">
                  <c:v>2</c:v>
                </c:pt>
                <c:pt idx="1">
                  <c:v>20</c:v>
                </c:pt>
                <c:pt idx="2">
                  <c:v>7</c:v>
                </c:pt>
                <c:pt idx="3">
                  <c:v>18</c:v>
                </c:pt>
                <c:pt idx="4">
                  <c:v>3</c:v>
                </c:pt>
              </c:numCache>
            </c:numRef>
          </c:val>
          <c:extLst>
            <c:ext xmlns:c16="http://schemas.microsoft.com/office/drawing/2014/chart" uri="{C3380CC4-5D6E-409C-BE32-E72D297353CC}">
              <c16:uniqueId val="{00000000-67CB-46C2-916E-99F25805904B}"/>
            </c:ext>
          </c:extLst>
        </c:ser>
        <c:ser>
          <c:idx val="1"/>
          <c:order val="1"/>
          <c:tx>
            <c:strRef>
              <c:f>Sheet4!$C$1</c:f>
              <c:strCache>
                <c:ptCount val="1"/>
                <c:pt idx="0">
                  <c:v>Percentage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Sheet4!$A$2:$A$6</c:f>
              <c:strCache>
                <c:ptCount val="5"/>
                <c:pt idx="0">
                  <c:v>Below 10,000</c:v>
                </c:pt>
                <c:pt idx="1">
                  <c:v>10,001 – 15,000</c:v>
                </c:pt>
                <c:pt idx="2">
                  <c:v>15,001 – 20,000</c:v>
                </c:pt>
                <c:pt idx="3">
                  <c:v>20,001 – 25,000</c:v>
                </c:pt>
                <c:pt idx="4">
                  <c:v>Above 25,000</c:v>
                </c:pt>
              </c:strCache>
            </c:strRef>
          </c:cat>
          <c:val>
            <c:numRef>
              <c:f>Sheet4!$C$2:$C$6</c:f>
              <c:numCache>
                <c:formatCode>0.00%</c:formatCode>
                <c:ptCount val="5"/>
                <c:pt idx="0">
                  <c:v>0.04</c:v>
                </c:pt>
                <c:pt idx="1">
                  <c:v>0.4</c:v>
                </c:pt>
                <c:pt idx="2">
                  <c:v>0.14000000000000001</c:v>
                </c:pt>
                <c:pt idx="3">
                  <c:v>0.36</c:v>
                </c:pt>
                <c:pt idx="4">
                  <c:v>0.06</c:v>
                </c:pt>
              </c:numCache>
            </c:numRef>
          </c:val>
          <c:extLst>
            <c:ext xmlns:c16="http://schemas.microsoft.com/office/drawing/2014/chart" uri="{C3380CC4-5D6E-409C-BE32-E72D297353CC}">
              <c16:uniqueId val="{00000001-67CB-46C2-916E-99F25805904B}"/>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DEC0C-4958-46BA-8DF6-D5398E10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18</Pages>
  <Words>6006</Words>
  <Characters>34235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18</cp:revision>
  <dcterms:created xsi:type="dcterms:W3CDTF">2025-06-17T09:39:00Z</dcterms:created>
  <dcterms:modified xsi:type="dcterms:W3CDTF">2025-09-04T13:07:00Z</dcterms:modified>
</cp:coreProperties>
</file>