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30AA" w14:textId="7458CD84" w:rsidR="00672BC1" w:rsidRPr="00672BC1" w:rsidRDefault="00672BC1" w:rsidP="00672BC1">
      <w:pPr>
        <w:jc w:val="center"/>
        <w:rPr>
          <w:rFonts w:ascii="Times New Roman" w:hAnsi="Times New Roman" w:cs="Times New Roman"/>
          <w:b/>
          <w:bCs/>
          <w:sz w:val="28"/>
          <w:szCs w:val="28"/>
        </w:rPr>
      </w:pPr>
      <w:r w:rsidRPr="00672BC1">
        <w:rPr>
          <w:rFonts w:ascii="Times New Roman" w:hAnsi="Times New Roman" w:cs="Times New Roman"/>
          <w:b/>
          <w:bCs/>
          <w:sz w:val="28"/>
          <w:szCs w:val="28"/>
        </w:rPr>
        <w:t xml:space="preserve">Adaptive Regional Planning Strategies for MSME Sustainability Amidst Transportation Infrastructure Shifts: Evidence from </w:t>
      </w:r>
      <w:proofErr w:type="spellStart"/>
      <w:r w:rsidRPr="00672BC1">
        <w:rPr>
          <w:rFonts w:ascii="Times New Roman" w:hAnsi="Times New Roman" w:cs="Times New Roman"/>
          <w:b/>
          <w:bCs/>
          <w:sz w:val="28"/>
          <w:szCs w:val="28"/>
        </w:rPr>
        <w:t>Perbaungan</w:t>
      </w:r>
      <w:proofErr w:type="spellEnd"/>
      <w:r w:rsidRPr="00672BC1">
        <w:rPr>
          <w:rFonts w:ascii="Times New Roman" w:hAnsi="Times New Roman" w:cs="Times New Roman"/>
          <w:b/>
          <w:bCs/>
          <w:sz w:val="28"/>
          <w:szCs w:val="28"/>
        </w:rPr>
        <w:t>, Indonesia</w:t>
      </w:r>
    </w:p>
    <w:p w14:paraId="1F39B048" w14:textId="77777777" w:rsidR="00672BC1" w:rsidRDefault="00672BC1">
      <w:pPr>
        <w:rPr>
          <w:rFonts w:ascii="Times New Roman" w:hAnsi="Times New Roman" w:cs="Times New Roman"/>
        </w:rPr>
      </w:pPr>
      <w:bookmarkStart w:id="0" w:name="_GoBack"/>
      <w:bookmarkEnd w:id="0"/>
    </w:p>
    <w:p w14:paraId="21CA7712" w14:textId="7AFC4E92" w:rsidR="0035564C" w:rsidRPr="0035564C" w:rsidRDefault="0035564C" w:rsidP="0035564C">
      <w:pPr>
        <w:jc w:val="center"/>
        <w:rPr>
          <w:rFonts w:ascii="Times New Roman" w:hAnsi="Times New Roman" w:cs="Times New Roman"/>
          <w:b/>
          <w:bCs/>
        </w:rPr>
      </w:pPr>
      <w:r>
        <w:rPr>
          <w:rFonts w:ascii="Times New Roman" w:hAnsi="Times New Roman" w:cs="Times New Roman"/>
          <w:b/>
          <w:bCs/>
        </w:rPr>
        <w:t>Abstract</w:t>
      </w:r>
    </w:p>
    <w:p w14:paraId="2F94A712" w14:textId="11F8604D" w:rsidR="00672BC1" w:rsidRPr="00672BC1" w:rsidRDefault="00672BC1" w:rsidP="00672BC1">
      <w:pPr>
        <w:jc w:val="both"/>
        <w:rPr>
          <w:rFonts w:ascii="Times New Roman" w:hAnsi="Times New Roman" w:cs="Times New Roman"/>
        </w:rPr>
      </w:pPr>
      <w:r w:rsidRPr="00672BC1">
        <w:rPr>
          <w:rFonts w:ascii="Times New Roman" w:hAnsi="Times New Roman" w:cs="Times New Roman"/>
        </w:rPr>
        <w:t xml:space="preserve">Major infrastructure projects, such as toll roads, can disrupt local economic ecosystems by altering accessibility and consumer flow. This study investigates the sustainability of Micro, Small, and Medium Enterprises (MSMEs) in </w:t>
      </w:r>
      <w:proofErr w:type="spellStart"/>
      <w:r w:rsidRPr="00672BC1">
        <w:rPr>
          <w:rFonts w:ascii="Times New Roman" w:hAnsi="Times New Roman" w:cs="Times New Roman"/>
        </w:rPr>
        <w:t>Perbaungan</w:t>
      </w:r>
      <w:proofErr w:type="spellEnd"/>
      <w:r w:rsidRPr="00672BC1">
        <w:rPr>
          <w:rFonts w:ascii="Times New Roman" w:hAnsi="Times New Roman" w:cs="Times New Roman"/>
        </w:rPr>
        <w:t xml:space="preserve">, North Sumatra, following the construction of the Trans-Sumatra Toll Road, which diverted traffic away from traditional commercial hubs like Pasar </w:t>
      </w:r>
      <w:proofErr w:type="spellStart"/>
      <w:r w:rsidRPr="00672BC1">
        <w:rPr>
          <w:rFonts w:ascii="Times New Roman" w:hAnsi="Times New Roman" w:cs="Times New Roman"/>
        </w:rPr>
        <w:t>Bengkel</w:t>
      </w:r>
      <w:proofErr w:type="spellEnd"/>
      <w:r w:rsidRPr="00672BC1">
        <w:rPr>
          <w:rFonts w:ascii="Times New Roman" w:hAnsi="Times New Roman" w:cs="Times New Roman"/>
        </w:rPr>
        <w:t>. Using a mixed-method approach that combines Structural Equation Modeling (SEM) with SWOT analysis, the research evaluates the effects of transportation infrastructure, government policy, and adaptive capacity on MSME sustainability.</w:t>
      </w:r>
      <w:r w:rsidR="00DC57BD">
        <w:rPr>
          <w:rFonts w:ascii="Times New Roman" w:hAnsi="Times New Roman" w:cs="Times New Roman"/>
        </w:rPr>
        <w:t xml:space="preserve"> </w:t>
      </w:r>
      <w:r w:rsidRPr="00672BC1">
        <w:rPr>
          <w:rFonts w:ascii="Times New Roman" w:hAnsi="Times New Roman" w:cs="Times New Roman"/>
        </w:rPr>
        <w:t>Findings reveal that adaptive capacity is the most significant predictor of MSME resilience (path coefficient = 0.784), followed by government policy (0.330), while infrastructure development exerts minimal direct influence (0.136). SWOT results position MSMEs in Quadrant II (diversification strategy), highlighting strengths in innovation and digital adoption, but weaknesses in market access and logistics. Opportunities include integration into toll road rest areas and supportive policy frameworks, while key threats involve declining foot traffic and exclusion from spatial planning.</w:t>
      </w:r>
      <w:r w:rsidR="00DC57BD">
        <w:rPr>
          <w:rFonts w:ascii="Times New Roman" w:hAnsi="Times New Roman" w:cs="Times New Roman"/>
        </w:rPr>
        <w:t xml:space="preserve"> </w:t>
      </w:r>
      <w:r w:rsidRPr="00672BC1">
        <w:rPr>
          <w:rFonts w:ascii="Times New Roman" w:hAnsi="Times New Roman" w:cs="Times New Roman"/>
        </w:rPr>
        <w:t>This research underscores the importance of spatially-informed, participatory regional planning to ensure MSME survival amidst macro-infrastructure transitions. The study contributes to the discourse on place-based development and dynamic capabilities, offering actionable policy insights for inclusive, adaptive economic planning in peri-urban Indonesia.</w:t>
      </w:r>
    </w:p>
    <w:p w14:paraId="74DA19A1" w14:textId="77777777" w:rsidR="00672BC1" w:rsidRPr="00672BC1" w:rsidRDefault="00672BC1" w:rsidP="00672BC1">
      <w:pPr>
        <w:jc w:val="both"/>
        <w:rPr>
          <w:rFonts w:ascii="Times New Roman" w:hAnsi="Times New Roman" w:cs="Times New Roman"/>
        </w:rPr>
      </w:pPr>
      <w:r w:rsidRPr="00672BC1">
        <w:rPr>
          <w:rFonts w:ascii="Times New Roman" w:hAnsi="Times New Roman" w:cs="Times New Roman"/>
          <w:b/>
          <w:bCs/>
        </w:rPr>
        <w:t>Keywords:</w:t>
      </w:r>
      <w:r w:rsidRPr="00672BC1">
        <w:rPr>
          <w:rFonts w:ascii="Times New Roman" w:hAnsi="Times New Roman" w:cs="Times New Roman"/>
        </w:rPr>
        <w:t xml:space="preserve"> MSME sustainability, regional planning, toll road, SEM, SWOT, spatial adaptation, Indonesia</w:t>
      </w:r>
    </w:p>
    <w:p w14:paraId="5E4525AE" w14:textId="612C4DA3" w:rsidR="00672BC1" w:rsidRPr="001851BA" w:rsidRDefault="001851BA" w:rsidP="001851BA">
      <w:pPr>
        <w:pStyle w:val="ListParagraph"/>
        <w:numPr>
          <w:ilvl w:val="0"/>
          <w:numId w:val="1"/>
        </w:numPr>
        <w:rPr>
          <w:rFonts w:ascii="Times New Roman" w:hAnsi="Times New Roman" w:cs="Times New Roman"/>
          <w:b/>
          <w:bCs/>
        </w:rPr>
      </w:pPr>
      <w:r>
        <w:rPr>
          <w:rFonts w:ascii="Times New Roman" w:hAnsi="Times New Roman" w:cs="Times New Roman"/>
          <w:b/>
          <w:bCs/>
        </w:rPr>
        <w:t>Introduction</w:t>
      </w:r>
    </w:p>
    <w:p w14:paraId="080459C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Transportation infrastructure plays a pivotal role in shaping regional economic landscapes by enhancing connectivity, reducing transaction costs, and facilitating the movement of goods and people (Banister &amp; </w:t>
      </w:r>
      <w:proofErr w:type="spellStart"/>
      <w:r w:rsidRPr="001851BA">
        <w:rPr>
          <w:rFonts w:ascii="Times New Roman" w:hAnsi="Times New Roman" w:cs="Times New Roman"/>
        </w:rPr>
        <w:t>Berechman</w:t>
      </w:r>
      <w:proofErr w:type="spellEnd"/>
      <w:r w:rsidRPr="001851BA">
        <w:rPr>
          <w:rFonts w:ascii="Times New Roman" w:hAnsi="Times New Roman" w:cs="Times New Roman"/>
        </w:rPr>
        <w:t xml:space="preserve">, 2001; </w:t>
      </w:r>
      <w:proofErr w:type="spellStart"/>
      <w:r w:rsidRPr="001851BA">
        <w:rPr>
          <w:rFonts w:ascii="Times New Roman" w:hAnsi="Times New Roman" w:cs="Times New Roman"/>
        </w:rPr>
        <w:t>Lall</w:t>
      </w:r>
      <w:proofErr w:type="spellEnd"/>
      <w:r w:rsidRPr="001851BA">
        <w:rPr>
          <w:rFonts w:ascii="Times New Roman" w:hAnsi="Times New Roman" w:cs="Times New Roman"/>
        </w:rPr>
        <w:t xml:space="preserve"> &amp; </w:t>
      </w:r>
      <w:proofErr w:type="spellStart"/>
      <w:r w:rsidRPr="001851BA">
        <w:rPr>
          <w:rFonts w:ascii="Times New Roman" w:hAnsi="Times New Roman" w:cs="Times New Roman"/>
        </w:rPr>
        <w:t>Chakravorty</w:t>
      </w:r>
      <w:proofErr w:type="spellEnd"/>
      <w:r w:rsidRPr="001851BA">
        <w:rPr>
          <w:rFonts w:ascii="Times New Roman" w:hAnsi="Times New Roman" w:cs="Times New Roman"/>
        </w:rPr>
        <w:t>, 2005). In developing countries, large-scale infrastructure projects are often perceived as catalysts for economic growth and urban integration. However, such developments can also lead to uneven benefits across regions and sectors, particularly for micro and small-scale enterprises that rely on localized demand (Baldwin &amp; Venables, 2010). As infrastructure expands, local economies must adapt to shifting spatial and economic geographies to remain competitive.</w:t>
      </w:r>
    </w:p>
    <w:p w14:paraId="57FD27F4"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Micro, Small, and Medium Enterprises (MSMEs) are especially vulnerable to disruptions caused by infrastructure changes. These enterprises typically operate in informal sectors with limited buffers against fluctuations in consumer flow and supply chain realignment (</w:t>
      </w:r>
      <w:proofErr w:type="spellStart"/>
      <w:r w:rsidRPr="001851BA">
        <w:rPr>
          <w:rFonts w:ascii="Times New Roman" w:hAnsi="Times New Roman" w:cs="Times New Roman"/>
        </w:rPr>
        <w:t>Ayyagari</w:t>
      </w:r>
      <w:proofErr w:type="spellEnd"/>
      <w:r w:rsidRPr="001851BA">
        <w:rPr>
          <w:rFonts w:ascii="Times New Roman" w:hAnsi="Times New Roman" w:cs="Times New Roman"/>
        </w:rPr>
        <w:t xml:space="preserve">, Beck, &amp; </w:t>
      </w:r>
      <w:proofErr w:type="spellStart"/>
      <w:r w:rsidRPr="001851BA">
        <w:rPr>
          <w:rFonts w:ascii="Times New Roman" w:hAnsi="Times New Roman" w:cs="Times New Roman"/>
        </w:rPr>
        <w:t>Demirguc-Kunt</w:t>
      </w:r>
      <w:proofErr w:type="spellEnd"/>
      <w:r w:rsidRPr="001851BA">
        <w:rPr>
          <w:rFonts w:ascii="Times New Roman" w:hAnsi="Times New Roman" w:cs="Times New Roman"/>
        </w:rPr>
        <w:t xml:space="preserve">, 2007). Toll roads, while beneficial for regional logistics, often divert traffic away </w:t>
      </w:r>
      <w:r w:rsidRPr="001851BA">
        <w:rPr>
          <w:rFonts w:ascii="Times New Roman" w:hAnsi="Times New Roman" w:cs="Times New Roman"/>
        </w:rPr>
        <w:lastRenderedPageBreak/>
        <w:t>from traditional marketplaces, leading to declining sales and reduced visibility for MSMEs (Muhtar et al., 2021). Without adaptive strategies, such shifts can marginalize MSMEs and threaten local economic resilience (</w:t>
      </w:r>
      <w:proofErr w:type="spellStart"/>
      <w:r w:rsidRPr="001851BA">
        <w:rPr>
          <w:rFonts w:ascii="Times New Roman" w:hAnsi="Times New Roman" w:cs="Times New Roman"/>
        </w:rPr>
        <w:t>Rahayu</w:t>
      </w:r>
      <w:proofErr w:type="spellEnd"/>
      <w:r w:rsidRPr="001851BA">
        <w:rPr>
          <w:rFonts w:ascii="Times New Roman" w:hAnsi="Times New Roman" w:cs="Times New Roman"/>
        </w:rPr>
        <w:t xml:space="preserve"> &amp; </w:t>
      </w:r>
      <w:proofErr w:type="spellStart"/>
      <w:r w:rsidRPr="001851BA">
        <w:rPr>
          <w:rFonts w:ascii="Times New Roman" w:hAnsi="Times New Roman" w:cs="Times New Roman"/>
        </w:rPr>
        <w:t>Kipuw</w:t>
      </w:r>
      <w:proofErr w:type="spellEnd"/>
      <w:r w:rsidRPr="001851BA">
        <w:rPr>
          <w:rFonts w:ascii="Times New Roman" w:hAnsi="Times New Roman" w:cs="Times New Roman"/>
        </w:rPr>
        <w:t>, 2020).</w:t>
      </w:r>
    </w:p>
    <w:p w14:paraId="0D9B1EA9"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MSMEs constitute over 90% of business entities in Indonesia and contribute significantly to employment and GDP (BPS, 2022). Their role in fostering inclusive economic development, especially in semi-urban and rural areas, has made them a focus of national development agendas (</w:t>
      </w:r>
      <w:proofErr w:type="spellStart"/>
      <w:r w:rsidRPr="001851BA">
        <w:rPr>
          <w:rFonts w:ascii="Times New Roman" w:hAnsi="Times New Roman" w:cs="Times New Roman"/>
        </w:rPr>
        <w:t>Raharti</w:t>
      </w:r>
      <w:proofErr w:type="spellEnd"/>
      <w:r w:rsidRPr="001851BA">
        <w:rPr>
          <w:rFonts w:ascii="Times New Roman" w:hAnsi="Times New Roman" w:cs="Times New Roman"/>
        </w:rPr>
        <w:t xml:space="preserve"> et al., 2020). However, despite their importance, MSMEs often struggle to adapt to macro-structural changes such as highway development due to limited digital literacy, weak institutional support, and spatial exclusion (</w:t>
      </w:r>
      <w:proofErr w:type="spellStart"/>
      <w:r w:rsidRPr="001851BA">
        <w:rPr>
          <w:rFonts w:ascii="Times New Roman" w:hAnsi="Times New Roman" w:cs="Times New Roman"/>
        </w:rPr>
        <w:t>Adriani</w:t>
      </w:r>
      <w:proofErr w:type="spellEnd"/>
      <w:r w:rsidRPr="001851BA">
        <w:rPr>
          <w:rFonts w:ascii="Times New Roman" w:hAnsi="Times New Roman" w:cs="Times New Roman"/>
        </w:rPr>
        <w:t xml:space="preserve"> &amp; </w:t>
      </w:r>
      <w:proofErr w:type="spellStart"/>
      <w:r w:rsidRPr="001851BA">
        <w:rPr>
          <w:rFonts w:ascii="Times New Roman" w:hAnsi="Times New Roman" w:cs="Times New Roman"/>
        </w:rPr>
        <w:t>Wiksuana</w:t>
      </w:r>
      <w:proofErr w:type="spellEnd"/>
      <w:r w:rsidRPr="001851BA">
        <w:rPr>
          <w:rFonts w:ascii="Times New Roman" w:hAnsi="Times New Roman" w:cs="Times New Roman"/>
        </w:rPr>
        <w:t>, 2018). This necessitates a more integrated planning approach that positions MSMEs within broader infrastructure and spatial frameworks.</w:t>
      </w:r>
    </w:p>
    <w:p w14:paraId="100D3FE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Regional planning frameworks are vital for ensuring that infrastructure investments translate into inclusive economic benefits. Spatially-sensitive planning can mitigate the negative externalities of large-scale projects by integrating vulnerable sectors, such as MSMEs, into new economic nodes like rest areas or service corridors (</w:t>
      </w:r>
      <w:proofErr w:type="spellStart"/>
      <w:r w:rsidRPr="001851BA">
        <w:rPr>
          <w:rFonts w:ascii="Times New Roman" w:hAnsi="Times New Roman" w:cs="Times New Roman"/>
        </w:rPr>
        <w:t>Milasari</w:t>
      </w:r>
      <w:proofErr w:type="spellEnd"/>
      <w:r w:rsidRPr="001851BA">
        <w:rPr>
          <w:rFonts w:ascii="Times New Roman" w:hAnsi="Times New Roman" w:cs="Times New Roman"/>
        </w:rPr>
        <w:t xml:space="preserve"> et al., 2023). In contexts where top-down infrastructure development dominates, participatory spatial planning becomes essential to balance economic efficiency with equity (</w:t>
      </w:r>
      <w:proofErr w:type="spellStart"/>
      <w:r w:rsidRPr="001851BA">
        <w:rPr>
          <w:rFonts w:ascii="Times New Roman" w:hAnsi="Times New Roman" w:cs="Times New Roman"/>
        </w:rPr>
        <w:t>Setyono</w:t>
      </w:r>
      <w:proofErr w:type="spellEnd"/>
      <w:r w:rsidRPr="001851BA">
        <w:rPr>
          <w:rFonts w:ascii="Times New Roman" w:hAnsi="Times New Roman" w:cs="Times New Roman"/>
        </w:rPr>
        <w:t>, 2007; Harun, 2010). Unfortunately, many local governments lack the institutional mechanisms to incorporate MSME needs into spatial policy design.</w:t>
      </w:r>
    </w:p>
    <w:p w14:paraId="78F2951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One of the most promising avenues for MSME adaptation lies in digital transformation. E-commerce platforms, digital payment systems, and social media marketing can extend MSME market reach beyond traditional foot traffic (</w:t>
      </w:r>
      <w:proofErr w:type="spellStart"/>
      <w:r w:rsidRPr="001851BA">
        <w:rPr>
          <w:rFonts w:ascii="Times New Roman" w:hAnsi="Times New Roman" w:cs="Times New Roman"/>
        </w:rPr>
        <w:t>Harnida</w:t>
      </w:r>
      <w:proofErr w:type="spellEnd"/>
      <w:r w:rsidRPr="001851BA">
        <w:rPr>
          <w:rFonts w:ascii="Times New Roman" w:hAnsi="Times New Roman" w:cs="Times New Roman"/>
        </w:rPr>
        <w:t xml:space="preserve"> et al., 2024). Studies show that digital adoption significantly enhances MSME competitiveness in disrupted environments (Sahoo &amp; Mohanty, 2025; </w:t>
      </w:r>
      <w:proofErr w:type="spellStart"/>
      <w:r w:rsidRPr="001851BA">
        <w:rPr>
          <w:rFonts w:ascii="Times New Roman" w:hAnsi="Times New Roman" w:cs="Times New Roman"/>
        </w:rPr>
        <w:t>Azizah</w:t>
      </w:r>
      <w:proofErr w:type="spellEnd"/>
      <w:r w:rsidRPr="001851BA">
        <w:rPr>
          <w:rFonts w:ascii="Times New Roman" w:hAnsi="Times New Roman" w:cs="Times New Roman"/>
        </w:rPr>
        <w:t xml:space="preserve"> et al., 2024). However, many MSMEs, particularly in peripheral areas, still face technological, infrastructural, and capacity-based barriers to digitalization, limiting their resilience to spatial and economic shifts.</w:t>
      </w:r>
    </w:p>
    <w:p w14:paraId="3617291F"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The Trans-Sumatra Toll Road, specifically the Medan–</w:t>
      </w:r>
      <w:proofErr w:type="spellStart"/>
      <w:r w:rsidRPr="001851BA">
        <w:rPr>
          <w:rFonts w:ascii="Times New Roman" w:hAnsi="Times New Roman" w:cs="Times New Roman"/>
        </w:rPr>
        <w:t>Tebing</w:t>
      </w:r>
      <w:proofErr w:type="spellEnd"/>
      <w:r w:rsidRPr="001851BA">
        <w:rPr>
          <w:rFonts w:ascii="Times New Roman" w:hAnsi="Times New Roman" w:cs="Times New Roman"/>
        </w:rPr>
        <w:t xml:space="preserve"> Tinggi segment, has significantly altered transportation flows in Serdang </w:t>
      </w:r>
      <w:proofErr w:type="spellStart"/>
      <w:r w:rsidRPr="001851BA">
        <w:rPr>
          <w:rFonts w:ascii="Times New Roman" w:hAnsi="Times New Roman" w:cs="Times New Roman"/>
        </w:rPr>
        <w:t>Bedagai</w:t>
      </w:r>
      <w:proofErr w:type="spellEnd"/>
      <w:r w:rsidRPr="001851BA">
        <w:rPr>
          <w:rFonts w:ascii="Times New Roman" w:hAnsi="Times New Roman" w:cs="Times New Roman"/>
        </w:rPr>
        <w:t xml:space="preserve"> Regency. Traditional economic hubs such as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have experienced a sharp decline in customer visits due to the redirection of traffic to the toll route (</w:t>
      </w:r>
      <w:proofErr w:type="spellStart"/>
      <w:r w:rsidRPr="001851BA">
        <w:rPr>
          <w:rFonts w:ascii="Times New Roman" w:hAnsi="Times New Roman" w:cs="Times New Roman"/>
        </w:rPr>
        <w:t>Wibowo</w:t>
      </w:r>
      <w:proofErr w:type="spellEnd"/>
      <w:r w:rsidRPr="001851BA">
        <w:rPr>
          <w:rFonts w:ascii="Times New Roman" w:hAnsi="Times New Roman" w:cs="Times New Roman"/>
        </w:rPr>
        <w:t xml:space="preserve"> et al., 2024). Local MSMEs—particularly those producing iconic products like </w:t>
      </w:r>
      <w:proofErr w:type="spellStart"/>
      <w:r w:rsidRPr="001851BA">
        <w:rPr>
          <w:rFonts w:ascii="Times New Roman" w:hAnsi="Times New Roman" w:cs="Times New Roman"/>
        </w:rPr>
        <w:t>dodol</w:t>
      </w:r>
      <w:proofErr w:type="spellEnd"/>
      <w:r w:rsidRPr="001851BA">
        <w:rPr>
          <w:rFonts w:ascii="Times New Roman" w:hAnsi="Times New Roman" w:cs="Times New Roman"/>
        </w:rPr>
        <w:t xml:space="preserve"> </w:t>
      </w:r>
      <w:proofErr w:type="spellStart"/>
      <w:r w:rsidRPr="001851BA">
        <w:rPr>
          <w:rFonts w:ascii="Times New Roman" w:hAnsi="Times New Roman" w:cs="Times New Roman"/>
        </w:rPr>
        <w:t>Bengkel</w:t>
      </w:r>
      <w:proofErr w:type="spellEnd"/>
      <w:r w:rsidRPr="001851BA">
        <w:rPr>
          <w:rFonts w:ascii="Times New Roman" w:hAnsi="Times New Roman" w:cs="Times New Roman"/>
        </w:rPr>
        <w:t>—now face decreased visibility and disrupted supply chains. These conditions underscore the urgency of strategic planning interventions that are both spatially contextual and enterprise-sensitive.</w:t>
      </w:r>
    </w:p>
    <w:p w14:paraId="3D8C6AFC" w14:textId="59ED92B3" w:rsidR="001851BA" w:rsidRPr="001851BA" w:rsidRDefault="001851BA" w:rsidP="001851BA">
      <w:pPr>
        <w:jc w:val="both"/>
        <w:rPr>
          <w:rFonts w:ascii="Times New Roman" w:hAnsi="Times New Roman" w:cs="Times New Roman"/>
        </w:rPr>
      </w:pPr>
      <w:r w:rsidRPr="001851BA">
        <w:rPr>
          <w:rFonts w:ascii="Times New Roman" w:hAnsi="Times New Roman" w:cs="Times New Roman"/>
        </w:rPr>
        <w:t>Although previous studies have examined the macroeconomic impacts of toll roads (</w:t>
      </w:r>
      <w:proofErr w:type="spellStart"/>
      <w:r w:rsidRPr="001851BA">
        <w:rPr>
          <w:rFonts w:ascii="Times New Roman" w:hAnsi="Times New Roman" w:cs="Times New Roman"/>
        </w:rPr>
        <w:t>Sembiring</w:t>
      </w:r>
      <w:proofErr w:type="spellEnd"/>
      <w:r w:rsidRPr="001851BA">
        <w:rPr>
          <w:rFonts w:ascii="Times New Roman" w:hAnsi="Times New Roman" w:cs="Times New Roman"/>
        </w:rPr>
        <w:t xml:space="preserve"> &amp; Anas, 2019; Hanafi, 2023), few have focused on the micro-level effects on MSME sustainability in secondary cities or rural-urban transition zones. Moreover, existing frameworks often overlook the interplay between adaptive capacity, government policy, and infrastructure accessibility. There is also a lack of empirical models that combine quantitative and strategic dimensions—such as SEM with SWOT—to assess and plan for MSME resilience (</w:t>
      </w:r>
      <w:proofErr w:type="spellStart"/>
      <w:r w:rsidRPr="001851BA">
        <w:rPr>
          <w:rFonts w:ascii="Times New Roman" w:hAnsi="Times New Roman" w:cs="Times New Roman"/>
        </w:rPr>
        <w:t>Dwiputri</w:t>
      </w:r>
      <w:proofErr w:type="spellEnd"/>
      <w:r w:rsidRPr="001851BA">
        <w:rPr>
          <w:rFonts w:ascii="Times New Roman" w:hAnsi="Times New Roman" w:cs="Times New Roman"/>
        </w:rPr>
        <w:t xml:space="preserve"> et al., 2022). This gap limits the relevance of past findings for regional policymaking.</w:t>
      </w:r>
    </w:p>
    <w:p w14:paraId="432D1A19" w14:textId="661F4D83" w:rsidR="001851BA" w:rsidRPr="001851BA" w:rsidRDefault="001851BA" w:rsidP="001851BA">
      <w:pPr>
        <w:jc w:val="both"/>
        <w:rPr>
          <w:rFonts w:ascii="Times New Roman" w:hAnsi="Times New Roman" w:cs="Times New Roman"/>
        </w:rPr>
      </w:pPr>
      <w:r w:rsidRPr="001851BA">
        <w:rPr>
          <w:rFonts w:ascii="Times New Roman" w:hAnsi="Times New Roman" w:cs="Times New Roman"/>
        </w:rPr>
        <w:lastRenderedPageBreak/>
        <w:t xml:space="preserve">This study is grounded in the dynamic </w:t>
      </w:r>
      <w:proofErr w:type="gramStart"/>
      <w:r w:rsidRPr="001851BA">
        <w:rPr>
          <w:rFonts w:ascii="Times New Roman" w:hAnsi="Times New Roman" w:cs="Times New Roman"/>
        </w:rPr>
        <w:t>capabilities</w:t>
      </w:r>
      <w:proofErr w:type="gramEnd"/>
      <w:r w:rsidRPr="001851BA">
        <w:rPr>
          <w:rFonts w:ascii="Times New Roman" w:hAnsi="Times New Roman" w:cs="Times New Roman"/>
        </w:rPr>
        <w:t xml:space="preserve"> theory, which emphasizes the ability of firms to adapt, integrate, and reconfigure internal and external competencies in rapidly changing environments (Teece et al., 1997). Coupled with place-based development theory, the study underscores the role of localized planning in shaping enterprise-level outcomes. The integration of these frameworks provides a robust lens through which to understand and influence MSME sustainability amid spatial transformations (</w:t>
      </w:r>
      <w:proofErr w:type="spellStart"/>
      <w:r w:rsidRPr="001851BA">
        <w:rPr>
          <w:rFonts w:ascii="Times New Roman" w:hAnsi="Times New Roman" w:cs="Times New Roman"/>
        </w:rPr>
        <w:t>Cardoni</w:t>
      </w:r>
      <w:proofErr w:type="spellEnd"/>
      <w:r w:rsidRPr="001851BA">
        <w:rPr>
          <w:rFonts w:ascii="Times New Roman" w:hAnsi="Times New Roman" w:cs="Times New Roman"/>
        </w:rPr>
        <w:t xml:space="preserve"> et al., 2019; </w:t>
      </w:r>
      <w:proofErr w:type="spellStart"/>
      <w:r w:rsidRPr="001851BA">
        <w:rPr>
          <w:rFonts w:ascii="Times New Roman" w:hAnsi="Times New Roman" w:cs="Times New Roman"/>
        </w:rPr>
        <w:t>Ptak-Chmielewska</w:t>
      </w:r>
      <w:proofErr w:type="spellEnd"/>
      <w:r w:rsidRPr="001851BA">
        <w:rPr>
          <w:rFonts w:ascii="Times New Roman" w:hAnsi="Times New Roman" w:cs="Times New Roman"/>
        </w:rPr>
        <w:t xml:space="preserve"> &amp; </w:t>
      </w:r>
      <w:proofErr w:type="spellStart"/>
      <w:r w:rsidRPr="001851BA">
        <w:rPr>
          <w:rFonts w:ascii="Times New Roman" w:hAnsi="Times New Roman" w:cs="Times New Roman"/>
        </w:rPr>
        <w:t>Chłoń-Domińczak</w:t>
      </w:r>
      <w:proofErr w:type="spellEnd"/>
      <w:r w:rsidRPr="001851BA">
        <w:rPr>
          <w:rFonts w:ascii="Times New Roman" w:hAnsi="Times New Roman" w:cs="Times New Roman"/>
        </w:rPr>
        <w:t>, 2021).</w:t>
      </w:r>
    </w:p>
    <w:p w14:paraId="5829287B" w14:textId="77777777" w:rsidR="001851BA" w:rsidRPr="001851BA" w:rsidRDefault="001851BA" w:rsidP="001851BA">
      <w:pPr>
        <w:jc w:val="both"/>
        <w:rPr>
          <w:rFonts w:ascii="Times New Roman" w:hAnsi="Times New Roman" w:cs="Times New Roman"/>
        </w:rPr>
      </w:pPr>
      <w:r w:rsidRPr="001851BA">
        <w:rPr>
          <w:rFonts w:ascii="Times New Roman" w:hAnsi="Times New Roman" w:cs="Times New Roman"/>
        </w:rPr>
        <w:t xml:space="preserve">This research aims to analyze the influence of transportation infrastructure, government policy, and MSME adaptive capacity on enterprise sustainability in </w:t>
      </w:r>
      <w:proofErr w:type="spellStart"/>
      <w:r w:rsidRPr="001851BA">
        <w:rPr>
          <w:rFonts w:ascii="Times New Roman" w:hAnsi="Times New Roman" w:cs="Times New Roman"/>
        </w:rPr>
        <w:t>Perbaungan</w:t>
      </w:r>
      <w:proofErr w:type="spellEnd"/>
      <w:r w:rsidRPr="001851BA">
        <w:rPr>
          <w:rFonts w:ascii="Times New Roman" w:hAnsi="Times New Roman" w:cs="Times New Roman"/>
        </w:rPr>
        <w:t xml:space="preserve">, Indonesia. Using a hybrid method that combines Structural Equation Modeling (SEM) with SWOT analysis, the study tests causal pathways and formulates spatial planning strategies. The geographic focus on Pasar </w:t>
      </w:r>
      <w:proofErr w:type="spellStart"/>
      <w:r w:rsidRPr="001851BA">
        <w:rPr>
          <w:rFonts w:ascii="Times New Roman" w:hAnsi="Times New Roman" w:cs="Times New Roman"/>
        </w:rPr>
        <w:t>Bengkel</w:t>
      </w:r>
      <w:proofErr w:type="spellEnd"/>
      <w:r w:rsidRPr="001851BA">
        <w:rPr>
          <w:rFonts w:ascii="Times New Roman" w:hAnsi="Times New Roman" w:cs="Times New Roman"/>
        </w:rPr>
        <w:t xml:space="preserve"> offers a valuable case for understanding the socio-spatial dynamics of infrastructure disruption in Indonesia’s peri-urban zones. The findings are designed to inform regional planning and MSME policy design at both local and national levels.</w:t>
      </w:r>
    </w:p>
    <w:p w14:paraId="74C7DF1E" w14:textId="5F1B39D4" w:rsidR="001851BA" w:rsidRDefault="001851BA" w:rsidP="001851BA">
      <w:pPr>
        <w:jc w:val="both"/>
        <w:rPr>
          <w:rFonts w:ascii="Times New Roman" w:hAnsi="Times New Roman" w:cs="Times New Roman"/>
        </w:rPr>
      </w:pPr>
      <w:r w:rsidRPr="001851BA">
        <w:rPr>
          <w:rFonts w:ascii="Times New Roman" w:hAnsi="Times New Roman" w:cs="Times New Roman"/>
        </w:rPr>
        <w:t>The remainder of this article is organized as follows: Section 2 reviews relevant theoretical and empirical literature; Section 3 outlines the research methodology, including data collection and SEM-SWOT framework; Section 4 presents the results and analysis; Section 5 discusses the findings in relation to existing literature and regional planning implications; and Section 6 concludes with strategic recommendations for policymakers and MSMEs operating in transitional infrastructure zones.</w:t>
      </w:r>
    </w:p>
    <w:p w14:paraId="10482D07" w14:textId="565EFF46" w:rsidR="001851BA" w:rsidRPr="001851BA" w:rsidRDefault="001851BA" w:rsidP="001851BA">
      <w:pPr>
        <w:pStyle w:val="ListParagraph"/>
        <w:numPr>
          <w:ilvl w:val="0"/>
          <w:numId w:val="1"/>
        </w:numPr>
        <w:ind w:left="709"/>
        <w:rPr>
          <w:rFonts w:ascii="Times New Roman" w:hAnsi="Times New Roman" w:cs="Times New Roman"/>
          <w:b/>
          <w:bCs/>
        </w:rPr>
      </w:pPr>
      <w:r>
        <w:rPr>
          <w:rFonts w:ascii="Times New Roman" w:hAnsi="Times New Roman" w:cs="Times New Roman"/>
          <w:b/>
          <w:bCs/>
        </w:rPr>
        <w:t xml:space="preserve">Method </w:t>
      </w:r>
    </w:p>
    <w:p w14:paraId="7E0F291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2.1 Research Design</w:t>
      </w:r>
    </w:p>
    <w:p w14:paraId="26A92FBA"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This study adopts a mixed-methods explanatory design, combining quantitative statistical modeling with qualitative strategic analysis to explore the factors affecting the sustainability of MSMEs amid transportation infrastructure changes. The approach integrates Structural Equation Modeling (SEM) for causal inference and SWOT analysis for formulating adaptive strategic responses. This dual-method design enables a comprehensive understanding of both measurable impacts and strategic implications, particularly relevant for regional planning and policy interventions.</w:t>
      </w:r>
    </w:p>
    <w:p w14:paraId="4398C584"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2.2 Study Area and Context</w:t>
      </w:r>
    </w:p>
    <w:p w14:paraId="56DE35B7"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 xml:space="preserve">The research was conducted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 xml:space="preserve">, located in </w:t>
      </w:r>
      <w:proofErr w:type="spellStart"/>
      <w:r w:rsidRPr="00EE7D1B">
        <w:rPr>
          <w:rFonts w:ascii="Times New Roman" w:hAnsi="Times New Roman" w:cs="Times New Roman"/>
        </w:rPr>
        <w:t>Kecamatan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Perbaungan</w:t>
      </w:r>
      <w:proofErr w:type="spellEnd"/>
      <w:r w:rsidRPr="00EE7D1B">
        <w:rPr>
          <w:rFonts w:ascii="Times New Roman" w:hAnsi="Times New Roman" w:cs="Times New Roman"/>
        </w:rPr>
        <w:t xml:space="preserve">,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w:t>
      </w:r>
      <w:proofErr w:type="spellStart"/>
      <w:r w:rsidRPr="00EE7D1B">
        <w:rPr>
          <w:rFonts w:ascii="Times New Roman" w:hAnsi="Times New Roman" w:cs="Times New Roman"/>
        </w:rPr>
        <w:t>Bedagai</w:t>
      </w:r>
      <w:proofErr w:type="spellEnd"/>
      <w:r w:rsidRPr="00EE7D1B">
        <w:rPr>
          <w:rFonts w:ascii="Times New Roman" w:hAnsi="Times New Roman" w:cs="Times New Roman"/>
        </w:rPr>
        <w:t>, North Sumatra. This traditional economic node, previously situated along the strategic Jalan Lintas Sumatera, experienced significant disruption after the completion of the Trans-Sumatra Toll Road (Medan–</w:t>
      </w:r>
      <w:proofErr w:type="spellStart"/>
      <w:r w:rsidRPr="00EE7D1B">
        <w:rPr>
          <w:rFonts w:ascii="Times New Roman" w:hAnsi="Times New Roman" w:cs="Times New Roman"/>
        </w:rPr>
        <w:t>Tebing</w:t>
      </w:r>
      <w:proofErr w:type="spellEnd"/>
      <w:r w:rsidRPr="00EE7D1B">
        <w:rPr>
          <w:rFonts w:ascii="Times New Roman" w:hAnsi="Times New Roman" w:cs="Times New Roman"/>
        </w:rPr>
        <w:t xml:space="preserve"> Tinggi section). This context provides a natural experimental setting to assess how diverted traffic flows affect local MSME ecosystems, offering insight into spatial-economic transformation in peri-urban areas.</w:t>
      </w:r>
    </w:p>
    <w:p w14:paraId="25BF826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lastRenderedPageBreak/>
        <w:t>2.3 Sampling and Data Collection</w:t>
      </w:r>
    </w:p>
    <w:p w14:paraId="3EF96EFF" w14:textId="77777777" w:rsidR="001851BA" w:rsidRPr="00EE7D1B" w:rsidRDefault="001851BA" w:rsidP="001851BA">
      <w:pPr>
        <w:jc w:val="both"/>
        <w:rPr>
          <w:rFonts w:ascii="Times New Roman" w:hAnsi="Times New Roman" w:cs="Times New Roman"/>
        </w:rPr>
      </w:pPr>
      <w:r w:rsidRPr="00EE7D1B">
        <w:rPr>
          <w:rFonts w:ascii="Times New Roman" w:hAnsi="Times New Roman" w:cs="Times New Roman"/>
        </w:rPr>
        <w:t xml:space="preserve">The target population consists of active MSME owners who had been operating before and after the toll road construction. A sample size of 60 MSMEs was determined using </w:t>
      </w:r>
      <w:proofErr w:type="spellStart"/>
      <w:r w:rsidRPr="00EE7D1B">
        <w:rPr>
          <w:rFonts w:ascii="Times New Roman" w:hAnsi="Times New Roman" w:cs="Times New Roman"/>
        </w:rPr>
        <w:t>Slovin’s</w:t>
      </w:r>
      <w:proofErr w:type="spellEnd"/>
      <w:r w:rsidRPr="00EE7D1B">
        <w:rPr>
          <w:rFonts w:ascii="Times New Roman" w:hAnsi="Times New Roman" w:cs="Times New Roman"/>
        </w:rPr>
        <w:t xml:space="preserve"> formula, assuming a population of 150 registered businesses and a 10% margin of error. The sampling technique employed was purposive sampling, targeting businesses significantly affected by infrastructure changes.</w:t>
      </w:r>
    </w:p>
    <w:p w14:paraId="0224097A"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Three primary data sources were used:</w:t>
      </w:r>
    </w:p>
    <w:p w14:paraId="3B8C42D2"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Structured surveys administered using Likert-scaled instruments (1–5), covering perceptions of infrastructure, policy support, adaptive behavior, and sustainability.</w:t>
      </w:r>
    </w:p>
    <w:p w14:paraId="0EEC404C"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In-depth interviews with MSME actors, local government officials, and toll road managers to contextualize quantitative findings.</w:t>
      </w:r>
    </w:p>
    <w:p w14:paraId="186B4B19" w14:textId="77777777" w:rsidR="001851BA" w:rsidRPr="00EE7D1B" w:rsidRDefault="001851BA" w:rsidP="001851BA">
      <w:pPr>
        <w:numPr>
          <w:ilvl w:val="0"/>
          <w:numId w:val="2"/>
        </w:numPr>
        <w:rPr>
          <w:rFonts w:ascii="Times New Roman" w:hAnsi="Times New Roman" w:cs="Times New Roman"/>
        </w:rPr>
      </w:pPr>
      <w:r w:rsidRPr="00EE7D1B">
        <w:rPr>
          <w:rFonts w:ascii="Times New Roman" w:hAnsi="Times New Roman" w:cs="Times New Roman"/>
        </w:rPr>
        <w:t xml:space="preserve">Observational field notes documenting the spatial, logistical, and operational shifts in Pasar </w:t>
      </w:r>
      <w:proofErr w:type="spellStart"/>
      <w:r w:rsidRPr="00EE7D1B">
        <w:rPr>
          <w:rFonts w:ascii="Times New Roman" w:hAnsi="Times New Roman" w:cs="Times New Roman"/>
        </w:rPr>
        <w:t>Bengkel</w:t>
      </w:r>
      <w:proofErr w:type="spellEnd"/>
      <w:r w:rsidRPr="00EE7D1B">
        <w:rPr>
          <w:rFonts w:ascii="Times New Roman" w:hAnsi="Times New Roman" w:cs="Times New Roman"/>
        </w:rPr>
        <w:t>.</w:t>
      </w:r>
    </w:p>
    <w:p w14:paraId="672CCD5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Secondary data sources included:</w:t>
      </w:r>
    </w:p>
    <w:p w14:paraId="3CCEFCA4" w14:textId="77777777"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Citra Google Maps (2016, 2020, 2024) for visualizing spatial changes in accessibility and economic activity.</w:t>
      </w:r>
    </w:p>
    <w:p w14:paraId="6BBEFE96" w14:textId="77777777" w:rsidR="001851BA" w:rsidRPr="00EE7D1B" w:rsidRDefault="001851BA" w:rsidP="001851BA">
      <w:pPr>
        <w:numPr>
          <w:ilvl w:val="0"/>
          <w:numId w:val="3"/>
        </w:numPr>
        <w:rPr>
          <w:rFonts w:ascii="Times New Roman" w:hAnsi="Times New Roman" w:cs="Times New Roman"/>
        </w:rPr>
      </w:pPr>
      <w:r w:rsidRPr="00EE7D1B">
        <w:rPr>
          <w:rFonts w:ascii="Times New Roman" w:hAnsi="Times New Roman" w:cs="Times New Roman"/>
        </w:rPr>
        <w:t xml:space="preserve">Traffic volume reports and regional economic reports from BPS </w:t>
      </w:r>
      <w:proofErr w:type="spellStart"/>
      <w:r w:rsidRPr="00EE7D1B">
        <w:rPr>
          <w:rFonts w:ascii="Times New Roman" w:hAnsi="Times New Roman" w:cs="Times New Roman"/>
        </w:rPr>
        <w:t>Kabupaten</w:t>
      </w:r>
      <w:proofErr w:type="spellEnd"/>
      <w:r w:rsidRPr="00EE7D1B">
        <w:rPr>
          <w:rFonts w:ascii="Times New Roman" w:hAnsi="Times New Roman" w:cs="Times New Roman"/>
        </w:rPr>
        <w:t xml:space="preserve"> Serdang </w:t>
      </w:r>
      <w:proofErr w:type="spellStart"/>
      <w:r w:rsidRPr="00EE7D1B">
        <w:rPr>
          <w:rFonts w:ascii="Times New Roman" w:hAnsi="Times New Roman" w:cs="Times New Roman"/>
        </w:rPr>
        <w:t>Bedagai</w:t>
      </w:r>
      <w:proofErr w:type="spellEnd"/>
      <w:r w:rsidRPr="00EE7D1B">
        <w:rPr>
          <w:rFonts w:ascii="Times New Roman" w:hAnsi="Times New Roman" w:cs="Times New Roman"/>
        </w:rPr>
        <w:t xml:space="preserve"> (2019–2023).</w:t>
      </w:r>
    </w:p>
    <w:p w14:paraId="1939A69F"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2.4 Variable Definitions and Operationalization</w:t>
      </w:r>
    </w:p>
    <w:p w14:paraId="53B9EB6A"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The study is structured around three independent variables and one dependent variable:</w:t>
      </w:r>
    </w:p>
    <w:tbl>
      <w:tblPr>
        <w:tblStyle w:val="TableGridLight"/>
        <w:tblW w:w="0" w:type="auto"/>
        <w:tblLook w:val="04A0" w:firstRow="1" w:lastRow="0" w:firstColumn="1" w:lastColumn="0" w:noHBand="0" w:noVBand="1"/>
      </w:tblPr>
      <w:tblGrid>
        <w:gridCol w:w="750"/>
        <w:gridCol w:w="2567"/>
        <w:gridCol w:w="6033"/>
      </w:tblGrid>
      <w:tr w:rsidR="001851BA" w:rsidRPr="001851BA" w14:paraId="67EFF5B8" w14:textId="77777777" w:rsidTr="0035564C">
        <w:tc>
          <w:tcPr>
            <w:tcW w:w="0" w:type="auto"/>
            <w:hideMark/>
          </w:tcPr>
          <w:p w14:paraId="1E89308E"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Code</w:t>
            </w:r>
          </w:p>
        </w:tc>
        <w:tc>
          <w:tcPr>
            <w:tcW w:w="0" w:type="auto"/>
            <w:hideMark/>
          </w:tcPr>
          <w:p w14:paraId="10187268"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Variable</w:t>
            </w:r>
          </w:p>
        </w:tc>
        <w:tc>
          <w:tcPr>
            <w:tcW w:w="0" w:type="auto"/>
            <w:hideMark/>
          </w:tcPr>
          <w:p w14:paraId="14E9C9D0"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Operational Definition</w:t>
            </w:r>
          </w:p>
        </w:tc>
      </w:tr>
      <w:tr w:rsidR="001851BA" w:rsidRPr="001851BA" w14:paraId="1276EBD2" w14:textId="77777777" w:rsidTr="0035564C">
        <w:tc>
          <w:tcPr>
            <w:tcW w:w="0" w:type="auto"/>
            <w:hideMark/>
          </w:tcPr>
          <w:p w14:paraId="7BB286C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X₁</w:t>
            </w:r>
          </w:p>
        </w:tc>
        <w:tc>
          <w:tcPr>
            <w:tcW w:w="0" w:type="auto"/>
            <w:hideMark/>
          </w:tcPr>
          <w:p w14:paraId="0AE998ED"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Transportation Infrastructure</w:t>
            </w:r>
          </w:p>
        </w:tc>
        <w:tc>
          <w:tcPr>
            <w:tcW w:w="0" w:type="auto"/>
            <w:hideMark/>
          </w:tcPr>
          <w:p w14:paraId="3E9C6FB9"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Perceived change in physical accessibility, market reach, and traffic volume post-toll-road.</w:t>
            </w:r>
          </w:p>
        </w:tc>
      </w:tr>
      <w:tr w:rsidR="001851BA" w:rsidRPr="001851BA" w14:paraId="6FDB79A5" w14:textId="77777777" w:rsidTr="0035564C">
        <w:tc>
          <w:tcPr>
            <w:tcW w:w="0" w:type="auto"/>
            <w:hideMark/>
          </w:tcPr>
          <w:p w14:paraId="7741821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X₂</w:t>
            </w:r>
          </w:p>
        </w:tc>
        <w:tc>
          <w:tcPr>
            <w:tcW w:w="0" w:type="auto"/>
            <w:hideMark/>
          </w:tcPr>
          <w:p w14:paraId="2727E1E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Government Policy</w:t>
            </w:r>
          </w:p>
        </w:tc>
        <w:tc>
          <w:tcPr>
            <w:tcW w:w="0" w:type="auto"/>
            <w:hideMark/>
          </w:tcPr>
          <w:p w14:paraId="40113999"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Institutional support, regulations, and incentives aimed at assisting local MSMEs.</w:t>
            </w:r>
          </w:p>
        </w:tc>
      </w:tr>
      <w:tr w:rsidR="001851BA" w:rsidRPr="001851BA" w14:paraId="1E1BA01C" w14:textId="77777777" w:rsidTr="0035564C">
        <w:tc>
          <w:tcPr>
            <w:tcW w:w="0" w:type="auto"/>
            <w:hideMark/>
          </w:tcPr>
          <w:p w14:paraId="51D6B1B1"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X₃</w:t>
            </w:r>
          </w:p>
        </w:tc>
        <w:tc>
          <w:tcPr>
            <w:tcW w:w="0" w:type="auto"/>
            <w:hideMark/>
          </w:tcPr>
          <w:p w14:paraId="346BABCB"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Adaptive Capacity</w:t>
            </w:r>
          </w:p>
        </w:tc>
        <w:tc>
          <w:tcPr>
            <w:tcW w:w="0" w:type="auto"/>
            <w:hideMark/>
          </w:tcPr>
          <w:p w14:paraId="21AA5214"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MSMEs' ability to implement digital tools, diversify products, or relocate strategically.</w:t>
            </w:r>
          </w:p>
        </w:tc>
      </w:tr>
      <w:tr w:rsidR="001851BA" w:rsidRPr="001851BA" w14:paraId="4342ADFB" w14:textId="77777777" w:rsidTr="0035564C">
        <w:tc>
          <w:tcPr>
            <w:tcW w:w="0" w:type="auto"/>
            <w:hideMark/>
          </w:tcPr>
          <w:p w14:paraId="24DA19A8"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Y</w:t>
            </w:r>
          </w:p>
        </w:tc>
        <w:tc>
          <w:tcPr>
            <w:tcW w:w="0" w:type="auto"/>
            <w:hideMark/>
          </w:tcPr>
          <w:p w14:paraId="5E170072" w14:textId="77777777" w:rsidR="001851BA" w:rsidRPr="00EE7D1B" w:rsidRDefault="001851BA" w:rsidP="001851BA">
            <w:pPr>
              <w:rPr>
                <w:rFonts w:ascii="Times New Roman" w:hAnsi="Times New Roman" w:cs="Times New Roman"/>
              </w:rPr>
            </w:pPr>
            <w:r w:rsidRPr="00EE7D1B">
              <w:rPr>
                <w:rFonts w:ascii="Times New Roman" w:hAnsi="Times New Roman" w:cs="Times New Roman"/>
              </w:rPr>
              <w:t>MSME Sustainability Strategy</w:t>
            </w:r>
          </w:p>
        </w:tc>
        <w:tc>
          <w:tcPr>
            <w:tcW w:w="0" w:type="auto"/>
            <w:hideMark/>
          </w:tcPr>
          <w:p w14:paraId="3378FB05" w14:textId="77777777" w:rsidR="001851BA" w:rsidRPr="001851BA" w:rsidRDefault="001851BA" w:rsidP="001851BA">
            <w:pPr>
              <w:rPr>
                <w:rFonts w:ascii="Times New Roman" w:hAnsi="Times New Roman" w:cs="Times New Roman"/>
              </w:rPr>
            </w:pPr>
            <w:r w:rsidRPr="001851BA">
              <w:rPr>
                <w:rFonts w:ascii="Times New Roman" w:hAnsi="Times New Roman" w:cs="Times New Roman"/>
              </w:rPr>
              <w:t>Business longevity, revenue consistency, customer retention, market expansion efforts.</w:t>
            </w:r>
          </w:p>
        </w:tc>
      </w:tr>
    </w:tbl>
    <w:p w14:paraId="03430ABC" w14:textId="77777777" w:rsidR="0035564C" w:rsidRDefault="0035564C" w:rsidP="001851BA">
      <w:pPr>
        <w:rPr>
          <w:rFonts w:ascii="Times New Roman" w:hAnsi="Times New Roman" w:cs="Times New Roman"/>
          <w:b/>
          <w:bCs/>
        </w:rPr>
      </w:pPr>
    </w:p>
    <w:p w14:paraId="701954BE" w14:textId="5052603E"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2.5 SEM Analysis Procedure</w:t>
      </w:r>
    </w:p>
    <w:p w14:paraId="16D4DFB5" w14:textId="3DFF8A77" w:rsidR="001851BA" w:rsidRPr="0035564C" w:rsidRDefault="001851BA" w:rsidP="0035564C">
      <w:pPr>
        <w:jc w:val="both"/>
        <w:rPr>
          <w:rFonts w:ascii="Times New Roman" w:hAnsi="Times New Roman" w:cs="Times New Roman"/>
        </w:rPr>
      </w:pPr>
      <w:r w:rsidRPr="0035564C">
        <w:rPr>
          <w:rFonts w:ascii="Times New Roman" w:hAnsi="Times New Roman" w:cs="Times New Roman"/>
        </w:rPr>
        <w:t>The quantitative model was estimated using Partial Least Squares SEM (PLS-SEM). The SEM approach was chosen for its ability to model latent variables and complex causal relationships in relatively small samples (Hair et al., 2019). The SEM process followed three major stages:</w:t>
      </w:r>
    </w:p>
    <w:p w14:paraId="1CCADB43"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lastRenderedPageBreak/>
        <w:t>Model Specification</w:t>
      </w:r>
    </w:p>
    <w:p w14:paraId="7F96DEC5" w14:textId="2D4A4C38"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Path models were constructed to represent direct and indirect effects among X₁, X₂, X₃, and Y.</w:t>
      </w:r>
    </w:p>
    <w:p w14:paraId="345616FF"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Measurement Model Evaluation</w:t>
      </w:r>
    </w:p>
    <w:p w14:paraId="59ED185C" w14:textId="65BD0046"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Outer loadings, Cronbach’s alpha, and Average Variance Extracted (AVE) were computed to assess indicator reliability and construct validity. Validity thresholds were set at &gt;0.7 for loadings and &gt;0.5 for AVE.</w:t>
      </w:r>
    </w:p>
    <w:p w14:paraId="58DB9A6B" w14:textId="77777777" w:rsidR="0035564C" w:rsidRDefault="001851BA" w:rsidP="0035564C">
      <w:pPr>
        <w:numPr>
          <w:ilvl w:val="0"/>
          <w:numId w:val="4"/>
        </w:numPr>
        <w:jc w:val="both"/>
        <w:rPr>
          <w:rFonts w:ascii="Times New Roman" w:hAnsi="Times New Roman" w:cs="Times New Roman"/>
        </w:rPr>
      </w:pPr>
      <w:r w:rsidRPr="0035564C">
        <w:rPr>
          <w:rFonts w:ascii="Times New Roman" w:hAnsi="Times New Roman" w:cs="Times New Roman"/>
        </w:rPr>
        <w:t>Structural Model Evaluation</w:t>
      </w:r>
    </w:p>
    <w:p w14:paraId="77CC77BB" w14:textId="7BBFE57E" w:rsidR="001851BA" w:rsidRPr="0035564C" w:rsidRDefault="001851BA" w:rsidP="0035564C">
      <w:pPr>
        <w:ind w:left="720"/>
        <w:jc w:val="both"/>
        <w:rPr>
          <w:rFonts w:ascii="Times New Roman" w:hAnsi="Times New Roman" w:cs="Times New Roman"/>
        </w:rPr>
      </w:pPr>
      <w:r w:rsidRPr="0035564C">
        <w:rPr>
          <w:rFonts w:ascii="Times New Roman" w:hAnsi="Times New Roman" w:cs="Times New Roman"/>
        </w:rPr>
        <w:t>The inner model was assessed using path coefficients, t-statistics, and R² values to determine explanatory power and causal significance.</w:t>
      </w:r>
    </w:p>
    <w:p w14:paraId="7A1A39DD"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2.6 SWOT Analysis</w:t>
      </w:r>
    </w:p>
    <w:p w14:paraId="5B2ADA14" w14:textId="77777777" w:rsidR="001851BA" w:rsidRPr="0035564C" w:rsidRDefault="001851BA" w:rsidP="0035564C">
      <w:pPr>
        <w:jc w:val="both"/>
        <w:rPr>
          <w:rFonts w:ascii="Times New Roman" w:hAnsi="Times New Roman" w:cs="Times New Roman"/>
        </w:rPr>
      </w:pPr>
      <w:r w:rsidRPr="0035564C">
        <w:rPr>
          <w:rFonts w:ascii="Times New Roman" w:hAnsi="Times New Roman" w:cs="Times New Roman"/>
        </w:rPr>
        <w:t>To complement SEM results, a SWOT matrix was constructed using aggregated responses and interview transcripts. The analysis aimed to diagnose MSME positioning within a strategy typology. Internal and external factors were organized into IFAS (Internal Factor Analysis Summary) and EFAS (External Factor Analysis Summary) matrices. The SWOT matrix then classified MSMEs into strategic quadrants, where Quadrant II (WO strategy) emerged as dominant, indicating high opportunity yet significant internal weaknesses.</w:t>
      </w:r>
    </w:p>
    <w:p w14:paraId="15FD28C7"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2.7 Validity and Reliability</w:t>
      </w:r>
    </w:p>
    <w:p w14:paraId="2C122945" w14:textId="77777777" w:rsidR="001851BA" w:rsidRPr="0035564C" w:rsidRDefault="001851BA" w:rsidP="0035564C">
      <w:pPr>
        <w:jc w:val="both"/>
        <w:rPr>
          <w:rFonts w:ascii="Times New Roman" w:hAnsi="Times New Roman" w:cs="Times New Roman"/>
        </w:rPr>
      </w:pPr>
      <w:r w:rsidRPr="0035564C">
        <w:rPr>
          <w:rFonts w:ascii="Times New Roman" w:hAnsi="Times New Roman" w:cs="Times New Roman"/>
        </w:rPr>
        <w:t>Quantitative instruments underwent content validation by academic reviewers and field practitioners. Pearson’s Product Moment was used to validate survey items (r-table = 0.254 at 95% CI), while Cronbach’s alpha reliability scores ranged from 0.786 to 0.841, indicating high internal consistency.</w:t>
      </w:r>
    </w:p>
    <w:p w14:paraId="4FC600C6" w14:textId="77777777" w:rsidR="001851BA" w:rsidRPr="001851BA" w:rsidRDefault="001851BA" w:rsidP="001851BA">
      <w:pPr>
        <w:rPr>
          <w:rFonts w:ascii="Times New Roman" w:hAnsi="Times New Roman" w:cs="Times New Roman"/>
          <w:b/>
          <w:bCs/>
        </w:rPr>
      </w:pPr>
      <w:r w:rsidRPr="001851BA">
        <w:rPr>
          <w:rFonts w:ascii="Times New Roman" w:hAnsi="Times New Roman" w:cs="Times New Roman"/>
          <w:b/>
          <w:bCs/>
        </w:rPr>
        <w:t>2.8 Ethical Considerations</w:t>
      </w:r>
    </w:p>
    <w:p w14:paraId="1DF22C2E" w14:textId="1A4B4F19" w:rsidR="001851BA" w:rsidRDefault="001851BA" w:rsidP="001851BA">
      <w:pPr>
        <w:rPr>
          <w:rFonts w:ascii="Times New Roman" w:hAnsi="Times New Roman" w:cs="Times New Roman"/>
        </w:rPr>
      </w:pPr>
      <w:r w:rsidRPr="001851BA">
        <w:rPr>
          <w:rFonts w:ascii="Times New Roman" w:hAnsi="Times New Roman" w:cs="Times New Roman"/>
        </w:rPr>
        <w:t>All respondents provided informed consent, and data collection complied with ethical guidelines for human-subject research. Institutional clearance was obtained from the local government (</w:t>
      </w:r>
      <w:proofErr w:type="spellStart"/>
      <w:r w:rsidRPr="001851BA">
        <w:rPr>
          <w:rFonts w:ascii="Times New Roman" w:hAnsi="Times New Roman" w:cs="Times New Roman"/>
        </w:rPr>
        <w:t>Dinas</w:t>
      </w:r>
      <w:proofErr w:type="spellEnd"/>
      <w:r w:rsidRPr="001851BA">
        <w:rPr>
          <w:rFonts w:ascii="Times New Roman" w:hAnsi="Times New Roman" w:cs="Times New Roman"/>
        </w:rPr>
        <w:t xml:space="preserve"> </w:t>
      </w:r>
      <w:proofErr w:type="spellStart"/>
      <w:r w:rsidRPr="001851BA">
        <w:rPr>
          <w:rFonts w:ascii="Times New Roman" w:hAnsi="Times New Roman" w:cs="Times New Roman"/>
        </w:rPr>
        <w:t>Koperasi</w:t>
      </w:r>
      <w:proofErr w:type="spellEnd"/>
      <w:r w:rsidRPr="001851BA">
        <w:rPr>
          <w:rFonts w:ascii="Times New Roman" w:hAnsi="Times New Roman" w:cs="Times New Roman"/>
        </w:rPr>
        <w:t xml:space="preserve"> dan UKM Serdang </w:t>
      </w:r>
      <w:proofErr w:type="spellStart"/>
      <w:r w:rsidRPr="001851BA">
        <w:rPr>
          <w:rFonts w:ascii="Times New Roman" w:hAnsi="Times New Roman" w:cs="Times New Roman"/>
        </w:rPr>
        <w:t>Bedagai</w:t>
      </w:r>
      <w:proofErr w:type="spellEnd"/>
      <w:r w:rsidRPr="001851BA">
        <w:rPr>
          <w:rFonts w:ascii="Times New Roman" w:hAnsi="Times New Roman" w:cs="Times New Roman"/>
        </w:rPr>
        <w:t>).</w:t>
      </w:r>
    </w:p>
    <w:p w14:paraId="7F7ED7C6" w14:textId="77777777" w:rsidR="001851BA" w:rsidRDefault="001851BA" w:rsidP="001851BA">
      <w:pPr>
        <w:rPr>
          <w:rFonts w:ascii="Times New Roman" w:hAnsi="Times New Roman" w:cs="Times New Roman"/>
        </w:rPr>
      </w:pPr>
    </w:p>
    <w:p w14:paraId="7EC11735" w14:textId="2B4A1C6E"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 xml:space="preserve">3. </w:t>
      </w:r>
      <w:r>
        <w:rPr>
          <w:rFonts w:ascii="Times New Roman" w:hAnsi="Times New Roman" w:cs="Times New Roman"/>
          <w:b/>
          <w:bCs/>
        </w:rPr>
        <w:t>RESULTS AND DISCUSSION</w:t>
      </w:r>
    </w:p>
    <w:p w14:paraId="50A45034"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3.1 Descriptive Overview of MSME Respondents</w:t>
      </w:r>
    </w:p>
    <w:p w14:paraId="4AA5AFC9"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primary data in this study were obtained from 60 MSME respondents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selected purposively due to their exposure to infrastructure disruption from the Medan–</w:t>
      </w:r>
      <w:proofErr w:type="spellStart"/>
      <w:r w:rsidRPr="0035564C">
        <w:rPr>
          <w:rFonts w:ascii="Times New Roman" w:hAnsi="Times New Roman" w:cs="Times New Roman"/>
        </w:rPr>
        <w:t>Tebing</w:t>
      </w:r>
      <w:proofErr w:type="spellEnd"/>
      <w:r w:rsidRPr="0035564C">
        <w:rPr>
          <w:rFonts w:ascii="Times New Roman" w:hAnsi="Times New Roman" w:cs="Times New Roman"/>
        </w:rPr>
        <w:t xml:space="preserve"> Tinggi toll road. The businesses are predominantly engaged in traditional snack and souvenir production, with 65% focusing on food-based enterprises, primarily </w:t>
      </w:r>
      <w:proofErr w:type="spellStart"/>
      <w:r w:rsidRPr="0035564C">
        <w:rPr>
          <w:rFonts w:ascii="Times New Roman" w:hAnsi="Times New Roman" w:cs="Times New Roman"/>
        </w:rPr>
        <w:t>dodol</w:t>
      </w:r>
      <w:proofErr w:type="spellEnd"/>
      <w:r w:rsidRPr="0035564C">
        <w:rPr>
          <w:rFonts w:ascii="Times New Roman" w:hAnsi="Times New Roman" w:cs="Times New Roman"/>
        </w:rPr>
        <w:t xml:space="preserve"> and </w:t>
      </w:r>
      <w:proofErr w:type="spellStart"/>
      <w:r w:rsidRPr="0035564C">
        <w:rPr>
          <w:rFonts w:ascii="Times New Roman" w:hAnsi="Times New Roman" w:cs="Times New Roman"/>
        </w:rPr>
        <w:t>keripik</w:t>
      </w:r>
      <w:proofErr w:type="spellEnd"/>
      <w:r w:rsidRPr="0035564C">
        <w:rPr>
          <w:rFonts w:ascii="Times New Roman" w:hAnsi="Times New Roman" w:cs="Times New Roman"/>
        </w:rPr>
        <w:t xml:space="preserve">. Most </w:t>
      </w:r>
      <w:r w:rsidRPr="0035564C">
        <w:rPr>
          <w:rFonts w:ascii="Times New Roman" w:hAnsi="Times New Roman" w:cs="Times New Roman"/>
        </w:rPr>
        <w:lastRenderedPageBreak/>
        <w:t>businesses have been operating for over five years, with a deep dependency on foot traffic and passing travelers from the previously bustling Jalan Lintas Sumatera.</w:t>
      </w:r>
    </w:p>
    <w:p w14:paraId="51558424"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Post-construction of the toll road, approximately 80% of MSMEs reported a notable decline in both daily customer visits and sales turnover, citing the rerouting of vehicular traffic as the primary cause. A striking observation is the limited adoption of digital tools, with only 32% utilizing any form of e-commerce or digital marketing. Businesses that had adopted digital platforms noted better adaptability and sales performance compared to their traditional counterparts.</w:t>
      </w:r>
    </w:p>
    <w:p w14:paraId="21102DDF"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1. </w:t>
      </w:r>
      <w:r w:rsidRPr="0035564C">
        <w:rPr>
          <w:rFonts w:ascii="Times New Roman" w:hAnsi="Times New Roman" w:cs="Times New Roman"/>
        </w:rPr>
        <w:t>Descriptive Statistics of MSME Respondents (n=60)</w:t>
      </w:r>
    </w:p>
    <w:tbl>
      <w:tblPr>
        <w:tblStyle w:val="TableGrid"/>
        <w:tblW w:w="0" w:type="auto"/>
        <w:jc w:val="center"/>
        <w:tblLook w:val="04A0" w:firstRow="1" w:lastRow="0" w:firstColumn="1" w:lastColumn="0" w:noHBand="0" w:noVBand="1"/>
      </w:tblPr>
      <w:tblGrid>
        <w:gridCol w:w="3076"/>
        <w:gridCol w:w="3350"/>
        <w:gridCol w:w="1805"/>
      </w:tblGrid>
      <w:tr w:rsidR="0035564C" w:rsidRPr="0035564C" w14:paraId="12C320D3" w14:textId="77777777" w:rsidTr="0035564C">
        <w:trPr>
          <w:jc w:val="center"/>
        </w:trPr>
        <w:tc>
          <w:tcPr>
            <w:tcW w:w="0" w:type="auto"/>
            <w:hideMark/>
          </w:tcPr>
          <w:p w14:paraId="04BC9204"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Variable</w:t>
            </w:r>
          </w:p>
        </w:tc>
        <w:tc>
          <w:tcPr>
            <w:tcW w:w="0" w:type="auto"/>
            <w:hideMark/>
          </w:tcPr>
          <w:p w14:paraId="513A5A4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Category</w:t>
            </w:r>
          </w:p>
        </w:tc>
        <w:tc>
          <w:tcPr>
            <w:tcW w:w="0" w:type="auto"/>
            <w:hideMark/>
          </w:tcPr>
          <w:p w14:paraId="46A71450"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Percentage (%)</w:t>
            </w:r>
          </w:p>
        </w:tc>
      </w:tr>
      <w:tr w:rsidR="0035564C" w:rsidRPr="0035564C" w14:paraId="7572AC6F" w14:textId="77777777" w:rsidTr="0035564C">
        <w:trPr>
          <w:jc w:val="center"/>
        </w:trPr>
        <w:tc>
          <w:tcPr>
            <w:tcW w:w="0" w:type="auto"/>
            <w:hideMark/>
          </w:tcPr>
          <w:p w14:paraId="62CEF75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Type of Business</w:t>
            </w:r>
          </w:p>
        </w:tc>
        <w:tc>
          <w:tcPr>
            <w:tcW w:w="0" w:type="auto"/>
            <w:hideMark/>
          </w:tcPr>
          <w:p w14:paraId="38F4E49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Food Production (</w:t>
            </w:r>
            <w:proofErr w:type="spellStart"/>
            <w:r w:rsidRPr="0035564C">
              <w:rPr>
                <w:rFonts w:ascii="Times New Roman" w:hAnsi="Times New Roman" w:cs="Times New Roman"/>
              </w:rPr>
              <w:t>dodol</w:t>
            </w:r>
            <w:proofErr w:type="spellEnd"/>
            <w:r w:rsidRPr="0035564C">
              <w:rPr>
                <w:rFonts w:ascii="Times New Roman" w:hAnsi="Times New Roman" w:cs="Times New Roman"/>
              </w:rPr>
              <w:t>, snacks)</w:t>
            </w:r>
          </w:p>
        </w:tc>
        <w:tc>
          <w:tcPr>
            <w:tcW w:w="0" w:type="auto"/>
            <w:hideMark/>
          </w:tcPr>
          <w:p w14:paraId="25F2FA22"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65%</w:t>
            </w:r>
          </w:p>
        </w:tc>
      </w:tr>
      <w:tr w:rsidR="0035564C" w:rsidRPr="0035564C" w14:paraId="1FB1EBA0" w14:textId="77777777" w:rsidTr="0035564C">
        <w:trPr>
          <w:jc w:val="center"/>
        </w:trPr>
        <w:tc>
          <w:tcPr>
            <w:tcW w:w="0" w:type="auto"/>
            <w:hideMark/>
          </w:tcPr>
          <w:p w14:paraId="4B4E2678"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026A5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Handicrafts, souvenirs</w:t>
            </w:r>
          </w:p>
        </w:tc>
        <w:tc>
          <w:tcPr>
            <w:tcW w:w="0" w:type="auto"/>
            <w:hideMark/>
          </w:tcPr>
          <w:p w14:paraId="3597E8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20%</w:t>
            </w:r>
          </w:p>
        </w:tc>
      </w:tr>
      <w:tr w:rsidR="0035564C" w:rsidRPr="0035564C" w14:paraId="14D6B17D" w14:textId="77777777" w:rsidTr="0035564C">
        <w:trPr>
          <w:jc w:val="center"/>
        </w:trPr>
        <w:tc>
          <w:tcPr>
            <w:tcW w:w="0" w:type="auto"/>
            <w:hideMark/>
          </w:tcPr>
          <w:p w14:paraId="07A9093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AD3E76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Others (services, clothing)</w:t>
            </w:r>
          </w:p>
        </w:tc>
        <w:tc>
          <w:tcPr>
            <w:tcW w:w="0" w:type="auto"/>
            <w:hideMark/>
          </w:tcPr>
          <w:p w14:paraId="2E6286B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15%</w:t>
            </w:r>
          </w:p>
        </w:tc>
      </w:tr>
      <w:tr w:rsidR="0035564C" w:rsidRPr="0035564C" w14:paraId="6AF0567F" w14:textId="77777777" w:rsidTr="0035564C">
        <w:trPr>
          <w:jc w:val="center"/>
        </w:trPr>
        <w:tc>
          <w:tcPr>
            <w:tcW w:w="0" w:type="auto"/>
            <w:hideMark/>
          </w:tcPr>
          <w:p w14:paraId="0B63B2D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Years in Operation</w:t>
            </w:r>
          </w:p>
        </w:tc>
        <w:tc>
          <w:tcPr>
            <w:tcW w:w="0" w:type="auto"/>
            <w:hideMark/>
          </w:tcPr>
          <w:p w14:paraId="0ACFF4C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 years</w:t>
            </w:r>
          </w:p>
        </w:tc>
        <w:tc>
          <w:tcPr>
            <w:tcW w:w="0" w:type="auto"/>
            <w:hideMark/>
          </w:tcPr>
          <w:p w14:paraId="66EE9C5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76%</w:t>
            </w:r>
          </w:p>
        </w:tc>
      </w:tr>
      <w:tr w:rsidR="0035564C" w:rsidRPr="0035564C" w14:paraId="3EBDBC1D" w14:textId="77777777" w:rsidTr="0035564C">
        <w:trPr>
          <w:jc w:val="center"/>
        </w:trPr>
        <w:tc>
          <w:tcPr>
            <w:tcW w:w="0" w:type="auto"/>
            <w:hideMark/>
          </w:tcPr>
          <w:p w14:paraId="21333C6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59FFAA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2–5 years</w:t>
            </w:r>
          </w:p>
        </w:tc>
        <w:tc>
          <w:tcPr>
            <w:tcW w:w="0" w:type="auto"/>
            <w:hideMark/>
          </w:tcPr>
          <w:p w14:paraId="255EBE7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21%</w:t>
            </w:r>
          </w:p>
        </w:tc>
      </w:tr>
      <w:tr w:rsidR="0035564C" w:rsidRPr="0035564C" w14:paraId="775E7513" w14:textId="77777777" w:rsidTr="0035564C">
        <w:trPr>
          <w:jc w:val="center"/>
        </w:trPr>
        <w:tc>
          <w:tcPr>
            <w:tcW w:w="0" w:type="auto"/>
            <w:hideMark/>
          </w:tcPr>
          <w:p w14:paraId="0FE6790F"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7BEE3B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&lt;2 years</w:t>
            </w:r>
          </w:p>
        </w:tc>
        <w:tc>
          <w:tcPr>
            <w:tcW w:w="0" w:type="auto"/>
            <w:hideMark/>
          </w:tcPr>
          <w:p w14:paraId="1133480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w:t>
            </w:r>
          </w:p>
        </w:tc>
      </w:tr>
      <w:tr w:rsidR="0035564C" w:rsidRPr="0035564C" w14:paraId="0782159D" w14:textId="77777777" w:rsidTr="0035564C">
        <w:trPr>
          <w:jc w:val="center"/>
        </w:trPr>
        <w:tc>
          <w:tcPr>
            <w:tcW w:w="0" w:type="auto"/>
            <w:hideMark/>
          </w:tcPr>
          <w:p w14:paraId="7DBE5FD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Digital Tool Utilization</w:t>
            </w:r>
          </w:p>
        </w:tc>
        <w:tc>
          <w:tcPr>
            <w:tcW w:w="0" w:type="auto"/>
            <w:hideMark/>
          </w:tcPr>
          <w:p w14:paraId="0B70E58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c>
          <w:tcPr>
            <w:tcW w:w="0" w:type="auto"/>
            <w:hideMark/>
          </w:tcPr>
          <w:p w14:paraId="052214B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32%</w:t>
            </w:r>
          </w:p>
        </w:tc>
      </w:tr>
      <w:tr w:rsidR="0035564C" w:rsidRPr="0035564C" w14:paraId="24F92CAF" w14:textId="77777777" w:rsidTr="0035564C">
        <w:trPr>
          <w:jc w:val="center"/>
        </w:trPr>
        <w:tc>
          <w:tcPr>
            <w:tcW w:w="0" w:type="auto"/>
            <w:hideMark/>
          </w:tcPr>
          <w:p w14:paraId="2483ED0C"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7429A3F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7C8568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68%</w:t>
            </w:r>
          </w:p>
        </w:tc>
      </w:tr>
      <w:tr w:rsidR="0035564C" w:rsidRPr="0035564C" w14:paraId="6C3FD3BA" w14:textId="77777777" w:rsidTr="0035564C">
        <w:trPr>
          <w:jc w:val="center"/>
        </w:trPr>
        <w:tc>
          <w:tcPr>
            <w:tcW w:w="0" w:type="auto"/>
            <w:hideMark/>
          </w:tcPr>
          <w:p w14:paraId="0633F5F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Perceived Sales Decline</w:t>
            </w:r>
          </w:p>
        </w:tc>
        <w:tc>
          <w:tcPr>
            <w:tcW w:w="0" w:type="auto"/>
            <w:hideMark/>
          </w:tcPr>
          <w:p w14:paraId="126ED3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 (post-toll road)</w:t>
            </w:r>
          </w:p>
        </w:tc>
        <w:tc>
          <w:tcPr>
            <w:tcW w:w="0" w:type="auto"/>
            <w:hideMark/>
          </w:tcPr>
          <w:p w14:paraId="40A7464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83%</w:t>
            </w:r>
          </w:p>
        </w:tc>
      </w:tr>
      <w:tr w:rsidR="0035564C" w:rsidRPr="0035564C" w14:paraId="596BE723" w14:textId="77777777" w:rsidTr="0035564C">
        <w:trPr>
          <w:jc w:val="center"/>
        </w:trPr>
        <w:tc>
          <w:tcPr>
            <w:tcW w:w="0" w:type="auto"/>
            <w:hideMark/>
          </w:tcPr>
          <w:p w14:paraId="67AA80C7"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131B360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c>
          <w:tcPr>
            <w:tcW w:w="0" w:type="auto"/>
            <w:hideMark/>
          </w:tcPr>
          <w:p w14:paraId="15F454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17%</w:t>
            </w:r>
          </w:p>
        </w:tc>
      </w:tr>
      <w:tr w:rsidR="0035564C" w:rsidRPr="0035564C" w14:paraId="19B30BF5" w14:textId="77777777" w:rsidTr="0035564C">
        <w:trPr>
          <w:jc w:val="center"/>
        </w:trPr>
        <w:tc>
          <w:tcPr>
            <w:tcW w:w="0" w:type="auto"/>
            <w:hideMark/>
          </w:tcPr>
          <w:p w14:paraId="1B8F030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Source of Adaptation Support</w:t>
            </w:r>
          </w:p>
        </w:tc>
        <w:tc>
          <w:tcPr>
            <w:tcW w:w="0" w:type="auto"/>
            <w:hideMark/>
          </w:tcPr>
          <w:p w14:paraId="587411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w:t>
            </w:r>
          </w:p>
        </w:tc>
        <w:tc>
          <w:tcPr>
            <w:tcW w:w="0" w:type="auto"/>
            <w:hideMark/>
          </w:tcPr>
          <w:p w14:paraId="77C348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24%</w:t>
            </w:r>
          </w:p>
        </w:tc>
      </w:tr>
      <w:tr w:rsidR="0035564C" w:rsidRPr="0035564C" w14:paraId="39A2DFCC" w14:textId="77777777" w:rsidTr="0035564C">
        <w:trPr>
          <w:jc w:val="center"/>
        </w:trPr>
        <w:tc>
          <w:tcPr>
            <w:tcW w:w="0" w:type="auto"/>
            <w:hideMark/>
          </w:tcPr>
          <w:p w14:paraId="04DE7420"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651992F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Peer Network</w:t>
            </w:r>
          </w:p>
        </w:tc>
        <w:tc>
          <w:tcPr>
            <w:tcW w:w="0" w:type="auto"/>
            <w:hideMark/>
          </w:tcPr>
          <w:p w14:paraId="2128E9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18%</w:t>
            </w:r>
          </w:p>
        </w:tc>
      </w:tr>
      <w:tr w:rsidR="0035564C" w:rsidRPr="0035564C" w14:paraId="75EDB493" w14:textId="77777777" w:rsidTr="0035564C">
        <w:trPr>
          <w:jc w:val="center"/>
        </w:trPr>
        <w:tc>
          <w:tcPr>
            <w:tcW w:w="0" w:type="auto"/>
            <w:hideMark/>
          </w:tcPr>
          <w:p w14:paraId="38705F84" w14:textId="77777777" w:rsidR="0035564C" w:rsidRPr="0035564C" w:rsidRDefault="0035564C" w:rsidP="0035564C">
            <w:pPr>
              <w:spacing w:after="160" w:line="278" w:lineRule="auto"/>
              <w:rPr>
                <w:rFonts w:ascii="Times New Roman" w:hAnsi="Times New Roman" w:cs="Times New Roman"/>
              </w:rPr>
            </w:pPr>
          </w:p>
        </w:tc>
        <w:tc>
          <w:tcPr>
            <w:tcW w:w="0" w:type="auto"/>
            <w:hideMark/>
          </w:tcPr>
          <w:p w14:paraId="4A0D0C9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None</w:t>
            </w:r>
          </w:p>
        </w:tc>
        <w:tc>
          <w:tcPr>
            <w:tcW w:w="0" w:type="auto"/>
            <w:hideMark/>
          </w:tcPr>
          <w:p w14:paraId="71A8DB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58%</w:t>
            </w:r>
          </w:p>
        </w:tc>
      </w:tr>
    </w:tbl>
    <w:p w14:paraId="5E7B3554" w14:textId="77777777" w:rsidR="0035564C" w:rsidRDefault="0035564C" w:rsidP="0035564C">
      <w:pPr>
        <w:rPr>
          <w:rFonts w:ascii="Times New Roman" w:hAnsi="Times New Roman" w:cs="Times New Roman"/>
        </w:rPr>
      </w:pPr>
    </w:p>
    <w:p w14:paraId="08D30910" w14:textId="6BA1AD09"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descriptive data support the hypothesis that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deeply affected by infrastructure change and that digital and institutional gaps have amplified the impact. This section provides foundational context for the SEM model and SWOT analysis to follow.</w:t>
      </w:r>
    </w:p>
    <w:p w14:paraId="230F61D0"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3.2 Structural Equation Modeling (SEM) Results</w:t>
      </w:r>
    </w:p>
    <w:p w14:paraId="2028287B"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3.2.1 Outer Model: Validity and Reliability Assessment</w:t>
      </w:r>
    </w:p>
    <w:p w14:paraId="3FA5A7D6"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 measurement model was evaluated using composite reliability (CR), Cronbach’s alpha, and Average Variance Extracted (AVE). Results showed high internal consistency and convergent validity for all constructs. The threshold of CR &gt; 0.70 and AVE &gt; 0.50 was met, confirming that latent variables were measured appropriately. Items with outer loadings below 0.70 were removed during model purification.</w:t>
      </w:r>
    </w:p>
    <w:p w14:paraId="51249C93"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2. </w:t>
      </w:r>
      <w:r w:rsidRPr="0035564C">
        <w:rPr>
          <w:rFonts w:ascii="Times New Roman" w:hAnsi="Times New Roman" w:cs="Times New Roman"/>
        </w:rPr>
        <w:t>Construct Reliability and Validity</w:t>
      </w:r>
    </w:p>
    <w:tbl>
      <w:tblPr>
        <w:tblStyle w:val="TableGrid"/>
        <w:tblW w:w="0" w:type="auto"/>
        <w:tblLook w:val="04A0" w:firstRow="1" w:lastRow="0" w:firstColumn="1" w:lastColumn="0" w:noHBand="0" w:noVBand="1"/>
      </w:tblPr>
      <w:tblGrid>
        <w:gridCol w:w="3500"/>
        <w:gridCol w:w="2077"/>
        <w:gridCol w:w="2436"/>
        <w:gridCol w:w="756"/>
      </w:tblGrid>
      <w:tr w:rsidR="0035564C" w:rsidRPr="0035564C" w14:paraId="290BB177" w14:textId="77777777" w:rsidTr="0035564C">
        <w:tc>
          <w:tcPr>
            <w:tcW w:w="0" w:type="auto"/>
            <w:hideMark/>
          </w:tcPr>
          <w:p w14:paraId="04979975"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Latent Variable</w:t>
            </w:r>
          </w:p>
        </w:tc>
        <w:tc>
          <w:tcPr>
            <w:tcW w:w="0" w:type="auto"/>
            <w:hideMark/>
          </w:tcPr>
          <w:p w14:paraId="46E6E01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Cronbach’s Alpha</w:t>
            </w:r>
          </w:p>
        </w:tc>
        <w:tc>
          <w:tcPr>
            <w:tcW w:w="0" w:type="auto"/>
            <w:hideMark/>
          </w:tcPr>
          <w:p w14:paraId="2230A4BC"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Composite Reliability</w:t>
            </w:r>
          </w:p>
        </w:tc>
        <w:tc>
          <w:tcPr>
            <w:tcW w:w="0" w:type="auto"/>
            <w:hideMark/>
          </w:tcPr>
          <w:p w14:paraId="3F2C7ED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AVE</w:t>
            </w:r>
          </w:p>
        </w:tc>
      </w:tr>
      <w:tr w:rsidR="0035564C" w:rsidRPr="0035564C" w14:paraId="0B184D72" w14:textId="77777777" w:rsidTr="0035564C">
        <w:tc>
          <w:tcPr>
            <w:tcW w:w="0" w:type="auto"/>
            <w:hideMark/>
          </w:tcPr>
          <w:p w14:paraId="40A3D92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Transportation Infrastructure (X1)</w:t>
            </w:r>
          </w:p>
        </w:tc>
        <w:tc>
          <w:tcPr>
            <w:tcW w:w="0" w:type="auto"/>
            <w:hideMark/>
          </w:tcPr>
          <w:p w14:paraId="68CE8C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0.812</w:t>
            </w:r>
          </w:p>
        </w:tc>
        <w:tc>
          <w:tcPr>
            <w:tcW w:w="0" w:type="auto"/>
            <w:hideMark/>
          </w:tcPr>
          <w:p w14:paraId="56EFFFF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0.837</w:t>
            </w:r>
          </w:p>
        </w:tc>
        <w:tc>
          <w:tcPr>
            <w:tcW w:w="0" w:type="auto"/>
            <w:hideMark/>
          </w:tcPr>
          <w:p w14:paraId="503B397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0.612</w:t>
            </w:r>
          </w:p>
        </w:tc>
      </w:tr>
      <w:tr w:rsidR="0035564C" w:rsidRPr="0035564C" w14:paraId="3A0CA3AA" w14:textId="77777777" w:rsidTr="0035564C">
        <w:tc>
          <w:tcPr>
            <w:tcW w:w="0" w:type="auto"/>
            <w:hideMark/>
          </w:tcPr>
          <w:p w14:paraId="3E5FBF4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Government Policy (X2)</w:t>
            </w:r>
          </w:p>
        </w:tc>
        <w:tc>
          <w:tcPr>
            <w:tcW w:w="0" w:type="auto"/>
            <w:hideMark/>
          </w:tcPr>
          <w:p w14:paraId="7A397E0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0.841</w:t>
            </w:r>
          </w:p>
        </w:tc>
        <w:tc>
          <w:tcPr>
            <w:tcW w:w="0" w:type="auto"/>
            <w:hideMark/>
          </w:tcPr>
          <w:p w14:paraId="0AA4A2B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0.859</w:t>
            </w:r>
          </w:p>
        </w:tc>
        <w:tc>
          <w:tcPr>
            <w:tcW w:w="0" w:type="auto"/>
            <w:hideMark/>
          </w:tcPr>
          <w:p w14:paraId="69032E1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0.648</w:t>
            </w:r>
          </w:p>
        </w:tc>
      </w:tr>
      <w:tr w:rsidR="0035564C" w:rsidRPr="0035564C" w14:paraId="10E7ECAD" w14:textId="77777777" w:rsidTr="0035564C">
        <w:tc>
          <w:tcPr>
            <w:tcW w:w="0" w:type="auto"/>
            <w:hideMark/>
          </w:tcPr>
          <w:p w14:paraId="11EF932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Adaptive Capacity (X3)</w:t>
            </w:r>
          </w:p>
        </w:tc>
        <w:tc>
          <w:tcPr>
            <w:tcW w:w="0" w:type="auto"/>
            <w:hideMark/>
          </w:tcPr>
          <w:p w14:paraId="2EEC928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0.888</w:t>
            </w:r>
          </w:p>
        </w:tc>
        <w:tc>
          <w:tcPr>
            <w:tcW w:w="0" w:type="auto"/>
            <w:hideMark/>
          </w:tcPr>
          <w:p w14:paraId="44BD7B8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0.904</w:t>
            </w:r>
          </w:p>
        </w:tc>
        <w:tc>
          <w:tcPr>
            <w:tcW w:w="0" w:type="auto"/>
            <w:hideMark/>
          </w:tcPr>
          <w:p w14:paraId="34392FB4"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0.675</w:t>
            </w:r>
          </w:p>
        </w:tc>
      </w:tr>
      <w:tr w:rsidR="0035564C" w:rsidRPr="0035564C" w14:paraId="1A93E7A8" w14:textId="77777777" w:rsidTr="0035564C">
        <w:tc>
          <w:tcPr>
            <w:tcW w:w="0" w:type="auto"/>
            <w:hideMark/>
          </w:tcPr>
          <w:p w14:paraId="2C6F6BF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MSME Sustainability (Y)</w:t>
            </w:r>
          </w:p>
        </w:tc>
        <w:tc>
          <w:tcPr>
            <w:tcW w:w="0" w:type="auto"/>
            <w:hideMark/>
          </w:tcPr>
          <w:p w14:paraId="498E72CB"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0.861</w:t>
            </w:r>
          </w:p>
        </w:tc>
        <w:tc>
          <w:tcPr>
            <w:tcW w:w="0" w:type="auto"/>
            <w:hideMark/>
          </w:tcPr>
          <w:p w14:paraId="78D6C430"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0.889</w:t>
            </w:r>
          </w:p>
        </w:tc>
        <w:tc>
          <w:tcPr>
            <w:tcW w:w="0" w:type="auto"/>
            <w:hideMark/>
          </w:tcPr>
          <w:p w14:paraId="62315B9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0.633</w:t>
            </w:r>
          </w:p>
        </w:tc>
      </w:tr>
    </w:tbl>
    <w:p w14:paraId="557E2D16" w14:textId="77777777" w:rsidR="0035564C" w:rsidRDefault="0035564C" w:rsidP="0035564C">
      <w:pPr>
        <w:rPr>
          <w:rFonts w:ascii="Times New Roman" w:hAnsi="Times New Roman" w:cs="Times New Roman"/>
        </w:rPr>
      </w:pPr>
    </w:p>
    <w:p w14:paraId="030CC687" w14:textId="322B4806"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metrics indicate the instrument was statistically sound, supporting the reliability of subsequent structural evaluations. The use of </w:t>
      </w:r>
      <w:proofErr w:type="spellStart"/>
      <w:r w:rsidRPr="0035564C">
        <w:rPr>
          <w:rFonts w:ascii="Times New Roman" w:hAnsi="Times New Roman" w:cs="Times New Roman"/>
        </w:rPr>
        <w:t>SmartPLS</w:t>
      </w:r>
      <w:proofErr w:type="spellEnd"/>
      <w:r w:rsidRPr="0035564C">
        <w:rPr>
          <w:rFonts w:ascii="Times New Roman" w:hAnsi="Times New Roman" w:cs="Times New Roman"/>
        </w:rPr>
        <w:t xml:space="preserve"> also allowed modeling with a sample size under 100, a benefit of PLS-SEM.</w:t>
      </w:r>
    </w:p>
    <w:p w14:paraId="1C28DA59"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3.2.2 Inner Model: Path Coefficients and Hypothesis Testing</w:t>
      </w:r>
    </w:p>
    <w:p w14:paraId="664D4FBD"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Using bootstrapping (5000 samples), the inner model assessed the causal impact of independent variables (X1, X2, X3) on the dependent variable (Y). The results indicate that adaptive capacity (X3) has the highest standardized coefficient and significance, followed by government policy (X2). In contrast, transportation infrastructure (X1) showed a weak and non-significant direct impact.</w:t>
      </w:r>
    </w:p>
    <w:p w14:paraId="3EF8FA79" w14:textId="77777777" w:rsidR="0035564C" w:rsidRPr="0035564C" w:rsidRDefault="0035564C" w:rsidP="0035564C">
      <w:pPr>
        <w:jc w:val="center"/>
        <w:rPr>
          <w:rFonts w:ascii="Times New Roman" w:hAnsi="Times New Roman" w:cs="Times New Roman"/>
        </w:rPr>
      </w:pPr>
      <w:r w:rsidRPr="0035564C">
        <w:rPr>
          <w:rFonts w:ascii="Times New Roman" w:hAnsi="Times New Roman" w:cs="Times New Roman"/>
          <w:b/>
          <w:bCs/>
        </w:rPr>
        <w:t xml:space="preserve">Table 3. </w:t>
      </w:r>
      <w:r w:rsidRPr="0035564C">
        <w:rPr>
          <w:rFonts w:ascii="Times New Roman" w:hAnsi="Times New Roman" w:cs="Times New Roman"/>
        </w:rPr>
        <w:t>Path Coefficients and Significance Testing</w:t>
      </w:r>
    </w:p>
    <w:tbl>
      <w:tblPr>
        <w:tblStyle w:val="TableGrid"/>
        <w:tblW w:w="0" w:type="auto"/>
        <w:tblLook w:val="04A0" w:firstRow="1" w:lastRow="0" w:firstColumn="1" w:lastColumn="0" w:noHBand="0" w:noVBand="1"/>
      </w:tblPr>
      <w:tblGrid>
        <w:gridCol w:w="1350"/>
        <w:gridCol w:w="2679"/>
        <w:gridCol w:w="1336"/>
        <w:gridCol w:w="923"/>
        <w:gridCol w:w="977"/>
        <w:gridCol w:w="1456"/>
      </w:tblGrid>
      <w:tr w:rsidR="0035564C" w:rsidRPr="0035564C" w14:paraId="25FF0698" w14:textId="77777777" w:rsidTr="0035564C">
        <w:tc>
          <w:tcPr>
            <w:tcW w:w="0" w:type="auto"/>
            <w:hideMark/>
          </w:tcPr>
          <w:p w14:paraId="70ADD49D"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Hypothesis</w:t>
            </w:r>
          </w:p>
        </w:tc>
        <w:tc>
          <w:tcPr>
            <w:tcW w:w="0" w:type="auto"/>
            <w:hideMark/>
          </w:tcPr>
          <w:p w14:paraId="57C27103"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Path</w:t>
            </w:r>
          </w:p>
        </w:tc>
        <w:tc>
          <w:tcPr>
            <w:tcW w:w="0" w:type="auto"/>
            <w:hideMark/>
          </w:tcPr>
          <w:p w14:paraId="5976622B"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Coefficient</w:t>
            </w:r>
          </w:p>
        </w:tc>
        <w:tc>
          <w:tcPr>
            <w:tcW w:w="0" w:type="auto"/>
            <w:hideMark/>
          </w:tcPr>
          <w:p w14:paraId="2DA102E9"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t-value</w:t>
            </w:r>
          </w:p>
        </w:tc>
        <w:tc>
          <w:tcPr>
            <w:tcW w:w="0" w:type="auto"/>
            <w:hideMark/>
          </w:tcPr>
          <w:p w14:paraId="14F95EB8"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p-value</w:t>
            </w:r>
          </w:p>
        </w:tc>
        <w:tc>
          <w:tcPr>
            <w:tcW w:w="0" w:type="auto"/>
            <w:hideMark/>
          </w:tcPr>
          <w:p w14:paraId="3DB3638E" w14:textId="77777777" w:rsidR="0035564C" w:rsidRPr="0035564C" w:rsidRDefault="0035564C" w:rsidP="0035564C">
            <w:pPr>
              <w:spacing w:after="160" w:line="278" w:lineRule="auto"/>
              <w:rPr>
                <w:rFonts w:ascii="Times New Roman" w:hAnsi="Times New Roman" w:cs="Times New Roman"/>
                <w:b/>
                <w:bCs/>
              </w:rPr>
            </w:pPr>
            <w:r w:rsidRPr="0035564C">
              <w:rPr>
                <w:rFonts w:ascii="Times New Roman" w:hAnsi="Times New Roman" w:cs="Times New Roman"/>
                <w:b/>
                <w:bCs/>
              </w:rPr>
              <w:t>Significance</w:t>
            </w:r>
          </w:p>
        </w:tc>
      </w:tr>
      <w:tr w:rsidR="0035564C" w:rsidRPr="0035564C" w14:paraId="13540DA7" w14:textId="77777777" w:rsidTr="0035564C">
        <w:tc>
          <w:tcPr>
            <w:tcW w:w="0" w:type="auto"/>
            <w:hideMark/>
          </w:tcPr>
          <w:p w14:paraId="43ACBE0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H1</w:t>
            </w:r>
          </w:p>
        </w:tc>
        <w:tc>
          <w:tcPr>
            <w:tcW w:w="0" w:type="auto"/>
            <w:hideMark/>
          </w:tcPr>
          <w:p w14:paraId="5503C17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X1 → Y (Infrastructure)</w:t>
            </w:r>
          </w:p>
        </w:tc>
        <w:tc>
          <w:tcPr>
            <w:tcW w:w="0" w:type="auto"/>
            <w:hideMark/>
          </w:tcPr>
          <w:p w14:paraId="0C224D7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0.136</w:t>
            </w:r>
          </w:p>
        </w:tc>
        <w:tc>
          <w:tcPr>
            <w:tcW w:w="0" w:type="auto"/>
            <w:hideMark/>
          </w:tcPr>
          <w:p w14:paraId="1B02E0D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1.27</w:t>
            </w:r>
          </w:p>
        </w:tc>
        <w:tc>
          <w:tcPr>
            <w:tcW w:w="0" w:type="auto"/>
            <w:hideMark/>
          </w:tcPr>
          <w:p w14:paraId="58796A2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0.202</w:t>
            </w:r>
          </w:p>
        </w:tc>
        <w:tc>
          <w:tcPr>
            <w:tcW w:w="0" w:type="auto"/>
            <w:hideMark/>
          </w:tcPr>
          <w:p w14:paraId="44EB5621"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No</w:t>
            </w:r>
          </w:p>
        </w:tc>
      </w:tr>
      <w:tr w:rsidR="0035564C" w:rsidRPr="0035564C" w14:paraId="34492B14" w14:textId="77777777" w:rsidTr="0035564C">
        <w:tc>
          <w:tcPr>
            <w:tcW w:w="0" w:type="auto"/>
            <w:hideMark/>
          </w:tcPr>
          <w:p w14:paraId="1A9C751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H2</w:t>
            </w:r>
          </w:p>
        </w:tc>
        <w:tc>
          <w:tcPr>
            <w:tcW w:w="0" w:type="auto"/>
            <w:hideMark/>
          </w:tcPr>
          <w:p w14:paraId="7F44E0B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X2 → Y (Policy Support)</w:t>
            </w:r>
          </w:p>
        </w:tc>
        <w:tc>
          <w:tcPr>
            <w:tcW w:w="0" w:type="auto"/>
            <w:hideMark/>
          </w:tcPr>
          <w:p w14:paraId="106F0716"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0.330</w:t>
            </w:r>
          </w:p>
        </w:tc>
        <w:tc>
          <w:tcPr>
            <w:tcW w:w="0" w:type="auto"/>
            <w:hideMark/>
          </w:tcPr>
          <w:p w14:paraId="0E6F88AC"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2.71</w:t>
            </w:r>
          </w:p>
        </w:tc>
        <w:tc>
          <w:tcPr>
            <w:tcW w:w="0" w:type="auto"/>
            <w:hideMark/>
          </w:tcPr>
          <w:p w14:paraId="67DAF25E"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0.007</w:t>
            </w:r>
          </w:p>
        </w:tc>
        <w:tc>
          <w:tcPr>
            <w:tcW w:w="0" w:type="auto"/>
            <w:hideMark/>
          </w:tcPr>
          <w:p w14:paraId="5590EFB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0BD0A4DA" w14:textId="77777777" w:rsidTr="0035564C">
        <w:tc>
          <w:tcPr>
            <w:tcW w:w="0" w:type="auto"/>
            <w:hideMark/>
          </w:tcPr>
          <w:p w14:paraId="760671CF"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H3</w:t>
            </w:r>
          </w:p>
        </w:tc>
        <w:tc>
          <w:tcPr>
            <w:tcW w:w="0" w:type="auto"/>
            <w:hideMark/>
          </w:tcPr>
          <w:p w14:paraId="70490057"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X3 → Y (Adaptation)</w:t>
            </w:r>
          </w:p>
        </w:tc>
        <w:tc>
          <w:tcPr>
            <w:tcW w:w="0" w:type="auto"/>
            <w:hideMark/>
          </w:tcPr>
          <w:p w14:paraId="3B9F0A68"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0.784</w:t>
            </w:r>
          </w:p>
        </w:tc>
        <w:tc>
          <w:tcPr>
            <w:tcW w:w="0" w:type="auto"/>
            <w:hideMark/>
          </w:tcPr>
          <w:p w14:paraId="5F5F1AE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6.02</w:t>
            </w:r>
          </w:p>
        </w:tc>
        <w:tc>
          <w:tcPr>
            <w:tcW w:w="0" w:type="auto"/>
            <w:hideMark/>
          </w:tcPr>
          <w:p w14:paraId="5E984265"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&lt;0.001</w:t>
            </w:r>
          </w:p>
        </w:tc>
        <w:tc>
          <w:tcPr>
            <w:tcW w:w="0" w:type="auto"/>
            <w:hideMark/>
          </w:tcPr>
          <w:p w14:paraId="12381029"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Yes***</w:t>
            </w:r>
          </w:p>
        </w:tc>
      </w:tr>
      <w:tr w:rsidR="0035564C" w:rsidRPr="0035564C" w14:paraId="54A28ED0" w14:textId="77777777" w:rsidTr="0035564C">
        <w:tc>
          <w:tcPr>
            <w:tcW w:w="0" w:type="auto"/>
            <w:hideMark/>
          </w:tcPr>
          <w:p w14:paraId="5E50FC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H4</w:t>
            </w:r>
          </w:p>
        </w:tc>
        <w:tc>
          <w:tcPr>
            <w:tcW w:w="0" w:type="auto"/>
            <w:hideMark/>
          </w:tcPr>
          <w:p w14:paraId="63EA719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R² for Y</w:t>
            </w:r>
          </w:p>
        </w:tc>
        <w:tc>
          <w:tcPr>
            <w:tcW w:w="0" w:type="auto"/>
            <w:hideMark/>
          </w:tcPr>
          <w:p w14:paraId="341503ED"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0.687</w:t>
            </w:r>
          </w:p>
        </w:tc>
        <w:tc>
          <w:tcPr>
            <w:tcW w:w="0" w:type="auto"/>
            <w:hideMark/>
          </w:tcPr>
          <w:p w14:paraId="254472E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4DF9505A"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c>
          <w:tcPr>
            <w:tcW w:w="0" w:type="auto"/>
            <w:hideMark/>
          </w:tcPr>
          <w:p w14:paraId="708C6243" w14:textId="77777777" w:rsidR="0035564C" w:rsidRPr="0035564C" w:rsidRDefault="0035564C" w:rsidP="0035564C">
            <w:pPr>
              <w:spacing w:after="160" w:line="278" w:lineRule="auto"/>
              <w:rPr>
                <w:rFonts w:ascii="Times New Roman" w:hAnsi="Times New Roman" w:cs="Times New Roman"/>
              </w:rPr>
            </w:pPr>
            <w:r w:rsidRPr="0035564C">
              <w:rPr>
                <w:rFonts w:ascii="Times New Roman" w:hAnsi="Times New Roman" w:cs="Times New Roman"/>
              </w:rPr>
              <w:t>—</w:t>
            </w:r>
          </w:p>
        </w:tc>
      </w:tr>
    </w:tbl>
    <w:p w14:paraId="7B4D9FB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R² value of 0.687 indicates that 68.7% of the variance in MSME sustainability is explained by the three predictors. The dominant effect of adaptive capacity underscores the strategic value of digital transformation and innovation in helping MSMEs weather economic shocks.</w:t>
      </w:r>
    </w:p>
    <w:p w14:paraId="624B9967" w14:textId="28E66331"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These findings support the argument that infrastructure alone cannot guarantee local economic resilience; it must be coupled with policy mechanisms and firm-level readiness.</w:t>
      </w:r>
    </w:p>
    <w:p w14:paraId="0948E8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3.3 SWOT Analysis: Strategic Mapping of MSME Position</w:t>
      </w:r>
    </w:p>
    <w:p w14:paraId="4D0A4A0F"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To complement quantitative modeling, SWOT analysis was conducted using stakeholder interviews and survey data. This strategic diagnostic identified internal strengths/weaknesses and external opportunities/threats, allowing classification into strategic quadrants.</w:t>
      </w:r>
    </w:p>
    <w:p w14:paraId="679B2277" w14:textId="236E5FFF" w:rsidR="0035564C" w:rsidRDefault="0035564C" w:rsidP="0035564C">
      <w:pPr>
        <w:rPr>
          <w:rFonts w:ascii="Times New Roman" w:hAnsi="Times New Roman" w:cs="Times New Roman"/>
        </w:rPr>
      </w:pPr>
      <w:r w:rsidRPr="0035564C">
        <w:rPr>
          <w:rFonts w:ascii="Times New Roman" w:hAnsi="Times New Roman" w:cs="Times New Roman"/>
          <w:b/>
          <w:bCs/>
        </w:rPr>
        <w:t xml:space="preserve">Table 4. </w:t>
      </w:r>
      <w:r w:rsidRPr="0035564C">
        <w:rPr>
          <w:rFonts w:ascii="Times New Roman" w:hAnsi="Times New Roman" w:cs="Times New Roman"/>
        </w:rPr>
        <w:t>IFAS and EFAS Matrices</w:t>
      </w:r>
    </w:p>
    <w:tbl>
      <w:tblPr>
        <w:tblStyle w:val="TableGridLight"/>
        <w:tblW w:w="8440" w:type="dxa"/>
        <w:tblLook w:val="04A0" w:firstRow="1" w:lastRow="0" w:firstColumn="1" w:lastColumn="0" w:noHBand="0" w:noVBand="1"/>
      </w:tblPr>
      <w:tblGrid>
        <w:gridCol w:w="4740"/>
        <w:gridCol w:w="1780"/>
        <w:gridCol w:w="963"/>
        <w:gridCol w:w="910"/>
        <w:gridCol w:w="790"/>
      </w:tblGrid>
      <w:tr w:rsidR="0035564C" w:rsidRPr="0035564C" w14:paraId="2C733456" w14:textId="77777777" w:rsidTr="0035564C">
        <w:trPr>
          <w:trHeight w:val="285"/>
        </w:trPr>
        <w:tc>
          <w:tcPr>
            <w:tcW w:w="4740" w:type="dxa"/>
            <w:noWrap/>
            <w:hideMark/>
          </w:tcPr>
          <w:p w14:paraId="4D731CB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Factor</w:t>
            </w:r>
          </w:p>
        </w:tc>
        <w:tc>
          <w:tcPr>
            <w:tcW w:w="1780" w:type="dxa"/>
            <w:noWrap/>
            <w:hideMark/>
          </w:tcPr>
          <w:p w14:paraId="5422634A"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Category</w:t>
            </w:r>
          </w:p>
        </w:tc>
        <w:tc>
          <w:tcPr>
            <w:tcW w:w="700" w:type="dxa"/>
            <w:noWrap/>
            <w:hideMark/>
          </w:tcPr>
          <w:p w14:paraId="4647E58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Weight</w:t>
            </w:r>
          </w:p>
        </w:tc>
        <w:tc>
          <w:tcPr>
            <w:tcW w:w="640" w:type="dxa"/>
            <w:noWrap/>
            <w:hideMark/>
          </w:tcPr>
          <w:p w14:paraId="4F3E19A1"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Rating</w:t>
            </w:r>
          </w:p>
        </w:tc>
        <w:tc>
          <w:tcPr>
            <w:tcW w:w="580" w:type="dxa"/>
            <w:noWrap/>
            <w:hideMark/>
          </w:tcPr>
          <w:p w14:paraId="1C6A134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Score</w:t>
            </w:r>
          </w:p>
        </w:tc>
      </w:tr>
      <w:tr w:rsidR="0035564C" w:rsidRPr="0035564C" w14:paraId="1354F470" w14:textId="77777777" w:rsidTr="0035564C">
        <w:trPr>
          <w:trHeight w:val="285"/>
        </w:trPr>
        <w:tc>
          <w:tcPr>
            <w:tcW w:w="4740" w:type="dxa"/>
            <w:noWrap/>
            <w:hideMark/>
          </w:tcPr>
          <w:p w14:paraId="5AAB860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 xml:space="preserve">Strong product identity (e.g., </w:t>
            </w:r>
            <w:proofErr w:type="spellStart"/>
            <w:r w:rsidRPr="0035564C">
              <w:rPr>
                <w:rFonts w:ascii="Times New Roman" w:eastAsia="Times New Roman" w:hAnsi="Times New Roman" w:cs="Times New Roman"/>
                <w:color w:val="000000"/>
                <w:kern w:val="0"/>
                <w14:ligatures w14:val="none"/>
              </w:rPr>
              <w:t>dodol</w:t>
            </w:r>
            <w:proofErr w:type="spellEnd"/>
            <w:r w:rsidRPr="0035564C">
              <w:rPr>
                <w:rFonts w:ascii="Times New Roman" w:eastAsia="Times New Roman" w:hAnsi="Times New Roman" w:cs="Times New Roman"/>
                <w:color w:val="000000"/>
                <w:kern w:val="0"/>
                <w14:ligatures w14:val="none"/>
              </w:rPr>
              <w:t xml:space="preserve"> </w:t>
            </w:r>
            <w:proofErr w:type="spellStart"/>
            <w:r w:rsidRPr="0035564C">
              <w:rPr>
                <w:rFonts w:ascii="Times New Roman" w:eastAsia="Times New Roman" w:hAnsi="Times New Roman" w:cs="Times New Roman"/>
                <w:color w:val="000000"/>
                <w:kern w:val="0"/>
                <w14:ligatures w14:val="none"/>
              </w:rPr>
              <w:t>Bengkel</w:t>
            </w:r>
            <w:proofErr w:type="spellEnd"/>
            <w:r w:rsidRPr="0035564C">
              <w:rPr>
                <w:rFonts w:ascii="Times New Roman" w:eastAsia="Times New Roman" w:hAnsi="Times New Roman" w:cs="Times New Roman"/>
                <w:color w:val="000000"/>
                <w:kern w:val="0"/>
                <w14:ligatures w14:val="none"/>
              </w:rPr>
              <w:t>)</w:t>
            </w:r>
          </w:p>
        </w:tc>
        <w:tc>
          <w:tcPr>
            <w:tcW w:w="1780" w:type="dxa"/>
            <w:noWrap/>
            <w:hideMark/>
          </w:tcPr>
          <w:p w14:paraId="0141C2F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52E234D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4B11AFD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00929B1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w:t>
            </w:r>
          </w:p>
        </w:tc>
      </w:tr>
      <w:tr w:rsidR="0035564C" w:rsidRPr="0035564C" w14:paraId="1B80A300" w14:textId="77777777" w:rsidTr="0035564C">
        <w:trPr>
          <w:trHeight w:val="285"/>
        </w:trPr>
        <w:tc>
          <w:tcPr>
            <w:tcW w:w="4740" w:type="dxa"/>
            <w:noWrap/>
            <w:hideMark/>
          </w:tcPr>
          <w:p w14:paraId="3D3224C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Flexibility in pricing and production</w:t>
            </w:r>
          </w:p>
        </w:tc>
        <w:tc>
          <w:tcPr>
            <w:tcW w:w="1780" w:type="dxa"/>
            <w:noWrap/>
            <w:hideMark/>
          </w:tcPr>
          <w:p w14:paraId="47BB006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C0BB12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1799274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6984821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DAC17FB" w14:textId="77777777" w:rsidTr="0035564C">
        <w:trPr>
          <w:trHeight w:val="285"/>
        </w:trPr>
        <w:tc>
          <w:tcPr>
            <w:tcW w:w="4740" w:type="dxa"/>
            <w:noWrap/>
            <w:hideMark/>
          </w:tcPr>
          <w:p w14:paraId="30F9F24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Loyal customer base (historical)</w:t>
            </w:r>
          </w:p>
        </w:tc>
        <w:tc>
          <w:tcPr>
            <w:tcW w:w="1780" w:type="dxa"/>
            <w:noWrap/>
            <w:hideMark/>
          </w:tcPr>
          <w:p w14:paraId="7FD00E8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Strengths</w:t>
            </w:r>
          </w:p>
        </w:tc>
        <w:tc>
          <w:tcPr>
            <w:tcW w:w="700" w:type="dxa"/>
            <w:noWrap/>
            <w:hideMark/>
          </w:tcPr>
          <w:p w14:paraId="6BCABD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5BCCB52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w:t>
            </w:r>
          </w:p>
        </w:tc>
        <w:tc>
          <w:tcPr>
            <w:tcW w:w="580" w:type="dxa"/>
            <w:noWrap/>
            <w:hideMark/>
          </w:tcPr>
          <w:p w14:paraId="574E309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r>
      <w:tr w:rsidR="0035564C" w:rsidRPr="0035564C" w14:paraId="4D89E846" w14:textId="77777777" w:rsidTr="0035564C">
        <w:trPr>
          <w:trHeight w:val="285"/>
        </w:trPr>
        <w:tc>
          <w:tcPr>
            <w:tcW w:w="4740" w:type="dxa"/>
            <w:noWrap/>
            <w:hideMark/>
          </w:tcPr>
          <w:p w14:paraId="7E20D85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Strength</w:t>
            </w:r>
          </w:p>
        </w:tc>
        <w:tc>
          <w:tcPr>
            <w:tcW w:w="1780" w:type="dxa"/>
            <w:noWrap/>
            <w:hideMark/>
          </w:tcPr>
          <w:p w14:paraId="4D17771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Strengths Total</w:t>
            </w:r>
          </w:p>
        </w:tc>
        <w:tc>
          <w:tcPr>
            <w:tcW w:w="700" w:type="dxa"/>
            <w:noWrap/>
            <w:hideMark/>
          </w:tcPr>
          <w:p w14:paraId="183F8059"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72BA083"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FB994B0"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1.83</w:t>
            </w:r>
          </w:p>
        </w:tc>
      </w:tr>
      <w:tr w:rsidR="0035564C" w:rsidRPr="0035564C" w14:paraId="4C9E1459" w14:textId="77777777" w:rsidTr="0035564C">
        <w:trPr>
          <w:trHeight w:val="285"/>
        </w:trPr>
        <w:tc>
          <w:tcPr>
            <w:tcW w:w="4740" w:type="dxa"/>
            <w:noWrap/>
            <w:hideMark/>
          </w:tcPr>
          <w:p w14:paraId="3EA09215"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Lack of digital infrastructure and skills</w:t>
            </w:r>
          </w:p>
        </w:tc>
        <w:tc>
          <w:tcPr>
            <w:tcW w:w="1780" w:type="dxa"/>
            <w:noWrap/>
            <w:hideMark/>
          </w:tcPr>
          <w:p w14:paraId="3111028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7499BE4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49261C4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617081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w:t>
            </w:r>
          </w:p>
        </w:tc>
      </w:tr>
      <w:tr w:rsidR="0035564C" w:rsidRPr="0035564C" w14:paraId="5235BF7C" w14:textId="77777777" w:rsidTr="0035564C">
        <w:trPr>
          <w:trHeight w:val="285"/>
        </w:trPr>
        <w:tc>
          <w:tcPr>
            <w:tcW w:w="4740" w:type="dxa"/>
            <w:noWrap/>
            <w:hideMark/>
          </w:tcPr>
          <w:p w14:paraId="677F8ACC"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Reduced traffic flow due to toll road</w:t>
            </w:r>
          </w:p>
        </w:tc>
        <w:tc>
          <w:tcPr>
            <w:tcW w:w="1780" w:type="dxa"/>
            <w:noWrap/>
            <w:hideMark/>
          </w:tcPr>
          <w:p w14:paraId="22FCA69A"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51902A6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22B77DB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45DEC0E"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0.63</w:t>
            </w:r>
          </w:p>
        </w:tc>
      </w:tr>
      <w:tr w:rsidR="0035564C" w:rsidRPr="0035564C" w14:paraId="55D52FEE" w14:textId="77777777" w:rsidTr="0035564C">
        <w:trPr>
          <w:trHeight w:val="285"/>
        </w:trPr>
        <w:tc>
          <w:tcPr>
            <w:tcW w:w="4740" w:type="dxa"/>
            <w:noWrap/>
            <w:hideMark/>
          </w:tcPr>
          <w:p w14:paraId="72FFCF3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Logistic barriers post-toll</w:t>
            </w:r>
          </w:p>
        </w:tc>
        <w:tc>
          <w:tcPr>
            <w:tcW w:w="1780" w:type="dxa"/>
            <w:noWrap/>
            <w:hideMark/>
          </w:tcPr>
          <w:p w14:paraId="5ABC47CB"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Weaknesses</w:t>
            </w:r>
          </w:p>
        </w:tc>
        <w:tc>
          <w:tcPr>
            <w:tcW w:w="700" w:type="dxa"/>
            <w:noWrap/>
            <w:hideMark/>
          </w:tcPr>
          <w:p w14:paraId="041B0B3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1C89257A"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46F8885"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3EE79C18" w14:textId="77777777" w:rsidTr="0035564C">
        <w:trPr>
          <w:trHeight w:val="285"/>
        </w:trPr>
        <w:tc>
          <w:tcPr>
            <w:tcW w:w="4740" w:type="dxa"/>
            <w:noWrap/>
            <w:hideMark/>
          </w:tcPr>
          <w:p w14:paraId="6E9CA097"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Weakness</w:t>
            </w:r>
          </w:p>
        </w:tc>
        <w:tc>
          <w:tcPr>
            <w:tcW w:w="1780" w:type="dxa"/>
            <w:noWrap/>
            <w:hideMark/>
          </w:tcPr>
          <w:p w14:paraId="09C9A69D"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Weaknesses Total</w:t>
            </w:r>
          </w:p>
        </w:tc>
        <w:tc>
          <w:tcPr>
            <w:tcW w:w="700" w:type="dxa"/>
            <w:noWrap/>
            <w:hideMark/>
          </w:tcPr>
          <w:p w14:paraId="18097BE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3EE3F0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49A0F519"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1.43</w:t>
            </w:r>
          </w:p>
        </w:tc>
      </w:tr>
      <w:tr w:rsidR="0035564C" w:rsidRPr="0035564C" w14:paraId="767694C5" w14:textId="77777777" w:rsidTr="0035564C">
        <w:trPr>
          <w:trHeight w:val="285"/>
        </w:trPr>
        <w:tc>
          <w:tcPr>
            <w:tcW w:w="4740" w:type="dxa"/>
            <w:noWrap/>
            <w:hideMark/>
          </w:tcPr>
          <w:p w14:paraId="565C20A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Government support programs (rest area integration)</w:t>
            </w:r>
          </w:p>
        </w:tc>
        <w:tc>
          <w:tcPr>
            <w:tcW w:w="1780" w:type="dxa"/>
            <w:noWrap/>
            <w:hideMark/>
          </w:tcPr>
          <w:p w14:paraId="275DA2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4E1CB317"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0.3</w:t>
            </w:r>
          </w:p>
        </w:tc>
        <w:tc>
          <w:tcPr>
            <w:tcW w:w="640" w:type="dxa"/>
            <w:noWrap/>
            <w:hideMark/>
          </w:tcPr>
          <w:p w14:paraId="3E0F5212"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4</w:t>
            </w:r>
          </w:p>
        </w:tc>
        <w:tc>
          <w:tcPr>
            <w:tcW w:w="580" w:type="dxa"/>
            <w:noWrap/>
            <w:hideMark/>
          </w:tcPr>
          <w:p w14:paraId="6CCC58C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1.2</w:t>
            </w:r>
          </w:p>
        </w:tc>
      </w:tr>
      <w:tr w:rsidR="0035564C" w:rsidRPr="0035564C" w14:paraId="08410D09" w14:textId="77777777" w:rsidTr="0035564C">
        <w:trPr>
          <w:trHeight w:val="285"/>
        </w:trPr>
        <w:tc>
          <w:tcPr>
            <w:tcW w:w="4740" w:type="dxa"/>
            <w:noWrap/>
            <w:hideMark/>
          </w:tcPr>
          <w:p w14:paraId="3E3638A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Expansion via e-commerce platforms</w:t>
            </w:r>
          </w:p>
        </w:tc>
        <w:tc>
          <w:tcPr>
            <w:tcW w:w="1780" w:type="dxa"/>
            <w:noWrap/>
            <w:hideMark/>
          </w:tcPr>
          <w:p w14:paraId="412979CD"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F327A5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0.25</w:t>
            </w:r>
          </w:p>
        </w:tc>
        <w:tc>
          <w:tcPr>
            <w:tcW w:w="640" w:type="dxa"/>
            <w:noWrap/>
            <w:hideMark/>
          </w:tcPr>
          <w:p w14:paraId="7E8C901B"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71814BAD"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0.88</w:t>
            </w:r>
          </w:p>
        </w:tc>
      </w:tr>
      <w:tr w:rsidR="0035564C" w:rsidRPr="0035564C" w14:paraId="69992837" w14:textId="77777777" w:rsidTr="0035564C">
        <w:trPr>
          <w:trHeight w:val="285"/>
        </w:trPr>
        <w:tc>
          <w:tcPr>
            <w:tcW w:w="4740" w:type="dxa"/>
            <w:noWrap/>
            <w:hideMark/>
          </w:tcPr>
          <w:p w14:paraId="429DB603"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Domestic tourism growth</w:t>
            </w:r>
          </w:p>
        </w:tc>
        <w:tc>
          <w:tcPr>
            <w:tcW w:w="1780" w:type="dxa"/>
            <w:noWrap/>
            <w:hideMark/>
          </w:tcPr>
          <w:p w14:paraId="375C5D38"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Opportunities</w:t>
            </w:r>
          </w:p>
        </w:tc>
        <w:tc>
          <w:tcPr>
            <w:tcW w:w="700" w:type="dxa"/>
            <w:noWrap/>
            <w:hideMark/>
          </w:tcPr>
          <w:p w14:paraId="6D70F5C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0.15</w:t>
            </w:r>
          </w:p>
        </w:tc>
        <w:tc>
          <w:tcPr>
            <w:tcW w:w="640" w:type="dxa"/>
            <w:noWrap/>
            <w:hideMark/>
          </w:tcPr>
          <w:p w14:paraId="219285C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3.5</w:t>
            </w:r>
          </w:p>
        </w:tc>
        <w:tc>
          <w:tcPr>
            <w:tcW w:w="580" w:type="dxa"/>
            <w:noWrap/>
            <w:hideMark/>
          </w:tcPr>
          <w:p w14:paraId="0D21ED4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0.53</w:t>
            </w:r>
          </w:p>
        </w:tc>
      </w:tr>
      <w:tr w:rsidR="0035564C" w:rsidRPr="0035564C" w14:paraId="690C3411" w14:textId="77777777" w:rsidTr="0035564C">
        <w:trPr>
          <w:trHeight w:val="285"/>
        </w:trPr>
        <w:tc>
          <w:tcPr>
            <w:tcW w:w="4740" w:type="dxa"/>
            <w:noWrap/>
            <w:hideMark/>
          </w:tcPr>
          <w:p w14:paraId="33A8BB3F"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Opportunity</w:t>
            </w:r>
          </w:p>
        </w:tc>
        <w:tc>
          <w:tcPr>
            <w:tcW w:w="1780" w:type="dxa"/>
            <w:noWrap/>
            <w:hideMark/>
          </w:tcPr>
          <w:p w14:paraId="6B241DA0"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Opportunities Total</w:t>
            </w:r>
          </w:p>
        </w:tc>
        <w:tc>
          <w:tcPr>
            <w:tcW w:w="700" w:type="dxa"/>
            <w:noWrap/>
            <w:hideMark/>
          </w:tcPr>
          <w:p w14:paraId="639176BD"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5E8514FD"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3283101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2.61</w:t>
            </w:r>
          </w:p>
        </w:tc>
      </w:tr>
      <w:tr w:rsidR="0035564C" w:rsidRPr="0035564C" w14:paraId="1D5282EB" w14:textId="77777777" w:rsidTr="0035564C">
        <w:trPr>
          <w:trHeight w:val="285"/>
        </w:trPr>
        <w:tc>
          <w:tcPr>
            <w:tcW w:w="4740" w:type="dxa"/>
            <w:noWrap/>
            <w:hideMark/>
          </w:tcPr>
          <w:p w14:paraId="14364C7E"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Displacement by larger vendors in rest areas</w:t>
            </w:r>
          </w:p>
        </w:tc>
        <w:tc>
          <w:tcPr>
            <w:tcW w:w="1780" w:type="dxa"/>
            <w:noWrap/>
            <w:hideMark/>
          </w:tcPr>
          <w:p w14:paraId="022128DC"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4D294468"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4332245F"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2.5</w:t>
            </w:r>
          </w:p>
        </w:tc>
        <w:tc>
          <w:tcPr>
            <w:tcW w:w="580" w:type="dxa"/>
            <w:noWrap/>
            <w:hideMark/>
          </w:tcPr>
          <w:p w14:paraId="75AA3224"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0.5</w:t>
            </w:r>
          </w:p>
        </w:tc>
      </w:tr>
      <w:tr w:rsidR="0035564C" w:rsidRPr="0035564C" w14:paraId="495AB0DC" w14:textId="77777777" w:rsidTr="0035564C">
        <w:trPr>
          <w:trHeight w:val="285"/>
        </w:trPr>
        <w:tc>
          <w:tcPr>
            <w:tcW w:w="4740" w:type="dxa"/>
            <w:noWrap/>
            <w:hideMark/>
          </w:tcPr>
          <w:p w14:paraId="01754452"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Limited involvement in spatial planning</w:t>
            </w:r>
          </w:p>
        </w:tc>
        <w:tc>
          <w:tcPr>
            <w:tcW w:w="1780" w:type="dxa"/>
            <w:noWrap/>
            <w:hideMark/>
          </w:tcPr>
          <w:p w14:paraId="0ACAB431"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1D6F6A56"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c>
          <w:tcPr>
            <w:tcW w:w="640" w:type="dxa"/>
            <w:noWrap/>
            <w:hideMark/>
          </w:tcPr>
          <w:p w14:paraId="564F1C80"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340545FC"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0.4</w:t>
            </w:r>
          </w:p>
        </w:tc>
      </w:tr>
      <w:tr w:rsidR="0035564C" w:rsidRPr="0035564C" w14:paraId="5E7A4502" w14:textId="77777777" w:rsidTr="0035564C">
        <w:trPr>
          <w:trHeight w:val="285"/>
        </w:trPr>
        <w:tc>
          <w:tcPr>
            <w:tcW w:w="4740" w:type="dxa"/>
            <w:noWrap/>
            <w:hideMark/>
          </w:tcPr>
          <w:p w14:paraId="373FB95F"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Policy fragmentation at local level</w:t>
            </w:r>
          </w:p>
        </w:tc>
        <w:tc>
          <w:tcPr>
            <w:tcW w:w="1780" w:type="dxa"/>
            <w:noWrap/>
            <w:hideMark/>
          </w:tcPr>
          <w:p w14:paraId="22B73600" w14:textId="77777777" w:rsidR="0035564C" w:rsidRPr="0035564C" w:rsidRDefault="0035564C" w:rsidP="0035564C">
            <w:pPr>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Threats</w:t>
            </w:r>
          </w:p>
        </w:tc>
        <w:tc>
          <w:tcPr>
            <w:tcW w:w="700" w:type="dxa"/>
            <w:noWrap/>
            <w:hideMark/>
          </w:tcPr>
          <w:p w14:paraId="699F5239"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0.1</w:t>
            </w:r>
          </w:p>
        </w:tc>
        <w:tc>
          <w:tcPr>
            <w:tcW w:w="640" w:type="dxa"/>
            <w:noWrap/>
            <w:hideMark/>
          </w:tcPr>
          <w:p w14:paraId="202245B3"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2</w:t>
            </w:r>
          </w:p>
        </w:tc>
        <w:tc>
          <w:tcPr>
            <w:tcW w:w="580" w:type="dxa"/>
            <w:noWrap/>
            <w:hideMark/>
          </w:tcPr>
          <w:p w14:paraId="5DD8BA91" w14:textId="77777777" w:rsidR="0035564C" w:rsidRPr="0035564C" w:rsidRDefault="0035564C" w:rsidP="0035564C">
            <w:pPr>
              <w:jc w:val="right"/>
              <w:rPr>
                <w:rFonts w:ascii="Times New Roman" w:eastAsia="Times New Roman" w:hAnsi="Times New Roman" w:cs="Times New Roman"/>
                <w:color w:val="000000"/>
                <w:kern w:val="0"/>
                <w14:ligatures w14:val="none"/>
              </w:rPr>
            </w:pPr>
            <w:r w:rsidRPr="0035564C">
              <w:rPr>
                <w:rFonts w:ascii="Times New Roman" w:eastAsia="Times New Roman" w:hAnsi="Times New Roman" w:cs="Times New Roman"/>
                <w:color w:val="000000"/>
                <w:kern w:val="0"/>
                <w14:ligatures w14:val="none"/>
              </w:rPr>
              <w:t>0.2</w:t>
            </w:r>
          </w:p>
        </w:tc>
      </w:tr>
      <w:tr w:rsidR="0035564C" w:rsidRPr="0035564C" w14:paraId="059D8A01" w14:textId="77777777" w:rsidTr="0035564C">
        <w:trPr>
          <w:trHeight w:val="285"/>
        </w:trPr>
        <w:tc>
          <w:tcPr>
            <w:tcW w:w="4740" w:type="dxa"/>
            <w:noWrap/>
            <w:hideMark/>
          </w:tcPr>
          <w:p w14:paraId="13B652FE"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Total Threat</w:t>
            </w:r>
          </w:p>
        </w:tc>
        <w:tc>
          <w:tcPr>
            <w:tcW w:w="1780" w:type="dxa"/>
            <w:noWrap/>
            <w:hideMark/>
          </w:tcPr>
          <w:p w14:paraId="549A9803" w14:textId="77777777" w:rsidR="0035564C" w:rsidRPr="0035564C" w:rsidRDefault="0035564C" w:rsidP="0035564C">
            <w:pPr>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Threats Total</w:t>
            </w:r>
          </w:p>
        </w:tc>
        <w:tc>
          <w:tcPr>
            <w:tcW w:w="700" w:type="dxa"/>
            <w:noWrap/>
            <w:hideMark/>
          </w:tcPr>
          <w:p w14:paraId="49C69EB4" w14:textId="77777777" w:rsidR="0035564C" w:rsidRPr="0035564C" w:rsidRDefault="0035564C" w:rsidP="0035564C">
            <w:pPr>
              <w:rPr>
                <w:rFonts w:ascii="Times New Roman" w:eastAsia="Times New Roman" w:hAnsi="Times New Roman" w:cs="Times New Roman"/>
                <w:b/>
                <w:bCs/>
                <w:color w:val="000000"/>
                <w:kern w:val="0"/>
                <w14:ligatures w14:val="none"/>
              </w:rPr>
            </w:pPr>
          </w:p>
        </w:tc>
        <w:tc>
          <w:tcPr>
            <w:tcW w:w="640" w:type="dxa"/>
            <w:noWrap/>
            <w:hideMark/>
          </w:tcPr>
          <w:p w14:paraId="63C343A5" w14:textId="77777777" w:rsidR="0035564C" w:rsidRPr="0035564C" w:rsidRDefault="0035564C" w:rsidP="0035564C">
            <w:pPr>
              <w:rPr>
                <w:rFonts w:ascii="Times New Roman" w:eastAsia="Times New Roman" w:hAnsi="Times New Roman" w:cs="Times New Roman"/>
                <w:b/>
                <w:bCs/>
                <w:kern w:val="0"/>
                <w14:ligatures w14:val="none"/>
              </w:rPr>
            </w:pPr>
          </w:p>
        </w:tc>
        <w:tc>
          <w:tcPr>
            <w:tcW w:w="580" w:type="dxa"/>
            <w:noWrap/>
            <w:hideMark/>
          </w:tcPr>
          <w:p w14:paraId="5506EC21" w14:textId="77777777" w:rsidR="0035564C" w:rsidRPr="0035564C" w:rsidRDefault="0035564C" w:rsidP="0035564C">
            <w:pPr>
              <w:jc w:val="right"/>
              <w:rPr>
                <w:rFonts w:ascii="Times New Roman" w:eastAsia="Times New Roman" w:hAnsi="Times New Roman" w:cs="Times New Roman"/>
                <w:b/>
                <w:bCs/>
                <w:color w:val="000000"/>
                <w:kern w:val="0"/>
                <w14:ligatures w14:val="none"/>
              </w:rPr>
            </w:pPr>
            <w:r w:rsidRPr="0035564C">
              <w:rPr>
                <w:rFonts w:ascii="Times New Roman" w:eastAsia="Times New Roman" w:hAnsi="Times New Roman" w:cs="Times New Roman"/>
                <w:b/>
                <w:bCs/>
                <w:color w:val="000000"/>
                <w:kern w:val="0"/>
                <w14:ligatures w14:val="none"/>
              </w:rPr>
              <w:t>1.1</w:t>
            </w:r>
          </w:p>
        </w:tc>
      </w:tr>
    </w:tbl>
    <w:p w14:paraId="6229BC04" w14:textId="77777777" w:rsidR="0035564C" w:rsidRPr="0035564C" w:rsidRDefault="0035564C" w:rsidP="0035564C">
      <w:pPr>
        <w:rPr>
          <w:rFonts w:ascii="Times New Roman" w:hAnsi="Times New Roman" w:cs="Times New Roman"/>
          <w:vanish/>
        </w:rPr>
      </w:pPr>
    </w:p>
    <w:p w14:paraId="1005FF2E" w14:textId="030571C4" w:rsidR="0035564C" w:rsidRPr="0035564C" w:rsidRDefault="0035564C" w:rsidP="0035564C">
      <w:pPr>
        <w:rPr>
          <w:rFonts w:ascii="Times New Roman" w:hAnsi="Times New Roman" w:cs="Times New Roman"/>
        </w:rPr>
      </w:pPr>
    </w:p>
    <w:p w14:paraId="4E4AA75D" w14:textId="77777777" w:rsidR="0035564C" w:rsidRDefault="0035564C" w:rsidP="0035564C">
      <w:pPr>
        <w:rPr>
          <w:rFonts w:ascii="Times New Roman" w:hAnsi="Times New Roman" w:cs="Times New Roman"/>
          <w:b/>
          <w:bCs/>
        </w:rPr>
      </w:pPr>
    </w:p>
    <w:p w14:paraId="1AF482F1" w14:textId="77777777" w:rsidR="0035564C" w:rsidRDefault="0035564C" w:rsidP="0035564C">
      <w:pPr>
        <w:rPr>
          <w:rFonts w:ascii="Times New Roman" w:hAnsi="Times New Roman" w:cs="Times New Roman"/>
          <w:b/>
          <w:bCs/>
        </w:rPr>
      </w:pPr>
    </w:p>
    <w:p w14:paraId="661D24B7" w14:textId="77777777" w:rsidR="0035564C" w:rsidRDefault="0035564C" w:rsidP="0035564C">
      <w:pPr>
        <w:rPr>
          <w:rFonts w:ascii="Times New Roman" w:hAnsi="Times New Roman" w:cs="Times New Roman"/>
          <w:b/>
          <w:bCs/>
        </w:rPr>
      </w:pPr>
    </w:p>
    <w:p w14:paraId="00D5BEFB" w14:textId="77777777" w:rsidR="0035564C" w:rsidRDefault="0035564C" w:rsidP="0035564C">
      <w:pPr>
        <w:rPr>
          <w:rFonts w:ascii="Times New Roman" w:hAnsi="Times New Roman" w:cs="Times New Roman"/>
          <w:b/>
          <w:bCs/>
        </w:rPr>
      </w:pPr>
    </w:p>
    <w:p w14:paraId="2B2625EA" w14:textId="77777777" w:rsidR="0035564C" w:rsidRDefault="0035564C" w:rsidP="0035564C">
      <w:pPr>
        <w:rPr>
          <w:rFonts w:ascii="Times New Roman" w:hAnsi="Times New Roman" w:cs="Times New Roman"/>
          <w:b/>
          <w:bCs/>
        </w:rPr>
      </w:pPr>
    </w:p>
    <w:p w14:paraId="511B4DFE" w14:textId="230C5503"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Strategic Quadrant Determination</w:t>
      </w:r>
    </w:p>
    <w:p w14:paraId="3E4511DA" w14:textId="77777777" w:rsidR="0035564C" w:rsidRDefault="0035564C" w:rsidP="0035564C">
      <w:pPr>
        <w:jc w:val="center"/>
        <w:rPr>
          <w:rFonts w:ascii="Times New Roman" w:hAnsi="Times New Roman" w:cs="Times New Roman"/>
        </w:rPr>
      </w:pPr>
      <w:r>
        <w:rPr>
          <w:noProof/>
        </w:rPr>
        <w:lastRenderedPageBreak/>
        <w:drawing>
          <wp:inline distT="0" distB="0" distL="0" distR="0" wp14:anchorId="30D89B33" wp14:editId="1EA14281">
            <wp:extent cx="2662238" cy="2662238"/>
            <wp:effectExtent l="0" t="0" r="5080" b="5080"/>
            <wp:docPr id="26651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3733" cy="2663733"/>
                    </a:xfrm>
                    <a:prstGeom prst="rect">
                      <a:avLst/>
                    </a:prstGeom>
                    <a:noFill/>
                    <a:ln>
                      <a:noFill/>
                    </a:ln>
                  </pic:spPr>
                </pic:pic>
              </a:graphicData>
            </a:graphic>
          </wp:inline>
        </w:drawing>
      </w:r>
    </w:p>
    <w:p w14:paraId="1F8BF1A7" w14:textId="55DA99A4"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Based on IFAS (1.83–1.43 = +0.40) and EFAS (2.61–1.10 = +1.51) scores, the SWOT matrix places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MSMEs in Quadrant II (WO Strategy) — high opportunity, internal weakness. This diagnosis implies the need for a diversification and capacity-building strategy.</w:t>
      </w:r>
    </w:p>
    <w:p w14:paraId="56C2481E" w14:textId="77777777" w:rsidR="0035564C" w:rsidRPr="0035564C" w:rsidRDefault="0035564C" w:rsidP="0035564C">
      <w:pPr>
        <w:rPr>
          <w:rFonts w:ascii="Times New Roman" w:hAnsi="Times New Roman" w:cs="Times New Roman"/>
        </w:rPr>
      </w:pPr>
      <w:r w:rsidRPr="0035564C">
        <w:rPr>
          <w:rFonts w:ascii="Times New Roman" w:hAnsi="Times New Roman" w:cs="Times New Roman"/>
        </w:rPr>
        <w:t>Key strategic recommendations include:</w:t>
      </w:r>
    </w:p>
    <w:p w14:paraId="7655866E"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Partnering MSMEs with e-commerce and digital platform providers for training.</w:t>
      </w:r>
    </w:p>
    <w:p w14:paraId="4A131A81"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 xml:space="preserve">Coordinating with toll operators and government to allocate </w:t>
      </w:r>
      <w:r w:rsidRPr="0035564C">
        <w:rPr>
          <w:rFonts w:ascii="Times New Roman" w:hAnsi="Times New Roman" w:cs="Times New Roman"/>
          <w:b/>
          <w:bCs/>
        </w:rPr>
        <w:t>dedicated MSME zones in rest areas</w:t>
      </w:r>
      <w:r w:rsidRPr="0035564C">
        <w:rPr>
          <w:rFonts w:ascii="Times New Roman" w:hAnsi="Times New Roman" w:cs="Times New Roman"/>
        </w:rPr>
        <w:t>.</w:t>
      </w:r>
    </w:p>
    <w:p w14:paraId="59EC9A1B" w14:textId="77777777" w:rsidR="0035564C" w:rsidRPr="0035564C" w:rsidRDefault="0035564C" w:rsidP="0035564C">
      <w:pPr>
        <w:numPr>
          <w:ilvl w:val="0"/>
          <w:numId w:val="5"/>
        </w:numPr>
        <w:rPr>
          <w:rFonts w:ascii="Times New Roman" w:hAnsi="Times New Roman" w:cs="Times New Roman"/>
        </w:rPr>
      </w:pPr>
      <w:r w:rsidRPr="0035564C">
        <w:rPr>
          <w:rFonts w:ascii="Times New Roman" w:hAnsi="Times New Roman" w:cs="Times New Roman"/>
        </w:rPr>
        <w:t>Enhancing spatial policy inclusion to prevent economic marginalization.</w:t>
      </w:r>
    </w:p>
    <w:p w14:paraId="0EE37777"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4.1 Interpreting the Role of Adaptive Capacity in MSME Resilience</w:t>
      </w:r>
    </w:p>
    <w:p w14:paraId="476AC282"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most significant finding of this study is the dominant role of adaptive capacity in shaping the sustainability of MSMEs affected by infrastructure changes. With a path coefficient of 0.784, adaptive behavior—such as digitalization, product diversification, and market repositioning—emerged as the strongest predictor of business resilience. This aligns with the Dynamic Capabilities Theory, which emphasizes that firms survive in turbulent environments by reconfiguring resources, integrating new knowledge, and developing responsive strategies (Teece et al., 1997).</w:t>
      </w:r>
    </w:p>
    <w:p w14:paraId="65B4CA7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In the context of </w:t>
      </w:r>
      <w:proofErr w:type="spellStart"/>
      <w:r w:rsidRPr="0035564C">
        <w:rPr>
          <w:rFonts w:ascii="Times New Roman" w:hAnsi="Times New Roman" w:cs="Times New Roman"/>
        </w:rPr>
        <w:t>Perbaungan</w:t>
      </w:r>
      <w:proofErr w:type="spellEnd"/>
      <w:r w:rsidRPr="0035564C">
        <w:rPr>
          <w:rFonts w:ascii="Times New Roman" w:hAnsi="Times New Roman" w:cs="Times New Roman"/>
        </w:rPr>
        <w:t xml:space="preserve">, MSMEs that had access to digital tools or demonstrated willingness to adjust distribution channels exhibited relatively better performance post toll-road development. This confirms the observations by </w:t>
      </w:r>
      <w:proofErr w:type="spellStart"/>
      <w:r w:rsidRPr="0035564C">
        <w:rPr>
          <w:rFonts w:ascii="Times New Roman" w:hAnsi="Times New Roman" w:cs="Times New Roman"/>
        </w:rPr>
        <w:t>Harnida</w:t>
      </w:r>
      <w:proofErr w:type="spellEnd"/>
      <w:r w:rsidRPr="0035564C">
        <w:rPr>
          <w:rFonts w:ascii="Times New Roman" w:hAnsi="Times New Roman" w:cs="Times New Roman"/>
        </w:rPr>
        <w:t xml:space="preserve"> et al. (2024) and Sahoo &amp; Mohanty (2025), who highlighted digital adoption as a cornerstone of modern MSME competitiveness. </w:t>
      </w:r>
      <w:proofErr w:type="gramStart"/>
      <w:r w:rsidRPr="0035564C">
        <w:rPr>
          <w:rFonts w:ascii="Times New Roman" w:hAnsi="Times New Roman" w:cs="Times New Roman"/>
        </w:rPr>
        <w:t>It</w:t>
      </w:r>
      <w:proofErr w:type="gramEnd"/>
      <w:r w:rsidRPr="0035564C">
        <w:rPr>
          <w:rFonts w:ascii="Times New Roman" w:hAnsi="Times New Roman" w:cs="Times New Roman"/>
        </w:rPr>
        <w:t xml:space="preserve"> further echoes </w:t>
      </w:r>
      <w:proofErr w:type="spellStart"/>
      <w:r w:rsidRPr="0035564C">
        <w:rPr>
          <w:rFonts w:ascii="Times New Roman" w:hAnsi="Times New Roman" w:cs="Times New Roman"/>
        </w:rPr>
        <w:t>Jeje</w:t>
      </w:r>
      <w:proofErr w:type="spellEnd"/>
      <w:r w:rsidRPr="0035564C">
        <w:rPr>
          <w:rFonts w:ascii="Times New Roman" w:hAnsi="Times New Roman" w:cs="Times New Roman"/>
        </w:rPr>
        <w:t xml:space="preserve"> (2020), who argued that strategic planning in MSMEs must decouple traditional reliance on physical foot traffic and instead embrace hybrid market systems.</w:t>
      </w:r>
    </w:p>
    <w:p w14:paraId="399272E4" w14:textId="29A5BAAA" w:rsidR="0035564C" w:rsidRPr="0035564C" w:rsidRDefault="0035564C" w:rsidP="0035564C">
      <w:pPr>
        <w:jc w:val="both"/>
        <w:rPr>
          <w:rFonts w:ascii="Times New Roman" w:hAnsi="Times New Roman" w:cs="Times New Roman"/>
        </w:rPr>
      </w:pPr>
      <w:r w:rsidRPr="0035564C">
        <w:rPr>
          <w:rFonts w:ascii="Times New Roman" w:hAnsi="Times New Roman" w:cs="Times New Roman"/>
        </w:rPr>
        <w:lastRenderedPageBreak/>
        <w:t>These findings suggest that capacity development—particularly in digital literacy and market intelligence—is not a supplementary option but a core requirement for MSME continuity in infrastructure transition zones.</w:t>
      </w:r>
    </w:p>
    <w:p w14:paraId="424E7290"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4.2 The Limited Direct Impact of Infrastructure and the Critical Role of Policy</w:t>
      </w:r>
    </w:p>
    <w:p w14:paraId="568DE111"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Interestingly, the structural model revealed that transportation infrastructure (X1) had a statistically insignificant direct effect on MSME sustainability (β = 0.136; p &gt; 0.05). This result contradicts traditional development assumptions that link infrastructure directly with enterprise growth (</w:t>
      </w:r>
      <w:proofErr w:type="spellStart"/>
      <w:r w:rsidRPr="0035564C">
        <w:rPr>
          <w:rFonts w:ascii="Times New Roman" w:hAnsi="Times New Roman" w:cs="Times New Roman"/>
        </w:rPr>
        <w:t>Romadhani</w:t>
      </w:r>
      <w:proofErr w:type="spellEnd"/>
      <w:r w:rsidRPr="0035564C">
        <w:rPr>
          <w:rFonts w:ascii="Times New Roman" w:hAnsi="Times New Roman" w:cs="Times New Roman"/>
        </w:rPr>
        <w:t xml:space="preserve"> et al., 2024; Hanafi, 2023). The disconnect here reflects a broader challenge in spatial justice: while macroeconomic gains from toll roads are evident, microeconomic actors like MSMEs are often excluded unless specific mechanisms are created for inclusion (</w:t>
      </w:r>
      <w:proofErr w:type="spellStart"/>
      <w:r w:rsidRPr="0035564C">
        <w:rPr>
          <w:rFonts w:ascii="Times New Roman" w:hAnsi="Times New Roman" w:cs="Times New Roman"/>
        </w:rPr>
        <w:t>Rahayu</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Kipuw</w:t>
      </w:r>
      <w:proofErr w:type="spellEnd"/>
      <w:r w:rsidRPr="0035564C">
        <w:rPr>
          <w:rFonts w:ascii="Times New Roman" w:hAnsi="Times New Roman" w:cs="Times New Roman"/>
        </w:rPr>
        <w:t>, 2020).</w:t>
      </w:r>
    </w:p>
    <w:p w14:paraId="1C003274"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By contrast, government policy (X2) had a moderate but significant influence (β = 0.330), indicating the importance of enabling frameworks that bridge infrastructure benefits to small enterprises. This supports the findings of </w:t>
      </w:r>
      <w:proofErr w:type="spellStart"/>
      <w:r w:rsidRPr="0035564C">
        <w:rPr>
          <w:rFonts w:ascii="Times New Roman" w:hAnsi="Times New Roman" w:cs="Times New Roman"/>
        </w:rPr>
        <w:t>Adriani</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Wiksuana</w:t>
      </w:r>
      <w:proofErr w:type="spellEnd"/>
      <w:r w:rsidRPr="0035564C">
        <w:rPr>
          <w:rFonts w:ascii="Times New Roman" w:hAnsi="Times New Roman" w:cs="Times New Roman"/>
        </w:rPr>
        <w:t xml:space="preserve"> (2018), who noted that policy instruments—such as financial incentives, training programs, and infrastructure co-location—are essential for translating macro gains into local impact.</w:t>
      </w:r>
    </w:p>
    <w:p w14:paraId="5C6F347D" w14:textId="786077F4"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implication is that infrastructure should not be treated as an isolated driver, but must be embedded within participatory, inclusive planning frameworks that consider the locational dynamics of small businesses.</w:t>
      </w:r>
    </w:p>
    <w:p w14:paraId="313D9473"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4.3 Strategic Implications of the SWOT–SEM Integration</w:t>
      </w:r>
    </w:p>
    <w:p w14:paraId="2274CEFB"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 integration of SEM results with SWOT analysis places MSMEs in Quadrant II (WO strategy), which reflects high opportunity but internal weaknesses. This strategic positioning underscores the paradox faced by Pasar </w:t>
      </w:r>
      <w:proofErr w:type="spellStart"/>
      <w:r w:rsidRPr="0035564C">
        <w:rPr>
          <w:rFonts w:ascii="Times New Roman" w:hAnsi="Times New Roman" w:cs="Times New Roman"/>
        </w:rPr>
        <w:t>Bengkel’s</w:t>
      </w:r>
      <w:proofErr w:type="spellEnd"/>
      <w:r w:rsidRPr="0035564C">
        <w:rPr>
          <w:rFonts w:ascii="Times New Roman" w:hAnsi="Times New Roman" w:cs="Times New Roman"/>
        </w:rPr>
        <w:t xml:space="preserve"> MSMEs: they are surrounded by potential (rest area access, government incentives, digital markets) but lack the internal capacity to capitalize on it.</w:t>
      </w:r>
    </w:p>
    <w:p w14:paraId="7635266E"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SWOT analysis highlighted that:</w:t>
      </w:r>
    </w:p>
    <w:p w14:paraId="70105374"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Strengths (e.g., product uniqueness and customer loyalty) are insufficient without digital access.</w:t>
      </w:r>
    </w:p>
    <w:p w14:paraId="3D5E6EF8"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Weaknesses (e.g., digital illiteracy, poor logistics) remain unaddressed due to limited state–market coordination.</w:t>
      </w:r>
    </w:p>
    <w:p w14:paraId="6AD3F43C"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Opportunities (e.g., e-commerce and government support) are largely unexploited due to institutional and knowledge gaps.</w:t>
      </w:r>
    </w:p>
    <w:p w14:paraId="604DA153" w14:textId="77777777" w:rsidR="0035564C" w:rsidRPr="0035564C" w:rsidRDefault="0035564C" w:rsidP="0035564C">
      <w:pPr>
        <w:numPr>
          <w:ilvl w:val="0"/>
          <w:numId w:val="6"/>
        </w:numPr>
        <w:jc w:val="both"/>
        <w:rPr>
          <w:rFonts w:ascii="Times New Roman" w:hAnsi="Times New Roman" w:cs="Times New Roman"/>
        </w:rPr>
      </w:pPr>
      <w:r w:rsidRPr="0035564C">
        <w:rPr>
          <w:rFonts w:ascii="Times New Roman" w:hAnsi="Times New Roman" w:cs="Times New Roman"/>
        </w:rPr>
        <w:t>Threats (e.g., spatial exclusion, competition in rest areas) persist due to lack of participatory planning.</w:t>
      </w:r>
    </w:p>
    <w:p w14:paraId="1D32CCFD"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The intersection of these factors calls for a dual-action strategy:</w:t>
      </w:r>
    </w:p>
    <w:p w14:paraId="40EEC599" w14:textId="77777777"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lastRenderedPageBreak/>
        <w:t>Internal Development: Enhance MSME readiness through technology adoption, marketing innovation, and operational training.</w:t>
      </w:r>
    </w:p>
    <w:p w14:paraId="231F678F" w14:textId="77777777" w:rsidR="0035564C" w:rsidRPr="0035564C" w:rsidRDefault="0035564C" w:rsidP="0035564C">
      <w:pPr>
        <w:numPr>
          <w:ilvl w:val="0"/>
          <w:numId w:val="7"/>
        </w:numPr>
        <w:jc w:val="both"/>
        <w:rPr>
          <w:rFonts w:ascii="Times New Roman" w:hAnsi="Times New Roman" w:cs="Times New Roman"/>
        </w:rPr>
      </w:pPr>
      <w:r w:rsidRPr="0035564C">
        <w:rPr>
          <w:rFonts w:ascii="Times New Roman" w:hAnsi="Times New Roman" w:cs="Times New Roman"/>
        </w:rPr>
        <w:t>External Alignment: Formalize public-private partnerships to integrate MSMEs into rest area supply chains and regional branding initiatives.</w:t>
      </w:r>
    </w:p>
    <w:p w14:paraId="25DC4396" w14:textId="42A6D15F"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These findings reinforce recommendations from </w:t>
      </w:r>
      <w:proofErr w:type="spellStart"/>
      <w:r w:rsidRPr="0035564C">
        <w:rPr>
          <w:rFonts w:ascii="Times New Roman" w:hAnsi="Times New Roman" w:cs="Times New Roman"/>
        </w:rPr>
        <w:t>Marpaung</w:t>
      </w:r>
      <w:proofErr w:type="spellEnd"/>
      <w:r w:rsidRPr="0035564C">
        <w:rPr>
          <w:rFonts w:ascii="Times New Roman" w:hAnsi="Times New Roman" w:cs="Times New Roman"/>
        </w:rPr>
        <w:t xml:space="preserve"> &amp; </w:t>
      </w:r>
      <w:proofErr w:type="spellStart"/>
      <w:r w:rsidRPr="0035564C">
        <w:rPr>
          <w:rFonts w:ascii="Times New Roman" w:hAnsi="Times New Roman" w:cs="Times New Roman"/>
        </w:rPr>
        <w:t>Soesilowati</w:t>
      </w:r>
      <w:proofErr w:type="spellEnd"/>
      <w:r w:rsidRPr="0035564C">
        <w:rPr>
          <w:rFonts w:ascii="Times New Roman" w:hAnsi="Times New Roman" w:cs="Times New Roman"/>
        </w:rPr>
        <w:t xml:space="preserve"> (2021) that local economic systems must be horizontally integrated—where MSMEs are not passive beneficiaries but strategic participants in infrastructure-driven transformation.</w:t>
      </w:r>
    </w:p>
    <w:p w14:paraId="0E199EAC" w14:textId="77777777" w:rsidR="0035564C" w:rsidRPr="0035564C" w:rsidRDefault="0035564C" w:rsidP="0035564C">
      <w:pPr>
        <w:rPr>
          <w:rFonts w:ascii="Times New Roman" w:hAnsi="Times New Roman" w:cs="Times New Roman"/>
          <w:b/>
          <w:bCs/>
        </w:rPr>
      </w:pPr>
      <w:r w:rsidRPr="0035564C">
        <w:rPr>
          <w:rFonts w:ascii="Times New Roman" w:hAnsi="Times New Roman" w:cs="Times New Roman"/>
          <w:b/>
          <w:bCs/>
        </w:rPr>
        <w:t>4.4 Policy and Theoretical Implications</w:t>
      </w:r>
    </w:p>
    <w:p w14:paraId="07E8E369"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 xml:space="preserve">From a theoretical perspective, this study validates the place-based development approach, which argues that regional policies must be customized to the territorial assets and constraints of each locality (Barca et al., 2012). MSMEs in Pasar </w:t>
      </w:r>
      <w:proofErr w:type="spellStart"/>
      <w:r w:rsidRPr="0035564C">
        <w:rPr>
          <w:rFonts w:ascii="Times New Roman" w:hAnsi="Times New Roman" w:cs="Times New Roman"/>
        </w:rPr>
        <w:t>Bengkel</w:t>
      </w:r>
      <w:proofErr w:type="spellEnd"/>
      <w:r w:rsidRPr="0035564C">
        <w:rPr>
          <w:rFonts w:ascii="Times New Roman" w:hAnsi="Times New Roman" w:cs="Times New Roman"/>
        </w:rPr>
        <w:t xml:space="preserve"> are embedded in a specific spatial history and cultural economy that cannot be substituted by generic policy interventions.</w:t>
      </w:r>
    </w:p>
    <w:p w14:paraId="0C68EC18"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Policymakers should move beyond the traditional “infrastructure equals growth” paradigm and adopt spatially intelligent development models. This includes:</w:t>
      </w:r>
    </w:p>
    <w:p w14:paraId="303609FE"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Embedding MSME access clauses in toll road contracts</w:t>
      </w:r>
    </w:p>
    <w:p w14:paraId="242A34BC"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Mandating UMKM zones in all rest areas</w:t>
      </w:r>
    </w:p>
    <w:p w14:paraId="0235D383"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Establishing municipal innovation hubs for MSMEs</w:t>
      </w:r>
    </w:p>
    <w:p w14:paraId="65FFF971" w14:textId="77777777" w:rsidR="0035564C" w:rsidRPr="0035564C" w:rsidRDefault="0035564C" w:rsidP="0035564C">
      <w:pPr>
        <w:numPr>
          <w:ilvl w:val="0"/>
          <w:numId w:val="8"/>
        </w:numPr>
        <w:jc w:val="both"/>
        <w:rPr>
          <w:rFonts w:ascii="Times New Roman" w:hAnsi="Times New Roman" w:cs="Times New Roman"/>
        </w:rPr>
      </w:pPr>
      <w:r w:rsidRPr="0035564C">
        <w:rPr>
          <w:rFonts w:ascii="Times New Roman" w:hAnsi="Times New Roman" w:cs="Times New Roman"/>
        </w:rPr>
        <w:t>Leveraging GIS and digital mapping to redesign logistics and visibility for MSMEs off the toll-road grid</w:t>
      </w:r>
    </w:p>
    <w:p w14:paraId="28114E61" w14:textId="77777777" w:rsidR="0035564C" w:rsidRPr="0035564C" w:rsidRDefault="0035564C" w:rsidP="0035564C">
      <w:pPr>
        <w:jc w:val="both"/>
        <w:rPr>
          <w:rFonts w:ascii="Times New Roman" w:hAnsi="Times New Roman" w:cs="Times New Roman"/>
        </w:rPr>
      </w:pPr>
      <w:r w:rsidRPr="0035564C">
        <w:rPr>
          <w:rFonts w:ascii="Times New Roman" w:hAnsi="Times New Roman" w:cs="Times New Roman"/>
        </w:rPr>
        <w:t>On a broader level, this study contributes to urban periphery economic theory, offering empirical evidence that peri-urban zones—often overlooked—are key testing grounds for policy adaptation and hybrid infrastructure-market integration.</w:t>
      </w:r>
    </w:p>
    <w:p w14:paraId="1AE89187" w14:textId="0692F611"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 Conclusion and Recommendations</w:t>
      </w:r>
    </w:p>
    <w:p w14:paraId="67239A2B" w14:textId="77777777"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5.1 Conclusion</w:t>
      </w:r>
    </w:p>
    <w:p w14:paraId="5BDE5151"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This study explored the sustainability of MSMEs in Pasar </w:t>
      </w:r>
      <w:proofErr w:type="spellStart"/>
      <w:r w:rsidRPr="00DB08AF">
        <w:rPr>
          <w:rFonts w:ascii="Times New Roman" w:hAnsi="Times New Roman" w:cs="Times New Roman"/>
        </w:rPr>
        <w:t>Bengkel</w:t>
      </w:r>
      <w:proofErr w:type="spellEnd"/>
      <w:r w:rsidRPr="00DB08AF">
        <w:rPr>
          <w:rFonts w:ascii="Times New Roman" w:hAnsi="Times New Roman" w:cs="Times New Roman"/>
        </w:rPr>
        <w:t xml:space="preserve">, </w:t>
      </w:r>
      <w:proofErr w:type="spellStart"/>
      <w:r w:rsidRPr="00DB08AF">
        <w:rPr>
          <w:rFonts w:ascii="Times New Roman" w:hAnsi="Times New Roman" w:cs="Times New Roman"/>
        </w:rPr>
        <w:t>Perbaungan</w:t>
      </w:r>
      <w:proofErr w:type="spellEnd"/>
      <w:r w:rsidRPr="00DB08AF">
        <w:rPr>
          <w:rFonts w:ascii="Times New Roman" w:hAnsi="Times New Roman" w:cs="Times New Roman"/>
        </w:rPr>
        <w:t>, following the infrastructural transition triggered by the construction of the Trans-Sumatra Toll Road. Using a mixed-methods approach—combining Structural Equation Modeling (SEM) and SWOT strategic analysis—the study examined how transportation infrastructure, government policy, and adaptive capacity affect local business resilience.</w:t>
      </w:r>
    </w:p>
    <w:p w14:paraId="7AE26744"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 xml:space="preserve">Findings reveal that adaptive capacity is the most influential factor (β = 0.784) in determining MSME sustainability. Enterprises with higher levels of innovation, digital engagement, and flexibility were better equipped to survive the economic realignment. Government policy (β = 0.330) also played a significant role, particularly when support programs were localized and </w:t>
      </w:r>
      <w:r w:rsidRPr="00DB08AF">
        <w:rPr>
          <w:rFonts w:ascii="Times New Roman" w:hAnsi="Times New Roman" w:cs="Times New Roman"/>
        </w:rPr>
        <w:lastRenderedPageBreak/>
        <w:t>responsive to actual MSME needs. In contrast, transportation infrastructure (β = 0.136) had no significant direct effect, suggesting that infrastructure development alone does not ensure inclusive economic growth for peripheral actors.</w:t>
      </w:r>
    </w:p>
    <w:p w14:paraId="5AA0898C"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SWOT analysis further positioned local MSMEs in Quadrant II (WO strategy)—highlighting untapped opportunities but also internal weaknesses. Key gaps included lack of digital skills, weak institutional engagement, and poor adaptation to spatial exclusion from toll-based commercial routes. Conversely, opportunities such as rest area integration and e-commerce expansion present viable pathways for regeneration—if properly activated through policy and capacity building.</w:t>
      </w:r>
    </w:p>
    <w:p w14:paraId="5BC9A4C9"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In essence, MSME sustainability in infrastructure transition zones is not merely a function of physical access, but of strategic alignment between firm capabilities, government support, and spatial policy inclusion.</w:t>
      </w:r>
    </w:p>
    <w:p w14:paraId="69774315" w14:textId="77777777" w:rsidR="00DB08AF" w:rsidRPr="00DB08AF" w:rsidRDefault="00DB08AF" w:rsidP="00DB08AF">
      <w:pPr>
        <w:rPr>
          <w:rFonts w:ascii="Times New Roman" w:hAnsi="Times New Roman" w:cs="Times New Roman"/>
          <w:b/>
          <w:bCs/>
        </w:rPr>
      </w:pPr>
      <w:r w:rsidRPr="00DB08AF">
        <w:rPr>
          <w:rFonts w:ascii="Times New Roman" w:hAnsi="Times New Roman" w:cs="Times New Roman"/>
          <w:b/>
          <w:bCs/>
        </w:rPr>
        <w:t>5.2 Recommendations</w:t>
      </w:r>
    </w:p>
    <w:p w14:paraId="1F557BA2"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To ensure the sustainability of MSMEs amid infrastructure-induced economic shifts, immediate attention should be directed toward enhancing digital capacity and spatial inclusion. Government agencies at the local and provincial levels must develop targeted digital transformation programs that empower MSMEs with skills in e-commerce, digital marketing, and electronic payment systems. Such interventions should be inclusive, particularly for vulnerable groups such as older entrepreneurs and women-led businesses. Simultaneously, regional planners should revise spatial policies to explicitly integrate MSME corridors into toll road ecosystems. This includes allocating zones in rest areas for local product kiosks, embedding MSME considerations in spatial development plans (RTRW/RDTR), and mandating participatory processes that give voice to small business stakeholders in infrastructure planning.</w:t>
      </w:r>
    </w:p>
    <w:p w14:paraId="2D74CB1F" w14:textId="77777777" w:rsidR="00DB08AF" w:rsidRPr="00DB08AF" w:rsidRDefault="00DB08AF" w:rsidP="00DB08AF">
      <w:pPr>
        <w:jc w:val="both"/>
        <w:rPr>
          <w:rFonts w:ascii="Times New Roman" w:hAnsi="Times New Roman" w:cs="Times New Roman"/>
        </w:rPr>
      </w:pPr>
      <w:r w:rsidRPr="00DB08AF">
        <w:rPr>
          <w:rFonts w:ascii="Times New Roman" w:hAnsi="Times New Roman" w:cs="Times New Roman"/>
        </w:rPr>
        <w:t>Additionally, institutional efforts must prioritize the formation of sector-based MSME clusters supported by innovation hubs, shared logistics infrastructure, and branding assistance. Collaboration between MSMEs and toll road authorities—such as quota systems or procurement partnerships—can restore market access lost due to traffic diversion. At the macro-policy level, a data-driven monitoring framework should be established to track MSME resilience metrics, enabling real-time policy adjustment and performance evaluation. By combining internal capacity building with external policy alignment, these strategies offer a robust pathway to bridge infrastructure development with inclusive local economic growth.</w:t>
      </w:r>
    </w:p>
    <w:p w14:paraId="75894AD2" w14:textId="77777777" w:rsidR="001851BA" w:rsidRDefault="001851BA" w:rsidP="001851BA">
      <w:pPr>
        <w:rPr>
          <w:rFonts w:ascii="Times New Roman" w:hAnsi="Times New Roman" w:cs="Times New Roman"/>
        </w:rPr>
      </w:pPr>
    </w:p>
    <w:p w14:paraId="6FC3773D" w14:textId="23C7C65C" w:rsidR="001851BA" w:rsidRPr="005A7B61" w:rsidRDefault="005A7B61" w:rsidP="001851BA">
      <w:pPr>
        <w:rPr>
          <w:rFonts w:ascii="Times New Roman" w:hAnsi="Times New Roman" w:cs="Times New Roman"/>
          <w:b/>
          <w:bCs/>
        </w:rPr>
      </w:pPr>
      <w:r>
        <w:rPr>
          <w:rFonts w:ascii="Times New Roman" w:hAnsi="Times New Roman" w:cs="Times New Roman"/>
          <w:b/>
          <w:bCs/>
        </w:rPr>
        <w:t>References</w:t>
      </w:r>
    </w:p>
    <w:p w14:paraId="11A7B0AD"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Adriani</w:t>
      </w:r>
      <w:proofErr w:type="spellEnd"/>
      <w:r w:rsidRPr="00C44018">
        <w:rPr>
          <w:rFonts w:ascii="Times New Roman" w:hAnsi="Times New Roman" w:cs="Times New Roman"/>
        </w:rPr>
        <w:t xml:space="preserve">, N. K., &amp; </w:t>
      </w:r>
      <w:proofErr w:type="spellStart"/>
      <w:r w:rsidRPr="00C44018">
        <w:rPr>
          <w:rFonts w:ascii="Times New Roman" w:hAnsi="Times New Roman" w:cs="Times New Roman"/>
        </w:rPr>
        <w:t>Wiksuana</w:t>
      </w:r>
      <w:proofErr w:type="spellEnd"/>
      <w:r w:rsidRPr="00C44018">
        <w:rPr>
          <w:rFonts w:ascii="Times New Roman" w:hAnsi="Times New Roman" w:cs="Times New Roman"/>
        </w:rPr>
        <w:t>, I. G. B. (2018). The Role of Government in Empowering MSMEs in Denpasar City. Journal of Economics and Business, 21(2), 127–138.</w:t>
      </w:r>
    </w:p>
    <w:p w14:paraId="6931999D"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lastRenderedPageBreak/>
        <w:t>Ayyagari</w:t>
      </w:r>
      <w:proofErr w:type="spellEnd"/>
      <w:r w:rsidRPr="00C44018">
        <w:rPr>
          <w:rFonts w:ascii="Times New Roman" w:hAnsi="Times New Roman" w:cs="Times New Roman"/>
        </w:rPr>
        <w:t xml:space="preserve">, M., Beck, T., &amp; </w:t>
      </w:r>
      <w:proofErr w:type="spellStart"/>
      <w:r w:rsidRPr="00C44018">
        <w:rPr>
          <w:rFonts w:ascii="Times New Roman" w:hAnsi="Times New Roman" w:cs="Times New Roman"/>
        </w:rPr>
        <w:t>Demirguc-Kunt</w:t>
      </w:r>
      <w:proofErr w:type="spellEnd"/>
      <w:r w:rsidRPr="00C44018">
        <w:rPr>
          <w:rFonts w:ascii="Times New Roman" w:hAnsi="Times New Roman" w:cs="Times New Roman"/>
        </w:rPr>
        <w:t>, A. (2007). Small and Medium Enterprises Across the Globe. Small Business Economics, 29(4), 415–434. https://doi.org/10.1007/s11187-006-9002-5</w:t>
      </w:r>
    </w:p>
    <w:p w14:paraId="2EDF01CA"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Baldwin, R., &amp; Venables, A. J. (2010). Economic Geography and Public Policy. Princeton University Press.</w:t>
      </w:r>
    </w:p>
    <w:p w14:paraId="3C546F7C"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Banister, D., &amp; </w:t>
      </w:r>
      <w:proofErr w:type="spellStart"/>
      <w:r w:rsidRPr="00C44018">
        <w:rPr>
          <w:rFonts w:ascii="Times New Roman" w:hAnsi="Times New Roman" w:cs="Times New Roman"/>
        </w:rPr>
        <w:t>Berechman</w:t>
      </w:r>
      <w:proofErr w:type="spellEnd"/>
      <w:r w:rsidRPr="00C44018">
        <w:rPr>
          <w:rFonts w:ascii="Times New Roman" w:hAnsi="Times New Roman" w:cs="Times New Roman"/>
        </w:rPr>
        <w:t>, Y. (2001). Transport investment and the promotion of economic growth. Journal of Transport Geography, 9(3), 209–218. https://doi.org/10.1016/S0966-6923(01)00013-8</w:t>
      </w:r>
    </w:p>
    <w:p w14:paraId="0E45BE5E"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Barça, F., McCann, P., &amp; Rodríguez‐Pose, A. (2012). The Case for Regional Development Intervention: Place‐Based Versus Place‐Neutral Approaches. Journal of Regional Science, 52(1), 134–152. https://doi.org/10.1111/j.1467-9787.2011.00756.x</w:t>
      </w:r>
    </w:p>
    <w:p w14:paraId="24A4D938"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BPS. (2022). Indonesian MSME Statistics 2022. Central Statistics Agency.</w:t>
      </w:r>
    </w:p>
    <w:p w14:paraId="632DEE3E"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Cardoni</w:t>
      </w:r>
      <w:proofErr w:type="spellEnd"/>
      <w:r w:rsidRPr="00C44018">
        <w:rPr>
          <w:rFonts w:ascii="Times New Roman" w:hAnsi="Times New Roman" w:cs="Times New Roman"/>
        </w:rPr>
        <w:t xml:space="preserve">, A., </w:t>
      </w:r>
      <w:proofErr w:type="spellStart"/>
      <w:r w:rsidRPr="00C44018">
        <w:rPr>
          <w:rFonts w:ascii="Times New Roman" w:hAnsi="Times New Roman" w:cs="Times New Roman"/>
        </w:rPr>
        <w:t>Kiseleva</w:t>
      </w:r>
      <w:proofErr w:type="spellEnd"/>
      <w:r w:rsidRPr="00C44018">
        <w:rPr>
          <w:rFonts w:ascii="Times New Roman" w:hAnsi="Times New Roman" w:cs="Times New Roman"/>
        </w:rPr>
        <w:t>, E., &amp; Lombardi, R. (2019). Measuring dynamic capabilities in family firms: The moderating effect of family involvement in business and generational stage. Journal of Family Business Management, 9(4), 432–456. https://doi.org/10.1108/JFBM-12-2018-0044</w:t>
      </w:r>
    </w:p>
    <w:p w14:paraId="7419A380"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Dwiputri</w:t>
      </w:r>
      <w:proofErr w:type="spellEnd"/>
      <w:r w:rsidRPr="00C44018">
        <w:rPr>
          <w:rFonts w:ascii="Times New Roman" w:hAnsi="Times New Roman" w:cs="Times New Roman"/>
        </w:rPr>
        <w:t xml:space="preserve">, S. A., </w:t>
      </w:r>
      <w:proofErr w:type="spellStart"/>
      <w:r w:rsidRPr="00C44018">
        <w:rPr>
          <w:rFonts w:ascii="Times New Roman" w:hAnsi="Times New Roman" w:cs="Times New Roman"/>
        </w:rPr>
        <w:t>Soemaryani</w:t>
      </w:r>
      <w:proofErr w:type="spellEnd"/>
      <w:r w:rsidRPr="00C44018">
        <w:rPr>
          <w:rFonts w:ascii="Times New Roman" w:hAnsi="Times New Roman" w:cs="Times New Roman"/>
        </w:rPr>
        <w:t>, I., &amp; Yusuf, A. R. (2022). Strategic Positioning of MSMEs in the Digital Era: SWOT-SEM Model for Business Adaptation. Indonesian Journal of Management, 22(3), 177–194.</w:t>
      </w:r>
    </w:p>
    <w:p w14:paraId="16A263AF"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Hanafi, M. (2023). Toll Road Infrastructure and Its Impact on Regional Economic Growth. Journal of Infrastructure and Public Policy, 8(1), 45–56.</w:t>
      </w:r>
    </w:p>
    <w:p w14:paraId="6ED6DF8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Harun, H. (2010). Participatory Spatial Planning and Infrastructure Development in Indonesia: Evidence from Local Governance Practices. Regional Development Studies, 13(2), 112–126.</w:t>
      </w:r>
    </w:p>
    <w:p w14:paraId="444B2027"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Harnida</w:t>
      </w:r>
      <w:proofErr w:type="spellEnd"/>
      <w:r w:rsidRPr="00C44018">
        <w:rPr>
          <w:rFonts w:ascii="Times New Roman" w:hAnsi="Times New Roman" w:cs="Times New Roman"/>
        </w:rPr>
        <w:t xml:space="preserve">, N., </w:t>
      </w:r>
      <w:proofErr w:type="spellStart"/>
      <w:r w:rsidRPr="00C44018">
        <w:rPr>
          <w:rFonts w:ascii="Times New Roman" w:hAnsi="Times New Roman" w:cs="Times New Roman"/>
        </w:rPr>
        <w:t>Santoso</w:t>
      </w:r>
      <w:proofErr w:type="spellEnd"/>
      <w:r w:rsidRPr="00C44018">
        <w:rPr>
          <w:rFonts w:ascii="Times New Roman" w:hAnsi="Times New Roman" w:cs="Times New Roman"/>
        </w:rPr>
        <w:t xml:space="preserve">, H., &amp; </w:t>
      </w:r>
      <w:proofErr w:type="spellStart"/>
      <w:r w:rsidRPr="00C44018">
        <w:rPr>
          <w:rFonts w:ascii="Times New Roman" w:hAnsi="Times New Roman" w:cs="Times New Roman"/>
        </w:rPr>
        <w:t>Rachmawati</w:t>
      </w:r>
      <w:proofErr w:type="spellEnd"/>
      <w:r w:rsidRPr="00C44018">
        <w:rPr>
          <w:rFonts w:ascii="Times New Roman" w:hAnsi="Times New Roman" w:cs="Times New Roman"/>
        </w:rPr>
        <w:t>, L. (2024). Digital Transformation and Business Continuity Among Indonesian MSMEs During Economic Shocks. Indonesian Journal of Business and Entrepreneurship, 10(1), 25–39.</w:t>
      </w:r>
    </w:p>
    <w:p w14:paraId="111D62CB"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Jeje</w:t>
      </w:r>
      <w:proofErr w:type="spellEnd"/>
      <w:r w:rsidRPr="00C44018">
        <w:rPr>
          <w:rFonts w:ascii="Times New Roman" w:hAnsi="Times New Roman" w:cs="Times New Roman"/>
        </w:rPr>
        <w:t>, K. (2020). Digital Resilience of Informal Enterprises: A Path to Post-COVID Recovery. Journal of Developmental Entrepreneurship, 25(4), 2050023. https://doi.org/10.1142/S1084946720500235</w:t>
      </w:r>
    </w:p>
    <w:p w14:paraId="2F63CB6E"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Lall</w:t>
      </w:r>
      <w:proofErr w:type="spellEnd"/>
      <w:r w:rsidRPr="00C44018">
        <w:rPr>
          <w:rFonts w:ascii="Times New Roman" w:hAnsi="Times New Roman" w:cs="Times New Roman"/>
        </w:rPr>
        <w:t xml:space="preserve">, S. V., &amp; </w:t>
      </w:r>
      <w:proofErr w:type="spellStart"/>
      <w:r w:rsidRPr="00C44018">
        <w:rPr>
          <w:rFonts w:ascii="Times New Roman" w:hAnsi="Times New Roman" w:cs="Times New Roman"/>
        </w:rPr>
        <w:t>Chakravorty</w:t>
      </w:r>
      <w:proofErr w:type="spellEnd"/>
      <w:r w:rsidRPr="00C44018">
        <w:rPr>
          <w:rFonts w:ascii="Times New Roman" w:hAnsi="Times New Roman" w:cs="Times New Roman"/>
        </w:rPr>
        <w:t>, S. (2005). Industrial Location and Spatial Inequality: Theory and Evidence from India. Review of Development Economics, 9(1), 47–68. https://doi.org/10.1111/j.1467-9361.2005.00265.x</w:t>
      </w:r>
    </w:p>
    <w:p w14:paraId="228011F4"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Marpaung</w:t>
      </w:r>
      <w:proofErr w:type="spellEnd"/>
      <w:r w:rsidRPr="00C44018">
        <w:rPr>
          <w:rFonts w:ascii="Times New Roman" w:hAnsi="Times New Roman" w:cs="Times New Roman"/>
        </w:rPr>
        <w:t xml:space="preserve">, A., &amp; </w:t>
      </w:r>
      <w:proofErr w:type="spellStart"/>
      <w:r w:rsidRPr="00C44018">
        <w:rPr>
          <w:rFonts w:ascii="Times New Roman" w:hAnsi="Times New Roman" w:cs="Times New Roman"/>
        </w:rPr>
        <w:t>Soesilowati</w:t>
      </w:r>
      <w:proofErr w:type="spellEnd"/>
      <w:r w:rsidRPr="00C44018">
        <w:rPr>
          <w:rFonts w:ascii="Times New Roman" w:hAnsi="Times New Roman" w:cs="Times New Roman"/>
        </w:rPr>
        <w:t>, E. (2021). MSME Clustering Strategy to Increase Competitiveness in the Industry 4.0 Era. Journal of Economics and Entrepreneurship, 21(1), 14–23.</w:t>
      </w:r>
    </w:p>
    <w:p w14:paraId="263D9310"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lastRenderedPageBreak/>
        <w:t>Milasari</w:t>
      </w:r>
      <w:proofErr w:type="spellEnd"/>
      <w:r w:rsidRPr="00C44018">
        <w:rPr>
          <w:rFonts w:ascii="Times New Roman" w:hAnsi="Times New Roman" w:cs="Times New Roman"/>
        </w:rPr>
        <w:t xml:space="preserve">, N. S., </w:t>
      </w:r>
      <w:proofErr w:type="spellStart"/>
      <w:r w:rsidRPr="00C44018">
        <w:rPr>
          <w:rFonts w:ascii="Times New Roman" w:hAnsi="Times New Roman" w:cs="Times New Roman"/>
        </w:rPr>
        <w:t>Wiratno</w:t>
      </w:r>
      <w:proofErr w:type="spellEnd"/>
      <w:r w:rsidRPr="00C44018">
        <w:rPr>
          <w:rFonts w:ascii="Times New Roman" w:hAnsi="Times New Roman" w:cs="Times New Roman"/>
        </w:rPr>
        <w:t xml:space="preserve">, T., &amp; </w:t>
      </w:r>
      <w:proofErr w:type="spellStart"/>
      <w:r w:rsidRPr="00C44018">
        <w:rPr>
          <w:rFonts w:ascii="Times New Roman" w:hAnsi="Times New Roman" w:cs="Times New Roman"/>
        </w:rPr>
        <w:t>Yuniarti</w:t>
      </w:r>
      <w:proofErr w:type="spellEnd"/>
      <w:r w:rsidRPr="00C44018">
        <w:rPr>
          <w:rFonts w:ascii="Times New Roman" w:hAnsi="Times New Roman" w:cs="Times New Roman"/>
        </w:rPr>
        <w:t>, E. (2023). Participation-Based Regional Planning in MSME Development in Buffer Zones. Journal of Development Planning, 27(1), 1–16.</w:t>
      </w:r>
    </w:p>
    <w:p w14:paraId="233F82FD"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Muhtar, M., Prabowo, M. A., &amp; Rizal, A. (2021). The Impact of Toll Roads on Changes in Economic Activity in Peri-Urban Areas. Journal of Regions and Environment, 9(2), 148–160.</w:t>
      </w:r>
    </w:p>
    <w:p w14:paraId="5690E3E6"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Ptak-Chmielewska</w:t>
      </w:r>
      <w:proofErr w:type="spellEnd"/>
      <w:r w:rsidRPr="00C44018">
        <w:rPr>
          <w:rFonts w:ascii="Times New Roman" w:hAnsi="Times New Roman" w:cs="Times New Roman"/>
        </w:rPr>
        <w:t xml:space="preserve">, A., &amp; </w:t>
      </w:r>
      <w:proofErr w:type="spellStart"/>
      <w:r w:rsidRPr="00C44018">
        <w:rPr>
          <w:rFonts w:ascii="Times New Roman" w:hAnsi="Times New Roman" w:cs="Times New Roman"/>
        </w:rPr>
        <w:t>Chłoń-Domińczak</w:t>
      </w:r>
      <w:proofErr w:type="spellEnd"/>
      <w:r w:rsidRPr="00C44018">
        <w:rPr>
          <w:rFonts w:ascii="Times New Roman" w:hAnsi="Times New Roman" w:cs="Times New Roman"/>
        </w:rPr>
        <w:t>, A. (2021). Adaptability of Small Enterprises in Peripheral Regions: A Capabilities-Based Approach. Regional Studies, 55(10–11), 1730–1742. https://doi.org/10.1080/00343404.2021.1910814</w:t>
      </w:r>
    </w:p>
    <w:p w14:paraId="0F83CD0B"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Rahayu</w:t>
      </w:r>
      <w:proofErr w:type="spellEnd"/>
      <w:r w:rsidRPr="00C44018">
        <w:rPr>
          <w:rFonts w:ascii="Times New Roman" w:hAnsi="Times New Roman" w:cs="Times New Roman"/>
        </w:rPr>
        <w:t xml:space="preserve">, P., &amp; </w:t>
      </w:r>
      <w:proofErr w:type="spellStart"/>
      <w:r w:rsidRPr="00C44018">
        <w:rPr>
          <w:rFonts w:ascii="Times New Roman" w:hAnsi="Times New Roman" w:cs="Times New Roman"/>
        </w:rPr>
        <w:t>Kipuw</w:t>
      </w:r>
      <w:proofErr w:type="spellEnd"/>
      <w:r w:rsidRPr="00C44018">
        <w:rPr>
          <w:rFonts w:ascii="Times New Roman" w:hAnsi="Times New Roman" w:cs="Times New Roman"/>
        </w:rPr>
        <w:t>, D. (2020). Spatial Justice and Toll Road Development: The Case of Java Island. Journal of Regional and Urban Planning, 31(2), 147–158.</w:t>
      </w:r>
    </w:p>
    <w:p w14:paraId="4E5DD458"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Raharti</w:t>
      </w:r>
      <w:proofErr w:type="spellEnd"/>
      <w:r w:rsidRPr="00C44018">
        <w:rPr>
          <w:rFonts w:ascii="Times New Roman" w:hAnsi="Times New Roman" w:cs="Times New Roman"/>
        </w:rPr>
        <w:t xml:space="preserve">, R., </w:t>
      </w:r>
      <w:proofErr w:type="spellStart"/>
      <w:r w:rsidRPr="00C44018">
        <w:rPr>
          <w:rFonts w:ascii="Times New Roman" w:hAnsi="Times New Roman" w:cs="Times New Roman"/>
        </w:rPr>
        <w:t>Nugroho</w:t>
      </w:r>
      <w:proofErr w:type="spellEnd"/>
      <w:r w:rsidRPr="00C44018">
        <w:rPr>
          <w:rFonts w:ascii="Times New Roman" w:hAnsi="Times New Roman" w:cs="Times New Roman"/>
        </w:rPr>
        <w:t xml:space="preserve">, B. A., &amp; </w:t>
      </w:r>
      <w:proofErr w:type="spellStart"/>
      <w:r w:rsidRPr="00C44018">
        <w:rPr>
          <w:rFonts w:ascii="Times New Roman" w:hAnsi="Times New Roman" w:cs="Times New Roman"/>
        </w:rPr>
        <w:t>Kusumawardani</w:t>
      </w:r>
      <w:proofErr w:type="spellEnd"/>
      <w:r w:rsidRPr="00C44018">
        <w:rPr>
          <w:rFonts w:ascii="Times New Roman" w:hAnsi="Times New Roman" w:cs="Times New Roman"/>
        </w:rPr>
        <w:t>, A. (2020). Strategies for Strengthening MSMEs Based on Financial Inclusion and Digital Literacy. Journal of Economics and Public Policy, 11(2), 109–120.</w:t>
      </w:r>
    </w:p>
    <w:p w14:paraId="00A81A66"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Romadhani</w:t>
      </w:r>
      <w:proofErr w:type="spellEnd"/>
      <w:r w:rsidRPr="00C44018">
        <w:rPr>
          <w:rFonts w:ascii="Times New Roman" w:hAnsi="Times New Roman" w:cs="Times New Roman"/>
        </w:rPr>
        <w:t xml:space="preserve">, I., Putri, E. D., &amp; </w:t>
      </w:r>
      <w:proofErr w:type="spellStart"/>
      <w:r w:rsidRPr="00C44018">
        <w:rPr>
          <w:rFonts w:ascii="Times New Roman" w:hAnsi="Times New Roman" w:cs="Times New Roman"/>
        </w:rPr>
        <w:t>Fikri</w:t>
      </w:r>
      <w:proofErr w:type="spellEnd"/>
      <w:r w:rsidRPr="00C44018">
        <w:rPr>
          <w:rFonts w:ascii="Times New Roman" w:hAnsi="Times New Roman" w:cs="Times New Roman"/>
        </w:rPr>
        <w:t>, M. (2024). Infrastructure Connectivity and Regional Economic Inequality: A Case Study of the Trans-Java Toll Road. Journal of Transportation and Regional Development, 12(1), 34–50.</w:t>
      </w:r>
    </w:p>
    <w:p w14:paraId="4C097A25"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Sahoo, A. K., &amp; Mohanty, R. (2025). The Role of Digital Ecosystem in MSME Sustainability: A Comparative Study of Southeast Asian Economies. Journal of Small Business Strategy, 35(1), 21–40.</w:t>
      </w:r>
    </w:p>
    <w:p w14:paraId="229FB509" w14:textId="77777777" w:rsidR="00C44018" w:rsidRPr="00C44018"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Setyono</w:t>
      </w:r>
      <w:proofErr w:type="spellEnd"/>
      <w:r w:rsidRPr="00C44018">
        <w:rPr>
          <w:rFonts w:ascii="Times New Roman" w:hAnsi="Times New Roman" w:cs="Times New Roman"/>
        </w:rPr>
        <w:t>, J. S. (2007). Spatial Planning Policy Reform in Indonesia: From Centralistic to Participatory. Journal of Social and Political Sciences, 11(1), 23–35.</w:t>
      </w:r>
    </w:p>
    <w:p w14:paraId="63F0E62C" w14:textId="77777777" w:rsidR="00C44018" w:rsidRPr="00C44018" w:rsidRDefault="00C44018" w:rsidP="00C44018">
      <w:pPr>
        <w:ind w:left="567" w:hanging="567"/>
        <w:jc w:val="both"/>
        <w:rPr>
          <w:rFonts w:ascii="Times New Roman" w:hAnsi="Times New Roman" w:cs="Times New Roman"/>
        </w:rPr>
      </w:pPr>
      <w:r w:rsidRPr="00C44018">
        <w:rPr>
          <w:rFonts w:ascii="Times New Roman" w:hAnsi="Times New Roman" w:cs="Times New Roman"/>
        </w:rPr>
        <w:t xml:space="preserve">Teece, D. J., Pisano, G., &amp; </w:t>
      </w:r>
      <w:proofErr w:type="spellStart"/>
      <w:r w:rsidRPr="00C44018">
        <w:rPr>
          <w:rFonts w:ascii="Times New Roman" w:hAnsi="Times New Roman" w:cs="Times New Roman"/>
        </w:rPr>
        <w:t>Shuen</w:t>
      </w:r>
      <w:proofErr w:type="spellEnd"/>
      <w:r w:rsidRPr="00C44018">
        <w:rPr>
          <w:rFonts w:ascii="Times New Roman" w:hAnsi="Times New Roman" w:cs="Times New Roman"/>
        </w:rPr>
        <w:t>, A. (1997). Dynamic Capabilities and Strategic Management. Strategic Management Journal, 18(7), 509–533. https://doi.org/10.1002/(SICI)1097-0266(199708)18:7&lt;</w:t>
      </w:r>
      <w:proofErr w:type="gramStart"/>
      <w:r w:rsidRPr="00C44018">
        <w:rPr>
          <w:rFonts w:ascii="Times New Roman" w:hAnsi="Times New Roman" w:cs="Times New Roman"/>
        </w:rPr>
        <w:t>509::</w:t>
      </w:r>
      <w:proofErr w:type="gramEnd"/>
      <w:r w:rsidRPr="00C44018">
        <w:rPr>
          <w:rFonts w:ascii="Times New Roman" w:hAnsi="Times New Roman" w:cs="Times New Roman"/>
        </w:rPr>
        <w:t>AID-SMJ882&gt;3.0.CO;2-Z</w:t>
      </w:r>
    </w:p>
    <w:p w14:paraId="6048B773" w14:textId="2BBAFFE6" w:rsidR="005A7B61" w:rsidRPr="005A7B61" w:rsidRDefault="00C44018" w:rsidP="00C44018">
      <w:pPr>
        <w:ind w:left="567" w:hanging="567"/>
        <w:jc w:val="both"/>
        <w:rPr>
          <w:rFonts w:ascii="Times New Roman" w:hAnsi="Times New Roman" w:cs="Times New Roman"/>
        </w:rPr>
      </w:pPr>
      <w:proofErr w:type="spellStart"/>
      <w:r w:rsidRPr="00C44018">
        <w:rPr>
          <w:rFonts w:ascii="Times New Roman" w:hAnsi="Times New Roman" w:cs="Times New Roman"/>
        </w:rPr>
        <w:t>Wibowo</w:t>
      </w:r>
      <w:proofErr w:type="spellEnd"/>
      <w:r w:rsidRPr="00C44018">
        <w:rPr>
          <w:rFonts w:ascii="Times New Roman" w:hAnsi="Times New Roman" w:cs="Times New Roman"/>
        </w:rPr>
        <w:t xml:space="preserve">, M., </w:t>
      </w:r>
      <w:proofErr w:type="spellStart"/>
      <w:r w:rsidRPr="00C44018">
        <w:rPr>
          <w:rFonts w:ascii="Times New Roman" w:hAnsi="Times New Roman" w:cs="Times New Roman"/>
        </w:rPr>
        <w:t>Aritonang</w:t>
      </w:r>
      <w:proofErr w:type="spellEnd"/>
      <w:r w:rsidRPr="00C44018">
        <w:rPr>
          <w:rFonts w:ascii="Times New Roman" w:hAnsi="Times New Roman" w:cs="Times New Roman"/>
        </w:rPr>
        <w:t xml:space="preserve">, R., &amp; </w:t>
      </w:r>
      <w:proofErr w:type="spellStart"/>
      <w:r w:rsidRPr="00C44018">
        <w:rPr>
          <w:rFonts w:ascii="Times New Roman" w:hAnsi="Times New Roman" w:cs="Times New Roman"/>
        </w:rPr>
        <w:t>Nasution</w:t>
      </w:r>
      <w:proofErr w:type="spellEnd"/>
      <w:r w:rsidRPr="00C44018">
        <w:rPr>
          <w:rFonts w:ascii="Times New Roman" w:hAnsi="Times New Roman" w:cs="Times New Roman"/>
        </w:rPr>
        <w:t>, H. (2024). Local Economic Transformation in Areas Affected by the Medan–</w:t>
      </w:r>
      <w:proofErr w:type="spellStart"/>
      <w:r w:rsidRPr="00C44018">
        <w:rPr>
          <w:rFonts w:ascii="Times New Roman" w:hAnsi="Times New Roman" w:cs="Times New Roman"/>
        </w:rPr>
        <w:t>Tebing</w:t>
      </w:r>
      <w:proofErr w:type="spellEnd"/>
      <w:r w:rsidRPr="00C44018">
        <w:rPr>
          <w:rFonts w:ascii="Times New Roman" w:hAnsi="Times New Roman" w:cs="Times New Roman"/>
        </w:rPr>
        <w:t xml:space="preserve"> Tinggi Toll Road. Journal of Regional Development Economics, 15(1), 78–92.</w:t>
      </w:r>
    </w:p>
    <w:p w14:paraId="10870A81" w14:textId="77777777" w:rsidR="001851BA" w:rsidRDefault="001851BA" w:rsidP="001851BA">
      <w:pPr>
        <w:rPr>
          <w:rFonts w:ascii="Times New Roman" w:hAnsi="Times New Roman" w:cs="Times New Roman"/>
        </w:rPr>
      </w:pPr>
    </w:p>
    <w:p w14:paraId="5855C8C9" w14:textId="77777777" w:rsidR="001851BA" w:rsidRDefault="001851BA" w:rsidP="001851BA">
      <w:pPr>
        <w:rPr>
          <w:rFonts w:ascii="Times New Roman" w:hAnsi="Times New Roman" w:cs="Times New Roman"/>
        </w:rPr>
      </w:pPr>
    </w:p>
    <w:p w14:paraId="45C3A541" w14:textId="77777777" w:rsidR="001851BA" w:rsidRDefault="001851BA" w:rsidP="001851BA">
      <w:pPr>
        <w:rPr>
          <w:rFonts w:ascii="Times New Roman" w:hAnsi="Times New Roman" w:cs="Times New Roman"/>
        </w:rPr>
      </w:pPr>
    </w:p>
    <w:p w14:paraId="1E0B28BF" w14:textId="77777777" w:rsidR="001851BA" w:rsidRDefault="001851BA" w:rsidP="001851BA">
      <w:pPr>
        <w:rPr>
          <w:rFonts w:ascii="Times New Roman" w:hAnsi="Times New Roman" w:cs="Times New Roman"/>
        </w:rPr>
      </w:pPr>
    </w:p>
    <w:p w14:paraId="4ADFF155" w14:textId="77777777" w:rsidR="001851BA" w:rsidRDefault="001851BA" w:rsidP="001851BA">
      <w:pPr>
        <w:rPr>
          <w:rFonts w:ascii="Times New Roman" w:hAnsi="Times New Roman" w:cs="Times New Roman"/>
        </w:rPr>
      </w:pPr>
    </w:p>
    <w:p w14:paraId="2B28F629" w14:textId="77777777" w:rsidR="001851BA" w:rsidRDefault="001851BA" w:rsidP="001851BA">
      <w:pPr>
        <w:rPr>
          <w:rFonts w:ascii="Times New Roman" w:hAnsi="Times New Roman" w:cs="Times New Roman"/>
        </w:rPr>
      </w:pPr>
    </w:p>
    <w:p w14:paraId="6877246C" w14:textId="77777777" w:rsidR="001851BA" w:rsidRDefault="001851BA" w:rsidP="001851BA">
      <w:pPr>
        <w:rPr>
          <w:rFonts w:ascii="Times New Roman" w:hAnsi="Times New Roman" w:cs="Times New Roman"/>
        </w:rPr>
      </w:pPr>
    </w:p>
    <w:p w14:paraId="1E304FA0" w14:textId="77777777" w:rsidR="001851BA" w:rsidRPr="001851BA" w:rsidRDefault="001851BA" w:rsidP="001851BA">
      <w:pPr>
        <w:rPr>
          <w:rFonts w:ascii="Times New Roman" w:hAnsi="Times New Roman" w:cs="Times New Roman"/>
        </w:rPr>
      </w:pPr>
    </w:p>
    <w:sectPr w:rsidR="001851BA" w:rsidRPr="001851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95D06" w14:textId="77777777" w:rsidR="00A67EEA" w:rsidRDefault="00A67EEA" w:rsidP="009E7408">
      <w:pPr>
        <w:spacing w:after="0" w:line="240" w:lineRule="auto"/>
      </w:pPr>
      <w:r>
        <w:separator/>
      </w:r>
    </w:p>
  </w:endnote>
  <w:endnote w:type="continuationSeparator" w:id="0">
    <w:p w14:paraId="7FBA4D5C" w14:textId="77777777" w:rsidR="00A67EEA" w:rsidRDefault="00A67EEA" w:rsidP="009E74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D5FE" w14:textId="77777777" w:rsidR="009E7408" w:rsidRDefault="009E7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ADA47" w14:textId="77777777" w:rsidR="009E7408" w:rsidRDefault="009E74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3C74D" w14:textId="77777777" w:rsidR="009E7408" w:rsidRDefault="009E7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55E7B" w14:textId="77777777" w:rsidR="00A67EEA" w:rsidRDefault="00A67EEA" w:rsidP="009E7408">
      <w:pPr>
        <w:spacing w:after="0" w:line="240" w:lineRule="auto"/>
      </w:pPr>
      <w:r>
        <w:separator/>
      </w:r>
    </w:p>
  </w:footnote>
  <w:footnote w:type="continuationSeparator" w:id="0">
    <w:p w14:paraId="33E6D3F6" w14:textId="77777777" w:rsidR="00A67EEA" w:rsidRDefault="00A67EEA" w:rsidP="009E74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8620" w14:textId="45EC598F" w:rsidR="009E7408" w:rsidRDefault="009E7408">
    <w:pPr>
      <w:pStyle w:val="Header"/>
    </w:pPr>
    <w:r>
      <w:rPr>
        <w:noProof/>
      </w:rPr>
      <w:pict w14:anchorId="61990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DF758" w14:textId="52AE275D" w:rsidR="009E7408" w:rsidRDefault="009E7408">
    <w:pPr>
      <w:pStyle w:val="Header"/>
    </w:pPr>
    <w:r>
      <w:rPr>
        <w:noProof/>
      </w:rPr>
      <w:pict w14:anchorId="75979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61CB9" w14:textId="00E8A78C" w:rsidR="009E7408" w:rsidRDefault="009E7408">
    <w:pPr>
      <w:pStyle w:val="Header"/>
    </w:pPr>
    <w:r>
      <w:rPr>
        <w:noProof/>
      </w:rPr>
      <w:pict w14:anchorId="34DC4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794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3F5C"/>
    <w:multiLevelType w:val="hybridMultilevel"/>
    <w:tmpl w:val="8C922792"/>
    <w:lvl w:ilvl="0" w:tplc="C0229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C6C44"/>
    <w:multiLevelType w:val="multilevel"/>
    <w:tmpl w:val="84B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81783"/>
    <w:multiLevelType w:val="multilevel"/>
    <w:tmpl w:val="675C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B22ED1"/>
    <w:multiLevelType w:val="multilevel"/>
    <w:tmpl w:val="8A80B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41ABC"/>
    <w:multiLevelType w:val="multilevel"/>
    <w:tmpl w:val="B2C0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95BDC"/>
    <w:multiLevelType w:val="multilevel"/>
    <w:tmpl w:val="B6E8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20074"/>
    <w:multiLevelType w:val="multilevel"/>
    <w:tmpl w:val="059C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C420B"/>
    <w:multiLevelType w:val="multilevel"/>
    <w:tmpl w:val="A95A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5"/>
  </w:num>
  <w:num w:numId="5">
    <w:abstractNumId w:val="2"/>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BC1"/>
    <w:rsid w:val="001851BA"/>
    <w:rsid w:val="002512C8"/>
    <w:rsid w:val="0035564C"/>
    <w:rsid w:val="00570AF1"/>
    <w:rsid w:val="005A7B61"/>
    <w:rsid w:val="00672BC1"/>
    <w:rsid w:val="006F5EF8"/>
    <w:rsid w:val="008D09A7"/>
    <w:rsid w:val="009E7408"/>
    <w:rsid w:val="00A67EEA"/>
    <w:rsid w:val="00C44018"/>
    <w:rsid w:val="00DB08AF"/>
    <w:rsid w:val="00DC57BD"/>
    <w:rsid w:val="00DF4282"/>
    <w:rsid w:val="00E60193"/>
    <w:rsid w:val="00EE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84BB4"/>
  <w15:chartTrackingRefBased/>
  <w15:docId w15:val="{C5419A3C-8ABA-47AE-94FA-DCEE4DA4A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BC1"/>
    <w:rPr>
      <w:rFonts w:eastAsiaTheme="majorEastAsia" w:cstheme="majorBidi"/>
      <w:color w:val="272727" w:themeColor="text1" w:themeTint="D8"/>
    </w:rPr>
  </w:style>
  <w:style w:type="paragraph" w:styleId="Title">
    <w:name w:val="Title"/>
    <w:basedOn w:val="Normal"/>
    <w:next w:val="Normal"/>
    <w:link w:val="TitleChar"/>
    <w:uiPriority w:val="10"/>
    <w:qFormat/>
    <w:rsid w:val="00672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BC1"/>
    <w:pPr>
      <w:spacing w:before="160"/>
      <w:jc w:val="center"/>
    </w:pPr>
    <w:rPr>
      <w:i/>
      <w:iCs/>
      <w:color w:val="404040" w:themeColor="text1" w:themeTint="BF"/>
    </w:rPr>
  </w:style>
  <w:style w:type="character" w:customStyle="1" w:styleId="QuoteChar">
    <w:name w:val="Quote Char"/>
    <w:basedOn w:val="DefaultParagraphFont"/>
    <w:link w:val="Quote"/>
    <w:uiPriority w:val="29"/>
    <w:rsid w:val="00672BC1"/>
    <w:rPr>
      <w:i/>
      <w:iCs/>
      <w:color w:val="404040" w:themeColor="text1" w:themeTint="BF"/>
    </w:rPr>
  </w:style>
  <w:style w:type="paragraph" w:styleId="ListParagraph">
    <w:name w:val="List Paragraph"/>
    <w:basedOn w:val="Normal"/>
    <w:uiPriority w:val="34"/>
    <w:qFormat/>
    <w:rsid w:val="00672BC1"/>
    <w:pPr>
      <w:ind w:left="720"/>
      <w:contextualSpacing/>
    </w:pPr>
  </w:style>
  <w:style w:type="character" w:styleId="IntenseEmphasis">
    <w:name w:val="Intense Emphasis"/>
    <w:basedOn w:val="DefaultParagraphFont"/>
    <w:uiPriority w:val="21"/>
    <w:qFormat/>
    <w:rsid w:val="00672BC1"/>
    <w:rPr>
      <w:i/>
      <w:iCs/>
      <w:color w:val="0F4761" w:themeColor="accent1" w:themeShade="BF"/>
    </w:rPr>
  </w:style>
  <w:style w:type="paragraph" w:styleId="IntenseQuote">
    <w:name w:val="Intense Quote"/>
    <w:basedOn w:val="Normal"/>
    <w:next w:val="Normal"/>
    <w:link w:val="IntenseQuoteChar"/>
    <w:uiPriority w:val="30"/>
    <w:qFormat/>
    <w:rsid w:val="00672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BC1"/>
    <w:rPr>
      <w:i/>
      <w:iCs/>
      <w:color w:val="0F4761" w:themeColor="accent1" w:themeShade="BF"/>
    </w:rPr>
  </w:style>
  <w:style w:type="character" w:styleId="IntenseReference">
    <w:name w:val="Intense Reference"/>
    <w:basedOn w:val="DefaultParagraphFont"/>
    <w:uiPriority w:val="32"/>
    <w:qFormat/>
    <w:rsid w:val="00672BC1"/>
    <w:rPr>
      <w:b/>
      <w:bCs/>
      <w:smallCaps/>
      <w:color w:val="0F4761" w:themeColor="accent1" w:themeShade="BF"/>
      <w:spacing w:val="5"/>
    </w:rPr>
  </w:style>
  <w:style w:type="table" w:styleId="TableGridLight">
    <w:name w:val="Grid Table Light"/>
    <w:basedOn w:val="TableNormal"/>
    <w:uiPriority w:val="40"/>
    <w:rsid w:val="00355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55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B61"/>
    <w:rPr>
      <w:color w:val="467886" w:themeColor="hyperlink"/>
      <w:u w:val="single"/>
    </w:rPr>
  </w:style>
  <w:style w:type="character" w:styleId="UnresolvedMention">
    <w:name w:val="Unresolved Mention"/>
    <w:basedOn w:val="DefaultParagraphFont"/>
    <w:uiPriority w:val="99"/>
    <w:semiHidden/>
    <w:unhideWhenUsed/>
    <w:rsid w:val="005A7B61"/>
    <w:rPr>
      <w:color w:val="605E5C"/>
      <w:shd w:val="clear" w:color="auto" w:fill="E1DFDD"/>
    </w:rPr>
  </w:style>
  <w:style w:type="paragraph" w:styleId="Header">
    <w:name w:val="header"/>
    <w:basedOn w:val="Normal"/>
    <w:link w:val="HeaderChar"/>
    <w:uiPriority w:val="99"/>
    <w:unhideWhenUsed/>
    <w:rsid w:val="009E74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7408"/>
  </w:style>
  <w:style w:type="paragraph" w:styleId="Footer">
    <w:name w:val="footer"/>
    <w:basedOn w:val="Normal"/>
    <w:link w:val="FooterChar"/>
    <w:uiPriority w:val="99"/>
    <w:unhideWhenUsed/>
    <w:rsid w:val="009E74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74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950">
      <w:bodyDiv w:val="1"/>
      <w:marLeft w:val="0"/>
      <w:marRight w:val="0"/>
      <w:marTop w:val="0"/>
      <w:marBottom w:val="0"/>
      <w:divBdr>
        <w:top w:val="none" w:sz="0" w:space="0" w:color="auto"/>
        <w:left w:val="none" w:sz="0" w:space="0" w:color="auto"/>
        <w:bottom w:val="none" w:sz="0" w:space="0" w:color="auto"/>
        <w:right w:val="none" w:sz="0" w:space="0" w:color="auto"/>
      </w:divBdr>
    </w:div>
    <w:div w:id="139663305">
      <w:bodyDiv w:val="1"/>
      <w:marLeft w:val="0"/>
      <w:marRight w:val="0"/>
      <w:marTop w:val="0"/>
      <w:marBottom w:val="0"/>
      <w:divBdr>
        <w:top w:val="none" w:sz="0" w:space="0" w:color="auto"/>
        <w:left w:val="none" w:sz="0" w:space="0" w:color="auto"/>
        <w:bottom w:val="none" w:sz="0" w:space="0" w:color="auto"/>
        <w:right w:val="none" w:sz="0" w:space="0" w:color="auto"/>
      </w:divBdr>
    </w:div>
    <w:div w:id="147674317">
      <w:bodyDiv w:val="1"/>
      <w:marLeft w:val="0"/>
      <w:marRight w:val="0"/>
      <w:marTop w:val="0"/>
      <w:marBottom w:val="0"/>
      <w:divBdr>
        <w:top w:val="none" w:sz="0" w:space="0" w:color="auto"/>
        <w:left w:val="none" w:sz="0" w:space="0" w:color="auto"/>
        <w:bottom w:val="none" w:sz="0" w:space="0" w:color="auto"/>
        <w:right w:val="none" w:sz="0" w:space="0" w:color="auto"/>
      </w:divBdr>
      <w:divsChild>
        <w:div w:id="1241867193">
          <w:marLeft w:val="0"/>
          <w:marRight w:val="0"/>
          <w:marTop w:val="0"/>
          <w:marBottom w:val="0"/>
          <w:divBdr>
            <w:top w:val="none" w:sz="0" w:space="0" w:color="auto"/>
            <w:left w:val="none" w:sz="0" w:space="0" w:color="auto"/>
            <w:bottom w:val="none" w:sz="0" w:space="0" w:color="auto"/>
            <w:right w:val="none" w:sz="0" w:space="0" w:color="auto"/>
          </w:divBdr>
          <w:divsChild>
            <w:div w:id="157615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07896">
      <w:bodyDiv w:val="1"/>
      <w:marLeft w:val="0"/>
      <w:marRight w:val="0"/>
      <w:marTop w:val="0"/>
      <w:marBottom w:val="0"/>
      <w:divBdr>
        <w:top w:val="none" w:sz="0" w:space="0" w:color="auto"/>
        <w:left w:val="none" w:sz="0" w:space="0" w:color="auto"/>
        <w:bottom w:val="none" w:sz="0" w:space="0" w:color="auto"/>
        <w:right w:val="none" w:sz="0" w:space="0" w:color="auto"/>
      </w:divBdr>
    </w:div>
    <w:div w:id="618877930">
      <w:bodyDiv w:val="1"/>
      <w:marLeft w:val="0"/>
      <w:marRight w:val="0"/>
      <w:marTop w:val="0"/>
      <w:marBottom w:val="0"/>
      <w:divBdr>
        <w:top w:val="none" w:sz="0" w:space="0" w:color="auto"/>
        <w:left w:val="none" w:sz="0" w:space="0" w:color="auto"/>
        <w:bottom w:val="none" w:sz="0" w:space="0" w:color="auto"/>
        <w:right w:val="none" w:sz="0" w:space="0" w:color="auto"/>
      </w:divBdr>
    </w:div>
    <w:div w:id="701441872">
      <w:bodyDiv w:val="1"/>
      <w:marLeft w:val="0"/>
      <w:marRight w:val="0"/>
      <w:marTop w:val="0"/>
      <w:marBottom w:val="0"/>
      <w:divBdr>
        <w:top w:val="none" w:sz="0" w:space="0" w:color="auto"/>
        <w:left w:val="none" w:sz="0" w:space="0" w:color="auto"/>
        <w:bottom w:val="none" w:sz="0" w:space="0" w:color="auto"/>
        <w:right w:val="none" w:sz="0" w:space="0" w:color="auto"/>
      </w:divBdr>
    </w:div>
    <w:div w:id="808782971">
      <w:bodyDiv w:val="1"/>
      <w:marLeft w:val="0"/>
      <w:marRight w:val="0"/>
      <w:marTop w:val="0"/>
      <w:marBottom w:val="0"/>
      <w:divBdr>
        <w:top w:val="none" w:sz="0" w:space="0" w:color="auto"/>
        <w:left w:val="none" w:sz="0" w:space="0" w:color="auto"/>
        <w:bottom w:val="none" w:sz="0" w:space="0" w:color="auto"/>
        <w:right w:val="none" w:sz="0" w:space="0" w:color="auto"/>
      </w:divBdr>
    </w:div>
    <w:div w:id="808983766">
      <w:bodyDiv w:val="1"/>
      <w:marLeft w:val="0"/>
      <w:marRight w:val="0"/>
      <w:marTop w:val="0"/>
      <w:marBottom w:val="0"/>
      <w:divBdr>
        <w:top w:val="none" w:sz="0" w:space="0" w:color="auto"/>
        <w:left w:val="none" w:sz="0" w:space="0" w:color="auto"/>
        <w:bottom w:val="none" w:sz="0" w:space="0" w:color="auto"/>
        <w:right w:val="none" w:sz="0" w:space="0" w:color="auto"/>
      </w:divBdr>
    </w:div>
    <w:div w:id="852844993">
      <w:bodyDiv w:val="1"/>
      <w:marLeft w:val="0"/>
      <w:marRight w:val="0"/>
      <w:marTop w:val="0"/>
      <w:marBottom w:val="0"/>
      <w:divBdr>
        <w:top w:val="none" w:sz="0" w:space="0" w:color="auto"/>
        <w:left w:val="none" w:sz="0" w:space="0" w:color="auto"/>
        <w:bottom w:val="none" w:sz="0" w:space="0" w:color="auto"/>
        <w:right w:val="none" w:sz="0" w:space="0" w:color="auto"/>
      </w:divBdr>
      <w:divsChild>
        <w:div w:id="1109199484">
          <w:marLeft w:val="0"/>
          <w:marRight w:val="0"/>
          <w:marTop w:val="0"/>
          <w:marBottom w:val="0"/>
          <w:divBdr>
            <w:top w:val="none" w:sz="0" w:space="0" w:color="auto"/>
            <w:left w:val="none" w:sz="0" w:space="0" w:color="auto"/>
            <w:bottom w:val="none" w:sz="0" w:space="0" w:color="auto"/>
            <w:right w:val="none" w:sz="0" w:space="0" w:color="auto"/>
          </w:divBdr>
          <w:divsChild>
            <w:div w:id="476725678">
              <w:marLeft w:val="0"/>
              <w:marRight w:val="0"/>
              <w:marTop w:val="0"/>
              <w:marBottom w:val="0"/>
              <w:divBdr>
                <w:top w:val="none" w:sz="0" w:space="0" w:color="auto"/>
                <w:left w:val="none" w:sz="0" w:space="0" w:color="auto"/>
                <w:bottom w:val="none" w:sz="0" w:space="0" w:color="auto"/>
                <w:right w:val="none" w:sz="0" w:space="0" w:color="auto"/>
              </w:divBdr>
            </w:div>
          </w:divsChild>
        </w:div>
        <w:div w:id="579294795">
          <w:marLeft w:val="0"/>
          <w:marRight w:val="0"/>
          <w:marTop w:val="0"/>
          <w:marBottom w:val="0"/>
          <w:divBdr>
            <w:top w:val="none" w:sz="0" w:space="0" w:color="auto"/>
            <w:left w:val="none" w:sz="0" w:space="0" w:color="auto"/>
            <w:bottom w:val="none" w:sz="0" w:space="0" w:color="auto"/>
            <w:right w:val="none" w:sz="0" w:space="0" w:color="auto"/>
          </w:divBdr>
          <w:divsChild>
            <w:div w:id="1952782846">
              <w:marLeft w:val="0"/>
              <w:marRight w:val="0"/>
              <w:marTop w:val="0"/>
              <w:marBottom w:val="0"/>
              <w:divBdr>
                <w:top w:val="none" w:sz="0" w:space="0" w:color="auto"/>
                <w:left w:val="none" w:sz="0" w:space="0" w:color="auto"/>
                <w:bottom w:val="none" w:sz="0" w:space="0" w:color="auto"/>
                <w:right w:val="none" w:sz="0" w:space="0" w:color="auto"/>
              </w:divBdr>
            </w:div>
          </w:divsChild>
        </w:div>
        <w:div w:id="94785707">
          <w:marLeft w:val="0"/>
          <w:marRight w:val="0"/>
          <w:marTop w:val="0"/>
          <w:marBottom w:val="0"/>
          <w:divBdr>
            <w:top w:val="none" w:sz="0" w:space="0" w:color="auto"/>
            <w:left w:val="none" w:sz="0" w:space="0" w:color="auto"/>
            <w:bottom w:val="none" w:sz="0" w:space="0" w:color="auto"/>
            <w:right w:val="none" w:sz="0" w:space="0" w:color="auto"/>
          </w:divBdr>
          <w:divsChild>
            <w:div w:id="890843316">
              <w:marLeft w:val="0"/>
              <w:marRight w:val="0"/>
              <w:marTop w:val="0"/>
              <w:marBottom w:val="0"/>
              <w:divBdr>
                <w:top w:val="none" w:sz="0" w:space="0" w:color="auto"/>
                <w:left w:val="none" w:sz="0" w:space="0" w:color="auto"/>
                <w:bottom w:val="none" w:sz="0" w:space="0" w:color="auto"/>
                <w:right w:val="none" w:sz="0" w:space="0" w:color="auto"/>
              </w:divBdr>
            </w:div>
          </w:divsChild>
        </w:div>
        <w:div w:id="1756896640">
          <w:marLeft w:val="0"/>
          <w:marRight w:val="0"/>
          <w:marTop w:val="0"/>
          <w:marBottom w:val="0"/>
          <w:divBdr>
            <w:top w:val="none" w:sz="0" w:space="0" w:color="auto"/>
            <w:left w:val="none" w:sz="0" w:space="0" w:color="auto"/>
            <w:bottom w:val="none" w:sz="0" w:space="0" w:color="auto"/>
            <w:right w:val="none" w:sz="0" w:space="0" w:color="auto"/>
          </w:divBdr>
          <w:divsChild>
            <w:div w:id="627860079">
              <w:marLeft w:val="0"/>
              <w:marRight w:val="0"/>
              <w:marTop w:val="0"/>
              <w:marBottom w:val="0"/>
              <w:divBdr>
                <w:top w:val="none" w:sz="0" w:space="0" w:color="auto"/>
                <w:left w:val="none" w:sz="0" w:space="0" w:color="auto"/>
                <w:bottom w:val="none" w:sz="0" w:space="0" w:color="auto"/>
                <w:right w:val="none" w:sz="0" w:space="0" w:color="auto"/>
              </w:divBdr>
            </w:div>
          </w:divsChild>
        </w:div>
        <w:div w:id="1156334599">
          <w:marLeft w:val="0"/>
          <w:marRight w:val="0"/>
          <w:marTop w:val="0"/>
          <w:marBottom w:val="0"/>
          <w:divBdr>
            <w:top w:val="none" w:sz="0" w:space="0" w:color="auto"/>
            <w:left w:val="none" w:sz="0" w:space="0" w:color="auto"/>
            <w:bottom w:val="none" w:sz="0" w:space="0" w:color="auto"/>
            <w:right w:val="none" w:sz="0" w:space="0" w:color="auto"/>
          </w:divBdr>
          <w:divsChild>
            <w:div w:id="87041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33014">
      <w:bodyDiv w:val="1"/>
      <w:marLeft w:val="0"/>
      <w:marRight w:val="0"/>
      <w:marTop w:val="0"/>
      <w:marBottom w:val="0"/>
      <w:divBdr>
        <w:top w:val="none" w:sz="0" w:space="0" w:color="auto"/>
        <w:left w:val="none" w:sz="0" w:space="0" w:color="auto"/>
        <w:bottom w:val="none" w:sz="0" w:space="0" w:color="auto"/>
        <w:right w:val="none" w:sz="0" w:space="0" w:color="auto"/>
      </w:divBdr>
    </w:div>
    <w:div w:id="961963363">
      <w:bodyDiv w:val="1"/>
      <w:marLeft w:val="0"/>
      <w:marRight w:val="0"/>
      <w:marTop w:val="0"/>
      <w:marBottom w:val="0"/>
      <w:divBdr>
        <w:top w:val="none" w:sz="0" w:space="0" w:color="auto"/>
        <w:left w:val="none" w:sz="0" w:space="0" w:color="auto"/>
        <w:bottom w:val="none" w:sz="0" w:space="0" w:color="auto"/>
        <w:right w:val="none" w:sz="0" w:space="0" w:color="auto"/>
      </w:divBdr>
    </w:div>
    <w:div w:id="1133713733">
      <w:bodyDiv w:val="1"/>
      <w:marLeft w:val="0"/>
      <w:marRight w:val="0"/>
      <w:marTop w:val="0"/>
      <w:marBottom w:val="0"/>
      <w:divBdr>
        <w:top w:val="none" w:sz="0" w:space="0" w:color="auto"/>
        <w:left w:val="none" w:sz="0" w:space="0" w:color="auto"/>
        <w:bottom w:val="none" w:sz="0" w:space="0" w:color="auto"/>
        <w:right w:val="none" w:sz="0" w:space="0" w:color="auto"/>
      </w:divBdr>
    </w:div>
    <w:div w:id="1156914113">
      <w:bodyDiv w:val="1"/>
      <w:marLeft w:val="0"/>
      <w:marRight w:val="0"/>
      <w:marTop w:val="0"/>
      <w:marBottom w:val="0"/>
      <w:divBdr>
        <w:top w:val="none" w:sz="0" w:space="0" w:color="auto"/>
        <w:left w:val="none" w:sz="0" w:space="0" w:color="auto"/>
        <w:bottom w:val="none" w:sz="0" w:space="0" w:color="auto"/>
        <w:right w:val="none" w:sz="0" w:space="0" w:color="auto"/>
      </w:divBdr>
    </w:div>
    <w:div w:id="1541472440">
      <w:bodyDiv w:val="1"/>
      <w:marLeft w:val="0"/>
      <w:marRight w:val="0"/>
      <w:marTop w:val="0"/>
      <w:marBottom w:val="0"/>
      <w:divBdr>
        <w:top w:val="none" w:sz="0" w:space="0" w:color="auto"/>
        <w:left w:val="none" w:sz="0" w:space="0" w:color="auto"/>
        <w:bottom w:val="none" w:sz="0" w:space="0" w:color="auto"/>
        <w:right w:val="none" w:sz="0" w:space="0" w:color="auto"/>
      </w:divBdr>
      <w:divsChild>
        <w:div w:id="1163547065">
          <w:marLeft w:val="0"/>
          <w:marRight w:val="0"/>
          <w:marTop w:val="0"/>
          <w:marBottom w:val="0"/>
          <w:divBdr>
            <w:top w:val="none" w:sz="0" w:space="0" w:color="auto"/>
            <w:left w:val="none" w:sz="0" w:space="0" w:color="auto"/>
            <w:bottom w:val="none" w:sz="0" w:space="0" w:color="auto"/>
            <w:right w:val="none" w:sz="0" w:space="0" w:color="auto"/>
          </w:divBdr>
          <w:divsChild>
            <w:div w:id="15591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2569">
      <w:bodyDiv w:val="1"/>
      <w:marLeft w:val="0"/>
      <w:marRight w:val="0"/>
      <w:marTop w:val="0"/>
      <w:marBottom w:val="0"/>
      <w:divBdr>
        <w:top w:val="none" w:sz="0" w:space="0" w:color="auto"/>
        <w:left w:val="none" w:sz="0" w:space="0" w:color="auto"/>
        <w:bottom w:val="none" w:sz="0" w:space="0" w:color="auto"/>
        <w:right w:val="none" w:sz="0" w:space="0" w:color="auto"/>
      </w:divBdr>
      <w:divsChild>
        <w:div w:id="941036627">
          <w:marLeft w:val="0"/>
          <w:marRight w:val="0"/>
          <w:marTop w:val="0"/>
          <w:marBottom w:val="0"/>
          <w:divBdr>
            <w:top w:val="none" w:sz="0" w:space="0" w:color="auto"/>
            <w:left w:val="none" w:sz="0" w:space="0" w:color="auto"/>
            <w:bottom w:val="none" w:sz="0" w:space="0" w:color="auto"/>
            <w:right w:val="none" w:sz="0" w:space="0" w:color="auto"/>
          </w:divBdr>
          <w:divsChild>
            <w:div w:id="1862164925">
              <w:marLeft w:val="0"/>
              <w:marRight w:val="0"/>
              <w:marTop w:val="0"/>
              <w:marBottom w:val="0"/>
              <w:divBdr>
                <w:top w:val="none" w:sz="0" w:space="0" w:color="auto"/>
                <w:left w:val="none" w:sz="0" w:space="0" w:color="auto"/>
                <w:bottom w:val="none" w:sz="0" w:space="0" w:color="auto"/>
                <w:right w:val="none" w:sz="0" w:space="0" w:color="auto"/>
              </w:divBdr>
            </w:div>
          </w:divsChild>
        </w:div>
        <w:div w:id="1380283825">
          <w:marLeft w:val="0"/>
          <w:marRight w:val="0"/>
          <w:marTop w:val="0"/>
          <w:marBottom w:val="0"/>
          <w:divBdr>
            <w:top w:val="none" w:sz="0" w:space="0" w:color="auto"/>
            <w:left w:val="none" w:sz="0" w:space="0" w:color="auto"/>
            <w:bottom w:val="none" w:sz="0" w:space="0" w:color="auto"/>
            <w:right w:val="none" w:sz="0" w:space="0" w:color="auto"/>
          </w:divBdr>
          <w:divsChild>
            <w:div w:id="1992169079">
              <w:marLeft w:val="0"/>
              <w:marRight w:val="0"/>
              <w:marTop w:val="0"/>
              <w:marBottom w:val="0"/>
              <w:divBdr>
                <w:top w:val="none" w:sz="0" w:space="0" w:color="auto"/>
                <w:left w:val="none" w:sz="0" w:space="0" w:color="auto"/>
                <w:bottom w:val="none" w:sz="0" w:space="0" w:color="auto"/>
                <w:right w:val="none" w:sz="0" w:space="0" w:color="auto"/>
              </w:divBdr>
            </w:div>
          </w:divsChild>
        </w:div>
        <w:div w:id="399446103">
          <w:marLeft w:val="0"/>
          <w:marRight w:val="0"/>
          <w:marTop w:val="0"/>
          <w:marBottom w:val="0"/>
          <w:divBdr>
            <w:top w:val="none" w:sz="0" w:space="0" w:color="auto"/>
            <w:left w:val="none" w:sz="0" w:space="0" w:color="auto"/>
            <w:bottom w:val="none" w:sz="0" w:space="0" w:color="auto"/>
            <w:right w:val="none" w:sz="0" w:space="0" w:color="auto"/>
          </w:divBdr>
          <w:divsChild>
            <w:div w:id="1960185988">
              <w:marLeft w:val="0"/>
              <w:marRight w:val="0"/>
              <w:marTop w:val="0"/>
              <w:marBottom w:val="0"/>
              <w:divBdr>
                <w:top w:val="none" w:sz="0" w:space="0" w:color="auto"/>
                <w:left w:val="none" w:sz="0" w:space="0" w:color="auto"/>
                <w:bottom w:val="none" w:sz="0" w:space="0" w:color="auto"/>
                <w:right w:val="none" w:sz="0" w:space="0" w:color="auto"/>
              </w:divBdr>
            </w:div>
          </w:divsChild>
        </w:div>
        <w:div w:id="1831172662">
          <w:marLeft w:val="0"/>
          <w:marRight w:val="0"/>
          <w:marTop w:val="0"/>
          <w:marBottom w:val="0"/>
          <w:divBdr>
            <w:top w:val="none" w:sz="0" w:space="0" w:color="auto"/>
            <w:left w:val="none" w:sz="0" w:space="0" w:color="auto"/>
            <w:bottom w:val="none" w:sz="0" w:space="0" w:color="auto"/>
            <w:right w:val="none" w:sz="0" w:space="0" w:color="auto"/>
          </w:divBdr>
          <w:divsChild>
            <w:div w:id="965742552">
              <w:marLeft w:val="0"/>
              <w:marRight w:val="0"/>
              <w:marTop w:val="0"/>
              <w:marBottom w:val="0"/>
              <w:divBdr>
                <w:top w:val="none" w:sz="0" w:space="0" w:color="auto"/>
                <w:left w:val="none" w:sz="0" w:space="0" w:color="auto"/>
                <w:bottom w:val="none" w:sz="0" w:space="0" w:color="auto"/>
                <w:right w:val="none" w:sz="0" w:space="0" w:color="auto"/>
              </w:divBdr>
            </w:div>
          </w:divsChild>
        </w:div>
        <w:div w:id="1569731269">
          <w:marLeft w:val="0"/>
          <w:marRight w:val="0"/>
          <w:marTop w:val="0"/>
          <w:marBottom w:val="0"/>
          <w:divBdr>
            <w:top w:val="none" w:sz="0" w:space="0" w:color="auto"/>
            <w:left w:val="none" w:sz="0" w:space="0" w:color="auto"/>
            <w:bottom w:val="none" w:sz="0" w:space="0" w:color="auto"/>
            <w:right w:val="none" w:sz="0" w:space="0" w:color="auto"/>
          </w:divBdr>
          <w:divsChild>
            <w:div w:id="1305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2251">
      <w:bodyDiv w:val="1"/>
      <w:marLeft w:val="0"/>
      <w:marRight w:val="0"/>
      <w:marTop w:val="0"/>
      <w:marBottom w:val="0"/>
      <w:divBdr>
        <w:top w:val="none" w:sz="0" w:space="0" w:color="auto"/>
        <w:left w:val="none" w:sz="0" w:space="0" w:color="auto"/>
        <w:bottom w:val="none" w:sz="0" w:space="0" w:color="auto"/>
        <w:right w:val="none" w:sz="0" w:space="0" w:color="auto"/>
      </w:divBdr>
    </w:div>
    <w:div w:id="1981642048">
      <w:bodyDiv w:val="1"/>
      <w:marLeft w:val="0"/>
      <w:marRight w:val="0"/>
      <w:marTop w:val="0"/>
      <w:marBottom w:val="0"/>
      <w:divBdr>
        <w:top w:val="none" w:sz="0" w:space="0" w:color="auto"/>
        <w:left w:val="none" w:sz="0" w:space="0" w:color="auto"/>
        <w:bottom w:val="none" w:sz="0" w:space="0" w:color="auto"/>
        <w:right w:val="none" w:sz="0" w:space="0" w:color="auto"/>
      </w:divBdr>
    </w:div>
    <w:div w:id="20862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592</TotalTime>
  <Pages>15</Pages>
  <Words>4752</Words>
  <Characters>27088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1084</cp:lastModifiedBy>
  <cp:revision>11</cp:revision>
  <dcterms:created xsi:type="dcterms:W3CDTF">2025-05-15T08:30:00Z</dcterms:created>
  <dcterms:modified xsi:type="dcterms:W3CDTF">2025-08-18T13:32:00Z</dcterms:modified>
</cp:coreProperties>
</file>