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8D6A8" w14:textId="77777777" w:rsidR="004F1F26" w:rsidRPr="004F1F26" w:rsidRDefault="004F1F26" w:rsidP="004F1F26">
      <w:pPr>
        <w:spacing w:after="0"/>
        <w:rPr>
          <w:rFonts w:ascii="Times New Roman" w:eastAsia="Times New Roman" w:hAnsi="Times New Roman" w:cs="Times New Roman"/>
          <w:sz w:val="32"/>
          <w:szCs w:val="32"/>
          <w:u w:val="single"/>
        </w:rPr>
      </w:pPr>
      <w:r w:rsidRPr="004F1F26">
        <w:rPr>
          <w:rFonts w:ascii="Times New Roman" w:eastAsia="Times New Roman" w:hAnsi="Times New Roman" w:cs="Times New Roman"/>
          <w:sz w:val="32"/>
          <w:szCs w:val="32"/>
          <w:u w:val="single"/>
        </w:rPr>
        <w:t xml:space="preserve">Original Research Article </w:t>
      </w:r>
    </w:p>
    <w:p w14:paraId="522A68AC" w14:textId="61E3A7CA" w:rsidR="00912FD0" w:rsidRDefault="000A3FB2">
      <w:pPr>
        <w:spacing w:after="0"/>
        <w:jc w:val="center"/>
        <w:rPr>
          <w:rFonts w:ascii="Times New Roman" w:eastAsia="Times New Roman" w:hAnsi="Times New Roman" w:cs="Times New Roman"/>
          <w:sz w:val="32"/>
          <w:szCs w:val="32"/>
        </w:rPr>
      </w:pPr>
      <w:r w:rsidRPr="000A3FB2">
        <w:rPr>
          <w:rFonts w:ascii="Times New Roman" w:eastAsia="Times New Roman" w:hAnsi="Times New Roman" w:cs="Times New Roman"/>
          <w:sz w:val="32"/>
          <w:szCs w:val="32"/>
        </w:rPr>
        <w:t>Clinical Profile of Acute Optic Neuritis in a Tertiary Eye Hospital</w:t>
      </w:r>
      <w:r w:rsidR="00DF187A">
        <w:rPr>
          <w:rFonts w:ascii="Times New Roman" w:eastAsia="Times New Roman" w:hAnsi="Times New Roman" w:cs="Times New Roman"/>
          <w:sz w:val="32"/>
          <w:szCs w:val="32"/>
        </w:rPr>
        <w:t xml:space="preserve"> </w:t>
      </w:r>
      <w:r w:rsidR="00DF187A" w:rsidRPr="00DF187A">
        <w:rPr>
          <w:rFonts w:ascii="Times New Roman" w:eastAsia="Times New Roman" w:hAnsi="Times New Roman" w:cs="Times New Roman"/>
          <w:sz w:val="32"/>
          <w:szCs w:val="32"/>
        </w:rPr>
        <w:t>in Bangladesh.</w:t>
      </w:r>
    </w:p>
    <w:p w14:paraId="419E72B2" w14:textId="77777777" w:rsidR="001031CA" w:rsidRDefault="001031CA" w:rsidP="007E0BE4">
      <w:pPr>
        <w:pStyle w:val="Default"/>
        <w:rPr>
          <w:rFonts w:eastAsia="Times New Roman"/>
        </w:rPr>
      </w:pPr>
    </w:p>
    <w:p w14:paraId="33C1B5B4" w14:textId="77777777" w:rsidR="0095350A" w:rsidRDefault="0095350A" w:rsidP="00DF187A">
      <w:pPr>
        <w:pStyle w:val="NoSpacing"/>
        <w:rPr>
          <w:rFonts w:ascii="Times New Roman" w:hAnsi="Times New Roman" w:cs="Times New Roman"/>
        </w:rPr>
      </w:pPr>
    </w:p>
    <w:p w14:paraId="11471C3D" w14:textId="77777777" w:rsidR="0095350A" w:rsidRDefault="0095350A" w:rsidP="00DF187A">
      <w:pPr>
        <w:pStyle w:val="NoSpacing"/>
        <w:rPr>
          <w:rFonts w:ascii="Times New Roman" w:hAnsi="Times New Roman" w:cs="Times New Roman"/>
        </w:rPr>
      </w:pPr>
    </w:p>
    <w:p w14:paraId="7EA93D97" w14:textId="77777777" w:rsidR="007E0BE4" w:rsidRDefault="007E0BE4" w:rsidP="00021CDD">
      <w:pPr>
        <w:spacing w:after="0"/>
        <w:rPr>
          <w:rFonts w:ascii="Times New Roman" w:eastAsia="Times New Roman" w:hAnsi="Times New Roman" w:cs="Times New Roman"/>
          <w:sz w:val="16"/>
          <w:szCs w:val="16"/>
        </w:rPr>
      </w:pPr>
    </w:p>
    <w:p w14:paraId="522A68B4"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E379206" w14:textId="77777777" w:rsidR="00135F46"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Background:</w:t>
      </w:r>
      <w:r w:rsidRPr="00135F46">
        <w:rPr>
          <w:rFonts w:ascii="Times New Roman" w:eastAsia="Times New Roman" w:hAnsi="Times New Roman" w:cs="Times New Roman"/>
        </w:rPr>
        <w:t xml:space="preserve"> Optic neuritis (ON) is an inflammatory or demyelinating disorder of the optic nerve that presents with acute visual loss and periocular pain. Its clinical profile varies across regions due to genetic, environmental, and demographic influences. This study aimed to determine the demographic and clinical characteristics of patients with ON at a tertiary eye hospital in Bangladesh. </w:t>
      </w:r>
    </w:p>
    <w:p w14:paraId="7BA10966" w14:textId="77777777" w:rsidR="00135F46" w:rsidRPr="00135F46" w:rsidRDefault="00135F46">
      <w:pPr>
        <w:spacing w:after="0"/>
        <w:jc w:val="both"/>
        <w:rPr>
          <w:rFonts w:ascii="Times New Roman" w:eastAsia="Times New Roman" w:hAnsi="Times New Roman" w:cs="Times New Roman"/>
          <w:sz w:val="10"/>
          <w:szCs w:val="10"/>
        </w:rPr>
      </w:pPr>
    </w:p>
    <w:p w14:paraId="5181DA7F" w14:textId="64E9E272" w:rsidR="00135F46"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Methods:</w:t>
      </w:r>
      <w:r w:rsidRPr="00135F46">
        <w:rPr>
          <w:rFonts w:ascii="Times New Roman" w:eastAsia="Times New Roman" w:hAnsi="Times New Roman" w:cs="Times New Roman"/>
        </w:rPr>
        <w:t xml:space="preserve"> A descriptive cross-sectional study was conducted at the Neuro-ophthalmology Department of the Ispahani Islamia Eye Institute and Hospital, Dhaka, Bangladesh, between July 2019 and June 2020. A total of 100 patients (139 affected eyes) diagnosed with ON were included in the study. Demographic data, complaints, visual acuity, color vision, pupillary responses, visual fields, and fundus findings were recorded. Statistical analysis was performed using SPSS v20.0. </w:t>
      </w:r>
    </w:p>
    <w:p w14:paraId="3275421E" w14:textId="77777777" w:rsidR="00135F46" w:rsidRPr="00135F46" w:rsidRDefault="00135F46">
      <w:pPr>
        <w:spacing w:after="0"/>
        <w:jc w:val="both"/>
        <w:rPr>
          <w:rFonts w:ascii="Times New Roman" w:eastAsia="Times New Roman" w:hAnsi="Times New Roman" w:cs="Times New Roman"/>
          <w:sz w:val="10"/>
          <w:szCs w:val="10"/>
        </w:rPr>
      </w:pPr>
    </w:p>
    <w:p w14:paraId="5425A1B0" w14:textId="77777777" w:rsidR="00135F46"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Results:</w:t>
      </w:r>
      <w:r w:rsidRPr="00135F46">
        <w:rPr>
          <w:rFonts w:ascii="Times New Roman" w:eastAsia="Times New Roman" w:hAnsi="Times New Roman" w:cs="Times New Roman"/>
        </w:rPr>
        <w:t xml:space="preserve"> Among 100 patients (54 males, 46 females; mean age 30±12.95 years), most were aged 40–49 years (34%). All patients presented with acute dimness of vision, while 22% reported periocular pain and 12% fever. Nearly half (47.5%) had visual acuity &lt;3/60, and 73.4% showed reduced color vision. Central scotoma (46.8%) was the most common visual-field defect. Relative afferent pupillary defects were noted in 46.8% of eyes. Papillitis, retrobulbar neuritis, and neuroretinitis accounted for 86 %, 10%, and 4% of the cases, respectively. Unilateral ON (61%) was more frequent than bilateral ON (39%). </w:t>
      </w:r>
    </w:p>
    <w:p w14:paraId="476A925F" w14:textId="77777777" w:rsidR="00135F46" w:rsidRPr="00135F46" w:rsidRDefault="00135F46">
      <w:pPr>
        <w:spacing w:after="0"/>
        <w:jc w:val="both"/>
        <w:rPr>
          <w:rFonts w:ascii="Times New Roman" w:eastAsia="Times New Roman" w:hAnsi="Times New Roman" w:cs="Times New Roman"/>
          <w:sz w:val="10"/>
          <w:szCs w:val="10"/>
        </w:rPr>
      </w:pPr>
    </w:p>
    <w:p w14:paraId="67A0D643" w14:textId="547A0482" w:rsidR="00135F46"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Conclusion:</w:t>
      </w:r>
      <w:r w:rsidRPr="00135F46">
        <w:rPr>
          <w:rFonts w:ascii="Times New Roman" w:eastAsia="Times New Roman" w:hAnsi="Times New Roman" w:cs="Times New Roman"/>
        </w:rPr>
        <w:t xml:space="preserve"> </w:t>
      </w:r>
      <w:r w:rsidR="00F2691F" w:rsidRPr="00F2691F">
        <w:rPr>
          <w:rFonts w:ascii="Times New Roman" w:eastAsia="Times New Roman" w:hAnsi="Times New Roman" w:cs="Times New Roman"/>
        </w:rPr>
        <w:t>Papillitis was the predominant type of ON in this cohort, with unilateral involvement being more common. Unilateral papillitis occurred more frequently in middle-aged men (40–49 years).</w:t>
      </w:r>
      <w:r w:rsidRPr="00135F46">
        <w:rPr>
          <w:rFonts w:ascii="Times New Roman" w:eastAsia="Times New Roman" w:hAnsi="Times New Roman" w:cs="Times New Roman"/>
        </w:rPr>
        <w:t xml:space="preserve"> These findings provide insights that may support the early diagnosis and improved management of ON in Bangladesh</w:t>
      </w:r>
      <w:r>
        <w:rPr>
          <w:rFonts w:ascii="Times New Roman" w:eastAsia="Times New Roman" w:hAnsi="Times New Roman" w:cs="Times New Roman"/>
        </w:rPr>
        <w:t>.</w:t>
      </w:r>
    </w:p>
    <w:p w14:paraId="3FE5583B" w14:textId="77777777" w:rsidR="00135F46" w:rsidRPr="00135F46" w:rsidRDefault="00135F46">
      <w:pPr>
        <w:spacing w:after="0"/>
        <w:jc w:val="both"/>
        <w:rPr>
          <w:rFonts w:ascii="Times New Roman" w:eastAsia="Times New Roman" w:hAnsi="Times New Roman" w:cs="Times New Roman"/>
          <w:sz w:val="10"/>
          <w:szCs w:val="10"/>
        </w:rPr>
      </w:pPr>
    </w:p>
    <w:p w14:paraId="522A68BB" w14:textId="741F1621" w:rsidR="00912FD0" w:rsidRDefault="00135F46">
      <w:pPr>
        <w:spacing w:after="0"/>
        <w:jc w:val="both"/>
        <w:rPr>
          <w:rFonts w:ascii="Times New Roman" w:eastAsia="Times New Roman" w:hAnsi="Times New Roman" w:cs="Times New Roman"/>
        </w:rPr>
      </w:pPr>
      <w:r w:rsidRPr="00135F46">
        <w:rPr>
          <w:rFonts w:ascii="Times New Roman" w:eastAsia="Times New Roman" w:hAnsi="Times New Roman" w:cs="Times New Roman"/>
          <w:b/>
          <w:bCs/>
        </w:rPr>
        <w:t>keywords:</w:t>
      </w:r>
      <w:r w:rsidRPr="00135F46">
        <w:rPr>
          <w:rFonts w:ascii="Times New Roman" w:eastAsia="Times New Roman" w:hAnsi="Times New Roman" w:cs="Times New Roman"/>
        </w:rPr>
        <w:t xml:space="preserve"> Optic neuritis, papillitis, retrobulbar neuritis, neuroretinitis, visual loss.</w:t>
      </w:r>
    </w:p>
    <w:p w14:paraId="3D976589" w14:textId="77777777" w:rsidR="00135F46" w:rsidRPr="0052237F" w:rsidRDefault="00135F46">
      <w:pPr>
        <w:spacing w:after="0"/>
        <w:jc w:val="both"/>
        <w:rPr>
          <w:rFonts w:ascii="Times New Roman" w:eastAsia="Times New Roman" w:hAnsi="Times New Roman" w:cs="Times New Roman"/>
        </w:rPr>
      </w:pPr>
    </w:p>
    <w:p w14:paraId="522A68BF" w14:textId="56412FF4" w:rsidR="008E7416" w:rsidRDefault="009A115C" w:rsidP="00135F4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20A62C3A"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Optic neuritis (ON) is an acute inflammatory or demyelinating disorder of the optic nerve, characterized by sudden visual loss, dyschromatopsia, and frequ</w:t>
      </w:r>
      <w:r>
        <w:rPr>
          <w:rFonts w:ascii="Times New Roman" w:hAnsi="Times New Roman" w:cs="Times New Roman"/>
        </w:rPr>
        <w:t xml:space="preserve">ently pain on ocular movements </w:t>
      </w:r>
      <w:r w:rsidRPr="00C158EE">
        <w:rPr>
          <w:rFonts w:ascii="Times New Roman" w:hAnsi="Times New Roman" w:cs="Times New Roman"/>
        </w:rPr>
        <w:t>[1,</w:t>
      </w:r>
      <w:r>
        <w:rPr>
          <w:rFonts w:ascii="Times New Roman" w:hAnsi="Times New Roman" w:cs="Times New Roman"/>
        </w:rPr>
        <w:t xml:space="preserve"> </w:t>
      </w:r>
      <w:r w:rsidRPr="00C158EE">
        <w:rPr>
          <w:rFonts w:ascii="Times New Roman" w:hAnsi="Times New Roman" w:cs="Times New Roman"/>
        </w:rPr>
        <w:t>2]. ON may present as idiopathic or be associated with autoimmune and infectious diseases, with the demyelinating form strongly lin</w:t>
      </w:r>
      <w:r>
        <w:rPr>
          <w:rFonts w:ascii="Times New Roman" w:hAnsi="Times New Roman" w:cs="Times New Roman"/>
        </w:rPr>
        <w:t xml:space="preserve">ked to multiple sclerosis (MS) </w:t>
      </w:r>
      <w:r w:rsidRPr="00C158EE">
        <w:rPr>
          <w:rFonts w:ascii="Times New Roman" w:hAnsi="Times New Roman" w:cs="Times New Roman"/>
        </w:rPr>
        <w:t>[3]. Although most patients experience spontaneous visual recovery, recurrent or atypical cases may progress to long-term visual disability or herald</w:t>
      </w:r>
      <w:r>
        <w:rPr>
          <w:rFonts w:ascii="Times New Roman" w:hAnsi="Times New Roman" w:cs="Times New Roman"/>
        </w:rPr>
        <w:t xml:space="preserve"> systemic neurological disease </w:t>
      </w:r>
      <w:r w:rsidRPr="00C158EE">
        <w:rPr>
          <w:rFonts w:ascii="Times New Roman" w:hAnsi="Times New Roman" w:cs="Times New Roman"/>
        </w:rPr>
        <w:t>[4].</w:t>
      </w:r>
    </w:p>
    <w:p w14:paraId="21FB7B5F" w14:textId="77777777" w:rsidR="0052237F" w:rsidRPr="00135F46" w:rsidRDefault="0052237F" w:rsidP="0052237F">
      <w:pPr>
        <w:spacing w:after="0"/>
        <w:jc w:val="both"/>
        <w:rPr>
          <w:rFonts w:ascii="Times New Roman" w:hAnsi="Times New Roman" w:cs="Times New Roman"/>
          <w:sz w:val="10"/>
          <w:szCs w:val="10"/>
        </w:rPr>
      </w:pPr>
    </w:p>
    <w:p w14:paraId="47B8BE3B"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The global incidence of ON is estimated at 1–5 per 100,000 population annually, with higher prevalence among Caucasians and in</w:t>
      </w:r>
      <w:r>
        <w:rPr>
          <w:rFonts w:ascii="Times New Roman" w:hAnsi="Times New Roman" w:cs="Times New Roman"/>
        </w:rPr>
        <w:t xml:space="preserve"> countries at higher latitudes </w:t>
      </w:r>
      <w:r w:rsidRPr="00C158EE">
        <w:rPr>
          <w:rFonts w:ascii="Times New Roman" w:hAnsi="Times New Roman" w:cs="Times New Roman"/>
        </w:rPr>
        <w:t>[5,6]. Epidemiological studies reveal notable geographic variation in disease characteristics, influenced by genetics, environmental e</w:t>
      </w:r>
      <w:r>
        <w:rPr>
          <w:rFonts w:ascii="Times New Roman" w:hAnsi="Times New Roman" w:cs="Times New Roman"/>
        </w:rPr>
        <w:t xml:space="preserve">xposures, and prevalence of MS </w:t>
      </w:r>
      <w:r w:rsidRPr="00C158EE">
        <w:rPr>
          <w:rFonts w:ascii="Times New Roman" w:hAnsi="Times New Roman" w:cs="Times New Roman"/>
        </w:rPr>
        <w:t xml:space="preserve">[7]. Western cohorts, particularly the Optic Neuritis Treatment Trial (ONTT), have defined much of the current understanding of ON, showing a female predominance, frequent unilateral </w:t>
      </w:r>
      <w:r w:rsidRPr="00C158EE">
        <w:rPr>
          <w:rFonts w:ascii="Times New Roman" w:hAnsi="Times New Roman" w:cs="Times New Roman"/>
        </w:rPr>
        <w:lastRenderedPageBreak/>
        <w:t xml:space="preserve">presentation, </w:t>
      </w:r>
      <w:r>
        <w:rPr>
          <w:rFonts w:ascii="Times New Roman" w:hAnsi="Times New Roman" w:cs="Times New Roman"/>
        </w:rPr>
        <w:t xml:space="preserve">and high risk of MS conversion </w:t>
      </w:r>
      <w:r w:rsidRPr="00C158EE">
        <w:rPr>
          <w:rFonts w:ascii="Times New Roman" w:hAnsi="Times New Roman" w:cs="Times New Roman"/>
        </w:rPr>
        <w:t>[8]. In contrast, studies from Asia and Africa often report higher frequencies of bilateral involvement, papillitis rather than retrobulbar neuritis, and lower associa</w:t>
      </w:r>
      <w:r>
        <w:rPr>
          <w:rFonts w:ascii="Times New Roman" w:hAnsi="Times New Roman" w:cs="Times New Roman"/>
        </w:rPr>
        <w:t xml:space="preserve">tion with MS </w:t>
      </w:r>
      <w:r w:rsidRPr="00C158EE">
        <w:rPr>
          <w:rFonts w:ascii="Times New Roman" w:hAnsi="Times New Roman" w:cs="Times New Roman"/>
        </w:rPr>
        <w:t>[9,</w:t>
      </w:r>
      <w:r>
        <w:rPr>
          <w:rFonts w:ascii="Times New Roman" w:hAnsi="Times New Roman" w:cs="Times New Roman"/>
        </w:rPr>
        <w:t xml:space="preserve"> </w:t>
      </w:r>
      <w:r w:rsidRPr="00C158EE">
        <w:rPr>
          <w:rFonts w:ascii="Times New Roman" w:hAnsi="Times New Roman" w:cs="Times New Roman"/>
        </w:rPr>
        <w:t>10].</w:t>
      </w:r>
    </w:p>
    <w:p w14:paraId="1566CBA8" w14:textId="77777777" w:rsidR="0052237F" w:rsidRPr="00135F46" w:rsidRDefault="0052237F" w:rsidP="0052237F">
      <w:pPr>
        <w:spacing w:after="0"/>
        <w:jc w:val="both"/>
        <w:rPr>
          <w:rFonts w:ascii="Times New Roman" w:hAnsi="Times New Roman" w:cs="Times New Roman"/>
          <w:sz w:val="10"/>
          <w:szCs w:val="10"/>
        </w:rPr>
      </w:pPr>
    </w:p>
    <w:p w14:paraId="239FA6ED"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Clinically, ON is categorized into three types based on optic disc appearance: papillitis (disc swelling), retrobulbar neuritis (normal disc), and neuroretinitis (dis</w:t>
      </w:r>
      <w:r>
        <w:rPr>
          <w:rFonts w:ascii="Times New Roman" w:hAnsi="Times New Roman" w:cs="Times New Roman"/>
        </w:rPr>
        <w:t xml:space="preserve">c edema with macular exudates) </w:t>
      </w:r>
      <w:r w:rsidRPr="00C158EE">
        <w:rPr>
          <w:rFonts w:ascii="Times New Roman" w:hAnsi="Times New Roman" w:cs="Times New Roman"/>
        </w:rPr>
        <w:t>[11]. While the clinical hallmarks are well established—visual loss, relative afferent pupillary defect (RAPD), and color vision deficits—the spectrum of presentation varies si</w:t>
      </w:r>
      <w:r>
        <w:rPr>
          <w:rFonts w:ascii="Times New Roman" w:hAnsi="Times New Roman" w:cs="Times New Roman"/>
        </w:rPr>
        <w:t xml:space="preserve">gnificantly across populations </w:t>
      </w:r>
      <w:r w:rsidRPr="00C158EE">
        <w:rPr>
          <w:rFonts w:ascii="Times New Roman" w:hAnsi="Times New Roman" w:cs="Times New Roman"/>
        </w:rPr>
        <w:t>[12]. Advanced imaging, including MRI, provides diagnostic and prognostic insights, par</w:t>
      </w:r>
      <w:r>
        <w:rPr>
          <w:rFonts w:ascii="Times New Roman" w:hAnsi="Times New Roman" w:cs="Times New Roman"/>
        </w:rPr>
        <w:t xml:space="preserve">ticularly in assessing MS risk </w:t>
      </w:r>
      <w:r w:rsidRPr="00C158EE">
        <w:rPr>
          <w:rFonts w:ascii="Times New Roman" w:hAnsi="Times New Roman" w:cs="Times New Roman"/>
        </w:rPr>
        <w:t>[13]. However, in resource-limited settings, diagnosis often relies on careful clinical evaluation.</w:t>
      </w:r>
    </w:p>
    <w:p w14:paraId="3ED3A318" w14:textId="77777777" w:rsidR="0052237F" w:rsidRPr="00135F46" w:rsidRDefault="0052237F" w:rsidP="0052237F">
      <w:pPr>
        <w:spacing w:after="0"/>
        <w:jc w:val="both"/>
        <w:rPr>
          <w:rFonts w:ascii="Times New Roman" w:hAnsi="Times New Roman" w:cs="Times New Roman"/>
          <w:sz w:val="10"/>
          <w:szCs w:val="10"/>
        </w:rPr>
      </w:pPr>
    </w:p>
    <w:p w14:paraId="5824B71E"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Several regional studies have highlighted differences in ON. In India, papillitis was more common than retrobulbar neuritis, and bilateral involv</w:t>
      </w:r>
      <w:r>
        <w:rPr>
          <w:rFonts w:ascii="Times New Roman" w:hAnsi="Times New Roman" w:cs="Times New Roman"/>
        </w:rPr>
        <w:t xml:space="preserve">ement was frequent in children </w:t>
      </w:r>
      <w:r w:rsidRPr="00C158EE">
        <w:rPr>
          <w:rFonts w:ascii="Times New Roman" w:hAnsi="Times New Roman" w:cs="Times New Roman"/>
        </w:rPr>
        <w:t>[14]. Japanese studies reported higher rates of disc swelling and lower MS risk c</w:t>
      </w:r>
      <w:r>
        <w:rPr>
          <w:rFonts w:ascii="Times New Roman" w:hAnsi="Times New Roman" w:cs="Times New Roman"/>
        </w:rPr>
        <w:t xml:space="preserve">ompared to Western populations </w:t>
      </w:r>
      <w:r w:rsidRPr="00C158EE">
        <w:rPr>
          <w:rFonts w:ascii="Times New Roman" w:hAnsi="Times New Roman" w:cs="Times New Roman"/>
        </w:rPr>
        <w:t>[15]. In South Africa, ON was often atypical, bilateral, and associated with poor vis</w:t>
      </w:r>
      <w:r>
        <w:rPr>
          <w:rFonts w:ascii="Times New Roman" w:hAnsi="Times New Roman" w:cs="Times New Roman"/>
        </w:rPr>
        <w:t xml:space="preserve">ual prognosis </w:t>
      </w:r>
      <w:r w:rsidRPr="00C158EE">
        <w:rPr>
          <w:rFonts w:ascii="Times New Roman" w:hAnsi="Times New Roman" w:cs="Times New Roman"/>
        </w:rPr>
        <w:t>[16]. Pediatric cohorts also demonstrate distinct patterns, with bilateral disease and post-infectiou</w:t>
      </w:r>
      <w:r>
        <w:rPr>
          <w:rFonts w:ascii="Times New Roman" w:hAnsi="Times New Roman" w:cs="Times New Roman"/>
        </w:rPr>
        <w:t xml:space="preserve">s etiologies being more common </w:t>
      </w:r>
      <w:r w:rsidRPr="00C158EE">
        <w:rPr>
          <w:rFonts w:ascii="Times New Roman" w:hAnsi="Times New Roman" w:cs="Times New Roman"/>
        </w:rPr>
        <w:t>[17].</w:t>
      </w:r>
    </w:p>
    <w:p w14:paraId="1391ED37" w14:textId="77777777" w:rsidR="0052237F" w:rsidRPr="00BE3651" w:rsidRDefault="0052237F" w:rsidP="0052237F">
      <w:pPr>
        <w:spacing w:after="0"/>
        <w:jc w:val="both"/>
        <w:rPr>
          <w:rFonts w:ascii="Times New Roman" w:hAnsi="Times New Roman" w:cs="Times New Roman"/>
          <w:sz w:val="10"/>
          <w:szCs w:val="10"/>
        </w:rPr>
      </w:pPr>
    </w:p>
    <w:p w14:paraId="60461F5C" w14:textId="77777777" w:rsidR="0052237F" w:rsidRPr="00C158EE" w:rsidRDefault="0052237F" w:rsidP="0052237F">
      <w:pPr>
        <w:spacing w:after="0"/>
        <w:jc w:val="both"/>
        <w:rPr>
          <w:rFonts w:ascii="Times New Roman" w:hAnsi="Times New Roman" w:cs="Times New Roman"/>
        </w:rPr>
      </w:pPr>
      <w:r w:rsidRPr="00C158EE">
        <w:rPr>
          <w:rFonts w:ascii="Times New Roman" w:hAnsi="Times New Roman" w:cs="Times New Roman"/>
        </w:rPr>
        <w:t xml:space="preserve">Bangladesh, despite its large population, has limited published data on </w:t>
      </w:r>
      <w:proofErr w:type="spellStart"/>
      <w:r w:rsidRPr="00C158EE">
        <w:rPr>
          <w:rFonts w:ascii="Times New Roman" w:hAnsi="Times New Roman" w:cs="Times New Roman"/>
        </w:rPr>
        <w:t>ON</w:t>
      </w:r>
      <w:proofErr w:type="spellEnd"/>
      <w:r w:rsidRPr="00C158EE">
        <w:rPr>
          <w:rFonts w:ascii="Times New Roman" w:hAnsi="Times New Roman" w:cs="Times New Roman"/>
        </w:rPr>
        <w:t>. Considering the socioeconomic burden of visual disability and the role of ON as a possible precursor to chronic neurological disease, understanding its clinical profile is critical for timely diagnosis and management. Furthermore, given the differences reported in Asian versus Western populations, local data can contribute to global comparative insights and help refine clinical decision-making in similar demographic contexts.</w:t>
      </w:r>
    </w:p>
    <w:p w14:paraId="7D2DF817" w14:textId="77777777" w:rsidR="0052237F" w:rsidRPr="00BE3651" w:rsidRDefault="0052237F" w:rsidP="0052237F">
      <w:pPr>
        <w:spacing w:after="0"/>
        <w:jc w:val="both"/>
        <w:rPr>
          <w:rFonts w:ascii="Times New Roman" w:hAnsi="Times New Roman" w:cs="Times New Roman"/>
          <w:sz w:val="10"/>
          <w:szCs w:val="10"/>
        </w:rPr>
      </w:pPr>
    </w:p>
    <w:p w14:paraId="67938B3B" w14:textId="77777777" w:rsidR="0052237F" w:rsidRDefault="0052237F" w:rsidP="0052237F">
      <w:pPr>
        <w:spacing w:after="0"/>
        <w:jc w:val="both"/>
        <w:rPr>
          <w:rFonts w:ascii="Times New Roman" w:hAnsi="Times New Roman" w:cs="Times New Roman"/>
        </w:rPr>
      </w:pPr>
      <w:r w:rsidRPr="00C158EE">
        <w:rPr>
          <w:rFonts w:ascii="Times New Roman" w:hAnsi="Times New Roman" w:cs="Times New Roman"/>
        </w:rPr>
        <w:t>This study, therefore, aimed to investigate the demographic distribution, clinical presentations, and ocular findings of acute optic neuritis among patients presenting to a tertiary eye hospital in Bangladesh. The results are expected to improve awareness of ON patterns in the region, aid in differential diagnosis, and support better patient outcomes through earlier intervention.</w:t>
      </w:r>
    </w:p>
    <w:p w14:paraId="22514076" w14:textId="77777777" w:rsidR="0052237F" w:rsidRPr="00C158EE" w:rsidRDefault="0052237F" w:rsidP="0052237F">
      <w:pPr>
        <w:spacing w:after="0"/>
        <w:jc w:val="both"/>
        <w:rPr>
          <w:rFonts w:ascii="Times New Roman" w:hAnsi="Times New Roman" w:cs="Times New Roman"/>
        </w:rPr>
      </w:pPr>
    </w:p>
    <w:p w14:paraId="522A68C4" w14:textId="7124BCFB"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Methodology </w:t>
      </w:r>
    </w:p>
    <w:p w14:paraId="0CF397C0" w14:textId="77777777" w:rsidR="008E227E" w:rsidRPr="00C158EE" w:rsidRDefault="008E227E" w:rsidP="008E227E">
      <w:pPr>
        <w:spacing w:after="0"/>
        <w:jc w:val="both"/>
        <w:rPr>
          <w:rFonts w:ascii="Times New Roman" w:hAnsi="Times New Roman" w:cs="Times New Roman"/>
        </w:rPr>
      </w:pPr>
      <w:r w:rsidRPr="00C158EE">
        <w:rPr>
          <w:rFonts w:ascii="Times New Roman" w:hAnsi="Times New Roman" w:cs="Times New Roman"/>
        </w:rPr>
        <w:t>This was a descriptive cross-sectional study conducted at the Neuro-ophthalmology Department, Ispahani Islamia Eye Institute and Hospital, Dhaka, Bangladesh, over a 12-month period from July 2019 to June 2020. A total of 100 patients (139 affected eyes) clinically diagnosed with acute optic neuritis were included.</w:t>
      </w:r>
    </w:p>
    <w:p w14:paraId="78115173" w14:textId="77777777" w:rsidR="008E227E" w:rsidRPr="00C158EE" w:rsidRDefault="008E227E" w:rsidP="008E227E">
      <w:pPr>
        <w:spacing w:after="0"/>
        <w:jc w:val="both"/>
        <w:rPr>
          <w:rFonts w:ascii="Times New Roman" w:hAnsi="Times New Roman" w:cs="Times New Roman"/>
        </w:rPr>
      </w:pPr>
    </w:p>
    <w:p w14:paraId="4B6EAB87" w14:textId="77777777" w:rsidR="008E227E" w:rsidRPr="00751BF2" w:rsidRDefault="008E227E" w:rsidP="008E227E">
      <w:pPr>
        <w:spacing w:after="0"/>
        <w:jc w:val="both"/>
        <w:rPr>
          <w:rFonts w:ascii="Times New Roman" w:hAnsi="Times New Roman" w:cs="Times New Roman"/>
          <w:b/>
          <w:bCs/>
        </w:rPr>
      </w:pPr>
      <w:r w:rsidRPr="00751BF2">
        <w:rPr>
          <w:rFonts w:ascii="Times New Roman" w:hAnsi="Times New Roman" w:cs="Times New Roman"/>
          <w:b/>
          <w:bCs/>
        </w:rPr>
        <w:t>Sample Selection</w:t>
      </w:r>
    </w:p>
    <w:p w14:paraId="6FB73288" w14:textId="77777777" w:rsidR="008E227E" w:rsidRPr="00751BF2" w:rsidRDefault="008E227E" w:rsidP="008E227E">
      <w:pPr>
        <w:spacing w:after="0"/>
        <w:jc w:val="both"/>
        <w:rPr>
          <w:rFonts w:ascii="Times New Roman" w:hAnsi="Times New Roman" w:cs="Times New Roman"/>
          <w:b/>
          <w:bCs/>
        </w:rPr>
      </w:pPr>
      <w:r w:rsidRPr="00751BF2">
        <w:rPr>
          <w:rFonts w:ascii="Times New Roman" w:hAnsi="Times New Roman" w:cs="Times New Roman"/>
          <w:b/>
          <w:bCs/>
        </w:rPr>
        <w:t>Inclusion criteria:</w:t>
      </w:r>
    </w:p>
    <w:p w14:paraId="621A7919" w14:textId="77777777" w:rsidR="008E227E" w:rsidRPr="00C158EE" w:rsidRDefault="008E227E" w:rsidP="008E227E">
      <w:pPr>
        <w:pStyle w:val="ListParagraph"/>
        <w:numPr>
          <w:ilvl w:val="0"/>
          <w:numId w:val="9"/>
        </w:numPr>
        <w:spacing w:after="0"/>
        <w:jc w:val="both"/>
        <w:rPr>
          <w:rFonts w:ascii="Times New Roman" w:hAnsi="Times New Roman" w:cs="Times New Roman"/>
        </w:rPr>
      </w:pPr>
      <w:r w:rsidRPr="00C158EE">
        <w:rPr>
          <w:rFonts w:ascii="Times New Roman" w:hAnsi="Times New Roman" w:cs="Times New Roman"/>
        </w:rPr>
        <w:t>Patients presenting with acute visual dimness of ≤1 month duration.</w:t>
      </w:r>
    </w:p>
    <w:p w14:paraId="2CA4B14A" w14:textId="77777777" w:rsidR="008E227E" w:rsidRPr="00C158EE" w:rsidRDefault="008E227E" w:rsidP="008E227E">
      <w:pPr>
        <w:pStyle w:val="ListParagraph"/>
        <w:numPr>
          <w:ilvl w:val="0"/>
          <w:numId w:val="9"/>
        </w:numPr>
        <w:spacing w:after="0"/>
        <w:jc w:val="both"/>
        <w:rPr>
          <w:rFonts w:ascii="Times New Roman" w:hAnsi="Times New Roman" w:cs="Times New Roman"/>
        </w:rPr>
      </w:pPr>
      <w:r w:rsidRPr="00C158EE">
        <w:rPr>
          <w:rFonts w:ascii="Times New Roman" w:hAnsi="Times New Roman" w:cs="Times New Roman"/>
        </w:rPr>
        <w:t xml:space="preserve">Presence of </w:t>
      </w:r>
      <w:proofErr w:type="spellStart"/>
      <w:r w:rsidRPr="00C158EE">
        <w:rPr>
          <w:rFonts w:ascii="Times New Roman" w:hAnsi="Times New Roman" w:cs="Times New Roman"/>
        </w:rPr>
        <w:t>colour</w:t>
      </w:r>
      <w:proofErr w:type="spellEnd"/>
      <w:r w:rsidRPr="00C158EE">
        <w:rPr>
          <w:rFonts w:ascii="Times New Roman" w:hAnsi="Times New Roman" w:cs="Times New Roman"/>
        </w:rPr>
        <w:t xml:space="preserve"> vision defect.</w:t>
      </w:r>
    </w:p>
    <w:p w14:paraId="45322B5D" w14:textId="77777777" w:rsidR="008E227E" w:rsidRPr="00C158EE" w:rsidRDefault="008E227E" w:rsidP="008E227E">
      <w:pPr>
        <w:pStyle w:val="ListParagraph"/>
        <w:numPr>
          <w:ilvl w:val="0"/>
          <w:numId w:val="9"/>
        </w:numPr>
        <w:spacing w:after="0"/>
        <w:jc w:val="both"/>
        <w:rPr>
          <w:rFonts w:ascii="Times New Roman" w:hAnsi="Times New Roman" w:cs="Times New Roman"/>
        </w:rPr>
      </w:pPr>
      <w:r w:rsidRPr="00C158EE">
        <w:rPr>
          <w:rFonts w:ascii="Times New Roman" w:hAnsi="Times New Roman" w:cs="Times New Roman"/>
        </w:rPr>
        <w:t>Relative afferent pupillary defect (RAPD) with or without optic disc swelling.</w:t>
      </w:r>
    </w:p>
    <w:p w14:paraId="30B67391" w14:textId="77777777" w:rsidR="008E227E" w:rsidRPr="00C158EE" w:rsidRDefault="008E227E" w:rsidP="008E227E">
      <w:pPr>
        <w:spacing w:after="0"/>
        <w:jc w:val="both"/>
        <w:rPr>
          <w:rFonts w:ascii="Times New Roman" w:hAnsi="Times New Roman" w:cs="Times New Roman"/>
        </w:rPr>
      </w:pPr>
    </w:p>
    <w:p w14:paraId="627C40EA" w14:textId="77777777" w:rsidR="008E227E" w:rsidRPr="00751BF2" w:rsidRDefault="008E227E" w:rsidP="008E227E">
      <w:pPr>
        <w:spacing w:after="0"/>
        <w:jc w:val="both"/>
        <w:rPr>
          <w:rFonts w:ascii="Times New Roman" w:hAnsi="Times New Roman" w:cs="Times New Roman"/>
          <w:b/>
          <w:bCs/>
        </w:rPr>
      </w:pPr>
      <w:r w:rsidRPr="00751BF2">
        <w:rPr>
          <w:rFonts w:ascii="Times New Roman" w:hAnsi="Times New Roman" w:cs="Times New Roman"/>
          <w:b/>
          <w:bCs/>
        </w:rPr>
        <w:t>Exclusion criteria:</w:t>
      </w:r>
    </w:p>
    <w:p w14:paraId="53D33689" w14:textId="77777777" w:rsidR="008E227E" w:rsidRPr="00C158EE" w:rsidRDefault="008E227E" w:rsidP="008E227E">
      <w:pPr>
        <w:pStyle w:val="ListParagraph"/>
        <w:numPr>
          <w:ilvl w:val="0"/>
          <w:numId w:val="8"/>
        </w:numPr>
        <w:spacing w:after="0"/>
        <w:jc w:val="both"/>
        <w:rPr>
          <w:rFonts w:ascii="Times New Roman" w:hAnsi="Times New Roman" w:cs="Times New Roman"/>
        </w:rPr>
      </w:pPr>
      <w:r w:rsidRPr="00C158EE">
        <w:rPr>
          <w:rFonts w:ascii="Times New Roman" w:hAnsi="Times New Roman" w:cs="Times New Roman"/>
        </w:rPr>
        <w:t>History of recurrent ON.</w:t>
      </w:r>
    </w:p>
    <w:p w14:paraId="68E00454" w14:textId="77777777" w:rsidR="008E227E" w:rsidRPr="00C158EE" w:rsidRDefault="008E227E" w:rsidP="008E227E">
      <w:pPr>
        <w:pStyle w:val="ListParagraph"/>
        <w:numPr>
          <w:ilvl w:val="0"/>
          <w:numId w:val="8"/>
        </w:numPr>
        <w:spacing w:after="0"/>
        <w:jc w:val="both"/>
        <w:rPr>
          <w:rFonts w:ascii="Times New Roman" w:hAnsi="Times New Roman" w:cs="Times New Roman"/>
        </w:rPr>
      </w:pPr>
      <w:r w:rsidRPr="00C158EE">
        <w:rPr>
          <w:rFonts w:ascii="Times New Roman" w:hAnsi="Times New Roman" w:cs="Times New Roman"/>
        </w:rPr>
        <w:t>Coexisting ocular conditions (cataract, glaucoma, retinal disease, optic atrophy, corneal disease).</w:t>
      </w:r>
    </w:p>
    <w:p w14:paraId="7512ED31" w14:textId="77777777" w:rsidR="008E227E" w:rsidRPr="00C158EE" w:rsidRDefault="008E227E" w:rsidP="008E227E">
      <w:pPr>
        <w:pStyle w:val="ListParagraph"/>
        <w:numPr>
          <w:ilvl w:val="0"/>
          <w:numId w:val="8"/>
        </w:numPr>
        <w:spacing w:after="0"/>
        <w:jc w:val="both"/>
        <w:rPr>
          <w:rFonts w:ascii="Times New Roman" w:hAnsi="Times New Roman" w:cs="Times New Roman"/>
        </w:rPr>
      </w:pPr>
      <w:r w:rsidRPr="00C158EE">
        <w:rPr>
          <w:rFonts w:ascii="Times New Roman" w:hAnsi="Times New Roman" w:cs="Times New Roman"/>
        </w:rPr>
        <w:t>History of trauma.</w:t>
      </w:r>
    </w:p>
    <w:p w14:paraId="2F9AD66C" w14:textId="77777777" w:rsidR="008E227E" w:rsidRPr="00C158EE" w:rsidRDefault="008E227E" w:rsidP="008E227E">
      <w:pPr>
        <w:spacing w:after="0"/>
        <w:jc w:val="both"/>
        <w:rPr>
          <w:rFonts w:ascii="Times New Roman" w:hAnsi="Times New Roman" w:cs="Times New Roman"/>
        </w:rPr>
      </w:pPr>
    </w:p>
    <w:p w14:paraId="6220C161" w14:textId="100E846E" w:rsidR="008E227E" w:rsidRPr="0029755D" w:rsidRDefault="008E227E" w:rsidP="008E227E">
      <w:pPr>
        <w:spacing w:after="0"/>
        <w:jc w:val="both"/>
        <w:rPr>
          <w:rFonts w:ascii="Times New Roman" w:hAnsi="Times New Roman" w:cs="Times New Roman"/>
          <w:b/>
          <w:bCs/>
        </w:rPr>
      </w:pPr>
      <w:r w:rsidRPr="0029755D">
        <w:rPr>
          <w:rFonts w:ascii="Times New Roman" w:hAnsi="Times New Roman" w:cs="Times New Roman"/>
          <w:b/>
          <w:bCs/>
        </w:rPr>
        <w:t>Data Collection</w:t>
      </w:r>
      <w:r w:rsidR="00A42ECA">
        <w:rPr>
          <w:rFonts w:ascii="Times New Roman" w:hAnsi="Times New Roman" w:cs="Times New Roman"/>
          <w:b/>
          <w:bCs/>
        </w:rPr>
        <w:t xml:space="preserve"> and Study</w:t>
      </w:r>
      <w:r w:rsidRPr="0029755D">
        <w:rPr>
          <w:rFonts w:ascii="Times New Roman" w:hAnsi="Times New Roman" w:cs="Times New Roman"/>
          <w:b/>
          <w:bCs/>
        </w:rPr>
        <w:t xml:space="preserve"> Procedure</w:t>
      </w:r>
    </w:p>
    <w:p w14:paraId="294F8A2B" w14:textId="5A52F588" w:rsidR="008E227E" w:rsidRPr="00C158EE" w:rsidRDefault="00A42ECA" w:rsidP="008E227E">
      <w:pPr>
        <w:spacing w:after="0"/>
        <w:jc w:val="both"/>
        <w:rPr>
          <w:rFonts w:ascii="Times New Roman" w:hAnsi="Times New Roman" w:cs="Times New Roman"/>
        </w:rPr>
      </w:pPr>
      <w:r w:rsidRPr="00C158EE">
        <w:rPr>
          <w:rFonts w:ascii="Times New Roman" w:hAnsi="Times New Roman" w:cs="Times New Roman"/>
        </w:rPr>
        <w:lastRenderedPageBreak/>
        <w:t>The study protocol was approved by the Institutional Review Board (IRB) of Ispahani Islamia Eye Institute and Hospital. Written informed consent was obtained from all participants; for minors, consent was taken from parents or guardians.</w:t>
      </w:r>
      <w:r>
        <w:rPr>
          <w:rFonts w:ascii="Times New Roman" w:hAnsi="Times New Roman" w:cs="Times New Roman"/>
        </w:rPr>
        <w:t xml:space="preserve"> </w:t>
      </w:r>
      <w:r w:rsidR="008E227E" w:rsidRPr="00C158EE">
        <w:rPr>
          <w:rFonts w:ascii="Times New Roman" w:hAnsi="Times New Roman" w:cs="Times New Roman"/>
        </w:rPr>
        <w:t xml:space="preserve">Data were collected through structured interviews and comprehensive ophthalmic examinations. Best corrected visual acuity was measured using Snellen’s chart, </w:t>
      </w:r>
      <w:proofErr w:type="spellStart"/>
      <w:r w:rsidR="008E227E" w:rsidRPr="00C158EE">
        <w:rPr>
          <w:rFonts w:ascii="Times New Roman" w:hAnsi="Times New Roman" w:cs="Times New Roman"/>
        </w:rPr>
        <w:t>colour</w:t>
      </w:r>
      <w:proofErr w:type="spellEnd"/>
      <w:r w:rsidR="008E227E" w:rsidRPr="00C158EE">
        <w:rPr>
          <w:rFonts w:ascii="Times New Roman" w:hAnsi="Times New Roman" w:cs="Times New Roman"/>
        </w:rPr>
        <w:t xml:space="preserve"> vision with Ishihara plates, pupillary response using a pen torch, and intraocular pressure with Goldmann applanation tonometer. Fundus examinations were performed using slit-lamp </w:t>
      </w:r>
      <w:proofErr w:type="spellStart"/>
      <w:r w:rsidR="008E227E" w:rsidRPr="00C158EE">
        <w:rPr>
          <w:rFonts w:ascii="Times New Roman" w:hAnsi="Times New Roman" w:cs="Times New Roman"/>
        </w:rPr>
        <w:t>biomicroscopy</w:t>
      </w:r>
      <w:proofErr w:type="spellEnd"/>
      <w:r w:rsidR="008E227E" w:rsidRPr="00C158EE">
        <w:rPr>
          <w:rFonts w:ascii="Times New Roman" w:hAnsi="Times New Roman" w:cs="Times New Roman"/>
        </w:rPr>
        <w:t xml:space="preserve"> and direct ophthalmoscopy. Visual field testing was done with the Octopus perimeter. Findings were documented in predesigned forms to ensure consistency and reliability.</w:t>
      </w:r>
      <w:r>
        <w:rPr>
          <w:rFonts w:ascii="Times New Roman" w:hAnsi="Times New Roman" w:cs="Times New Roman"/>
        </w:rPr>
        <w:t xml:space="preserve"> </w:t>
      </w:r>
      <w:r w:rsidRPr="00C158EE">
        <w:rPr>
          <w:rFonts w:ascii="Times New Roman" w:hAnsi="Times New Roman" w:cs="Times New Roman"/>
        </w:rPr>
        <w:t>Data were entered and analyzed using SPSS version 2</w:t>
      </w:r>
      <w:r>
        <w:rPr>
          <w:rFonts w:ascii="Times New Roman" w:hAnsi="Times New Roman" w:cs="Times New Roman"/>
        </w:rPr>
        <w:t>0</w:t>
      </w:r>
      <w:r w:rsidRPr="00C158EE">
        <w:rPr>
          <w:rFonts w:ascii="Times New Roman" w:hAnsi="Times New Roman" w:cs="Times New Roman"/>
        </w:rPr>
        <w:t>.0. Descriptive statistics were applied for demographic and clinical variables.</w:t>
      </w:r>
      <w:r>
        <w:rPr>
          <w:rFonts w:ascii="Times New Roman" w:hAnsi="Times New Roman" w:cs="Times New Roman"/>
        </w:rPr>
        <w:t xml:space="preserve"> </w:t>
      </w:r>
      <w:r w:rsidR="008E227E" w:rsidRPr="00C158EE">
        <w:rPr>
          <w:rFonts w:ascii="Times New Roman" w:hAnsi="Times New Roman" w:cs="Times New Roman"/>
        </w:rPr>
        <w:t>Patient confidentiality and anonymity were strictly maintained.</w:t>
      </w:r>
    </w:p>
    <w:p w14:paraId="522A68C5" w14:textId="77777777" w:rsidR="00912FD0" w:rsidRDefault="00912FD0">
      <w:pPr>
        <w:spacing w:after="0"/>
        <w:jc w:val="both"/>
        <w:rPr>
          <w:rFonts w:ascii="Times New Roman" w:eastAsia="Times New Roman" w:hAnsi="Times New Roman" w:cs="Times New Roman"/>
        </w:rPr>
      </w:pPr>
    </w:p>
    <w:p w14:paraId="599C29D7" w14:textId="416E8175" w:rsidR="008E63D6" w:rsidRPr="008E63D6" w:rsidRDefault="009A115C" w:rsidP="008E63D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w:t>
      </w:r>
      <w:r w:rsidR="006A0888">
        <w:rPr>
          <w:rFonts w:ascii="Times New Roman" w:eastAsia="Times New Roman" w:hAnsi="Times New Roman" w:cs="Times New Roman"/>
          <w:b/>
          <w:sz w:val="24"/>
          <w:szCs w:val="24"/>
        </w:rPr>
        <w:t>s</w:t>
      </w:r>
    </w:p>
    <w:p w14:paraId="56FE028F"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1: Demographic characteristics of patients with optic neuritis (N=100)</w:t>
      </w:r>
    </w:p>
    <w:tbl>
      <w:tblPr>
        <w:tblW w:w="7555" w:type="dxa"/>
        <w:jc w:val="center"/>
        <w:tblLook w:val="04A0" w:firstRow="1" w:lastRow="0" w:firstColumn="1" w:lastColumn="0" w:noHBand="0" w:noVBand="1"/>
      </w:tblPr>
      <w:tblGrid>
        <w:gridCol w:w="2196"/>
        <w:gridCol w:w="3720"/>
        <w:gridCol w:w="1639"/>
      </w:tblGrid>
      <w:tr w:rsidR="008E63D6" w:rsidRPr="002069C4" w14:paraId="5EA8AE76" w14:textId="77777777" w:rsidTr="000E35A9">
        <w:trPr>
          <w:trHeight w:val="305"/>
          <w:jc w:val="center"/>
        </w:trPr>
        <w:tc>
          <w:tcPr>
            <w:tcW w:w="2196" w:type="dxa"/>
            <w:tcBorders>
              <w:top w:val="single" w:sz="4" w:space="0" w:color="auto"/>
              <w:left w:val="single" w:sz="4" w:space="0" w:color="auto"/>
              <w:bottom w:val="single" w:sz="4" w:space="0" w:color="auto"/>
              <w:right w:val="single" w:sz="4" w:space="0" w:color="auto"/>
            </w:tcBorders>
            <w:noWrap/>
            <w:vAlign w:val="center"/>
            <w:hideMark/>
          </w:tcPr>
          <w:p w14:paraId="69B4FF8A"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Variable</w:t>
            </w:r>
          </w:p>
        </w:tc>
        <w:tc>
          <w:tcPr>
            <w:tcW w:w="3720" w:type="dxa"/>
            <w:tcBorders>
              <w:top w:val="single" w:sz="4" w:space="0" w:color="auto"/>
              <w:left w:val="nil"/>
              <w:bottom w:val="single" w:sz="4" w:space="0" w:color="auto"/>
              <w:right w:val="single" w:sz="4" w:space="0" w:color="auto"/>
            </w:tcBorders>
            <w:noWrap/>
            <w:vAlign w:val="center"/>
            <w:hideMark/>
          </w:tcPr>
          <w:p w14:paraId="5FBC37EF"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Categories</w:t>
            </w:r>
          </w:p>
        </w:tc>
        <w:tc>
          <w:tcPr>
            <w:tcW w:w="1639" w:type="dxa"/>
            <w:tcBorders>
              <w:top w:val="single" w:sz="4" w:space="0" w:color="auto"/>
              <w:left w:val="nil"/>
              <w:bottom w:val="single" w:sz="4" w:space="0" w:color="auto"/>
              <w:right w:val="single" w:sz="4" w:space="0" w:color="auto"/>
            </w:tcBorders>
            <w:noWrap/>
            <w:vAlign w:val="center"/>
            <w:hideMark/>
          </w:tcPr>
          <w:p w14:paraId="52BAADC1" w14:textId="77777777" w:rsidR="008E63D6" w:rsidRPr="002069C4" w:rsidRDefault="008E63D6" w:rsidP="000E35A9">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n</w:t>
            </w:r>
            <w:r w:rsidRPr="002069C4">
              <w:rPr>
                <w:rFonts w:ascii="Times New Roman" w:eastAsia="Times New Roman" w:hAnsi="Times New Roman" w:cs="Times New Roman"/>
                <w:b/>
                <w:bCs/>
                <w:color w:val="000000"/>
              </w:rPr>
              <w:t xml:space="preserve"> (%)</w:t>
            </w:r>
          </w:p>
        </w:tc>
      </w:tr>
      <w:tr w:rsidR="008E63D6" w:rsidRPr="002069C4" w14:paraId="54806548"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0839CD8C"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Age group (years)</w:t>
            </w:r>
          </w:p>
        </w:tc>
        <w:tc>
          <w:tcPr>
            <w:tcW w:w="3720" w:type="dxa"/>
            <w:tcBorders>
              <w:top w:val="nil"/>
              <w:left w:val="nil"/>
              <w:bottom w:val="single" w:sz="4" w:space="0" w:color="auto"/>
              <w:right w:val="single" w:sz="4" w:space="0" w:color="auto"/>
            </w:tcBorders>
            <w:noWrap/>
            <w:vAlign w:val="center"/>
            <w:hideMark/>
          </w:tcPr>
          <w:p w14:paraId="2C8F1DD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≤9</w:t>
            </w:r>
          </w:p>
        </w:tc>
        <w:tc>
          <w:tcPr>
            <w:tcW w:w="1639" w:type="dxa"/>
            <w:tcBorders>
              <w:top w:val="nil"/>
              <w:left w:val="nil"/>
              <w:bottom w:val="single" w:sz="4" w:space="0" w:color="auto"/>
              <w:right w:val="single" w:sz="4" w:space="0" w:color="auto"/>
            </w:tcBorders>
            <w:noWrap/>
            <w:vAlign w:val="center"/>
            <w:hideMark/>
          </w:tcPr>
          <w:p w14:paraId="0977D05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9 (9.0)</w:t>
            </w:r>
          </w:p>
        </w:tc>
      </w:tr>
      <w:tr w:rsidR="008E63D6" w:rsidRPr="002069C4" w14:paraId="3E266C1A"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5CBA6687"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75FC2E0B"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10–19</w:t>
            </w:r>
          </w:p>
        </w:tc>
        <w:tc>
          <w:tcPr>
            <w:tcW w:w="1639" w:type="dxa"/>
            <w:tcBorders>
              <w:top w:val="nil"/>
              <w:left w:val="nil"/>
              <w:bottom w:val="single" w:sz="4" w:space="0" w:color="auto"/>
              <w:right w:val="single" w:sz="4" w:space="0" w:color="auto"/>
            </w:tcBorders>
            <w:noWrap/>
            <w:vAlign w:val="center"/>
            <w:hideMark/>
          </w:tcPr>
          <w:p w14:paraId="667F568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15 (15.0)</w:t>
            </w:r>
          </w:p>
        </w:tc>
      </w:tr>
      <w:tr w:rsidR="008E63D6" w:rsidRPr="002069C4" w14:paraId="6EE8BEB2"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630E0818"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2C597B1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20–29</w:t>
            </w:r>
          </w:p>
        </w:tc>
        <w:tc>
          <w:tcPr>
            <w:tcW w:w="1639" w:type="dxa"/>
            <w:tcBorders>
              <w:top w:val="nil"/>
              <w:left w:val="nil"/>
              <w:bottom w:val="single" w:sz="4" w:space="0" w:color="auto"/>
              <w:right w:val="single" w:sz="4" w:space="0" w:color="auto"/>
            </w:tcBorders>
            <w:noWrap/>
            <w:vAlign w:val="center"/>
            <w:hideMark/>
          </w:tcPr>
          <w:p w14:paraId="7FD3797D"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16 (16.0)</w:t>
            </w:r>
          </w:p>
        </w:tc>
      </w:tr>
      <w:tr w:rsidR="008E63D6" w:rsidRPr="002069C4" w14:paraId="352F6D36"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71E8B077"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06C6C48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30–39</w:t>
            </w:r>
          </w:p>
        </w:tc>
        <w:tc>
          <w:tcPr>
            <w:tcW w:w="1639" w:type="dxa"/>
            <w:tcBorders>
              <w:top w:val="nil"/>
              <w:left w:val="nil"/>
              <w:bottom w:val="single" w:sz="4" w:space="0" w:color="auto"/>
              <w:right w:val="single" w:sz="4" w:space="0" w:color="auto"/>
            </w:tcBorders>
            <w:noWrap/>
            <w:vAlign w:val="center"/>
            <w:hideMark/>
          </w:tcPr>
          <w:p w14:paraId="126E86A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26 (26.0)</w:t>
            </w:r>
          </w:p>
        </w:tc>
      </w:tr>
      <w:tr w:rsidR="008E63D6" w:rsidRPr="002069C4" w14:paraId="5FBEC123"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777D7639"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232D5F1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40–49</w:t>
            </w:r>
          </w:p>
        </w:tc>
        <w:tc>
          <w:tcPr>
            <w:tcW w:w="1639" w:type="dxa"/>
            <w:tcBorders>
              <w:top w:val="nil"/>
              <w:left w:val="nil"/>
              <w:bottom w:val="single" w:sz="4" w:space="0" w:color="auto"/>
              <w:right w:val="single" w:sz="4" w:space="0" w:color="auto"/>
            </w:tcBorders>
            <w:noWrap/>
            <w:vAlign w:val="center"/>
            <w:hideMark/>
          </w:tcPr>
          <w:p w14:paraId="1EA5F54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34 (34.0)</w:t>
            </w:r>
          </w:p>
        </w:tc>
      </w:tr>
      <w:tr w:rsidR="008E63D6" w:rsidRPr="002069C4" w14:paraId="327AF3F8" w14:textId="77777777" w:rsidTr="000E35A9">
        <w:trPr>
          <w:trHeight w:val="305"/>
          <w:jc w:val="center"/>
        </w:trPr>
        <w:tc>
          <w:tcPr>
            <w:tcW w:w="5916" w:type="dxa"/>
            <w:gridSpan w:val="2"/>
            <w:tcBorders>
              <w:top w:val="single" w:sz="4" w:space="0" w:color="auto"/>
              <w:left w:val="single" w:sz="4" w:space="0" w:color="auto"/>
              <w:bottom w:val="single" w:sz="4" w:space="0" w:color="auto"/>
              <w:right w:val="single" w:sz="4" w:space="0" w:color="000000"/>
            </w:tcBorders>
            <w:noWrap/>
            <w:vAlign w:val="center"/>
            <w:hideMark/>
          </w:tcPr>
          <w:p w14:paraId="34044597"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Mean age ± SD (years)</w:t>
            </w:r>
          </w:p>
        </w:tc>
        <w:tc>
          <w:tcPr>
            <w:tcW w:w="1639" w:type="dxa"/>
            <w:tcBorders>
              <w:top w:val="nil"/>
              <w:left w:val="nil"/>
              <w:bottom w:val="single" w:sz="4" w:space="0" w:color="auto"/>
              <w:right w:val="single" w:sz="4" w:space="0" w:color="auto"/>
            </w:tcBorders>
            <w:noWrap/>
            <w:vAlign w:val="center"/>
            <w:hideMark/>
          </w:tcPr>
          <w:p w14:paraId="22EE7E9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30 ± 12.95</w:t>
            </w:r>
          </w:p>
        </w:tc>
      </w:tr>
      <w:tr w:rsidR="008E63D6" w:rsidRPr="002069C4" w14:paraId="09DE442C"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31EE42C4"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Sex</w:t>
            </w:r>
          </w:p>
        </w:tc>
        <w:tc>
          <w:tcPr>
            <w:tcW w:w="3720" w:type="dxa"/>
            <w:tcBorders>
              <w:top w:val="nil"/>
              <w:left w:val="nil"/>
              <w:bottom w:val="single" w:sz="4" w:space="0" w:color="auto"/>
              <w:right w:val="single" w:sz="4" w:space="0" w:color="auto"/>
            </w:tcBorders>
            <w:noWrap/>
            <w:vAlign w:val="center"/>
            <w:hideMark/>
          </w:tcPr>
          <w:p w14:paraId="1C84329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Male</w:t>
            </w:r>
          </w:p>
        </w:tc>
        <w:tc>
          <w:tcPr>
            <w:tcW w:w="1639" w:type="dxa"/>
            <w:tcBorders>
              <w:top w:val="nil"/>
              <w:left w:val="nil"/>
              <w:bottom w:val="single" w:sz="4" w:space="0" w:color="auto"/>
              <w:right w:val="single" w:sz="4" w:space="0" w:color="auto"/>
            </w:tcBorders>
            <w:noWrap/>
            <w:vAlign w:val="center"/>
            <w:hideMark/>
          </w:tcPr>
          <w:p w14:paraId="1695BF7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54 (54.0)</w:t>
            </w:r>
          </w:p>
        </w:tc>
      </w:tr>
      <w:tr w:rsidR="008E63D6" w:rsidRPr="002069C4" w14:paraId="446F7365"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2EE9F19A"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5FE65B7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Female</w:t>
            </w:r>
          </w:p>
        </w:tc>
        <w:tc>
          <w:tcPr>
            <w:tcW w:w="1639" w:type="dxa"/>
            <w:tcBorders>
              <w:top w:val="nil"/>
              <w:left w:val="nil"/>
              <w:bottom w:val="single" w:sz="4" w:space="0" w:color="auto"/>
              <w:right w:val="single" w:sz="4" w:space="0" w:color="auto"/>
            </w:tcBorders>
            <w:noWrap/>
            <w:vAlign w:val="center"/>
            <w:hideMark/>
          </w:tcPr>
          <w:p w14:paraId="234FB8C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46 (46.0)</w:t>
            </w:r>
          </w:p>
        </w:tc>
      </w:tr>
      <w:tr w:rsidR="008E63D6" w:rsidRPr="002069C4" w14:paraId="4BA3AC50"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02AAB4C6"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Education level</w:t>
            </w:r>
          </w:p>
        </w:tc>
        <w:tc>
          <w:tcPr>
            <w:tcW w:w="3720" w:type="dxa"/>
            <w:tcBorders>
              <w:top w:val="nil"/>
              <w:left w:val="nil"/>
              <w:bottom w:val="single" w:sz="4" w:space="0" w:color="auto"/>
              <w:right w:val="single" w:sz="4" w:space="0" w:color="auto"/>
            </w:tcBorders>
            <w:noWrap/>
            <w:vAlign w:val="center"/>
            <w:hideMark/>
          </w:tcPr>
          <w:p w14:paraId="69E5C38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Below primary</w:t>
            </w:r>
          </w:p>
        </w:tc>
        <w:tc>
          <w:tcPr>
            <w:tcW w:w="1639" w:type="dxa"/>
            <w:tcBorders>
              <w:top w:val="nil"/>
              <w:left w:val="nil"/>
              <w:bottom w:val="single" w:sz="4" w:space="0" w:color="auto"/>
              <w:right w:val="single" w:sz="4" w:space="0" w:color="auto"/>
            </w:tcBorders>
            <w:noWrap/>
            <w:vAlign w:val="center"/>
            <w:hideMark/>
          </w:tcPr>
          <w:p w14:paraId="2E8BFE3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20 (20.0)</w:t>
            </w:r>
          </w:p>
        </w:tc>
      </w:tr>
      <w:tr w:rsidR="008E63D6" w:rsidRPr="002069C4" w14:paraId="001B63FF"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61166555"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333A59C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Primary to secondary</w:t>
            </w:r>
          </w:p>
        </w:tc>
        <w:tc>
          <w:tcPr>
            <w:tcW w:w="1639" w:type="dxa"/>
            <w:tcBorders>
              <w:top w:val="nil"/>
              <w:left w:val="nil"/>
              <w:bottom w:val="single" w:sz="4" w:space="0" w:color="auto"/>
              <w:right w:val="single" w:sz="4" w:space="0" w:color="auto"/>
            </w:tcBorders>
            <w:noWrap/>
            <w:vAlign w:val="center"/>
            <w:hideMark/>
          </w:tcPr>
          <w:p w14:paraId="6092F05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21 (21.0)</w:t>
            </w:r>
          </w:p>
        </w:tc>
      </w:tr>
      <w:tr w:rsidR="008E63D6" w:rsidRPr="002069C4" w14:paraId="4A12559C" w14:textId="77777777" w:rsidTr="000E35A9">
        <w:trPr>
          <w:trHeight w:val="305"/>
          <w:jc w:val="center"/>
        </w:trPr>
        <w:tc>
          <w:tcPr>
            <w:tcW w:w="2196" w:type="dxa"/>
            <w:vMerge/>
            <w:tcBorders>
              <w:top w:val="nil"/>
              <w:left w:val="single" w:sz="4" w:space="0" w:color="auto"/>
              <w:bottom w:val="single" w:sz="4" w:space="0" w:color="000000"/>
              <w:right w:val="single" w:sz="4" w:space="0" w:color="auto"/>
            </w:tcBorders>
            <w:vAlign w:val="center"/>
            <w:hideMark/>
          </w:tcPr>
          <w:p w14:paraId="35D7E310"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362EA3D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Above secondary</w:t>
            </w:r>
          </w:p>
        </w:tc>
        <w:tc>
          <w:tcPr>
            <w:tcW w:w="1639" w:type="dxa"/>
            <w:tcBorders>
              <w:top w:val="nil"/>
              <w:left w:val="nil"/>
              <w:bottom w:val="single" w:sz="4" w:space="0" w:color="auto"/>
              <w:right w:val="single" w:sz="4" w:space="0" w:color="auto"/>
            </w:tcBorders>
            <w:noWrap/>
            <w:vAlign w:val="center"/>
            <w:hideMark/>
          </w:tcPr>
          <w:p w14:paraId="3650853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59 (59.0)</w:t>
            </w:r>
          </w:p>
        </w:tc>
      </w:tr>
      <w:tr w:rsidR="008E63D6" w:rsidRPr="002069C4" w14:paraId="02E755E7" w14:textId="77777777" w:rsidTr="000E35A9">
        <w:trPr>
          <w:trHeight w:val="305"/>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3C6B0CFA"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Occupation</w:t>
            </w:r>
          </w:p>
        </w:tc>
        <w:tc>
          <w:tcPr>
            <w:tcW w:w="3720" w:type="dxa"/>
            <w:tcBorders>
              <w:top w:val="nil"/>
              <w:left w:val="nil"/>
              <w:bottom w:val="single" w:sz="4" w:space="0" w:color="auto"/>
              <w:right w:val="single" w:sz="4" w:space="0" w:color="auto"/>
            </w:tcBorders>
            <w:noWrap/>
            <w:vAlign w:val="center"/>
            <w:hideMark/>
          </w:tcPr>
          <w:p w14:paraId="71DD9B5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Service</w:t>
            </w:r>
          </w:p>
        </w:tc>
        <w:tc>
          <w:tcPr>
            <w:tcW w:w="1639" w:type="dxa"/>
            <w:tcBorders>
              <w:top w:val="nil"/>
              <w:left w:val="nil"/>
              <w:bottom w:val="single" w:sz="4" w:space="0" w:color="auto"/>
              <w:right w:val="single" w:sz="4" w:space="0" w:color="auto"/>
            </w:tcBorders>
            <w:noWrap/>
            <w:vAlign w:val="center"/>
            <w:hideMark/>
          </w:tcPr>
          <w:p w14:paraId="5D9D9EF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28 (28.0)</w:t>
            </w:r>
          </w:p>
        </w:tc>
      </w:tr>
      <w:tr w:rsidR="008E63D6" w:rsidRPr="002069C4" w14:paraId="40E920D0"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7FD723EE"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7B8A575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Business</w:t>
            </w:r>
          </w:p>
        </w:tc>
        <w:tc>
          <w:tcPr>
            <w:tcW w:w="1639" w:type="dxa"/>
            <w:tcBorders>
              <w:top w:val="nil"/>
              <w:left w:val="nil"/>
              <w:bottom w:val="single" w:sz="4" w:space="0" w:color="auto"/>
              <w:right w:val="single" w:sz="4" w:space="0" w:color="auto"/>
            </w:tcBorders>
            <w:noWrap/>
            <w:vAlign w:val="center"/>
            <w:hideMark/>
          </w:tcPr>
          <w:p w14:paraId="0544F14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 (5.0)</w:t>
            </w:r>
          </w:p>
        </w:tc>
      </w:tr>
      <w:tr w:rsidR="008E63D6" w:rsidRPr="002069C4" w14:paraId="6116302D"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4A9C943E"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73EFEFB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Student</w:t>
            </w:r>
          </w:p>
        </w:tc>
        <w:tc>
          <w:tcPr>
            <w:tcW w:w="1639" w:type="dxa"/>
            <w:tcBorders>
              <w:top w:val="nil"/>
              <w:left w:val="nil"/>
              <w:bottom w:val="single" w:sz="4" w:space="0" w:color="auto"/>
              <w:right w:val="single" w:sz="4" w:space="0" w:color="auto"/>
            </w:tcBorders>
            <w:noWrap/>
            <w:vAlign w:val="center"/>
            <w:hideMark/>
          </w:tcPr>
          <w:p w14:paraId="56CBBCC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24 (24.0)</w:t>
            </w:r>
          </w:p>
        </w:tc>
      </w:tr>
      <w:tr w:rsidR="008E63D6" w:rsidRPr="002069C4" w14:paraId="5D4ED877"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2B43214A"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4960DFC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Housewife</w:t>
            </w:r>
          </w:p>
        </w:tc>
        <w:tc>
          <w:tcPr>
            <w:tcW w:w="1639" w:type="dxa"/>
            <w:tcBorders>
              <w:top w:val="nil"/>
              <w:left w:val="nil"/>
              <w:bottom w:val="single" w:sz="4" w:space="0" w:color="auto"/>
              <w:right w:val="single" w:sz="4" w:space="0" w:color="auto"/>
            </w:tcBorders>
            <w:noWrap/>
            <w:vAlign w:val="center"/>
            <w:hideMark/>
          </w:tcPr>
          <w:p w14:paraId="2475FBE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28 (28.0)</w:t>
            </w:r>
          </w:p>
        </w:tc>
      </w:tr>
      <w:tr w:rsidR="008E63D6" w:rsidRPr="002069C4" w14:paraId="1779F296"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34D32280"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22DF571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Others</w:t>
            </w:r>
          </w:p>
        </w:tc>
        <w:tc>
          <w:tcPr>
            <w:tcW w:w="1639" w:type="dxa"/>
            <w:tcBorders>
              <w:top w:val="nil"/>
              <w:left w:val="nil"/>
              <w:bottom w:val="single" w:sz="4" w:space="0" w:color="auto"/>
              <w:right w:val="single" w:sz="4" w:space="0" w:color="auto"/>
            </w:tcBorders>
            <w:noWrap/>
            <w:vAlign w:val="center"/>
            <w:hideMark/>
          </w:tcPr>
          <w:p w14:paraId="6D1D48AC"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15 (15.0)</w:t>
            </w:r>
          </w:p>
        </w:tc>
      </w:tr>
      <w:tr w:rsidR="008E63D6" w:rsidRPr="002069C4" w14:paraId="63E10BC6" w14:textId="77777777" w:rsidTr="000E35A9">
        <w:trPr>
          <w:trHeight w:val="281"/>
          <w:jc w:val="center"/>
        </w:trPr>
        <w:tc>
          <w:tcPr>
            <w:tcW w:w="2196" w:type="dxa"/>
            <w:vMerge w:val="restart"/>
            <w:tcBorders>
              <w:top w:val="nil"/>
              <w:left w:val="single" w:sz="4" w:space="0" w:color="auto"/>
              <w:bottom w:val="single" w:sz="4" w:space="0" w:color="000000"/>
              <w:right w:val="single" w:sz="4" w:space="0" w:color="auto"/>
            </w:tcBorders>
            <w:noWrap/>
            <w:vAlign w:val="center"/>
            <w:hideMark/>
          </w:tcPr>
          <w:p w14:paraId="3C5C20F6"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Socioeconomic status</w:t>
            </w:r>
          </w:p>
        </w:tc>
        <w:tc>
          <w:tcPr>
            <w:tcW w:w="3720" w:type="dxa"/>
            <w:tcBorders>
              <w:top w:val="nil"/>
              <w:left w:val="nil"/>
              <w:bottom w:val="single" w:sz="4" w:space="0" w:color="auto"/>
              <w:right w:val="single" w:sz="4" w:space="0" w:color="auto"/>
            </w:tcBorders>
            <w:noWrap/>
            <w:vAlign w:val="center"/>
            <w:hideMark/>
          </w:tcPr>
          <w:p w14:paraId="3569473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Poor (&lt;10,000 BDT/month)</w:t>
            </w:r>
          </w:p>
        </w:tc>
        <w:tc>
          <w:tcPr>
            <w:tcW w:w="1639" w:type="dxa"/>
            <w:tcBorders>
              <w:top w:val="nil"/>
              <w:left w:val="nil"/>
              <w:bottom w:val="single" w:sz="4" w:space="0" w:color="auto"/>
              <w:right w:val="single" w:sz="4" w:space="0" w:color="auto"/>
            </w:tcBorders>
            <w:noWrap/>
            <w:vAlign w:val="center"/>
            <w:hideMark/>
          </w:tcPr>
          <w:p w14:paraId="22DF197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47 (47.0)</w:t>
            </w:r>
          </w:p>
        </w:tc>
      </w:tr>
      <w:tr w:rsidR="008E63D6" w:rsidRPr="002069C4" w14:paraId="1C3CBB86"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4B8D9C72"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12B7A26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Middle (10,000–120,000 BDT/month)</w:t>
            </w:r>
          </w:p>
        </w:tc>
        <w:tc>
          <w:tcPr>
            <w:tcW w:w="1639" w:type="dxa"/>
            <w:tcBorders>
              <w:top w:val="nil"/>
              <w:left w:val="nil"/>
              <w:bottom w:val="single" w:sz="4" w:space="0" w:color="auto"/>
              <w:right w:val="single" w:sz="4" w:space="0" w:color="auto"/>
            </w:tcBorders>
            <w:noWrap/>
            <w:vAlign w:val="center"/>
            <w:hideMark/>
          </w:tcPr>
          <w:p w14:paraId="29DCF20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47 (47.0)</w:t>
            </w:r>
          </w:p>
        </w:tc>
      </w:tr>
      <w:tr w:rsidR="008E63D6" w:rsidRPr="002069C4" w14:paraId="4F5E5044" w14:textId="77777777" w:rsidTr="000E35A9">
        <w:trPr>
          <w:trHeight w:val="281"/>
          <w:jc w:val="center"/>
        </w:trPr>
        <w:tc>
          <w:tcPr>
            <w:tcW w:w="2196" w:type="dxa"/>
            <w:vMerge/>
            <w:tcBorders>
              <w:top w:val="nil"/>
              <w:left w:val="single" w:sz="4" w:space="0" w:color="auto"/>
              <w:bottom w:val="single" w:sz="4" w:space="0" w:color="000000"/>
              <w:right w:val="single" w:sz="4" w:space="0" w:color="auto"/>
            </w:tcBorders>
            <w:vAlign w:val="center"/>
            <w:hideMark/>
          </w:tcPr>
          <w:p w14:paraId="60F2CF21" w14:textId="77777777" w:rsidR="008E63D6" w:rsidRPr="002069C4" w:rsidRDefault="008E63D6" w:rsidP="000E35A9">
            <w:pPr>
              <w:spacing w:after="0"/>
              <w:rPr>
                <w:rFonts w:ascii="Times New Roman" w:eastAsia="Times New Roman" w:hAnsi="Times New Roman" w:cs="Times New Roman"/>
                <w:b/>
                <w:bCs/>
                <w:color w:val="000000"/>
              </w:rPr>
            </w:pPr>
          </w:p>
        </w:tc>
        <w:tc>
          <w:tcPr>
            <w:tcW w:w="3720" w:type="dxa"/>
            <w:tcBorders>
              <w:top w:val="nil"/>
              <w:left w:val="nil"/>
              <w:bottom w:val="single" w:sz="4" w:space="0" w:color="auto"/>
              <w:right w:val="single" w:sz="4" w:space="0" w:color="auto"/>
            </w:tcBorders>
            <w:noWrap/>
            <w:vAlign w:val="center"/>
            <w:hideMark/>
          </w:tcPr>
          <w:p w14:paraId="5E0121D1"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Rich (&gt;120,000 BDT/month)</w:t>
            </w:r>
          </w:p>
        </w:tc>
        <w:tc>
          <w:tcPr>
            <w:tcW w:w="1639" w:type="dxa"/>
            <w:tcBorders>
              <w:top w:val="nil"/>
              <w:left w:val="nil"/>
              <w:bottom w:val="single" w:sz="4" w:space="0" w:color="auto"/>
              <w:right w:val="single" w:sz="4" w:space="0" w:color="auto"/>
            </w:tcBorders>
            <w:noWrap/>
            <w:vAlign w:val="center"/>
            <w:hideMark/>
          </w:tcPr>
          <w:p w14:paraId="6C7B404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 (6.0)</w:t>
            </w:r>
          </w:p>
        </w:tc>
      </w:tr>
    </w:tbl>
    <w:p w14:paraId="703A246E" w14:textId="77777777" w:rsidR="008E63D6" w:rsidRDefault="008E63D6" w:rsidP="008E63D6">
      <w:pPr>
        <w:spacing w:after="0"/>
        <w:jc w:val="both"/>
        <w:rPr>
          <w:rFonts w:ascii="Times New Roman" w:hAnsi="Times New Roman" w:cs="Times New Roman"/>
        </w:rPr>
      </w:pPr>
    </w:p>
    <w:p w14:paraId="0194871A"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t>The mean patient age was 30 years, with the highest proportion in the 40–49 age group (34%). The male-to-female ratio was 1:0.85. More than half (59%) had education beyond secondary school. Nearly half of the patients belonged to poor socioeconomic backgrounds.</w:t>
      </w:r>
    </w:p>
    <w:p w14:paraId="3A0F9CBB" w14:textId="77777777" w:rsidR="008E63D6" w:rsidRDefault="008E63D6" w:rsidP="008E63D6">
      <w:pPr>
        <w:spacing w:after="0"/>
        <w:jc w:val="both"/>
        <w:rPr>
          <w:rFonts w:ascii="Times New Roman" w:hAnsi="Times New Roman" w:cs="Times New Roman"/>
        </w:rPr>
      </w:pPr>
    </w:p>
    <w:p w14:paraId="03FC72D4"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2: Clinical characteristics of patients with optic neuritis (N=100)</w:t>
      </w:r>
    </w:p>
    <w:tbl>
      <w:tblPr>
        <w:tblW w:w="6298" w:type="dxa"/>
        <w:jc w:val="center"/>
        <w:tblLook w:val="04A0" w:firstRow="1" w:lastRow="0" w:firstColumn="1" w:lastColumn="0" w:noHBand="0" w:noVBand="1"/>
      </w:tblPr>
      <w:tblGrid>
        <w:gridCol w:w="2013"/>
        <w:gridCol w:w="2887"/>
        <w:gridCol w:w="1398"/>
      </w:tblGrid>
      <w:tr w:rsidR="008E63D6" w:rsidRPr="002069C4" w14:paraId="42E2DE7E" w14:textId="77777777" w:rsidTr="000E35A9">
        <w:trPr>
          <w:trHeight w:val="279"/>
          <w:jc w:val="center"/>
        </w:trPr>
        <w:tc>
          <w:tcPr>
            <w:tcW w:w="2013" w:type="dxa"/>
            <w:tcBorders>
              <w:top w:val="single" w:sz="4" w:space="0" w:color="auto"/>
              <w:left w:val="single" w:sz="4" w:space="0" w:color="auto"/>
              <w:bottom w:val="single" w:sz="4" w:space="0" w:color="auto"/>
              <w:right w:val="single" w:sz="4" w:space="0" w:color="auto"/>
            </w:tcBorders>
            <w:noWrap/>
            <w:vAlign w:val="center"/>
            <w:hideMark/>
          </w:tcPr>
          <w:p w14:paraId="06CDD323"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Variable</w:t>
            </w:r>
          </w:p>
        </w:tc>
        <w:tc>
          <w:tcPr>
            <w:tcW w:w="2887" w:type="dxa"/>
            <w:tcBorders>
              <w:top w:val="single" w:sz="4" w:space="0" w:color="auto"/>
              <w:left w:val="nil"/>
              <w:bottom w:val="single" w:sz="4" w:space="0" w:color="auto"/>
              <w:right w:val="single" w:sz="4" w:space="0" w:color="auto"/>
            </w:tcBorders>
            <w:noWrap/>
            <w:vAlign w:val="center"/>
            <w:hideMark/>
          </w:tcPr>
          <w:p w14:paraId="212987F6"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Categories</w:t>
            </w:r>
          </w:p>
        </w:tc>
        <w:tc>
          <w:tcPr>
            <w:tcW w:w="1398" w:type="dxa"/>
            <w:tcBorders>
              <w:top w:val="single" w:sz="4" w:space="0" w:color="auto"/>
              <w:left w:val="nil"/>
              <w:bottom w:val="single" w:sz="4" w:space="0" w:color="auto"/>
              <w:right w:val="single" w:sz="4" w:space="0" w:color="auto"/>
            </w:tcBorders>
            <w:noWrap/>
            <w:vAlign w:val="center"/>
            <w:hideMark/>
          </w:tcPr>
          <w:p w14:paraId="51519C38"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n (%)</w:t>
            </w:r>
          </w:p>
        </w:tc>
      </w:tr>
      <w:tr w:rsidR="008E63D6" w:rsidRPr="002069C4" w14:paraId="432B2A81" w14:textId="77777777" w:rsidTr="000E35A9">
        <w:trPr>
          <w:trHeight w:val="279"/>
          <w:jc w:val="center"/>
        </w:trPr>
        <w:tc>
          <w:tcPr>
            <w:tcW w:w="2013" w:type="dxa"/>
            <w:vMerge w:val="restart"/>
            <w:tcBorders>
              <w:top w:val="nil"/>
              <w:left w:val="single" w:sz="4" w:space="0" w:color="auto"/>
              <w:bottom w:val="single" w:sz="4" w:space="0" w:color="000000"/>
              <w:right w:val="single" w:sz="4" w:space="0" w:color="auto"/>
            </w:tcBorders>
            <w:noWrap/>
            <w:vAlign w:val="center"/>
            <w:hideMark/>
          </w:tcPr>
          <w:p w14:paraId="147E72ED"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Chief complaints</w:t>
            </w:r>
          </w:p>
        </w:tc>
        <w:tc>
          <w:tcPr>
            <w:tcW w:w="2887" w:type="dxa"/>
            <w:tcBorders>
              <w:top w:val="nil"/>
              <w:left w:val="nil"/>
              <w:bottom w:val="single" w:sz="4" w:space="0" w:color="auto"/>
              <w:right w:val="single" w:sz="4" w:space="0" w:color="auto"/>
            </w:tcBorders>
            <w:noWrap/>
            <w:vAlign w:val="center"/>
            <w:hideMark/>
          </w:tcPr>
          <w:p w14:paraId="520B97D5"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Sudden dimness of vision</w:t>
            </w:r>
          </w:p>
        </w:tc>
        <w:tc>
          <w:tcPr>
            <w:tcW w:w="1398" w:type="dxa"/>
            <w:tcBorders>
              <w:top w:val="nil"/>
              <w:left w:val="nil"/>
              <w:bottom w:val="single" w:sz="4" w:space="0" w:color="auto"/>
              <w:right w:val="single" w:sz="4" w:space="0" w:color="auto"/>
            </w:tcBorders>
            <w:noWrap/>
            <w:vAlign w:val="center"/>
            <w:hideMark/>
          </w:tcPr>
          <w:p w14:paraId="21CCA6E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100 (100.0)</w:t>
            </w:r>
          </w:p>
        </w:tc>
      </w:tr>
      <w:tr w:rsidR="008E63D6" w:rsidRPr="002069C4" w14:paraId="3712AB86"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6A0A811C"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3007FEB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Pain in ocular movement</w:t>
            </w:r>
          </w:p>
        </w:tc>
        <w:tc>
          <w:tcPr>
            <w:tcW w:w="1398" w:type="dxa"/>
            <w:tcBorders>
              <w:top w:val="nil"/>
              <w:left w:val="nil"/>
              <w:bottom w:val="single" w:sz="4" w:space="0" w:color="auto"/>
              <w:right w:val="single" w:sz="4" w:space="0" w:color="auto"/>
            </w:tcBorders>
            <w:noWrap/>
            <w:vAlign w:val="center"/>
            <w:hideMark/>
          </w:tcPr>
          <w:p w14:paraId="3DC4844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22 (22.0)</w:t>
            </w:r>
          </w:p>
        </w:tc>
      </w:tr>
      <w:tr w:rsidR="008E63D6" w:rsidRPr="002069C4" w14:paraId="29FBE655"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624AFB76"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719DB82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History of fever</w:t>
            </w:r>
          </w:p>
        </w:tc>
        <w:tc>
          <w:tcPr>
            <w:tcW w:w="1398" w:type="dxa"/>
            <w:tcBorders>
              <w:top w:val="nil"/>
              <w:left w:val="nil"/>
              <w:bottom w:val="single" w:sz="4" w:space="0" w:color="auto"/>
              <w:right w:val="single" w:sz="4" w:space="0" w:color="auto"/>
            </w:tcBorders>
            <w:noWrap/>
            <w:vAlign w:val="center"/>
            <w:hideMark/>
          </w:tcPr>
          <w:p w14:paraId="4AAEABA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12 (12.0)</w:t>
            </w:r>
          </w:p>
        </w:tc>
      </w:tr>
      <w:tr w:rsidR="008E63D6" w:rsidRPr="002069C4" w14:paraId="790289D8" w14:textId="77777777" w:rsidTr="000E35A9">
        <w:trPr>
          <w:trHeight w:val="279"/>
          <w:jc w:val="center"/>
        </w:trPr>
        <w:tc>
          <w:tcPr>
            <w:tcW w:w="2013" w:type="dxa"/>
            <w:vMerge w:val="restart"/>
            <w:tcBorders>
              <w:top w:val="nil"/>
              <w:left w:val="single" w:sz="4" w:space="0" w:color="auto"/>
              <w:bottom w:val="single" w:sz="4" w:space="0" w:color="000000"/>
              <w:right w:val="single" w:sz="4" w:space="0" w:color="auto"/>
            </w:tcBorders>
            <w:noWrap/>
            <w:vAlign w:val="center"/>
            <w:hideMark/>
          </w:tcPr>
          <w:p w14:paraId="3FC01B5A"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Medical history</w:t>
            </w:r>
          </w:p>
        </w:tc>
        <w:tc>
          <w:tcPr>
            <w:tcW w:w="2887" w:type="dxa"/>
            <w:tcBorders>
              <w:top w:val="nil"/>
              <w:left w:val="nil"/>
              <w:bottom w:val="single" w:sz="4" w:space="0" w:color="auto"/>
              <w:right w:val="single" w:sz="4" w:space="0" w:color="auto"/>
            </w:tcBorders>
            <w:noWrap/>
            <w:vAlign w:val="center"/>
            <w:hideMark/>
          </w:tcPr>
          <w:p w14:paraId="47E628A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Hypertension</w:t>
            </w:r>
          </w:p>
        </w:tc>
        <w:tc>
          <w:tcPr>
            <w:tcW w:w="1398" w:type="dxa"/>
            <w:tcBorders>
              <w:top w:val="nil"/>
              <w:left w:val="nil"/>
              <w:bottom w:val="single" w:sz="4" w:space="0" w:color="auto"/>
              <w:right w:val="single" w:sz="4" w:space="0" w:color="auto"/>
            </w:tcBorders>
            <w:noWrap/>
            <w:vAlign w:val="center"/>
            <w:hideMark/>
          </w:tcPr>
          <w:p w14:paraId="63B38502"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15 (15.0)</w:t>
            </w:r>
          </w:p>
        </w:tc>
      </w:tr>
      <w:tr w:rsidR="008E63D6" w:rsidRPr="002069C4" w14:paraId="69F03CC3"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716F27CA"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50566831"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Diabetes mellitus</w:t>
            </w:r>
          </w:p>
        </w:tc>
        <w:tc>
          <w:tcPr>
            <w:tcW w:w="1398" w:type="dxa"/>
            <w:tcBorders>
              <w:top w:val="nil"/>
              <w:left w:val="nil"/>
              <w:bottom w:val="single" w:sz="4" w:space="0" w:color="auto"/>
              <w:right w:val="single" w:sz="4" w:space="0" w:color="auto"/>
            </w:tcBorders>
            <w:noWrap/>
            <w:vAlign w:val="center"/>
            <w:hideMark/>
          </w:tcPr>
          <w:p w14:paraId="1DE80AB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5 (5.0)</w:t>
            </w:r>
          </w:p>
        </w:tc>
      </w:tr>
      <w:tr w:rsidR="008E63D6" w:rsidRPr="002069C4" w14:paraId="34FE1881"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4057F1B6"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08E0AA0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Tuberculosis (past)</w:t>
            </w:r>
          </w:p>
        </w:tc>
        <w:tc>
          <w:tcPr>
            <w:tcW w:w="1398" w:type="dxa"/>
            <w:tcBorders>
              <w:top w:val="nil"/>
              <w:left w:val="nil"/>
              <w:bottom w:val="single" w:sz="4" w:space="0" w:color="auto"/>
              <w:right w:val="single" w:sz="4" w:space="0" w:color="auto"/>
            </w:tcBorders>
            <w:noWrap/>
            <w:vAlign w:val="center"/>
            <w:hideMark/>
          </w:tcPr>
          <w:p w14:paraId="2DE7E9B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 (1.0)</w:t>
            </w:r>
          </w:p>
        </w:tc>
      </w:tr>
      <w:tr w:rsidR="008E63D6" w:rsidRPr="002069C4" w14:paraId="6D6AB625"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12FECC7B"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53F7465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None</w:t>
            </w:r>
          </w:p>
        </w:tc>
        <w:tc>
          <w:tcPr>
            <w:tcW w:w="1398" w:type="dxa"/>
            <w:tcBorders>
              <w:top w:val="nil"/>
              <w:left w:val="nil"/>
              <w:bottom w:val="single" w:sz="4" w:space="0" w:color="auto"/>
              <w:right w:val="single" w:sz="4" w:space="0" w:color="auto"/>
            </w:tcBorders>
            <w:noWrap/>
            <w:vAlign w:val="center"/>
            <w:hideMark/>
          </w:tcPr>
          <w:p w14:paraId="5051CE7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79 (79.0)</w:t>
            </w:r>
          </w:p>
        </w:tc>
      </w:tr>
      <w:tr w:rsidR="008E63D6" w:rsidRPr="002069C4" w14:paraId="0EE2A4FB" w14:textId="77777777" w:rsidTr="000E35A9">
        <w:trPr>
          <w:trHeight w:val="279"/>
          <w:jc w:val="center"/>
        </w:trPr>
        <w:tc>
          <w:tcPr>
            <w:tcW w:w="2013" w:type="dxa"/>
            <w:vMerge w:val="restart"/>
            <w:tcBorders>
              <w:top w:val="nil"/>
              <w:left w:val="single" w:sz="4" w:space="0" w:color="auto"/>
              <w:bottom w:val="single" w:sz="4" w:space="0" w:color="000000"/>
              <w:right w:val="single" w:sz="4" w:space="0" w:color="auto"/>
            </w:tcBorders>
            <w:noWrap/>
            <w:vAlign w:val="center"/>
            <w:hideMark/>
          </w:tcPr>
          <w:p w14:paraId="31DAA081"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Past ocular history</w:t>
            </w:r>
          </w:p>
        </w:tc>
        <w:tc>
          <w:tcPr>
            <w:tcW w:w="2887" w:type="dxa"/>
            <w:tcBorders>
              <w:top w:val="nil"/>
              <w:left w:val="nil"/>
              <w:bottom w:val="single" w:sz="4" w:space="0" w:color="auto"/>
              <w:right w:val="single" w:sz="4" w:space="0" w:color="auto"/>
            </w:tcBorders>
            <w:noWrap/>
            <w:vAlign w:val="center"/>
            <w:hideMark/>
          </w:tcPr>
          <w:p w14:paraId="2B4C407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Ocular allergy</w:t>
            </w:r>
          </w:p>
        </w:tc>
        <w:tc>
          <w:tcPr>
            <w:tcW w:w="1398" w:type="dxa"/>
            <w:tcBorders>
              <w:top w:val="nil"/>
              <w:left w:val="nil"/>
              <w:bottom w:val="single" w:sz="4" w:space="0" w:color="auto"/>
              <w:right w:val="single" w:sz="4" w:space="0" w:color="auto"/>
            </w:tcBorders>
            <w:noWrap/>
            <w:vAlign w:val="center"/>
            <w:hideMark/>
          </w:tcPr>
          <w:p w14:paraId="2751F9A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8 (8.0)</w:t>
            </w:r>
          </w:p>
        </w:tc>
      </w:tr>
      <w:tr w:rsidR="008E63D6" w:rsidRPr="002069C4" w14:paraId="60565A7A"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27DFDE98"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526B238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Dry eye</w:t>
            </w:r>
          </w:p>
        </w:tc>
        <w:tc>
          <w:tcPr>
            <w:tcW w:w="1398" w:type="dxa"/>
            <w:tcBorders>
              <w:top w:val="nil"/>
              <w:left w:val="nil"/>
              <w:bottom w:val="single" w:sz="4" w:space="0" w:color="auto"/>
              <w:right w:val="single" w:sz="4" w:space="0" w:color="auto"/>
            </w:tcBorders>
            <w:noWrap/>
            <w:vAlign w:val="center"/>
            <w:hideMark/>
          </w:tcPr>
          <w:p w14:paraId="733F596B"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 (2.0)</w:t>
            </w:r>
          </w:p>
        </w:tc>
      </w:tr>
      <w:tr w:rsidR="008E63D6" w:rsidRPr="002069C4" w14:paraId="5FBA6F71"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6BD9D6DB"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1F1475EA"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Conjunctivitis</w:t>
            </w:r>
          </w:p>
        </w:tc>
        <w:tc>
          <w:tcPr>
            <w:tcW w:w="1398" w:type="dxa"/>
            <w:tcBorders>
              <w:top w:val="nil"/>
              <w:left w:val="nil"/>
              <w:bottom w:val="single" w:sz="4" w:space="0" w:color="auto"/>
              <w:right w:val="single" w:sz="4" w:space="0" w:color="auto"/>
            </w:tcBorders>
            <w:noWrap/>
            <w:vAlign w:val="center"/>
            <w:hideMark/>
          </w:tcPr>
          <w:p w14:paraId="6EFC4A4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 (1.0)</w:t>
            </w:r>
          </w:p>
        </w:tc>
      </w:tr>
      <w:tr w:rsidR="008E63D6" w:rsidRPr="002069C4" w14:paraId="3660B34C" w14:textId="77777777" w:rsidTr="000E35A9">
        <w:trPr>
          <w:trHeight w:val="279"/>
          <w:jc w:val="center"/>
        </w:trPr>
        <w:tc>
          <w:tcPr>
            <w:tcW w:w="2013" w:type="dxa"/>
            <w:vMerge/>
            <w:tcBorders>
              <w:top w:val="nil"/>
              <w:left w:val="single" w:sz="4" w:space="0" w:color="auto"/>
              <w:bottom w:val="single" w:sz="4" w:space="0" w:color="000000"/>
              <w:right w:val="single" w:sz="4" w:space="0" w:color="auto"/>
            </w:tcBorders>
            <w:vAlign w:val="center"/>
            <w:hideMark/>
          </w:tcPr>
          <w:p w14:paraId="0E522064" w14:textId="77777777" w:rsidR="008E63D6" w:rsidRPr="002069C4" w:rsidRDefault="008E63D6" w:rsidP="000E35A9">
            <w:pPr>
              <w:spacing w:after="0"/>
              <w:rPr>
                <w:rFonts w:ascii="Times New Roman" w:eastAsia="Times New Roman" w:hAnsi="Times New Roman" w:cs="Times New Roman"/>
                <w:b/>
                <w:bCs/>
                <w:color w:val="000000"/>
              </w:rPr>
            </w:pPr>
          </w:p>
        </w:tc>
        <w:tc>
          <w:tcPr>
            <w:tcW w:w="2887" w:type="dxa"/>
            <w:tcBorders>
              <w:top w:val="nil"/>
              <w:left w:val="nil"/>
              <w:bottom w:val="single" w:sz="4" w:space="0" w:color="auto"/>
              <w:right w:val="single" w:sz="4" w:space="0" w:color="auto"/>
            </w:tcBorders>
            <w:noWrap/>
            <w:vAlign w:val="center"/>
            <w:hideMark/>
          </w:tcPr>
          <w:p w14:paraId="7FB143BD"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None</w:t>
            </w:r>
          </w:p>
        </w:tc>
        <w:tc>
          <w:tcPr>
            <w:tcW w:w="1398" w:type="dxa"/>
            <w:tcBorders>
              <w:top w:val="nil"/>
              <w:left w:val="nil"/>
              <w:bottom w:val="single" w:sz="4" w:space="0" w:color="auto"/>
              <w:right w:val="single" w:sz="4" w:space="0" w:color="auto"/>
            </w:tcBorders>
            <w:noWrap/>
            <w:vAlign w:val="center"/>
            <w:hideMark/>
          </w:tcPr>
          <w:p w14:paraId="4E809854"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89 (89.0)</w:t>
            </w:r>
          </w:p>
        </w:tc>
      </w:tr>
    </w:tbl>
    <w:p w14:paraId="36CB29DA" w14:textId="77777777" w:rsidR="008E63D6" w:rsidRDefault="008E63D6" w:rsidP="008E63D6">
      <w:pPr>
        <w:spacing w:after="0"/>
        <w:jc w:val="both"/>
        <w:rPr>
          <w:rFonts w:ascii="Times New Roman" w:hAnsi="Times New Roman" w:cs="Times New Roman"/>
        </w:rPr>
      </w:pPr>
    </w:p>
    <w:p w14:paraId="2B114F5D"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t>All patients presented with acute visual dimness. Pain on eye movement was present in 22%, while fever preceded symptoms in 12%. Most patients (79%) had no systemic comorbidity, though hypertension (15%) and diabetes (5%) were reported.</w:t>
      </w:r>
    </w:p>
    <w:p w14:paraId="521E5AFB" w14:textId="77777777" w:rsidR="008E63D6" w:rsidRDefault="008E63D6" w:rsidP="008E63D6">
      <w:pPr>
        <w:spacing w:after="0"/>
        <w:jc w:val="both"/>
        <w:rPr>
          <w:rFonts w:ascii="Times New Roman" w:hAnsi="Times New Roman" w:cs="Times New Roman"/>
        </w:rPr>
      </w:pPr>
    </w:p>
    <w:p w14:paraId="719531DD"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3: Laterality and visual function of affected eyes (N=139 eyes)</w:t>
      </w:r>
    </w:p>
    <w:tbl>
      <w:tblPr>
        <w:tblW w:w="6504" w:type="dxa"/>
        <w:jc w:val="center"/>
        <w:tblLook w:val="04A0" w:firstRow="1" w:lastRow="0" w:firstColumn="1" w:lastColumn="0" w:noHBand="0" w:noVBand="1"/>
      </w:tblPr>
      <w:tblGrid>
        <w:gridCol w:w="2186"/>
        <w:gridCol w:w="3059"/>
        <w:gridCol w:w="1259"/>
      </w:tblGrid>
      <w:tr w:rsidR="008E63D6" w:rsidRPr="002069C4" w14:paraId="207F7C24" w14:textId="77777777" w:rsidTr="000E35A9">
        <w:trPr>
          <w:trHeight w:val="300"/>
          <w:jc w:val="center"/>
        </w:trPr>
        <w:tc>
          <w:tcPr>
            <w:tcW w:w="2186" w:type="dxa"/>
            <w:tcBorders>
              <w:top w:val="single" w:sz="4" w:space="0" w:color="auto"/>
              <w:left w:val="single" w:sz="4" w:space="0" w:color="auto"/>
              <w:bottom w:val="single" w:sz="4" w:space="0" w:color="auto"/>
              <w:right w:val="single" w:sz="4" w:space="0" w:color="auto"/>
            </w:tcBorders>
            <w:noWrap/>
            <w:vAlign w:val="center"/>
            <w:hideMark/>
          </w:tcPr>
          <w:p w14:paraId="03A6CD98"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Variable</w:t>
            </w:r>
          </w:p>
        </w:tc>
        <w:tc>
          <w:tcPr>
            <w:tcW w:w="3059" w:type="dxa"/>
            <w:tcBorders>
              <w:top w:val="single" w:sz="4" w:space="0" w:color="auto"/>
              <w:left w:val="nil"/>
              <w:bottom w:val="single" w:sz="4" w:space="0" w:color="auto"/>
              <w:right w:val="single" w:sz="4" w:space="0" w:color="auto"/>
            </w:tcBorders>
            <w:noWrap/>
            <w:vAlign w:val="center"/>
            <w:hideMark/>
          </w:tcPr>
          <w:p w14:paraId="3129FFAF"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Categories</w:t>
            </w:r>
          </w:p>
        </w:tc>
        <w:tc>
          <w:tcPr>
            <w:tcW w:w="1259" w:type="dxa"/>
            <w:tcBorders>
              <w:top w:val="single" w:sz="4" w:space="0" w:color="auto"/>
              <w:left w:val="nil"/>
              <w:bottom w:val="single" w:sz="4" w:space="0" w:color="auto"/>
              <w:right w:val="single" w:sz="4" w:space="0" w:color="auto"/>
            </w:tcBorders>
            <w:noWrap/>
            <w:vAlign w:val="center"/>
            <w:hideMark/>
          </w:tcPr>
          <w:p w14:paraId="3342B0A5"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n (%)</w:t>
            </w:r>
          </w:p>
        </w:tc>
      </w:tr>
      <w:tr w:rsidR="008E63D6" w:rsidRPr="002069C4" w14:paraId="6F5E8D57" w14:textId="77777777" w:rsidTr="000E35A9">
        <w:trPr>
          <w:trHeight w:val="300"/>
          <w:jc w:val="center"/>
        </w:trPr>
        <w:tc>
          <w:tcPr>
            <w:tcW w:w="2186" w:type="dxa"/>
            <w:vMerge w:val="restart"/>
            <w:tcBorders>
              <w:top w:val="nil"/>
              <w:left w:val="single" w:sz="4" w:space="0" w:color="auto"/>
              <w:bottom w:val="single" w:sz="4" w:space="0" w:color="000000"/>
              <w:right w:val="single" w:sz="4" w:space="0" w:color="auto"/>
            </w:tcBorders>
            <w:noWrap/>
            <w:vAlign w:val="center"/>
            <w:hideMark/>
          </w:tcPr>
          <w:p w14:paraId="55CA2E85"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Laterality (per patient)</w:t>
            </w:r>
          </w:p>
        </w:tc>
        <w:tc>
          <w:tcPr>
            <w:tcW w:w="3059" w:type="dxa"/>
            <w:tcBorders>
              <w:top w:val="nil"/>
              <w:left w:val="nil"/>
              <w:bottom w:val="single" w:sz="4" w:space="0" w:color="auto"/>
              <w:right w:val="single" w:sz="4" w:space="0" w:color="auto"/>
            </w:tcBorders>
            <w:noWrap/>
            <w:vAlign w:val="center"/>
            <w:hideMark/>
          </w:tcPr>
          <w:p w14:paraId="48677C0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Unilateral</w:t>
            </w:r>
          </w:p>
        </w:tc>
        <w:tc>
          <w:tcPr>
            <w:tcW w:w="1259" w:type="dxa"/>
            <w:tcBorders>
              <w:top w:val="nil"/>
              <w:left w:val="nil"/>
              <w:bottom w:val="single" w:sz="4" w:space="0" w:color="auto"/>
              <w:right w:val="single" w:sz="4" w:space="0" w:color="auto"/>
            </w:tcBorders>
            <w:noWrap/>
            <w:vAlign w:val="center"/>
            <w:hideMark/>
          </w:tcPr>
          <w:p w14:paraId="450F19D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61 (61.0)</w:t>
            </w:r>
          </w:p>
        </w:tc>
      </w:tr>
      <w:tr w:rsidR="008E63D6" w:rsidRPr="002069C4" w14:paraId="48F1D5D4"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19612CB5"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3FFCD706"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Bilateral</w:t>
            </w:r>
          </w:p>
        </w:tc>
        <w:tc>
          <w:tcPr>
            <w:tcW w:w="1259" w:type="dxa"/>
            <w:tcBorders>
              <w:top w:val="nil"/>
              <w:left w:val="nil"/>
              <w:bottom w:val="single" w:sz="4" w:space="0" w:color="auto"/>
              <w:right w:val="single" w:sz="4" w:space="0" w:color="auto"/>
            </w:tcBorders>
            <w:noWrap/>
            <w:vAlign w:val="center"/>
            <w:hideMark/>
          </w:tcPr>
          <w:p w14:paraId="61D1CEA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39 (39.0)</w:t>
            </w:r>
          </w:p>
        </w:tc>
      </w:tr>
      <w:tr w:rsidR="008E63D6" w:rsidRPr="002069C4" w14:paraId="01F8508A" w14:textId="77777777" w:rsidTr="000E35A9">
        <w:trPr>
          <w:trHeight w:val="300"/>
          <w:jc w:val="center"/>
        </w:trPr>
        <w:tc>
          <w:tcPr>
            <w:tcW w:w="2186" w:type="dxa"/>
            <w:vMerge w:val="restart"/>
            <w:tcBorders>
              <w:top w:val="nil"/>
              <w:left w:val="single" w:sz="4" w:space="0" w:color="auto"/>
              <w:bottom w:val="single" w:sz="4" w:space="0" w:color="000000"/>
              <w:right w:val="single" w:sz="4" w:space="0" w:color="auto"/>
            </w:tcBorders>
            <w:noWrap/>
            <w:vAlign w:val="center"/>
            <w:hideMark/>
          </w:tcPr>
          <w:p w14:paraId="00A4F4D8" w14:textId="77777777" w:rsidR="008E63D6" w:rsidRPr="002069C4" w:rsidRDefault="008E63D6" w:rsidP="000E35A9">
            <w:pPr>
              <w:spacing w:after="0"/>
              <w:jc w:val="center"/>
              <w:rPr>
                <w:rFonts w:ascii="Times New Roman" w:eastAsia="Times New Roman" w:hAnsi="Times New Roman" w:cs="Times New Roman"/>
                <w:b/>
                <w:bCs/>
                <w:color w:val="000000"/>
              </w:rPr>
            </w:pPr>
            <w:r w:rsidRPr="002069C4">
              <w:rPr>
                <w:rFonts w:ascii="Times New Roman" w:eastAsia="Times New Roman" w:hAnsi="Times New Roman" w:cs="Times New Roman"/>
                <w:b/>
                <w:bCs/>
                <w:color w:val="000000"/>
              </w:rPr>
              <w:t>Visual acuity</w:t>
            </w:r>
          </w:p>
        </w:tc>
        <w:tc>
          <w:tcPr>
            <w:tcW w:w="3059" w:type="dxa"/>
            <w:tcBorders>
              <w:top w:val="nil"/>
              <w:left w:val="nil"/>
              <w:bottom w:val="single" w:sz="4" w:space="0" w:color="auto"/>
              <w:right w:val="single" w:sz="4" w:space="0" w:color="auto"/>
            </w:tcBorders>
            <w:noWrap/>
            <w:vAlign w:val="center"/>
            <w:hideMark/>
          </w:tcPr>
          <w:p w14:paraId="5351B93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6/9–6/12</w:t>
            </w:r>
          </w:p>
        </w:tc>
        <w:tc>
          <w:tcPr>
            <w:tcW w:w="1259" w:type="dxa"/>
            <w:tcBorders>
              <w:top w:val="nil"/>
              <w:left w:val="nil"/>
              <w:bottom w:val="single" w:sz="4" w:space="0" w:color="auto"/>
              <w:right w:val="single" w:sz="4" w:space="0" w:color="auto"/>
            </w:tcBorders>
            <w:noWrap/>
            <w:vAlign w:val="center"/>
            <w:hideMark/>
          </w:tcPr>
          <w:p w14:paraId="013C50E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14 (10.1)</w:t>
            </w:r>
          </w:p>
        </w:tc>
      </w:tr>
      <w:tr w:rsidR="008E63D6" w:rsidRPr="002069C4" w14:paraId="4AD43116"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2E366E77"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79389045"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6/18–6/24</w:t>
            </w:r>
          </w:p>
        </w:tc>
        <w:tc>
          <w:tcPr>
            <w:tcW w:w="1259" w:type="dxa"/>
            <w:tcBorders>
              <w:top w:val="nil"/>
              <w:left w:val="nil"/>
              <w:bottom w:val="single" w:sz="4" w:space="0" w:color="auto"/>
              <w:right w:val="single" w:sz="4" w:space="0" w:color="auto"/>
            </w:tcBorders>
            <w:noWrap/>
            <w:vAlign w:val="center"/>
            <w:hideMark/>
          </w:tcPr>
          <w:p w14:paraId="0A03B219"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17 (12.2)</w:t>
            </w:r>
          </w:p>
        </w:tc>
      </w:tr>
      <w:tr w:rsidR="008E63D6" w:rsidRPr="002069C4" w14:paraId="6883AB8C"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496C082F"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5082E231"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6/36–6/60</w:t>
            </w:r>
          </w:p>
        </w:tc>
        <w:tc>
          <w:tcPr>
            <w:tcW w:w="1259" w:type="dxa"/>
            <w:tcBorders>
              <w:top w:val="nil"/>
              <w:left w:val="nil"/>
              <w:bottom w:val="single" w:sz="4" w:space="0" w:color="auto"/>
              <w:right w:val="single" w:sz="4" w:space="0" w:color="auto"/>
            </w:tcBorders>
            <w:noWrap/>
            <w:vAlign w:val="center"/>
            <w:hideMark/>
          </w:tcPr>
          <w:p w14:paraId="482C59F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25 (18.0)</w:t>
            </w:r>
          </w:p>
        </w:tc>
      </w:tr>
      <w:tr w:rsidR="008E63D6" w:rsidRPr="002069C4" w14:paraId="47AE56F6"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1E5905C2"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583EAC8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&lt;6/60–3/60</w:t>
            </w:r>
          </w:p>
        </w:tc>
        <w:tc>
          <w:tcPr>
            <w:tcW w:w="1259" w:type="dxa"/>
            <w:tcBorders>
              <w:top w:val="nil"/>
              <w:left w:val="nil"/>
              <w:bottom w:val="single" w:sz="4" w:space="0" w:color="auto"/>
              <w:right w:val="single" w:sz="4" w:space="0" w:color="auto"/>
            </w:tcBorders>
            <w:noWrap/>
            <w:vAlign w:val="center"/>
            <w:hideMark/>
          </w:tcPr>
          <w:p w14:paraId="776DBB10"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17 (12.2)</w:t>
            </w:r>
          </w:p>
        </w:tc>
      </w:tr>
      <w:tr w:rsidR="008E63D6" w:rsidRPr="002069C4" w14:paraId="7BFE82C2"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064B08D7"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079EE20C"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&lt;3/60</w:t>
            </w:r>
          </w:p>
        </w:tc>
        <w:tc>
          <w:tcPr>
            <w:tcW w:w="1259" w:type="dxa"/>
            <w:tcBorders>
              <w:top w:val="nil"/>
              <w:left w:val="nil"/>
              <w:bottom w:val="single" w:sz="4" w:space="0" w:color="auto"/>
              <w:right w:val="single" w:sz="4" w:space="0" w:color="auto"/>
            </w:tcBorders>
            <w:noWrap/>
            <w:vAlign w:val="center"/>
            <w:hideMark/>
          </w:tcPr>
          <w:p w14:paraId="755293D7"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66 (47.5)</w:t>
            </w:r>
          </w:p>
        </w:tc>
      </w:tr>
      <w:tr w:rsidR="008E63D6" w:rsidRPr="002069C4" w14:paraId="5E2E89D9" w14:textId="77777777" w:rsidTr="000E35A9">
        <w:trPr>
          <w:trHeight w:val="300"/>
          <w:jc w:val="center"/>
        </w:trPr>
        <w:tc>
          <w:tcPr>
            <w:tcW w:w="2186" w:type="dxa"/>
            <w:vMerge w:val="restart"/>
            <w:tcBorders>
              <w:top w:val="nil"/>
              <w:left w:val="single" w:sz="4" w:space="0" w:color="auto"/>
              <w:bottom w:val="single" w:sz="4" w:space="0" w:color="000000"/>
              <w:right w:val="single" w:sz="4" w:space="0" w:color="auto"/>
            </w:tcBorders>
            <w:noWrap/>
            <w:vAlign w:val="center"/>
            <w:hideMark/>
          </w:tcPr>
          <w:p w14:paraId="6DEB3CCB" w14:textId="77777777" w:rsidR="008E63D6" w:rsidRPr="002069C4" w:rsidRDefault="008E63D6" w:rsidP="000E35A9">
            <w:pPr>
              <w:spacing w:after="0"/>
              <w:jc w:val="center"/>
              <w:rPr>
                <w:rFonts w:ascii="Times New Roman" w:eastAsia="Times New Roman" w:hAnsi="Times New Roman" w:cs="Times New Roman"/>
                <w:b/>
                <w:bCs/>
                <w:color w:val="000000"/>
              </w:rPr>
            </w:pPr>
            <w:proofErr w:type="spellStart"/>
            <w:r w:rsidRPr="002069C4">
              <w:rPr>
                <w:rFonts w:ascii="Times New Roman" w:eastAsia="Times New Roman" w:hAnsi="Times New Roman" w:cs="Times New Roman"/>
                <w:b/>
                <w:bCs/>
                <w:color w:val="000000"/>
              </w:rPr>
              <w:t>Colour</w:t>
            </w:r>
            <w:proofErr w:type="spellEnd"/>
            <w:r w:rsidRPr="002069C4">
              <w:rPr>
                <w:rFonts w:ascii="Times New Roman" w:eastAsia="Times New Roman" w:hAnsi="Times New Roman" w:cs="Times New Roman"/>
                <w:b/>
                <w:bCs/>
                <w:color w:val="000000"/>
              </w:rPr>
              <w:t xml:space="preserve"> vision (Ishihara)</w:t>
            </w:r>
          </w:p>
        </w:tc>
        <w:tc>
          <w:tcPr>
            <w:tcW w:w="3059" w:type="dxa"/>
            <w:tcBorders>
              <w:top w:val="nil"/>
              <w:left w:val="nil"/>
              <w:bottom w:val="single" w:sz="4" w:space="0" w:color="auto"/>
              <w:right w:val="single" w:sz="4" w:space="0" w:color="auto"/>
            </w:tcBorders>
            <w:noWrap/>
            <w:vAlign w:val="center"/>
            <w:hideMark/>
          </w:tcPr>
          <w:p w14:paraId="74881C5F"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Normal (11–15/17)</w:t>
            </w:r>
          </w:p>
        </w:tc>
        <w:tc>
          <w:tcPr>
            <w:tcW w:w="1259" w:type="dxa"/>
            <w:tcBorders>
              <w:top w:val="nil"/>
              <w:left w:val="nil"/>
              <w:bottom w:val="single" w:sz="4" w:space="0" w:color="auto"/>
              <w:right w:val="single" w:sz="4" w:space="0" w:color="auto"/>
            </w:tcBorders>
            <w:noWrap/>
            <w:vAlign w:val="center"/>
            <w:hideMark/>
          </w:tcPr>
          <w:p w14:paraId="24B5669E"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16 (11.5)</w:t>
            </w:r>
          </w:p>
        </w:tc>
      </w:tr>
      <w:tr w:rsidR="008E63D6" w:rsidRPr="002069C4" w14:paraId="5107D069"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3A6B2A7D"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3C49E363"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Moderate defect (6–10/17)</w:t>
            </w:r>
          </w:p>
        </w:tc>
        <w:tc>
          <w:tcPr>
            <w:tcW w:w="1259" w:type="dxa"/>
            <w:tcBorders>
              <w:top w:val="nil"/>
              <w:left w:val="nil"/>
              <w:bottom w:val="single" w:sz="4" w:space="0" w:color="auto"/>
              <w:right w:val="single" w:sz="4" w:space="0" w:color="auto"/>
            </w:tcBorders>
            <w:noWrap/>
            <w:vAlign w:val="center"/>
            <w:hideMark/>
          </w:tcPr>
          <w:p w14:paraId="79A52EF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21 (15.1)</w:t>
            </w:r>
          </w:p>
        </w:tc>
      </w:tr>
      <w:tr w:rsidR="008E63D6" w:rsidRPr="002069C4" w14:paraId="489AF6B8" w14:textId="77777777" w:rsidTr="000E35A9">
        <w:trPr>
          <w:trHeight w:val="300"/>
          <w:jc w:val="center"/>
        </w:trPr>
        <w:tc>
          <w:tcPr>
            <w:tcW w:w="2186" w:type="dxa"/>
            <w:vMerge/>
            <w:tcBorders>
              <w:top w:val="nil"/>
              <w:left w:val="single" w:sz="4" w:space="0" w:color="auto"/>
              <w:bottom w:val="single" w:sz="4" w:space="0" w:color="000000"/>
              <w:right w:val="single" w:sz="4" w:space="0" w:color="auto"/>
            </w:tcBorders>
            <w:vAlign w:val="center"/>
            <w:hideMark/>
          </w:tcPr>
          <w:p w14:paraId="33D330C6" w14:textId="77777777" w:rsidR="008E63D6" w:rsidRPr="002069C4" w:rsidRDefault="008E63D6" w:rsidP="000E35A9">
            <w:pPr>
              <w:spacing w:after="0"/>
              <w:rPr>
                <w:rFonts w:ascii="Times New Roman" w:eastAsia="Times New Roman" w:hAnsi="Times New Roman" w:cs="Times New Roman"/>
                <w:b/>
                <w:bCs/>
                <w:color w:val="000000"/>
              </w:rPr>
            </w:pPr>
          </w:p>
        </w:tc>
        <w:tc>
          <w:tcPr>
            <w:tcW w:w="3059" w:type="dxa"/>
            <w:tcBorders>
              <w:top w:val="nil"/>
              <w:left w:val="nil"/>
              <w:bottom w:val="single" w:sz="4" w:space="0" w:color="auto"/>
              <w:right w:val="single" w:sz="4" w:space="0" w:color="auto"/>
            </w:tcBorders>
            <w:noWrap/>
            <w:vAlign w:val="center"/>
            <w:hideMark/>
          </w:tcPr>
          <w:p w14:paraId="4802F398"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Severe defect (0–5/17)</w:t>
            </w:r>
          </w:p>
        </w:tc>
        <w:tc>
          <w:tcPr>
            <w:tcW w:w="1259" w:type="dxa"/>
            <w:tcBorders>
              <w:top w:val="nil"/>
              <w:left w:val="nil"/>
              <w:bottom w:val="single" w:sz="4" w:space="0" w:color="auto"/>
              <w:right w:val="single" w:sz="4" w:space="0" w:color="auto"/>
            </w:tcBorders>
            <w:noWrap/>
            <w:vAlign w:val="center"/>
            <w:hideMark/>
          </w:tcPr>
          <w:p w14:paraId="3447FBFD" w14:textId="77777777" w:rsidR="008E63D6" w:rsidRPr="002069C4" w:rsidRDefault="008E63D6" w:rsidP="000E35A9">
            <w:pPr>
              <w:spacing w:after="0"/>
              <w:jc w:val="center"/>
              <w:rPr>
                <w:rFonts w:ascii="Times New Roman" w:eastAsia="Times New Roman" w:hAnsi="Times New Roman" w:cs="Times New Roman"/>
                <w:color w:val="000000"/>
              </w:rPr>
            </w:pPr>
            <w:r w:rsidRPr="002069C4">
              <w:rPr>
                <w:rFonts w:ascii="Times New Roman" w:eastAsia="Times New Roman" w:hAnsi="Times New Roman" w:cs="Times New Roman"/>
                <w:color w:val="000000"/>
              </w:rPr>
              <w:t>102 (73.4)</w:t>
            </w:r>
          </w:p>
        </w:tc>
      </w:tr>
    </w:tbl>
    <w:p w14:paraId="7BF7DA90" w14:textId="77777777" w:rsidR="008E63D6" w:rsidRDefault="008E63D6" w:rsidP="008E63D6">
      <w:pPr>
        <w:spacing w:after="0"/>
        <w:jc w:val="both"/>
        <w:rPr>
          <w:rFonts w:ascii="Times New Roman" w:hAnsi="Times New Roman" w:cs="Times New Roman"/>
        </w:rPr>
      </w:pPr>
    </w:p>
    <w:p w14:paraId="6E88D1D4"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t>Unilateral cases (61%) predominated. Nearly half (47.5%) of affected eyes had profound visual impairment (&lt;3/60). Severe dyschromatopsia was seen in 73.4% of eyes.</w:t>
      </w:r>
    </w:p>
    <w:p w14:paraId="11E69440" w14:textId="77777777" w:rsidR="008E63D6" w:rsidRDefault="008E63D6" w:rsidP="008E63D6">
      <w:pPr>
        <w:spacing w:after="0"/>
        <w:jc w:val="both"/>
        <w:rPr>
          <w:rFonts w:ascii="Times New Roman" w:hAnsi="Times New Roman" w:cs="Times New Roman"/>
        </w:rPr>
      </w:pPr>
    </w:p>
    <w:p w14:paraId="55D213D2"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4: Visual field, pupillary findings, and fundus examination (N=139 eyes)</w:t>
      </w:r>
    </w:p>
    <w:tbl>
      <w:tblPr>
        <w:tblW w:w="7285" w:type="dxa"/>
        <w:jc w:val="center"/>
        <w:tblLook w:val="04A0" w:firstRow="1" w:lastRow="0" w:firstColumn="1" w:lastColumn="0" w:noHBand="0" w:noVBand="1"/>
      </w:tblPr>
      <w:tblGrid>
        <w:gridCol w:w="2915"/>
        <w:gridCol w:w="3080"/>
        <w:gridCol w:w="1290"/>
      </w:tblGrid>
      <w:tr w:rsidR="008E63D6" w:rsidRPr="0029755D" w14:paraId="1BBB3F84" w14:textId="77777777" w:rsidTr="000E35A9">
        <w:trPr>
          <w:trHeight w:val="312"/>
          <w:jc w:val="center"/>
        </w:trPr>
        <w:tc>
          <w:tcPr>
            <w:tcW w:w="2915" w:type="dxa"/>
            <w:tcBorders>
              <w:top w:val="single" w:sz="4" w:space="0" w:color="auto"/>
              <w:left w:val="single" w:sz="4" w:space="0" w:color="auto"/>
              <w:bottom w:val="single" w:sz="4" w:space="0" w:color="auto"/>
              <w:right w:val="single" w:sz="4" w:space="0" w:color="auto"/>
            </w:tcBorders>
            <w:noWrap/>
            <w:vAlign w:val="center"/>
            <w:hideMark/>
          </w:tcPr>
          <w:p w14:paraId="774F3E72"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Variable</w:t>
            </w:r>
          </w:p>
        </w:tc>
        <w:tc>
          <w:tcPr>
            <w:tcW w:w="3080" w:type="dxa"/>
            <w:tcBorders>
              <w:top w:val="single" w:sz="4" w:space="0" w:color="auto"/>
              <w:left w:val="nil"/>
              <w:bottom w:val="single" w:sz="4" w:space="0" w:color="auto"/>
              <w:right w:val="single" w:sz="4" w:space="0" w:color="auto"/>
            </w:tcBorders>
            <w:noWrap/>
            <w:vAlign w:val="center"/>
            <w:hideMark/>
          </w:tcPr>
          <w:p w14:paraId="361B8F7B"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Categories</w:t>
            </w:r>
          </w:p>
        </w:tc>
        <w:tc>
          <w:tcPr>
            <w:tcW w:w="1290" w:type="dxa"/>
            <w:tcBorders>
              <w:top w:val="single" w:sz="4" w:space="0" w:color="auto"/>
              <w:left w:val="nil"/>
              <w:bottom w:val="single" w:sz="4" w:space="0" w:color="auto"/>
              <w:right w:val="single" w:sz="4" w:space="0" w:color="auto"/>
            </w:tcBorders>
            <w:noWrap/>
            <w:vAlign w:val="center"/>
            <w:hideMark/>
          </w:tcPr>
          <w:p w14:paraId="5A5C2318"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n (%)</w:t>
            </w:r>
          </w:p>
        </w:tc>
      </w:tr>
      <w:tr w:rsidR="008E63D6" w:rsidRPr="0029755D" w14:paraId="0956044E"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79805EBA"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Visual field</w:t>
            </w:r>
          </w:p>
        </w:tc>
        <w:tc>
          <w:tcPr>
            <w:tcW w:w="3080" w:type="dxa"/>
            <w:tcBorders>
              <w:top w:val="nil"/>
              <w:left w:val="nil"/>
              <w:bottom w:val="single" w:sz="4" w:space="0" w:color="auto"/>
              <w:right w:val="single" w:sz="4" w:space="0" w:color="auto"/>
            </w:tcBorders>
            <w:noWrap/>
            <w:vAlign w:val="center"/>
            <w:hideMark/>
          </w:tcPr>
          <w:p w14:paraId="4CBEF31D"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Central scotoma</w:t>
            </w:r>
          </w:p>
        </w:tc>
        <w:tc>
          <w:tcPr>
            <w:tcW w:w="1290" w:type="dxa"/>
            <w:tcBorders>
              <w:top w:val="nil"/>
              <w:left w:val="nil"/>
              <w:bottom w:val="single" w:sz="4" w:space="0" w:color="auto"/>
              <w:right w:val="single" w:sz="4" w:space="0" w:color="auto"/>
            </w:tcBorders>
            <w:noWrap/>
            <w:vAlign w:val="center"/>
            <w:hideMark/>
          </w:tcPr>
          <w:p w14:paraId="54818EF4"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65 (46.8)</w:t>
            </w:r>
          </w:p>
        </w:tc>
      </w:tr>
      <w:tr w:rsidR="008E63D6" w:rsidRPr="0029755D" w14:paraId="00A717F0"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43EFD9C3"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6381D4D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Centro-</w:t>
            </w:r>
            <w:proofErr w:type="spellStart"/>
            <w:r w:rsidRPr="0029755D">
              <w:rPr>
                <w:rFonts w:ascii="Times New Roman" w:eastAsia="Times New Roman" w:hAnsi="Times New Roman" w:cs="Times New Roman"/>
                <w:color w:val="000000"/>
              </w:rPr>
              <w:t>caecal</w:t>
            </w:r>
            <w:proofErr w:type="spellEnd"/>
            <w:r w:rsidRPr="0029755D">
              <w:rPr>
                <w:rFonts w:ascii="Times New Roman" w:eastAsia="Times New Roman" w:hAnsi="Times New Roman" w:cs="Times New Roman"/>
                <w:color w:val="000000"/>
              </w:rPr>
              <w:t xml:space="preserve"> scotoma</w:t>
            </w:r>
          </w:p>
        </w:tc>
        <w:tc>
          <w:tcPr>
            <w:tcW w:w="1290" w:type="dxa"/>
            <w:tcBorders>
              <w:top w:val="nil"/>
              <w:left w:val="nil"/>
              <w:bottom w:val="single" w:sz="4" w:space="0" w:color="auto"/>
              <w:right w:val="single" w:sz="4" w:space="0" w:color="auto"/>
            </w:tcBorders>
            <w:noWrap/>
            <w:vAlign w:val="center"/>
            <w:hideMark/>
          </w:tcPr>
          <w:p w14:paraId="06D05059"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28 (20.1)</w:t>
            </w:r>
          </w:p>
        </w:tc>
      </w:tr>
      <w:tr w:rsidR="008E63D6" w:rsidRPr="0029755D" w14:paraId="4986DDA8"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54E0F1B"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3EA64C23"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Not assessed (poor vision)</w:t>
            </w:r>
          </w:p>
        </w:tc>
        <w:tc>
          <w:tcPr>
            <w:tcW w:w="1290" w:type="dxa"/>
            <w:tcBorders>
              <w:top w:val="nil"/>
              <w:left w:val="nil"/>
              <w:bottom w:val="single" w:sz="4" w:space="0" w:color="auto"/>
              <w:right w:val="single" w:sz="4" w:space="0" w:color="auto"/>
            </w:tcBorders>
            <w:noWrap/>
            <w:vAlign w:val="center"/>
            <w:hideMark/>
          </w:tcPr>
          <w:p w14:paraId="0CC3AB14"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46 (33.1)</w:t>
            </w:r>
          </w:p>
        </w:tc>
      </w:tr>
      <w:tr w:rsidR="008E63D6" w:rsidRPr="0029755D" w14:paraId="6A6EC07C"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55F24322"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Pupil reaction</w:t>
            </w:r>
          </w:p>
        </w:tc>
        <w:tc>
          <w:tcPr>
            <w:tcW w:w="3080" w:type="dxa"/>
            <w:tcBorders>
              <w:top w:val="nil"/>
              <w:left w:val="nil"/>
              <w:bottom w:val="single" w:sz="4" w:space="0" w:color="auto"/>
              <w:right w:val="single" w:sz="4" w:space="0" w:color="auto"/>
            </w:tcBorders>
            <w:noWrap/>
            <w:vAlign w:val="center"/>
            <w:hideMark/>
          </w:tcPr>
          <w:p w14:paraId="4A0645AB"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Ill-sustained</w:t>
            </w:r>
          </w:p>
        </w:tc>
        <w:tc>
          <w:tcPr>
            <w:tcW w:w="1290" w:type="dxa"/>
            <w:tcBorders>
              <w:top w:val="nil"/>
              <w:left w:val="nil"/>
              <w:bottom w:val="single" w:sz="4" w:space="0" w:color="auto"/>
              <w:right w:val="single" w:sz="4" w:space="0" w:color="auto"/>
            </w:tcBorders>
            <w:noWrap/>
            <w:vAlign w:val="center"/>
            <w:hideMark/>
          </w:tcPr>
          <w:p w14:paraId="6DAB948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7 (5.0)</w:t>
            </w:r>
          </w:p>
        </w:tc>
      </w:tr>
      <w:tr w:rsidR="008E63D6" w:rsidRPr="0029755D" w14:paraId="0226572E"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35DB382E"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3606FC1A"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Sluggish</w:t>
            </w:r>
          </w:p>
        </w:tc>
        <w:tc>
          <w:tcPr>
            <w:tcW w:w="1290" w:type="dxa"/>
            <w:tcBorders>
              <w:top w:val="nil"/>
              <w:left w:val="nil"/>
              <w:bottom w:val="single" w:sz="4" w:space="0" w:color="auto"/>
              <w:right w:val="single" w:sz="4" w:space="0" w:color="auto"/>
            </w:tcBorders>
            <w:noWrap/>
            <w:vAlign w:val="center"/>
            <w:hideMark/>
          </w:tcPr>
          <w:p w14:paraId="45023E8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49 (35.3)</w:t>
            </w:r>
          </w:p>
        </w:tc>
      </w:tr>
      <w:tr w:rsidR="008E63D6" w:rsidRPr="0029755D" w14:paraId="13ED4DCB"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13EB3CC8"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4287798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Very sluggish</w:t>
            </w:r>
          </w:p>
        </w:tc>
        <w:tc>
          <w:tcPr>
            <w:tcW w:w="1290" w:type="dxa"/>
            <w:tcBorders>
              <w:top w:val="nil"/>
              <w:left w:val="nil"/>
              <w:bottom w:val="single" w:sz="4" w:space="0" w:color="auto"/>
              <w:right w:val="single" w:sz="4" w:space="0" w:color="auto"/>
            </w:tcBorders>
            <w:noWrap/>
            <w:vAlign w:val="center"/>
            <w:hideMark/>
          </w:tcPr>
          <w:p w14:paraId="624F3691"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83 (59.7)</w:t>
            </w:r>
          </w:p>
        </w:tc>
      </w:tr>
      <w:tr w:rsidR="008E63D6" w:rsidRPr="0029755D" w14:paraId="337FE2C7" w14:textId="77777777" w:rsidTr="000E35A9">
        <w:trPr>
          <w:trHeight w:val="312"/>
          <w:jc w:val="center"/>
        </w:trPr>
        <w:tc>
          <w:tcPr>
            <w:tcW w:w="2915" w:type="dxa"/>
            <w:tcBorders>
              <w:top w:val="nil"/>
              <w:left w:val="single" w:sz="4" w:space="0" w:color="auto"/>
              <w:bottom w:val="single" w:sz="4" w:space="0" w:color="auto"/>
              <w:right w:val="single" w:sz="4" w:space="0" w:color="auto"/>
            </w:tcBorders>
            <w:noWrap/>
            <w:vAlign w:val="center"/>
            <w:hideMark/>
          </w:tcPr>
          <w:p w14:paraId="11CE148E"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Relative afferent pupillary defect (RAPD)</w:t>
            </w:r>
          </w:p>
        </w:tc>
        <w:tc>
          <w:tcPr>
            <w:tcW w:w="3080" w:type="dxa"/>
            <w:tcBorders>
              <w:top w:val="nil"/>
              <w:left w:val="nil"/>
              <w:bottom w:val="single" w:sz="4" w:space="0" w:color="auto"/>
              <w:right w:val="single" w:sz="4" w:space="0" w:color="auto"/>
            </w:tcBorders>
            <w:noWrap/>
            <w:vAlign w:val="center"/>
            <w:hideMark/>
          </w:tcPr>
          <w:p w14:paraId="29F73AB8"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Present</w:t>
            </w:r>
          </w:p>
        </w:tc>
        <w:tc>
          <w:tcPr>
            <w:tcW w:w="1290" w:type="dxa"/>
            <w:tcBorders>
              <w:top w:val="nil"/>
              <w:left w:val="nil"/>
              <w:bottom w:val="single" w:sz="4" w:space="0" w:color="auto"/>
              <w:right w:val="single" w:sz="4" w:space="0" w:color="auto"/>
            </w:tcBorders>
            <w:noWrap/>
            <w:vAlign w:val="center"/>
            <w:hideMark/>
          </w:tcPr>
          <w:p w14:paraId="0C9461FD"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65 (46.8)</w:t>
            </w:r>
          </w:p>
        </w:tc>
      </w:tr>
      <w:tr w:rsidR="008E63D6" w:rsidRPr="0029755D" w14:paraId="48D1A7D9"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4C2BCB27"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Fundus (optic disc)</w:t>
            </w:r>
          </w:p>
        </w:tc>
        <w:tc>
          <w:tcPr>
            <w:tcW w:w="3080" w:type="dxa"/>
            <w:tcBorders>
              <w:top w:val="nil"/>
              <w:left w:val="nil"/>
              <w:bottom w:val="single" w:sz="4" w:space="0" w:color="auto"/>
              <w:right w:val="single" w:sz="4" w:space="0" w:color="auto"/>
            </w:tcBorders>
            <w:noWrap/>
            <w:vAlign w:val="center"/>
            <w:hideMark/>
          </w:tcPr>
          <w:p w14:paraId="471D6F5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Normal</w:t>
            </w:r>
          </w:p>
        </w:tc>
        <w:tc>
          <w:tcPr>
            <w:tcW w:w="1290" w:type="dxa"/>
            <w:tcBorders>
              <w:top w:val="nil"/>
              <w:left w:val="nil"/>
              <w:bottom w:val="single" w:sz="4" w:space="0" w:color="auto"/>
              <w:right w:val="single" w:sz="4" w:space="0" w:color="auto"/>
            </w:tcBorders>
            <w:noWrap/>
            <w:vAlign w:val="center"/>
            <w:hideMark/>
          </w:tcPr>
          <w:p w14:paraId="4F45EE3E"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19 (13.7)</w:t>
            </w:r>
          </w:p>
        </w:tc>
      </w:tr>
      <w:tr w:rsidR="008E63D6" w:rsidRPr="0029755D" w14:paraId="43C62E0B"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E211C2E"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4742DD36"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Oedema</w:t>
            </w:r>
          </w:p>
        </w:tc>
        <w:tc>
          <w:tcPr>
            <w:tcW w:w="1290" w:type="dxa"/>
            <w:tcBorders>
              <w:top w:val="nil"/>
              <w:left w:val="nil"/>
              <w:bottom w:val="single" w:sz="4" w:space="0" w:color="auto"/>
              <w:right w:val="single" w:sz="4" w:space="0" w:color="auto"/>
            </w:tcBorders>
            <w:noWrap/>
            <w:vAlign w:val="center"/>
            <w:hideMark/>
          </w:tcPr>
          <w:p w14:paraId="6B2D4BEA"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111 (79.9)</w:t>
            </w:r>
          </w:p>
        </w:tc>
      </w:tr>
      <w:tr w:rsidR="008E63D6" w:rsidRPr="0029755D" w14:paraId="260E34CD"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4E13457"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6EA1A6F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Oedema + splinter hemorrhage</w:t>
            </w:r>
          </w:p>
        </w:tc>
        <w:tc>
          <w:tcPr>
            <w:tcW w:w="1290" w:type="dxa"/>
            <w:tcBorders>
              <w:top w:val="nil"/>
              <w:left w:val="nil"/>
              <w:bottom w:val="single" w:sz="4" w:space="0" w:color="auto"/>
              <w:right w:val="single" w:sz="4" w:space="0" w:color="auto"/>
            </w:tcBorders>
            <w:noWrap/>
            <w:vAlign w:val="center"/>
            <w:hideMark/>
          </w:tcPr>
          <w:p w14:paraId="4A908A15"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8 (5.8)</w:t>
            </w:r>
          </w:p>
        </w:tc>
      </w:tr>
      <w:tr w:rsidR="008E63D6" w:rsidRPr="0029755D" w14:paraId="3A6DF6DE" w14:textId="77777777" w:rsidTr="000E35A9">
        <w:trPr>
          <w:trHeight w:val="312"/>
          <w:jc w:val="center"/>
        </w:trPr>
        <w:tc>
          <w:tcPr>
            <w:tcW w:w="2915" w:type="dxa"/>
            <w:vMerge w:val="restart"/>
            <w:tcBorders>
              <w:top w:val="nil"/>
              <w:left w:val="single" w:sz="4" w:space="0" w:color="auto"/>
              <w:bottom w:val="single" w:sz="4" w:space="0" w:color="000000"/>
              <w:right w:val="single" w:sz="4" w:space="0" w:color="auto"/>
            </w:tcBorders>
            <w:noWrap/>
            <w:vAlign w:val="center"/>
            <w:hideMark/>
          </w:tcPr>
          <w:p w14:paraId="0A0C68E7"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Macula</w:t>
            </w:r>
          </w:p>
        </w:tc>
        <w:tc>
          <w:tcPr>
            <w:tcW w:w="3080" w:type="dxa"/>
            <w:tcBorders>
              <w:top w:val="nil"/>
              <w:left w:val="nil"/>
              <w:bottom w:val="single" w:sz="4" w:space="0" w:color="auto"/>
              <w:right w:val="single" w:sz="4" w:space="0" w:color="auto"/>
            </w:tcBorders>
            <w:noWrap/>
            <w:vAlign w:val="center"/>
            <w:hideMark/>
          </w:tcPr>
          <w:p w14:paraId="192123E3"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Normal</w:t>
            </w:r>
          </w:p>
        </w:tc>
        <w:tc>
          <w:tcPr>
            <w:tcW w:w="1290" w:type="dxa"/>
            <w:tcBorders>
              <w:top w:val="nil"/>
              <w:left w:val="nil"/>
              <w:bottom w:val="single" w:sz="4" w:space="0" w:color="auto"/>
              <w:right w:val="single" w:sz="4" w:space="0" w:color="auto"/>
            </w:tcBorders>
            <w:noWrap/>
            <w:vAlign w:val="center"/>
            <w:hideMark/>
          </w:tcPr>
          <w:p w14:paraId="276A7742"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134 (96.4)</w:t>
            </w:r>
          </w:p>
        </w:tc>
      </w:tr>
      <w:tr w:rsidR="008E63D6" w:rsidRPr="0029755D" w14:paraId="0182A8E3" w14:textId="77777777" w:rsidTr="000E35A9">
        <w:trPr>
          <w:trHeight w:val="312"/>
          <w:jc w:val="center"/>
        </w:trPr>
        <w:tc>
          <w:tcPr>
            <w:tcW w:w="2915" w:type="dxa"/>
            <w:vMerge/>
            <w:tcBorders>
              <w:top w:val="nil"/>
              <w:left w:val="single" w:sz="4" w:space="0" w:color="auto"/>
              <w:bottom w:val="single" w:sz="4" w:space="0" w:color="000000"/>
              <w:right w:val="single" w:sz="4" w:space="0" w:color="auto"/>
            </w:tcBorders>
            <w:vAlign w:val="center"/>
            <w:hideMark/>
          </w:tcPr>
          <w:p w14:paraId="27A47EF6" w14:textId="77777777" w:rsidR="008E63D6" w:rsidRPr="0029755D" w:rsidRDefault="008E63D6" w:rsidP="0029755D">
            <w:pPr>
              <w:spacing w:after="0"/>
              <w:rPr>
                <w:rFonts w:ascii="Times New Roman" w:eastAsia="Times New Roman" w:hAnsi="Times New Roman" w:cs="Times New Roman"/>
                <w:b/>
                <w:bCs/>
                <w:color w:val="000000"/>
              </w:rPr>
            </w:pPr>
          </w:p>
        </w:tc>
        <w:tc>
          <w:tcPr>
            <w:tcW w:w="3080" w:type="dxa"/>
            <w:tcBorders>
              <w:top w:val="nil"/>
              <w:left w:val="nil"/>
              <w:bottom w:val="single" w:sz="4" w:space="0" w:color="auto"/>
              <w:right w:val="single" w:sz="4" w:space="0" w:color="auto"/>
            </w:tcBorders>
            <w:noWrap/>
            <w:vAlign w:val="center"/>
            <w:hideMark/>
          </w:tcPr>
          <w:p w14:paraId="6CA774D0"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Exudates</w:t>
            </w:r>
          </w:p>
        </w:tc>
        <w:tc>
          <w:tcPr>
            <w:tcW w:w="1290" w:type="dxa"/>
            <w:tcBorders>
              <w:top w:val="nil"/>
              <w:left w:val="nil"/>
              <w:bottom w:val="single" w:sz="4" w:space="0" w:color="auto"/>
              <w:right w:val="single" w:sz="4" w:space="0" w:color="auto"/>
            </w:tcBorders>
            <w:noWrap/>
            <w:vAlign w:val="center"/>
            <w:hideMark/>
          </w:tcPr>
          <w:p w14:paraId="6F393A68"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5 (3.6)</w:t>
            </w:r>
          </w:p>
        </w:tc>
      </w:tr>
    </w:tbl>
    <w:p w14:paraId="0C95BEBF" w14:textId="77777777" w:rsidR="008E63D6" w:rsidRDefault="008E63D6" w:rsidP="008E63D6">
      <w:pPr>
        <w:spacing w:after="0"/>
        <w:jc w:val="both"/>
        <w:rPr>
          <w:rFonts w:ascii="Times New Roman" w:hAnsi="Times New Roman" w:cs="Times New Roman"/>
        </w:rPr>
      </w:pPr>
    </w:p>
    <w:p w14:paraId="67C3544A" w14:textId="52582410" w:rsidR="008E63D6" w:rsidRDefault="00697F8D" w:rsidP="008E63D6">
      <w:pPr>
        <w:spacing w:after="0"/>
        <w:jc w:val="both"/>
        <w:rPr>
          <w:rFonts w:ascii="Times New Roman" w:hAnsi="Times New Roman" w:cs="Times New Roman"/>
        </w:rPr>
      </w:pPr>
      <w:r w:rsidRPr="00697F8D">
        <w:rPr>
          <w:rFonts w:ascii="Times New Roman" w:hAnsi="Times New Roman" w:cs="Times New Roman"/>
        </w:rPr>
        <w:t>Central scotoma was the most common field defect (46.8%). However, a substantial proportion of eyes (33.1%) could not undergo visual field testing due to profound vision loss, which limits interpretation of visual field data. RAPD was present in nearly half of the eyes. Optic disc edema (79.9%) was the predominant fundus finding, while 3.6% of eyes showed macular exudates.</w:t>
      </w:r>
    </w:p>
    <w:p w14:paraId="4B859B59" w14:textId="77777777" w:rsidR="008E63D6" w:rsidRDefault="008E63D6" w:rsidP="008E63D6">
      <w:pPr>
        <w:spacing w:after="0"/>
        <w:jc w:val="both"/>
        <w:rPr>
          <w:rFonts w:ascii="Times New Roman" w:hAnsi="Times New Roman" w:cs="Times New Roman"/>
        </w:rPr>
      </w:pPr>
    </w:p>
    <w:p w14:paraId="5FA57C3F" w14:textId="77777777" w:rsidR="008E63D6" w:rsidRPr="00F311A8" w:rsidRDefault="008E63D6" w:rsidP="008E63D6">
      <w:pPr>
        <w:spacing w:after="0"/>
        <w:jc w:val="center"/>
        <w:rPr>
          <w:rFonts w:ascii="Times New Roman" w:hAnsi="Times New Roman" w:cs="Times New Roman"/>
          <w:b/>
          <w:bCs/>
        </w:rPr>
      </w:pPr>
      <w:r w:rsidRPr="00F311A8">
        <w:rPr>
          <w:rFonts w:ascii="Times New Roman" w:hAnsi="Times New Roman" w:cs="Times New Roman"/>
          <w:b/>
          <w:bCs/>
        </w:rPr>
        <w:t>Table 5: Provisional diagnosis of patients with optic neuritis (N=100)</w:t>
      </w:r>
    </w:p>
    <w:tbl>
      <w:tblPr>
        <w:tblW w:w="5495" w:type="dxa"/>
        <w:jc w:val="center"/>
        <w:tblLook w:val="04A0" w:firstRow="1" w:lastRow="0" w:firstColumn="1" w:lastColumn="0" w:noHBand="0" w:noVBand="1"/>
      </w:tblPr>
      <w:tblGrid>
        <w:gridCol w:w="4265"/>
        <w:gridCol w:w="1230"/>
      </w:tblGrid>
      <w:tr w:rsidR="008E63D6" w:rsidRPr="0029755D" w14:paraId="6066DF8D" w14:textId="77777777" w:rsidTr="0029755D">
        <w:trPr>
          <w:trHeight w:val="322"/>
          <w:jc w:val="center"/>
        </w:trPr>
        <w:tc>
          <w:tcPr>
            <w:tcW w:w="4265" w:type="dxa"/>
            <w:tcBorders>
              <w:top w:val="single" w:sz="4" w:space="0" w:color="auto"/>
              <w:left w:val="single" w:sz="4" w:space="0" w:color="auto"/>
              <w:bottom w:val="single" w:sz="4" w:space="0" w:color="auto"/>
              <w:right w:val="single" w:sz="4" w:space="0" w:color="auto"/>
            </w:tcBorders>
            <w:noWrap/>
            <w:vAlign w:val="center"/>
            <w:hideMark/>
          </w:tcPr>
          <w:p w14:paraId="6A9C71B3"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Diagnosis</w:t>
            </w:r>
          </w:p>
        </w:tc>
        <w:tc>
          <w:tcPr>
            <w:tcW w:w="1230" w:type="dxa"/>
            <w:tcBorders>
              <w:top w:val="single" w:sz="4" w:space="0" w:color="auto"/>
              <w:left w:val="nil"/>
              <w:bottom w:val="single" w:sz="4" w:space="0" w:color="auto"/>
              <w:right w:val="single" w:sz="4" w:space="0" w:color="auto"/>
            </w:tcBorders>
            <w:noWrap/>
            <w:vAlign w:val="center"/>
            <w:hideMark/>
          </w:tcPr>
          <w:p w14:paraId="0EC2C0B0" w14:textId="77777777" w:rsidR="008E63D6" w:rsidRPr="0029755D" w:rsidRDefault="008E63D6" w:rsidP="0029755D">
            <w:pPr>
              <w:spacing w:after="0"/>
              <w:jc w:val="center"/>
              <w:rPr>
                <w:rFonts w:ascii="Times New Roman" w:eastAsia="Times New Roman" w:hAnsi="Times New Roman" w:cs="Times New Roman"/>
                <w:b/>
                <w:bCs/>
                <w:color w:val="000000"/>
              </w:rPr>
            </w:pPr>
            <w:r w:rsidRPr="0029755D">
              <w:rPr>
                <w:rFonts w:ascii="Times New Roman" w:eastAsia="Times New Roman" w:hAnsi="Times New Roman" w:cs="Times New Roman"/>
                <w:b/>
                <w:bCs/>
                <w:color w:val="000000"/>
              </w:rPr>
              <w:t>n (%)</w:t>
            </w:r>
          </w:p>
        </w:tc>
      </w:tr>
      <w:tr w:rsidR="008E63D6" w:rsidRPr="0029755D" w14:paraId="5C02ED84"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659B063A"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Papillitis (Unilateral)</w:t>
            </w:r>
          </w:p>
        </w:tc>
        <w:tc>
          <w:tcPr>
            <w:tcW w:w="1230" w:type="dxa"/>
            <w:tcBorders>
              <w:top w:val="nil"/>
              <w:left w:val="nil"/>
              <w:bottom w:val="single" w:sz="4" w:space="0" w:color="auto"/>
              <w:right w:val="single" w:sz="4" w:space="0" w:color="auto"/>
            </w:tcBorders>
            <w:noWrap/>
            <w:vAlign w:val="center"/>
            <w:hideMark/>
          </w:tcPr>
          <w:p w14:paraId="074ACF64"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57 (57.0)</w:t>
            </w:r>
          </w:p>
        </w:tc>
      </w:tr>
      <w:tr w:rsidR="008E63D6" w:rsidRPr="0029755D" w14:paraId="52D7669E"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775ED803"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Papillitis (Bilateral)</w:t>
            </w:r>
          </w:p>
        </w:tc>
        <w:tc>
          <w:tcPr>
            <w:tcW w:w="1230" w:type="dxa"/>
            <w:tcBorders>
              <w:top w:val="nil"/>
              <w:left w:val="nil"/>
              <w:bottom w:val="single" w:sz="4" w:space="0" w:color="auto"/>
              <w:right w:val="single" w:sz="4" w:space="0" w:color="auto"/>
            </w:tcBorders>
            <w:noWrap/>
            <w:vAlign w:val="center"/>
            <w:hideMark/>
          </w:tcPr>
          <w:p w14:paraId="0C91DCFC"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29 (29.0)</w:t>
            </w:r>
          </w:p>
        </w:tc>
      </w:tr>
      <w:tr w:rsidR="008E63D6" w:rsidRPr="0029755D" w14:paraId="3DFFE473"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2C88A8A5"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Retrobulbar neuritis (Unilateral)</w:t>
            </w:r>
          </w:p>
        </w:tc>
        <w:tc>
          <w:tcPr>
            <w:tcW w:w="1230" w:type="dxa"/>
            <w:tcBorders>
              <w:top w:val="nil"/>
              <w:left w:val="nil"/>
              <w:bottom w:val="single" w:sz="4" w:space="0" w:color="auto"/>
              <w:right w:val="single" w:sz="4" w:space="0" w:color="auto"/>
            </w:tcBorders>
            <w:noWrap/>
            <w:vAlign w:val="center"/>
            <w:hideMark/>
          </w:tcPr>
          <w:p w14:paraId="11BA9557"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 (1.0)</w:t>
            </w:r>
          </w:p>
        </w:tc>
      </w:tr>
      <w:tr w:rsidR="008E63D6" w:rsidRPr="0029755D" w14:paraId="11529B40"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1CEBF24F"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Retrobulbar neuritis (Bilateral)</w:t>
            </w:r>
          </w:p>
        </w:tc>
        <w:tc>
          <w:tcPr>
            <w:tcW w:w="1230" w:type="dxa"/>
            <w:tcBorders>
              <w:top w:val="nil"/>
              <w:left w:val="nil"/>
              <w:bottom w:val="single" w:sz="4" w:space="0" w:color="auto"/>
              <w:right w:val="single" w:sz="4" w:space="0" w:color="auto"/>
            </w:tcBorders>
            <w:noWrap/>
            <w:vAlign w:val="center"/>
            <w:hideMark/>
          </w:tcPr>
          <w:p w14:paraId="22BB9512"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9 (9.0)</w:t>
            </w:r>
          </w:p>
        </w:tc>
      </w:tr>
      <w:tr w:rsidR="008E63D6" w:rsidRPr="0029755D" w14:paraId="190D956E"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291A9335"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Neuroretinitis (Unilateral)</w:t>
            </w:r>
          </w:p>
        </w:tc>
        <w:tc>
          <w:tcPr>
            <w:tcW w:w="1230" w:type="dxa"/>
            <w:tcBorders>
              <w:top w:val="nil"/>
              <w:left w:val="nil"/>
              <w:bottom w:val="single" w:sz="4" w:space="0" w:color="auto"/>
              <w:right w:val="single" w:sz="4" w:space="0" w:color="auto"/>
            </w:tcBorders>
            <w:noWrap/>
            <w:vAlign w:val="center"/>
            <w:hideMark/>
          </w:tcPr>
          <w:p w14:paraId="7B8E317D"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3 (3.0)</w:t>
            </w:r>
          </w:p>
        </w:tc>
      </w:tr>
      <w:tr w:rsidR="008E63D6" w:rsidRPr="0029755D" w14:paraId="6C18F51E" w14:textId="77777777" w:rsidTr="0029755D">
        <w:trPr>
          <w:trHeight w:val="322"/>
          <w:jc w:val="center"/>
        </w:trPr>
        <w:tc>
          <w:tcPr>
            <w:tcW w:w="4265" w:type="dxa"/>
            <w:tcBorders>
              <w:top w:val="nil"/>
              <w:left w:val="single" w:sz="4" w:space="0" w:color="auto"/>
              <w:bottom w:val="single" w:sz="4" w:space="0" w:color="auto"/>
              <w:right w:val="single" w:sz="4" w:space="0" w:color="auto"/>
            </w:tcBorders>
            <w:noWrap/>
            <w:vAlign w:val="center"/>
            <w:hideMark/>
          </w:tcPr>
          <w:p w14:paraId="392A4ABE"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Neuroretinitis (Bilateral)</w:t>
            </w:r>
          </w:p>
        </w:tc>
        <w:tc>
          <w:tcPr>
            <w:tcW w:w="1230" w:type="dxa"/>
            <w:tcBorders>
              <w:top w:val="nil"/>
              <w:left w:val="nil"/>
              <w:bottom w:val="single" w:sz="4" w:space="0" w:color="auto"/>
              <w:right w:val="single" w:sz="4" w:space="0" w:color="auto"/>
            </w:tcBorders>
            <w:noWrap/>
            <w:vAlign w:val="center"/>
            <w:hideMark/>
          </w:tcPr>
          <w:p w14:paraId="26823431" w14:textId="77777777" w:rsidR="008E63D6" w:rsidRPr="0029755D" w:rsidRDefault="008E63D6" w:rsidP="0029755D">
            <w:pPr>
              <w:spacing w:after="0"/>
              <w:jc w:val="center"/>
              <w:rPr>
                <w:rFonts w:ascii="Times New Roman" w:eastAsia="Times New Roman" w:hAnsi="Times New Roman" w:cs="Times New Roman"/>
                <w:color w:val="000000"/>
              </w:rPr>
            </w:pPr>
            <w:r w:rsidRPr="0029755D">
              <w:rPr>
                <w:rFonts w:ascii="Times New Roman" w:eastAsia="Times New Roman" w:hAnsi="Times New Roman" w:cs="Times New Roman"/>
                <w:color w:val="000000"/>
              </w:rPr>
              <w:t>1 (1.0)</w:t>
            </w:r>
          </w:p>
        </w:tc>
      </w:tr>
    </w:tbl>
    <w:p w14:paraId="14807E61" w14:textId="77777777" w:rsidR="008E63D6" w:rsidRDefault="008E63D6" w:rsidP="008E63D6">
      <w:pPr>
        <w:spacing w:after="0"/>
        <w:jc w:val="both"/>
        <w:rPr>
          <w:rFonts w:ascii="Times New Roman" w:hAnsi="Times New Roman" w:cs="Times New Roman"/>
        </w:rPr>
      </w:pPr>
    </w:p>
    <w:p w14:paraId="207D1A18" w14:textId="77777777" w:rsidR="008E63D6" w:rsidRDefault="008E63D6" w:rsidP="008E63D6">
      <w:pPr>
        <w:spacing w:after="0"/>
        <w:jc w:val="both"/>
        <w:rPr>
          <w:rFonts w:ascii="Times New Roman" w:hAnsi="Times New Roman" w:cs="Times New Roman"/>
        </w:rPr>
      </w:pPr>
      <w:r w:rsidRPr="00C24333">
        <w:rPr>
          <w:rFonts w:ascii="Times New Roman" w:hAnsi="Times New Roman" w:cs="Times New Roman"/>
        </w:rPr>
        <w:t>Papillitis was the most frequent type, accounting for 86% of cases. Retrobulbar neuritis and neuroretinitis constituted 10% and 4% of cases, respectively.</w:t>
      </w:r>
    </w:p>
    <w:p w14:paraId="71331798" w14:textId="77777777" w:rsidR="00FC3E12" w:rsidRDefault="00FC3E12" w:rsidP="008E63D6">
      <w:pPr>
        <w:spacing w:after="0"/>
        <w:jc w:val="both"/>
        <w:rPr>
          <w:rFonts w:ascii="Times New Roman" w:hAnsi="Times New Roman" w:cs="Times New Roman"/>
        </w:rPr>
      </w:pPr>
    </w:p>
    <w:p w14:paraId="78940082" w14:textId="77777777" w:rsidR="008E63D6" w:rsidRDefault="008E63D6" w:rsidP="008E63D6">
      <w:pPr>
        <w:spacing w:after="0"/>
        <w:jc w:val="center"/>
        <w:rPr>
          <w:rFonts w:ascii="Times New Roman" w:hAnsi="Times New Roman" w:cs="Times New Roman"/>
        </w:rPr>
      </w:pPr>
      <w:r w:rsidRPr="002E5C55">
        <w:rPr>
          <w:noProof/>
        </w:rPr>
        <w:drawing>
          <wp:inline distT="0" distB="0" distL="0" distR="0" wp14:anchorId="47B18280" wp14:editId="15986C4C">
            <wp:extent cx="5463540" cy="3329940"/>
            <wp:effectExtent l="0" t="0" r="3810" b="381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5943D2" w14:textId="77777777" w:rsidR="004D3008" w:rsidRPr="00F311A8" w:rsidRDefault="004D3008" w:rsidP="004D3008">
      <w:pPr>
        <w:spacing w:after="0"/>
        <w:jc w:val="center"/>
        <w:rPr>
          <w:rFonts w:ascii="Times New Roman" w:hAnsi="Times New Roman" w:cs="Times New Roman"/>
          <w:b/>
          <w:bCs/>
        </w:rPr>
      </w:pPr>
      <w:r w:rsidRPr="00F311A8">
        <w:rPr>
          <w:rFonts w:ascii="Times New Roman" w:hAnsi="Times New Roman" w:cs="Times New Roman"/>
          <w:b/>
          <w:bCs/>
        </w:rPr>
        <w:t>Figure 1: Association between age group and provisional diagnosis</w:t>
      </w:r>
    </w:p>
    <w:p w14:paraId="60E48219" w14:textId="77777777" w:rsidR="008E63D6" w:rsidRDefault="008E63D6" w:rsidP="008E63D6">
      <w:pPr>
        <w:spacing w:after="0"/>
        <w:jc w:val="both"/>
        <w:rPr>
          <w:rFonts w:ascii="Times New Roman" w:hAnsi="Times New Roman" w:cs="Times New Roman"/>
        </w:rPr>
      </w:pPr>
    </w:p>
    <w:p w14:paraId="395FD120" w14:textId="77777777" w:rsidR="008E63D6" w:rsidRDefault="008E63D6" w:rsidP="008E63D6">
      <w:pPr>
        <w:spacing w:after="0"/>
        <w:jc w:val="both"/>
        <w:rPr>
          <w:rFonts w:ascii="Times New Roman" w:hAnsi="Times New Roman" w:cs="Times New Roman"/>
        </w:rPr>
      </w:pPr>
      <w:r w:rsidRPr="00F311A8">
        <w:rPr>
          <w:rFonts w:ascii="Times New Roman" w:hAnsi="Times New Roman" w:cs="Times New Roman"/>
        </w:rPr>
        <w:lastRenderedPageBreak/>
        <w:t>Unilateral papillitis was common in adults aged 30–49 years, whereas bilateral papillitis was more frequent in both young children (&lt;9 years) and middle-aged adults (40–49 years). Bilateral retrobulbar neuritis was predominant among adolescents (10–19 years).</w:t>
      </w:r>
    </w:p>
    <w:p w14:paraId="2BE67C83" w14:textId="77777777" w:rsidR="008E63D6" w:rsidRDefault="008E63D6" w:rsidP="008E63D6">
      <w:pPr>
        <w:spacing w:after="0"/>
        <w:jc w:val="both"/>
        <w:rPr>
          <w:rFonts w:ascii="Times New Roman" w:hAnsi="Times New Roman" w:cs="Times New Roman"/>
        </w:rPr>
      </w:pPr>
    </w:p>
    <w:p w14:paraId="6B313557" w14:textId="77777777" w:rsidR="008E63D6" w:rsidRDefault="008E63D6" w:rsidP="008E63D6">
      <w:pPr>
        <w:spacing w:after="0"/>
        <w:jc w:val="center"/>
        <w:rPr>
          <w:rFonts w:ascii="Times New Roman" w:hAnsi="Times New Roman" w:cs="Times New Roman"/>
        </w:rPr>
      </w:pPr>
      <w:r w:rsidRPr="002E5C55">
        <w:rPr>
          <w:noProof/>
        </w:rPr>
        <w:drawing>
          <wp:inline distT="0" distB="0" distL="0" distR="0" wp14:anchorId="0E4E1DDF" wp14:editId="54EC5546">
            <wp:extent cx="5509260" cy="3154680"/>
            <wp:effectExtent l="0" t="0" r="15240" b="762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1DF52A" w14:textId="77777777" w:rsidR="004D3008" w:rsidRPr="00E07F8C" w:rsidRDefault="004D3008" w:rsidP="004D3008">
      <w:pPr>
        <w:spacing w:after="0"/>
        <w:jc w:val="center"/>
        <w:rPr>
          <w:rFonts w:ascii="Times New Roman" w:hAnsi="Times New Roman" w:cs="Times New Roman"/>
          <w:b/>
          <w:bCs/>
        </w:rPr>
      </w:pPr>
      <w:r w:rsidRPr="00E07F8C">
        <w:rPr>
          <w:rFonts w:ascii="Times New Roman" w:hAnsi="Times New Roman" w:cs="Times New Roman"/>
          <w:b/>
          <w:bCs/>
        </w:rPr>
        <w:t>Figure 2: Association between sex and provisional diagnosis</w:t>
      </w:r>
    </w:p>
    <w:p w14:paraId="59D84483" w14:textId="77777777" w:rsidR="008E63D6" w:rsidRDefault="008E63D6" w:rsidP="008E63D6">
      <w:pPr>
        <w:spacing w:after="0"/>
        <w:jc w:val="both"/>
        <w:rPr>
          <w:rFonts w:ascii="Times New Roman" w:hAnsi="Times New Roman" w:cs="Times New Roman"/>
        </w:rPr>
      </w:pPr>
    </w:p>
    <w:p w14:paraId="58C943CF" w14:textId="21428EF4" w:rsidR="008E63D6" w:rsidRDefault="008E63D6" w:rsidP="008E63D6">
      <w:pPr>
        <w:spacing w:after="0"/>
        <w:jc w:val="both"/>
        <w:rPr>
          <w:rFonts w:ascii="Times New Roman" w:hAnsi="Times New Roman" w:cs="Times New Roman"/>
        </w:rPr>
      </w:pPr>
      <w:r w:rsidRPr="00F311A8">
        <w:rPr>
          <w:rFonts w:ascii="Times New Roman" w:hAnsi="Times New Roman" w:cs="Times New Roman"/>
        </w:rPr>
        <w:t>Unilateral papillitis was more common in males, whereas bilateral papillitis predominated in females. Bilateral retrobulbar neuritis was observed mainly in males</w:t>
      </w:r>
      <w:r w:rsidR="008D2BD4">
        <w:rPr>
          <w:rFonts w:ascii="Times New Roman" w:hAnsi="Times New Roman" w:cs="Times New Roman"/>
        </w:rPr>
        <w:t xml:space="preserve">. </w:t>
      </w:r>
      <w:r w:rsidR="001E7C2B" w:rsidRPr="001E7C2B">
        <w:rPr>
          <w:rFonts w:ascii="Times New Roman" w:hAnsi="Times New Roman" w:cs="Times New Roman"/>
        </w:rPr>
        <w:t>Unilateral retrobulbar neuritis and neuroretinitis were observed only in females in this cohort; however, given the very small numbers in these subgroups (n=1 each), this finding may be coincidental and should be interpreted with caution.</w:t>
      </w:r>
    </w:p>
    <w:p w14:paraId="7E268291" w14:textId="77777777" w:rsidR="00FC3E12" w:rsidRPr="008E63D6" w:rsidRDefault="00FC3E12" w:rsidP="008E63D6">
      <w:pPr>
        <w:spacing w:after="0"/>
        <w:jc w:val="both"/>
        <w:rPr>
          <w:rFonts w:ascii="Times New Roman" w:eastAsia="Times New Roman" w:hAnsi="Times New Roman" w:cs="Times New Roman"/>
          <w:bCs/>
        </w:rPr>
      </w:pPr>
    </w:p>
    <w:p w14:paraId="522A68D2"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3B8004AB" w14:textId="7283291D"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This study investigated the clinical profile of acute optic neuritis (ON) in a Bangladeshi cohort, highlighting distinctive demographic and clinical features compared with findings from both Asian and Western populations. The mean age of patients was 30 years, with the highest proportion in the 40–49 age group, which is slightly older than the age distribution described in the Optic Neuritis Treatment Trial (ONTT), where most patients were between 20 and 40 years [8]. Similar observations have been reported in Nepal, where the mean age was 34.3 years, and in India, with a mean of 31.2 years, suggesting that ON in South Asia may affect slightly older populations compared to Western cohorts</w:t>
      </w:r>
      <w:r w:rsidR="00D21CF2">
        <w:rPr>
          <w:rFonts w:ascii="Times New Roman" w:eastAsia="Times New Roman" w:hAnsi="Times New Roman" w:cs="Times New Roman"/>
        </w:rPr>
        <w:t xml:space="preserve"> [12,18]</w:t>
      </w:r>
      <w:r w:rsidRPr="00860D2D">
        <w:rPr>
          <w:rFonts w:ascii="Times New Roman" w:eastAsia="Times New Roman" w:hAnsi="Times New Roman" w:cs="Times New Roman"/>
        </w:rPr>
        <w:t>.</w:t>
      </w:r>
      <w:r w:rsidR="00CF21BE">
        <w:rPr>
          <w:rFonts w:ascii="Times New Roman" w:eastAsia="Times New Roman" w:hAnsi="Times New Roman" w:cs="Times New Roman"/>
        </w:rPr>
        <w:t xml:space="preserve"> </w:t>
      </w:r>
      <w:r w:rsidRPr="00860D2D">
        <w:rPr>
          <w:rFonts w:ascii="Times New Roman" w:eastAsia="Times New Roman" w:hAnsi="Times New Roman" w:cs="Times New Roman"/>
        </w:rPr>
        <w:t xml:space="preserve">Sex distribution also showed differences from international studies. In this cohort, males accounted for 54% of cases, in contrast to ONTT and several Asian series where a female predominance was evident </w:t>
      </w:r>
      <w:r w:rsidR="00D21CF2">
        <w:rPr>
          <w:rFonts w:ascii="Times New Roman" w:eastAsia="Times New Roman" w:hAnsi="Times New Roman" w:cs="Times New Roman"/>
        </w:rPr>
        <w:t>[</w:t>
      </w:r>
      <w:r w:rsidRPr="00860D2D">
        <w:rPr>
          <w:rFonts w:ascii="Times New Roman" w:eastAsia="Times New Roman" w:hAnsi="Times New Roman" w:cs="Times New Roman"/>
        </w:rPr>
        <w:t xml:space="preserve">12,19]. </w:t>
      </w:r>
    </w:p>
    <w:p w14:paraId="13087648" w14:textId="77777777" w:rsidR="00416DA9" w:rsidRPr="00974DCE" w:rsidRDefault="00416DA9" w:rsidP="00860D2D">
      <w:pPr>
        <w:spacing w:after="0"/>
        <w:jc w:val="both"/>
        <w:rPr>
          <w:rFonts w:ascii="Times New Roman" w:eastAsia="Times New Roman" w:hAnsi="Times New Roman" w:cs="Times New Roman"/>
          <w:sz w:val="10"/>
          <w:szCs w:val="10"/>
        </w:rPr>
      </w:pPr>
    </w:p>
    <w:p w14:paraId="393FE379" w14:textId="5EF49FB4"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 xml:space="preserve">The clinical presentation was dominated by sudden dimness of vision, reported in all cases, while ocular pain—a key symptom in demyelinating ON—was noted in only 22% of patients. This is markedly lower than the 92% reported in ONTT [8] and the 31–40% observed in Malaysian and Chinese cohorts [19,20]. Such variation suggests a different clinical spectrum in Bangladesh, where para-infectious or idiopathic </w:t>
      </w:r>
      <w:r w:rsidRPr="00860D2D">
        <w:rPr>
          <w:rFonts w:ascii="Times New Roman" w:eastAsia="Times New Roman" w:hAnsi="Times New Roman" w:cs="Times New Roman"/>
        </w:rPr>
        <w:lastRenderedPageBreak/>
        <w:t>etiologies might be more prevalent. The 12% reporting preceding fever further supports this possibility, aligning with other Asian and African data that document higher rates of post-infectious ON [16].</w:t>
      </w:r>
    </w:p>
    <w:p w14:paraId="2C06701E" w14:textId="77777777" w:rsidR="00416DA9" w:rsidRPr="00974DCE" w:rsidRDefault="00416DA9" w:rsidP="00860D2D">
      <w:pPr>
        <w:spacing w:after="0"/>
        <w:jc w:val="both"/>
        <w:rPr>
          <w:rFonts w:ascii="Times New Roman" w:eastAsia="Times New Roman" w:hAnsi="Times New Roman" w:cs="Times New Roman"/>
          <w:sz w:val="10"/>
          <w:szCs w:val="10"/>
        </w:rPr>
      </w:pPr>
    </w:p>
    <w:p w14:paraId="63065A25" w14:textId="23EC385E"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At presentation, visual outcomes were generally poor, with nearly half of the affected eyes showing profound visual impairment (&lt;3/60). This aligns with findings from Malaysia, where 73% of eyes presented with vision ≤6/60, and China, where 59% of patients had severe visual loss [</w:t>
      </w:r>
      <w:r w:rsidR="00730A13">
        <w:rPr>
          <w:rFonts w:ascii="Times New Roman" w:eastAsia="Times New Roman" w:hAnsi="Times New Roman" w:cs="Times New Roman"/>
        </w:rPr>
        <w:t>19,</w:t>
      </w:r>
      <w:r w:rsidRPr="00860D2D">
        <w:rPr>
          <w:rFonts w:ascii="Times New Roman" w:eastAsia="Times New Roman" w:hAnsi="Times New Roman" w:cs="Times New Roman"/>
        </w:rPr>
        <w:t xml:space="preserve">20]. Western cohorts, however, report milder impairment at baseline, with average visual acuity around 20/60 [8]. These differences may reflect later presentation, more severe disease, or different underlying etiologies in Asian populations. </w:t>
      </w:r>
      <w:proofErr w:type="spellStart"/>
      <w:r w:rsidRPr="00860D2D">
        <w:rPr>
          <w:rFonts w:ascii="Times New Roman" w:eastAsia="Times New Roman" w:hAnsi="Times New Roman" w:cs="Times New Roman"/>
        </w:rPr>
        <w:t>Colour</w:t>
      </w:r>
      <w:proofErr w:type="spellEnd"/>
      <w:r w:rsidRPr="00860D2D">
        <w:rPr>
          <w:rFonts w:ascii="Times New Roman" w:eastAsia="Times New Roman" w:hAnsi="Times New Roman" w:cs="Times New Roman"/>
        </w:rPr>
        <w:t xml:space="preserve"> vision loss was also severe in most cases in this study, with 73.4% of eyes showing marked dyschromatopsia, which is consistent with Nepalese data (77%) and highlights the diagnostic value of </w:t>
      </w:r>
      <w:proofErr w:type="spellStart"/>
      <w:r w:rsidRPr="00860D2D">
        <w:rPr>
          <w:rFonts w:ascii="Times New Roman" w:eastAsia="Times New Roman" w:hAnsi="Times New Roman" w:cs="Times New Roman"/>
        </w:rPr>
        <w:t>colour</w:t>
      </w:r>
      <w:proofErr w:type="spellEnd"/>
      <w:r w:rsidRPr="00860D2D">
        <w:rPr>
          <w:rFonts w:ascii="Times New Roman" w:eastAsia="Times New Roman" w:hAnsi="Times New Roman" w:cs="Times New Roman"/>
        </w:rPr>
        <w:t xml:space="preserve"> vision testing in ON</w:t>
      </w:r>
      <w:r w:rsidR="00730A13">
        <w:rPr>
          <w:rFonts w:ascii="Times New Roman" w:eastAsia="Times New Roman" w:hAnsi="Times New Roman" w:cs="Times New Roman"/>
        </w:rPr>
        <w:t xml:space="preserve"> [18]</w:t>
      </w:r>
      <w:r w:rsidRPr="00860D2D">
        <w:rPr>
          <w:rFonts w:ascii="Times New Roman" w:eastAsia="Times New Roman" w:hAnsi="Times New Roman" w:cs="Times New Roman"/>
        </w:rPr>
        <w:t>.</w:t>
      </w:r>
    </w:p>
    <w:p w14:paraId="1C5985CB" w14:textId="77777777" w:rsidR="00730A13" w:rsidRPr="00974DCE" w:rsidRDefault="00730A13" w:rsidP="00860D2D">
      <w:pPr>
        <w:spacing w:after="0"/>
        <w:jc w:val="both"/>
        <w:rPr>
          <w:rFonts w:ascii="Times New Roman" w:eastAsia="Times New Roman" w:hAnsi="Times New Roman" w:cs="Times New Roman"/>
          <w:sz w:val="10"/>
          <w:szCs w:val="10"/>
        </w:rPr>
      </w:pPr>
    </w:p>
    <w:p w14:paraId="05BD1855" w14:textId="2E5DF88D"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Unilateral ON (61%) was more common than bilateral disease, which is consistent with Indian [12] and Taiwanese [6] reports but differs from ONTT, where bilateral cases were absent [8]. Interestingly, bilateral ON was relatively more common in children in this cohort, a trend also noted in pediatric ON studies from China</w:t>
      </w:r>
      <w:r w:rsidR="00730A13">
        <w:rPr>
          <w:rFonts w:ascii="Times New Roman" w:eastAsia="Times New Roman" w:hAnsi="Times New Roman" w:cs="Times New Roman"/>
        </w:rPr>
        <w:t xml:space="preserve"> and India</w:t>
      </w:r>
      <w:r w:rsidRPr="00860D2D">
        <w:rPr>
          <w:rFonts w:ascii="Times New Roman" w:eastAsia="Times New Roman" w:hAnsi="Times New Roman" w:cs="Times New Roman"/>
        </w:rPr>
        <w:t xml:space="preserve"> [20</w:t>
      </w:r>
      <w:r w:rsidR="00730A13">
        <w:rPr>
          <w:rFonts w:ascii="Times New Roman" w:eastAsia="Times New Roman" w:hAnsi="Times New Roman" w:cs="Times New Roman"/>
        </w:rPr>
        <w:t>,2</w:t>
      </w:r>
      <w:r w:rsidR="00E704A7">
        <w:rPr>
          <w:rFonts w:ascii="Times New Roman" w:eastAsia="Times New Roman" w:hAnsi="Times New Roman" w:cs="Times New Roman"/>
        </w:rPr>
        <w:t>1</w:t>
      </w:r>
      <w:r w:rsidRPr="00860D2D">
        <w:rPr>
          <w:rFonts w:ascii="Times New Roman" w:eastAsia="Times New Roman" w:hAnsi="Times New Roman" w:cs="Times New Roman"/>
        </w:rPr>
        <w:t>]. This supports the observation that pediatric ON often manifests bilaterally and may be linked to para-infectious or post-viral etiologies.</w:t>
      </w:r>
    </w:p>
    <w:p w14:paraId="162B809E" w14:textId="77777777" w:rsidR="008777D1" w:rsidRPr="00974DCE" w:rsidRDefault="008777D1" w:rsidP="00860D2D">
      <w:pPr>
        <w:spacing w:after="0"/>
        <w:jc w:val="both"/>
        <w:rPr>
          <w:rFonts w:ascii="Times New Roman" w:eastAsia="Times New Roman" w:hAnsi="Times New Roman" w:cs="Times New Roman"/>
          <w:sz w:val="10"/>
          <w:szCs w:val="10"/>
        </w:rPr>
      </w:pPr>
    </w:p>
    <w:p w14:paraId="400DC6E0" w14:textId="331E42A2"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 xml:space="preserve">Visual field testing demonstrated central scotoma as the most frequent defect (46.8%), followed by </w:t>
      </w:r>
      <w:proofErr w:type="spellStart"/>
      <w:r w:rsidRPr="00860D2D">
        <w:rPr>
          <w:rFonts w:ascii="Times New Roman" w:eastAsia="Times New Roman" w:hAnsi="Times New Roman" w:cs="Times New Roman"/>
        </w:rPr>
        <w:t>centro-caecal</w:t>
      </w:r>
      <w:proofErr w:type="spellEnd"/>
      <w:r w:rsidRPr="00860D2D">
        <w:rPr>
          <w:rFonts w:ascii="Times New Roman" w:eastAsia="Times New Roman" w:hAnsi="Times New Roman" w:cs="Times New Roman"/>
        </w:rPr>
        <w:t xml:space="preserve"> scotoma (20.1%). These findings parallel those from India and Korea, confirming that central field involvement is a hallmark of ON across diverse populations</w:t>
      </w:r>
      <w:r w:rsidR="008777D1">
        <w:rPr>
          <w:rFonts w:ascii="Times New Roman" w:eastAsia="Times New Roman" w:hAnsi="Times New Roman" w:cs="Times New Roman"/>
        </w:rPr>
        <w:t xml:space="preserve"> [12,2</w:t>
      </w:r>
      <w:r w:rsidR="00E704A7">
        <w:rPr>
          <w:rFonts w:ascii="Times New Roman" w:eastAsia="Times New Roman" w:hAnsi="Times New Roman" w:cs="Times New Roman"/>
        </w:rPr>
        <w:t>2</w:t>
      </w:r>
      <w:r w:rsidR="008777D1">
        <w:rPr>
          <w:rFonts w:ascii="Times New Roman" w:eastAsia="Times New Roman" w:hAnsi="Times New Roman" w:cs="Times New Roman"/>
        </w:rPr>
        <w:t>]</w:t>
      </w:r>
      <w:r w:rsidRPr="00860D2D">
        <w:rPr>
          <w:rFonts w:ascii="Times New Roman" w:eastAsia="Times New Roman" w:hAnsi="Times New Roman" w:cs="Times New Roman"/>
        </w:rPr>
        <w:t>.</w:t>
      </w:r>
      <w:r w:rsidR="008777D1">
        <w:rPr>
          <w:rFonts w:ascii="Times New Roman" w:eastAsia="Times New Roman" w:hAnsi="Times New Roman" w:cs="Times New Roman"/>
        </w:rPr>
        <w:t xml:space="preserve"> </w:t>
      </w:r>
      <w:r w:rsidRPr="00860D2D">
        <w:rPr>
          <w:rFonts w:ascii="Times New Roman" w:eastAsia="Times New Roman" w:hAnsi="Times New Roman" w:cs="Times New Roman"/>
        </w:rPr>
        <w:t xml:space="preserve">Fundus findings in this study further emphasize differences with Western cohorts. Optic disc edema was observed in 79.9% of affected eyes, which is substantially higher than the 33% reported in ONTT [8]. </w:t>
      </w:r>
      <w:r w:rsidR="008777D1" w:rsidRPr="00860D2D">
        <w:rPr>
          <w:rFonts w:ascii="Times New Roman" w:eastAsia="Times New Roman" w:hAnsi="Times New Roman" w:cs="Times New Roman"/>
        </w:rPr>
        <w:t>Similarly</w:t>
      </w:r>
      <w:r w:rsidRPr="00860D2D">
        <w:rPr>
          <w:rFonts w:ascii="Times New Roman" w:eastAsia="Times New Roman" w:hAnsi="Times New Roman" w:cs="Times New Roman"/>
        </w:rPr>
        <w:t xml:space="preserve"> high rates of papillitis have been reported in Malaysia, and Korea [</w:t>
      </w:r>
      <w:r w:rsidR="005F6A6D">
        <w:rPr>
          <w:rFonts w:ascii="Times New Roman" w:eastAsia="Times New Roman" w:hAnsi="Times New Roman" w:cs="Times New Roman"/>
        </w:rPr>
        <w:t>19,</w:t>
      </w:r>
      <w:r w:rsidRPr="00860D2D">
        <w:rPr>
          <w:rFonts w:ascii="Times New Roman" w:eastAsia="Times New Roman" w:hAnsi="Times New Roman" w:cs="Times New Roman"/>
        </w:rPr>
        <w:t>2</w:t>
      </w:r>
      <w:r w:rsidR="00E704A7">
        <w:rPr>
          <w:rFonts w:ascii="Times New Roman" w:eastAsia="Times New Roman" w:hAnsi="Times New Roman" w:cs="Times New Roman"/>
        </w:rPr>
        <w:t>2</w:t>
      </w:r>
      <w:r w:rsidRPr="00860D2D">
        <w:rPr>
          <w:rFonts w:ascii="Times New Roman" w:eastAsia="Times New Roman" w:hAnsi="Times New Roman" w:cs="Times New Roman"/>
        </w:rPr>
        <w:t>]. This predominance of papillitis in Asian populations contrasts with Western studies, where retrobulbar neuritis is more common [8,2</w:t>
      </w:r>
      <w:r w:rsidR="00E704A7">
        <w:rPr>
          <w:rFonts w:ascii="Times New Roman" w:eastAsia="Times New Roman" w:hAnsi="Times New Roman" w:cs="Times New Roman"/>
        </w:rPr>
        <w:t>3</w:t>
      </w:r>
      <w:r w:rsidRPr="00860D2D">
        <w:rPr>
          <w:rFonts w:ascii="Times New Roman" w:eastAsia="Times New Roman" w:hAnsi="Times New Roman" w:cs="Times New Roman"/>
        </w:rPr>
        <w:t>]. Importantly, disc edema has been associated with a lower risk of subsequent multiple sclerosis (MS), suggesting that Asian ON patients may have a different long-term prognosis [2</w:t>
      </w:r>
      <w:r w:rsidR="00E704A7">
        <w:rPr>
          <w:rFonts w:ascii="Times New Roman" w:eastAsia="Times New Roman" w:hAnsi="Times New Roman" w:cs="Times New Roman"/>
        </w:rPr>
        <w:t>4</w:t>
      </w:r>
      <w:r w:rsidRPr="00860D2D">
        <w:rPr>
          <w:rFonts w:ascii="Times New Roman" w:eastAsia="Times New Roman" w:hAnsi="Times New Roman" w:cs="Times New Roman"/>
        </w:rPr>
        <w:t>].</w:t>
      </w:r>
    </w:p>
    <w:p w14:paraId="5ACF0204" w14:textId="77777777" w:rsidR="005F6A6D" w:rsidRPr="00974DCE" w:rsidRDefault="005F6A6D" w:rsidP="00860D2D">
      <w:pPr>
        <w:spacing w:after="0"/>
        <w:jc w:val="both"/>
        <w:rPr>
          <w:rFonts w:ascii="Times New Roman" w:eastAsia="Times New Roman" w:hAnsi="Times New Roman" w:cs="Times New Roman"/>
          <w:sz w:val="10"/>
          <w:szCs w:val="10"/>
        </w:rPr>
      </w:pPr>
    </w:p>
    <w:p w14:paraId="6B9352D8" w14:textId="5A895072"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Provisional diagnoses in this study showed papillitis in 86% of cases, retrobulbar neuritis in 10%, and neuroretinitis in 4%. These figures are consistent with other Asian studies that describe papillitis as the most common subtype [12,19,2</w:t>
      </w:r>
      <w:r w:rsidR="001C0384">
        <w:rPr>
          <w:rFonts w:ascii="Times New Roman" w:eastAsia="Times New Roman" w:hAnsi="Times New Roman" w:cs="Times New Roman"/>
        </w:rPr>
        <w:t>2</w:t>
      </w:r>
      <w:r w:rsidRPr="00860D2D">
        <w:rPr>
          <w:rFonts w:ascii="Times New Roman" w:eastAsia="Times New Roman" w:hAnsi="Times New Roman" w:cs="Times New Roman"/>
        </w:rPr>
        <w:t>], whereas retrobulbar neuritis predominates in Western populations [8,2</w:t>
      </w:r>
      <w:r w:rsidR="001C0384">
        <w:rPr>
          <w:rFonts w:ascii="Times New Roman" w:eastAsia="Times New Roman" w:hAnsi="Times New Roman" w:cs="Times New Roman"/>
        </w:rPr>
        <w:t>3</w:t>
      </w:r>
      <w:r w:rsidRPr="00860D2D">
        <w:rPr>
          <w:rFonts w:ascii="Times New Roman" w:eastAsia="Times New Roman" w:hAnsi="Times New Roman" w:cs="Times New Roman"/>
        </w:rPr>
        <w:t>]. The predominance of papillitis in Asia may reflect genetic and environmental differences, with implications for prognosis and management strategies.</w:t>
      </w:r>
    </w:p>
    <w:p w14:paraId="05D6D6CC" w14:textId="77777777" w:rsidR="00974DCE" w:rsidRPr="00974DCE" w:rsidRDefault="00974DCE" w:rsidP="00860D2D">
      <w:pPr>
        <w:spacing w:after="0"/>
        <w:jc w:val="both"/>
        <w:rPr>
          <w:rFonts w:ascii="Times New Roman" w:eastAsia="Times New Roman" w:hAnsi="Times New Roman" w:cs="Times New Roman"/>
          <w:sz w:val="10"/>
          <w:szCs w:val="10"/>
        </w:rPr>
      </w:pPr>
    </w:p>
    <w:p w14:paraId="0DDE0FA6" w14:textId="7EC605CE" w:rsidR="00860D2D"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Taken together, the findings of this study align more closely with the clinical profile of ON in Asia than in the West. Features such as papillitis predominance, severe initial visual loss, bilateral disease in children, and lower frequency of pain were consistent with previous reports from India, Nepal, Malaysia, and Korea [12,18,19,2</w:t>
      </w:r>
      <w:r w:rsidR="001C0384">
        <w:rPr>
          <w:rFonts w:ascii="Times New Roman" w:eastAsia="Times New Roman" w:hAnsi="Times New Roman" w:cs="Times New Roman"/>
        </w:rPr>
        <w:t>2</w:t>
      </w:r>
      <w:r w:rsidRPr="00860D2D">
        <w:rPr>
          <w:rFonts w:ascii="Times New Roman" w:eastAsia="Times New Roman" w:hAnsi="Times New Roman" w:cs="Times New Roman"/>
        </w:rPr>
        <w:t>]. In contrast, Western cohorts, exemplified by ONTT, are characterized by retrobulbar neuritis, high prevalence of ocular pain, and stronger association with MS [8,2</w:t>
      </w:r>
      <w:r w:rsidR="001C0384">
        <w:rPr>
          <w:rFonts w:ascii="Times New Roman" w:eastAsia="Times New Roman" w:hAnsi="Times New Roman" w:cs="Times New Roman"/>
        </w:rPr>
        <w:t>4</w:t>
      </w:r>
      <w:r w:rsidRPr="00860D2D">
        <w:rPr>
          <w:rFonts w:ascii="Times New Roman" w:eastAsia="Times New Roman" w:hAnsi="Times New Roman" w:cs="Times New Roman"/>
        </w:rPr>
        <w:t>]. These contrasts underscore the need for region-specific data to improve diagnostic accuracy, refine prognostic expectations, and guide treatment strategies.</w:t>
      </w:r>
    </w:p>
    <w:p w14:paraId="438B8EBB" w14:textId="77777777" w:rsidR="00974DCE" w:rsidRPr="00974DCE" w:rsidRDefault="00974DCE" w:rsidP="00860D2D">
      <w:pPr>
        <w:spacing w:after="0"/>
        <w:jc w:val="both"/>
        <w:rPr>
          <w:rFonts w:ascii="Times New Roman" w:eastAsia="Times New Roman" w:hAnsi="Times New Roman" w:cs="Times New Roman"/>
          <w:sz w:val="10"/>
          <w:szCs w:val="10"/>
        </w:rPr>
      </w:pPr>
    </w:p>
    <w:p w14:paraId="522A68D3" w14:textId="1B0B0B6E" w:rsidR="00912FD0" w:rsidRDefault="00860D2D" w:rsidP="00860D2D">
      <w:pPr>
        <w:spacing w:after="0"/>
        <w:jc w:val="both"/>
        <w:rPr>
          <w:rFonts w:ascii="Times New Roman" w:eastAsia="Times New Roman" w:hAnsi="Times New Roman" w:cs="Times New Roman"/>
        </w:rPr>
      </w:pPr>
      <w:r w:rsidRPr="00860D2D">
        <w:rPr>
          <w:rFonts w:ascii="Times New Roman" w:eastAsia="Times New Roman" w:hAnsi="Times New Roman" w:cs="Times New Roman"/>
        </w:rPr>
        <w:t xml:space="preserve">In summary, this study demonstrates that ON in Bangladesh is characterized predominantly by papillitis, severe visual loss, and frequent dyschromatopsia, with a notable proportion of bilateral cases, particularly in children. The findings emphasize the importance of localized research in shaping clinical practice, as reliance solely on Western data may not adequately reflect the disease spectrum in South Asia. Future multicenter and longitudinal studies incorporating neuroimaging and immunological testing will be </w:t>
      </w:r>
      <w:r w:rsidRPr="00860D2D">
        <w:rPr>
          <w:rFonts w:ascii="Times New Roman" w:eastAsia="Times New Roman" w:hAnsi="Times New Roman" w:cs="Times New Roman"/>
        </w:rPr>
        <w:lastRenderedPageBreak/>
        <w:t>necessary to elucidate the etiological subtypes and long-term outcomes, particularly the risk of MS conversion, in Bangladeshi and similar populations.</w:t>
      </w:r>
    </w:p>
    <w:p w14:paraId="522A68D4" w14:textId="77777777" w:rsidR="00912FD0" w:rsidRDefault="00912FD0">
      <w:pPr>
        <w:spacing w:after="0"/>
        <w:jc w:val="both"/>
        <w:rPr>
          <w:rFonts w:ascii="Times New Roman" w:eastAsia="Times New Roman" w:hAnsi="Times New Roman" w:cs="Times New Roman"/>
        </w:rPr>
      </w:pPr>
    </w:p>
    <w:p w14:paraId="522A68DB" w14:textId="77777777" w:rsidR="00912FD0" w:rsidRDefault="00912FD0">
      <w:pPr>
        <w:spacing w:after="0"/>
        <w:jc w:val="both"/>
        <w:rPr>
          <w:rFonts w:ascii="Times New Roman" w:eastAsia="Times New Roman" w:hAnsi="Times New Roman" w:cs="Times New Roman"/>
        </w:rPr>
      </w:pPr>
    </w:p>
    <w:p w14:paraId="522A68DC"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Conclusion </w:t>
      </w:r>
    </w:p>
    <w:p w14:paraId="522A68DD" w14:textId="1D0ACF37" w:rsidR="00912FD0" w:rsidRDefault="00A532EA" w:rsidP="00566981">
      <w:pPr>
        <w:spacing w:after="0"/>
        <w:jc w:val="both"/>
        <w:rPr>
          <w:rFonts w:ascii="Times New Roman" w:eastAsia="Times New Roman" w:hAnsi="Times New Roman" w:cs="Times New Roman"/>
        </w:rPr>
      </w:pPr>
      <w:r w:rsidRPr="00A532EA">
        <w:rPr>
          <w:rFonts w:ascii="Times New Roman" w:eastAsia="Times New Roman" w:hAnsi="Times New Roman" w:cs="Times New Roman"/>
        </w:rPr>
        <w:t>This study demonstrated that in Bangladesh, acute optic neuritis most commonly presents as unilateral papillitis, which was observed more frequently in middle-aged males.</w:t>
      </w:r>
      <w:r w:rsidR="00566981" w:rsidRPr="00566981">
        <w:rPr>
          <w:rFonts w:ascii="Times New Roman" w:eastAsia="Times New Roman" w:hAnsi="Times New Roman" w:cs="Times New Roman"/>
        </w:rPr>
        <w:t xml:space="preserve"> Central scotoma, disc edema, and severe </w:t>
      </w:r>
      <w:proofErr w:type="spellStart"/>
      <w:r w:rsidR="00566981" w:rsidRPr="00566981">
        <w:rPr>
          <w:rFonts w:ascii="Times New Roman" w:eastAsia="Times New Roman" w:hAnsi="Times New Roman" w:cs="Times New Roman"/>
        </w:rPr>
        <w:t>colour</w:t>
      </w:r>
      <w:proofErr w:type="spellEnd"/>
      <w:r w:rsidR="00566981" w:rsidRPr="00566981">
        <w:rPr>
          <w:rFonts w:ascii="Times New Roman" w:eastAsia="Times New Roman" w:hAnsi="Times New Roman" w:cs="Times New Roman"/>
        </w:rPr>
        <w:t xml:space="preserve"> vision defects were frequent findings, while ocular pain was relatively uncommon. Compared to Western cohorts, this population shows a higher prevalence of papillitis and bilateral cases in children, with less association with pain and retrobulbar neuritis.</w:t>
      </w:r>
      <w:r w:rsidR="00566981">
        <w:rPr>
          <w:rFonts w:ascii="Times New Roman" w:eastAsia="Times New Roman" w:hAnsi="Times New Roman" w:cs="Times New Roman"/>
        </w:rPr>
        <w:t xml:space="preserve"> </w:t>
      </w:r>
      <w:r w:rsidR="00566981" w:rsidRPr="00566981">
        <w:rPr>
          <w:rFonts w:ascii="Times New Roman" w:eastAsia="Times New Roman" w:hAnsi="Times New Roman" w:cs="Times New Roman"/>
        </w:rPr>
        <w:t>These insights can support clinicians in Bangladesh and similar settings to recognize ON presentations earlier, enabling prompt management. Future multicenter studies with advanced diagnostics are recommended to further clarify etiological subtypes and long-term prognosis.</w:t>
      </w:r>
    </w:p>
    <w:p w14:paraId="1CB75AD2" w14:textId="77777777" w:rsidR="009E3F81" w:rsidRDefault="009E3F81" w:rsidP="009E3F8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 of the study</w:t>
      </w:r>
    </w:p>
    <w:p w14:paraId="4123FAFD" w14:textId="77777777" w:rsidR="009E3F81" w:rsidRPr="00B631B5" w:rsidRDefault="009E3F81" w:rsidP="009E3F81">
      <w:pPr>
        <w:spacing w:after="0"/>
        <w:rPr>
          <w:rFonts w:ascii="Times New Roman" w:eastAsia="Times New Roman" w:hAnsi="Times New Roman" w:cs="Times New Roman"/>
        </w:rPr>
      </w:pPr>
      <w:r w:rsidRPr="00B631B5">
        <w:rPr>
          <w:rFonts w:ascii="Times New Roman" w:eastAsia="Times New Roman" w:hAnsi="Times New Roman" w:cs="Times New Roman"/>
        </w:rPr>
        <w:t>This study had several limitations:</w:t>
      </w:r>
    </w:p>
    <w:p w14:paraId="1C608771"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Short study duration: The 12-month study period restricted follow-up, preventing evaluation of long-term visual outcomes and MS conversion.</w:t>
      </w:r>
    </w:p>
    <w:p w14:paraId="3E38B120"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Sample size: Although 100 patients were included, larger multicenter cohorts would provide stronger generalizability.</w:t>
      </w:r>
    </w:p>
    <w:p w14:paraId="1FEFDF82"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 xml:space="preserve">Diagnostic limitations: </w:t>
      </w:r>
      <w:r w:rsidRPr="0013022F">
        <w:rPr>
          <w:rFonts w:ascii="Times New Roman" w:eastAsia="Times New Roman" w:hAnsi="Times New Roman" w:cs="Times New Roman"/>
        </w:rPr>
        <w:t>MRI and serological tests were not performed, limiting confirmation of demyelinating versus infectious etiologies. In addition, one-third of eyes could not undergo visual field testing due to severe vision loss, restricting the interpretation of visual field findings.</w:t>
      </w:r>
    </w:p>
    <w:p w14:paraId="505E519F" w14:textId="77777777" w:rsidR="009E3F81" w:rsidRPr="00B631B5" w:rsidRDefault="009E3F81" w:rsidP="009E3F81">
      <w:pPr>
        <w:pStyle w:val="ListParagraph"/>
        <w:numPr>
          <w:ilvl w:val="0"/>
          <w:numId w:val="11"/>
        </w:numPr>
        <w:spacing w:after="0"/>
        <w:rPr>
          <w:rFonts w:ascii="Times New Roman" w:eastAsia="Times New Roman" w:hAnsi="Times New Roman" w:cs="Times New Roman"/>
        </w:rPr>
      </w:pPr>
      <w:r w:rsidRPr="00B631B5">
        <w:rPr>
          <w:rFonts w:ascii="Times New Roman" w:eastAsia="Times New Roman" w:hAnsi="Times New Roman" w:cs="Times New Roman"/>
        </w:rPr>
        <w:t>Sampling bias: Non-random purposive sampling may have introduced selection bias, with hospital-based patients not representing the wider population.</w:t>
      </w:r>
    </w:p>
    <w:p w14:paraId="1FFD0157" w14:textId="77777777" w:rsidR="009E3F81" w:rsidRDefault="009E3F81" w:rsidP="00566981">
      <w:pPr>
        <w:spacing w:after="0"/>
        <w:jc w:val="both"/>
        <w:rPr>
          <w:rFonts w:ascii="Times New Roman" w:eastAsia="Times New Roman" w:hAnsi="Times New Roman" w:cs="Times New Roman"/>
        </w:rPr>
      </w:pPr>
    </w:p>
    <w:p w14:paraId="522A68DE" w14:textId="77777777" w:rsidR="00912FD0" w:rsidRDefault="00912FD0">
      <w:pPr>
        <w:spacing w:after="0"/>
        <w:jc w:val="both"/>
        <w:rPr>
          <w:rFonts w:ascii="Times New Roman" w:eastAsia="Times New Roman" w:hAnsi="Times New Roman" w:cs="Times New Roman"/>
        </w:rPr>
      </w:pPr>
    </w:p>
    <w:p w14:paraId="522A68E7" w14:textId="77777777" w:rsidR="00912FD0" w:rsidRDefault="00912FD0">
      <w:pPr>
        <w:spacing w:after="0"/>
        <w:jc w:val="both"/>
        <w:rPr>
          <w:rFonts w:ascii="Times New Roman" w:eastAsia="Times New Roman" w:hAnsi="Times New Roman" w:cs="Times New Roman"/>
        </w:rPr>
      </w:pPr>
      <w:bookmarkStart w:id="0" w:name="_GoBack"/>
      <w:bookmarkEnd w:id="0"/>
    </w:p>
    <w:p w14:paraId="522A68E8" w14:textId="77777777" w:rsidR="00912FD0" w:rsidRDefault="009A115C">
      <w:pPr>
        <w:spacing w:after="0"/>
        <w:jc w:val="both"/>
        <w:rPr>
          <w:rFonts w:ascii="Times New Roman" w:eastAsia="Times New Roman" w:hAnsi="Times New Roman" w:cs="Times New Roman"/>
          <w:b/>
        </w:rPr>
      </w:pPr>
      <w:r>
        <w:rPr>
          <w:rFonts w:ascii="Times New Roman" w:eastAsia="Times New Roman" w:hAnsi="Times New Roman" w:cs="Times New Roman"/>
          <w:b/>
        </w:rPr>
        <w:t>Ethical approval</w:t>
      </w:r>
    </w:p>
    <w:p w14:paraId="522A68E9" w14:textId="77777777" w:rsidR="00912FD0" w:rsidRDefault="009A115C">
      <w:pPr>
        <w:spacing w:after="0"/>
        <w:jc w:val="both"/>
        <w:rPr>
          <w:rFonts w:ascii="Times New Roman" w:eastAsia="Times New Roman" w:hAnsi="Times New Roman" w:cs="Times New Roman"/>
        </w:rPr>
      </w:pPr>
      <w:r>
        <w:rPr>
          <w:rFonts w:ascii="Times New Roman" w:eastAsia="Times New Roman" w:hAnsi="Times New Roman" w:cs="Times New Roman"/>
        </w:rPr>
        <w:t>The study was approved by the Institutional Ethics Committee.</w:t>
      </w:r>
    </w:p>
    <w:p w14:paraId="2FE94BEE" w14:textId="77777777" w:rsidR="009E3F81" w:rsidRDefault="009E3F81">
      <w:pPr>
        <w:spacing w:after="0"/>
        <w:jc w:val="both"/>
        <w:rPr>
          <w:rFonts w:ascii="Times New Roman" w:eastAsia="Times New Roman" w:hAnsi="Times New Roman" w:cs="Times New Roman"/>
        </w:rPr>
      </w:pPr>
    </w:p>
    <w:p w14:paraId="69881B73" w14:textId="77777777" w:rsidR="009E3F81" w:rsidRPr="009E3F81" w:rsidRDefault="009E3F81" w:rsidP="009E3F81">
      <w:pPr>
        <w:spacing w:after="0"/>
        <w:jc w:val="both"/>
        <w:rPr>
          <w:rFonts w:ascii="Times New Roman" w:eastAsia="Times New Roman" w:hAnsi="Times New Roman" w:cs="Times New Roman"/>
        </w:rPr>
      </w:pPr>
      <w:r w:rsidRPr="009E3F81">
        <w:rPr>
          <w:rFonts w:ascii="Times New Roman" w:eastAsia="Times New Roman" w:hAnsi="Times New Roman" w:cs="Times New Roman"/>
        </w:rPr>
        <w:t>COMPETING INTERESTS DISCLAIMER:</w:t>
      </w:r>
    </w:p>
    <w:p w14:paraId="7D3A6565" w14:textId="2592037D" w:rsidR="009E3F81" w:rsidRDefault="009E3F81" w:rsidP="009E3F81">
      <w:pPr>
        <w:spacing w:after="0"/>
        <w:jc w:val="both"/>
        <w:rPr>
          <w:rFonts w:ascii="Times New Roman" w:eastAsia="Times New Roman" w:hAnsi="Times New Roman" w:cs="Times New Roman"/>
        </w:rPr>
      </w:pPr>
      <w:r w:rsidRPr="009E3F81">
        <w:rPr>
          <w:rFonts w:ascii="Times New Roman" w:eastAsia="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522A68EA" w14:textId="77777777" w:rsidR="00912FD0" w:rsidRDefault="00912FD0">
      <w:pPr>
        <w:spacing w:after="0"/>
        <w:jc w:val="both"/>
        <w:rPr>
          <w:rFonts w:ascii="Times New Roman" w:eastAsia="Times New Roman" w:hAnsi="Times New Roman" w:cs="Times New Roman"/>
        </w:rPr>
      </w:pPr>
    </w:p>
    <w:p w14:paraId="522A68EB" w14:textId="77777777" w:rsidR="00912FD0" w:rsidRDefault="009A115C">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2EFD5B3F" w14:textId="5D302168" w:rsidR="000C40BA" w:rsidRDefault="000C40BA" w:rsidP="00974DCE">
      <w:pPr>
        <w:pStyle w:val="ListParagraph"/>
        <w:numPr>
          <w:ilvl w:val="0"/>
          <w:numId w:val="12"/>
        </w:numPr>
        <w:spacing w:after="0"/>
        <w:jc w:val="both"/>
        <w:rPr>
          <w:rFonts w:ascii="Times New Roman" w:hAnsi="Times New Roman" w:cs="Times New Roman"/>
        </w:rPr>
      </w:pPr>
      <w:r w:rsidRPr="000C40BA">
        <w:rPr>
          <w:rFonts w:ascii="Times New Roman" w:hAnsi="Times New Roman" w:cs="Times New Roman"/>
        </w:rPr>
        <w:t>Kanski JJ, Bowling B. Clinical ophthalmology: a systematic approach. Elsevier Health Sciences; 2011 Apr 28.</w:t>
      </w:r>
    </w:p>
    <w:p w14:paraId="6598CC0E" w14:textId="5C407C0A" w:rsidR="000C40BA" w:rsidRDefault="003F5A29" w:rsidP="00974DCE">
      <w:pPr>
        <w:pStyle w:val="ListParagraph"/>
        <w:numPr>
          <w:ilvl w:val="0"/>
          <w:numId w:val="12"/>
        </w:numPr>
        <w:spacing w:after="0"/>
        <w:jc w:val="both"/>
        <w:rPr>
          <w:rFonts w:ascii="Times New Roman" w:hAnsi="Times New Roman" w:cs="Times New Roman"/>
        </w:rPr>
      </w:pPr>
      <w:proofErr w:type="spellStart"/>
      <w:r w:rsidRPr="003F5A29">
        <w:rPr>
          <w:rFonts w:ascii="Times New Roman" w:hAnsi="Times New Roman" w:cs="Times New Roman"/>
        </w:rPr>
        <w:t>Toosy</w:t>
      </w:r>
      <w:proofErr w:type="spellEnd"/>
      <w:r w:rsidRPr="003F5A29">
        <w:rPr>
          <w:rFonts w:ascii="Times New Roman" w:hAnsi="Times New Roman" w:cs="Times New Roman"/>
        </w:rPr>
        <w:t xml:space="preserve"> AT, Mason DF, Miller DH. Optic neuritis. The Lancet Neurology. 2014 Jan 1;13(1):83-99.</w:t>
      </w:r>
    </w:p>
    <w:p w14:paraId="2BD79E78" w14:textId="0E815403" w:rsidR="003F5A29" w:rsidRDefault="00561457" w:rsidP="00974DCE">
      <w:pPr>
        <w:pStyle w:val="ListParagraph"/>
        <w:numPr>
          <w:ilvl w:val="0"/>
          <w:numId w:val="12"/>
        </w:numPr>
        <w:spacing w:after="0"/>
        <w:jc w:val="both"/>
        <w:rPr>
          <w:rFonts w:ascii="Times New Roman" w:hAnsi="Times New Roman" w:cs="Times New Roman"/>
        </w:rPr>
      </w:pPr>
      <w:r w:rsidRPr="00561457">
        <w:rPr>
          <w:rFonts w:ascii="Times New Roman" w:hAnsi="Times New Roman" w:cs="Times New Roman"/>
        </w:rPr>
        <w:t>Balcer LJ. Optic neuritis. New England Journal of Medicine. 2006 Mar 23;354(12):1273-80.</w:t>
      </w:r>
    </w:p>
    <w:p w14:paraId="4D33DFFF" w14:textId="414CD96D" w:rsidR="00561457" w:rsidRDefault="00561457" w:rsidP="00974DCE">
      <w:pPr>
        <w:pStyle w:val="ListParagraph"/>
        <w:numPr>
          <w:ilvl w:val="0"/>
          <w:numId w:val="12"/>
        </w:numPr>
        <w:spacing w:after="0"/>
        <w:jc w:val="both"/>
        <w:rPr>
          <w:rFonts w:ascii="Times New Roman" w:hAnsi="Times New Roman" w:cs="Times New Roman"/>
        </w:rPr>
      </w:pPr>
      <w:r w:rsidRPr="00561457">
        <w:rPr>
          <w:rFonts w:ascii="Times New Roman" w:hAnsi="Times New Roman" w:cs="Times New Roman"/>
          <w:lang w:val="de-DE"/>
        </w:rPr>
        <w:t xml:space="preserve">Pau D, Al Zubidi N, Yalamanchili S, Plant GT, Lee AG. Optic neuritis. </w:t>
      </w:r>
      <w:r w:rsidRPr="00561457">
        <w:rPr>
          <w:rFonts w:ascii="Times New Roman" w:hAnsi="Times New Roman" w:cs="Times New Roman"/>
        </w:rPr>
        <w:t>Eye. 2011 Jul;25(7):833-42.</w:t>
      </w:r>
    </w:p>
    <w:p w14:paraId="23306E55" w14:textId="4A3B0490" w:rsidR="00561457" w:rsidRDefault="00B20FAD" w:rsidP="00974DCE">
      <w:pPr>
        <w:pStyle w:val="ListParagraph"/>
        <w:numPr>
          <w:ilvl w:val="0"/>
          <w:numId w:val="12"/>
        </w:numPr>
        <w:spacing w:after="0"/>
        <w:jc w:val="both"/>
        <w:rPr>
          <w:rFonts w:ascii="Times New Roman" w:hAnsi="Times New Roman" w:cs="Times New Roman"/>
        </w:rPr>
      </w:pPr>
      <w:r w:rsidRPr="00B20FAD">
        <w:rPr>
          <w:rFonts w:ascii="Times New Roman" w:hAnsi="Times New Roman" w:cs="Times New Roman"/>
        </w:rPr>
        <w:t>Hickman SJ, Dalton CM, Miller DH, Plant GT. Management of acute optic neuritis. The Lancet. 2002 Dec 14;360(9349):1953-62.</w:t>
      </w:r>
    </w:p>
    <w:p w14:paraId="07F388C0" w14:textId="21DB73F0" w:rsidR="00B20FAD" w:rsidRDefault="00487A6D" w:rsidP="00974DCE">
      <w:pPr>
        <w:pStyle w:val="ListParagraph"/>
        <w:numPr>
          <w:ilvl w:val="0"/>
          <w:numId w:val="12"/>
        </w:numPr>
        <w:spacing w:after="0"/>
        <w:jc w:val="both"/>
        <w:rPr>
          <w:rFonts w:ascii="Times New Roman" w:hAnsi="Times New Roman" w:cs="Times New Roman"/>
        </w:rPr>
      </w:pPr>
      <w:r w:rsidRPr="00487A6D">
        <w:rPr>
          <w:rFonts w:ascii="Times New Roman" w:hAnsi="Times New Roman" w:cs="Times New Roman"/>
        </w:rPr>
        <w:lastRenderedPageBreak/>
        <w:t>Woung LC, Lin CH, Tsai CY, Tsai MT, Jou JR, Chou P. Optic neuritis among national health insurance enrollees in Taiwan, 2000–2004. Neuroepidemiology. 2008 Jan 7;29(3-4):250-4.</w:t>
      </w:r>
    </w:p>
    <w:p w14:paraId="2297FCFE" w14:textId="0F9239A0" w:rsidR="00487A6D" w:rsidRDefault="00487A6D" w:rsidP="00974DCE">
      <w:pPr>
        <w:pStyle w:val="ListParagraph"/>
        <w:numPr>
          <w:ilvl w:val="0"/>
          <w:numId w:val="12"/>
        </w:numPr>
        <w:spacing w:after="0"/>
        <w:jc w:val="both"/>
        <w:rPr>
          <w:rFonts w:ascii="Times New Roman" w:hAnsi="Times New Roman" w:cs="Times New Roman"/>
        </w:rPr>
      </w:pPr>
      <w:r w:rsidRPr="00487A6D">
        <w:rPr>
          <w:rFonts w:ascii="Times New Roman" w:hAnsi="Times New Roman" w:cs="Times New Roman"/>
          <w:lang w:val="de-DE"/>
        </w:rPr>
        <w:t xml:space="preserve">Lana-Peixoto MA, Andrade GC. </w:t>
      </w:r>
      <w:r w:rsidRPr="00487A6D">
        <w:rPr>
          <w:rFonts w:ascii="Times New Roman" w:hAnsi="Times New Roman" w:cs="Times New Roman"/>
        </w:rPr>
        <w:t xml:space="preserve">The clinical profile of childhood optic neuritis. </w:t>
      </w:r>
      <w:proofErr w:type="spellStart"/>
      <w:r w:rsidRPr="00487A6D">
        <w:rPr>
          <w:rFonts w:ascii="Times New Roman" w:hAnsi="Times New Roman" w:cs="Times New Roman"/>
        </w:rPr>
        <w:t>Arquivos</w:t>
      </w:r>
      <w:proofErr w:type="spellEnd"/>
      <w:r w:rsidRPr="00487A6D">
        <w:rPr>
          <w:rFonts w:ascii="Times New Roman" w:hAnsi="Times New Roman" w:cs="Times New Roman"/>
        </w:rPr>
        <w:t xml:space="preserve"> de neuro-</w:t>
      </w:r>
      <w:proofErr w:type="spellStart"/>
      <w:r w:rsidRPr="00487A6D">
        <w:rPr>
          <w:rFonts w:ascii="Times New Roman" w:hAnsi="Times New Roman" w:cs="Times New Roman"/>
        </w:rPr>
        <w:t>psiquiatria</w:t>
      </w:r>
      <w:proofErr w:type="spellEnd"/>
      <w:r w:rsidRPr="00487A6D">
        <w:rPr>
          <w:rFonts w:ascii="Times New Roman" w:hAnsi="Times New Roman" w:cs="Times New Roman"/>
        </w:rPr>
        <w:t xml:space="preserve">. </w:t>
      </w:r>
      <w:r w:rsidR="004309D0" w:rsidRPr="00487A6D">
        <w:rPr>
          <w:rFonts w:ascii="Times New Roman" w:hAnsi="Times New Roman" w:cs="Times New Roman"/>
        </w:rPr>
        <w:t>2001; 59:311</w:t>
      </w:r>
      <w:r w:rsidRPr="00487A6D">
        <w:rPr>
          <w:rFonts w:ascii="Times New Roman" w:hAnsi="Times New Roman" w:cs="Times New Roman"/>
        </w:rPr>
        <w:t>-7.</w:t>
      </w:r>
    </w:p>
    <w:p w14:paraId="3509056C" w14:textId="198E5AEA" w:rsidR="00487A6D" w:rsidRDefault="004309D0" w:rsidP="00974DCE">
      <w:pPr>
        <w:pStyle w:val="ListParagraph"/>
        <w:numPr>
          <w:ilvl w:val="0"/>
          <w:numId w:val="12"/>
        </w:numPr>
        <w:spacing w:after="0"/>
        <w:jc w:val="both"/>
        <w:rPr>
          <w:rFonts w:ascii="Times New Roman" w:hAnsi="Times New Roman" w:cs="Times New Roman"/>
        </w:rPr>
      </w:pPr>
      <w:r w:rsidRPr="004309D0">
        <w:rPr>
          <w:rFonts w:ascii="Times New Roman" w:hAnsi="Times New Roman" w:cs="Times New Roman"/>
        </w:rPr>
        <w:t>Optic Neuritis Study Group. The clinical profile of optic neuritis: experience of the Optic Neuritis Treatment Trial. Archives of Ophthalmology. 1991 Dec 1;109(12):1673-8.</w:t>
      </w:r>
    </w:p>
    <w:p w14:paraId="367C05CD" w14:textId="2558F609" w:rsidR="004309D0" w:rsidRDefault="00A02722" w:rsidP="00974DCE">
      <w:pPr>
        <w:pStyle w:val="ListParagraph"/>
        <w:numPr>
          <w:ilvl w:val="0"/>
          <w:numId w:val="12"/>
        </w:numPr>
        <w:spacing w:after="0"/>
        <w:jc w:val="both"/>
        <w:rPr>
          <w:rFonts w:ascii="Times New Roman" w:hAnsi="Times New Roman" w:cs="Times New Roman"/>
        </w:rPr>
      </w:pPr>
      <w:r w:rsidRPr="00A02722">
        <w:rPr>
          <w:rFonts w:ascii="Times New Roman" w:hAnsi="Times New Roman" w:cs="Times New Roman"/>
        </w:rPr>
        <w:t>Lim SA, Goh KY, Tow S, Fu E, Wong TY, Seah A, Tan C, Cullen JF. Optic neuritis in Singapore. Singapore medical journal. 2008 Sep 1;49(9):667.</w:t>
      </w:r>
    </w:p>
    <w:p w14:paraId="18C821C9" w14:textId="5EF2C96C" w:rsidR="00A02722" w:rsidRDefault="00F869E2" w:rsidP="00974DCE">
      <w:pPr>
        <w:pStyle w:val="ListParagraph"/>
        <w:numPr>
          <w:ilvl w:val="0"/>
          <w:numId w:val="12"/>
        </w:numPr>
        <w:spacing w:after="0"/>
        <w:jc w:val="both"/>
        <w:rPr>
          <w:rFonts w:ascii="Times New Roman" w:hAnsi="Times New Roman" w:cs="Times New Roman"/>
        </w:rPr>
      </w:pPr>
      <w:proofErr w:type="spellStart"/>
      <w:r w:rsidRPr="00F869E2">
        <w:rPr>
          <w:rFonts w:ascii="Times New Roman" w:hAnsi="Times New Roman" w:cs="Times New Roman"/>
        </w:rPr>
        <w:t>Pokroy</w:t>
      </w:r>
      <w:proofErr w:type="spellEnd"/>
      <w:r w:rsidRPr="00F869E2">
        <w:rPr>
          <w:rFonts w:ascii="Times New Roman" w:hAnsi="Times New Roman" w:cs="Times New Roman"/>
        </w:rPr>
        <w:t xml:space="preserve"> R, Modi G, Saffer D. Optic neuritis in an urban black African community. Eye. 2001 Jul;15(4):469-73.</w:t>
      </w:r>
    </w:p>
    <w:p w14:paraId="45F0BBE5" w14:textId="5F71C7D2" w:rsidR="00F869E2" w:rsidRDefault="00F869E2" w:rsidP="00974DCE">
      <w:pPr>
        <w:pStyle w:val="ListParagraph"/>
        <w:numPr>
          <w:ilvl w:val="0"/>
          <w:numId w:val="12"/>
        </w:numPr>
        <w:spacing w:after="0"/>
        <w:jc w:val="both"/>
        <w:rPr>
          <w:rFonts w:ascii="Times New Roman" w:hAnsi="Times New Roman" w:cs="Times New Roman"/>
        </w:rPr>
      </w:pPr>
      <w:r w:rsidRPr="00F869E2">
        <w:rPr>
          <w:rFonts w:ascii="Times New Roman" w:hAnsi="Times New Roman" w:cs="Times New Roman"/>
        </w:rPr>
        <w:t>Abdelhakim A, Rasool N. Neuroretinitis: a review. Current opinion in ophthalmology. 2018 Nov 1;29(6):514-9.</w:t>
      </w:r>
    </w:p>
    <w:p w14:paraId="2A37D254" w14:textId="6C045542" w:rsidR="00F869E2" w:rsidRDefault="005A7471" w:rsidP="00974DCE">
      <w:pPr>
        <w:pStyle w:val="ListParagraph"/>
        <w:numPr>
          <w:ilvl w:val="0"/>
          <w:numId w:val="12"/>
        </w:numPr>
        <w:spacing w:after="0"/>
        <w:jc w:val="both"/>
        <w:rPr>
          <w:rFonts w:ascii="Times New Roman" w:hAnsi="Times New Roman" w:cs="Times New Roman"/>
        </w:rPr>
      </w:pPr>
      <w:r w:rsidRPr="005A7471">
        <w:rPr>
          <w:rFonts w:ascii="Times New Roman" w:hAnsi="Times New Roman" w:cs="Times New Roman"/>
        </w:rPr>
        <w:t xml:space="preserve">Saxena R, </w:t>
      </w:r>
      <w:proofErr w:type="spellStart"/>
      <w:r w:rsidRPr="005A7471">
        <w:rPr>
          <w:rFonts w:ascii="Times New Roman" w:hAnsi="Times New Roman" w:cs="Times New Roman"/>
        </w:rPr>
        <w:t>Phuljhele</w:t>
      </w:r>
      <w:proofErr w:type="spellEnd"/>
      <w:r w:rsidRPr="005A7471">
        <w:rPr>
          <w:rFonts w:ascii="Times New Roman" w:hAnsi="Times New Roman" w:cs="Times New Roman"/>
        </w:rPr>
        <w:t xml:space="preserve"> S, Menon V, </w:t>
      </w:r>
      <w:proofErr w:type="spellStart"/>
      <w:r w:rsidRPr="005A7471">
        <w:rPr>
          <w:rFonts w:ascii="Times New Roman" w:hAnsi="Times New Roman" w:cs="Times New Roman"/>
        </w:rPr>
        <w:t>Gadaginamath</w:t>
      </w:r>
      <w:proofErr w:type="spellEnd"/>
      <w:r w:rsidRPr="005A7471">
        <w:rPr>
          <w:rFonts w:ascii="Times New Roman" w:hAnsi="Times New Roman" w:cs="Times New Roman"/>
        </w:rPr>
        <w:t xml:space="preserve"> S, Sinha A, Sharma P. Clinical profile and short-term outcomes of optic neuritis patients in India. Indian journal of ophthalmology. 2014 Mar 1;62(3):265-7.</w:t>
      </w:r>
    </w:p>
    <w:p w14:paraId="57833FA6" w14:textId="4404902F" w:rsidR="005A7471" w:rsidRDefault="007F1B89" w:rsidP="00974DCE">
      <w:pPr>
        <w:pStyle w:val="ListParagraph"/>
        <w:numPr>
          <w:ilvl w:val="0"/>
          <w:numId w:val="12"/>
        </w:numPr>
        <w:spacing w:after="0"/>
        <w:jc w:val="both"/>
        <w:rPr>
          <w:rFonts w:ascii="Times New Roman" w:hAnsi="Times New Roman" w:cs="Times New Roman"/>
        </w:rPr>
      </w:pPr>
      <w:r w:rsidRPr="007F1B89">
        <w:rPr>
          <w:rFonts w:ascii="Times New Roman" w:hAnsi="Times New Roman" w:cs="Times New Roman"/>
        </w:rPr>
        <w:t xml:space="preserve">Hickman SJ, </w:t>
      </w:r>
      <w:proofErr w:type="spellStart"/>
      <w:r w:rsidRPr="007F1B89">
        <w:rPr>
          <w:rFonts w:ascii="Times New Roman" w:hAnsi="Times New Roman" w:cs="Times New Roman"/>
        </w:rPr>
        <w:t>Toosy</w:t>
      </w:r>
      <w:proofErr w:type="spellEnd"/>
      <w:r w:rsidRPr="007F1B89">
        <w:rPr>
          <w:rFonts w:ascii="Times New Roman" w:hAnsi="Times New Roman" w:cs="Times New Roman"/>
        </w:rPr>
        <w:t xml:space="preserve"> AT, </w:t>
      </w:r>
      <w:proofErr w:type="spellStart"/>
      <w:r w:rsidRPr="007F1B89">
        <w:rPr>
          <w:rFonts w:ascii="Times New Roman" w:hAnsi="Times New Roman" w:cs="Times New Roman"/>
        </w:rPr>
        <w:t>Miszkiel</w:t>
      </w:r>
      <w:proofErr w:type="spellEnd"/>
      <w:r w:rsidRPr="007F1B89">
        <w:rPr>
          <w:rFonts w:ascii="Times New Roman" w:hAnsi="Times New Roman" w:cs="Times New Roman"/>
        </w:rPr>
        <w:t xml:space="preserve"> KA, Jones SJ, Altmann DR, MacManus DG, Plant GT, Thompson AJ, Miller DH. Visual recovery following acute optic neuritis: a clinical, electrophysiological and magnetic resonance imaging study. Journal of neurology. 2004 Aug;251(8):996-1005.</w:t>
      </w:r>
    </w:p>
    <w:p w14:paraId="67F23A8B" w14:textId="33758453" w:rsidR="007F1B89" w:rsidRDefault="00180C63" w:rsidP="00974DCE">
      <w:pPr>
        <w:pStyle w:val="ListParagraph"/>
        <w:numPr>
          <w:ilvl w:val="0"/>
          <w:numId w:val="12"/>
        </w:numPr>
        <w:spacing w:after="0"/>
        <w:jc w:val="both"/>
        <w:rPr>
          <w:rFonts w:ascii="Times New Roman" w:hAnsi="Times New Roman" w:cs="Times New Roman"/>
        </w:rPr>
      </w:pPr>
      <w:r w:rsidRPr="00180C63">
        <w:rPr>
          <w:rFonts w:ascii="Times New Roman" w:hAnsi="Times New Roman" w:cs="Times New Roman"/>
        </w:rPr>
        <w:t xml:space="preserve">Khadse R, Ravindran M, Pawar N, Maharajan P, </w:t>
      </w:r>
      <w:proofErr w:type="spellStart"/>
      <w:r w:rsidRPr="00180C63">
        <w:rPr>
          <w:rFonts w:ascii="Times New Roman" w:hAnsi="Times New Roman" w:cs="Times New Roman"/>
        </w:rPr>
        <w:t>Rengappa</w:t>
      </w:r>
      <w:proofErr w:type="spellEnd"/>
      <w:r w:rsidRPr="00180C63">
        <w:rPr>
          <w:rFonts w:ascii="Times New Roman" w:hAnsi="Times New Roman" w:cs="Times New Roman"/>
        </w:rPr>
        <w:t xml:space="preserve"> R. Reply to Pediatric optic neuritis: Points to ponder. Indian journal of ophthalmology. 2017 Nov 1;65(11):1267-8.</w:t>
      </w:r>
    </w:p>
    <w:p w14:paraId="4EA65688" w14:textId="6136B593" w:rsidR="00180C63" w:rsidRDefault="00180C63" w:rsidP="00974DCE">
      <w:pPr>
        <w:pStyle w:val="ListParagraph"/>
        <w:numPr>
          <w:ilvl w:val="0"/>
          <w:numId w:val="12"/>
        </w:numPr>
        <w:spacing w:after="0"/>
        <w:jc w:val="both"/>
        <w:rPr>
          <w:rFonts w:ascii="Times New Roman" w:hAnsi="Times New Roman" w:cs="Times New Roman"/>
        </w:rPr>
      </w:pPr>
      <w:proofErr w:type="spellStart"/>
      <w:r w:rsidRPr="00180C63">
        <w:rPr>
          <w:rFonts w:ascii="Times New Roman" w:hAnsi="Times New Roman" w:cs="Times New Roman"/>
        </w:rPr>
        <w:t>Wakakura</w:t>
      </w:r>
      <w:proofErr w:type="spellEnd"/>
      <w:r w:rsidRPr="00180C63">
        <w:rPr>
          <w:rFonts w:ascii="Times New Roman" w:hAnsi="Times New Roman" w:cs="Times New Roman"/>
        </w:rPr>
        <w:t xml:space="preserve"> M, </w:t>
      </w:r>
      <w:proofErr w:type="spellStart"/>
      <w:r w:rsidRPr="00180C63">
        <w:rPr>
          <w:rFonts w:ascii="Times New Roman" w:hAnsi="Times New Roman" w:cs="Times New Roman"/>
        </w:rPr>
        <w:t>Minei-Higa</w:t>
      </w:r>
      <w:proofErr w:type="spellEnd"/>
      <w:r w:rsidRPr="00180C63">
        <w:rPr>
          <w:rFonts w:ascii="Times New Roman" w:hAnsi="Times New Roman" w:cs="Times New Roman"/>
        </w:rPr>
        <w:t xml:space="preserve"> R, </w:t>
      </w:r>
      <w:proofErr w:type="spellStart"/>
      <w:r w:rsidRPr="00180C63">
        <w:rPr>
          <w:rFonts w:ascii="Times New Roman" w:hAnsi="Times New Roman" w:cs="Times New Roman"/>
        </w:rPr>
        <w:t>Oono</w:t>
      </w:r>
      <w:proofErr w:type="spellEnd"/>
      <w:r w:rsidRPr="00180C63">
        <w:rPr>
          <w:rFonts w:ascii="Times New Roman" w:hAnsi="Times New Roman" w:cs="Times New Roman"/>
        </w:rPr>
        <w:t xml:space="preserve"> S, Matsui Y, Tabuchi A, Kani K, Shikishima K, Kawai K, Nakao Y, Tazawa Y, </w:t>
      </w:r>
      <w:proofErr w:type="spellStart"/>
      <w:r w:rsidRPr="00180C63">
        <w:rPr>
          <w:rFonts w:ascii="Times New Roman" w:hAnsi="Times New Roman" w:cs="Times New Roman"/>
        </w:rPr>
        <w:t>Kiyosawa</w:t>
      </w:r>
      <w:proofErr w:type="spellEnd"/>
      <w:r w:rsidRPr="00180C63">
        <w:rPr>
          <w:rFonts w:ascii="Times New Roman" w:hAnsi="Times New Roman" w:cs="Times New Roman"/>
        </w:rPr>
        <w:t xml:space="preserve"> M. Baseline features of idiopathic optic neuritis as determined by a multicenter treatment trial in Japan. Japanese journal of ophthalmology. 1999 Mar 1;43(2):127-32.</w:t>
      </w:r>
    </w:p>
    <w:p w14:paraId="111BAD47" w14:textId="20E4A516" w:rsidR="00180C63" w:rsidRDefault="00D03717" w:rsidP="00974DCE">
      <w:pPr>
        <w:pStyle w:val="ListParagraph"/>
        <w:numPr>
          <w:ilvl w:val="0"/>
          <w:numId w:val="12"/>
        </w:numPr>
        <w:spacing w:after="0"/>
        <w:jc w:val="both"/>
        <w:rPr>
          <w:rFonts w:ascii="Times New Roman" w:hAnsi="Times New Roman" w:cs="Times New Roman"/>
        </w:rPr>
      </w:pPr>
      <w:proofErr w:type="spellStart"/>
      <w:r w:rsidRPr="00D03717">
        <w:rPr>
          <w:rFonts w:ascii="Times New Roman" w:hAnsi="Times New Roman" w:cs="Times New Roman"/>
        </w:rPr>
        <w:t>Mustak</w:t>
      </w:r>
      <w:proofErr w:type="spellEnd"/>
      <w:r w:rsidRPr="00D03717">
        <w:rPr>
          <w:rFonts w:ascii="Times New Roman" w:hAnsi="Times New Roman" w:cs="Times New Roman"/>
        </w:rPr>
        <w:t xml:space="preserve"> H, Cook C. Clinical profile and outcomes of optic neuritis in an HIV prevalent urban community in South Africa. Middle East African Journal of Ophthalmology. 2017 Jul 1;24(3):131-5.</w:t>
      </w:r>
    </w:p>
    <w:p w14:paraId="40F6A835" w14:textId="0B29B893" w:rsidR="00D03717" w:rsidRDefault="00D03717" w:rsidP="00974DCE">
      <w:pPr>
        <w:pStyle w:val="ListParagraph"/>
        <w:numPr>
          <w:ilvl w:val="0"/>
          <w:numId w:val="12"/>
        </w:numPr>
        <w:spacing w:after="0"/>
        <w:jc w:val="both"/>
        <w:rPr>
          <w:rFonts w:ascii="Times New Roman" w:hAnsi="Times New Roman" w:cs="Times New Roman"/>
        </w:rPr>
      </w:pPr>
      <w:r w:rsidRPr="00D03717">
        <w:rPr>
          <w:rFonts w:ascii="Times New Roman" w:hAnsi="Times New Roman" w:cs="Times New Roman"/>
        </w:rPr>
        <w:t>Zhou H, Wang W, Xu Q, Tan S, Zhao S, Yang M, Peng C, Wei S. Clinical features and visual outcomes of optic neuritis in Chinese children. Journal of ophthalmology. 2016;2016(1):9167361.</w:t>
      </w:r>
    </w:p>
    <w:p w14:paraId="59BF7FE8" w14:textId="7B7EE41D" w:rsidR="00D03717" w:rsidRDefault="009B430E" w:rsidP="00974DCE">
      <w:pPr>
        <w:pStyle w:val="ListParagraph"/>
        <w:numPr>
          <w:ilvl w:val="0"/>
          <w:numId w:val="12"/>
        </w:numPr>
        <w:spacing w:after="0"/>
        <w:jc w:val="both"/>
        <w:rPr>
          <w:rFonts w:ascii="Times New Roman" w:hAnsi="Times New Roman" w:cs="Times New Roman"/>
        </w:rPr>
      </w:pPr>
      <w:proofErr w:type="spellStart"/>
      <w:r w:rsidRPr="009B430E">
        <w:rPr>
          <w:rFonts w:ascii="Times New Roman" w:hAnsi="Times New Roman" w:cs="Times New Roman"/>
        </w:rPr>
        <w:t>Rajkarnikar</w:t>
      </w:r>
      <w:proofErr w:type="spellEnd"/>
      <w:r w:rsidRPr="009B430E">
        <w:rPr>
          <w:rFonts w:ascii="Times New Roman" w:hAnsi="Times New Roman" w:cs="Times New Roman"/>
        </w:rPr>
        <w:t xml:space="preserve"> S, Gurung A, Pant SN. The Clinical Profile of Idiopathic Optic Neuritis at the Ophthalmology OPD of Tertiary Centre of Army Hospital, Nepal. Medical Journal of Shree Birendra Hospital. 2021 Feb 2;20(1):70-6.</w:t>
      </w:r>
    </w:p>
    <w:p w14:paraId="4A9750F2" w14:textId="56DBF0BA" w:rsidR="009B430E" w:rsidRDefault="00C60FFA" w:rsidP="00974DCE">
      <w:pPr>
        <w:pStyle w:val="ListParagraph"/>
        <w:numPr>
          <w:ilvl w:val="0"/>
          <w:numId w:val="12"/>
        </w:numPr>
        <w:spacing w:after="0"/>
        <w:jc w:val="both"/>
        <w:rPr>
          <w:rFonts w:ascii="Times New Roman" w:hAnsi="Times New Roman" w:cs="Times New Roman"/>
        </w:rPr>
      </w:pPr>
      <w:proofErr w:type="spellStart"/>
      <w:r w:rsidRPr="00C60FFA">
        <w:rPr>
          <w:rFonts w:ascii="Times New Roman" w:hAnsi="Times New Roman" w:cs="Times New Roman"/>
        </w:rPr>
        <w:t>Shatriah</w:t>
      </w:r>
      <w:proofErr w:type="spellEnd"/>
      <w:r w:rsidRPr="00C60FFA">
        <w:rPr>
          <w:rFonts w:ascii="Times New Roman" w:hAnsi="Times New Roman" w:cs="Times New Roman"/>
        </w:rPr>
        <w:t xml:space="preserve"> I, </w:t>
      </w:r>
      <w:proofErr w:type="spellStart"/>
      <w:r w:rsidRPr="00C60FFA">
        <w:rPr>
          <w:rFonts w:ascii="Times New Roman" w:hAnsi="Times New Roman" w:cs="Times New Roman"/>
        </w:rPr>
        <w:t>Hitam</w:t>
      </w:r>
      <w:proofErr w:type="spellEnd"/>
      <w:r w:rsidRPr="00C60FFA">
        <w:rPr>
          <w:rFonts w:ascii="Times New Roman" w:hAnsi="Times New Roman" w:cs="Times New Roman"/>
        </w:rPr>
        <w:t xml:space="preserve"> WH, Nor-</w:t>
      </w:r>
      <w:proofErr w:type="spellStart"/>
      <w:r w:rsidRPr="00C60FFA">
        <w:rPr>
          <w:rFonts w:ascii="Times New Roman" w:hAnsi="Times New Roman" w:cs="Times New Roman"/>
        </w:rPr>
        <w:t>Idahriani</w:t>
      </w:r>
      <w:proofErr w:type="spellEnd"/>
      <w:r w:rsidRPr="00C60FFA">
        <w:rPr>
          <w:rFonts w:ascii="Times New Roman" w:hAnsi="Times New Roman" w:cs="Times New Roman"/>
        </w:rPr>
        <w:t xml:space="preserve"> MN, </w:t>
      </w:r>
      <w:proofErr w:type="spellStart"/>
      <w:r w:rsidRPr="00C60FFA">
        <w:rPr>
          <w:rFonts w:ascii="Times New Roman" w:hAnsi="Times New Roman" w:cs="Times New Roman"/>
        </w:rPr>
        <w:t>Jakiyah</w:t>
      </w:r>
      <w:proofErr w:type="spellEnd"/>
      <w:r w:rsidRPr="00C60FFA">
        <w:rPr>
          <w:rFonts w:ascii="Times New Roman" w:hAnsi="Times New Roman" w:cs="Times New Roman"/>
        </w:rPr>
        <w:t xml:space="preserve"> D, </w:t>
      </w:r>
      <w:proofErr w:type="spellStart"/>
      <w:r w:rsidRPr="00C60FFA">
        <w:rPr>
          <w:rFonts w:ascii="Times New Roman" w:hAnsi="Times New Roman" w:cs="Times New Roman"/>
        </w:rPr>
        <w:t>Zunaina</w:t>
      </w:r>
      <w:proofErr w:type="spellEnd"/>
      <w:r w:rsidRPr="00C60FFA">
        <w:rPr>
          <w:rFonts w:ascii="Times New Roman" w:hAnsi="Times New Roman" w:cs="Times New Roman"/>
        </w:rPr>
        <w:t xml:space="preserve"> E. Clinical profile and </w:t>
      </w:r>
      <w:proofErr w:type="spellStart"/>
      <w:r w:rsidRPr="00C60FFA">
        <w:rPr>
          <w:rFonts w:ascii="Times New Roman" w:hAnsi="Times New Roman" w:cs="Times New Roman"/>
        </w:rPr>
        <w:t>aetiology</w:t>
      </w:r>
      <w:proofErr w:type="spellEnd"/>
      <w:r w:rsidRPr="00C60FFA">
        <w:rPr>
          <w:rFonts w:ascii="Times New Roman" w:hAnsi="Times New Roman" w:cs="Times New Roman"/>
        </w:rPr>
        <w:t xml:space="preserve"> of optic neuritis in Hospital </w:t>
      </w:r>
      <w:proofErr w:type="spellStart"/>
      <w:r w:rsidRPr="00C60FFA">
        <w:rPr>
          <w:rFonts w:ascii="Times New Roman" w:hAnsi="Times New Roman" w:cs="Times New Roman"/>
        </w:rPr>
        <w:t>Universiti</w:t>
      </w:r>
      <w:proofErr w:type="spellEnd"/>
      <w:r w:rsidRPr="00C60FFA">
        <w:rPr>
          <w:rFonts w:ascii="Times New Roman" w:hAnsi="Times New Roman" w:cs="Times New Roman"/>
        </w:rPr>
        <w:t xml:space="preserve"> </w:t>
      </w:r>
      <w:proofErr w:type="spellStart"/>
      <w:r w:rsidRPr="00C60FFA">
        <w:rPr>
          <w:rFonts w:ascii="Times New Roman" w:hAnsi="Times New Roman" w:cs="Times New Roman"/>
        </w:rPr>
        <w:t>Sains</w:t>
      </w:r>
      <w:proofErr w:type="spellEnd"/>
      <w:r w:rsidRPr="00C60FFA">
        <w:rPr>
          <w:rFonts w:ascii="Times New Roman" w:hAnsi="Times New Roman" w:cs="Times New Roman"/>
        </w:rPr>
        <w:t xml:space="preserve"> Malaysia–5 years review. Med. j. </w:t>
      </w:r>
      <w:proofErr w:type="spellStart"/>
      <w:r w:rsidRPr="00C60FFA">
        <w:rPr>
          <w:rFonts w:ascii="Times New Roman" w:hAnsi="Times New Roman" w:cs="Times New Roman"/>
        </w:rPr>
        <w:t>malaysia</w:t>
      </w:r>
      <w:proofErr w:type="spellEnd"/>
      <w:r w:rsidRPr="00C60FFA">
        <w:rPr>
          <w:rFonts w:ascii="Times New Roman" w:hAnsi="Times New Roman" w:cs="Times New Roman"/>
        </w:rPr>
        <w:t>. 2012:159-64.</w:t>
      </w:r>
    </w:p>
    <w:p w14:paraId="549AA208" w14:textId="0E8D87F9" w:rsidR="00C60FFA" w:rsidRDefault="00415779" w:rsidP="00974DCE">
      <w:pPr>
        <w:pStyle w:val="ListParagraph"/>
        <w:numPr>
          <w:ilvl w:val="0"/>
          <w:numId w:val="12"/>
        </w:numPr>
        <w:spacing w:after="0"/>
        <w:jc w:val="both"/>
        <w:rPr>
          <w:rFonts w:ascii="Times New Roman" w:hAnsi="Times New Roman" w:cs="Times New Roman"/>
        </w:rPr>
      </w:pPr>
      <w:r w:rsidRPr="00415779">
        <w:rPr>
          <w:rFonts w:ascii="Times New Roman" w:hAnsi="Times New Roman" w:cs="Times New Roman"/>
        </w:rPr>
        <w:t>Du Y, Yang J, Li JJ, Zhou RW, He JF. Unilateral optic neuritis in a Chinese population in three centers. Journal of Clinical Neuroscience. 2011 Jul 1;18(7):902-4.</w:t>
      </w:r>
    </w:p>
    <w:p w14:paraId="6387070F" w14:textId="4B7F315D" w:rsidR="00415779" w:rsidRDefault="000D7F6A" w:rsidP="00974DCE">
      <w:pPr>
        <w:pStyle w:val="ListParagraph"/>
        <w:numPr>
          <w:ilvl w:val="0"/>
          <w:numId w:val="12"/>
        </w:numPr>
        <w:spacing w:after="0"/>
        <w:jc w:val="both"/>
        <w:rPr>
          <w:rFonts w:ascii="Times New Roman" w:hAnsi="Times New Roman" w:cs="Times New Roman"/>
        </w:rPr>
      </w:pPr>
      <w:r w:rsidRPr="000D7F6A">
        <w:rPr>
          <w:rFonts w:ascii="Times New Roman" w:hAnsi="Times New Roman" w:cs="Times New Roman"/>
        </w:rPr>
        <w:t xml:space="preserve">Khadse R, Ravindran M, Pawar N, Maharajan P, </w:t>
      </w:r>
      <w:proofErr w:type="spellStart"/>
      <w:r w:rsidRPr="000D7F6A">
        <w:rPr>
          <w:rFonts w:ascii="Times New Roman" w:hAnsi="Times New Roman" w:cs="Times New Roman"/>
        </w:rPr>
        <w:t>Rengappa</w:t>
      </w:r>
      <w:proofErr w:type="spellEnd"/>
      <w:r w:rsidRPr="000D7F6A">
        <w:rPr>
          <w:rFonts w:ascii="Times New Roman" w:hAnsi="Times New Roman" w:cs="Times New Roman"/>
        </w:rPr>
        <w:t xml:space="preserve"> R. Reply to Pediatric optic neuritis: Points to ponder. Indian journal of ophthalmology. 2017 Nov 1;65(11):1267-8.</w:t>
      </w:r>
    </w:p>
    <w:p w14:paraId="68BDF9D0" w14:textId="3D8D663D" w:rsidR="000D7F6A" w:rsidRDefault="00EF1E17" w:rsidP="00974DCE">
      <w:pPr>
        <w:pStyle w:val="ListParagraph"/>
        <w:numPr>
          <w:ilvl w:val="0"/>
          <w:numId w:val="12"/>
        </w:numPr>
        <w:spacing w:after="0"/>
        <w:jc w:val="both"/>
        <w:rPr>
          <w:rFonts w:ascii="Times New Roman" w:hAnsi="Times New Roman" w:cs="Times New Roman"/>
        </w:rPr>
      </w:pPr>
      <w:r w:rsidRPr="00EF1E17">
        <w:rPr>
          <w:rFonts w:ascii="Times New Roman" w:hAnsi="Times New Roman" w:cs="Times New Roman"/>
          <w:lang w:val="de-DE"/>
        </w:rPr>
        <w:t xml:space="preserve">AHN BC, KIM HS, AHN HS. </w:t>
      </w:r>
      <w:r w:rsidRPr="00EF1E17">
        <w:rPr>
          <w:rFonts w:ascii="Times New Roman" w:hAnsi="Times New Roman" w:cs="Times New Roman"/>
        </w:rPr>
        <w:t>Clinical profile of the optic neuritis in Korea. Journal of the Korean Ophthalmological Society. 1997:1827-33.</w:t>
      </w:r>
    </w:p>
    <w:p w14:paraId="42C77D69" w14:textId="401C16ED" w:rsidR="00EF1E17" w:rsidRDefault="00EF1E17" w:rsidP="00974DCE">
      <w:pPr>
        <w:pStyle w:val="ListParagraph"/>
        <w:numPr>
          <w:ilvl w:val="0"/>
          <w:numId w:val="12"/>
        </w:numPr>
        <w:spacing w:after="0"/>
        <w:jc w:val="both"/>
        <w:rPr>
          <w:rFonts w:ascii="Times New Roman" w:hAnsi="Times New Roman" w:cs="Times New Roman"/>
        </w:rPr>
      </w:pPr>
      <w:r w:rsidRPr="00EF1E17">
        <w:rPr>
          <w:rFonts w:ascii="Times New Roman" w:hAnsi="Times New Roman" w:cs="Times New Roman"/>
        </w:rPr>
        <w:t xml:space="preserve">Beck RW, Gal RL, Bhatti MT, Brodsky MC, Buckley EG, </w:t>
      </w:r>
      <w:proofErr w:type="spellStart"/>
      <w:r w:rsidRPr="00EF1E17">
        <w:rPr>
          <w:rFonts w:ascii="Times New Roman" w:hAnsi="Times New Roman" w:cs="Times New Roman"/>
        </w:rPr>
        <w:t>Chrousos</w:t>
      </w:r>
      <w:proofErr w:type="spellEnd"/>
      <w:r w:rsidRPr="00EF1E17">
        <w:rPr>
          <w:rFonts w:ascii="Times New Roman" w:hAnsi="Times New Roman" w:cs="Times New Roman"/>
        </w:rPr>
        <w:t xml:space="preserve"> GA, Corbett J, Eggenberger E, Goodwin JA, Katz B, Kaufman DI. Visual function more than 10 years after optic neuritis: </w:t>
      </w:r>
      <w:r w:rsidRPr="00EF1E17">
        <w:rPr>
          <w:rFonts w:ascii="Times New Roman" w:hAnsi="Times New Roman" w:cs="Times New Roman"/>
        </w:rPr>
        <w:lastRenderedPageBreak/>
        <w:t>experience of the optic neuritis treatment trial. American journal of ophthalmology. 2004 Jan 1;137(1):77-83.</w:t>
      </w:r>
    </w:p>
    <w:p w14:paraId="1086AE5F" w14:textId="6D4F3C0F" w:rsidR="0029755D" w:rsidRDefault="0029755D" w:rsidP="00974DCE">
      <w:pPr>
        <w:pStyle w:val="ListParagraph"/>
        <w:numPr>
          <w:ilvl w:val="0"/>
          <w:numId w:val="12"/>
        </w:numPr>
        <w:spacing w:after="0"/>
        <w:jc w:val="both"/>
        <w:rPr>
          <w:rFonts w:ascii="Times New Roman" w:hAnsi="Times New Roman" w:cs="Times New Roman"/>
        </w:rPr>
      </w:pPr>
      <w:r w:rsidRPr="0029755D">
        <w:rPr>
          <w:rFonts w:ascii="Times New Roman" w:hAnsi="Times New Roman" w:cs="Times New Roman"/>
        </w:rPr>
        <w:t>Optic Neuritis Study Group*. The 5-year risk of MS after optic neuritis: experience of the Optic Neuritis Treatment Trial. Neurology. 1997 Nov;49(5):1404-13.</w:t>
      </w:r>
    </w:p>
    <w:sectPr w:rsidR="0029755D" w:rsidSect="006B1BC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4D84A" w14:textId="77777777" w:rsidR="00AF6CC5" w:rsidRDefault="00AF6CC5" w:rsidP="003C2CB3">
      <w:pPr>
        <w:spacing w:after="0" w:line="240" w:lineRule="auto"/>
      </w:pPr>
      <w:r>
        <w:separator/>
      </w:r>
    </w:p>
  </w:endnote>
  <w:endnote w:type="continuationSeparator" w:id="0">
    <w:p w14:paraId="5BB22970" w14:textId="77777777" w:rsidR="00AF6CC5" w:rsidRDefault="00AF6CC5" w:rsidP="003C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D66" w14:textId="77777777" w:rsidR="003C2CB3" w:rsidRDefault="003C2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ED0F7" w14:textId="77777777" w:rsidR="003C2CB3" w:rsidRDefault="003C2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7F8A1" w14:textId="77777777" w:rsidR="003C2CB3" w:rsidRDefault="003C2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CA7EF" w14:textId="77777777" w:rsidR="00AF6CC5" w:rsidRDefault="00AF6CC5" w:rsidP="003C2CB3">
      <w:pPr>
        <w:spacing w:after="0" w:line="240" w:lineRule="auto"/>
      </w:pPr>
      <w:r>
        <w:separator/>
      </w:r>
    </w:p>
  </w:footnote>
  <w:footnote w:type="continuationSeparator" w:id="0">
    <w:p w14:paraId="6BBD6978" w14:textId="77777777" w:rsidR="00AF6CC5" w:rsidRDefault="00AF6CC5" w:rsidP="003C2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7D85D" w14:textId="5D7678CA" w:rsidR="003C2CB3" w:rsidRDefault="003C2CB3">
    <w:pPr>
      <w:pStyle w:val="Header"/>
    </w:pPr>
    <w:r>
      <w:rPr>
        <w:noProof/>
      </w:rPr>
      <w:pict w14:anchorId="40782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21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7213D" w14:textId="41735ADC" w:rsidR="003C2CB3" w:rsidRDefault="003C2CB3">
    <w:pPr>
      <w:pStyle w:val="Header"/>
    </w:pPr>
    <w:r>
      <w:rPr>
        <w:noProof/>
      </w:rPr>
      <w:pict w14:anchorId="6D5A6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21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18D8" w14:textId="3D0638E8" w:rsidR="003C2CB3" w:rsidRDefault="003C2CB3">
    <w:pPr>
      <w:pStyle w:val="Header"/>
    </w:pPr>
    <w:r>
      <w:rPr>
        <w:noProof/>
      </w:rPr>
      <w:pict w14:anchorId="7939E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21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E61"/>
    <w:multiLevelType w:val="hybridMultilevel"/>
    <w:tmpl w:val="594E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057C8"/>
    <w:multiLevelType w:val="hybridMultilevel"/>
    <w:tmpl w:val="AA7E53F2"/>
    <w:lvl w:ilvl="0" w:tplc="4D0078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4776A"/>
    <w:multiLevelType w:val="hybridMultilevel"/>
    <w:tmpl w:val="C204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36A68"/>
    <w:multiLevelType w:val="multilevel"/>
    <w:tmpl w:val="AE9C07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ADD7075"/>
    <w:multiLevelType w:val="hybridMultilevel"/>
    <w:tmpl w:val="2FAE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10AF9"/>
    <w:multiLevelType w:val="multilevel"/>
    <w:tmpl w:val="5D2CD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500A1E"/>
    <w:multiLevelType w:val="hybridMultilevel"/>
    <w:tmpl w:val="A812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B5D4D"/>
    <w:multiLevelType w:val="hybridMultilevel"/>
    <w:tmpl w:val="1A2A1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054FCA"/>
    <w:multiLevelType w:val="multilevel"/>
    <w:tmpl w:val="737A7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987AD4"/>
    <w:multiLevelType w:val="hybridMultilevel"/>
    <w:tmpl w:val="65A25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33DD7"/>
    <w:multiLevelType w:val="hybridMultilevel"/>
    <w:tmpl w:val="39C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51EA0"/>
    <w:multiLevelType w:val="hybridMultilevel"/>
    <w:tmpl w:val="24507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2C2701"/>
    <w:multiLevelType w:val="hybridMultilevel"/>
    <w:tmpl w:val="F5BA67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2"/>
  </w:num>
  <w:num w:numId="4">
    <w:abstractNumId w:val="1"/>
  </w:num>
  <w:num w:numId="5">
    <w:abstractNumId w:val="5"/>
  </w:num>
  <w:num w:numId="6">
    <w:abstractNumId w:val="10"/>
  </w:num>
  <w:num w:numId="7">
    <w:abstractNumId w:val="8"/>
  </w:num>
  <w:num w:numId="8">
    <w:abstractNumId w:val="6"/>
  </w:num>
  <w:num w:numId="9">
    <w:abstractNumId w:val="0"/>
  </w:num>
  <w:num w:numId="10">
    <w:abstractNumId w:val="4"/>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FD0"/>
    <w:rsid w:val="000100A7"/>
    <w:rsid w:val="00021CDD"/>
    <w:rsid w:val="00032752"/>
    <w:rsid w:val="000A3AB7"/>
    <w:rsid w:val="000A3FB2"/>
    <w:rsid w:val="000B34D3"/>
    <w:rsid w:val="000C40BA"/>
    <w:rsid w:val="000D7F6A"/>
    <w:rsid w:val="000E6552"/>
    <w:rsid w:val="000F2CB7"/>
    <w:rsid w:val="001031CA"/>
    <w:rsid w:val="0013022F"/>
    <w:rsid w:val="00135F46"/>
    <w:rsid w:val="001472B1"/>
    <w:rsid w:val="00153E6C"/>
    <w:rsid w:val="00180C63"/>
    <w:rsid w:val="001C0384"/>
    <w:rsid w:val="001C536A"/>
    <w:rsid w:val="001E7C2B"/>
    <w:rsid w:val="002067EE"/>
    <w:rsid w:val="00212C43"/>
    <w:rsid w:val="0029755D"/>
    <w:rsid w:val="002D0EB8"/>
    <w:rsid w:val="002F4A79"/>
    <w:rsid w:val="003238E4"/>
    <w:rsid w:val="003279FB"/>
    <w:rsid w:val="00327C2A"/>
    <w:rsid w:val="00360BE4"/>
    <w:rsid w:val="003C2CB3"/>
    <w:rsid w:val="003D6505"/>
    <w:rsid w:val="003F5A29"/>
    <w:rsid w:val="004061FC"/>
    <w:rsid w:val="00415779"/>
    <w:rsid w:val="00416DA9"/>
    <w:rsid w:val="00421922"/>
    <w:rsid w:val="00424E42"/>
    <w:rsid w:val="004309D0"/>
    <w:rsid w:val="00455213"/>
    <w:rsid w:val="00487A6D"/>
    <w:rsid w:val="004B465D"/>
    <w:rsid w:val="004D3008"/>
    <w:rsid w:val="004F1F26"/>
    <w:rsid w:val="0050644C"/>
    <w:rsid w:val="0052237F"/>
    <w:rsid w:val="00561457"/>
    <w:rsid w:val="00566981"/>
    <w:rsid w:val="005A7471"/>
    <w:rsid w:val="005C2A9A"/>
    <w:rsid w:val="005E0BD7"/>
    <w:rsid w:val="005F6A6D"/>
    <w:rsid w:val="00606F97"/>
    <w:rsid w:val="00655A76"/>
    <w:rsid w:val="00666A0E"/>
    <w:rsid w:val="00697F8D"/>
    <w:rsid w:val="006A0888"/>
    <w:rsid w:val="006B1BC2"/>
    <w:rsid w:val="007169E6"/>
    <w:rsid w:val="00730A13"/>
    <w:rsid w:val="007370B8"/>
    <w:rsid w:val="00751BF2"/>
    <w:rsid w:val="00760FE6"/>
    <w:rsid w:val="007A10A1"/>
    <w:rsid w:val="007A68CA"/>
    <w:rsid w:val="007E0BE4"/>
    <w:rsid w:val="007F1B89"/>
    <w:rsid w:val="00800D06"/>
    <w:rsid w:val="00823C60"/>
    <w:rsid w:val="00852DA1"/>
    <w:rsid w:val="00860D2D"/>
    <w:rsid w:val="008777D1"/>
    <w:rsid w:val="00894119"/>
    <w:rsid w:val="008A6951"/>
    <w:rsid w:val="008B6A9A"/>
    <w:rsid w:val="008D2BD4"/>
    <w:rsid w:val="008E227E"/>
    <w:rsid w:val="008E388B"/>
    <w:rsid w:val="008E63D6"/>
    <w:rsid w:val="008E7416"/>
    <w:rsid w:val="009039A4"/>
    <w:rsid w:val="00912FD0"/>
    <w:rsid w:val="009270F2"/>
    <w:rsid w:val="0095350A"/>
    <w:rsid w:val="00974DCE"/>
    <w:rsid w:val="009A115C"/>
    <w:rsid w:val="009A1E33"/>
    <w:rsid w:val="009B384D"/>
    <w:rsid w:val="009B430E"/>
    <w:rsid w:val="009E3F81"/>
    <w:rsid w:val="009E49EB"/>
    <w:rsid w:val="009F5B2F"/>
    <w:rsid w:val="00A0217F"/>
    <w:rsid w:val="00A02722"/>
    <w:rsid w:val="00A42ECA"/>
    <w:rsid w:val="00A532EA"/>
    <w:rsid w:val="00AA6044"/>
    <w:rsid w:val="00AB2B3D"/>
    <w:rsid w:val="00AF6CC5"/>
    <w:rsid w:val="00B022A6"/>
    <w:rsid w:val="00B20FAD"/>
    <w:rsid w:val="00B45D46"/>
    <w:rsid w:val="00B631B5"/>
    <w:rsid w:val="00B81C95"/>
    <w:rsid w:val="00BA0491"/>
    <w:rsid w:val="00BD1F9C"/>
    <w:rsid w:val="00BE3651"/>
    <w:rsid w:val="00BE6D0D"/>
    <w:rsid w:val="00C60FFA"/>
    <w:rsid w:val="00C71B9F"/>
    <w:rsid w:val="00CF21BE"/>
    <w:rsid w:val="00D03717"/>
    <w:rsid w:val="00D21CF2"/>
    <w:rsid w:val="00D42661"/>
    <w:rsid w:val="00DF187A"/>
    <w:rsid w:val="00E137CE"/>
    <w:rsid w:val="00E704A7"/>
    <w:rsid w:val="00E86253"/>
    <w:rsid w:val="00E93DFC"/>
    <w:rsid w:val="00EA10BD"/>
    <w:rsid w:val="00EF1E17"/>
    <w:rsid w:val="00F0142F"/>
    <w:rsid w:val="00F2691F"/>
    <w:rsid w:val="00F670F2"/>
    <w:rsid w:val="00F869E2"/>
    <w:rsid w:val="00FC3E12"/>
    <w:rsid w:val="00FD5E1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2A68AB"/>
  <w15:docId w15:val="{39C213C8-E026-4483-AE0E-15AC709D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F1A"/>
  </w:style>
  <w:style w:type="paragraph" w:styleId="Heading1">
    <w:name w:val="heading 1"/>
    <w:basedOn w:val="Normal"/>
    <w:next w:val="Normal"/>
    <w:rsid w:val="006B1BC2"/>
    <w:pPr>
      <w:keepNext/>
      <w:keepLines/>
      <w:spacing w:before="480" w:after="120"/>
      <w:outlineLvl w:val="0"/>
    </w:pPr>
    <w:rPr>
      <w:b/>
      <w:sz w:val="48"/>
      <w:szCs w:val="48"/>
    </w:rPr>
  </w:style>
  <w:style w:type="paragraph" w:styleId="Heading2">
    <w:name w:val="heading 2"/>
    <w:basedOn w:val="Normal"/>
    <w:next w:val="Normal"/>
    <w:rsid w:val="006B1BC2"/>
    <w:pPr>
      <w:keepNext/>
      <w:keepLines/>
      <w:spacing w:before="360" w:after="80"/>
      <w:outlineLvl w:val="1"/>
    </w:pPr>
    <w:rPr>
      <w:b/>
      <w:sz w:val="36"/>
      <w:szCs w:val="36"/>
    </w:rPr>
  </w:style>
  <w:style w:type="paragraph" w:styleId="Heading3">
    <w:name w:val="heading 3"/>
    <w:basedOn w:val="Normal"/>
    <w:next w:val="Normal"/>
    <w:rsid w:val="006B1BC2"/>
    <w:pPr>
      <w:keepNext/>
      <w:keepLines/>
      <w:spacing w:before="280" w:after="80"/>
      <w:outlineLvl w:val="2"/>
    </w:pPr>
    <w:rPr>
      <w:b/>
      <w:sz w:val="28"/>
      <w:szCs w:val="28"/>
    </w:rPr>
  </w:style>
  <w:style w:type="paragraph" w:styleId="Heading4">
    <w:name w:val="heading 4"/>
    <w:basedOn w:val="Normal"/>
    <w:next w:val="Normal"/>
    <w:rsid w:val="006B1BC2"/>
    <w:pPr>
      <w:keepNext/>
      <w:keepLines/>
      <w:spacing w:before="240" w:after="40"/>
      <w:outlineLvl w:val="3"/>
    </w:pPr>
    <w:rPr>
      <w:b/>
      <w:sz w:val="24"/>
      <w:szCs w:val="24"/>
    </w:rPr>
  </w:style>
  <w:style w:type="paragraph" w:styleId="Heading5">
    <w:name w:val="heading 5"/>
    <w:basedOn w:val="Normal"/>
    <w:next w:val="Normal"/>
    <w:rsid w:val="006B1BC2"/>
    <w:pPr>
      <w:keepNext/>
      <w:keepLines/>
      <w:spacing w:before="220" w:after="40"/>
      <w:outlineLvl w:val="4"/>
    </w:pPr>
    <w:rPr>
      <w:b/>
    </w:rPr>
  </w:style>
  <w:style w:type="paragraph" w:styleId="Heading6">
    <w:name w:val="heading 6"/>
    <w:basedOn w:val="Normal"/>
    <w:next w:val="Normal"/>
    <w:rsid w:val="006B1B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1BC2"/>
    <w:pPr>
      <w:keepNext/>
      <w:keepLines/>
      <w:spacing w:before="480" w:after="120"/>
    </w:pPr>
    <w:rPr>
      <w:b/>
      <w:sz w:val="72"/>
      <w:szCs w:val="72"/>
    </w:rPr>
  </w:style>
  <w:style w:type="paragraph" w:styleId="ListParagraph">
    <w:name w:val="List Paragraph"/>
    <w:basedOn w:val="Normal"/>
    <w:uiPriority w:val="34"/>
    <w:qFormat/>
    <w:rsid w:val="00962417"/>
    <w:pPr>
      <w:ind w:left="720"/>
      <w:contextualSpacing/>
    </w:pPr>
  </w:style>
  <w:style w:type="table" w:customStyle="1" w:styleId="Style1">
    <w:name w:val="Style1"/>
    <w:basedOn w:val="TableNormal"/>
    <w:uiPriority w:val="99"/>
    <w:rsid w:val="007824DF"/>
    <w:pPr>
      <w:spacing w:after="0" w:line="240" w:lineRule="auto"/>
    </w:pPr>
    <w:tblP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Pr>
  </w:style>
  <w:style w:type="paragraph" w:styleId="BalloonText">
    <w:name w:val="Balloon Text"/>
    <w:basedOn w:val="Normal"/>
    <w:link w:val="BalloonTextChar"/>
    <w:uiPriority w:val="99"/>
    <w:semiHidden/>
    <w:unhideWhenUsed/>
    <w:rsid w:val="0083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0C6"/>
    <w:rPr>
      <w:rFonts w:ascii="Tahoma" w:hAnsi="Tahoma" w:cs="Tahoma"/>
      <w:sz w:val="16"/>
      <w:szCs w:val="16"/>
    </w:rPr>
  </w:style>
  <w:style w:type="paragraph" w:styleId="NoSpacing">
    <w:name w:val="No Spacing"/>
    <w:uiPriority w:val="1"/>
    <w:qFormat/>
    <w:rsid w:val="00D92215"/>
    <w:pPr>
      <w:spacing w:after="0" w:line="240" w:lineRule="auto"/>
    </w:pPr>
  </w:style>
  <w:style w:type="paragraph" w:styleId="Subtitle">
    <w:name w:val="Subtitle"/>
    <w:basedOn w:val="Normal"/>
    <w:next w:val="Normal"/>
    <w:rsid w:val="006B1BC2"/>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EA10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0BD"/>
    <w:rPr>
      <w:b/>
      <w:bCs/>
    </w:rPr>
  </w:style>
  <w:style w:type="character" w:styleId="Emphasis">
    <w:name w:val="Emphasis"/>
    <w:basedOn w:val="DefaultParagraphFont"/>
    <w:uiPriority w:val="20"/>
    <w:qFormat/>
    <w:rsid w:val="00EA10BD"/>
    <w:rPr>
      <w:i/>
      <w:iCs/>
    </w:rPr>
  </w:style>
  <w:style w:type="paragraph" w:customStyle="1" w:styleId="Default">
    <w:name w:val="Default"/>
    <w:rsid w:val="007E0BE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5350A"/>
    <w:rPr>
      <w:color w:val="0000FF" w:themeColor="hyperlink"/>
      <w:u w:val="single"/>
    </w:rPr>
  </w:style>
  <w:style w:type="character" w:styleId="UnresolvedMention">
    <w:name w:val="Unresolved Mention"/>
    <w:basedOn w:val="DefaultParagraphFont"/>
    <w:uiPriority w:val="99"/>
    <w:semiHidden/>
    <w:unhideWhenUsed/>
    <w:rsid w:val="0095350A"/>
    <w:rPr>
      <w:color w:val="605E5C"/>
      <w:shd w:val="clear" w:color="auto" w:fill="E1DFDD"/>
    </w:rPr>
  </w:style>
  <w:style w:type="paragraph" w:styleId="Header">
    <w:name w:val="header"/>
    <w:basedOn w:val="Normal"/>
    <w:link w:val="HeaderChar"/>
    <w:uiPriority w:val="99"/>
    <w:unhideWhenUsed/>
    <w:rsid w:val="003C2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CB3"/>
  </w:style>
  <w:style w:type="paragraph" w:styleId="Footer">
    <w:name w:val="footer"/>
    <w:basedOn w:val="Normal"/>
    <w:link w:val="FooterChar"/>
    <w:uiPriority w:val="99"/>
    <w:unhideWhenUsed/>
    <w:rsid w:val="003C2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638">
      <w:bodyDiv w:val="1"/>
      <w:marLeft w:val="0"/>
      <w:marRight w:val="0"/>
      <w:marTop w:val="0"/>
      <w:marBottom w:val="0"/>
      <w:divBdr>
        <w:top w:val="none" w:sz="0" w:space="0" w:color="auto"/>
        <w:left w:val="none" w:sz="0" w:space="0" w:color="auto"/>
        <w:bottom w:val="none" w:sz="0" w:space="0" w:color="auto"/>
        <w:right w:val="none" w:sz="0" w:space="0" w:color="auto"/>
      </w:divBdr>
    </w:div>
    <w:div w:id="332147771">
      <w:bodyDiv w:val="1"/>
      <w:marLeft w:val="0"/>
      <w:marRight w:val="0"/>
      <w:marTop w:val="0"/>
      <w:marBottom w:val="0"/>
      <w:divBdr>
        <w:top w:val="none" w:sz="0" w:space="0" w:color="auto"/>
        <w:left w:val="none" w:sz="0" w:space="0" w:color="auto"/>
        <w:bottom w:val="none" w:sz="0" w:space="0" w:color="auto"/>
        <w:right w:val="none" w:sz="0" w:space="0" w:color="auto"/>
      </w:divBdr>
    </w:div>
    <w:div w:id="405961160">
      <w:bodyDiv w:val="1"/>
      <w:marLeft w:val="0"/>
      <w:marRight w:val="0"/>
      <w:marTop w:val="0"/>
      <w:marBottom w:val="0"/>
      <w:divBdr>
        <w:top w:val="none" w:sz="0" w:space="0" w:color="auto"/>
        <w:left w:val="none" w:sz="0" w:space="0" w:color="auto"/>
        <w:bottom w:val="none" w:sz="0" w:space="0" w:color="auto"/>
        <w:right w:val="none" w:sz="0" w:space="0" w:color="auto"/>
      </w:divBdr>
    </w:div>
    <w:div w:id="419447029">
      <w:bodyDiv w:val="1"/>
      <w:marLeft w:val="0"/>
      <w:marRight w:val="0"/>
      <w:marTop w:val="0"/>
      <w:marBottom w:val="0"/>
      <w:divBdr>
        <w:top w:val="none" w:sz="0" w:space="0" w:color="auto"/>
        <w:left w:val="none" w:sz="0" w:space="0" w:color="auto"/>
        <w:bottom w:val="none" w:sz="0" w:space="0" w:color="auto"/>
        <w:right w:val="none" w:sz="0" w:space="0" w:color="auto"/>
      </w:divBdr>
    </w:div>
    <w:div w:id="428357633">
      <w:bodyDiv w:val="1"/>
      <w:marLeft w:val="0"/>
      <w:marRight w:val="0"/>
      <w:marTop w:val="0"/>
      <w:marBottom w:val="0"/>
      <w:divBdr>
        <w:top w:val="none" w:sz="0" w:space="0" w:color="auto"/>
        <w:left w:val="none" w:sz="0" w:space="0" w:color="auto"/>
        <w:bottom w:val="none" w:sz="0" w:space="0" w:color="auto"/>
        <w:right w:val="none" w:sz="0" w:space="0" w:color="auto"/>
      </w:divBdr>
    </w:div>
    <w:div w:id="574163856">
      <w:bodyDiv w:val="1"/>
      <w:marLeft w:val="0"/>
      <w:marRight w:val="0"/>
      <w:marTop w:val="0"/>
      <w:marBottom w:val="0"/>
      <w:divBdr>
        <w:top w:val="none" w:sz="0" w:space="0" w:color="auto"/>
        <w:left w:val="none" w:sz="0" w:space="0" w:color="auto"/>
        <w:bottom w:val="none" w:sz="0" w:space="0" w:color="auto"/>
        <w:right w:val="none" w:sz="0" w:space="0" w:color="auto"/>
      </w:divBdr>
    </w:div>
    <w:div w:id="592905309">
      <w:bodyDiv w:val="1"/>
      <w:marLeft w:val="0"/>
      <w:marRight w:val="0"/>
      <w:marTop w:val="0"/>
      <w:marBottom w:val="0"/>
      <w:divBdr>
        <w:top w:val="none" w:sz="0" w:space="0" w:color="auto"/>
        <w:left w:val="none" w:sz="0" w:space="0" w:color="auto"/>
        <w:bottom w:val="none" w:sz="0" w:space="0" w:color="auto"/>
        <w:right w:val="none" w:sz="0" w:space="0" w:color="auto"/>
      </w:divBdr>
    </w:div>
    <w:div w:id="686177313">
      <w:bodyDiv w:val="1"/>
      <w:marLeft w:val="0"/>
      <w:marRight w:val="0"/>
      <w:marTop w:val="0"/>
      <w:marBottom w:val="0"/>
      <w:divBdr>
        <w:top w:val="none" w:sz="0" w:space="0" w:color="auto"/>
        <w:left w:val="none" w:sz="0" w:space="0" w:color="auto"/>
        <w:bottom w:val="none" w:sz="0" w:space="0" w:color="auto"/>
        <w:right w:val="none" w:sz="0" w:space="0" w:color="auto"/>
      </w:divBdr>
    </w:div>
    <w:div w:id="827550344">
      <w:bodyDiv w:val="1"/>
      <w:marLeft w:val="0"/>
      <w:marRight w:val="0"/>
      <w:marTop w:val="0"/>
      <w:marBottom w:val="0"/>
      <w:divBdr>
        <w:top w:val="none" w:sz="0" w:space="0" w:color="auto"/>
        <w:left w:val="none" w:sz="0" w:space="0" w:color="auto"/>
        <w:bottom w:val="none" w:sz="0" w:space="0" w:color="auto"/>
        <w:right w:val="none" w:sz="0" w:space="0" w:color="auto"/>
      </w:divBdr>
    </w:div>
    <w:div w:id="1021004903">
      <w:bodyDiv w:val="1"/>
      <w:marLeft w:val="0"/>
      <w:marRight w:val="0"/>
      <w:marTop w:val="0"/>
      <w:marBottom w:val="0"/>
      <w:divBdr>
        <w:top w:val="none" w:sz="0" w:space="0" w:color="auto"/>
        <w:left w:val="none" w:sz="0" w:space="0" w:color="auto"/>
        <w:bottom w:val="none" w:sz="0" w:space="0" w:color="auto"/>
        <w:right w:val="none" w:sz="0" w:space="0" w:color="auto"/>
      </w:divBdr>
    </w:div>
    <w:div w:id="1689985811">
      <w:bodyDiv w:val="1"/>
      <w:marLeft w:val="0"/>
      <w:marRight w:val="0"/>
      <w:marTop w:val="0"/>
      <w:marBottom w:val="0"/>
      <w:divBdr>
        <w:top w:val="none" w:sz="0" w:space="0" w:color="auto"/>
        <w:left w:val="none" w:sz="0" w:space="0" w:color="auto"/>
        <w:bottom w:val="none" w:sz="0" w:space="0" w:color="auto"/>
        <w:right w:val="none" w:sz="0" w:space="0" w:color="auto"/>
      </w:divBdr>
    </w:div>
    <w:div w:id="1823424130">
      <w:bodyDiv w:val="1"/>
      <w:marLeft w:val="0"/>
      <w:marRight w:val="0"/>
      <w:marTop w:val="0"/>
      <w:marBottom w:val="0"/>
      <w:divBdr>
        <w:top w:val="none" w:sz="0" w:space="0" w:color="auto"/>
        <w:left w:val="none" w:sz="0" w:space="0" w:color="auto"/>
        <w:bottom w:val="none" w:sz="0" w:space="0" w:color="auto"/>
        <w:right w:val="none" w:sz="0" w:space="0" w:color="auto"/>
      </w:divBdr>
    </w:div>
    <w:div w:id="1829202053">
      <w:bodyDiv w:val="1"/>
      <w:marLeft w:val="0"/>
      <w:marRight w:val="0"/>
      <w:marTop w:val="0"/>
      <w:marBottom w:val="0"/>
      <w:divBdr>
        <w:top w:val="none" w:sz="0" w:space="0" w:color="auto"/>
        <w:left w:val="none" w:sz="0" w:space="0" w:color="auto"/>
        <w:bottom w:val="none" w:sz="0" w:space="0" w:color="auto"/>
        <w:right w:val="none" w:sz="0" w:space="0" w:color="auto"/>
      </w:divBdr>
    </w:div>
    <w:div w:id="1880581224">
      <w:bodyDiv w:val="1"/>
      <w:marLeft w:val="0"/>
      <w:marRight w:val="0"/>
      <w:marTop w:val="0"/>
      <w:marBottom w:val="0"/>
      <w:divBdr>
        <w:top w:val="none" w:sz="0" w:space="0" w:color="auto"/>
        <w:left w:val="none" w:sz="0" w:space="0" w:color="auto"/>
        <w:bottom w:val="none" w:sz="0" w:space="0" w:color="auto"/>
        <w:right w:val="none" w:sz="0" w:space="0" w:color="auto"/>
      </w:divBdr>
    </w:div>
    <w:div w:id="1947695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Self%20and%20Others\Tuni\BCPS%20Thesis\Analysis\Tables%20and%20graphs_Sanjida_Thesis_Optic%20neuriti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E:\Self%20and%20Others\Tuni\BCPS%20Thesis\Analysis\Tables%20and%20graphs_Sanjida_Thesis_Optic%20neurit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Age group in years (%)</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Sheet3!$B$19</c:f>
              <c:strCache>
                <c:ptCount val="1"/>
                <c:pt idx="0">
                  <c:v>=&lt;9</c:v>
                </c:pt>
              </c:strCache>
            </c:strRef>
          </c:tx>
          <c:spPr>
            <a:solidFill>
              <a:schemeClr val="accent1"/>
            </a:solidFill>
            <a:ln>
              <a:solidFill>
                <a:schemeClr val="tx1"/>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Sheet3!$B$20:$B$25</c:f>
              <c:numCache>
                <c:formatCode>###0</c:formatCode>
                <c:ptCount val="6"/>
                <c:pt idx="0">
                  <c:v>0</c:v>
                </c:pt>
                <c:pt idx="1">
                  <c:v>9</c:v>
                </c:pt>
                <c:pt idx="2">
                  <c:v>0</c:v>
                </c:pt>
                <c:pt idx="3">
                  <c:v>0</c:v>
                </c:pt>
                <c:pt idx="4">
                  <c:v>0</c:v>
                </c:pt>
                <c:pt idx="5">
                  <c:v>0</c:v>
                </c:pt>
              </c:numCache>
            </c:numRef>
          </c:val>
          <c:extLst>
            <c:ext xmlns:c16="http://schemas.microsoft.com/office/drawing/2014/chart" uri="{C3380CC4-5D6E-409C-BE32-E72D297353CC}">
              <c16:uniqueId val="{00000000-FAEB-46D4-A00A-B913194481A9}"/>
            </c:ext>
          </c:extLst>
        </c:ser>
        <c:ser>
          <c:idx val="1"/>
          <c:order val="1"/>
          <c:tx>
            <c:strRef>
              <c:f>Sheet3!$C$19</c:f>
              <c:strCache>
                <c:ptCount val="1"/>
                <c:pt idx="0">
                  <c:v>10-19</c:v>
                </c:pt>
              </c:strCache>
            </c:strRef>
          </c:tx>
          <c:spPr>
            <a:solidFill>
              <a:schemeClr val="accent2"/>
            </a:solidFill>
            <a:ln>
              <a:solidFill>
                <a:schemeClr val="tx1"/>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Sheet3!$C$20:$C$25</c:f>
              <c:numCache>
                <c:formatCode>###0</c:formatCode>
                <c:ptCount val="6"/>
                <c:pt idx="0">
                  <c:v>3</c:v>
                </c:pt>
                <c:pt idx="1">
                  <c:v>7</c:v>
                </c:pt>
                <c:pt idx="2">
                  <c:v>0</c:v>
                </c:pt>
                <c:pt idx="3">
                  <c:v>5</c:v>
                </c:pt>
                <c:pt idx="4">
                  <c:v>0</c:v>
                </c:pt>
                <c:pt idx="5">
                  <c:v>0</c:v>
                </c:pt>
              </c:numCache>
            </c:numRef>
          </c:val>
          <c:extLst>
            <c:ext xmlns:c16="http://schemas.microsoft.com/office/drawing/2014/chart" uri="{C3380CC4-5D6E-409C-BE32-E72D297353CC}">
              <c16:uniqueId val="{00000001-FAEB-46D4-A00A-B913194481A9}"/>
            </c:ext>
          </c:extLst>
        </c:ser>
        <c:ser>
          <c:idx val="2"/>
          <c:order val="2"/>
          <c:tx>
            <c:strRef>
              <c:f>Sheet3!$D$19</c:f>
              <c:strCache>
                <c:ptCount val="1"/>
                <c:pt idx="0">
                  <c:v>20-29</c:v>
                </c:pt>
              </c:strCache>
            </c:strRef>
          </c:tx>
          <c:spPr>
            <a:solidFill>
              <a:schemeClr val="accent3"/>
            </a:solidFill>
            <a:ln>
              <a:solidFill>
                <a:schemeClr val="tx1"/>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Sheet3!$D$20:$D$25</c:f>
              <c:numCache>
                <c:formatCode>###0</c:formatCode>
                <c:ptCount val="6"/>
                <c:pt idx="0">
                  <c:v>13</c:v>
                </c:pt>
                <c:pt idx="1">
                  <c:v>3</c:v>
                </c:pt>
                <c:pt idx="2">
                  <c:v>0</c:v>
                </c:pt>
                <c:pt idx="3">
                  <c:v>0</c:v>
                </c:pt>
                <c:pt idx="4">
                  <c:v>0</c:v>
                </c:pt>
                <c:pt idx="5">
                  <c:v>0</c:v>
                </c:pt>
              </c:numCache>
            </c:numRef>
          </c:val>
          <c:extLst>
            <c:ext xmlns:c16="http://schemas.microsoft.com/office/drawing/2014/chart" uri="{C3380CC4-5D6E-409C-BE32-E72D297353CC}">
              <c16:uniqueId val="{00000002-FAEB-46D4-A00A-B913194481A9}"/>
            </c:ext>
          </c:extLst>
        </c:ser>
        <c:ser>
          <c:idx val="3"/>
          <c:order val="3"/>
          <c:tx>
            <c:strRef>
              <c:f>Sheet3!$E$19</c:f>
              <c:strCache>
                <c:ptCount val="1"/>
                <c:pt idx="0">
                  <c:v>30-39</c:v>
                </c:pt>
              </c:strCache>
            </c:strRef>
          </c:tx>
          <c:spPr>
            <a:solidFill>
              <a:schemeClr val="accent4"/>
            </a:solidFill>
            <a:ln>
              <a:solidFill>
                <a:sysClr val="windowText" lastClr="000000"/>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Sheet3!$E$20:$E$25</c:f>
              <c:numCache>
                <c:formatCode>###0</c:formatCode>
                <c:ptCount val="6"/>
                <c:pt idx="0">
                  <c:v>22</c:v>
                </c:pt>
                <c:pt idx="1">
                  <c:v>0</c:v>
                </c:pt>
                <c:pt idx="2">
                  <c:v>1</c:v>
                </c:pt>
                <c:pt idx="3">
                  <c:v>2</c:v>
                </c:pt>
                <c:pt idx="4">
                  <c:v>1</c:v>
                </c:pt>
                <c:pt idx="5">
                  <c:v>0</c:v>
                </c:pt>
              </c:numCache>
            </c:numRef>
          </c:val>
          <c:extLst>
            <c:ext xmlns:c16="http://schemas.microsoft.com/office/drawing/2014/chart" uri="{C3380CC4-5D6E-409C-BE32-E72D297353CC}">
              <c16:uniqueId val="{00000003-FAEB-46D4-A00A-B913194481A9}"/>
            </c:ext>
          </c:extLst>
        </c:ser>
        <c:ser>
          <c:idx val="4"/>
          <c:order val="4"/>
          <c:tx>
            <c:strRef>
              <c:f>Sheet3!$F$19</c:f>
              <c:strCache>
                <c:ptCount val="1"/>
                <c:pt idx="0">
                  <c:v>40-49</c:v>
                </c:pt>
              </c:strCache>
            </c:strRef>
          </c:tx>
          <c:spPr>
            <a:solidFill>
              <a:schemeClr val="accent5"/>
            </a:solidFill>
            <a:ln>
              <a:solidFill>
                <a:sysClr val="windowText" lastClr="000000"/>
              </a:solidFill>
            </a:ln>
            <a:effectLst/>
          </c:spPr>
          <c:invertIfNegative val="0"/>
          <c:cat>
            <c:strRef>
              <c:f>Sheet3!$A$20:$A$25</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Sheet3!$F$20:$F$25</c:f>
              <c:numCache>
                <c:formatCode>###0</c:formatCode>
                <c:ptCount val="6"/>
                <c:pt idx="0">
                  <c:v>19</c:v>
                </c:pt>
                <c:pt idx="1">
                  <c:v>10</c:v>
                </c:pt>
                <c:pt idx="2">
                  <c:v>0</c:v>
                </c:pt>
                <c:pt idx="3">
                  <c:v>2</c:v>
                </c:pt>
                <c:pt idx="4">
                  <c:v>2</c:v>
                </c:pt>
                <c:pt idx="5">
                  <c:v>1</c:v>
                </c:pt>
              </c:numCache>
            </c:numRef>
          </c:val>
          <c:extLst>
            <c:ext xmlns:c16="http://schemas.microsoft.com/office/drawing/2014/chart" uri="{C3380CC4-5D6E-409C-BE32-E72D297353CC}">
              <c16:uniqueId val="{00000004-FAEB-46D4-A00A-B913194481A9}"/>
            </c:ext>
          </c:extLst>
        </c:ser>
        <c:dLbls>
          <c:showLegendKey val="0"/>
          <c:showVal val="0"/>
          <c:showCatName val="0"/>
          <c:showSerName val="0"/>
          <c:showPercent val="0"/>
          <c:showBubbleSize val="0"/>
        </c:dLbls>
        <c:gapWidth val="150"/>
        <c:overlap val="100"/>
        <c:axId val="450321968"/>
        <c:axId val="450316872"/>
      </c:barChart>
      <c:catAx>
        <c:axId val="45032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0316872"/>
        <c:crosses val="autoZero"/>
        <c:auto val="1"/>
        <c:lblAlgn val="ctr"/>
        <c:lblOffset val="100"/>
        <c:noMultiLvlLbl val="0"/>
      </c:catAx>
      <c:valAx>
        <c:axId val="450316872"/>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03219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Sex (%)</a:t>
            </a:r>
          </a:p>
        </c:rich>
      </c:tx>
      <c:layout>
        <c:manualLayout>
          <c:xMode val="edge"/>
          <c:yMode val="edge"/>
          <c:x val="0.44072900262467191"/>
          <c:y val="2.777777777777777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stacked"/>
        <c:varyColors val="0"/>
        <c:ser>
          <c:idx val="0"/>
          <c:order val="0"/>
          <c:tx>
            <c:strRef>
              <c:f>Sheet2!$B$21</c:f>
              <c:strCache>
                <c:ptCount val="1"/>
                <c:pt idx="0">
                  <c:v>Male</c:v>
                </c:pt>
              </c:strCache>
            </c:strRef>
          </c:tx>
          <c:spPr>
            <a:solidFill>
              <a:srgbClr val="00B0F0"/>
            </a:solidFill>
            <a:ln>
              <a:solidFill>
                <a:sysClr val="windowText" lastClr="000000"/>
              </a:solidFill>
            </a:ln>
            <a:effectLst/>
          </c:spPr>
          <c:invertIfNegative val="0"/>
          <c:cat>
            <c:strRef>
              <c:f>Sheet2!$A$22:$A$27</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Sheet2!$B$22:$B$27</c:f>
              <c:numCache>
                <c:formatCode>###0</c:formatCode>
                <c:ptCount val="6"/>
                <c:pt idx="0">
                  <c:v>38</c:v>
                </c:pt>
                <c:pt idx="1">
                  <c:v>7</c:v>
                </c:pt>
                <c:pt idx="2">
                  <c:v>0</c:v>
                </c:pt>
                <c:pt idx="3">
                  <c:v>8</c:v>
                </c:pt>
                <c:pt idx="4">
                  <c:v>0</c:v>
                </c:pt>
                <c:pt idx="5">
                  <c:v>1</c:v>
                </c:pt>
              </c:numCache>
            </c:numRef>
          </c:val>
          <c:extLst>
            <c:ext xmlns:c16="http://schemas.microsoft.com/office/drawing/2014/chart" uri="{C3380CC4-5D6E-409C-BE32-E72D297353CC}">
              <c16:uniqueId val="{00000000-03F0-45CC-885F-908797DF451D}"/>
            </c:ext>
          </c:extLst>
        </c:ser>
        <c:ser>
          <c:idx val="1"/>
          <c:order val="1"/>
          <c:tx>
            <c:strRef>
              <c:f>Sheet2!$C$21</c:f>
              <c:strCache>
                <c:ptCount val="1"/>
                <c:pt idx="0">
                  <c:v>Female</c:v>
                </c:pt>
              </c:strCache>
            </c:strRef>
          </c:tx>
          <c:spPr>
            <a:solidFill>
              <a:schemeClr val="accent4"/>
            </a:solidFill>
            <a:ln>
              <a:solidFill>
                <a:schemeClr val="tx1"/>
              </a:solidFill>
            </a:ln>
            <a:effectLst/>
          </c:spPr>
          <c:invertIfNegative val="0"/>
          <c:cat>
            <c:strRef>
              <c:f>Sheet2!$A$22:$A$27</c:f>
              <c:strCache>
                <c:ptCount val="6"/>
                <c:pt idx="0">
                  <c:v>Unilateral papillitis</c:v>
                </c:pt>
                <c:pt idx="1">
                  <c:v>Bilateral papillitis</c:v>
                </c:pt>
                <c:pt idx="2">
                  <c:v>Unilateral RBN</c:v>
                </c:pt>
                <c:pt idx="3">
                  <c:v>Bilateral RBN</c:v>
                </c:pt>
                <c:pt idx="4">
                  <c:v>Unilateral neuroretinitis</c:v>
                </c:pt>
                <c:pt idx="5">
                  <c:v>Bilatearl neuroretinitis</c:v>
                </c:pt>
              </c:strCache>
            </c:strRef>
          </c:cat>
          <c:val>
            <c:numRef>
              <c:f>Sheet2!$C$22:$C$27</c:f>
              <c:numCache>
                <c:formatCode>###0</c:formatCode>
                <c:ptCount val="6"/>
                <c:pt idx="0">
                  <c:v>19</c:v>
                </c:pt>
                <c:pt idx="1">
                  <c:v>22</c:v>
                </c:pt>
                <c:pt idx="2">
                  <c:v>1</c:v>
                </c:pt>
                <c:pt idx="3">
                  <c:v>1</c:v>
                </c:pt>
                <c:pt idx="4">
                  <c:v>3</c:v>
                </c:pt>
                <c:pt idx="5">
                  <c:v>0</c:v>
                </c:pt>
              </c:numCache>
            </c:numRef>
          </c:val>
          <c:extLst>
            <c:ext xmlns:c16="http://schemas.microsoft.com/office/drawing/2014/chart" uri="{C3380CC4-5D6E-409C-BE32-E72D297353CC}">
              <c16:uniqueId val="{00000001-03F0-45CC-885F-908797DF451D}"/>
            </c:ext>
          </c:extLst>
        </c:ser>
        <c:dLbls>
          <c:showLegendKey val="0"/>
          <c:showVal val="0"/>
          <c:showCatName val="0"/>
          <c:showSerName val="0"/>
          <c:showPercent val="0"/>
          <c:showBubbleSize val="0"/>
        </c:dLbls>
        <c:gapWidth val="150"/>
        <c:overlap val="100"/>
        <c:axId val="450320008"/>
        <c:axId val="450323536"/>
      </c:barChart>
      <c:catAx>
        <c:axId val="450320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0323536"/>
        <c:crosses val="autoZero"/>
        <c:auto val="1"/>
        <c:lblAlgn val="ctr"/>
        <c:lblOffset val="100"/>
        <c:noMultiLvlLbl val="0"/>
      </c:catAx>
      <c:valAx>
        <c:axId val="450323536"/>
        <c:scaling>
          <c:orientation val="minMax"/>
          <c:max val="1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0320008"/>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gCid/5dQUuntuKmOR8s2kASuQ==">CgMxLjAyCGguZ2pkZ3hzOAByITFOMVBaX3BMcHptMXNaZEQtNUJqSEtxc2FpdnhXZXJYaA==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33</cp:revision>
  <dcterms:created xsi:type="dcterms:W3CDTF">2025-09-01T12:37:00Z</dcterms:created>
  <dcterms:modified xsi:type="dcterms:W3CDTF">2025-09-09T13:15:00Z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8e77f838-8558-4726-94f0-f8fa782cdf8c</vt:lpwstr>
  </property>
</Properties>
</file>