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C4AE0" w14:textId="44DC3CD4" w:rsidR="00686ED6" w:rsidRPr="00296255" w:rsidRDefault="00686ED6" w:rsidP="00BD3695">
      <w:pPr>
        <w:spacing w:after="0" w:line="480" w:lineRule="auto"/>
        <w:jc w:val="center"/>
        <w:rPr>
          <w:rFonts w:ascii="Times New Roman" w:hAnsi="Times New Roman" w:cs="Times New Roman"/>
          <w:b/>
          <w:bCs/>
          <w:noProof/>
          <w:sz w:val="28"/>
          <w:szCs w:val="28"/>
          <w14:ligatures w14:val="standardContextual"/>
        </w:rPr>
      </w:pPr>
      <w:bookmarkStart w:id="0" w:name="_Hlk206328500"/>
      <w:r w:rsidRPr="00296255">
        <w:rPr>
          <w:rFonts w:ascii="Times New Roman" w:hAnsi="Times New Roman" w:cs="Times New Roman"/>
          <w:b/>
          <w:bCs/>
          <w:noProof/>
          <w:sz w:val="28"/>
          <w:szCs w:val="28"/>
          <w14:ligatures w14:val="standardContextual"/>
        </w:rPr>
        <w:t>Techno-Economic Evaluation of</w:t>
      </w:r>
      <w:r w:rsidR="00727205" w:rsidRPr="00296255">
        <w:rPr>
          <w:rFonts w:ascii="Times New Roman" w:hAnsi="Times New Roman" w:cs="Times New Roman"/>
          <w:b/>
          <w:bCs/>
          <w:noProof/>
          <w:sz w:val="28"/>
          <w:szCs w:val="28"/>
          <w14:ligatures w14:val="standardContextual"/>
        </w:rPr>
        <w:t xml:space="preserve"> </w:t>
      </w:r>
      <w:r w:rsidR="00727205" w:rsidRPr="00296255">
        <w:rPr>
          <w:rFonts w:ascii="Times New Roman" w:hAnsi="Times New Roman" w:cs="Times New Roman"/>
          <w:b/>
          <w:bCs/>
          <w:sz w:val="28"/>
          <w:szCs w:val="28"/>
        </w:rPr>
        <w:t>Polybutylene Adipate Terephthalate</w:t>
      </w:r>
      <w:r w:rsidR="00727205" w:rsidRPr="00296255">
        <w:rPr>
          <w:rFonts w:ascii="Times New Roman" w:hAnsi="Times New Roman" w:cs="Times New Roman"/>
          <w:b/>
          <w:bCs/>
          <w:noProof/>
          <w:sz w:val="28"/>
          <w:szCs w:val="28"/>
          <w14:ligatures w14:val="standardContextual"/>
        </w:rPr>
        <w:t xml:space="preserve"> (</w:t>
      </w:r>
      <w:r w:rsidRPr="00296255">
        <w:rPr>
          <w:rFonts w:ascii="Times New Roman" w:hAnsi="Times New Roman" w:cs="Times New Roman"/>
          <w:b/>
          <w:bCs/>
          <w:noProof/>
          <w:sz w:val="28"/>
          <w:szCs w:val="28"/>
          <w14:ligatures w14:val="standardContextual"/>
        </w:rPr>
        <w:t>PBAT</w:t>
      </w:r>
      <w:r w:rsidR="00727205" w:rsidRPr="00296255">
        <w:rPr>
          <w:rFonts w:ascii="Times New Roman" w:hAnsi="Times New Roman" w:cs="Times New Roman"/>
          <w:b/>
          <w:bCs/>
          <w:noProof/>
          <w:sz w:val="28"/>
          <w:szCs w:val="28"/>
          <w14:ligatures w14:val="standardContextual"/>
        </w:rPr>
        <w:t>)</w:t>
      </w:r>
      <w:r w:rsidRPr="00296255">
        <w:rPr>
          <w:rFonts w:ascii="Times New Roman" w:hAnsi="Times New Roman" w:cs="Times New Roman"/>
          <w:b/>
          <w:bCs/>
          <w:noProof/>
          <w:sz w:val="28"/>
          <w:szCs w:val="28"/>
          <w14:ligatures w14:val="standardContextual"/>
        </w:rPr>
        <w:t>–Starch–Nanoclay Biodegradable Films for Sustainable Packaging Applications</w:t>
      </w:r>
    </w:p>
    <w:p w14:paraId="0CE36FF9" w14:textId="4F8A3D96" w:rsidR="006C1728" w:rsidRDefault="006C1728" w:rsidP="00BD3695">
      <w:pPr>
        <w:spacing w:line="480" w:lineRule="auto"/>
        <w:jc w:val="center"/>
        <w:rPr>
          <w:rFonts w:ascii="Times New Roman" w:hAnsi="Times New Roman" w:cs="Times New Roman"/>
          <w:sz w:val="24"/>
          <w:szCs w:val="24"/>
        </w:rPr>
      </w:pPr>
    </w:p>
    <w:p w14:paraId="056977CA" w14:textId="77777777" w:rsidR="00490A06" w:rsidRPr="00296255" w:rsidRDefault="00490A06" w:rsidP="00BD3695">
      <w:pPr>
        <w:spacing w:line="480" w:lineRule="auto"/>
        <w:jc w:val="center"/>
        <w:rPr>
          <w:rFonts w:ascii="Times New Roman" w:hAnsi="Times New Roman" w:cs="Times New Roman"/>
          <w:sz w:val="24"/>
          <w:szCs w:val="24"/>
        </w:rPr>
      </w:pPr>
    </w:p>
    <w:bookmarkEnd w:id="0"/>
    <w:p w14:paraId="68259EA5" w14:textId="22728E73" w:rsidR="00686ED6" w:rsidRPr="00296255" w:rsidRDefault="006A7BB8" w:rsidP="00BD3695">
      <w:pPr>
        <w:spacing w:after="0" w:line="480" w:lineRule="auto"/>
        <w:jc w:val="both"/>
        <w:rPr>
          <w:rFonts w:ascii="Times New Roman" w:hAnsi="Times New Roman" w:cs="Times New Roman"/>
          <w:b/>
          <w:bCs/>
          <w:sz w:val="24"/>
          <w:szCs w:val="24"/>
        </w:rPr>
      </w:pPr>
      <w:r w:rsidRPr="00296255">
        <w:rPr>
          <w:rFonts w:ascii="Times New Roman" w:hAnsi="Times New Roman" w:cs="Times New Roman"/>
          <w:b/>
          <w:bCs/>
          <w:sz w:val="24"/>
          <w:szCs w:val="24"/>
        </w:rPr>
        <w:t>ABSTRACT</w:t>
      </w:r>
    </w:p>
    <w:p w14:paraId="064401A7" w14:textId="77777777" w:rsidR="00686ED6" w:rsidRPr="00296255" w:rsidRDefault="00686ED6" w:rsidP="00BD3695">
      <w:pPr>
        <w:spacing w:after="0" w:line="480" w:lineRule="auto"/>
        <w:jc w:val="both"/>
        <w:rPr>
          <w:rFonts w:ascii="Times New Roman" w:hAnsi="Times New Roman" w:cs="Times New Roman"/>
          <w:sz w:val="24"/>
          <w:szCs w:val="24"/>
        </w:rPr>
      </w:pPr>
      <w:r w:rsidRPr="00296255">
        <w:rPr>
          <w:rFonts w:ascii="Times New Roman" w:hAnsi="Times New Roman" w:cs="Times New Roman"/>
          <w:sz w:val="24"/>
          <w:szCs w:val="24"/>
        </w:rPr>
        <w:t xml:space="preserve">The packaging materials made of biodegradable materials are becoming more popular as environmentally friendly substitutes for plastics derived from petroleum. In order to preserve 3% </w:t>
      </w:r>
      <w:proofErr w:type="spellStart"/>
      <w:r w:rsidRPr="00296255">
        <w:rPr>
          <w:rFonts w:ascii="Times New Roman" w:hAnsi="Times New Roman" w:cs="Times New Roman"/>
          <w:sz w:val="24"/>
          <w:szCs w:val="24"/>
        </w:rPr>
        <w:t>nanoclay</w:t>
      </w:r>
      <w:proofErr w:type="spellEnd"/>
      <w:r w:rsidRPr="00296255">
        <w:rPr>
          <w:rFonts w:ascii="Times New Roman" w:hAnsi="Times New Roman" w:cs="Times New Roman"/>
          <w:sz w:val="24"/>
          <w:szCs w:val="24"/>
        </w:rPr>
        <w:t xml:space="preserve"> and glycerol as a plasticizer, this study assessed the techno-economic viability of PBAT–starch–</w:t>
      </w:r>
      <w:proofErr w:type="spellStart"/>
      <w:r w:rsidRPr="00296255">
        <w:rPr>
          <w:rFonts w:ascii="Times New Roman" w:hAnsi="Times New Roman" w:cs="Times New Roman"/>
          <w:sz w:val="24"/>
          <w:szCs w:val="24"/>
        </w:rPr>
        <w:t>nanoclay</w:t>
      </w:r>
      <w:proofErr w:type="spellEnd"/>
      <w:r w:rsidRPr="00296255">
        <w:rPr>
          <w:rFonts w:ascii="Times New Roman" w:hAnsi="Times New Roman" w:cs="Times New Roman"/>
          <w:sz w:val="24"/>
          <w:szCs w:val="24"/>
        </w:rPr>
        <w:t xml:space="preserve"> composite films with different starch percentages (5%, 10%, and 15%). To guarantee precise comparisons between formulations, component fractions were standardized. Total production costs ranged from ₹343.07/kg (T</w:t>
      </w:r>
      <w:r w:rsidRPr="00296255">
        <w:rPr>
          <w:rFonts w:ascii="Times New Roman" w:hAnsi="Times New Roman" w:cs="Times New Roman"/>
          <w:sz w:val="24"/>
          <w:szCs w:val="24"/>
          <w:vertAlign w:val="subscript"/>
        </w:rPr>
        <w:t>3</w:t>
      </w:r>
      <w:r w:rsidRPr="00296255">
        <w:rPr>
          <w:rFonts w:ascii="Times New Roman" w:hAnsi="Times New Roman" w:cs="Times New Roman"/>
          <w:sz w:val="24"/>
          <w:szCs w:val="24"/>
        </w:rPr>
        <w:t>) to ₹360.62/kg (T</w:t>
      </w:r>
      <w:r w:rsidRPr="00296255">
        <w:rPr>
          <w:rFonts w:ascii="Times New Roman" w:hAnsi="Times New Roman" w:cs="Times New Roman"/>
          <w:sz w:val="24"/>
          <w:szCs w:val="24"/>
          <w:vertAlign w:val="subscript"/>
        </w:rPr>
        <w:t>1</w:t>
      </w:r>
      <w:r w:rsidRPr="00296255">
        <w:rPr>
          <w:rFonts w:ascii="Times New Roman" w:hAnsi="Times New Roman" w:cs="Times New Roman"/>
          <w:sz w:val="24"/>
          <w:szCs w:val="24"/>
        </w:rPr>
        <w:t>), with fixed costs, as calculated by the capital recovery factor (CRF), staying constant at ₹56.92/kg and variable costs falling as the starch content increased from ₹303.70/kg (T</w:t>
      </w:r>
      <w:r w:rsidRPr="00296255">
        <w:rPr>
          <w:rFonts w:ascii="Times New Roman" w:hAnsi="Times New Roman" w:cs="Times New Roman"/>
          <w:sz w:val="24"/>
          <w:szCs w:val="24"/>
          <w:vertAlign w:val="subscript"/>
        </w:rPr>
        <w:t>1</w:t>
      </w:r>
      <w:r w:rsidRPr="00296255">
        <w:rPr>
          <w:rFonts w:ascii="Times New Roman" w:hAnsi="Times New Roman" w:cs="Times New Roman"/>
          <w:sz w:val="24"/>
          <w:szCs w:val="24"/>
        </w:rPr>
        <w:t>) to ₹286.15/kg (T</w:t>
      </w:r>
      <w:r w:rsidRPr="00296255">
        <w:rPr>
          <w:rFonts w:ascii="Times New Roman" w:hAnsi="Times New Roman" w:cs="Times New Roman"/>
          <w:sz w:val="24"/>
          <w:szCs w:val="24"/>
          <w:vertAlign w:val="subscript"/>
        </w:rPr>
        <w:t>3</w:t>
      </w:r>
      <w:r w:rsidRPr="00296255">
        <w:rPr>
          <w:rFonts w:ascii="Times New Roman" w:hAnsi="Times New Roman" w:cs="Times New Roman"/>
          <w:sz w:val="24"/>
          <w:szCs w:val="24"/>
        </w:rPr>
        <w:t>). According to break-even analysis, T</w:t>
      </w:r>
      <w:r w:rsidRPr="00296255">
        <w:rPr>
          <w:rFonts w:ascii="Times New Roman" w:hAnsi="Times New Roman" w:cs="Times New Roman"/>
          <w:sz w:val="24"/>
          <w:szCs w:val="24"/>
          <w:vertAlign w:val="subscript"/>
        </w:rPr>
        <w:t>3</w:t>
      </w:r>
      <w:r w:rsidRPr="00296255">
        <w:rPr>
          <w:rFonts w:ascii="Times New Roman" w:hAnsi="Times New Roman" w:cs="Times New Roman"/>
          <w:sz w:val="24"/>
          <w:szCs w:val="24"/>
        </w:rPr>
        <w:t xml:space="preserve"> showed improved economic viability with increased starch substitution, requiring the least amount of output (30,973 kg/year) and sales revenue (₹15,486,500/year) to cover annual expenses. The study emphasizes that using starch in place of some of the PBAT lowers material costs without sacrificing the contributions of </w:t>
      </w:r>
      <w:proofErr w:type="spellStart"/>
      <w:r w:rsidRPr="00296255">
        <w:rPr>
          <w:rFonts w:ascii="Times New Roman" w:hAnsi="Times New Roman" w:cs="Times New Roman"/>
          <w:sz w:val="24"/>
          <w:szCs w:val="24"/>
        </w:rPr>
        <w:t>nanoclay</w:t>
      </w:r>
      <w:proofErr w:type="spellEnd"/>
      <w:r w:rsidRPr="00296255">
        <w:rPr>
          <w:rFonts w:ascii="Times New Roman" w:hAnsi="Times New Roman" w:cs="Times New Roman"/>
          <w:sz w:val="24"/>
          <w:szCs w:val="24"/>
        </w:rPr>
        <w:t xml:space="preserve"> and glycerol, preserving film functionality. This study is innovative because it optimizes PBAT-starch-</w:t>
      </w:r>
      <w:proofErr w:type="spellStart"/>
      <w:r w:rsidRPr="00296255">
        <w:rPr>
          <w:rFonts w:ascii="Times New Roman" w:hAnsi="Times New Roman" w:cs="Times New Roman"/>
          <w:sz w:val="24"/>
          <w:szCs w:val="24"/>
        </w:rPr>
        <w:t>nanoclay</w:t>
      </w:r>
      <w:proofErr w:type="spellEnd"/>
      <w:r w:rsidRPr="00296255">
        <w:rPr>
          <w:rFonts w:ascii="Times New Roman" w:hAnsi="Times New Roman" w:cs="Times New Roman"/>
          <w:sz w:val="24"/>
          <w:szCs w:val="24"/>
        </w:rPr>
        <w:t xml:space="preserve"> films for sustainable packaging applications by evaluating cost, manufacturing, and normalization effects all at once.</w:t>
      </w:r>
    </w:p>
    <w:p w14:paraId="7A0011BF" w14:textId="7F5E9E6A" w:rsidR="00686ED6" w:rsidRDefault="00686ED6" w:rsidP="00BD3695">
      <w:pPr>
        <w:spacing w:line="480" w:lineRule="auto"/>
        <w:jc w:val="both"/>
        <w:rPr>
          <w:rFonts w:ascii="Times New Roman" w:hAnsi="Times New Roman" w:cs="Times New Roman"/>
          <w:sz w:val="24"/>
          <w:szCs w:val="24"/>
        </w:rPr>
      </w:pPr>
      <w:r w:rsidRPr="00296255">
        <w:rPr>
          <w:rFonts w:ascii="Times New Roman" w:hAnsi="Times New Roman" w:cs="Times New Roman"/>
          <w:b/>
          <w:bCs/>
          <w:sz w:val="24"/>
          <w:szCs w:val="24"/>
        </w:rPr>
        <w:lastRenderedPageBreak/>
        <w:t>Keywords:</w:t>
      </w:r>
      <w:r w:rsidRPr="00296255">
        <w:rPr>
          <w:rFonts w:ascii="Times New Roman" w:hAnsi="Times New Roman" w:cs="Times New Roman"/>
          <w:sz w:val="24"/>
          <w:szCs w:val="24"/>
        </w:rPr>
        <w:t xml:space="preserve"> Biodegradable films, PBAT, Techno-economic analysis, Capital recovery factor (CRF), Break-even analysis</w:t>
      </w:r>
    </w:p>
    <w:p w14:paraId="6FB5C16C" w14:textId="77F597BF" w:rsidR="00686ED6" w:rsidRPr="00296255" w:rsidRDefault="006A7BB8" w:rsidP="00BD3695">
      <w:pPr>
        <w:spacing w:after="0" w:line="480" w:lineRule="auto"/>
        <w:jc w:val="both"/>
        <w:rPr>
          <w:rFonts w:ascii="Times New Roman" w:hAnsi="Times New Roman" w:cs="Times New Roman"/>
          <w:b/>
          <w:bCs/>
          <w:sz w:val="24"/>
          <w:szCs w:val="24"/>
        </w:rPr>
      </w:pPr>
      <w:r w:rsidRPr="00296255">
        <w:rPr>
          <w:rFonts w:ascii="Times New Roman" w:hAnsi="Times New Roman" w:cs="Times New Roman"/>
          <w:b/>
          <w:bCs/>
          <w:sz w:val="24"/>
          <w:szCs w:val="24"/>
        </w:rPr>
        <w:t>INTRODUCTION</w:t>
      </w:r>
    </w:p>
    <w:p w14:paraId="2ACA41F3" w14:textId="025A83CA" w:rsidR="00686ED6" w:rsidRPr="00296255" w:rsidRDefault="00686ED6" w:rsidP="00BD3695">
      <w:pPr>
        <w:spacing w:after="0" w:line="480" w:lineRule="auto"/>
        <w:jc w:val="both"/>
        <w:rPr>
          <w:rFonts w:ascii="Times New Roman" w:hAnsi="Times New Roman" w:cs="Times New Roman"/>
          <w:sz w:val="24"/>
          <w:szCs w:val="24"/>
        </w:rPr>
      </w:pPr>
      <w:r w:rsidRPr="00296255">
        <w:rPr>
          <w:rFonts w:ascii="Times New Roman" w:hAnsi="Times New Roman" w:cs="Times New Roman"/>
          <w:sz w:val="24"/>
          <w:szCs w:val="24"/>
        </w:rPr>
        <w:t xml:space="preserve">The research on sustainable alternatives, especially biodegradable polymers for packaging applications, has been prompted by the growing environmental effect of traditional petroleum-based plastics </w:t>
      </w:r>
      <w:sdt>
        <w:sdtPr>
          <w:rPr>
            <w:rFonts w:ascii="Times New Roman" w:hAnsi="Times New Roman" w:cs="Times New Roman"/>
            <w:color w:val="000000"/>
            <w:sz w:val="24"/>
            <w:szCs w:val="24"/>
          </w:rPr>
          <w:tag w:val="MENDELEY_CITATION_v3_eyJjaXRhdGlvbklEIjoiTUVOREVMRVlfQ0lUQVRJT05fNGY2NWQ0NTQtMjg2OS00ZmUyLThmMDYtNzMwNDQ4M2NhNDM3IiwicHJvcGVydGllcyI6eyJub3RlSW5kZXgiOjB9LCJpc0VkaXRlZCI6ZmFsc2UsIm1hbnVhbE92ZXJyaWRlIjp7ImlzTWFudWFsbHlPdmVycmlkZGVuIjpmYWxzZSwiY2l0ZXByb2NUZXh0IjoiKE1vc2hvb2QgZXQgYWwuLCAyMDIyKSIsIm1hbnVhbE92ZXJyaWRlVGV4dCI6IiJ9LCJjaXRhdGlvbkl0ZW1zIjpbeyJpZCI6Ijc5ZGNmNWUzLWE0N2MtMzczOC04ODY0LWU4ZTM4YjBmM2UwMyIsIml0ZW1EYXRhIjp7InR5cGUiOiJhcnRpY2xlLWpvdXJuYWwiLCJpZCI6Ijc5ZGNmNWUzLWE0N2MtMzczOC04ODY0LWU4ZTM4YjBmM2UwMyIsInRpdGxlIjoiU3VzdGFpbmFiaWxpdHkgb2YgYmlvZGVncmFkYWJsZSBwbGFzdGljczogTmV3IHByb2JsZW0gb3Igc29sdXRpb24gdG8gc29sdmUgdGhlIGdsb2JhbCBwbGFzdGljIHBvbGx1dGlvbj8iLCJhdXRob3IiOlt7ImZhbWlseSI6Ik1vc2hvb2QiLCJnaXZlbiI6IlRhb2ZlZXEgRC4iLCJwYXJzZS1uYW1lcyI6ZmFsc2UsImRyb3BwaW5nLXBhcnRpY2xlIjoiIiwibm9uLWRyb3BwaW5nLXBhcnRpY2xlIjoiIn0seyJmYW1pbHkiOiJOYXdhbmlyIiwiZ2l2ZW4iOiJHdXNtYW4iLCJwYXJzZS1uYW1lcyI6ZmFsc2UsImRyb3BwaW5nLXBhcnRpY2xlIjoiIiwibm9uLWRyb3BwaW5nLXBhcnRpY2xlIjoiIn0seyJmYW1pbHkiOiJNYWhtdWQiLCJnaXZlbiI6IkZhdGltYWgiLCJwYXJzZS1uYW1lcyI6ZmFsc2UsImRyb3BwaW5nLXBhcnRpY2xlIjoiIiwibm9uLWRyb3BwaW5nLXBhcnRpY2xlIjoiIn0seyJmYW1pbHkiOiJNb2hhbWFkIiwiZ2l2ZW4iOiJGYXplZWRhIiwicGFyc2UtbmFtZXMiOmZhbHNlLCJkcm9wcGluZy1wYXJ0aWNsZSI6IiIsIm5vbi1kcm9wcGluZy1wYXJ0aWNsZSI6IiJ9LHsiZmFtaWx5IjoiQWhtYWQiLCJnaXZlbiI6Ik1vaGQgSGFuYWZpYWgiLCJwYXJzZS1uYW1lcyI6ZmFsc2UsImRyb3BwaW5nLXBhcnRpY2xlIjoiIiwibm9uLWRyb3BwaW5nLXBhcnRpY2xlIjoiIn0seyJmYW1pbHkiOiJBYmR1bEdoYW5pIiwiZ2l2ZW4iOiJBaXJpbiIsInBhcnNlLW5hbWVzIjpmYWxzZSwiZHJvcHBpbmctcGFydGljbGUiOiIiLCJub24tZHJvcHBpbmctcGFydGljbGUiOiIifV0sImNvbnRhaW5lci10aXRsZSI6IkN1cnJlbnQgUmVzZWFyY2ggaW4gR3JlZW4gYW5kIFN1c3RhaW5hYmxlIENoZW1pc3RyeSIsIkRPSSI6IjEwLjEwMTYvai5jcmdzYy4yMDIyLjEwMDI3MyIsIklTU04iOiIyNjY2MDg2NSIsImlzc3VlZCI6eyJkYXRlLXBhcnRzIjpbWzIwMjJdXX0sInBhZ2UiOiIxMDAyNzMiLCJ2b2x1bWUiOiI1IiwiY29udGFpbmVyLXRpdGxlLXNob3J0IjoiIn0sImlzVGVtcG9yYXJ5IjpmYWxzZX1dfQ=="/>
          <w:id w:val="342669435"/>
          <w:placeholder>
            <w:docPart w:val="C382101AD8A04DC78F376E8ADBC08A64"/>
          </w:placeholder>
        </w:sdtPr>
        <w:sdtEndPr/>
        <w:sdtContent>
          <w:r w:rsidR="00B32892" w:rsidRPr="00296255">
            <w:rPr>
              <w:rFonts w:ascii="Times New Roman" w:hAnsi="Times New Roman" w:cs="Times New Roman"/>
              <w:color w:val="000000"/>
              <w:sz w:val="24"/>
              <w:szCs w:val="24"/>
            </w:rPr>
            <w:t>(Moshood et al., 2022)</w:t>
          </w:r>
        </w:sdtContent>
      </w:sdt>
      <w:r w:rsidRPr="00296255">
        <w:rPr>
          <w:rFonts w:ascii="Times New Roman" w:hAnsi="Times New Roman" w:cs="Times New Roman"/>
          <w:sz w:val="24"/>
          <w:szCs w:val="24"/>
        </w:rPr>
        <w:t xml:space="preserve">. Due to its versatility, ease of processing, and compatibility with natural polymers like starch, polybutylene adipate terephthalate (PBAT), a petroleum-derived but biodegradable polymer, has drawn interest </w:t>
      </w:r>
      <w:sdt>
        <w:sdtPr>
          <w:rPr>
            <w:rFonts w:ascii="Times New Roman" w:hAnsi="Times New Roman" w:cs="Times New Roman"/>
            <w:color w:val="000000"/>
            <w:sz w:val="24"/>
            <w:szCs w:val="24"/>
          </w:rPr>
          <w:tag w:val="MENDELEY_CITATION_v3_eyJjaXRhdGlvbklEIjoiTUVOREVMRVlfQ0lUQVRJT05fYmQ5MTM4YWMtZTMyOC00NmI0LWE4MTctNmNiN2Y5NzQ3ODcwIiwicHJvcGVydGllcyI6eyJub3RlSW5kZXgiOjB9LCJpc0VkaXRlZCI6ZmFsc2UsIm1hbnVhbE92ZXJyaWRlIjp7ImlzTWFudWFsbHlPdmVycmlkZGVuIjpmYWxzZSwiY2l0ZXByb2NUZXh0IjoiKEvDvHN0ZXIgZXQgYWwuLCAyMDI1KSIsIm1hbnVhbE92ZXJyaWRlVGV4dCI6IiJ9LCJjaXRhdGlvbkl0ZW1zIjpbeyJpZCI6ImFkODU3YzE1LWMzNDctMzA5Mi05MTg5LWFmZDRhNDM1MDEwNSIsIml0ZW1EYXRhIjp7InR5cGUiOiJhcnRpY2xlLWpvdXJuYWwiLCJpZCI6ImFkODU3YzE1LWMzNDctMzA5Mi05MTg5LWFmZDRhNDM1MDEwNSIsInRpdGxlIjoiRm9ybXVsYXRpb25zLCBQcm9jZXNzaW5nLCBhbmQgQXBwbGljYXRpb24gb2YgUG9seShidXR5bGVuZSBhZGlwYXRlLWNvLXRlcmVwaHRoYWxhdGUpL1RoZXJtb3BsYXN0aWMgU3RhcmNoIEJsZW5kczogQSBSZXZpZXciLCJhdXRob3IiOlt7ImZhbWlseSI6IkvDvHN0ZXIiLCJnaXZlbiI6IkFsaW5lIE4uIiwicGFyc2UtbmFtZXMiOmZhbHNlLCJkcm9wcGluZy1wYXJ0aWNsZSI6IiIsIm5vbi1kcm9wcGluZy1wYXJ0aWNsZSI6IiJ9LHsiZmFtaWx5IjoiUGF1bGEiLCJnaXZlbiI6IkNpZGFsaWEiLCJwYXJzZS1uYW1lcyI6ZmFsc2UsImRyb3BwaW5nLXBhcnRpY2xlIjoiIiwibm9uLWRyb3BwaW5nLXBhcnRpY2xlIjoiIn0seyJmYW1pbHkiOiJBemV2ZWRvIiwiZ2l2ZW4iOiJKdWxpYW5hIiwicGFyc2UtbmFtZXMiOmZhbHNlLCJkcm9wcGluZy1wYXJ0aWNsZSI6IiIsIm5vbi1kcm9wcGluZy1wYXJ0aWNsZSI6IiJ9LHsiZmFtaWx5IjoiU2VycmEiLCJnaXZlbiI6IkFybcOpbmlvIEMuIiwicGFyc2UtbmFtZXMiOmZhbHNlLCJkcm9wcGluZy1wYXJ0aWNsZSI6IiIsIm5vbi1kcm9wcGluZy1wYXJ0aWNsZSI6IiJ9LHsiZmFtaWx5IjoiQ29lbGhvIiwiZ2l2ZW4iOiJKb3JnZSBGLiBKLiIsInBhcnNlLW5hbWVzIjpmYWxzZSwiZHJvcHBpbmctcGFydGljbGUiOiIiLCJub24tZHJvcHBpbmctcGFydGljbGUiOiIifV0sImNvbnRhaW5lci10aXRsZSI6IlBvbHltZXJzIiwiY29udGFpbmVyLXRpdGxlLXNob3J0IjoiUG9seW1lcnMgKEJhc2VsKSIsIkRPSSI6IjEwLjMzOTAvcG9seW0xNzExMTQ1NyIsIklTU04iOiIyMDczLTQzNjAiLCJpc3N1ZWQiOnsiZGF0ZS1wYXJ0cyI6W1syMDI1LDUsMjNdXX0sInBhZ2UiOiIxNDU3IiwiYWJzdHJhY3QiOiI8cD5UaGUgY29uY2VybiBmb3IgdGhlIGVudmlyb25tZW50IGFuZCBzdXN0YWluYWJpbGl0eSBoYXMgaW50ZW5zaWZpZWQgdGhlIHNlYXJjaCBmb3IgYWx0ZXJuYXRpdmUgbWF0ZXJpYWxzIHRvIHJlcGxhY2Ugbm9uLWRlZ3JhZGFibGUgcGxhc3RpY3MuIFBvbHkoYnV0eWxlbmUgYWRpcGF0ZS1jby10ZXJlcGh0aGFsYXRlKSAoUEJBVCkgaXMgYSBiaW9wbGFzdGljIHRoYXQgaGFzIGJlZW4gZXh0ZW5zaXZlbHkgc3R1ZGllZCBkdWUgdG8gaXRzIGV4Y2VsbGVudCBtZWNoYW5pY2FsIHByb3BlcnRpZXMsIHdoaWNoIGFyZSBzaW1pbGFyIHRvIHRob3NlIG9mIGxvdy1kZW5zaXR5IHBvbHkoZXRoeWxlbmUpIChMRFBFKS4gSG93ZXZlciwgdGhlIGhpZ2ggY29zdCBvZiB0aGlzIHBvbHltZXIgc3RpbGwgaGluZGVycyBpdHMgd2lkZXIgYXBwbGljYXRpb24uIEFtb25nIHRoZSBkaWZmZXJlbnQgYXBwcm9hY2hlcyB0aGF0IGhhdmUgYmVlbiBzdHVkaWVkLCBibGVuZGluZyBQQkFUIHdpdGggdGhlcm1vcGxhc3RpYyBzdGFyY2ggKFRQUykgY291bGQgYmUgYW4gaW50ZXJlc3Rpbmcgc29sdXRpb24gdG8gcmVkdWNlIHRoZSBjb3N0IG9mIHRoZSBtYXRlcmlhbCBhbmQgaW5jcmVhc2UgdGhlIGRlZ3JhZGFiaWxpdHkgb2YgdGhlIGJsZW5kcy4gVGhpcyByZXZpZXcgY292ZXJzIG1vc3Qgb2YgdGhlIHdvcmsgcmVwb3J0ZWQgaW4gcmVjZW50IHllYXJzIG9uIFBCQVQvVFBTIGJsZW5kcywgaW5jbHVkaW5nIHRoZSBlZmZlY3RzIG9mIHN0YXJjaCBwbGFzdGljaXplcnMsIHN0YXJjaCBtb2RpZmljYXRpb25zLCBwcm9jZXNzaW5nIG1ldGhvZHMsIHVzZSBvZiBjaGFpbiBleHRlbmRlcnMsIHZhcmlvdXMgY29tcGF0aWJpbGl6ZXJzLCBhbmQgYWRkaXRpdmVzIHVzZWQgZm9yIGRpZmZlcmVudCBhcHBsaWNhdGlvbnMuPC9wPiIsImlzc3VlIjoiMTEiLCJ2b2x1bWUiOiIxNyJ9LCJpc1RlbXBvcmFyeSI6ZmFsc2V9XX0="/>
          <w:id w:val="1887062437"/>
          <w:placeholder>
            <w:docPart w:val="C382101AD8A04DC78F376E8ADBC08A64"/>
          </w:placeholder>
        </w:sdtPr>
        <w:sdtEndPr/>
        <w:sdtContent>
          <w:r w:rsidR="00B32892" w:rsidRPr="00296255">
            <w:rPr>
              <w:rFonts w:ascii="Times New Roman" w:hAnsi="Times New Roman" w:cs="Times New Roman"/>
              <w:color w:val="000000"/>
              <w:sz w:val="24"/>
              <w:szCs w:val="24"/>
            </w:rPr>
            <w:t>(Küster et al., 2025)</w:t>
          </w:r>
        </w:sdtContent>
      </w:sdt>
      <w:r w:rsidRPr="00296255">
        <w:rPr>
          <w:rFonts w:ascii="Times New Roman" w:hAnsi="Times New Roman" w:cs="Times New Roman"/>
          <w:sz w:val="24"/>
          <w:szCs w:val="24"/>
        </w:rPr>
        <w:t xml:space="preserve">. In film compositions, starch, a plentiful, inexpensive, and renewable polysaccharide, can partially substitute PBAT, lowering raw material costs while improving biodegradability </w:t>
      </w:r>
      <w:sdt>
        <w:sdtPr>
          <w:rPr>
            <w:rFonts w:ascii="Times New Roman" w:hAnsi="Times New Roman" w:cs="Times New Roman"/>
            <w:color w:val="000000"/>
            <w:sz w:val="24"/>
            <w:szCs w:val="24"/>
          </w:rPr>
          <w:tag w:val="MENDELEY_CITATION_v3_eyJjaXRhdGlvbklEIjoiTUVOREVMRVlfQ0lUQVRJT05fZDQxNzFmYzAtZjU4YS00MzkzLTg0YWMtN2NlYmNlZmQzY2QwIiwicHJvcGVydGllcyI6eyJub3RlSW5kZXgiOjB9LCJpc0VkaXRlZCI6ZmFsc2UsIm1hbnVhbE92ZXJyaWRlIjp7ImlzTWFudWFsbHlPdmVycmlkZGVuIjpmYWxzZSwiY2l0ZXByb2NUZXh0IjoiKFdhbmcgZXQgYWwuLCAyMDIzKSIsIm1hbnVhbE92ZXJyaWRlVGV4dCI6IiJ9LCJjaXRhdGlvbkl0ZW1zIjpbeyJpZCI6IjFjN2QxN2IxLWY3NTYtMzZiZC04MmQ3LWM4NDhmNGZhNDc2OCIsIml0ZW1EYXRhIjp7InR5cGUiOiJhcnRpY2xlLWpvdXJuYWwiLCJpZCI6IjFjN2QxN2IxLWY3NTYtMzZiZC04MmQ3LWM4NDhmNGZhNDc2OCIsInRpdGxlIjoiSGlnaC1wZXJmb3JtYW5jZSB0aGVybW9wbGFzdGljIHN0YXJjaC9wb2x5KGJ1dHlsZW5lIGFkaXBhdGUtY28tdGVyZXBodGhhbGF0ZSkgYmxlbmRzIHRocm91Z2ggc3luZXJnaXN0aWMgcGxhc3RpY2l6YXRpb24gb2YgZXBveGlkaXplZCBzb3liZWFuIG9pbCBhbmQgZ2x5Y2Vyb2wiLCJhdXRob3IiOlt7ImZhbWlseSI6IldhbmciLCJnaXZlbiI6Ikhhby1IdWkiLCJwYXJzZS1uYW1lcyI6ZmFsc2UsImRyb3BwaW5nLXBhcnRpY2xlIjoiIiwibm9uLWRyb3BwaW5nLXBhcnRpY2xlIjoiIn0seyJmYW1pbHkiOiJaaG91IiwiZ2l2ZW4iOiJTaS1KaWUiLCJwYXJzZS1uYW1lcyI6ZmFsc2UsImRyb3BwaW5nLXBhcnRpY2xlIjoiIiwibm9uLWRyb3BwaW5nLXBhcnRpY2xlIjoiIn0seyJmYW1pbHkiOiJYaW9uZyIsImdpdmVuIjoiU2hhby1KdW4iLCJwYXJzZS1uYW1lcyI6ZmFsc2UsImRyb3BwaW5nLXBhcnRpY2xlIjoiIiwibm9uLWRyb3BwaW5nLXBhcnRpY2xlIjoiIn0seyJmYW1pbHkiOiJMaXUiLCJnaXZlbiI6IlFpbiIsInBhcnNlLW5hbWVzIjpmYWxzZSwiZHJvcHBpbmctcGFydGljbGUiOiIiLCJub24tZHJvcHBpbmctcGFydGljbGUiOiIifSx7ImZhbWlseSI6IlRpYW4iLCJnaXZlbiI6Ikh1YWZlbmciLCJwYXJzZS1uYW1lcyI6ZmFsc2UsImRyb3BwaW5nLXBhcnRpY2xlIjoiIiwibm9uLWRyb3BwaW5nLXBhcnRpY2xlIjoiIn0seyJmYW1pbHkiOiJZdSIsImdpdmVuIjoiU2hpeGluIiwicGFyc2UtbmFtZXMiOmZhbHNlLCJkcm9wcGluZy1wYXJ0aWNsZSI6IiIsIm5vbi1kcm9wcGluZy1wYXJ0aWNsZSI6IiJ9LHsiZmFtaWx5IjoiWXVhbiIsImdpdmVuIjoiVG9uZy1RaS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IzLjEyNDcxNiIsIklTU04iOiIwMTQxODEzMCIsImlzc3VlZCI6eyJkYXRlLXBhcnRzIjpbWzIwMjMsN11dfSwicGFnZSI6IjEyNDcxNiIsInZvbHVtZSI6IjI0MiJ9LCJpc1RlbXBvcmFyeSI6ZmFsc2V9XX0="/>
          <w:id w:val="-1442298233"/>
          <w:placeholder>
            <w:docPart w:val="C382101AD8A04DC78F376E8ADBC08A64"/>
          </w:placeholder>
        </w:sdtPr>
        <w:sdtEndPr/>
        <w:sdtContent>
          <w:r w:rsidR="00B32892" w:rsidRPr="00296255">
            <w:rPr>
              <w:rFonts w:ascii="Times New Roman" w:hAnsi="Times New Roman" w:cs="Times New Roman"/>
              <w:color w:val="000000"/>
              <w:sz w:val="24"/>
              <w:szCs w:val="24"/>
            </w:rPr>
            <w:t>(Wang et al., 2023)</w:t>
          </w:r>
        </w:sdtContent>
      </w:sdt>
      <w:r w:rsidRPr="00296255">
        <w:rPr>
          <w:rFonts w:ascii="Times New Roman" w:hAnsi="Times New Roman" w:cs="Times New Roman"/>
          <w:sz w:val="24"/>
          <w:szCs w:val="24"/>
        </w:rPr>
        <w:t xml:space="preserve">. To strengthen the polymer matrix and preserve functional performance, additives such </w:t>
      </w:r>
      <w:proofErr w:type="spellStart"/>
      <w:r w:rsidRPr="00296255">
        <w:rPr>
          <w:rFonts w:ascii="Times New Roman" w:hAnsi="Times New Roman" w:cs="Times New Roman"/>
          <w:sz w:val="24"/>
          <w:szCs w:val="24"/>
        </w:rPr>
        <w:t>nanoclay</w:t>
      </w:r>
      <w:proofErr w:type="spellEnd"/>
      <w:r w:rsidRPr="00296255">
        <w:rPr>
          <w:rFonts w:ascii="Times New Roman" w:hAnsi="Times New Roman" w:cs="Times New Roman"/>
          <w:sz w:val="24"/>
          <w:szCs w:val="24"/>
        </w:rPr>
        <w:t xml:space="preserve"> and plasticizers (such as glycerol) are frequently used because adding starch alone can result in reduced mechanical and barrier qualities </w:t>
      </w:r>
      <w:sdt>
        <w:sdtPr>
          <w:rPr>
            <w:rFonts w:ascii="Times New Roman" w:hAnsi="Times New Roman" w:cs="Times New Roman"/>
            <w:color w:val="000000"/>
            <w:sz w:val="24"/>
            <w:szCs w:val="24"/>
          </w:rPr>
          <w:tag w:val="MENDELEY_CITATION_v3_eyJjaXRhdGlvbklEIjoiTUVOREVMRVlfQ0lUQVRJT05fZTY0ZDUwOWQtMjdhNS00YWIwLTk0YjgtNjJhYzZkYmJiNGVlIiwicHJvcGVydGllcyI6eyJub3RlSW5kZXgiOjB9LCJpc0VkaXRlZCI6ZmFsc2UsIm1hbnVhbE92ZXJyaWRlIjp7ImlzTWFudWFsbHlPdmVycmlkZGVuIjpmYWxzZSwiY2l0ZXByb2NUZXh0IjoiKFBlcmVyYSBldCBhbC4sIDIwMjMpIiwibWFudWFsT3ZlcnJpZGVUZXh0IjoiIn0sImNpdGF0aW9uSXRlbXMiOlt7ImlkIjoiZDgzNDU2ODktNDcyNC0zNzRiLTlhODgtY2MxYmNlNDAzNTgzIiwiaXRlbURhdGEiOnsidHlwZSI6ImFydGljbGUtam91cm5hbCIsImlkIjoiZDgzNDU2ODktNDcyNC0zNzRiLTlhODgtY2MxYmNlNDAzNTgzIiwidGl0bGUiOiJCaW9wb2x5bWVyLUJhc2VkIFN1c3RhaW5hYmxlIEZvb2QgUGFja2FnaW5nIE1hdGVyaWFsczogQ2hhbGxlbmdlcywgU29sdXRpb25zLCBhbmQgQXBwbGljYXRpb25zIiwiYXV0aG9yIjpbeyJmYW1pbHkiOiJQZXJlcmEiLCJnaXZlbiI6IkthbHBhbmkgWS4iLCJwYXJzZS1uYW1lcyI6ZmFsc2UsImRyb3BwaW5nLXBhcnRpY2xlIjoiIiwibm9uLWRyb3BwaW5nLXBhcnRpY2xlIjoiIn0seyJmYW1pbHkiOiJKYWlzd2FsIiwiZ2l2ZW4iOiJBbWl0IEsuIiwicGFyc2UtbmFtZXMiOmZhbHNlLCJkcm9wcGluZy1wYXJ0aWNsZSI6IiIsIm5vbi1kcm9wcGluZy1wYXJ0aWNsZSI6IiJ9LHsiZmFtaWx5IjoiSmFpc3dhbCIsImdpdmVuIjoiU3dhcm5hIiwicGFyc2UtbmFtZXMiOmZhbHNlLCJkcm9wcGluZy1wYXJ0aWNsZSI6IiIsIm5vbi1kcm9wcGluZy1wYXJ0aWNsZSI6IiJ9XSwiY29udGFpbmVyLXRpdGxlIjoiRm9vZHMiLCJET0kiOiIxMC4zMzkwL2Zvb2RzMTIxMjI0MjIiLCJJU1NOIjoiMjMwNC04MTU4IiwiaXNzdWVkIjp7ImRhdGUtcGFydHMiOltbMjAyMyw2LDIwXV19LCJwYWdlIjoiMjQyMiIsImFic3RyYWN0IjoiPHA+QmlvcG9seW1lci1iYXNlZCBwYWNrYWdpbmcgbWF0ZXJpYWxzIGhhdmUgYmVjb21lIG9mIGdyZWF0ZXIgaW50ZXJlc3QgdG8gdGhlIHdvcmxkIGR1ZSB0byB0aGVpciBiaW9kZWdyYWRhYmlsaXR5LCByZW5ld2FiaWxpdHksIGFuZCBiaW9jb21wYXRpYmlsaXR5LiBJbiByZWNlbnQgeWVhcnMsIG51bWVyb3VzIGJpb3BvbHltZXJz4oCUc3VjaCBhcyBzdGFyY2gsIGNoaXRvc2FuLCBjYXJyYWdlZW5hbiwgcG9seWxhY3RpYyBhY2lkLCBldGMu4oCUaGF2ZSBiZWVuIGludmVzdGlnYXRlZCBmb3IgdGhlaXIgcG90ZW50aWFsIGFwcGxpY2F0aW9uIGluIGZvb2QgcGFja2FnaW5nLiBSZWluZm9yY2VtZW50IGFnZW50cyBzdWNoIGFzIG5hbm9maWxsZXJzIGFuZCBhY3RpdmUgYWdlbnRzIGltcHJvdmUgdGhlIHByb3BlcnRpZXMgb2YgdGhlIGJpb3BvbHltZXJzLCBtYWtpbmcgdGhlbSBzdWl0YWJsZSBmb3IgYWN0aXZlIGFuZCBpbnRlbGxpZ2VudCBwYWNrYWdpbmcuIFNvbWUgb2YgdGhlIHBhY2thZ2luZyBtYXRlcmlhbHMsIGUuZy4sIGNlbGx1bG9zZSwgc3RhcmNoLCBwb2x5bGFjdGljIGFjaWQsIGFuZCBwb2x5YnV0eWxlbmUgYWRpcGF0ZSB0ZXJlcGh0aGFsYXRlLCBhcmUgY3VycmVudGx5IHVzZWQgaW4gdGhlIHBhY2thZ2luZyBpbmR1c3RyeS4gVGhlIHRyZW5kIG9mIHVzaW5nIGJpb3BvbHltZXJzIGluIHRoZSBwYWNrYWdpbmcgaW5kdXN0cnkgaGFzIGluY3JlYXNlZCBpbW1lbnNlbHk7IHRoZXJlZm9yZSwgbWFueSBsZWdpc2xhdGlvbnMgaGF2ZSBiZWVuIGFwcHJvdmVkIGJ5IHZhcmlvdXMgb3JnYW5pemF0aW9ucy4gVGhpcyByZXZpZXcgYXJ0aWNsZSBkZXNjcmliZXMgdmFyaW91cyBjaGFsbGVuZ2VzIGFuZCBwb3NzaWJsZSBzb2x1dGlvbnMgYXNzb2NpYXRlZCB3aXRoIGZvb2QgcGFja2FnaW5nIG1hdGVyaWFscy4gSXQgY292ZXJzIGEgd2lkZSByYW5nZSBvZiBiaW9wb2x5bWVycyB1c2VkIGluIGZvb2QgcGFja2FnaW5nIGFuZCB0aGUgbGltaXRhdGlvbnMgb2YgdXNpbmcgdGhlbSBpbiB0aGVpciBwdXJlIGZvcm0uIEZpbmFsbHksIGEgU1dPVCBhbmFseXNpcyBpcyBwcmVzZW50ZWQgZm9yIGJpb3BvbHltZXJzLCBhbmQgdGhlIGZ1dHVyZSB0cmVuZHMgYXJlIGRpc2N1c3NlZC4gQmlvcG9seW1lcnMgYXJlIGVjby1mcmllbmRseSwgYmlvZGVncmFkYWJsZSwgbm9udG94aWMsIHJlbmV3YWJsZSwgYW5kIGJpb2NvbXBhdGlibGUgYWx0ZXJuYXRpdmVzIHRvIHN5bnRoZXRpYyBwYWNrYWdpbmcgbWF0ZXJpYWxzLiBSZXNlYXJjaCBzaG93cyB0aGF0IGJpb3BvbHltZXItYmFzZWQgcGFja2FnaW5nIG1hdGVyaWFscyBhcmUgb2YgZ3JlYXQgZXNzZW5jZSBpbiBjb21iaW5lZCBmb3JtLCBhbmQgZnVydGhlciBzdHVkaWVzIGFyZSBuZWVkZWQgZm9yIHRoZW0gdG8gYmUgdXNlZCBhcyBhbiBhbHRlcm5hdGl2ZSBwYWNrYWdpbmcgbWF0ZXJpYWwuPC9wPiIsImlzc3VlIjoiMTIiLCJ2b2x1bWUiOiIxMiIsImNvbnRhaW5lci10aXRsZS1zaG9ydCI6IiJ9LCJpc1RlbXBvcmFyeSI6ZmFsc2V9XX0="/>
          <w:id w:val="-108195990"/>
          <w:placeholder>
            <w:docPart w:val="C382101AD8A04DC78F376E8ADBC08A64"/>
          </w:placeholder>
        </w:sdtPr>
        <w:sdtEndPr/>
        <w:sdtContent>
          <w:r w:rsidR="00B32892" w:rsidRPr="00296255">
            <w:rPr>
              <w:rFonts w:ascii="Times New Roman" w:hAnsi="Times New Roman" w:cs="Times New Roman"/>
              <w:color w:val="000000"/>
              <w:sz w:val="24"/>
              <w:szCs w:val="24"/>
            </w:rPr>
            <w:t>(Perera et al., 2023)</w:t>
          </w:r>
        </w:sdtContent>
      </w:sdt>
      <w:r w:rsidRPr="00296255">
        <w:rPr>
          <w:rFonts w:ascii="Times New Roman" w:hAnsi="Times New Roman" w:cs="Times New Roman"/>
          <w:sz w:val="24"/>
          <w:szCs w:val="24"/>
        </w:rPr>
        <w:t xml:space="preserve">. </w:t>
      </w:r>
    </w:p>
    <w:p w14:paraId="2C50C88B" w14:textId="733B813B" w:rsidR="00686ED6" w:rsidRPr="00296255" w:rsidRDefault="00686ED6" w:rsidP="00BD3695">
      <w:pPr>
        <w:spacing w:after="0" w:line="480" w:lineRule="auto"/>
        <w:jc w:val="both"/>
        <w:rPr>
          <w:rFonts w:ascii="Times New Roman" w:hAnsi="Times New Roman" w:cs="Times New Roman"/>
          <w:sz w:val="24"/>
          <w:szCs w:val="24"/>
        </w:rPr>
      </w:pPr>
      <w:r w:rsidRPr="00296255">
        <w:rPr>
          <w:rFonts w:ascii="Times New Roman" w:hAnsi="Times New Roman" w:cs="Times New Roman"/>
          <w:sz w:val="24"/>
          <w:szCs w:val="24"/>
        </w:rPr>
        <w:t xml:space="preserve">The most important factor in the industrial adoption of biodegradable films is their economic viability. A systematic framework for assessing process and economic factors, such as labor, energy consumption, equipment investment, consumables and raw material costs, and fixed and variable expenditures, is offered by techno-economic analysis (TEA) </w:t>
      </w:r>
      <w:sdt>
        <w:sdtPr>
          <w:rPr>
            <w:rFonts w:ascii="Times New Roman" w:hAnsi="Times New Roman" w:cs="Times New Roman"/>
            <w:color w:val="000000"/>
            <w:sz w:val="24"/>
            <w:szCs w:val="24"/>
          </w:rPr>
          <w:tag w:val="MENDELEY_CITATION_v3_eyJjaXRhdGlvbklEIjoiTUVOREVMRVlfQ0lUQVRJT05fNWIwZGM4NjEtNzE1Mi00ZGVjLWFkOWEtNTYzMGIwM2MxNDU0IiwicHJvcGVydGllcyI6eyJub3RlSW5kZXgiOjB9LCJpc0VkaXRlZCI6ZmFsc2UsIm1hbnVhbE92ZXJyaWRlIjp7ImlzTWFudWFsbHlPdmVycmlkZGVuIjpmYWxzZSwiY2l0ZXByb2NUZXh0IjoiKEJlbml0ZXogZXQgYWwuLCAyMDI0KSIsIm1hbnVhbE92ZXJyaWRlVGV4dCI6IiJ9LCJjaXRhdGlvbkl0ZW1zIjpbeyJpZCI6IjlhZDU1NjllLWQxOWYtMzE2My1iYzBjLTg0YTBhZmViMmJmNSIsIml0ZW1EYXRhIjp7InR5cGUiOiJhcnRpY2xlLWpvdXJuYWwiLCJpZCI6IjlhZDU1NjllLWQxOWYtMzE2My1iYzBjLTg0YTBhZmViMmJmNSIsInRpdGxlIjoiVHJhbnNwYXJlbnQsIHBsYXN0aWNpemVkIGNlbGx1bG9zZS1nbHljZXJvbCBiaW9wbGFzdGljcyBmb3IgZm9vZCBwYWNrYWdpbmcgYXBwbGljYXRpb25zIiwiYXV0aG9yIjpbeyJmYW1pbHkiOiJCZW5pdGV6IiwiZ2l2ZW4iOiJKb3PDqSBKLiIsInBhcnNlLW5hbWVzIjpmYWxzZSwiZHJvcHBpbmctcGFydGljbGUiOiIiLCJub24tZHJvcHBpbmctcGFydGljbGUiOiIifSx7ImZhbWlseSI6IkZsb3JpZG8tTW9yZW5vIiwiZ2l2ZW4iOiJQZWRybyIsInBhcnNlLW5hbWVzIjpmYWxzZSwiZHJvcHBpbmctcGFydGljbGUiOiIiLCJub24tZHJvcHBpbmctcGFydGljbGUiOiIifSx7ImZhbWlseSI6IlBvcnJhcy1Ww6F6cXVleiIsImdpdmVuIjoiSm9zw6kgTS4iLCJwYXJzZS1uYW1lcyI6ZmFsc2UsImRyb3BwaW5nLXBhcnRpY2xlIjoiIiwibm9uLWRyb3BwaW5nLXBhcnRpY2xlIjoiIn0seyJmYW1pbHkiOiJUZWRlc2NoaSIsImdpdmVuIjoiR2lhY29tbyIsInBhcnNlLW5hbWVzIjpmYWxzZSwiZHJvcHBpbmctcGFydGljbGUiOiIiLCJub24tZHJvcHBpbmctcGFydGljbGUiOiIifSx7ImZhbWlseSI6IkF0aGFuYXNzaW91IiwiZ2l2ZW4iOiJBdGhhbmFzc2lhIiwicGFyc2UtbmFtZXMiOmZhbHNlLCJkcm9wcGluZy1wYXJ0aWNsZSI6IiIsIm5vbi1kcm9wcGluZy1wYXJ0aWNsZSI6IiJ9LHsiZmFtaWx5IjoiSGVyZWRpYS1HdWVycmVybyIsImdpdmVuIjoiSm9zw6kgQS4iLCJwYXJzZS1uYW1lcyI6ZmFsc2UsImRyb3BwaW5nLXBhcnRpY2xlIjoiIiwibm9uLWRyb3BwaW5nLXBhcnRpY2xlIjoiIn0seyJmYW1pbHkiOiJHdXptYW4tUHV5b2wiLCJnaXZlbiI6IlN1c2FuYS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I0LjEzMjk1NiIsIklTU04iOiIwMTQxODEzMCIsImlzc3VlZCI6eyJkYXRlLXBhcnRzIjpbWzIwMjQsN11dfSwicGFnZSI6IjEzMjk1NiIsInZvbHVtZSI6IjI3MyJ9LCJpc1RlbXBvcmFyeSI6ZmFsc2V9XX0="/>
          <w:id w:val="1150564650"/>
          <w:placeholder>
            <w:docPart w:val="C382101AD8A04DC78F376E8ADBC08A64"/>
          </w:placeholder>
        </w:sdtPr>
        <w:sdtEndPr/>
        <w:sdtContent>
          <w:r w:rsidR="00B32892" w:rsidRPr="00296255">
            <w:rPr>
              <w:rFonts w:ascii="Times New Roman" w:hAnsi="Times New Roman" w:cs="Times New Roman"/>
              <w:color w:val="000000"/>
              <w:sz w:val="24"/>
              <w:szCs w:val="24"/>
            </w:rPr>
            <w:t>(Benitez et al., 2024)</w:t>
          </w:r>
        </w:sdtContent>
      </w:sdt>
      <w:r w:rsidRPr="00296255">
        <w:rPr>
          <w:rFonts w:ascii="Times New Roman" w:hAnsi="Times New Roman" w:cs="Times New Roman"/>
          <w:sz w:val="24"/>
          <w:szCs w:val="24"/>
        </w:rPr>
        <w:t xml:space="preserve">. Both the manufacturing scale and the ratios of PBAT, starch, </w:t>
      </w:r>
      <w:proofErr w:type="spellStart"/>
      <w:r w:rsidRPr="00296255">
        <w:rPr>
          <w:rFonts w:ascii="Times New Roman" w:hAnsi="Times New Roman" w:cs="Times New Roman"/>
          <w:sz w:val="24"/>
          <w:szCs w:val="24"/>
        </w:rPr>
        <w:t>nanoclay</w:t>
      </w:r>
      <w:proofErr w:type="spellEnd"/>
      <w:r w:rsidRPr="00296255">
        <w:rPr>
          <w:rFonts w:ascii="Times New Roman" w:hAnsi="Times New Roman" w:cs="Times New Roman"/>
          <w:sz w:val="24"/>
          <w:szCs w:val="24"/>
        </w:rPr>
        <w:t xml:space="preserve">, and glycerol have a significant impact on the cost structure of composite films. New research has shown that using starch to partially replace costly petroleum-based polymers lowers material prices without sacrificing the capacity to create films, and standardizing component fractions guarantees formulation comparability </w:t>
      </w:r>
      <w:sdt>
        <w:sdtPr>
          <w:rPr>
            <w:rFonts w:ascii="Times New Roman" w:hAnsi="Times New Roman" w:cs="Times New Roman"/>
            <w:color w:val="000000"/>
            <w:sz w:val="24"/>
            <w:szCs w:val="24"/>
          </w:rPr>
          <w:tag w:val="MENDELEY_CITATION_v3_eyJjaXRhdGlvbklEIjoiTUVOREVMRVlfQ0lUQVRJT05fZGY3NTBmZTAtZTY3ZC00YjMxLWI2NDktMGE2MmZjYzRhY2M4IiwicHJvcGVydGllcyI6eyJub3RlSW5kZXgiOjB9LCJpc0VkaXRlZCI6ZmFsc2UsIm1hbnVhbE92ZXJyaWRlIjp7ImlzTWFudWFsbHlPdmVycmlkZGVuIjpmYWxzZSwiY2l0ZXByb2NUZXh0IjoiKEZhbHVhIGV0IGFsLiwgMjAyMmEpIiwibWFudWFsT3ZlcnJpZGVUZXh0IjoiIn0sImNpdGF0aW9uSXRlbXMiOlt7ImlkIjoiZmYzYWU4YzktNjIyNy0zODcyLWI4ODUtNWY1ZjdjMWM4MzU0IiwiaXRlbURhdGEiOnsidHlwZSI6ImFydGljbGUtam91cm5hbCIsImlkIjoiZmYzYWU4YzktNjIyNy0zODcyLWI4ODUtNWY1ZjdjMWM4MzU0IiwidGl0bGUiOiJWYWxvcml6YXRpb24gb2YgU3RhcmNoIHRvIEJpb2Jhc2VkIE1hdGVyaWFsczogQSBSZXZpZXciLCJhdXRob3IiOlt7ImZhbWlseSI6IkZhbHVhIiwiZ2l2ZW4iOiJLZWhpbmRlIEphbWVzIiwicGFyc2UtbmFtZXMiOmZhbHNlLCJkcm9wcGluZy1wYXJ0aWNsZSI6IiIsIm5vbi1kcm9wcGluZy1wYXJ0aWNsZSI6IiJ9LHsiZmFtaWx5IjoiUG9raGFyZWwiLCJnaXZlbiI6IkFuYW1vbCIsInBhcnNlLW5hbWVzIjpmYWxzZSwiZHJvcHBpbmctcGFydGljbGUiOiIiLCJub24tZHJvcHBpbmctcGFydGljbGUiOiIifSx7ImZhbWlseSI6IkJhYmFlaS1HaGF6dmluaSIsImdpdmVuIjoiQW1pbiIsInBhcnNlLW5hbWVzIjpmYWxzZSwiZHJvcHBpbmctcGFydGljbGUiOiIiLCJub24tZHJvcHBpbmctcGFydGljbGUiOiIifSx7ImZhbWlseSI6IkFpIiwiZ2l2ZW4iOiJZb25nZmVuZyIsInBhcnNlLW5hbWVzIjpmYWxzZSwiZHJvcHBpbmctcGFydGljbGUiOiIiLCJub24tZHJvcHBpbmctcGFydGljbGUiOiIifSx7ImZhbWlseSI6IkFjaGFyeWEiLCJnaXZlbiI6IkJpc2hudSIsInBhcnNlLW5hbWVzIjpmYWxzZSwiZHJvcHBpbmctcGFydGljbGUiOiIiLCJub24tZHJvcHBpbmctcGFydGljbGUiOiIifV0sImNvbnRhaW5lci10aXRsZSI6IlBvbHltZXJzIiwiY29udGFpbmVyLXRpdGxlLXNob3J0IjoiUG9seW1lcnMgKEJhc2VsKSIsIkRPSSI6IjEwLjMzOTAvcG9seW0xNDExMjIxNSIsIklTU04iOiIyMDczLTQzNjAiLCJpc3N1ZWQiOnsiZGF0ZS1wYXJ0cyI6W1syMDIyLDUsMzBdXX0sInBhZ2UiOiIyMjE1IiwiYWJzdHJhY3QiOiI8cD5NYW55IGNvbmNlcm5zIGFyZSBiZWluZyBleHByZXNzZWQgYWJvdXQgdGhlIGJpb2RlZ3JhZGFiaWxpdHksIGJpb2NvbXBhdGliaWxpdHksIGFuZCBsb25nLXRlcm0gdmlhYmlsaXR5IG9mIHBvbHltZXItYmFzZWQgc3Vic3RhbmNlcy4gVGhpcyBwcm9tcHRlZCB0aGUgcXVlc3QgZm9yIGFuIGFsdGVybmF0aXZlIHNvdXJjZSBvZiBtYXRlcmlhbCB0aGF0IGNvdWxkIGJlIHV0aWxpemVkIGZvciB2YXJpb3VzIHB1cnBvc2VzLiBTdGFyY2ggaXMgd2lkZWx5IHVzZWQgYXMgYSB0aGlja2VuZXIsIGVtdWxzaWZpZXIsIGFuZCBiaW5kZXIgaW4gbWFueSBmb29kIGFuZCBub24tZm9vZCBzZWN0b3JzLCBidXQgcmVzZWFyY2ggZm9jdXNlcyBvbiBpbmNyZWFzaW5nIGl0cyBhcHBsaWNhdGlvbiBiZXlvbmQgdGhlc2UgYXJlYXMuIER1ZSB0byBpdHMgYmlvZGVncmFkYWJpbGl0eSwgbG93IGNvc3QsIHJlbmV3YWJpbGl0eSwgYW5kIGFidW5kYW5jZSwgc3RhcmNoIGlzIGNvbnNpZGVyZWQgYSDigJxncmVlbiBwYXRo4oCdIHJhdyBtYXRlcmlhbCBmb3IgZ2VuZXJhdGluZyBwb3JvdXMgc3Vic3RhbmNlcyBzdWNoIGFzIGFlcm9nZWxzLCBiaW9mb2FtcywgYW5kIGJpb3BsYXN0aWNzLCB3aGljaCBoYXZlIHNwYXJrZWQgYW4gYWNhZGVtaWMgaW50ZXJlc3QuIEV4aXN0aW5nIHJlc2VhcmNoIGhhcyBmb2N1c2VkIG9uIHN0cmF0ZWdpZXMgZm9yIGRldmVsb3BpbmcgYmlvbWF0ZXJpYWxzIGZyb20gb3JnYW5pYyBwb2x5bWVycyAoZS5nLiwgY2VsbHVsb3NlKSwgYnV0IHRoZXJlIGhhcyBiZWVuIGxpdHRsZSByZXNlYXJjaCBvbiBpdHMgcG9seXNhY2NoYXJpZGUgY291bnRlcnBhcnQgKHN0YXJjaCkuIFRoaXMgcmV2aWV3IHBhcGVyIGhpZ2hsaWdodGVkIHRoZSBzdHJ1Y3R1cmUgb2Ygc3RhcmNoLCB0aGUgY29udGV4dCBvZiBhbXlsb3NlIGFuZCBhbXlsb3BlY3RpbiwgYW5kIHRoZSBleHRyYWN0aW9uIGFuZCBtb2RpZmljYXRpb24gb2Ygc3RhcmNoIHdpdGggdGhlaXIgcHJvY2Vzc2VzIGFuZCBsaW1pdGF0aW9ucy4gTW9yZW92ZXIsIHRoaXMgcGFwZXIgZGVzY3JpYmVzIG5hbm9maWxsZXJzLCBpbnRlbGxpZ2VudCBwSC1zZW5zaXRpdmUgZmlsbXMsIGJpb2ZvYW1zLCBhZXJvZ2VscyBvZiB2YXJpb3VzIHR5cGVzLCBiaW9wbGFzdGljcywgYW5kIHRoZWlyIHByZWN1cnNvcnMsIGluY2x1ZGluZyBkcnlpbmcgYW5kIG1hbnVmYWN0dXJpbmcuIFRoZSBwZXJzcGVjdGl2ZXMgcmV2ZWFsIHRoZSBncmVhdCBwb3RlbnRpYWwgb2Ygc3RhcmNoLWJhc2VkIGJpb21hdGVyaWFscyBpbiBmb29kLCBwaGFybWFjZXV0aWNhbHMsIGJpb21lZGljaW5lLCBhbmQgbm9uLWZvb2QgYXBwbGljYXRpb25zLjwvcD4iLCJpc3N1ZSI6IjExIiwidm9sdW1lIjoiMTQifSwiaXNUZW1wb3JhcnkiOmZhbHNlfV19"/>
          <w:id w:val="-1538425549"/>
          <w:placeholder>
            <w:docPart w:val="C382101AD8A04DC78F376E8ADBC08A64"/>
          </w:placeholder>
        </w:sdtPr>
        <w:sdtEndPr/>
        <w:sdtContent>
          <w:r w:rsidR="00B32892" w:rsidRPr="00296255">
            <w:rPr>
              <w:rFonts w:ascii="Times New Roman" w:hAnsi="Times New Roman" w:cs="Times New Roman"/>
              <w:color w:val="000000"/>
              <w:sz w:val="24"/>
              <w:szCs w:val="24"/>
            </w:rPr>
            <w:t>(</w:t>
          </w:r>
          <w:proofErr w:type="spellStart"/>
          <w:r w:rsidR="00B32892" w:rsidRPr="00296255">
            <w:rPr>
              <w:rFonts w:ascii="Times New Roman" w:hAnsi="Times New Roman" w:cs="Times New Roman"/>
              <w:color w:val="000000"/>
              <w:sz w:val="24"/>
              <w:szCs w:val="24"/>
            </w:rPr>
            <w:t>Falua</w:t>
          </w:r>
          <w:proofErr w:type="spellEnd"/>
          <w:r w:rsidR="00B32892" w:rsidRPr="00296255">
            <w:rPr>
              <w:rFonts w:ascii="Times New Roman" w:hAnsi="Times New Roman" w:cs="Times New Roman"/>
              <w:color w:val="000000"/>
              <w:sz w:val="24"/>
              <w:szCs w:val="24"/>
            </w:rPr>
            <w:t xml:space="preserve"> et al., 2022a)</w:t>
          </w:r>
        </w:sdtContent>
      </w:sdt>
      <w:r w:rsidRPr="00296255">
        <w:rPr>
          <w:rFonts w:ascii="Times New Roman" w:hAnsi="Times New Roman" w:cs="Times New Roman"/>
          <w:sz w:val="24"/>
          <w:szCs w:val="24"/>
        </w:rPr>
        <w:t xml:space="preserve">. </w:t>
      </w:r>
    </w:p>
    <w:p w14:paraId="322A37FE" w14:textId="6066FF1D" w:rsidR="00686ED6" w:rsidRPr="00296255" w:rsidRDefault="00686ED6" w:rsidP="00BD3695">
      <w:pPr>
        <w:spacing w:after="0" w:line="480" w:lineRule="auto"/>
        <w:jc w:val="both"/>
        <w:rPr>
          <w:rFonts w:ascii="Times New Roman" w:hAnsi="Times New Roman" w:cs="Times New Roman"/>
          <w:sz w:val="24"/>
          <w:szCs w:val="24"/>
        </w:rPr>
      </w:pPr>
      <w:r w:rsidRPr="00296255">
        <w:rPr>
          <w:rFonts w:ascii="Times New Roman" w:hAnsi="Times New Roman" w:cs="Times New Roman"/>
          <w:sz w:val="24"/>
          <w:szCs w:val="24"/>
        </w:rPr>
        <w:lastRenderedPageBreak/>
        <w:t xml:space="preserve">The trustworthy estimate of fixed costs per unit of production is also provided by capital recovery factor (CRF)-based computations, which are frequently used to annualize equipment investments and account for interest and depreciation over the course of processing units' lifespans </w:t>
      </w:r>
      <w:sdt>
        <w:sdtPr>
          <w:rPr>
            <w:rFonts w:ascii="Times New Roman" w:hAnsi="Times New Roman" w:cs="Times New Roman"/>
            <w:color w:val="000000"/>
            <w:sz w:val="24"/>
            <w:szCs w:val="24"/>
          </w:rPr>
          <w:tag w:val="MENDELEY_CITATION_v3_eyJjaXRhdGlvbklEIjoiTUVOREVMRVlfQ0lUQVRJT05fYTUxZDRiOWUtOGNjNi00Mjg4LWEwZTUtNTQzZTk0NmFlMjIwIiwicHJvcGVydGllcyI6eyJub3RlSW5kZXgiOjB9LCJpc0VkaXRlZCI6ZmFsc2UsIm1hbnVhbE92ZXJyaWRlIjp7ImlzTWFudWFsbHlPdmVycmlkZGVuIjp0cnVlLCJjaXRlcHJvY1RleHQiOiIoTGFuZ3Jpc2ggJiMzODsgQ2hlbmcsIDIwMjUpIiwibWFudWFsT3ZlcnJpZGVUZXh0IjoiKExhbmdyaXNoIGFuZCBDaGVuZywgMjAyNSkifSwiY2l0YXRpb25JdGVtcyI6W3siaWQiOiIwMTNjYjY1MC0xMDI1LTNjMmEtODU5Ny1hMDQxODg3NDRmZDgiLCJpdGVtRGF0YSI6eyJ0eXBlIjoiYXJ0aWNsZS1qb3VybmFsIiwiaWQiOiIwMTNjYjY1MC0xMDI1LTNjMmEtODU5Ny1hMDQxODg3NDRmZDgiLCJ0aXRsZSI6IlRlY2huby1FY29ub21pYyBBbmFseXNpcyBmb3IgdGhlIENvc3RzIG9mIERyeWluZyBDaGlja3BlYXM6IEFuIEV4YW1wbGUgU2hvd2luZyB0aGUgVHJhZGUtT2ZmIEJldHdlZW4gQ2FwaXRhbCBhbmQgT3BlcmF0aW5nIENvc3RzIGZvciBEaWZmZXJlbnQgSW5sZXQgQWlyIFRlbXBlcmF0dXJlcyIsImF1dGhvciI6W3siZmFtaWx5IjoiTGFuZ3Jpc2giLCJnaXZlbiI6IlRpbW90aHkgQS4gRy4iLCJwYXJzZS1uYW1lcyI6ZmFsc2UsImRyb3BwaW5nLXBhcnRpY2xlIjoiIiwibm9uLWRyb3BwaW5nLXBhcnRpY2xlIjoiIn0seyJmYW1pbHkiOiJDaGVuZyIsImdpdmVuIjoiU2h1IiwicGFyc2UtbmFtZXMiOmZhbHNlLCJkcm9wcGluZy1wYXJ0aWNsZSI6IiIsIm5vbi1kcm9wcGluZy1wYXJ0aWNsZSI6IiJ9XSwiY29udGFpbmVyLXRpdGxlIjoiUHJvY2Vzc2VzIiwiRE9JIjoiMTAuMzM5MC9wcjEzMDQxMTc4IiwiSVNTTiI6IjIyMjctOTcxNyIsImlzc3VlZCI6eyJkYXRlLXBhcnRzIjpbWzIwMjUsNCwxM11dfSwicGFnZSI6IjExNzgiLCJhYnN0cmFjdCI6IjxwPlRoaXMgc3R1ZHkgaW52ZXN0aWdhdGVzIHRoZSBpbXBsZW1lbnRhdGlvbiBvZiBuZXcgZHJ5aW5nIHNjaGVkdWxlcyBmb3IgY2hpY2twZWFzLCBhIHNpZ25pZmljYW50IHB1bHNlLCBpbmNvcnBvcmF0aW5nIGEgdGVjaG5vLWVjb25vbWljIGFuYWx5c2lzLiBUaGUgcmVzZWFyY2ggYWxzbyBleHBsb3JlcyB0aGUgcmVkdWN0aW9uIGluIGFudGktbnV0cml0aW9uYWwgZmFjdG9ycywgc3VjaCBhcyB0cnlwc2luIGluaGliaXRvcnMsIHRocm91Z2ggZmx1aWRpemVkLWJlZCBkcnlpbmcgd2l0aCBhbiBhaXIgcmVjeWNsaW5nIHN5c3RlbS4gVGhlIHByb2Nlc3NpbmcgY29zdCBwZXIgdW5pdCBtYXNzIG9mIGNoaWNrcGVhcyBpcyBwcmVkaWN0ZWQgdG8gZGVjcmVhc2Ugd2l0aCBhbiBpbmNyZWFzaW5nIHJlY3ljbGluZyByYXRpbywgZnJvbSBvdmVyIEFVRCAxLjMyL2tnIG9mIGNoaWNrcGVhcyB3aXRoIG5vIHJlY3ljbGluZyBkb3duIHRvIEFVRCAwLjA4ODUva2cgb2YgY2hpY2twZWFzIGF0IGEgcmF0aW8gb2YgOTklLiBXaXRoIG5vIGFpciByZWN5Y2xpbmcsIHRoZSBsb3dlc3QgaW5sZXQgYWlyIHRlbXBlcmF0dXJlICg0MCDCsEMpIGdpdmVzIHRoZSBsb3dlc3QgY29zdCwgYnV0IG5lYXIgdGhlIG9wdGltdW0gcmVjeWNsaW5nIHJhdGlvLCB0aGUgaGlnaGVzdCBpbmxldCBhaXIgdGVtcGVyYXR1cmUgKDgwIMKwQykgaXMgYmVzdC4gVGhpcyBwYXR0ZXJuIGlzIGZvbGxvd2VkIHdoZW4gY29uc2lkZXJpbmcgZXF1aXZhbGVudCBjYXJib24gZGlveGlkZSBlbWlzc2lvbnMsIHdpdGggdGhlIGxvd2VzdCBlbWlzc2lvbnMgKG92ZXIgMC4yNTkga2cgQ08yIChrZyBjaGlja3BlYXMp4oiSMSkgY29ycmVzcG9uZGluZyB0byBoaWdoIHJlY3ljbGluZyByYXRpb3MgYW5kIGhpZ2ggaW5sZXQgYWlyIHRlbXBlcmF0dXJlcy4gVGhlIHVzZSBvZiBhaXIgcmVjeWNsaW5nIHNob3VsZCBjYXVzZSBubyBzaWduaWZpY2FudCBjaGFsbGVuZ2VzIHdoZW4gaW1wbGVtZW50aW5nIGEgZHJ5aW5nIHNjaGVkdWxlIGZvciB0cnlwc2luIGluaGliaXRvciByZWR1Y3Rpb24gaW4gY2hpY2twZWFzLjwvcD4iLCJpc3N1ZSI6IjQiLCJ2b2x1bWUiOiIxMyIsImNvbnRhaW5lci10aXRsZS1zaG9ydCI6IiJ9LCJpc1RlbXBvcmFyeSI6ZmFsc2V9XX0="/>
          <w:id w:val="1798722251"/>
          <w:placeholder>
            <w:docPart w:val="C382101AD8A04DC78F376E8ADBC08A64"/>
          </w:placeholder>
        </w:sdtPr>
        <w:sdtEndPr/>
        <w:sdtContent>
          <w:r w:rsidR="00B32892" w:rsidRPr="00296255">
            <w:rPr>
              <w:rFonts w:ascii="Times New Roman" w:hAnsi="Times New Roman" w:cs="Times New Roman"/>
              <w:color w:val="000000"/>
              <w:sz w:val="24"/>
              <w:szCs w:val="24"/>
            </w:rPr>
            <w:t>(</w:t>
          </w:r>
          <w:proofErr w:type="spellStart"/>
          <w:r w:rsidR="00B32892" w:rsidRPr="00296255">
            <w:rPr>
              <w:rFonts w:ascii="Times New Roman" w:hAnsi="Times New Roman" w:cs="Times New Roman"/>
              <w:color w:val="000000"/>
              <w:sz w:val="24"/>
              <w:szCs w:val="24"/>
            </w:rPr>
            <w:t>Langrish</w:t>
          </w:r>
          <w:proofErr w:type="spellEnd"/>
          <w:r w:rsidR="00B32892" w:rsidRPr="00296255">
            <w:rPr>
              <w:rFonts w:ascii="Times New Roman" w:hAnsi="Times New Roman" w:cs="Times New Roman"/>
              <w:color w:val="000000"/>
              <w:sz w:val="24"/>
              <w:szCs w:val="24"/>
            </w:rPr>
            <w:t xml:space="preserve"> and Cheng, 2025)</w:t>
          </w:r>
        </w:sdtContent>
      </w:sdt>
      <w:r w:rsidRPr="00296255">
        <w:rPr>
          <w:rFonts w:ascii="Times New Roman" w:hAnsi="Times New Roman" w:cs="Times New Roman"/>
          <w:sz w:val="24"/>
          <w:szCs w:val="24"/>
        </w:rPr>
        <w:t xml:space="preserve">. The cost per kilogram of film is mostly determined by variable factors, such as energy, consumables, raw materials, and quality control; adding additives like glycerol and </w:t>
      </w:r>
      <w:proofErr w:type="spellStart"/>
      <w:r w:rsidRPr="00296255">
        <w:rPr>
          <w:rFonts w:ascii="Times New Roman" w:hAnsi="Times New Roman" w:cs="Times New Roman"/>
          <w:sz w:val="24"/>
          <w:szCs w:val="24"/>
        </w:rPr>
        <w:t>nanoclay</w:t>
      </w:r>
      <w:proofErr w:type="spellEnd"/>
      <w:r w:rsidRPr="00296255">
        <w:rPr>
          <w:rFonts w:ascii="Times New Roman" w:hAnsi="Times New Roman" w:cs="Times New Roman"/>
          <w:sz w:val="24"/>
          <w:szCs w:val="24"/>
        </w:rPr>
        <w:t xml:space="preserve"> may marginally raise these prices </w:t>
      </w:r>
      <w:sdt>
        <w:sdtPr>
          <w:rPr>
            <w:rFonts w:ascii="Times New Roman" w:hAnsi="Times New Roman" w:cs="Times New Roman"/>
            <w:color w:val="000000"/>
            <w:sz w:val="24"/>
            <w:szCs w:val="24"/>
          </w:rPr>
          <w:tag w:val="MENDELEY_CITATION_v3_eyJjaXRhdGlvbklEIjoiTUVOREVMRVlfQ0lUQVRJT05fOGYxZTMzNTYtNmMxMy00OTEwLWE0OGYtZTYxZjQxYTUxMWY5IiwicHJvcGVydGllcyI6eyJub3RlSW5kZXgiOjB9LCJpc0VkaXRlZCI6ZmFsc2UsIm1hbnVhbE92ZXJyaWRlIjp7ImlzTWFudWFsbHlPdmVycmlkZGVuIjp0cnVlLCJjaXRlcHJvY1RleHQiOiIoUmFkZXYgJiMzODsgS3Vyc2h1bW92LCAyMDI0KSIsIm1hbnVhbE92ZXJyaWRlVGV4dCI6IihSYWRldiBhbmQgS3Vyc2h1bW92LCAyMDI0KSJ9LCJjaXRhdGlvbkl0ZW1zIjpbeyJpZCI6IjQ3YzE4OGY4LTM5MmQtMzA4MC04N2EyLWMyYzgwYjI2NmFiOSIsIml0ZW1EYXRhIjp7InR5cGUiOiJhcnRpY2xlLWpvdXJuYWwiLCJpZCI6IjQ3YzE4OGY4LTM5MmQtMzA4MC04N2EyLWMyYzgwYjI2NmFiOSIsInRpdGxlIjoiQ29zdCBwcmljZSBvZiBlZGlibGUgZmlsbXMgYW5kIGNvYXRpbmdzIGZvciBmcmVzaCBmcnVpdCBhbmQgdmVnZXRhYmxlcyIsImF1dGhvciI6W3siZmFtaWx5IjoiUmFkZXYiLCJnaXZlbiI6IlJhZG9zbGF2IiwicGFyc2UtbmFtZXMiOmZhbHNlLCJkcm9wcGluZy1wYXJ0aWNsZSI6IiIsIm5vbi1kcm9wcGluZy1wYXJ0aWNsZSI6IiJ9LHsiZmFtaWx5IjoiS3Vyc2h1bW92IiwiZ2l2ZW4iOiJWbGFkaSIsInBhcnNlLW5hbWVzIjpmYWxzZSwiZHJvcHBpbmctcGFydGljbGUiOiIiLCJub24tZHJvcHBpbmctcGFydGljbGUiOiIifV0sImNvbnRhaW5lci10aXRsZSI6IkJJTyBXZWIgb2YgQ29uZmVyZW5jZXMiLCJjb250YWluZXItdGl0bGUtc2hvcnQiOiJCSU8gV2ViIENvbmYiLCJET0kiOiIxMC4xMDUxL2Jpb2NvbmYvMjAyNDE0MTAxMDAxIiwiSVNTTiI6IjIxMTctNDQ1OCIsImlzc3VlZCI6eyJkYXRlLXBhcnRzIjpbWzIwMjQsMTEsMjFdXX0sInBhZ2UiOiIwMTAwMSIsImFic3RyYWN0IjoiPHA+U2NpZW50aWZpYyBzdHVkaWVzIG9uIGRldGVybWluaW5nIHRoZSBjb3N0IHByaWNlIG9mIGVkaWJsZSBmaWxtcyBhbmQgY29hdGluZ3MgZm9yIGZyZXNoIGZydWl0cyBhbmQgdmVnZXRhYmxlcyBoYXZlIG5vdCBiZWVuIGVzdGFibGlzaGVkIGluIHRoZSBzY2llbnRpZmljIGxpdGVyYXR1cmUuIFRoZSBwdXJwb3NlIG9mIHRoaXMgYXJ0aWNsZSBpcyB0byBleGFtaW5lIGNvc3QgcHJpY2Ugb2YgdmFyaW91cyBlZGlibGUgZmlsbXMgYW5kIGNvYXRpbmdzIGZvciBzb21lIGZyZXNoIGZydWl0cyBhbmQgdmVnZXRhYmxlcy4gVGhlIGRlc2NyaXB0aXZlLWFuYWx5dGljYWwgbWV0aG9kIGlzIHVzZWQgdG8gZnVsZmlsbCB0aGUgYWltIC0gdGhlIHRoZW9yZXRpY2FsIGFzcGVjdHMgb2YgdGhlIHJlc2VhcmNoZWQgc2NpZW50aWZpYyBmaWVsZCBhcmUgaW52ZXN0aWdhdGVkIG9uIHRoZSBiYXNpcyBvZiBhIGN1cnJlbnQgbGl0ZXJhdHVyZSBzdXJ2ZXkuIFRoZSBjb2xsZWN0ZWQgaW5mb3JtYXRpb24gaXMgc3VtbWFyaXplZCBhbmQgYW5hbHl6ZWQgdXNpbmcgYSBzeXN0ZW1hdGljIGFwcHJvYWNoOyBhbiBhbmFseXRpY2FsIGFwcHJvYWNoOyBhIHN0dWR5IG9mIHRoZSB3b3JrcyBvZiBhdXRob3JzIGluIHRoZSBmaWVsZDsgYSBjb21wYXJhdGl2ZSBhbmFseXNpcyBhbmQgYW4gb2JzZXJ2YXRpb25hbCBtZXRob2QuIEluIHRoZSBzY2llbnRpZmljIHN0dWR5LCB0aGUgY29zdCBwcmljZSBvZiBlZGlibGUgZmlsbXMgYW5kIGNvYXRpbmdzIGZvciBmcmVzaCBmcnVpdHMgYW5kIHZlZ2V0YWJsZXMgb2YgcmFuZG9tbHkgc2VsZWN0ZWQgc2NpZW50aWZpYyBkZXZlbG9wbWVudHMgd2FzIGNhbGN1bGF0ZWQsIGFuZCB0aHJlZSBncm91cHMgYWNjb3JkaW5nIHRvIGNvc3QgcHJpY2Ugd2VyZSBwcmVzZW50ZWQuIEluIGNvbmNsdXNpb24sIG9wcG9ydHVuaXRpZXMgZm9yIGZ1dHVyZSByZXNlYXJjaCBvbiB0aGUgY29zdCBwcmljZSBvZiBlZGlibGUgZmlsbXMgYW5kIGNvYXRpbmdzIGFyZSBwcmVzZW50ZWQuPC9wPiIsInZvbHVtZSI6IjE0MSJ9LCJpc1RlbXBvcmFyeSI6ZmFsc2V9XX0="/>
          <w:id w:val="-1664621014"/>
          <w:placeholder>
            <w:docPart w:val="C382101AD8A04DC78F376E8ADBC08A64"/>
          </w:placeholder>
        </w:sdtPr>
        <w:sdtEndPr/>
        <w:sdtContent>
          <w:r w:rsidR="00B32892" w:rsidRPr="00296255">
            <w:rPr>
              <w:rFonts w:ascii="Times New Roman" w:hAnsi="Times New Roman" w:cs="Times New Roman"/>
              <w:color w:val="000000"/>
              <w:sz w:val="24"/>
              <w:szCs w:val="24"/>
            </w:rPr>
            <w:t>(Radev and Kurshumov, 2024)</w:t>
          </w:r>
        </w:sdtContent>
      </w:sdt>
      <w:r w:rsidRPr="00296255">
        <w:rPr>
          <w:rFonts w:ascii="Times New Roman" w:hAnsi="Times New Roman" w:cs="Times New Roman"/>
          <w:sz w:val="24"/>
          <w:szCs w:val="24"/>
        </w:rPr>
        <w:t xml:space="preserve">.  Break-even analysis provides important information about the economic feasibility of various film formulations by enabling the calculation of the minimal production volume and sales income needed to cover yearly expenditures </w:t>
      </w:r>
      <w:sdt>
        <w:sdtPr>
          <w:rPr>
            <w:rFonts w:ascii="Times New Roman" w:hAnsi="Times New Roman" w:cs="Times New Roman"/>
            <w:color w:val="000000"/>
            <w:sz w:val="24"/>
            <w:szCs w:val="24"/>
          </w:rPr>
          <w:tag w:val="MENDELEY_CITATION_v3_eyJjaXRhdGlvbklEIjoiTUVOREVMRVlfQ0lUQVRJT05fYzVjYWE5NmUtNWRiYi00Zjc2LTkxMDctNWY3ZTYwYWQ0MTBmIiwicHJvcGVydGllcyI6eyJub3RlSW5kZXgiOjB9LCJpc0VkaXRlZCI6ZmFsc2UsIm1hbnVhbE92ZXJyaWRlIjp7ImlzTWFudWFsbHlPdmVycmlkZGVuIjpmYWxzZSwiY2l0ZXByb2NUZXh0IjoiKFNpbnRoYSwgMjAyMCkiLCJtYW51YWxPdmVycmlkZVRleHQiOiIifSwiY2l0YXRpb25JdGVtcyI6W3siaWQiOiJmMjFkNDFmNC04MWVjLTNmOTEtYjU4OC02OTEwMjg5ZGQyYzYiLCJpdGVtRGF0YSI6eyJ0eXBlIjoiYXJ0aWNsZS1qb3VybmFsIiwiaWQiOiJmMjFkNDFmNC04MWVjLTNmOTEtYjU4OC02OTEwMjg5ZGQyYzYiLCJ0aXRsZSI6IklNUE9SVEFOQ0UgT0YgQlJFQUstRVZFTiBBTkFMWVNJUyBGT1IgVEhFIE1JQ1JPLCBTTUFMTCBBTkQgTUVESVVNIEVOVEVSUFJJU0VTIiwiYXV0aG9yIjpbeyJmYW1pbHkiOiJTaW50aGEiLCJnaXZlbiI6IkxpcyIsInBhcnNlLW5hbWVzIjpmYWxzZSwiZHJvcHBpbmctcGFydGljbGUiOiIiLCJub24tZHJvcHBpbmctcGFydGljbGUiOiIifV0sImNvbnRhaW5lci10aXRsZSI6IkludGVybmF0aW9uYWwgSm91cm5hbCBvZiBSZXNlYXJjaCAtR1JBTlRIQUFMQVlBSCIsIkRPSSI6IjEwLjI5MTIxL2dyYW50aGFhbGF5YWgudjguaTYuMjAyMC41MDIiLCJJU1NOIjoiMjM1MC0wNTMwIiwiaXNzdWVkIjp7ImRhdGUtcGFydHMiOltbMjAyMCw3LDEwXV19LCJwYWdlIjoiMjEyLTIxOCIsImFic3RyYWN0IjoiPHA+VGhlIGN1cnJlbnQgYmVoYXZpb3VyIG9mIFNtYWxsIGFuZCBNZWRpdW0gRW50ZXJwcmlzZXMgaGFzIHRvIGZhY2UgbWFueSBwcm9ibGVtcyBhbmQgdGhlIHN1cnZleSBhcmUgcHJlZGljdGVkLCA0NyBwZXIgY2VudCBvZiBTbWFsbCBhbmQgTWVkaXVtIEVudGVycHJpc2VzIHN0b3AgdHJ5aW5nLiBPbmUgb2YgdGhlIGNhdXNlcyBpcyB0aGF0IHRoZXJlIGFyZSBzdGlsbCBtYW55IHNtYWxsIGFuZCBtZWRpdW0gYnVzaW5lc3NlcywgZnJvbSB0aGUgYmVnaW5uaW5nIG9mIG9wZW5pbmcgdGhlaXIgYnVzaW5lc3MgdXAgdG8gbm93LCB0aGV5IGhhdmUgbmV2ZXIgY2FycmllZCBvdXQgYW4gYW5hbHlzaXMgb2YgcHJvZml0IGFuZCBsb3NzIGNhbGN1bGF0aW9ucyBhbmQgYSBjb21wcmVoZW5zaXZlIGNhbGN1bGF0aW9uIG9mIGhvdyBtYW55IHByb2R1Y3QgdW5pdHMgc2hvdWxkIGJlIG1hZGUgc28gdGhhdCB0aGUgYnVzaW5lc3MgcmV0dXJucyBvbiBjYXBpdGFsIGJ5IGxvb2tpbmcgYXQgcHJvZHVjdGlvbiBmYWN0b3JzIG9yIHJlc291cmNlcyB1c2VkLiBCcmVhay1ldmVuIGFuYWx5c2lzIGlzIGEgZmluYW5jaWFsIHRvb2wgdGhhdCBoZWxwcyBkZWNpZGUgYXQgd2hhdCBzdGFnZSBhIGNvbXBhbnksIG9yIG5ldyBzZXJ2aWNlIG9yIHByb2R1Y3QsIHdpbGwgYmUgcHJvZml0YWJsZSwgd2hpY2ggaXMgYSBmaW5hbmNpYWwgY2FsY3VsYXRpb24gdG8gZGVjaWRlIHRoZSBudW1iZXIgb2YgcHJvZHVjdHMgb3Igc2VydmljZXMgdGhhdCBhIGNvbXBhbnkgbXVzdCBzZWxsIHRvIGNvdmVyIGl0cyBjb3N0cyAoZXNwZWNpYWxseSBmaXhlZCBjb3N0cykuIFRoaXMgcmVzZWFyY2ggcGFwZXIgaXMgdGhlIGFwcGxpY2F0aW9uIG9mIHRoZSB0aGVvcmV0aWNhbCBjb25jZXB0cyBvZiBDVlAgQW5hbHlzaXMsIEJyZWFrLUV2ZW4gUG9pbnQgYSBwb3dlcmZ1bCB0b29sIGZvciBwbGFubmluZyBhbmQgZGVjaXNpb24gbWFraW5nLiBoaWdobGlnaHQgY29zdHMsIHF1YW50aXRpZXMgc29sZCBhbmQgcHJpY2VzLCB3aGljaCBhcmUgdGhlIGNvbXBhbnkncyBmaW5hbmNpYWwgaW5mb3JtYXRpb24uIMKgPC9wPiIsImlzc3VlIjoiNiIsInZvbHVtZSI6IjgiLCJjb250YWluZXItdGl0bGUtc2hvcnQiOiIifSwiaXNUZW1wb3JhcnkiOmZhbHNlfV19"/>
          <w:id w:val="1973400333"/>
          <w:placeholder>
            <w:docPart w:val="C382101AD8A04DC78F376E8ADBC08A64"/>
          </w:placeholder>
        </w:sdtPr>
        <w:sdtEndPr/>
        <w:sdtContent>
          <w:r w:rsidR="00B32892" w:rsidRPr="00296255">
            <w:rPr>
              <w:rFonts w:ascii="Times New Roman" w:hAnsi="Times New Roman" w:cs="Times New Roman"/>
              <w:color w:val="000000"/>
              <w:sz w:val="24"/>
              <w:szCs w:val="24"/>
            </w:rPr>
            <w:t>(Sintha, 2020)</w:t>
          </w:r>
        </w:sdtContent>
      </w:sdt>
      <w:r w:rsidRPr="00296255">
        <w:rPr>
          <w:rFonts w:ascii="Times New Roman" w:hAnsi="Times New Roman" w:cs="Times New Roman"/>
          <w:sz w:val="24"/>
          <w:szCs w:val="24"/>
        </w:rPr>
        <w:t xml:space="preserve">. </w:t>
      </w:r>
    </w:p>
    <w:p w14:paraId="18B2C74B" w14:textId="77777777" w:rsidR="00686ED6" w:rsidRPr="00296255" w:rsidRDefault="00686ED6" w:rsidP="00BD3695">
      <w:pPr>
        <w:spacing w:line="480" w:lineRule="auto"/>
        <w:jc w:val="both"/>
        <w:rPr>
          <w:rFonts w:ascii="Times New Roman" w:hAnsi="Times New Roman" w:cs="Times New Roman"/>
          <w:sz w:val="24"/>
          <w:szCs w:val="24"/>
        </w:rPr>
      </w:pPr>
      <w:r w:rsidRPr="00296255">
        <w:rPr>
          <w:rFonts w:ascii="Times New Roman" w:hAnsi="Times New Roman" w:cs="Times New Roman"/>
          <w:sz w:val="24"/>
          <w:szCs w:val="24"/>
        </w:rPr>
        <w:t>The principal objectives of this study were to determine how starch substitution affected material costs and overall production economics, determine how additives affected functional performance and film normalization, and conduct a thorough techno-economic analysis that included break-even analysis and fixed, variable, and total unit costs. The study intends to offer a thorough evaluation of the viability of PBAT–starch–</w:t>
      </w:r>
      <w:proofErr w:type="spellStart"/>
      <w:r w:rsidRPr="00296255">
        <w:rPr>
          <w:rFonts w:ascii="Times New Roman" w:hAnsi="Times New Roman" w:cs="Times New Roman"/>
          <w:sz w:val="24"/>
          <w:szCs w:val="24"/>
        </w:rPr>
        <w:t>nanoclay</w:t>
      </w:r>
      <w:proofErr w:type="spellEnd"/>
      <w:r w:rsidRPr="00296255">
        <w:rPr>
          <w:rFonts w:ascii="Times New Roman" w:hAnsi="Times New Roman" w:cs="Times New Roman"/>
          <w:sz w:val="24"/>
          <w:szCs w:val="24"/>
        </w:rPr>
        <w:t xml:space="preserve"> films for sustainable packaging applications by combining process parameters with economic analysis. It will also highlight how starch incorporation can improve cost-effectiveness while preserving biodegradability and functionality.</w:t>
      </w:r>
    </w:p>
    <w:p w14:paraId="1D944EAE" w14:textId="4F954B54" w:rsidR="00686ED6" w:rsidRPr="00296255" w:rsidRDefault="006A7BB8" w:rsidP="00BD3695">
      <w:pPr>
        <w:spacing w:after="0" w:line="480" w:lineRule="auto"/>
        <w:jc w:val="both"/>
        <w:rPr>
          <w:rFonts w:ascii="Times New Roman" w:hAnsi="Times New Roman" w:cs="Times New Roman"/>
          <w:b/>
          <w:bCs/>
          <w:sz w:val="24"/>
          <w:szCs w:val="24"/>
        </w:rPr>
      </w:pPr>
      <w:r w:rsidRPr="00296255">
        <w:rPr>
          <w:rFonts w:ascii="Times New Roman" w:hAnsi="Times New Roman" w:cs="Times New Roman"/>
          <w:b/>
          <w:bCs/>
          <w:sz w:val="24"/>
          <w:szCs w:val="24"/>
        </w:rPr>
        <w:t xml:space="preserve">MATERIALS AND METHODS </w:t>
      </w:r>
    </w:p>
    <w:p w14:paraId="5D9B3928" w14:textId="77777777" w:rsidR="00686ED6" w:rsidRPr="00296255" w:rsidRDefault="00686ED6" w:rsidP="00BD3695">
      <w:pPr>
        <w:spacing w:after="0" w:line="480" w:lineRule="auto"/>
        <w:jc w:val="both"/>
        <w:rPr>
          <w:rFonts w:ascii="Times New Roman" w:hAnsi="Times New Roman" w:cs="Times New Roman"/>
          <w:b/>
          <w:bCs/>
          <w:noProof/>
          <w:sz w:val="24"/>
          <w:szCs w:val="24"/>
          <w14:ligatures w14:val="standardContextual"/>
        </w:rPr>
      </w:pPr>
      <w:r w:rsidRPr="00296255">
        <w:rPr>
          <w:rFonts w:ascii="Times New Roman" w:hAnsi="Times New Roman" w:cs="Times New Roman"/>
          <w:b/>
          <w:bCs/>
          <w:noProof/>
          <w:sz w:val="24"/>
          <w:szCs w:val="24"/>
          <w14:ligatures w14:val="standardContextual"/>
        </w:rPr>
        <w:t>Process and economic parameters for cost estimation</w:t>
      </w:r>
    </w:p>
    <w:p w14:paraId="26ECAC78" w14:textId="77777777" w:rsidR="00686ED6" w:rsidRPr="00296255" w:rsidRDefault="00686ED6" w:rsidP="00BD3695">
      <w:pPr>
        <w:spacing w:after="0"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 xml:space="preserve">The entire cost of making biodegradable films was estimated by taking into account both economic and process factors. The primary cost components were labor, overhead, energy, consumables, raw materials, equipment cost, financing rate, installation, maintenance, insurance, and maintenance. A 10% installation fee was added to the estimated ₹20,000,000 </w:t>
      </w:r>
      <w:r w:rsidRPr="00296255">
        <w:rPr>
          <w:rFonts w:ascii="Times New Roman" w:hAnsi="Times New Roman" w:cs="Times New Roman"/>
          <w:noProof/>
          <w:sz w:val="24"/>
          <w:szCs w:val="24"/>
          <w14:ligatures w14:val="standardContextual"/>
        </w:rPr>
        <w:lastRenderedPageBreak/>
        <w:t>equipment cost, making the initial investment ₹22,000,000. A ten-year lifespan and a ten percent annual interest rate were anticipated for the plant, and maintenance and insurance costs were set at five percent and one percent of the equipment cost, respectively. Estimated labor costs were ₹1,500,000 annually, plus 15% overhead (₹225,000 annually).</w:t>
      </w:r>
    </w:p>
    <w:p w14:paraId="60A13183" w14:textId="77777777" w:rsidR="00686ED6" w:rsidRPr="00296255" w:rsidRDefault="00686ED6" w:rsidP="00BD3695">
      <w:pPr>
        <w:spacing w:after="0"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It was estimated that 120,000 kg of biodegradable film would be produced annually gross, with 3% scrap generated. This would yield 116,400 kg of saleable output (</w:t>
      </w:r>
      <w:r w:rsidRPr="00296255">
        <w:rPr>
          <w:rFonts w:ascii="Times New Roman" w:hAnsi="Times New Roman" w:cs="Times New Roman"/>
          <w:i/>
          <w:iCs/>
          <w:noProof/>
          <w:sz w:val="24"/>
          <w:szCs w:val="24"/>
          <w14:ligatures w14:val="standardContextual"/>
        </w:rPr>
        <w:t>Q</w:t>
      </w:r>
      <w:r w:rsidRPr="00296255">
        <w:rPr>
          <w:rFonts w:ascii="Times New Roman" w:hAnsi="Times New Roman" w:cs="Times New Roman"/>
          <w:i/>
          <w:iCs/>
          <w:noProof/>
          <w:sz w:val="24"/>
          <w:szCs w:val="24"/>
          <w:vertAlign w:val="subscript"/>
          <w14:ligatures w14:val="standardContextual"/>
        </w:rPr>
        <w:t>saleable</w:t>
      </w:r>
      <w:r w:rsidRPr="00296255">
        <w:rPr>
          <w:rFonts w:ascii="Times New Roman" w:hAnsi="Times New Roman" w:cs="Times New Roman"/>
          <w:noProof/>
          <w:sz w:val="24"/>
          <w:szCs w:val="24"/>
          <w14:ligatures w14:val="standardContextual"/>
        </w:rPr>
        <w:t>) annually. It was determined that the energy consumption was 0.9 kWh/kg at a unit rate of ₹8, which is equivalent to ₹7.20/kg of film. 1% and 0.5% of the raw material cost were expected to go toward consumables and quality control, respectively. Each formulation's kind and ratio of PBAT, starch, nanoclay, and glycerol affected the cost of the raw materials. These raw ingredients cost ₹280/kg for PBAT, ₹50/kg for starch, ₹500/kg for nanoclay, and ₹350/kg for glycerol, for example. To estimate revenue, a selling price (</w:t>
      </w:r>
      <w:r w:rsidRPr="00296255">
        <w:rPr>
          <w:rFonts w:ascii="Times New Roman" w:hAnsi="Times New Roman" w:cs="Times New Roman"/>
          <w:i/>
          <w:iCs/>
          <w:noProof/>
          <w:sz w:val="24"/>
          <w:szCs w:val="24"/>
          <w14:ligatures w14:val="standardContextual"/>
        </w:rPr>
        <w:t>P</w:t>
      </w:r>
      <w:r w:rsidRPr="00296255">
        <w:rPr>
          <w:rFonts w:ascii="Times New Roman" w:hAnsi="Times New Roman" w:cs="Times New Roman"/>
          <w:i/>
          <w:iCs/>
          <w:noProof/>
          <w:sz w:val="24"/>
          <w:szCs w:val="24"/>
          <w:vertAlign w:val="subscript"/>
          <w14:ligatures w14:val="standardContextual"/>
        </w:rPr>
        <w:t>sell</w:t>
      </w:r>
      <w:r w:rsidRPr="00296255">
        <w:rPr>
          <w:rFonts w:ascii="Times New Roman" w:hAnsi="Times New Roman" w:cs="Times New Roman"/>
          <w:noProof/>
          <w:sz w:val="24"/>
          <w:szCs w:val="24"/>
          <w14:ligatures w14:val="standardContextual"/>
        </w:rPr>
        <w:t>) of ₹500/kg of film was factored in.</w:t>
      </w:r>
    </w:p>
    <w:p w14:paraId="22F55817" w14:textId="77777777" w:rsidR="00686ED6" w:rsidRPr="00296255" w:rsidRDefault="00686ED6" w:rsidP="00BD3695">
      <w:pPr>
        <w:spacing w:after="0"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A PBAT-only control (T</w:t>
      </w:r>
      <w:r w:rsidRPr="00296255">
        <w:rPr>
          <w:rFonts w:ascii="Times New Roman" w:hAnsi="Times New Roman" w:cs="Times New Roman"/>
          <w:noProof/>
          <w:sz w:val="24"/>
          <w:szCs w:val="24"/>
          <w:vertAlign w:val="subscript"/>
          <w14:ligatures w14:val="standardContextual"/>
        </w:rPr>
        <w:t>0</w:t>
      </w:r>
      <w:r w:rsidRPr="00296255">
        <w:rPr>
          <w:rFonts w:ascii="Times New Roman" w:hAnsi="Times New Roman" w:cs="Times New Roman"/>
          <w:noProof/>
          <w:sz w:val="24"/>
          <w:szCs w:val="24"/>
          <w14:ligatures w14:val="standardContextual"/>
        </w:rPr>
        <w:t>) and composite films with 5%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1</w:t>
      </w:r>
      <w:r w:rsidRPr="00296255">
        <w:rPr>
          <w:rFonts w:ascii="Times New Roman" w:hAnsi="Times New Roman" w:cs="Times New Roman"/>
          <w:noProof/>
          <w:sz w:val="24"/>
          <w:szCs w:val="24"/>
          <w14:ligatures w14:val="standardContextual"/>
        </w:rPr>
        <w:t>), 10% (T</w:t>
      </w:r>
      <w:r w:rsidRPr="00296255">
        <w:rPr>
          <w:rFonts w:ascii="Times New Roman" w:hAnsi="Times New Roman" w:cs="Times New Roman"/>
          <w:noProof/>
          <w:sz w:val="24"/>
          <w:szCs w:val="24"/>
          <w:vertAlign w:val="subscript"/>
          <w14:ligatures w14:val="standardContextual"/>
        </w:rPr>
        <w:t>2</w:t>
      </w:r>
      <w:r w:rsidRPr="00296255">
        <w:rPr>
          <w:rFonts w:ascii="Times New Roman" w:hAnsi="Times New Roman" w:cs="Times New Roman"/>
          <w:noProof/>
          <w:sz w:val="24"/>
          <w:szCs w:val="24"/>
          <w14:ligatures w14:val="standardContextual"/>
        </w:rPr>
        <w:t>), and 15%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3</w:t>
      </w:r>
      <w:r w:rsidRPr="00296255">
        <w:rPr>
          <w:rFonts w:ascii="Times New Roman" w:hAnsi="Times New Roman" w:cs="Times New Roman"/>
          <w:noProof/>
          <w:sz w:val="24"/>
          <w:szCs w:val="24"/>
          <w14:ligatures w14:val="standardContextual"/>
        </w:rPr>
        <w:t>) starch were among the formulations. Glycerol was added as a plasticizer, and nanoclay was kept at a constant 3%. To ensure comparability among treatments, the component fractions were normalized by dividing the proportion of each ingredient by the overall fraction, as the addition of glycerol resulted in a total formulation percentage above 100%.</w:t>
      </w:r>
    </w:p>
    <w:p w14:paraId="39413A9B" w14:textId="77777777" w:rsidR="00686ED6" w:rsidRPr="00296255" w:rsidRDefault="00686ED6" w:rsidP="00BD3695">
      <w:pPr>
        <w:spacing w:after="0"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 xml:space="preserve">The capital recovery factor (CRF), which accounts for interest and depreciation to annualize equipment investment, was employed to assess fixed expenses. Energy, consumables, raw materials, and quality control inputs were added up to determine variable costs. Fixed and variable costs were added up to get the total unit cost. A break-even analysis was used to </w:t>
      </w:r>
      <w:r w:rsidRPr="00296255">
        <w:rPr>
          <w:rFonts w:ascii="Times New Roman" w:hAnsi="Times New Roman" w:cs="Times New Roman"/>
          <w:noProof/>
          <w:sz w:val="24"/>
          <w:szCs w:val="24"/>
          <w14:ligatures w14:val="standardContextual"/>
        </w:rPr>
        <w:lastRenderedPageBreak/>
        <w:t>evaluate the economic feasibility of various film compositions by figuring out the bare minimum of production volume and sales revenue needed to pay for all yearly expenses.</w:t>
      </w:r>
    </w:p>
    <w:p w14:paraId="16721464" w14:textId="25258F05" w:rsidR="00686ED6" w:rsidRPr="00296255" w:rsidRDefault="00686ED6" w:rsidP="00BD3695">
      <w:pPr>
        <w:spacing w:line="480" w:lineRule="auto"/>
        <w:jc w:val="both"/>
        <w:rPr>
          <w:rFonts w:ascii="Times New Roman" w:hAnsi="Times New Roman" w:cs="Times New Roman"/>
          <w:b/>
          <w:bCs/>
          <w:sz w:val="24"/>
          <w:szCs w:val="24"/>
        </w:rPr>
      </w:pPr>
      <w:r w:rsidRPr="00296255">
        <w:rPr>
          <w:rFonts w:ascii="Times New Roman" w:hAnsi="Times New Roman" w:cs="Times New Roman"/>
          <w:noProof/>
          <w:sz w:val="24"/>
          <w:szCs w:val="24"/>
          <w14:ligatures w14:val="standardContextual"/>
        </w:rPr>
        <w:t xml:space="preserve">Techno-economic frameworks have been widely applied in research on biodegradable packaging materials </w:t>
      </w:r>
      <w:sdt>
        <w:sdtPr>
          <w:rPr>
            <w:rFonts w:ascii="Times New Roman" w:hAnsi="Times New Roman" w:cs="Times New Roman"/>
            <w:noProof/>
            <w:color w:val="000000"/>
            <w:sz w:val="24"/>
            <w:szCs w:val="24"/>
            <w14:ligatures w14:val="standardContextual"/>
          </w:rPr>
          <w:tag w:val="MENDELEY_CITATION_v3_eyJjaXRhdGlvbklEIjoiTUVOREVMRVlfQ0lUQVRJT05fMTM1ODdmY2QtNTc0Mi00MDU1LWE0ZjAtOWZjNWVmZGYyZWE5IiwicHJvcGVydGllcyI6eyJub3RlSW5kZXgiOjB9LCJpc0VkaXRlZCI6ZmFsc2UsIm1hbnVhbE92ZXJyaWRlIjp7ImlzTWFudWFsbHlPdmVycmlkZGVuIjpmYWxzZSwiY2l0ZXByb2NUZXh0IjoiKEFsLURhcmthemFsaSBldCBhbC4sIDIwMjUpIiwibWFudWFsT3ZlcnJpZGVUZXh0IjoiIn0sImNpdGF0aW9uSXRlbXMiOlt7ImlkIjoiYjhkNzNkY2QtZmIyZi0zODkyLTkwZDQtNGY0Mjc5ODFmYzY5IiwiaXRlbURhdGEiOnsidHlwZSI6ImFydGljbGUtam91cm5hbCIsImlkIjoiYjhkNzNkY2QtZmIyZi0zODkyLTkwZDQtNGY0Mjc5ODFmYzY5IiwidGl0bGUiOiJBbmFseXNpcyBhbmQgZGV2ZWxvcG1lbnQgb2YgYmlvZGVncmFkYWJsZSBvcmdhbmljIHBsYXN0aWM6IFN0dWR5IG9mIGNoZW1pY2FsIHByb3BlcnRpZXMgYW5kIHN1c3RhaW5hYmxlIGVudmlyb25tZW50YWwgYXBwbGljYXRpb25zIiwiYXV0aG9yIjpbeyJmYW1pbHkiOiJBbC1EYXJrYXphbGkiLCJnaXZlbiI6IldhbGVlZCBOLiIsInBhcnNlLW5hbWVzIjpmYWxzZSwiZHJvcHBpbmctcGFydGljbGUiOiIiLCJub24tZHJvcHBpbmctcGFydGljbGUiOiIifSx7ImZhbWlseSI6IkFhbGh1c2FpbmkiLCJnaXZlbiI6IlRhaGEgTmFqbSIsInBhcnNlLW5hbWVzIjpmYWxzZSwiZHJvcHBpbmctcGFydGljbGUiOiIiLCJub24tZHJvcHBpbmctcGFydGljbGUiOiIifSx7ImZhbWlseSI6IkhhcmJpIiwiZ2l2ZW4iOiJOYXphciBTYXR0YXIiLCJwYXJzZS1uYW1lcyI6ZmFsc2UsImRyb3BwaW5nLXBhcnRpY2xlIjoiIiwibm9uLWRyb3BwaW5nLXBhcnRpY2xlIjoiIn1dLCJjb250YWluZXItdGl0bGUiOiJDYXNlIFN0dWRpZXMgaW4gQ2hlbWljYWwgYW5kIEVudmlyb25tZW50YWwgRW5naW5lZXJpbmciLCJET0kiOiIxMC4xMDE2L2ouY3NjZWUuMjAyNC4xMDEwNTQiLCJJU1NOIjoiMjY2NjAxNjQiLCJpc3N1ZWQiOnsiZGF0ZS1wYXJ0cyI6W1syMDI1LDZdXX0sInBhZ2UiOiIxMDEwNTQiLCJ2b2x1bWUiOiIxMSIsImNvbnRhaW5lci10aXRsZS1zaG9ydCI6IiJ9LCJpc1RlbXBvcmFyeSI6ZmFsc2V9XX0="/>
          <w:id w:val="-697931642"/>
          <w:placeholder>
            <w:docPart w:val="C382101AD8A04DC78F376E8ADBC08A64"/>
          </w:placeholder>
        </w:sdtPr>
        <w:sdtEndPr/>
        <w:sdtContent>
          <w:r w:rsidR="00B32892" w:rsidRPr="00296255">
            <w:rPr>
              <w:rFonts w:ascii="Times New Roman" w:hAnsi="Times New Roman" w:cs="Times New Roman"/>
              <w:noProof/>
              <w:color w:val="000000"/>
              <w:sz w:val="24"/>
              <w:szCs w:val="24"/>
              <w14:ligatures w14:val="standardContextual"/>
            </w:rPr>
            <w:t>(Al-Darkazali et al., 2025)</w:t>
          </w:r>
        </w:sdtContent>
      </w:sdt>
      <w:r w:rsidRPr="00296255">
        <w:rPr>
          <w:rFonts w:ascii="Times New Roman" w:hAnsi="Times New Roman" w:cs="Times New Roman"/>
          <w:noProof/>
          <w:sz w:val="24"/>
          <w:szCs w:val="24"/>
          <w14:ligatures w14:val="standardContextual"/>
        </w:rPr>
        <w:t xml:space="preserve"> and in cost assessments of agro-based processing companies </w:t>
      </w:r>
      <w:sdt>
        <w:sdtPr>
          <w:rPr>
            <w:rFonts w:ascii="Times New Roman" w:hAnsi="Times New Roman" w:cs="Times New Roman"/>
            <w:noProof/>
            <w:color w:val="000000"/>
            <w:sz w:val="24"/>
            <w:szCs w:val="24"/>
            <w14:ligatures w14:val="standardContextual"/>
          </w:rPr>
          <w:tag w:val="MENDELEY_CITATION_v3_eyJjaXRhdGlvbklEIjoiTUVOREVMRVlfQ0lUQVRJT05fODg5MWMyZWUtMmI4My00MmFmLWI1MTQtZDc4MmE2OTg3YmQwIiwicHJvcGVydGllcyI6eyJub3RlSW5kZXgiOjB9LCJpc0VkaXRlZCI6ZmFsc2UsIm1hbnVhbE92ZXJyaWRlIjp7ImlzTWFudWFsbHlPdmVycmlkZGVuIjpmYWxzZSwiY2l0ZXByb2NUZXh0IjoiKFBpcm9nb3ZhIGV0IGFsLiwgMjAyMCkiLCJtYW51YWxPdmVycmlkZVRleHQiOiIifSwiY2l0YXRpb25JdGVtcyI6W3siaWQiOiJiZWY0MTEzZC1lYjYwLTNjZDktYTMwNS1jMjY5NzVkMTBiMTkiLCJpdGVtRGF0YSI6eyJ0eXBlIjoiYXJ0aWNsZS1qb3VybmFsIiwiaWQiOiJiZWY0MTEzZC1lYjYwLTNjZDktYTMwNS1jMjY5NzVkMTBiMTkiLCJ0aXRsZSI6IlByb2Nlc3MtY29zdCBhbmFseXNpcyBvZiBwcm9kdWN0aXZpdHkgYW5kIHdhZ2VzIGluIGFncm8taW5kdXN0cmlhbCBwcm9jZXNzaW5nIG9yZ2FuaXphdGlvbnMiLCJhdXRob3IiOlt7ImZhbWlseSI6IlBpcm9nb3ZhIiwiZ2l2ZW4iOiJPa3NhbmEiLCJwYXJzZS1uYW1lcyI6ZmFsc2UsImRyb3BwaW5nLXBhcnRpY2xlIjoiIiwibm9uLWRyb3BwaW5nLXBhcnRpY2xlIjoiIn0seyJmYW1pbHkiOiJOdXpoZGluIiwiZ2l2ZW4iOiJSb21hbiIsInBhcnNlLW5hbWVzIjpmYWxzZSwiZHJvcHBpbmctcGFydGljbGUiOiIiLCJub24tZHJvcHBpbmctcGFydGljbGUiOiIifSx7ImZhbWlseSI6IktvbmRyYXNob3ZhIiwiZ2l2ZW4iOiJOYWRlemhkYSIsInBhcnNlLW5hbWVzIjpmYWxzZSwiZHJvcHBpbmctcGFydGljbGUiOiIiLCJub24tZHJvcHBpbmctcGFydGljbGUiOiIifSx7ImZhbWlseSI6Ikx1a2luYSIsImdpdmVuIjoiT2tzYW5hIiwicGFyc2UtbmFtZXMiOmZhbHNlLCJkcm9wcGluZy1wYXJ0aWNsZSI6IiIsIm5vbi1kcm9wcGluZy1wYXJ0aWNsZSI6IiJ9XSwiY29udGFpbmVyLXRpdGxlIjoiRTNTIFdlYiBvZiBDb25mZXJlbmNlcyIsIkRPSSI6IjEwLjEwNTEvZTNzY29uZi8yMDIwMjE3MDkwMDIiLCJJU1NOIjoiMjI2Ny0xMjQyIiwiaXNzdWVkIjp7ImRhdGUtcGFydHMiOltbMjAyMCwxMiwxNF1dfSwicGFnZSI6IjA5MDAyIiwiYWJzdHJhY3QiOiI8cD5Qcm9jZXNzLWNvc3QgYW5hbHlzaXMgaW52b2x2ZXMgdGhlIGltcGxlbWVudGF0aW9uIG9mIGFwcHJhaXNhbCBwcm9jZWR1cmVzIGF0IGVhY2ggc3RhZ2Ugb2YgYWRkaW5nIHZhbHVlLCB3aGljaCBpcyBjb25zaWRlcmVkIGFzIHRoZSBtYWluIHNvdXJjZSBvZiBhY2hpZXZpbmcgdGhlIGludGVyZXN0cyBvZiBwZXJzb25uZWwsIG93bmVycyBhbmQgdGhlIHN0YXRlLiBUaGUgbWFpbiBnb2FsIG9mIHRoaXMgc3R1ZHkgaXMgdG8gdmVyaWZ5IHRoZSBleGlzdGluZyBtZXRob2RvbG9naWNhbCBhcHByb2FjaGVzIHRvIGFzc2Vzc2luZyB0aGUgbGFib3IgcHJvZHVjdGl2aXR5IG9mIHBlcnNvbm5lbCBpbiBwcm9jZXNzaW5nIG9yZ2FuaXphdGlvbnMgb2YgdGhlIGFncm8taW5kdXN0cmlhbCBjb21wbGV4LCB0byBhc3Nlc3MgdGhlIGR5bmFtaWMgcmF0aW8gb2YgcHJvZHVjdGl2aXR5IGFuZCB3YWdlcywgYmFzZWQgb24gbWV0aG9kb2xvZ2ljYWxseSBqdXN0aWZpZWQgYXNzZXNzbWVudCBwcm9jZWR1cmVzIHRoYXQgZW5zdXJlIHRoZSBpbXBsZW1lbnRhdGlvbiBvZiB0aGUgYWR2YW50YWdlcyBvZiBwcm9jZXNzLWNvc3QgYW5hbHlzaXMgYW5kIGVsaW1pbmF0ZSB0aGUgZGlzYWR2YW50YWdlcyBvZiB0cmFkaXRpb25hbCBtZXRob2RzLiBJbiBvcmRlciB0byBpbXByb3ZlIHRoZSBhbmFseXRpY2FsIHN1aXRhYmlsaXR5IG9mIHRoZSByZXN1bHRzIG9mIHRoZSBwcm9jZXNzLWNvc3QgYW5hbHlzaXMgb2YgbGFib3IgcmVzdWx0cywgdGhyZWUgYXJlYXMgb2Yga2V5IHN0YWtlaG9sZGVyc+KAmSBpbnRlcmVzdCBhcmUgaWRlbnRpZmllZCwgZm9yIGVhY2ggb2Ygd2hpY2ggY29ycmVjdGl2ZSBvcGVyYXRpb25zIGFyZSBwcm92aWRlZCB0aGF0IHByb3ZpZGUgbm90IG9ubHkgdGhlIHBvc3NpYmlsaXR5IG9mIGEgcmV0cm9zcGVjdGl2ZSBhbmFseXNpcywgYnV0IGFsc28gcHJlZGljdGluZyB0aGUgcG9zc2liaWxpdHkgb2YgcGFyaXR5IG9mIGludGVyZXN0cy4gQmFzZWQgb24gdGhlIHJlc3VsdHMgb2J0YWluZWQsIGl0IHdhcyBjb25jbHVkZWQgdGhhdCB0aGUgc2hhcmUgb2YgdmFsdWUgYWRkZWQgaW4gdG90YWwgcmV2ZW51ZXMgaXMgbG93LCB0aGUgbGV2ZWwgb2Ygd2FnZXMgaXMgdW5yZWFzb25hYmxlIGFuZCwgY29uc2VxdWVudGx5LCBzaWduaWZpY2FudCBkaXNwYXJpdGllcyBpbiB0aGUgZGlzdHJpYnV0aW9uIG9mIHZhbHVlIGFkZGVkLiBUaGUgaW5jb25zaXN0ZW5jeSBvZiB0aGUgY3JpdGVyaWFsIGFzc2Vzc21lbnQgb2YgdGhlIGR5bmFtaWMgcmF0aW8gb2YgbGFib3IgcHJvZHVjdGl2aXR5IGFuZCBpdHMgcGF5bWVudCBpbiBtb2Rlcm4gY29uZGl0aW9ucyBoYXMgYmVlbiBwcm92ZWQuPC9wPiIsInZvbHVtZSI6IjIxNyIsImNvbnRhaW5lci10aXRsZS1zaG9ydCI6IiJ9LCJpc1RlbXBvcmFyeSI6ZmFsc2V9XX0="/>
          <w:id w:val="-1237384633"/>
          <w:placeholder>
            <w:docPart w:val="C382101AD8A04DC78F376E8ADBC08A64"/>
          </w:placeholder>
        </w:sdtPr>
        <w:sdtEndPr/>
        <w:sdtContent>
          <w:r w:rsidR="00B32892" w:rsidRPr="00296255">
            <w:rPr>
              <w:rFonts w:ascii="Times New Roman" w:hAnsi="Times New Roman" w:cs="Times New Roman"/>
              <w:noProof/>
              <w:color w:val="000000"/>
              <w:sz w:val="24"/>
              <w:szCs w:val="24"/>
              <w14:ligatures w14:val="standardContextual"/>
            </w:rPr>
            <w:t>(Pirogova et al., 2020)</w:t>
          </w:r>
        </w:sdtContent>
      </w:sdt>
      <w:r w:rsidRPr="00296255">
        <w:rPr>
          <w:rFonts w:ascii="Times New Roman" w:hAnsi="Times New Roman" w:cs="Times New Roman"/>
          <w:noProof/>
          <w:sz w:val="24"/>
          <w:szCs w:val="24"/>
          <w14:ligatures w14:val="standardContextual"/>
        </w:rPr>
        <w:t>. The integration of process parameters with cost estimation enabled a thorough evaluation of PBAT–starch–nanoclay films in terms of both functional performance and economic feasibility.</w:t>
      </w:r>
    </w:p>
    <w:p w14:paraId="31851021" w14:textId="6227B7E5" w:rsidR="00686ED6" w:rsidRPr="00296255" w:rsidRDefault="006A7BB8" w:rsidP="00BD3695">
      <w:pPr>
        <w:spacing w:after="0" w:line="480" w:lineRule="auto"/>
        <w:jc w:val="both"/>
        <w:rPr>
          <w:rFonts w:ascii="Times New Roman" w:hAnsi="Times New Roman" w:cs="Times New Roman"/>
          <w:b/>
          <w:bCs/>
          <w:sz w:val="24"/>
          <w:szCs w:val="24"/>
        </w:rPr>
      </w:pPr>
      <w:r w:rsidRPr="00296255">
        <w:rPr>
          <w:rFonts w:ascii="Times New Roman" w:hAnsi="Times New Roman" w:cs="Times New Roman"/>
          <w:b/>
          <w:bCs/>
          <w:sz w:val="24"/>
          <w:szCs w:val="24"/>
        </w:rPr>
        <w:t>RESULTS AND DISCUSSION</w:t>
      </w:r>
    </w:p>
    <w:p w14:paraId="58C8869F" w14:textId="77777777" w:rsidR="00686ED6" w:rsidRPr="00296255" w:rsidRDefault="00686ED6" w:rsidP="00BD3695">
      <w:pPr>
        <w:spacing w:after="0" w:line="480" w:lineRule="auto"/>
        <w:jc w:val="both"/>
        <w:rPr>
          <w:rFonts w:ascii="Times New Roman" w:hAnsi="Times New Roman" w:cs="Times New Roman"/>
          <w:b/>
          <w:bCs/>
          <w:noProof/>
          <w:sz w:val="24"/>
          <w:szCs w:val="24"/>
          <w14:ligatures w14:val="standardContextual"/>
        </w:rPr>
      </w:pPr>
      <w:r w:rsidRPr="00296255">
        <w:rPr>
          <w:rFonts w:ascii="Times New Roman" w:hAnsi="Times New Roman" w:cs="Times New Roman"/>
          <w:b/>
          <w:bCs/>
          <w:noProof/>
          <w:sz w:val="24"/>
          <w:szCs w:val="24"/>
          <w14:ligatures w14:val="standardContextual"/>
        </w:rPr>
        <w:t>Normalization of component fractions in film formulations</w:t>
      </w:r>
    </w:p>
    <w:p w14:paraId="1FE16A4A" w14:textId="77777777" w:rsidR="00686ED6" w:rsidRPr="00296255" w:rsidRDefault="00686ED6" w:rsidP="00BD3695">
      <w:pPr>
        <w:spacing w:after="0"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As a plasticizer, glycerol was added to the PBAT–starch–nanoclay film formulation in the current study, resulting in a total proportion of components that, when expressed on a weight percentage basis, exceeded 100%. This problem was resolved by normalizing the component fractions, which allowed for accurate comparisons between treatments.</w:t>
      </w:r>
      <w:r w:rsidRPr="00296255">
        <w:rPr>
          <w:rFonts w:ascii="Times New Roman" w:hAnsi="Times New Roman" w:cs="Times New Roman"/>
          <w:sz w:val="24"/>
          <w:szCs w:val="24"/>
        </w:rPr>
        <w:t xml:space="preserve"> </w:t>
      </w:r>
      <w:r w:rsidRPr="00296255">
        <w:rPr>
          <w:rFonts w:ascii="Times New Roman" w:hAnsi="Times New Roman" w:cs="Times New Roman"/>
          <w:noProof/>
          <w:sz w:val="24"/>
          <w:szCs w:val="24"/>
          <w14:ligatures w14:val="standardContextual"/>
        </w:rPr>
        <w:t>In order to determine the normalized fraction for each component, the fraction of each component was divided by the total fraction, as shown in equation (4.1).</w:t>
      </w:r>
    </w:p>
    <w:p w14:paraId="25B75B45" w14:textId="77777777" w:rsidR="00686ED6" w:rsidRPr="00296255" w:rsidRDefault="00686ED6" w:rsidP="00BD3695">
      <w:pPr>
        <w:spacing w:after="0" w:line="480" w:lineRule="auto"/>
        <w:jc w:val="both"/>
        <w:rPr>
          <w:rFonts w:ascii="Times New Roman" w:hAnsi="Times New Roman" w:cs="Times New Roman"/>
          <w:noProof/>
          <w:sz w:val="24"/>
          <w:szCs w:val="24"/>
          <w:lang w:val="en-IN"/>
          <w14:ligatures w14:val="standardContextual"/>
        </w:rPr>
      </w:pPr>
      <m:oMath>
        <m:r>
          <m:rPr>
            <m:sty m:val="p"/>
          </m:rPr>
          <w:rPr>
            <w:rFonts w:ascii="Cambria Math" w:hAnsi="Cambria Math" w:cs="Times New Roman"/>
            <w:noProof/>
            <w:sz w:val="24"/>
            <w:szCs w:val="24"/>
            <w14:ligatures w14:val="standardContextual"/>
          </w:rPr>
          <m:t>Normalized fraction =</m:t>
        </m:r>
        <m:f>
          <m:fPr>
            <m:ctrlPr>
              <w:rPr>
                <w:rFonts w:ascii="Cambria Math" w:hAnsi="Cambria Math" w:cs="Times New Roman"/>
                <w:b/>
                <w:bCs/>
                <w:i/>
                <w:noProof/>
                <w:sz w:val="24"/>
                <w:szCs w:val="24"/>
                <w:lang w:val="en-IN"/>
                <w14:ligatures w14:val="standardContextual"/>
              </w:rPr>
            </m:ctrlPr>
          </m:fPr>
          <m:num>
            <m:r>
              <w:rPr>
                <w:rFonts w:ascii="Cambria Math" w:hAnsi="Cambria Math" w:cs="Times New Roman"/>
                <w:noProof/>
                <w:sz w:val="24"/>
                <w:szCs w:val="24"/>
                <w14:ligatures w14:val="standardContextual"/>
              </w:rPr>
              <m:t>Component fraction​</m:t>
            </m:r>
            <m:r>
              <m:rPr>
                <m:sty m:val="p"/>
              </m:rPr>
              <w:rPr>
                <w:rFonts w:ascii="Cambria Math" w:hAnsi="Cambria Math" w:cs="Times New Roman"/>
                <w:noProof/>
                <w:sz w:val="24"/>
                <w:szCs w:val="24"/>
                <w14:ligatures w14:val="standardContextual"/>
              </w:rPr>
              <m:t xml:space="preserve"> </m:t>
            </m:r>
          </m:num>
          <m:den>
            <m:r>
              <w:rPr>
                <w:rFonts w:ascii="Cambria Math" w:hAnsi="Cambria Math" w:cs="Times New Roman"/>
                <w:noProof/>
                <w:sz w:val="24"/>
                <w:szCs w:val="24"/>
                <w14:ligatures w14:val="standardContextual"/>
              </w:rPr>
              <m:t>Sum of all fractions</m:t>
            </m:r>
          </m:den>
        </m:f>
      </m:oMath>
      <w:r w:rsidRPr="00296255">
        <w:rPr>
          <w:rFonts w:ascii="Times New Roman" w:hAnsi="Times New Roman" w:cs="Times New Roman"/>
          <w:b/>
          <w:bCs/>
          <w:noProof/>
          <w:sz w:val="24"/>
          <w:szCs w:val="24"/>
          <w:lang w:val="en-IN"/>
          <w14:ligatures w14:val="standardContextual"/>
        </w:rPr>
        <w:t xml:space="preserve">  </w:t>
      </w:r>
      <w:r w:rsidRPr="00296255">
        <w:rPr>
          <w:rFonts w:ascii="Times New Roman" w:hAnsi="Times New Roman" w:cs="Times New Roman"/>
          <w:noProof/>
          <w:sz w:val="24"/>
          <w:szCs w:val="24"/>
          <w:lang w:val="en-IN"/>
          <w14:ligatures w14:val="standardContextual"/>
        </w:rPr>
        <w:t>………………………… (4.1)</w:t>
      </w:r>
    </w:p>
    <w:p w14:paraId="06353D5D" w14:textId="77777777" w:rsidR="00686ED6" w:rsidRPr="00296255" w:rsidRDefault="00686ED6" w:rsidP="00BD3695">
      <w:pPr>
        <w:spacing w:after="0"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 xml:space="preserve">The normalized fractions of PBAT = 0.7143, starch = 0.0376, nanoclay = 0.0226, and glycerol = 0.2256 were obtained for Treatment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1</w:t>
      </w:r>
      <w:r w:rsidRPr="00296255">
        <w:rPr>
          <w:rFonts w:ascii="Times New Roman" w:hAnsi="Times New Roman" w:cs="Times New Roman"/>
          <w:noProof/>
          <w:sz w:val="24"/>
          <w:szCs w:val="24"/>
          <w14:ligatures w14:val="standardContextual"/>
        </w:rPr>
        <w:t xml:space="preserve"> with a total composition sum of 133. Likewise, in T</w:t>
      </w:r>
      <w:r w:rsidRPr="00296255">
        <w:rPr>
          <w:rFonts w:ascii="Times New Roman" w:hAnsi="Times New Roman" w:cs="Times New Roman"/>
          <w:noProof/>
          <w:sz w:val="24"/>
          <w:szCs w:val="24"/>
          <w:vertAlign w:val="subscript"/>
          <w14:ligatures w14:val="standardContextual"/>
        </w:rPr>
        <w:t>2</w:t>
      </w:r>
      <w:r w:rsidRPr="00296255">
        <w:rPr>
          <w:rFonts w:ascii="Times New Roman" w:hAnsi="Times New Roman" w:cs="Times New Roman"/>
          <w:noProof/>
          <w:sz w:val="24"/>
          <w:szCs w:val="24"/>
          <w14:ligatures w14:val="standardContextual"/>
        </w:rPr>
        <w:t xml:space="preserve">, the normalized values were PBAT = 0.6774, starch = 0.0752, nanoclay = 0.0226, and glycerol = 0.2256, but in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3</w:t>
      </w:r>
      <w:r w:rsidRPr="00296255">
        <w:rPr>
          <w:rFonts w:ascii="Times New Roman" w:hAnsi="Times New Roman" w:cs="Times New Roman"/>
          <w:noProof/>
          <w:sz w:val="24"/>
          <w:szCs w:val="24"/>
          <w14:ligatures w14:val="standardContextual"/>
        </w:rPr>
        <w:t>, they were PBAT = 0.6391, starch = 0.1128, nanoclay = 0.0226, and glycerol = 0.2256. Since 100% PBAT was present in the control treatment (T</w:t>
      </w:r>
      <w:r w:rsidRPr="00296255">
        <w:rPr>
          <w:rFonts w:ascii="Times New Roman" w:hAnsi="Times New Roman" w:cs="Times New Roman"/>
          <w:noProof/>
          <w:sz w:val="24"/>
          <w:szCs w:val="24"/>
          <w:vertAlign w:val="subscript"/>
          <w14:ligatures w14:val="standardContextual"/>
        </w:rPr>
        <w:t>0</w:t>
      </w:r>
      <w:r w:rsidRPr="00296255">
        <w:rPr>
          <w:rFonts w:ascii="Times New Roman" w:hAnsi="Times New Roman" w:cs="Times New Roman"/>
          <w:noProof/>
          <w:sz w:val="24"/>
          <w:szCs w:val="24"/>
          <w14:ligatures w14:val="standardContextual"/>
        </w:rPr>
        <w:t>), its normalized fraction was 1.0.</w:t>
      </w:r>
    </w:p>
    <w:p w14:paraId="437FBD5A" w14:textId="77777777" w:rsidR="00686ED6" w:rsidRPr="00296255" w:rsidRDefault="00686ED6" w:rsidP="00BD3695">
      <w:pPr>
        <w:spacing w:after="0"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lastRenderedPageBreak/>
        <w:t xml:space="preserve">The findings demonstrated that the normalized PBAT fraction dropped in tandem with the increase in starch proportion from 5% in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1</w:t>
      </w:r>
      <w:r w:rsidRPr="00296255">
        <w:rPr>
          <w:rFonts w:ascii="Times New Roman" w:hAnsi="Times New Roman" w:cs="Times New Roman"/>
          <w:noProof/>
          <w:sz w:val="24"/>
          <w:szCs w:val="24"/>
          <w14:ligatures w14:val="standardContextual"/>
        </w:rPr>
        <w:t xml:space="preserve"> to 15% in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3</w:t>
      </w:r>
      <w:r w:rsidRPr="00296255">
        <w:rPr>
          <w:rFonts w:ascii="Times New Roman" w:hAnsi="Times New Roman" w:cs="Times New Roman"/>
          <w:noProof/>
          <w:sz w:val="24"/>
          <w:szCs w:val="24"/>
          <w14:ligatures w14:val="standardContextual"/>
        </w:rPr>
        <w:t>, indicating a partial replacement of the petroleum-based polymer with starch. Since the nanoclay proportion was set at 3%, it stayed at 0.0226 in all composite compositions. Additionally constant at 0.2256, the glycerol contribution showed that its function as a plasticizer remained constant across treatments.</w:t>
      </w:r>
    </w:p>
    <w:p w14:paraId="168FF1C0" w14:textId="26B6CB95" w:rsidR="00686ED6" w:rsidRPr="00296255" w:rsidRDefault="00686ED6" w:rsidP="00BD3695">
      <w:pPr>
        <w:spacing w:after="0"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 xml:space="preserve">This normalization process guaranteed formulation comparability and offered a consistent framework for assessing how the addition of starch and nanoclay affected the price, mechanical, and barrier qualities of films. In order to effectively assess the structural contributions of various additives, </w:t>
      </w:r>
      <w:sdt>
        <w:sdtPr>
          <w:rPr>
            <w:rFonts w:ascii="Times New Roman" w:hAnsi="Times New Roman" w:cs="Times New Roman"/>
            <w:noProof/>
            <w:color w:val="000000"/>
            <w:sz w:val="24"/>
            <w:szCs w:val="24"/>
            <w14:ligatures w14:val="standardContextual"/>
          </w:rPr>
          <w:tag w:val="MENDELEY_CITATION_v3_eyJjaXRhdGlvbklEIjoiTUVOREVMRVlfQ0lUQVRJT05fMTdlYTA1ZGMtMjJjMC00YWJjLWFiYzItN2I4NTE4YjBkYTA1IiwicHJvcGVydGllcyI6eyJub3RlSW5kZXgiOjB9LCJpc0VkaXRlZCI6ZmFsc2UsIm1hbnVhbE92ZXJyaWRlIjp7ImlzTWFudWFsbHlPdmVycmlkZGVuIjp0cnVlLCJjaXRlcHJvY1RleHQiOiIoUGF3YXNlIGV0IGFsLiwgMjAyNSkiLCJtYW51YWxPdmVycmlkZVRleHQiOiJQYXdhc2UgZXQgYWwuLCAoMjAyNSkifSwiY2l0YXRpb25JdGVtcyI6W3siaWQiOiJhODg2N2EzNS0xOGUyLTM1M2MtYWJiMy1iYTQyM2Q5YmIwNDUiLCJpdGVtRGF0YSI6eyJ0eXBlIjoiYXJ0aWNsZS1qb3VybmFsIiwiaWQiOiJhODg2N2EzNS0xOGUyLTM1M2MtYWJiMy1iYTQyM2Q5YmIwNDUiLCJ0aXRsZSI6IlBoeXNpY2FsLCBDaGVtaWNhbCwgYW5kIE5hbm8tRW5hYmxlZCBNb2RpZmljYXRpb25zIG9mIFN0YXJjaCBmb3IgU3VzdGFpbmFibGUgRm9vZCBQYWNrYWdpbmcgZmlsbXM6IFJlY2VudCBUcmVuZHMsIENoYWxsZW5nZXMsIGFuZCBQcm9zcGVjdHMiLCJhdXRob3IiOlt7ImZhbWlseSI6IlBhd2FzZSIsImdpdmVuIjoiUHJhc2hhbnQgQW5pbCIsInBhcnNlLW5hbWVzIjpmYWxzZSwiZHJvcHBpbmctcGFydGljbGUiOiIiLCJub24tZHJvcHBpbmctcGFydGljbGUiOiIifSx7ImZhbWlseSI6IlBhdGhhcmUiLCJnaXZlbiI6IkFuaWtldCBNLiIsInBhcnNlLW5hbWVzIjpmYWxzZSwiZHJvcHBpbmctcGFydGljbGUiOiIiLCJub24tZHJvcHBpbmctcGFydGljbGUiOiIifSx7ImZhbWlseSI6IkJhc2hpciIsImdpdmVuIjoiT21hciIsInBhcnNlLW5hbWVzIjpmYWxzZSwiZHJvcHBpbmctcGFydGljbGUiOiIiLCJub24tZHJvcHBpbmctcGFydGljbGUiOiIifSx7ImZhbWlseSI6IlNhbGVlbSIsImdpdmVuIjoiRml6emEiLCJwYXJzZS1uYW1lcyI6ZmFsc2UsImRyb3BwaW5nLXBhcnRpY2xlIjoiIiwibm9uLWRyb3BwaW5nLXBhcnRpY2xlIjoiIn0seyJmYW1pbHkiOiJTaHJhbWEiLCJnaXZlbiI6IkVzaGEiLCJwYXJzZS1uYW1lcyI6ZmFsc2UsImRyb3BwaW5nLXBhcnRpY2xlIjoiIiwibm9uLWRyb3BwaW5nLXBhcnRpY2xlIjoiIn0seyJmYW1pbHkiOiJNdWRnYWwiLCJnaXZlbiI6IlN3YXN0aSIsInBhcnNlLW5hbWVzIjpmYWxzZSwiZHJvcHBpbmctcGFydGljbGUiOiIiLCJub24tZHJvcHBpbmctcGFydGljbGUiOiIifSx7ImZhbWlseSI6IkFobWFkIiwiZ2l2ZW4iOiJNdWRhc2lyIiwicGFyc2UtbmFtZXMiOmZhbHNlLCJkcm9wcGluZy1wYXJ0aWNsZSI6IiIsIm5vbi1kcm9wcGluZy1wYXJ0aWNsZSI6IiJ9XSwiY29udGFpbmVyLXRpdGxlIjoiQ2FyYm9oeWRyYXRlIFBvbHltZXIgVGVjaG5vbG9naWVzIGFuZCBBcHBsaWNhdGlvbnMiLCJET0kiOiIxMC4xMDE2L2ouY2FycHRhLjIwMjUuMTAwOTg2IiwiSVNTTiI6IjI2NjY4OTM5IiwiaXNzdWVkIjp7ImRhdGUtcGFydHMiOltbMjAyNSw4XV19LCJwYWdlIjoiMTAwOTg2IiwiY29udGFpbmVyLXRpdGxlLXNob3J0IjoiIn0sImlzVGVtcG9yYXJ5IjpmYWxzZX1dfQ=="/>
          <w:id w:val="-1963178118"/>
          <w:placeholder>
            <w:docPart w:val="C382101AD8A04DC78F376E8ADBC08A64"/>
          </w:placeholder>
        </w:sdtPr>
        <w:sdtEndPr/>
        <w:sdtContent>
          <w:r w:rsidR="00B32892" w:rsidRPr="00296255">
            <w:rPr>
              <w:rFonts w:ascii="Times New Roman" w:hAnsi="Times New Roman" w:cs="Times New Roman"/>
              <w:noProof/>
              <w:color w:val="000000"/>
              <w:sz w:val="24"/>
              <w:szCs w:val="24"/>
              <w14:ligatures w14:val="standardContextual"/>
            </w:rPr>
            <w:t>Pawase et al., (2025)</w:t>
          </w:r>
        </w:sdtContent>
      </w:sdt>
      <w:r w:rsidRPr="00296255">
        <w:rPr>
          <w:rFonts w:ascii="Times New Roman" w:hAnsi="Times New Roman" w:cs="Times New Roman"/>
          <w:noProof/>
          <w:sz w:val="24"/>
          <w:szCs w:val="24"/>
          <w14:ligatures w14:val="standardContextual"/>
        </w:rPr>
        <w:t xml:space="preserve"> further underlined the significance of normalizing fractions in composite polymer systems. In a similar vein, </w:t>
      </w:r>
      <w:sdt>
        <w:sdtPr>
          <w:rPr>
            <w:rFonts w:ascii="Times New Roman" w:hAnsi="Times New Roman" w:cs="Times New Roman"/>
            <w:noProof/>
            <w:color w:val="000000"/>
            <w:sz w:val="24"/>
            <w:szCs w:val="24"/>
            <w14:ligatures w14:val="standardContextual"/>
          </w:rPr>
          <w:tag w:val="MENDELEY_CITATION_v3_eyJjaXRhdGlvbklEIjoiTUVOREVMRVlfQ0lUQVRJT05fYTkxMTVjOGItMTk5Ny00NDhiLWIxOTItNGFjODYwZDhlNGVlIiwicHJvcGVydGllcyI6eyJub3RlSW5kZXgiOjB9LCJpc0VkaXRlZCI6ZmFsc2UsIm1hbnVhbE92ZXJyaWRlIjp7ImlzTWFudWFsbHlPdmVycmlkZGVuIjp0cnVlLCJjaXRlcHJvY1RleHQiOiIoTWVoZGlraGFuaSBldCBhbC4sIDIwMTkpIiwibWFudWFsT3ZlcnJpZGVUZXh0IjoiTWVoZGlraGFuaSBldCBhbC4sICgyMDE5KSJ9LCJjaXRhdGlvbkl0ZW1zIjpbeyJpZCI6ImM2OWM1MWZjLWRhMTgtM2QyMi05MDVlLTUxNWNmMDg5ZjNkMiIsIml0ZW1EYXRhIjp7InR5cGUiOiJhcnRpY2xlLWpvdXJuYWwiLCJpZCI6ImM2OWM1MWZjLWRhMTgtM2QyMi05MDVlLTUxNWNmMDg5ZjNkMiIsInRpdGxlIjoiVm9pZHMgaW4gZmliZXItcmVpbmZvcmNlZCBwb2x5bWVyIGNvbXBvc2l0ZXM6IEEgcmV2aWV3IG9uIHRoZWlyIGZvcm1hdGlvbiwgY2hhcmFjdGVyaXN0aWNzLCBhbmQgZWZmZWN0cyBvbiBtZWNoYW5pY2FsIHBlcmZvcm1hbmNlIiwiYXV0aG9yIjpbeyJmYW1pbHkiOiJNZWhkaWtoYW5pIiwiZ2l2ZW4iOiJNYWhvb3IiLCJwYXJzZS1uYW1lcyI6ZmFsc2UsImRyb3BwaW5nLXBhcnRpY2xlIjoiIiwibm9uLWRyb3BwaW5nLXBhcnRpY2xlIjoiIn0seyJmYW1pbHkiOiJHb3JiYXRpa2giLCJnaXZlbiI6Ikxhcmlzc2EiLCJwYXJzZS1uYW1lcyI6ZmFsc2UsImRyb3BwaW5nLXBhcnRpY2xlIjoiIiwibm9uLWRyb3BwaW5nLXBhcnRpY2xlIjoiIn0seyJmYW1pbHkiOiJWZXJwb2VzdCIsImdpdmVuIjoiSWduYWFzIiwicGFyc2UtbmFtZXMiOmZhbHNlLCJkcm9wcGluZy1wYXJ0aWNsZSI6IiIsIm5vbi1kcm9wcGluZy1wYXJ0aWNsZSI6IiJ9LHsiZmFtaWx5IjoiTG9tb3YiLCJnaXZlbiI6IlN0ZXBhbiIsInBhcnNlLW5hbWVzIjpmYWxzZSwiZHJvcHBpbmctcGFydGljbGUiOiJWIiwibm9uLWRyb3BwaW5nLXBhcnRpY2xlIjoiIn1dLCJjb250YWluZXItdGl0bGUiOiJKb3VybmFsIG9mIENvbXBvc2l0ZSBNYXRlcmlhbHMiLCJjb250YWluZXItdGl0bGUtc2hvcnQiOiJKIENvbXBvcyBNYXRlciIsIkRPSSI6IjEwLjExNzcvMDAyMTk5ODMxODc3MjE1MiIsIklTU04iOiIwMDIxLTk5ODMiLCJpc3N1ZWQiOnsiZGF0ZS1wYXJ0cyI6W1syMDE5LDUsMjBdXX0sInBhZ2UiOiIxNTc5LTE2NjkiLCJhYnN0cmFjdCI6IjxwPlZvaWRzLCB0aGUgbW9zdCBzdHVkaWVkIHR5cGUgb2YgbWFudWZhY3R1cmluZyBkZWZlY3RzLCBmb3JtIHZlcnkgb2Z0ZW4gaW4gcHJvY2Vzc2luZyBvZiBmaWJlci1yZWluZm9yY2VkIGNvbXBvc2l0ZXMuIER1ZSB0byB0aGVpciBjb25zaWRlcmFibGUgaW5mbHVlbmNlIG9uIHBoeXNpY2FsIGFuZCB0aGVybW9tZWNoYW5pY2FsIHByb3BlcnRpZXMgb2YgY29tcG9zaXRlcywgdGhleSBoYXZlIGJlZW4gZXh0ZW5zaXZlbHkgc3R1ZGllZCwgd2l0aCB0aGUgZm9jdXMgb24gdGhyZWUgcmVzZWFyY2ggdHJhY2tzOiB2b2lkIGZvcm1hdGlvbiwgY2hhcmFjdGVyaXN0aWNzLCBhbmQgbWVjaGFuaWNhbCBlZmZlY3RzLiBJbnZlc3RpZ2F0aW9uIG9mIHZvaWRzIGluIGNvbXBvc2l0ZXMgc3RhcnRlZCBhcm91bmQgaGFsZiBhIGNlbnR1cnkgYWdvIGFuZCBpcyBzdGlsbCBhbiBhY3RpdmUgcmVzZWFyY2ggZmllbGQgaW4gY29tcG9zaXRlcyBjb21tdW5pdHkuIFRoaXMgaXMgYmVjYXVzZSBvZiByZW1haW5pbmcgdW5rbm93bnMgYW5kIHVuY2VydGFpbnRpZXMgYWJvdXQgdm9pZHMgYXMgd2VsbCBhcyBkaWZmaWN1bHRpZXMgaW4gdGhlaXIgc3VwcHJlc3Npb24gaW4gbW9kZXJuIG1hbnVmYWN0dXJpbmcgdGVjaG5pcXVlcyBsaWtlIG91dC1vZi1hdXRvY2xhdmUgY3VyaW5nIGFuZCBwYXJ0cyB3aXRoIGhpZ2ggY29tcGxleGl0eSwgZnVydGhlciBjb21wbGljYXRlZCBieSBpbmNyZWFzZWQgdmlzY29zaXR5IG9mIG1vZGlmaWVkIHJlc2lucy4gRmluYWxseSwgdGhpcyBpcyBiZWNhdXNlIG9mIHRoZSBpbmNyZWFzaW5nIGludGVyZXN0IGluIHJlYWxpemF0aW9uIG9mIG1vcmUgYWNjdXJhdGUgdm9pZCByZWplY3Rpb24gbGltaXRzIHRoYXQgd291bGQgdG9sZXJhdGUgc29tZSB2b2lkYWdlLiBUaGUgY3VycmVudCBzdHVkeSByZXZpZXdzIHRoZSByZXNlYXJjaCBvbiBmb3JtYXRpb24sIGNoYXJhY3Rlcml6YXRpb24sIGFuZCBtZWNoYW5pY2FsIGVmZmVjdHMgb2Ygdm9pZHMsIHdoaWNoIGhhcyBiZWVuIGNvbmR1Y3RlZCBvdmVyIHRoZSBwYXN0IGZpdmUgZGVjYWRlcy4gSW52ZXN0aWdhdGlvbiBhbmQgY29udHJvbCBvZiB2b2lkIGZvcm1hdGlvbiwgdXNpbmcgZXhwZXJpbWVudGFsIGFuZCBtb2RlbGluZyBhcHByb2FjaGVzLCBpbiBsaXF1aWQgY29tcG9zaXRlIG1vbGRpbmcgYXMgd2VsbCBhcyBpbiBwcmVwcmVnIGNvbXBvc2l0ZSBwcm9jZXNzaW5nIGFyZSBzdXJ2ZXllZC4gVGVjaG5pcXVlcyBmb3Igdm9pZCBjaGFyYWN0ZXJpemF0aW9uIHdpdGggdGhlaXIgYWR2YW50YWdlcyBhbmQgZGlzYWR2YW50YWdlcyBhcmUgZGVzY3JpYmVkLiBGaW5hbGx5LCB0aGUgZWZmZWN0IG9mIHZvaWRzIG9uIGEgYnJvYWQgcmFuZ2Ugb2YgbWVjaGFuaWNhbCBwcm9wZXJ0aWVzLCBpbmNsdWRpbmcgaW50ZXItbGFtaW5hciBzaGVhciwgdGVuc2lsZSwgY29tcHJlc3NpdmUsIGFuZCBmbGV4dXJhbCBzdHJlbmd0aCBhcyB3ZWxsIGFzIGZyYWN0dXJlIHRvdWdobmVzcyBhbmQgZmF0aWd1ZSBsaWZlLCBpcyBhcHByYWlzZWQuIEJvdGggZXhwZXJpbWVudGFsIGFuZCBzaW11bGF0aW9uIGFwcHJvYWNoZXMgYW5kIHJlc3VsdHMsIGNvbmNlcm5pbmcgdm9pZHMnIGVmZmVjdHMsIGFyZSByZXZpZXdlZC48L3A+IiwiaXNzdWUiOiIxMiIsInZvbHVtZSI6IjUzIn0sImlzVGVtcG9yYXJ5IjpmYWxzZX1dfQ=="/>
          <w:id w:val="1423993575"/>
          <w:placeholder>
            <w:docPart w:val="C382101AD8A04DC78F376E8ADBC08A64"/>
          </w:placeholder>
        </w:sdtPr>
        <w:sdtEndPr/>
        <w:sdtContent>
          <w:r w:rsidR="00B32892" w:rsidRPr="00296255">
            <w:rPr>
              <w:rFonts w:ascii="Times New Roman" w:hAnsi="Times New Roman" w:cs="Times New Roman"/>
              <w:noProof/>
              <w:color w:val="000000"/>
              <w:sz w:val="24"/>
              <w:szCs w:val="24"/>
              <w14:ligatures w14:val="standardContextual"/>
            </w:rPr>
            <w:t>Mehdikhani et al., (2019)</w:t>
          </w:r>
        </w:sdtContent>
      </w:sdt>
      <w:r w:rsidRPr="00296255">
        <w:rPr>
          <w:rFonts w:ascii="Times New Roman" w:hAnsi="Times New Roman" w:cs="Times New Roman"/>
          <w:noProof/>
          <w:sz w:val="24"/>
          <w:szCs w:val="24"/>
          <w14:ligatures w14:val="standardContextual"/>
        </w:rPr>
        <w:t xml:space="preserve"> emphasized that adding starch to PBAT-based films improves sustainability and cost-effectiveness by lowering the need on petroleum-derived polymers. </w:t>
      </w:r>
      <w:sdt>
        <w:sdtPr>
          <w:rPr>
            <w:rFonts w:ascii="Times New Roman" w:hAnsi="Times New Roman" w:cs="Times New Roman"/>
            <w:noProof/>
            <w:color w:val="000000"/>
            <w:sz w:val="24"/>
            <w:szCs w:val="24"/>
            <w14:ligatures w14:val="standardContextual"/>
          </w:rPr>
          <w:tag w:val="MENDELEY_CITATION_v3_eyJjaXRhdGlvbklEIjoiTUVOREVMRVlfQ0lUQVRJT05fNzhmNjhiYmYtYTBlOC00OGVmLWE2YWMtMWFhMTZkN2RjYTg5IiwicHJvcGVydGllcyI6eyJub3RlSW5kZXgiOjB9LCJpc0VkaXRlZCI6ZmFsc2UsIm1hbnVhbE92ZXJyaWRlIjp7ImlzTWFudWFsbHlPdmVycmlkZGVuIjp0cnVlLCJjaXRlcHJvY1RleHQiOiIoSXNsYW0gZXQgYWwuLCAyMDI0KSIsIm1hbnVhbE92ZXJyaWRlVGV4dCI6IklzbGFtIGV0IGFsLiwgKDIwMjQpIn0sImNpdGF0aW9uSXRlbXMiOlt7ImlkIjoiNjM4YTk4YjItNGJlNy0zODJmLWJhMGMtY2ZjZjAxZmZkNTNmIiwiaXRlbURhdGEiOnsidHlwZSI6ImFydGljbGUtam91cm5hbCIsImlkIjoiNjM4YTk4YjItNGJlNy0zODJmLWJhMGMtY2ZjZjAxZmZkNTNmIiwidGl0bGUiOiJJbXBhY3Qgb2YgYmlvcGxhc3RpY3Mgb24gZW52aXJvbm1lbnQgZnJvbSBpdHMgcHJvZHVjdGlvbiB0byBlbmQtb2YtbGlmZSIsImF1dGhvciI6W3siZmFtaWx5IjoiSXNsYW0iLCJnaXZlbiI6Ik1vbmp1cnVsIiwicGFyc2UtbmFtZXMiOmZhbHNlLCJkcm9wcGluZy1wYXJ0aWNsZSI6IiIsIm5vbi1kcm9wcGluZy1wYXJ0aWNsZSI6IiJ9LHsiZmFtaWx5IjoiWGF5YWNoYWsiLCJnaXZlbiI6IlR1IiwicGFyc2UtbmFtZXMiOmZhbHNlLCJkcm9wcGluZy1wYXJ0aWNsZSI6IiIsIm5vbi1kcm9wcGluZy1wYXJ0aWNsZSI6IiJ9LHsiZmFtaWx5IjoiSGFxdWUiLCJnaXZlbiI6Ik5hd3NoYWQiLCJwYXJzZS1uYW1lcyI6ZmFsc2UsImRyb3BwaW5nLXBhcnRpY2xlIjoiIiwibm9uLWRyb3BwaW5nLXBhcnRpY2xlIjoiIn0seyJmYW1pbHkiOiJMYXUiLCJnaXZlbiI6IkRlYm9yYWgiLCJwYXJzZS1uYW1lcyI6ZmFsc2UsImRyb3BwaW5nLXBhcnRpY2xlIjoiIiwibm9uLWRyb3BwaW5nLXBhcnRpY2xlIjoiIn0seyJmYW1pbHkiOiJCaHVpeWFuIiwiZ2l2ZW4iOiJNdWhhbW1lZCIsInBhcnNlLW5hbWVzIjpmYWxzZSwiZHJvcHBpbmctcGFydGljbGUiOiIiLCJub24tZHJvcHBpbmctcGFydGljbGUiOiIifSx7ImZhbWlseSI6IlByYW1hbmlrIiwiZ2l2ZW4iOiJCaXBsb2IgS3VtYXIiLCJwYXJzZS1uYW1lcyI6ZmFsc2UsImRyb3BwaW5nLXBhcnRpY2xlIjoiIiwibm9uLWRyb3BwaW5nLXBhcnRpY2xlIjoiIn1dLCJjb250YWluZXItdGl0bGUiOiJQcm9jZXNzIFNhZmV0eSBhbmQgRW52aXJvbm1lbnRhbCBQcm90ZWN0aW9uIiwiRE9JIjoiMTAuMTAxNi9qLnBzZXAuMjAyNC4wNS4xMTMiLCJJU1NOIjoiMDk1NzU4MjAiLCJpc3N1ZWQiOnsiZGF0ZS1wYXJ0cyI6W1syMDI0LDhdXX0sInBhZ2UiOiIxNTEtMTY2Iiwidm9sdW1lIjoiMTg4IiwiY29udGFpbmVyLXRpdGxlLXNob3J0IjoiIn0sImlzVGVtcG9yYXJ5IjpmYWxzZX1dfQ=="/>
          <w:id w:val="2105687046"/>
          <w:placeholder>
            <w:docPart w:val="C382101AD8A04DC78F376E8ADBC08A64"/>
          </w:placeholder>
        </w:sdtPr>
        <w:sdtEndPr/>
        <w:sdtContent>
          <w:r w:rsidR="00B32892" w:rsidRPr="00296255">
            <w:rPr>
              <w:rFonts w:ascii="Times New Roman" w:hAnsi="Times New Roman" w:cs="Times New Roman"/>
              <w:noProof/>
              <w:color w:val="000000"/>
              <w:sz w:val="24"/>
              <w:szCs w:val="24"/>
              <w14:ligatures w14:val="standardContextual"/>
            </w:rPr>
            <w:t>Islam et al., (2024)</w:t>
          </w:r>
        </w:sdtContent>
      </w:sdt>
      <w:r w:rsidRPr="00296255">
        <w:rPr>
          <w:rFonts w:ascii="Times New Roman" w:hAnsi="Times New Roman" w:cs="Times New Roman"/>
          <w:noProof/>
          <w:sz w:val="24"/>
          <w:szCs w:val="24"/>
          <w14:ligatures w14:val="standardContextual"/>
        </w:rPr>
        <w:t xml:space="preserve">  provided more evidence that normalization makes it easier to analyze formulation-dependent differences in the economic viability and functionality of films.</w:t>
      </w:r>
    </w:p>
    <w:p w14:paraId="2B3A143D" w14:textId="77777777" w:rsidR="00686ED6" w:rsidRPr="00296255" w:rsidRDefault="00686ED6" w:rsidP="00BD3695">
      <w:pPr>
        <w:spacing w:after="0" w:line="480" w:lineRule="auto"/>
        <w:jc w:val="both"/>
        <w:rPr>
          <w:rFonts w:ascii="Times New Roman" w:hAnsi="Times New Roman" w:cs="Times New Roman"/>
          <w:b/>
          <w:bCs/>
          <w:iCs/>
          <w:noProof/>
          <w:sz w:val="24"/>
          <w:szCs w:val="24"/>
          <w14:ligatures w14:val="standardContextual"/>
        </w:rPr>
      </w:pPr>
      <w:r w:rsidRPr="00296255">
        <w:rPr>
          <w:rFonts w:ascii="Times New Roman" w:hAnsi="Times New Roman" w:cs="Times New Roman"/>
          <w:b/>
          <w:bCs/>
          <w:iCs/>
          <w:noProof/>
          <w:sz w:val="24"/>
          <w:szCs w:val="24"/>
          <w14:ligatures w14:val="standardContextual"/>
        </w:rPr>
        <w:t>Capital recovery factor (CRF) and Fixed cost</w:t>
      </w:r>
    </w:p>
    <w:p w14:paraId="6E27388E" w14:textId="77777777" w:rsidR="00686ED6" w:rsidRPr="00296255" w:rsidRDefault="00686ED6" w:rsidP="00BD3695">
      <w:pPr>
        <w:spacing w:after="0" w:line="480" w:lineRule="auto"/>
        <w:jc w:val="both"/>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The capital recovery factor (CRF) was used to annualize the equipment investment in order to determine the fixed cost of producing biodegradable film. The CRF provides a realistic annualized capital cost by taking into consideration both interest and depreciation over the equipment's lifecycle. Equation (4.2) illustrates how the CRF was determined using a 10% interest rate (</w:t>
      </w:r>
      <w:r w:rsidRPr="00296255">
        <w:rPr>
          <w:rFonts w:ascii="Times New Roman" w:hAnsi="Times New Roman" w:cs="Times New Roman"/>
          <w:i/>
          <w:noProof/>
          <w:sz w:val="24"/>
          <w:szCs w:val="24"/>
          <w14:ligatures w14:val="standardContextual"/>
        </w:rPr>
        <w:t>R</w:t>
      </w:r>
      <w:r w:rsidRPr="00296255">
        <w:rPr>
          <w:rFonts w:ascii="Times New Roman" w:hAnsi="Times New Roman" w:cs="Times New Roman"/>
          <w:i/>
          <w:noProof/>
          <w:sz w:val="24"/>
          <w:szCs w:val="24"/>
          <w:vertAlign w:val="subscript"/>
          <w14:ligatures w14:val="standardContextual"/>
        </w:rPr>
        <w:t>i</w:t>
      </w:r>
      <w:r w:rsidRPr="00296255">
        <w:rPr>
          <w:rFonts w:ascii="Times New Roman" w:hAnsi="Times New Roman" w:cs="Times New Roman"/>
          <w:iCs/>
          <w:noProof/>
          <w:sz w:val="24"/>
          <w:szCs w:val="24"/>
          <w14:ligatures w14:val="standardContextual"/>
        </w:rPr>
        <w:t>) and a 10-year equipment life span (</w:t>
      </w:r>
      <w:r w:rsidRPr="00296255">
        <w:rPr>
          <w:rFonts w:ascii="Times New Roman" w:hAnsi="Times New Roman" w:cs="Times New Roman"/>
          <w:i/>
          <w:noProof/>
          <w:sz w:val="24"/>
          <w:szCs w:val="24"/>
          <w14:ligatures w14:val="standardContextual"/>
        </w:rPr>
        <w:t>n</w:t>
      </w:r>
      <w:r w:rsidRPr="00296255">
        <w:rPr>
          <w:rFonts w:ascii="Times New Roman" w:hAnsi="Times New Roman" w:cs="Times New Roman"/>
          <w:iCs/>
          <w:noProof/>
          <w:sz w:val="24"/>
          <w:szCs w:val="24"/>
          <w14:ligatures w14:val="standardContextual"/>
        </w:rPr>
        <w:t>):</w:t>
      </w:r>
    </w:p>
    <w:p w14:paraId="71B19BF7" w14:textId="77777777" w:rsidR="00686ED6" w:rsidRPr="00296255" w:rsidRDefault="00686ED6" w:rsidP="00BD3695">
      <w:pPr>
        <w:spacing w:after="0" w:line="480" w:lineRule="auto"/>
        <w:jc w:val="both"/>
        <w:rPr>
          <w:rFonts w:ascii="Times New Roman" w:hAnsi="Times New Roman" w:cs="Times New Roman"/>
          <w:noProof/>
          <w:sz w:val="24"/>
          <w:szCs w:val="24"/>
          <w:lang w:val="en-IN"/>
          <w14:ligatures w14:val="standardContextual"/>
        </w:rPr>
      </w:pPr>
      <m:oMath>
        <m:r>
          <m:rPr>
            <m:sty m:val="p"/>
          </m:rPr>
          <w:rPr>
            <w:rFonts w:ascii="Cambria Math" w:hAnsi="Cambria Math" w:cs="Times New Roman"/>
            <w:noProof/>
            <w:sz w:val="24"/>
            <w:szCs w:val="24"/>
            <w:lang w:val="en-IN"/>
            <w14:ligatures w14:val="standardContextual"/>
          </w:rPr>
          <m:t>CRF =</m:t>
        </m:r>
        <m:f>
          <m:fPr>
            <m:ctrlPr>
              <w:rPr>
                <w:rFonts w:ascii="Cambria Math" w:hAnsi="Cambria Math" w:cs="Times New Roman"/>
                <w:b/>
                <w:bCs/>
                <w:i/>
                <w:noProof/>
                <w:sz w:val="24"/>
                <w:szCs w:val="24"/>
                <w:lang w:val="en-IN"/>
                <w14:ligatures w14:val="standardContextual"/>
              </w:rPr>
            </m:ctrlPr>
          </m:fPr>
          <m:num>
            <m:sSup>
              <m:sSupPr>
                <m:ctrlPr>
                  <w:rPr>
                    <w:rFonts w:ascii="Cambria Math" w:hAnsi="Cambria Math" w:cs="Times New Roman"/>
                    <w:noProof/>
                    <w:sz w:val="24"/>
                    <w:szCs w:val="24"/>
                    <w:lang w:val="en-IN"/>
                    <w14:ligatures w14:val="standardContextual"/>
                  </w:rPr>
                </m:ctrlPr>
              </m:sSupPr>
              <m:e>
                <m:r>
                  <m:rPr>
                    <m:sty m:val="p"/>
                  </m:rPr>
                  <w:rPr>
                    <w:rFonts w:ascii="Cambria Math" w:hAnsi="Cambria Math" w:cs="Times New Roman"/>
                    <w:noProof/>
                    <w:sz w:val="24"/>
                    <w:szCs w:val="24"/>
                    <w:lang w:val="en-IN"/>
                    <w14:ligatures w14:val="standardContextual"/>
                  </w:rPr>
                  <m:t>R</m:t>
                </m:r>
                <m:r>
                  <m:rPr>
                    <m:sty m:val="p"/>
                  </m:rPr>
                  <w:rPr>
                    <w:rFonts w:ascii="Cambria Math" w:hAnsi="Cambria Math" w:cs="Times New Roman"/>
                    <w:noProof/>
                    <w:sz w:val="24"/>
                    <w:szCs w:val="24"/>
                    <w:vertAlign w:val="subscript"/>
                    <w:lang w:val="en-IN"/>
                    <w14:ligatures w14:val="standardContextual"/>
                  </w:rPr>
                  <m:t xml:space="preserve">i </m:t>
                </m:r>
                <m:r>
                  <m:rPr>
                    <m:sty m:val="p"/>
                  </m:rPr>
                  <w:rPr>
                    <w:rFonts w:ascii="Cambria Math" w:hAnsi="Cambria Math" w:cs="Times New Roman"/>
                    <w:noProof/>
                    <w:sz w:val="24"/>
                    <w:szCs w:val="24"/>
                    <w:lang w:val="en-IN"/>
                    <w14:ligatures w14:val="standardContextual"/>
                  </w:rPr>
                  <m:t>× (1+ R</m:t>
                </m:r>
                <m:r>
                  <m:rPr>
                    <m:sty m:val="p"/>
                  </m:rPr>
                  <w:rPr>
                    <w:rFonts w:ascii="Cambria Math" w:hAnsi="Cambria Math" w:cs="Times New Roman"/>
                    <w:noProof/>
                    <w:sz w:val="24"/>
                    <w:szCs w:val="24"/>
                    <w:vertAlign w:val="subscript"/>
                    <w:lang w:val="en-IN"/>
                    <w14:ligatures w14:val="standardContextual"/>
                  </w:rPr>
                  <m:t>i</m:t>
                </m:r>
                <m:r>
                  <m:rPr>
                    <m:sty m:val="p"/>
                  </m:rPr>
                  <w:rPr>
                    <w:rFonts w:ascii="Cambria Math" w:hAnsi="Cambria Math" w:cs="Times New Roman"/>
                    <w:noProof/>
                    <w:sz w:val="24"/>
                    <w:szCs w:val="24"/>
                    <w:lang w:val="en-IN"/>
                    <w14:ligatures w14:val="standardContextual"/>
                  </w:rPr>
                  <m:t>)</m:t>
                </m:r>
              </m:e>
              <m:sup>
                <m:r>
                  <m:rPr>
                    <m:sty m:val="p"/>
                  </m:rPr>
                  <w:rPr>
                    <w:rFonts w:ascii="Cambria Math" w:hAnsi="Cambria Math" w:cs="Times New Roman"/>
                    <w:noProof/>
                    <w:sz w:val="24"/>
                    <w:szCs w:val="24"/>
                    <w:lang w:val="en-IN"/>
                    <w14:ligatures w14:val="standardContextual"/>
                  </w:rPr>
                  <m:t>n</m:t>
                </m:r>
              </m:sup>
            </m:sSup>
            <m:r>
              <m:rPr>
                <m:sty m:val="p"/>
              </m:rPr>
              <w:rPr>
                <w:rFonts w:ascii="Cambria Math" w:hAnsi="Cambria Math" w:cs="Times New Roman"/>
                <w:noProof/>
                <w:sz w:val="24"/>
                <w:szCs w:val="24"/>
                <w:lang w:val="en-IN"/>
                <w14:ligatures w14:val="standardContextual"/>
              </w:rPr>
              <m:t xml:space="preserve">  </m:t>
            </m:r>
          </m:num>
          <m:den>
            <m:sSup>
              <m:sSupPr>
                <m:ctrlPr>
                  <w:rPr>
                    <w:rFonts w:ascii="Cambria Math" w:hAnsi="Cambria Math" w:cs="Times New Roman"/>
                    <w:noProof/>
                    <w:sz w:val="24"/>
                    <w:szCs w:val="24"/>
                    <w:lang w:val="en-IN"/>
                    <w14:ligatures w14:val="standardContextual"/>
                  </w:rPr>
                </m:ctrlPr>
              </m:sSupPr>
              <m:e>
                <m:r>
                  <m:rPr>
                    <m:sty m:val="p"/>
                  </m:rPr>
                  <w:rPr>
                    <w:rFonts w:ascii="Cambria Math" w:hAnsi="Cambria Math" w:cs="Times New Roman"/>
                    <w:noProof/>
                    <w:sz w:val="24"/>
                    <w:szCs w:val="24"/>
                    <w:lang w:val="en-IN"/>
                    <w14:ligatures w14:val="standardContextual"/>
                  </w:rPr>
                  <m:t>(1+ R</m:t>
                </m:r>
                <m:r>
                  <m:rPr>
                    <m:sty m:val="p"/>
                  </m:rPr>
                  <w:rPr>
                    <w:rFonts w:ascii="Cambria Math" w:hAnsi="Cambria Math" w:cs="Times New Roman"/>
                    <w:noProof/>
                    <w:sz w:val="24"/>
                    <w:szCs w:val="24"/>
                    <w:vertAlign w:val="subscript"/>
                    <w:lang w:val="en-IN"/>
                    <w14:ligatures w14:val="standardContextual"/>
                  </w:rPr>
                  <m:t>i</m:t>
                </m:r>
                <m:r>
                  <m:rPr>
                    <m:sty m:val="p"/>
                  </m:rPr>
                  <w:rPr>
                    <w:rFonts w:ascii="Cambria Math" w:hAnsi="Cambria Math" w:cs="Times New Roman"/>
                    <w:noProof/>
                    <w:sz w:val="24"/>
                    <w:szCs w:val="24"/>
                    <w:lang w:val="en-IN"/>
                    <w14:ligatures w14:val="standardContextual"/>
                  </w:rPr>
                  <m:t>)</m:t>
                </m:r>
              </m:e>
              <m:sup>
                <m:r>
                  <m:rPr>
                    <m:sty m:val="p"/>
                  </m:rPr>
                  <w:rPr>
                    <w:rFonts w:ascii="Cambria Math" w:hAnsi="Cambria Math" w:cs="Times New Roman"/>
                    <w:noProof/>
                    <w:sz w:val="24"/>
                    <w:szCs w:val="24"/>
                    <w:lang w:val="en-IN"/>
                    <w14:ligatures w14:val="standardContextual"/>
                  </w:rPr>
                  <m:t>n-1</m:t>
                </m:r>
              </m:sup>
            </m:sSup>
            <m:r>
              <m:rPr>
                <m:sty m:val="p"/>
              </m:rPr>
              <w:rPr>
                <w:rFonts w:ascii="Cambria Math" w:hAnsi="Cambria Math" w:cs="Times New Roman"/>
                <w:noProof/>
                <w:sz w:val="24"/>
                <w:szCs w:val="24"/>
                <w:lang w:val="en-IN"/>
                <w14:ligatures w14:val="standardContextual"/>
              </w:rPr>
              <m:t xml:space="preserve"> </m:t>
            </m:r>
          </m:den>
        </m:f>
      </m:oMath>
      <w:r w:rsidRPr="00296255">
        <w:rPr>
          <w:rFonts w:ascii="Times New Roman" w:hAnsi="Times New Roman" w:cs="Times New Roman"/>
          <w:noProof/>
          <w:sz w:val="24"/>
          <w:szCs w:val="24"/>
          <w:lang w:val="en-IN"/>
          <w14:ligatures w14:val="standardContextual"/>
        </w:rPr>
        <w:t xml:space="preserve">  ………………………………………... (4.2)</w:t>
      </w:r>
    </w:p>
    <w:p w14:paraId="45B940A6" w14:textId="77777777" w:rsidR="00686ED6" w:rsidRPr="00296255" w:rsidRDefault="00686ED6" w:rsidP="00BD3695">
      <w:pPr>
        <w:spacing w:after="0" w:line="480" w:lineRule="auto"/>
        <w:jc w:val="both"/>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 xml:space="preserve">The CRF was determined to be 0.1627 by substituting the provided values. The initial equipment cost, including installation (₹22,000,000), was then multiplied by CRF to estimate </w:t>
      </w:r>
      <w:r w:rsidRPr="00296255">
        <w:rPr>
          <w:rFonts w:ascii="Times New Roman" w:hAnsi="Times New Roman" w:cs="Times New Roman"/>
          <w:iCs/>
          <w:noProof/>
          <w:sz w:val="24"/>
          <w:szCs w:val="24"/>
          <w14:ligatures w14:val="standardContextual"/>
        </w:rPr>
        <w:lastRenderedPageBreak/>
        <w:t>the annualized capital cost (</w:t>
      </w:r>
      <w:r w:rsidRPr="00296255">
        <w:rPr>
          <w:rFonts w:ascii="Times New Roman" w:hAnsi="Times New Roman" w:cs="Times New Roman"/>
          <w:i/>
          <w:noProof/>
          <w:sz w:val="24"/>
          <w:szCs w:val="24"/>
          <w14:ligatures w14:val="standardContextual"/>
        </w:rPr>
        <w:t>C</w:t>
      </w:r>
      <w:r w:rsidRPr="00296255">
        <w:rPr>
          <w:rFonts w:ascii="Times New Roman" w:hAnsi="Times New Roman" w:cs="Times New Roman"/>
          <w:i/>
          <w:noProof/>
          <w:sz w:val="24"/>
          <w:szCs w:val="24"/>
          <w:vertAlign w:val="subscript"/>
          <w14:ligatures w14:val="standardContextual"/>
        </w:rPr>
        <w:t>capital</w:t>
      </w:r>
      <w:r w:rsidRPr="00296255">
        <w:rPr>
          <w:rFonts w:ascii="Times New Roman" w:hAnsi="Times New Roman" w:cs="Times New Roman"/>
          <w:iCs/>
          <w:noProof/>
          <w:sz w:val="24"/>
          <w:szCs w:val="24"/>
          <w14:ligatures w14:val="standardContextual"/>
        </w:rPr>
        <w:t>), which came out at ₹3,580,398.69/year. Furthermore, the expenditures of insurance and maintenance were estimated to be 1% and 5% of the equipment cost, or ₹220,000 and ₹1,100,000 annually, respectively. The anticipated annual cost of labor and overhead was ₹1,725,000.</w:t>
      </w:r>
    </w:p>
    <w:p w14:paraId="6EF20C20" w14:textId="77777777" w:rsidR="00686ED6" w:rsidRPr="00296255" w:rsidRDefault="00686ED6" w:rsidP="00BD3695">
      <w:pPr>
        <w:spacing w:after="0" w:line="480" w:lineRule="auto"/>
        <w:jc w:val="both"/>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These elements added up to ₹6,625,398.69, which is the entire yearly fixed cost of production. By dividing the annual fixed cost by the annual saleable production quantity (</w:t>
      </w:r>
      <w:r w:rsidRPr="00296255">
        <w:rPr>
          <w:rFonts w:ascii="Times New Roman" w:hAnsi="Times New Roman" w:cs="Times New Roman"/>
          <w:i/>
          <w:noProof/>
          <w:sz w:val="24"/>
          <w:szCs w:val="24"/>
          <w14:ligatures w14:val="standardContextual"/>
        </w:rPr>
        <w:t>Q</w:t>
      </w:r>
      <w:r w:rsidRPr="00296255">
        <w:rPr>
          <w:rFonts w:ascii="Times New Roman" w:hAnsi="Times New Roman" w:cs="Times New Roman"/>
          <w:i/>
          <w:noProof/>
          <w:sz w:val="24"/>
          <w:szCs w:val="24"/>
          <w:vertAlign w:val="subscript"/>
          <w14:ligatures w14:val="standardContextual"/>
        </w:rPr>
        <w:t>saleable</w:t>
      </w:r>
      <w:r w:rsidRPr="00296255">
        <w:rPr>
          <w:rFonts w:ascii="Times New Roman" w:hAnsi="Times New Roman" w:cs="Times New Roman"/>
          <w:iCs/>
          <w:noProof/>
          <w:sz w:val="24"/>
          <w:szCs w:val="24"/>
          <w14:ligatures w14:val="standardContextual"/>
        </w:rPr>
        <w:t xml:space="preserve"> = 116,400kg/year), as shown in equation (4.3), the fixed cost per kilogram of film was further determined.</w:t>
      </w:r>
    </w:p>
    <w:p w14:paraId="56C81013" w14:textId="77777777" w:rsidR="00686ED6" w:rsidRPr="00296255" w:rsidRDefault="00B866B3" w:rsidP="00BD3695">
      <w:pPr>
        <w:spacing w:after="0" w:line="480" w:lineRule="auto"/>
        <w:jc w:val="both"/>
        <w:rPr>
          <w:rFonts w:ascii="Times New Roman" w:hAnsi="Times New Roman" w:cs="Times New Roman"/>
          <w:noProof/>
          <w:sz w:val="24"/>
          <w:szCs w:val="24"/>
          <w:lang w:val="en-IN"/>
          <w14:ligatures w14:val="standardContextual"/>
        </w:rPr>
      </w:pPr>
      <m:oMath>
        <m:sSub>
          <m:sSubPr>
            <m:ctrlPr>
              <w:rPr>
                <w:rFonts w:ascii="Cambria Math" w:hAnsi="Cambria Math" w:cs="Times New Roman"/>
                <w:i/>
                <w:iCs/>
                <w:noProof/>
                <w:sz w:val="24"/>
                <w:szCs w:val="24"/>
                <w14:ligatures w14:val="standardContextual"/>
              </w:rPr>
            </m:ctrlPr>
          </m:sSubPr>
          <m:e>
            <m:r>
              <w:rPr>
                <w:rFonts w:ascii="Cambria Math" w:hAnsi="Cambria Math" w:cs="Times New Roman"/>
                <w:noProof/>
                <w:sz w:val="24"/>
                <w:szCs w:val="24"/>
                <w14:ligatures w14:val="standardContextual"/>
              </w:rPr>
              <m:t>C</m:t>
            </m:r>
          </m:e>
          <m:sub>
            <m:r>
              <m:rPr>
                <m:sty m:val="p"/>
              </m:rPr>
              <w:rPr>
                <w:rFonts w:ascii="Cambria Math" w:hAnsi="Cambria Math" w:cs="Times New Roman"/>
                <w:noProof/>
                <w:sz w:val="24"/>
                <w:szCs w:val="24"/>
                <w:vertAlign w:val="subscript"/>
                <w14:ligatures w14:val="standardContextual"/>
              </w:rPr>
              <m:t>fix/kg</m:t>
            </m:r>
          </m:sub>
        </m:sSub>
        <m:r>
          <m:rPr>
            <m:sty m:val="p"/>
          </m:rPr>
          <w:rPr>
            <w:rFonts w:ascii="Cambria Math" w:hAnsi="Cambria Math" w:cs="Times New Roman"/>
            <w:noProof/>
            <w:sz w:val="24"/>
            <w:szCs w:val="24"/>
            <w:vertAlign w:val="subscript"/>
            <w14:ligatures w14:val="standardContextual"/>
          </w:rPr>
          <m:t>=</m:t>
        </m:r>
        <m:f>
          <m:fPr>
            <m:ctrlPr>
              <w:rPr>
                <w:rFonts w:ascii="Cambria Math" w:hAnsi="Cambria Math" w:cs="Times New Roman"/>
                <w:b/>
                <w:bCs/>
                <w:i/>
                <w:noProof/>
                <w:sz w:val="24"/>
                <w:szCs w:val="24"/>
                <w:lang w:val="en-IN"/>
                <w14:ligatures w14:val="standardContextual"/>
              </w:rPr>
            </m:ctrlPr>
          </m:fPr>
          <m:num>
            <m:r>
              <w:rPr>
                <w:rFonts w:ascii="Cambria Math" w:hAnsi="Cambria Math" w:cs="Times New Roman"/>
                <w:noProof/>
                <w:sz w:val="24"/>
                <w:szCs w:val="24"/>
                <w14:ligatures w14:val="standardContextual"/>
              </w:rPr>
              <m:t>​</m:t>
            </m:r>
            <m:sSub>
              <m:sSubPr>
                <m:ctrlPr>
                  <w:rPr>
                    <w:rFonts w:ascii="Cambria Math" w:hAnsi="Cambria Math" w:cs="Times New Roman"/>
                    <w:iCs/>
                    <w:noProof/>
                    <w:sz w:val="24"/>
                    <w:szCs w:val="24"/>
                    <w:vertAlign w:val="subscript"/>
                    <w14:ligatures w14:val="standardContextual"/>
                  </w:rPr>
                </m:ctrlPr>
              </m:sSubPr>
              <m:e>
                <m:r>
                  <w:rPr>
                    <w:rFonts w:ascii="Cambria Math" w:hAnsi="Cambria Math" w:cs="Times New Roman"/>
                    <w:noProof/>
                    <w:sz w:val="24"/>
                    <w:szCs w:val="24"/>
                    <w14:ligatures w14:val="standardContextual"/>
                  </w:rPr>
                  <m:t>C</m:t>
                </m:r>
              </m:e>
              <m:sub>
                <m:r>
                  <m:rPr>
                    <m:sty m:val="p"/>
                  </m:rPr>
                  <w:rPr>
                    <w:rFonts w:ascii="Cambria Math" w:hAnsi="Cambria Math" w:cs="Times New Roman"/>
                    <w:noProof/>
                    <w:sz w:val="24"/>
                    <w:szCs w:val="24"/>
                    <w:vertAlign w:val="subscript"/>
                    <w14:ligatures w14:val="standardContextual"/>
                  </w:rPr>
                  <m:t>fixed, annual​</m:t>
                </m:r>
              </m:sub>
            </m:sSub>
            <m:r>
              <m:rPr>
                <m:sty m:val="p"/>
              </m:rPr>
              <w:rPr>
                <w:rFonts w:ascii="Cambria Math" w:hAnsi="Cambria Math" w:cs="Times New Roman"/>
                <w:noProof/>
                <w:sz w:val="24"/>
                <w:szCs w:val="24"/>
                <w14:ligatures w14:val="standardContextual"/>
              </w:rPr>
              <m:t xml:space="preserve"> </m:t>
            </m:r>
          </m:num>
          <m:den>
            <m:sSub>
              <m:sSubPr>
                <m:ctrlPr>
                  <w:rPr>
                    <w:rFonts w:ascii="Cambria Math" w:hAnsi="Cambria Math" w:cs="Times New Roman"/>
                    <w:noProof/>
                    <w:sz w:val="24"/>
                    <w:szCs w:val="24"/>
                    <w14:ligatures w14:val="standardContextual"/>
                  </w:rPr>
                </m:ctrlPr>
              </m:sSubPr>
              <m:e>
                <m:r>
                  <w:rPr>
                    <w:rFonts w:ascii="Cambria Math" w:hAnsi="Cambria Math" w:cs="Times New Roman"/>
                    <w:noProof/>
                    <w:sz w:val="24"/>
                    <w:szCs w:val="24"/>
                    <w14:ligatures w14:val="standardContextual"/>
                  </w:rPr>
                  <m:t>Q</m:t>
                </m:r>
              </m:e>
              <m:sub>
                <m:r>
                  <w:rPr>
                    <w:rFonts w:ascii="Cambria Math" w:hAnsi="Cambria Math" w:cs="Times New Roman"/>
                    <w:noProof/>
                    <w:sz w:val="24"/>
                    <w:szCs w:val="24"/>
                    <w14:ligatures w14:val="standardContextual"/>
                  </w:rPr>
                  <m:t>saleable</m:t>
                </m:r>
              </m:sub>
            </m:sSub>
            <m:r>
              <m:rPr>
                <m:sty m:val="p"/>
              </m:rPr>
              <w:rPr>
                <w:rFonts w:ascii="Cambria Math" w:hAnsi="Cambria Math" w:cs="Times New Roman"/>
                <w:noProof/>
                <w:sz w:val="24"/>
                <w:szCs w:val="24"/>
                <w14:ligatures w14:val="standardContextual"/>
              </w:rPr>
              <m:t>​</m:t>
            </m:r>
          </m:den>
        </m:f>
      </m:oMath>
      <w:r w:rsidR="00686ED6" w:rsidRPr="00296255">
        <w:rPr>
          <w:rFonts w:ascii="Times New Roman" w:hAnsi="Times New Roman" w:cs="Times New Roman"/>
          <w:b/>
          <w:bCs/>
          <w:noProof/>
          <w:sz w:val="24"/>
          <w:szCs w:val="24"/>
          <w:lang w:val="en-IN"/>
          <w14:ligatures w14:val="standardContextual"/>
        </w:rPr>
        <w:t xml:space="preserve"> </w:t>
      </w:r>
      <w:r w:rsidR="00686ED6" w:rsidRPr="00296255">
        <w:rPr>
          <w:rFonts w:ascii="Times New Roman" w:hAnsi="Times New Roman" w:cs="Times New Roman"/>
          <w:noProof/>
          <w:sz w:val="24"/>
          <w:szCs w:val="24"/>
          <w:lang w:val="en-IN"/>
          <w14:ligatures w14:val="standardContextual"/>
        </w:rPr>
        <w:t>………………………………………... (4.3)</w:t>
      </w:r>
    </w:p>
    <w:p w14:paraId="541D8AD5" w14:textId="77777777" w:rsidR="00686ED6" w:rsidRPr="00296255" w:rsidRDefault="00686ED6" w:rsidP="00BD3695">
      <w:pPr>
        <w:spacing w:after="0" w:line="480" w:lineRule="auto"/>
        <w:jc w:val="both"/>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The result was that ₹56.92/kg was determined to be the fixed cost per kilogram of film. This figure was consistent throughout all treatments because the fixed cost was not affected by the composition of the raw materials.</w:t>
      </w:r>
    </w:p>
    <w:p w14:paraId="0C63F6BB" w14:textId="67A0EE59" w:rsidR="00686ED6" w:rsidRPr="00296255" w:rsidRDefault="00686ED6" w:rsidP="00BD3695">
      <w:pPr>
        <w:spacing w:after="0" w:line="480" w:lineRule="auto"/>
        <w:jc w:val="both"/>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 xml:space="preserve">The trustworthy estimation of the financial burden related to equipment investment is provided by the application of CRF-based computations, which guarantee a methodical distribution of capital and overhead expenses. CRF is a useful method for assessing fixed costs in agro-processing companies, according to </w:t>
      </w:r>
      <w:sdt>
        <w:sdtPr>
          <w:rPr>
            <w:rFonts w:ascii="Times New Roman" w:hAnsi="Times New Roman" w:cs="Times New Roman"/>
            <w:iCs/>
            <w:noProof/>
            <w:color w:val="000000"/>
            <w:sz w:val="24"/>
            <w:szCs w:val="24"/>
            <w14:ligatures w14:val="standardContextual"/>
          </w:rPr>
          <w:tag w:val="MENDELEY_CITATION_v3_eyJjaXRhdGlvbklEIjoiTUVOREVMRVlfQ0lUQVRJT05fYWFkOWIwZDEtM2Y2MS00MjcwLTg5ZjEtODYzOTQ2MTEyZGQ5IiwicHJvcGVydGllcyI6eyJub3RlSW5kZXgiOjB9LCJpc0VkaXRlZCI6ZmFsc2UsIm1hbnVhbE92ZXJyaWRlIjp7ImlzTWFudWFsbHlPdmVycmlkZGVuIjp0cnVlLCJjaXRlcHJvY1RleHQiOiIoQ2hhdWhhbiAmIzM4OyBTYWluaSwgMjAxNikiLCJtYW51YWxPdmVycmlkZVRleHQiOiJDaGF1aGFuIGFuZCBTYWluaSwgKDIwMTYpIn0sImNpdGF0aW9uSXRlbXMiOlt7ImlkIjoiYjczZjBjOWYtMWE2Yi0zZTYzLTlkZjgtNDBkOGZlMTk4M2E4IiwiaXRlbURhdGEiOnsidHlwZSI6ImFydGljbGUtam91cm5hbCIsImlkIjoiYjczZjBjOWYtMWE2Yi0zZTYzLTlkZjgtNDBkOGZlMTk4M2E4IiwidGl0bGUiOiJUZWNobm8tZWNvbm9taWMgZmVhc2liaWxpdHkgc3R1ZHkgb24gSW50ZWdyYXRlZCBSZW5ld2FibGUgRW5lcmd5IFN5c3RlbSBmb3IgYW4gaXNvbGF0ZWQgY29tbXVuaXR5IG9mIEluZGlhIiwiYXV0aG9yIjpbeyJmYW1pbHkiOiJDaGF1aGFuIiwiZ2l2ZW4iOiJBbnVyYWciLCJwYXJzZS1uYW1lcyI6ZmFsc2UsImRyb3BwaW5nLXBhcnRpY2xlIjoiIiwibm9uLWRyb3BwaW5nLXBhcnRpY2xlIjoiIn0seyJmYW1pbHkiOiJTYWluaSIsImdpdmVuIjoiUi5QLiIsInBhcnNlLW5hbWVzIjpmYWxzZSwiZHJvcHBpbmctcGFydGljbGUiOiIiLCJub24tZHJvcHBpbmctcGFydGljbGUiOiIifV0sImNvbnRhaW5lci10aXRsZSI6IlJlbmV3YWJsZSBhbmQgU3VzdGFpbmFibGUgRW5lcmd5IFJldmlld3MiLCJET0kiOiIxMC4xMDE2L2oucnNlci4yMDE1LjEyLjI5MCIsIklTU04iOiIxMzY0MDMyMSIsImlzc3VlZCI6eyJkYXRlLXBhcnRzIjpbWzIwMTYsNl1dfSwicGFnZSI6IjM4OC00MDUiLCJ2b2x1bWUiOiI1OSIsImNvbnRhaW5lci10aXRsZS1zaG9ydCI6IiJ9LCJpc1RlbXBvcmFyeSI6ZmFsc2V9XX0="/>
          <w:id w:val="750162361"/>
          <w:placeholder>
            <w:docPart w:val="C382101AD8A04DC78F376E8ADBC08A64"/>
          </w:placeholder>
        </w:sdtPr>
        <w:sdtEndPr/>
        <w:sdtContent>
          <w:r w:rsidR="00B32892" w:rsidRPr="00296255">
            <w:rPr>
              <w:rFonts w:ascii="Times New Roman" w:hAnsi="Times New Roman" w:cs="Times New Roman"/>
              <w:color w:val="000000"/>
              <w:sz w:val="24"/>
              <w:szCs w:val="24"/>
            </w:rPr>
            <w:t>Chauhan and Saini, (2016)</w:t>
          </w:r>
        </w:sdtContent>
      </w:sdt>
      <w:r w:rsidRPr="00296255">
        <w:rPr>
          <w:rFonts w:ascii="Times New Roman" w:hAnsi="Times New Roman" w:cs="Times New Roman"/>
          <w:iCs/>
          <w:noProof/>
          <w:sz w:val="24"/>
          <w:szCs w:val="24"/>
          <w14:ligatures w14:val="standardContextual"/>
        </w:rPr>
        <w:t xml:space="preserve">. Because they have a direct impact on profitability and break-even performance, recent studies </w:t>
      </w:r>
      <w:sdt>
        <w:sdtPr>
          <w:rPr>
            <w:rFonts w:ascii="Times New Roman" w:hAnsi="Times New Roman" w:cs="Times New Roman"/>
            <w:iCs/>
            <w:noProof/>
            <w:color w:val="000000"/>
            <w:sz w:val="24"/>
            <w:szCs w:val="24"/>
            <w14:ligatures w14:val="standardContextual"/>
          </w:rPr>
          <w:tag w:val="MENDELEY_CITATION_v3_eyJjaXRhdGlvbklEIjoiTUVOREVMRVlfQ0lUQVRJT05fNjYwNGE1YmEtNTNiYS00YjEzLTk4YzMtM2QwNTMyM2ViY2NmIiwicHJvcGVydGllcyI6eyJub3RlSW5kZXgiOjB9LCJpc0VkaXRlZCI6ZmFsc2UsIm1hbnVhbE92ZXJyaWRlIjp7ImlzTWFudWFsbHlPdmVycmlkZGVuIjp0cnVlLCJjaXRlcHJvY1RleHQiOiIoTndvcmllICYjMzg7IE53b3llLCAyMDIzKSIsIm1hbnVhbE92ZXJyaWRlVGV4dCI6IihOd29yaWUgYW5kIE53b3llLCAyMDIzKSJ9LCJjaXRhdGlvbkl0ZW1zIjpbeyJpZCI6IjVhMzM2ODgwLWQ2MGMtMzMyYy1iYmJmLWY5ZWJmMTExMjdiYiIsIml0ZW1EYXRhIjp7InR5cGUiOiJhcnRpY2xlLWpvdXJuYWwiLCJpZCI6IjVhMzM2ODgwLWQ2MGMtMzMyYy1iYmJmLWY5ZWJmMTExMjdiYiIsInRpdGxlIjoiRHJpdmVycyBvZiBPcGVyYXRpbmcgUHJvZml0OiBBIEZvY3VzIG9uIFNlbGVjdGVkIEZpcm1z4oCZIENvc3RzIiwiYXV0aG9yIjpbeyJmYW1pbHkiOiJOd29yaWUiLCJnaXZlbiI6IkdpbGJlcnQgT2dlY2h1a3d1IiwicGFyc2UtbmFtZXMiOmZhbHNlLCJkcm9wcGluZy1wYXJ0aWNsZSI6IiIsIm5vbi1kcm9wcGluZy1wYXJ0aWNsZSI6IiJ9LHsiZmFtaWx5IjoiTndveWUiLCJnaXZlbiI6IlVnb2NodWt3dSBKLiIsInBhcnNlLW5hbWVzIjpmYWxzZSwiZHJvcHBpbmctcGFydGljbGUiOiIiLCJub24tZHJvcHBpbmctcGFydGljbGUiOiIifV0sImNvbnRhaW5lci10aXRsZSI6IkNFQ0NBUiBCdXNpbmVzcyBSZXZpZXciLCJET0kiOiIxMC4zNzk0NS9jYnIuMjAyMy4wMi4wNyIsIklTU04iOiIxNDU0LTkyNjMiLCJpc3N1ZWQiOnsiZGF0ZS1wYXJ0cyI6W1syMDIzLDIsMjhdXX0sInBhZ2UiOiI2Mi03MiIsImlzc3VlIjoiMiIsInZvbHVtZSI6IjQiLCJjb250YWluZXItdGl0bGUtc2hvcnQiOiIifSwiaXNUZW1wb3JhcnkiOmZhbHNlfV19"/>
          <w:id w:val="1143778494"/>
          <w:placeholder>
            <w:docPart w:val="C382101AD8A04DC78F376E8ADBC08A64"/>
          </w:placeholder>
        </w:sdtPr>
        <w:sdtEndPr/>
        <w:sdtContent>
          <w:r w:rsidR="00B32892" w:rsidRPr="00296255">
            <w:rPr>
              <w:rFonts w:ascii="Times New Roman" w:hAnsi="Times New Roman" w:cs="Times New Roman"/>
              <w:color w:val="000000"/>
              <w:sz w:val="24"/>
              <w:szCs w:val="24"/>
            </w:rPr>
            <w:t>(Nworie and Nwoye, 2023)</w:t>
          </w:r>
        </w:sdtContent>
      </w:sdt>
      <w:r w:rsidRPr="00296255">
        <w:rPr>
          <w:rFonts w:ascii="Times New Roman" w:hAnsi="Times New Roman" w:cs="Times New Roman"/>
          <w:iCs/>
          <w:noProof/>
          <w:sz w:val="24"/>
          <w:szCs w:val="24"/>
          <w14:ligatures w14:val="standardContextual"/>
        </w:rPr>
        <w:t xml:space="preserve"> have also emphasized the significance of incorporating both fixed and variable cost components in techno-economic feasibility assessments of biodegradable packaging.</w:t>
      </w:r>
    </w:p>
    <w:p w14:paraId="71FD263E" w14:textId="77777777" w:rsidR="00686ED6" w:rsidRPr="00296255" w:rsidRDefault="00686ED6" w:rsidP="00BD3695">
      <w:pPr>
        <w:spacing w:after="0" w:line="480" w:lineRule="auto"/>
        <w:jc w:val="both"/>
        <w:rPr>
          <w:rFonts w:ascii="Times New Roman" w:hAnsi="Times New Roman" w:cs="Times New Roman"/>
          <w:b/>
          <w:bCs/>
          <w:noProof/>
          <w:sz w:val="24"/>
          <w:szCs w:val="24"/>
          <w14:ligatures w14:val="standardContextual"/>
        </w:rPr>
      </w:pPr>
      <w:r w:rsidRPr="00296255">
        <w:rPr>
          <w:rFonts w:ascii="Times New Roman" w:hAnsi="Times New Roman" w:cs="Times New Roman"/>
          <w:b/>
          <w:bCs/>
          <w:noProof/>
          <w:sz w:val="24"/>
          <w:szCs w:val="24"/>
          <w14:ligatures w14:val="standardContextual"/>
        </w:rPr>
        <w:t>Variable cost per kilogram of film</w:t>
      </w:r>
    </w:p>
    <w:p w14:paraId="17B10F36" w14:textId="77777777" w:rsidR="00686ED6" w:rsidRPr="00296255" w:rsidRDefault="00686ED6" w:rsidP="00BD3695">
      <w:pPr>
        <w:spacing w:after="0"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The variable cost per kilogram of film was estimated by considering the contributions from raw materials, consumables, quality control, and energy requirements, as given in equation (4.4).</w:t>
      </w:r>
    </w:p>
    <w:p w14:paraId="7EA159AA" w14:textId="77777777" w:rsidR="00686ED6" w:rsidRPr="00296255" w:rsidRDefault="00686ED6" w:rsidP="00BD3695">
      <w:pPr>
        <w:spacing w:after="0"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vertAlign w:val="subscript"/>
          <w14:ligatures w14:val="standardContextual"/>
        </w:rPr>
        <w:lastRenderedPageBreak/>
        <w:t xml:space="preserve">​  </w:t>
      </w:r>
      <m:oMath>
        <m:sSub>
          <m:sSubPr>
            <m:ctrlPr>
              <w:rPr>
                <w:rFonts w:ascii="Cambria Math" w:hAnsi="Cambria Math" w:cs="Times New Roman"/>
                <w:i/>
                <w:noProof/>
                <w:sz w:val="24"/>
                <w:szCs w:val="24"/>
                <w:vertAlign w:val="subscript"/>
                <w14:ligatures w14:val="standardContextual"/>
              </w:rPr>
            </m:ctrlPr>
          </m:sSubPr>
          <m:e>
            <m:r>
              <w:rPr>
                <w:rFonts w:ascii="Cambria Math" w:hAnsi="Cambria Math" w:cs="Times New Roman"/>
                <w:noProof/>
                <w:sz w:val="24"/>
                <w:szCs w:val="24"/>
                <w14:ligatures w14:val="standardContextual"/>
              </w:rPr>
              <m:t>C</m:t>
            </m:r>
          </m:e>
          <m:sub>
            <m:r>
              <m:rPr>
                <m:sty m:val="p"/>
              </m:rPr>
              <w:rPr>
                <w:rFonts w:ascii="Cambria Math" w:hAnsi="Cambria Math" w:cs="Times New Roman"/>
                <w:noProof/>
                <w:sz w:val="24"/>
                <w:szCs w:val="24"/>
                <w:vertAlign w:val="subscript"/>
                <w14:ligatures w14:val="standardContextual"/>
              </w:rPr>
              <m:t>var</m:t>
            </m:r>
          </m:sub>
        </m:sSub>
        <m:r>
          <w:rPr>
            <w:rFonts w:ascii="Cambria Math" w:hAnsi="Cambria Math" w:cs="Times New Roman"/>
            <w:noProof/>
            <w:sz w:val="24"/>
            <w:szCs w:val="24"/>
            <w:vertAlign w:val="subscript"/>
            <w14:ligatures w14:val="standardContextual"/>
          </w:rPr>
          <m:t xml:space="preserve">= </m:t>
        </m:r>
        <m:sSub>
          <m:sSubPr>
            <m:ctrlPr>
              <w:rPr>
                <w:rFonts w:ascii="Cambria Math" w:hAnsi="Cambria Math" w:cs="Times New Roman"/>
                <w:i/>
                <w:noProof/>
                <w:sz w:val="24"/>
                <w:szCs w:val="24"/>
                <w:vertAlign w:val="subscript"/>
                <w14:ligatures w14:val="standardContextual"/>
              </w:rPr>
            </m:ctrlPr>
          </m:sSubPr>
          <m:e>
            <m:r>
              <w:rPr>
                <w:rFonts w:ascii="Cambria Math" w:hAnsi="Cambria Math" w:cs="Times New Roman"/>
                <w:noProof/>
                <w:sz w:val="24"/>
                <w:szCs w:val="24"/>
                <w14:ligatures w14:val="standardContextual"/>
              </w:rPr>
              <m:t>C</m:t>
            </m:r>
          </m:e>
          <m:sub>
            <m:r>
              <m:rPr>
                <m:sty m:val="p"/>
              </m:rPr>
              <w:rPr>
                <w:rFonts w:ascii="Cambria Math" w:hAnsi="Cambria Math" w:cs="Times New Roman"/>
                <w:noProof/>
                <w:sz w:val="24"/>
                <w:szCs w:val="24"/>
                <w:vertAlign w:val="subscript"/>
                <w14:ligatures w14:val="standardContextual"/>
              </w:rPr>
              <m:t>raw</m:t>
            </m:r>
          </m:sub>
        </m:sSub>
        <m:r>
          <w:rPr>
            <w:rFonts w:ascii="Cambria Math" w:hAnsi="Cambria Math" w:cs="Times New Roman"/>
            <w:noProof/>
            <w:sz w:val="24"/>
            <w:szCs w:val="24"/>
            <w:vertAlign w:val="subscript"/>
            <w14:ligatures w14:val="standardContextual"/>
          </w:rPr>
          <m:t>+</m:t>
        </m:r>
        <m:sSub>
          <m:sSubPr>
            <m:ctrlPr>
              <w:rPr>
                <w:rFonts w:ascii="Cambria Math" w:hAnsi="Cambria Math" w:cs="Times New Roman"/>
                <w:i/>
                <w:noProof/>
                <w:sz w:val="24"/>
                <w:szCs w:val="24"/>
                <w:vertAlign w:val="subscript"/>
                <w14:ligatures w14:val="standardContextual"/>
              </w:rPr>
            </m:ctrlPr>
          </m:sSubPr>
          <m:e>
            <m:r>
              <w:rPr>
                <w:rFonts w:ascii="Cambria Math" w:hAnsi="Cambria Math" w:cs="Times New Roman"/>
                <w:noProof/>
                <w:sz w:val="24"/>
                <w:szCs w:val="24"/>
                <w14:ligatures w14:val="standardContextual"/>
              </w:rPr>
              <m:t>C</m:t>
            </m:r>
          </m:e>
          <m:sub>
            <m:r>
              <m:rPr>
                <m:sty m:val="p"/>
              </m:rPr>
              <w:rPr>
                <w:rFonts w:ascii="Cambria Math" w:hAnsi="Cambria Math" w:cs="Times New Roman"/>
                <w:noProof/>
                <w:sz w:val="24"/>
                <w:szCs w:val="24"/>
                <w:vertAlign w:val="subscript"/>
                <w14:ligatures w14:val="standardContextual"/>
              </w:rPr>
              <m:t>consumables</m:t>
            </m:r>
          </m:sub>
        </m:sSub>
        <m:r>
          <w:rPr>
            <w:rFonts w:ascii="Cambria Math" w:hAnsi="Cambria Math" w:cs="Times New Roman"/>
            <w:noProof/>
            <w:sz w:val="24"/>
            <w:szCs w:val="24"/>
            <w:vertAlign w:val="subscript"/>
            <w14:ligatures w14:val="standardContextual"/>
          </w:rPr>
          <m:t>+</m:t>
        </m:r>
        <m:sSub>
          <m:sSubPr>
            <m:ctrlPr>
              <w:rPr>
                <w:rFonts w:ascii="Cambria Math" w:hAnsi="Cambria Math" w:cs="Times New Roman"/>
                <w:i/>
                <w:noProof/>
                <w:sz w:val="24"/>
                <w:szCs w:val="24"/>
                <w:vertAlign w:val="subscript"/>
                <w14:ligatures w14:val="standardContextual"/>
              </w:rPr>
            </m:ctrlPr>
          </m:sSubPr>
          <m:e>
            <m:r>
              <w:rPr>
                <w:rFonts w:ascii="Cambria Math" w:hAnsi="Cambria Math" w:cs="Times New Roman"/>
                <w:noProof/>
                <w:sz w:val="24"/>
                <w:szCs w:val="24"/>
                <w14:ligatures w14:val="standardContextual"/>
              </w:rPr>
              <m:t>C</m:t>
            </m:r>
          </m:e>
          <m:sub>
            <m:r>
              <m:rPr>
                <m:sty m:val="p"/>
              </m:rPr>
              <w:rPr>
                <w:rFonts w:ascii="Cambria Math" w:hAnsi="Cambria Math" w:cs="Times New Roman"/>
                <w:noProof/>
                <w:sz w:val="24"/>
                <w:szCs w:val="24"/>
                <w:vertAlign w:val="subscript"/>
                <w14:ligatures w14:val="standardContextual"/>
              </w:rPr>
              <m:t>QC</m:t>
            </m:r>
          </m:sub>
        </m:sSub>
        <m:r>
          <w:rPr>
            <w:rFonts w:ascii="Cambria Math" w:hAnsi="Cambria Math" w:cs="Times New Roman"/>
            <w:noProof/>
            <w:sz w:val="24"/>
            <w:szCs w:val="24"/>
            <w:vertAlign w:val="subscript"/>
            <w14:ligatures w14:val="standardContextual"/>
          </w:rPr>
          <m:t>+</m:t>
        </m:r>
        <m:sSub>
          <m:sSubPr>
            <m:ctrlPr>
              <w:rPr>
                <w:rFonts w:ascii="Cambria Math" w:hAnsi="Cambria Math" w:cs="Times New Roman"/>
                <w:i/>
                <w:noProof/>
                <w:sz w:val="24"/>
                <w:szCs w:val="24"/>
                <w:vertAlign w:val="subscript"/>
                <w14:ligatures w14:val="standardContextual"/>
              </w:rPr>
            </m:ctrlPr>
          </m:sSubPr>
          <m:e>
            <m:r>
              <w:rPr>
                <w:rFonts w:ascii="Cambria Math" w:hAnsi="Cambria Math" w:cs="Times New Roman"/>
                <w:noProof/>
                <w:sz w:val="24"/>
                <w:szCs w:val="24"/>
                <w14:ligatures w14:val="standardContextual"/>
              </w:rPr>
              <m:t>C</m:t>
            </m:r>
          </m:e>
          <m:sub>
            <m:r>
              <m:rPr>
                <m:sty m:val="p"/>
              </m:rPr>
              <w:rPr>
                <w:rFonts w:ascii="Cambria Math" w:hAnsi="Cambria Math" w:cs="Times New Roman"/>
                <w:noProof/>
                <w:sz w:val="24"/>
                <w:szCs w:val="24"/>
                <w:vertAlign w:val="subscript"/>
                <w14:ligatures w14:val="standardContextual"/>
              </w:rPr>
              <m:t>energy</m:t>
            </m:r>
          </m:sub>
        </m:sSub>
        <m:r>
          <w:rPr>
            <w:rFonts w:ascii="Cambria Math" w:hAnsi="Cambria Math" w:cs="Times New Roman"/>
            <w:noProof/>
            <w:sz w:val="24"/>
            <w:szCs w:val="24"/>
            <w:vertAlign w:val="subscript"/>
            <w14:ligatures w14:val="standardContextual"/>
          </w:rPr>
          <m:t xml:space="preserve"> </m:t>
        </m:r>
      </m:oMath>
      <w:r w:rsidRPr="00296255">
        <w:rPr>
          <w:rFonts w:ascii="Times New Roman" w:hAnsi="Times New Roman" w:cs="Times New Roman"/>
          <w:noProof/>
          <w:sz w:val="24"/>
          <w:szCs w:val="24"/>
          <w:vertAlign w:val="subscript"/>
          <w14:ligatures w14:val="standardContextual"/>
        </w:rPr>
        <w:t xml:space="preserve"> </w:t>
      </w:r>
      <w:r w:rsidRPr="00296255">
        <w:rPr>
          <w:rFonts w:ascii="Times New Roman" w:hAnsi="Times New Roman" w:cs="Times New Roman"/>
          <w:noProof/>
          <w:sz w:val="24"/>
          <w:szCs w:val="24"/>
          <w14:ligatures w14:val="standardContextual"/>
        </w:rPr>
        <w:t>………………………… (4.4)</w:t>
      </w:r>
    </w:p>
    <w:p w14:paraId="0EF9C0CD" w14:textId="77777777" w:rsidR="00686ED6" w:rsidRPr="00296255" w:rsidRDefault="00686ED6" w:rsidP="00BD3695">
      <w:pPr>
        <w:spacing w:after="0"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The variable cost for the PBAT-only control (T</w:t>
      </w:r>
      <w:r w:rsidRPr="00296255">
        <w:rPr>
          <w:rFonts w:ascii="Times New Roman" w:hAnsi="Times New Roman" w:cs="Times New Roman"/>
          <w:noProof/>
          <w:sz w:val="24"/>
          <w:szCs w:val="24"/>
          <w:vertAlign w:val="subscript"/>
          <w14:ligatures w14:val="standardContextual"/>
        </w:rPr>
        <w:t>0</w:t>
      </w:r>
      <w:r w:rsidRPr="00296255">
        <w:rPr>
          <w:rFonts w:ascii="Times New Roman" w:hAnsi="Times New Roman" w:cs="Times New Roman"/>
          <w:noProof/>
          <w:sz w:val="24"/>
          <w:szCs w:val="24"/>
          <w14:ligatures w14:val="standardContextual"/>
        </w:rPr>
        <w:t xml:space="preserve">) was determined to be ₹291.40/kg, mainly because PBAT is an expensive raw ingredient. A slightly higher variable cost of ₹303.70/kg resulted from the normalized fractions changing the raw material cost structure with the addition of starch and nanoclay in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1</w:t>
      </w:r>
      <w:r w:rsidRPr="00296255">
        <w:rPr>
          <w:rFonts w:ascii="Times New Roman" w:hAnsi="Times New Roman" w:cs="Times New Roman"/>
          <w:noProof/>
          <w:sz w:val="24"/>
          <w:szCs w:val="24"/>
          <w14:ligatures w14:val="standardContextual"/>
        </w:rPr>
        <w:t>. The comparatively higher unit costs of glycerol (₹350/kg) and nanoclay (₹500/kg) were blamed for this increase, offsetting the potential cost savings of starch (₹50/kg).</w:t>
      </w:r>
    </w:p>
    <w:p w14:paraId="1E663DA2" w14:textId="77777777" w:rsidR="00686ED6" w:rsidRPr="00296255" w:rsidRDefault="00686ED6" w:rsidP="00BD3695">
      <w:pPr>
        <w:spacing w:after="0"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The raw material contribution dropped in T</w:t>
      </w:r>
      <w:r w:rsidRPr="00296255">
        <w:rPr>
          <w:rFonts w:ascii="Times New Roman" w:hAnsi="Times New Roman" w:cs="Times New Roman"/>
          <w:noProof/>
          <w:sz w:val="24"/>
          <w:szCs w:val="24"/>
          <w:vertAlign w:val="subscript"/>
          <w14:ligatures w14:val="standardContextual"/>
        </w:rPr>
        <w:t>2</w:t>
      </w:r>
      <w:r w:rsidRPr="00296255">
        <w:rPr>
          <w:rFonts w:ascii="Times New Roman" w:hAnsi="Times New Roman" w:cs="Times New Roman"/>
          <w:noProof/>
          <w:sz w:val="24"/>
          <w:szCs w:val="24"/>
          <w14:ligatures w14:val="standardContextual"/>
        </w:rPr>
        <w:t xml:space="preserve">, where the starch percentage was raised to 10%, bringing the variable cost down to ₹294.12/kg.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3</w:t>
      </w:r>
      <w:r w:rsidRPr="00296255">
        <w:rPr>
          <w:rFonts w:ascii="Times New Roman" w:hAnsi="Times New Roman" w:cs="Times New Roman"/>
          <w:noProof/>
          <w:sz w:val="24"/>
          <w:szCs w:val="24"/>
          <w14:ligatures w14:val="standardContextual"/>
        </w:rPr>
        <w:t>'s additional 15% starch content decreased its reliance on pricey nanoclay fractions and PBAT, resulting in the lowest variable cost of ₹286.15/kg of all treatments. This pattern emphasizes how starch may be used as a cost-effective biopolymer alternative that drastically lowers material costs without compromising the film-forming procedure.</w:t>
      </w:r>
      <w:r w:rsidRPr="00296255">
        <w:rPr>
          <w:rFonts w:ascii="Times New Roman" w:hAnsi="Times New Roman" w:cs="Times New Roman"/>
          <w:sz w:val="24"/>
          <w:szCs w:val="24"/>
        </w:rPr>
        <w:t xml:space="preserve"> </w:t>
      </w:r>
      <w:r w:rsidRPr="00296255">
        <w:rPr>
          <w:rFonts w:ascii="Times New Roman" w:hAnsi="Times New Roman" w:cs="Times New Roman"/>
          <w:noProof/>
          <w:sz w:val="24"/>
          <w:szCs w:val="24"/>
          <w14:ligatures w14:val="standardContextual"/>
        </w:rPr>
        <w:t>The detailed raw material cost contributions for different film formulations are summarized in Table 1.</w:t>
      </w:r>
    </w:p>
    <w:p w14:paraId="54B613DD" w14:textId="31C8014F" w:rsidR="00686ED6" w:rsidRPr="00DE24A3" w:rsidRDefault="00686ED6" w:rsidP="00BD3695">
      <w:pPr>
        <w:spacing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 xml:space="preserve">The variations in variable cost between treatments that have been found are consistent with previous techno-economic analyses of biodegradable films that highlighted the fact that the cost of raw materials accounts for the biggest portion of overall production costs </w:t>
      </w:r>
      <w:sdt>
        <w:sdtPr>
          <w:rPr>
            <w:rFonts w:ascii="Times New Roman" w:hAnsi="Times New Roman" w:cs="Times New Roman"/>
            <w:noProof/>
            <w:color w:val="000000"/>
            <w:sz w:val="24"/>
            <w:szCs w:val="24"/>
            <w14:ligatures w14:val="standardContextual"/>
          </w:rPr>
          <w:tag w:val="MENDELEY_CITATION_v3_eyJjaXRhdGlvbklEIjoiTUVOREVMRVlfQ0lUQVRJT05fYzNlMmFjNmItNGJjYy00Mjk0LWFkMTAtNDg0MThjMmFiZmMzIiwicHJvcGVydGllcyI6eyJub3RlSW5kZXgiOjB9LCJpc0VkaXRlZCI6ZmFsc2UsIm1hbnVhbE92ZXJyaWRlIjp7ImlzTWFudWFsbHlPdmVycmlkZGVuIjpmYWxzZSwiY2l0ZXByb2NUZXh0IjoiKFdlbGxlbnJldXRoZXIgZXQgYWwuLCAyMDIyKSIsIm1hbnVhbE92ZXJyaWRlVGV4dCI6IiJ9LCJjaXRhdGlvbkl0ZW1zIjpbeyJpZCI6IjFhZjBmYWMxLTcxYzktMzIxZC1iMzcyLWRkN2NjYzRiNDQyMyIsIml0ZW1EYXRhIjp7InR5cGUiOiJhcnRpY2xlLWpvdXJuYWwiLCJpZCI6IjFhZjBmYWMxLTcxYzktMzIxZC1iMzcyLWRkN2NjYzRiNDQyMyIsInRpdGxlIjoiQ29zdCBjb21wZXRpdGl2ZW5lc3Mgb2Ygc3VzdGFpbmFibGUgYmlvcGxhc3RpYyBmZWVkc3RvY2tzIOKAkyBBIE1vbnRlIENhcmxvIGFuYWx5c2lzIGZvciBwb2x5bGFjdGljIGFjaWQiLCJhdXRob3IiOlt7ImZhbWlseSI6IldlbGxlbnJldXRoZXIiLCJnaXZlbiI6IkNsYXVkaWEiLCJwYXJzZS1uYW1lcyI6ZmFsc2UsImRyb3BwaW5nLXBhcnRpY2xlIjoiIiwibm9uLWRyb3BwaW5nLXBhcnRpY2xlIjoiIn0seyJmYW1pbHkiOiJXb2xmIiwiZ2l2ZW4iOiJBbmRyw6kiLCJwYXJzZS1uYW1lcyI6ZmFsc2UsImRyb3BwaW5nLXBhcnRpY2xlIjoiIiwibm9uLWRyb3BwaW5nLXBhcnRpY2xlIjoiIn0seyJmYW1pbHkiOiJaYW5kZXIiLCJnaXZlbiI6Ik5pbHMiLCJwYXJzZS1uYW1lcyI6ZmFsc2UsImRyb3BwaW5nLXBhcnRpY2xlIjoiIiwibm9uLWRyb3BwaW5nLXBhcnRpY2xlIjoiIn1dLCJjb250YWluZXItdGl0bGUiOiJDbGVhbmVyIEVuZ2luZWVyaW5nIGFuZCBUZWNobm9sb2d5IiwiY29udGFpbmVyLXRpdGxlLXNob3J0IjoiQ2xlYW4gRW5nIFRlY2hub2wiLCJET0kiOiIxMC4xMDE2L2ouY2xldC4yMDIyLjEwMDQxMSIsIklTU04iOiIyNjY2NzkwOCIsImlzc3VlZCI6eyJkYXRlLXBhcnRzIjpbWzIwMjIsMl1dfSwicGFnZSI6IjEwMDQxMSIsInZvbHVtZSI6IjYifSwiaXNUZW1wb3JhcnkiOmZhbHNlfV19"/>
          <w:id w:val="-1999171558"/>
          <w:placeholder>
            <w:docPart w:val="C382101AD8A04DC78F376E8ADBC08A64"/>
          </w:placeholder>
        </w:sdtPr>
        <w:sdtEndPr/>
        <w:sdtContent>
          <w:r w:rsidR="00B32892" w:rsidRPr="00296255">
            <w:rPr>
              <w:rFonts w:ascii="Times New Roman" w:hAnsi="Times New Roman" w:cs="Times New Roman"/>
              <w:noProof/>
              <w:color w:val="000000"/>
              <w:sz w:val="24"/>
              <w:szCs w:val="24"/>
              <w14:ligatures w14:val="standardContextual"/>
            </w:rPr>
            <w:t>(Wellenreuther et al., 2022)</w:t>
          </w:r>
        </w:sdtContent>
      </w:sdt>
      <w:r w:rsidRPr="00296255">
        <w:rPr>
          <w:rFonts w:ascii="Times New Roman" w:hAnsi="Times New Roman" w:cs="Times New Roman"/>
          <w:noProof/>
          <w:sz w:val="24"/>
          <w:szCs w:val="24"/>
          <w14:ligatures w14:val="standardContextual"/>
        </w:rPr>
        <w:t xml:space="preserve">. Although the addition of functional additives (such as plasticizers or nanoclays) frequently raises processing costs, studies by </w:t>
      </w:r>
      <w:sdt>
        <w:sdtPr>
          <w:rPr>
            <w:rFonts w:ascii="Times New Roman" w:hAnsi="Times New Roman" w:cs="Times New Roman"/>
            <w:noProof/>
            <w:color w:val="000000"/>
            <w:sz w:val="24"/>
            <w:szCs w:val="24"/>
            <w14:ligatures w14:val="standardContextual"/>
          </w:rPr>
          <w:tag w:val="MENDELEY_CITATION_v3_eyJjaXRhdGlvbklEIjoiTUVOREVMRVlfQ0lUQVRJT05fMGUwODc0ODItNTAwMS00ZGMwLThlYzQtMTQ4OTcyZDkzM2QwIiwicHJvcGVydGllcyI6eyJub3RlSW5kZXgiOjB9LCJpc0VkaXRlZCI6ZmFsc2UsIm1hbnVhbE92ZXJyaWRlIjp7ImlzTWFudWFsbHlPdmVycmlkZGVuIjp0cnVlLCJjaXRlcHJvY1RleHQiOiIoU2luZ2ggZXQgYWwuLCAyMDI0KSIsIm1hbnVhbE92ZXJyaWRlVGV4dCI6IlNpbmdoIGV0IGFsLiwgKDIwMjQpIn0sImNpdGF0aW9uSXRlbXMiOlt7ImlkIjoiOGQyNzc4ODYtZGU1MC0zN2RkLWE1NzAtMTcxYTg5ZDczMDUxIiwiaXRlbURhdGEiOnsidHlwZSI6ImFydGljbGUtam91cm5hbCIsImlkIjoiOGQyNzc4ODYtZGU1MC0zN2RkLWE1NzAtMTcxYTg5ZDczMDUxIiwidGl0bGUiOiJVbnZlaWxpbmcgdGhlIHBvdGVudGlhbCBvZiBzdGFyY2gtYmxlbmRlZCBiaW9kZWdyYWRhYmxlIHBvbHltZXJzIGZvciBzdWJzdGFudGlhbGl6aW5nIHRoZSBlY28tZnJpZW5kbHkgaW5ub3ZhdGlvbnMiLCJhdXRob3IiOlt7ImZhbWlseSI6IlNpbmdoIiwiZ2l2ZW4iOiJQb29ybmltYSIsInBhcnNlLW5hbWVzIjpmYWxzZSwiZHJvcHBpbmctcGFydGljbGUiOiIiLCJub24tZHJvcHBpbmctcGFydGljbGUiOiIifSx7ImZhbWlseSI6IlBhbmRleSIsImdpdmVuIjoiVmluYXkgS3VtYXIiLCJwYXJzZS1uYW1lcyI6ZmFsc2UsImRyb3BwaW5nLXBhcnRpY2xlIjoiIiwibm9uLWRyb3BwaW5nLXBhcnRpY2xlIjoiIn0seyJmYW1pbHkiOiJTaW5naCIsImdpdmVuIjoiUmFodWwiLCJwYXJzZS1uYW1lcyI6ZmFsc2UsImRyb3BwaW5nLXBhcnRpY2xlIjoiIiwibm9uLWRyb3BwaW5nLXBhcnRpY2xlIjoiIn0seyJmYW1pbHkiOiJTaW5naCIsImdpdmVuIjoiS3VuYWwiLCJwYXJzZS1uYW1lcyI6ZmFsc2UsImRyb3BwaW5nLXBhcnRpY2xlIjoiIiwibm9uLWRyb3BwaW5nLXBhcnRpY2xlIjoiIn0seyJmYW1pbHkiOiJEYXNoIiwiZ2l2ZW4iOiJLc2hpcm9kIEt1bWFyIiwicGFyc2UtbmFtZXMiOmZhbHNlLCJkcm9wcGluZy1wYXJ0aWNsZSI6IiIsIm5vbi1kcm9wcGluZy1wYXJ0aWNsZSI6IiJ9LHsiZmFtaWx5IjoiTWFsaWsiLCJnaXZlbiI6IlN1bWlyYSIsInBhcnNlLW5hbWVzIjpmYWxzZSwiZHJvcHBpbmctcGFydGljbGUiOiIiLCJub24tZHJvcHBpbmctcGFydGljbGUiOiIifV0sImNvbnRhaW5lci10aXRsZSI6IkpvdXJuYWwgb2YgQWdyaWN1bHR1cmUgYW5kIEZvb2QgUmVzZWFyY2giLCJjb250YWluZXItdGl0bGUtc2hvcnQiOiJKIEFncmljIEZvb2QgUmVzIiwiRE9JIjoiMTAuMTAxNi9qLmphZnIuMjAyNC4xMDEwNjUiLCJJU1NOIjoiMjY2NjE1NDMiLCJpc3N1ZWQiOnsiZGF0ZS1wYXJ0cyI6W1syMDI0LDNdXX0sInBhZ2UiOiIxMDEwNjUiLCJ2b2x1bWUiOiIxNSJ9LCJpc1RlbXBvcmFyeSI6ZmFsc2V9XX0="/>
          <w:id w:val="-1042664349"/>
          <w:placeholder>
            <w:docPart w:val="C382101AD8A04DC78F376E8ADBC08A64"/>
          </w:placeholder>
        </w:sdtPr>
        <w:sdtEndPr/>
        <w:sdtContent>
          <w:r w:rsidR="00B32892" w:rsidRPr="00296255">
            <w:rPr>
              <w:rFonts w:ascii="Times New Roman" w:hAnsi="Times New Roman" w:cs="Times New Roman"/>
              <w:noProof/>
              <w:color w:val="000000"/>
              <w:sz w:val="24"/>
              <w:szCs w:val="24"/>
              <w14:ligatures w14:val="standardContextual"/>
            </w:rPr>
            <w:t>Singh et al., (2024)</w:t>
          </w:r>
        </w:sdtContent>
      </w:sdt>
      <w:r w:rsidRPr="00296255">
        <w:rPr>
          <w:rFonts w:ascii="Times New Roman" w:hAnsi="Times New Roman" w:cs="Times New Roman"/>
          <w:noProof/>
          <w:sz w:val="24"/>
          <w:szCs w:val="24"/>
          <w14:ligatures w14:val="standardContextual"/>
        </w:rPr>
        <w:t xml:space="preserve"> also showed that combining starch with polyesters can increase cost-efficiency by lowering reliance on petroleum-derived multimers.</w:t>
      </w:r>
    </w:p>
    <w:p w14:paraId="6824DF32" w14:textId="77777777" w:rsidR="00686ED6" w:rsidRPr="00296255" w:rsidRDefault="00686ED6" w:rsidP="00BD3695">
      <w:pPr>
        <w:spacing w:after="0" w:line="480" w:lineRule="auto"/>
        <w:rPr>
          <w:rFonts w:ascii="Times New Roman" w:hAnsi="Times New Roman" w:cs="Times New Roman"/>
          <w:b/>
          <w:bCs/>
          <w:noProof/>
          <w:sz w:val="24"/>
          <w:szCs w:val="24"/>
          <w14:ligatures w14:val="standardContextual"/>
        </w:rPr>
      </w:pPr>
      <w:r w:rsidRPr="00296255">
        <w:rPr>
          <w:rFonts w:ascii="Times New Roman" w:hAnsi="Times New Roman" w:cs="Times New Roman"/>
          <w:b/>
          <w:bCs/>
          <w:noProof/>
          <w:sz w:val="24"/>
          <w:szCs w:val="24"/>
          <w14:ligatures w14:val="standardContextual"/>
        </w:rPr>
        <w:t xml:space="preserve">Table 1. </w:t>
      </w:r>
      <w:r w:rsidRPr="00BD3695">
        <w:rPr>
          <w:rFonts w:ascii="Times New Roman" w:hAnsi="Times New Roman" w:cs="Times New Roman"/>
          <w:noProof/>
          <w:sz w:val="24"/>
          <w:szCs w:val="24"/>
          <w14:ligatures w14:val="standardContextual"/>
        </w:rPr>
        <w:t>Raw material cost contribution for different film formulations (₹/kg)</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111"/>
      </w:tblGrid>
      <w:tr w:rsidR="00686ED6" w:rsidRPr="00296255" w14:paraId="17E2E76E" w14:textId="77777777" w:rsidTr="00BD3695">
        <w:trPr>
          <w:jc w:val="center"/>
        </w:trPr>
        <w:tc>
          <w:tcPr>
            <w:tcW w:w="650" w:type="pct"/>
            <w:tcBorders>
              <w:top w:val="single" w:sz="4" w:space="0" w:color="auto"/>
              <w:left w:val="nil"/>
              <w:bottom w:val="single" w:sz="4" w:space="0" w:color="auto"/>
              <w:right w:val="nil"/>
            </w:tcBorders>
            <w:hideMark/>
          </w:tcPr>
          <w:p w14:paraId="6993802A" w14:textId="77777777" w:rsidR="00686ED6" w:rsidRPr="00296255" w:rsidRDefault="00686ED6" w:rsidP="00BD3695">
            <w:pPr>
              <w:spacing w:line="480" w:lineRule="auto"/>
              <w:jc w:val="center"/>
              <w:rPr>
                <w:rFonts w:ascii="Times New Roman" w:hAnsi="Times New Roman" w:cs="Times New Roman"/>
                <w:b/>
                <w:bCs/>
                <w:noProof/>
                <w:sz w:val="24"/>
                <w:szCs w:val="24"/>
                <w14:ligatures w14:val="standardContextual"/>
              </w:rPr>
            </w:pPr>
            <w:r w:rsidRPr="00296255">
              <w:rPr>
                <w:rFonts w:ascii="Times New Roman" w:hAnsi="Times New Roman" w:cs="Times New Roman"/>
                <w:b/>
                <w:bCs/>
                <w:noProof/>
                <w:sz w:val="24"/>
                <w:szCs w:val="24"/>
                <w14:ligatures w14:val="standardContextual"/>
              </w:rPr>
              <w:t>Treatment</w:t>
            </w:r>
          </w:p>
        </w:tc>
        <w:tc>
          <w:tcPr>
            <w:tcW w:w="549" w:type="pct"/>
            <w:tcBorders>
              <w:top w:val="single" w:sz="4" w:space="0" w:color="auto"/>
              <w:left w:val="nil"/>
              <w:bottom w:val="single" w:sz="4" w:space="0" w:color="auto"/>
              <w:right w:val="nil"/>
            </w:tcBorders>
            <w:hideMark/>
          </w:tcPr>
          <w:p w14:paraId="5AA8C6E3" w14:textId="77777777" w:rsidR="00686ED6" w:rsidRPr="00296255" w:rsidRDefault="00686ED6" w:rsidP="00BD3695">
            <w:pPr>
              <w:spacing w:line="480" w:lineRule="auto"/>
              <w:jc w:val="center"/>
              <w:rPr>
                <w:rFonts w:ascii="Times New Roman" w:hAnsi="Times New Roman" w:cs="Times New Roman"/>
                <w:b/>
                <w:bCs/>
                <w:noProof/>
                <w:sz w:val="24"/>
                <w:szCs w:val="24"/>
                <w14:ligatures w14:val="standardContextual"/>
              </w:rPr>
            </w:pPr>
            <w:r w:rsidRPr="00296255">
              <w:rPr>
                <w:rFonts w:ascii="Times New Roman" w:hAnsi="Times New Roman" w:cs="Times New Roman"/>
                <w:b/>
                <w:bCs/>
                <w:noProof/>
                <w:sz w:val="24"/>
                <w:szCs w:val="24"/>
                <w14:ligatures w14:val="standardContextual"/>
              </w:rPr>
              <w:t>Raw (₹/kg)</w:t>
            </w:r>
          </w:p>
        </w:tc>
      </w:tr>
      <w:tr w:rsidR="00686ED6" w:rsidRPr="00296255" w14:paraId="336B929A" w14:textId="77777777" w:rsidTr="00BD3695">
        <w:trPr>
          <w:jc w:val="center"/>
        </w:trPr>
        <w:tc>
          <w:tcPr>
            <w:tcW w:w="650" w:type="pct"/>
            <w:tcBorders>
              <w:top w:val="single" w:sz="4" w:space="0" w:color="auto"/>
              <w:left w:val="nil"/>
              <w:bottom w:val="nil"/>
              <w:right w:val="nil"/>
            </w:tcBorders>
            <w:hideMark/>
          </w:tcPr>
          <w:p w14:paraId="76D52F30"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lastRenderedPageBreak/>
              <w:t>T</w:t>
            </w:r>
            <w:r w:rsidRPr="00296255">
              <w:rPr>
                <w:rFonts w:ascii="Times New Roman" w:hAnsi="Times New Roman" w:cs="Times New Roman"/>
                <w:noProof/>
                <w:sz w:val="24"/>
                <w:szCs w:val="24"/>
                <w:vertAlign w:val="subscript"/>
                <w14:ligatures w14:val="standardContextual"/>
              </w:rPr>
              <w:t>0</w:t>
            </w:r>
          </w:p>
        </w:tc>
        <w:tc>
          <w:tcPr>
            <w:tcW w:w="549" w:type="pct"/>
            <w:tcBorders>
              <w:top w:val="single" w:sz="4" w:space="0" w:color="auto"/>
              <w:left w:val="nil"/>
              <w:bottom w:val="nil"/>
              <w:right w:val="nil"/>
            </w:tcBorders>
            <w:hideMark/>
          </w:tcPr>
          <w:p w14:paraId="6B804889"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280.00</w:t>
            </w:r>
          </w:p>
        </w:tc>
      </w:tr>
      <w:tr w:rsidR="00686ED6" w:rsidRPr="00296255" w14:paraId="1068CDDF" w14:textId="77777777" w:rsidTr="00BD3695">
        <w:trPr>
          <w:jc w:val="center"/>
        </w:trPr>
        <w:tc>
          <w:tcPr>
            <w:tcW w:w="650" w:type="pct"/>
            <w:tcBorders>
              <w:top w:val="nil"/>
              <w:left w:val="nil"/>
              <w:bottom w:val="nil"/>
              <w:right w:val="nil"/>
            </w:tcBorders>
            <w:hideMark/>
          </w:tcPr>
          <w:p w14:paraId="40E3E7E6"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1</w:t>
            </w:r>
          </w:p>
        </w:tc>
        <w:tc>
          <w:tcPr>
            <w:tcW w:w="549" w:type="pct"/>
            <w:tcBorders>
              <w:top w:val="nil"/>
              <w:left w:val="nil"/>
              <w:bottom w:val="nil"/>
              <w:right w:val="nil"/>
            </w:tcBorders>
            <w:hideMark/>
          </w:tcPr>
          <w:p w14:paraId="0244471D"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292.12</w:t>
            </w:r>
          </w:p>
        </w:tc>
      </w:tr>
      <w:tr w:rsidR="00686ED6" w:rsidRPr="00296255" w14:paraId="5CC10637" w14:textId="77777777" w:rsidTr="00BD3695">
        <w:trPr>
          <w:jc w:val="center"/>
        </w:trPr>
        <w:tc>
          <w:tcPr>
            <w:tcW w:w="650" w:type="pct"/>
            <w:tcBorders>
              <w:top w:val="nil"/>
              <w:left w:val="nil"/>
              <w:bottom w:val="nil"/>
              <w:right w:val="nil"/>
            </w:tcBorders>
            <w:hideMark/>
          </w:tcPr>
          <w:p w14:paraId="1FAEAF8B"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T</w:t>
            </w:r>
            <w:r w:rsidRPr="00296255">
              <w:rPr>
                <w:rFonts w:ascii="Times New Roman" w:hAnsi="Times New Roman" w:cs="Times New Roman"/>
                <w:noProof/>
                <w:sz w:val="24"/>
                <w:szCs w:val="24"/>
                <w:vertAlign w:val="subscript"/>
                <w14:ligatures w14:val="standardContextual"/>
              </w:rPr>
              <w:t>2</w:t>
            </w:r>
          </w:p>
        </w:tc>
        <w:tc>
          <w:tcPr>
            <w:tcW w:w="549" w:type="pct"/>
            <w:tcBorders>
              <w:top w:val="nil"/>
              <w:left w:val="nil"/>
              <w:bottom w:val="nil"/>
              <w:right w:val="nil"/>
            </w:tcBorders>
            <w:hideMark/>
          </w:tcPr>
          <w:p w14:paraId="0B913593"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283.67</w:t>
            </w:r>
          </w:p>
        </w:tc>
      </w:tr>
      <w:tr w:rsidR="00686ED6" w:rsidRPr="00296255" w14:paraId="58502B0D" w14:textId="77777777" w:rsidTr="00BD3695">
        <w:trPr>
          <w:jc w:val="center"/>
        </w:trPr>
        <w:tc>
          <w:tcPr>
            <w:tcW w:w="650" w:type="pct"/>
            <w:tcBorders>
              <w:top w:val="nil"/>
              <w:left w:val="nil"/>
              <w:bottom w:val="single" w:sz="4" w:space="0" w:color="auto"/>
              <w:right w:val="nil"/>
            </w:tcBorders>
            <w:hideMark/>
          </w:tcPr>
          <w:p w14:paraId="7418668F"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3</w:t>
            </w:r>
          </w:p>
        </w:tc>
        <w:tc>
          <w:tcPr>
            <w:tcW w:w="549" w:type="pct"/>
            <w:tcBorders>
              <w:top w:val="nil"/>
              <w:left w:val="nil"/>
              <w:bottom w:val="single" w:sz="4" w:space="0" w:color="auto"/>
              <w:right w:val="nil"/>
            </w:tcBorders>
            <w:hideMark/>
          </w:tcPr>
          <w:p w14:paraId="67238272"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274.83</w:t>
            </w:r>
          </w:p>
        </w:tc>
      </w:tr>
    </w:tbl>
    <w:p w14:paraId="1690712F" w14:textId="77777777" w:rsidR="00686ED6" w:rsidRPr="00296255" w:rsidRDefault="00686ED6" w:rsidP="00BD3695">
      <w:pPr>
        <w:spacing w:before="240" w:after="0" w:line="480" w:lineRule="auto"/>
        <w:jc w:val="both"/>
        <w:rPr>
          <w:rFonts w:ascii="Times New Roman" w:hAnsi="Times New Roman" w:cs="Times New Roman"/>
          <w:b/>
          <w:bCs/>
          <w:iCs/>
          <w:noProof/>
          <w:sz w:val="24"/>
          <w:szCs w:val="24"/>
          <w14:ligatures w14:val="standardContextual"/>
        </w:rPr>
      </w:pPr>
      <w:r w:rsidRPr="00296255">
        <w:rPr>
          <w:rFonts w:ascii="Times New Roman" w:hAnsi="Times New Roman" w:cs="Times New Roman"/>
          <w:b/>
          <w:bCs/>
          <w:iCs/>
          <w:noProof/>
          <w:sz w:val="24"/>
          <w:szCs w:val="24"/>
          <w14:ligatures w14:val="standardContextual"/>
        </w:rPr>
        <w:t>Total Cost per Kilogram of Film</w:t>
      </w:r>
    </w:p>
    <w:p w14:paraId="3E52DB49" w14:textId="77777777" w:rsidR="00686ED6" w:rsidRPr="00296255" w:rsidRDefault="00686ED6" w:rsidP="00BD3695">
      <w:pPr>
        <w:spacing w:after="0" w:line="480" w:lineRule="auto"/>
        <w:jc w:val="both"/>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The total cost per kilogram of the biodegradable films was estimated by summing the variable cost (</w:t>
      </w:r>
      <w:r w:rsidRPr="00296255">
        <w:rPr>
          <w:rFonts w:ascii="Cambria Math" w:hAnsi="Cambria Math" w:cs="Cambria Math"/>
          <w:i/>
          <w:noProof/>
          <w:sz w:val="24"/>
          <w:szCs w:val="24"/>
          <w14:ligatures w14:val="standardContextual"/>
        </w:rPr>
        <w:t>𝐶</w:t>
      </w:r>
      <w:r w:rsidRPr="00296255">
        <w:rPr>
          <w:rFonts w:ascii="Times New Roman" w:hAnsi="Times New Roman" w:cs="Times New Roman"/>
          <w:i/>
          <w:noProof/>
          <w:sz w:val="24"/>
          <w:szCs w:val="24"/>
          <w:vertAlign w:val="subscript"/>
          <w14:ligatures w14:val="standardContextual"/>
        </w:rPr>
        <w:t>var</w:t>
      </w:r>
      <w:r w:rsidRPr="00296255">
        <w:rPr>
          <w:rFonts w:ascii="Times New Roman" w:hAnsi="Times New Roman" w:cs="Times New Roman"/>
          <w:iCs/>
          <w:noProof/>
          <w:sz w:val="24"/>
          <w:szCs w:val="24"/>
          <w14:ligatures w14:val="standardContextual"/>
        </w:rPr>
        <w:t>) and the fixed cost per kilogram (</w:t>
      </w:r>
      <w:r w:rsidRPr="00296255">
        <w:rPr>
          <w:rFonts w:ascii="Cambria Math" w:hAnsi="Cambria Math" w:cs="Cambria Math"/>
          <w:i/>
          <w:noProof/>
          <w:sz w:val="24"/>
          <w:szCs w:val="24"/>
          <w14:ligatures w14:val="standardContextual"/>
        </w:rPr>
        <w:t>𝐶</w:t>
      </w:r>
      <w:r w:rsidRPr="00296255">
        <w:rPr>
          <w:rFonts w:ascii="Times New Roman" w:hAnsi="Times New Roman" w:cs="Times New Roman"/>
          <w:i/>
          <w:noProof/>
          <w:sz w:val="24"/>
          <w:szCs w:val="24"/>
          <w:vertAlign w:val="subscript"/>
          <w14:ligatures w14:val="standardContextual"/>
        </w:rPr>
        <w:t>fix/kg</w:t>
      </w:r>
      <w:r w:rsidRPr="00296255">
        <w:rPr>
          <w:rFonts w:ascii="Times New Roman" w:hAnsi="Times New Roman" w:cs="Times New Roman"/>
          <w:iCs/>
          <w:noProof/>
          <w:sz w:val="24"/>
          <w:szCs w:val="24"/>
          <w14:ligatures w14:val="standardContextual"/>
        </w:rPr>
        <w:t>), as shown in equation (4.5).</w:t>
      </w:r>
    </w:p>
    <w:p w14:paraId="0BB356BD" w14:textId="77777777" w:rsidR="00686ED6" w:rsidRPr="00296255" w:rsidRDefault="00686ED6" w:rsidP="00BD3695">
      <w:pPr>
        <w:spacing w:line="480" w:lineRule="auto"/>
        <w:jc w:val="both"/>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w:t>
      </w:r>
      <m:oMath>
        <m:sSub>
          <m:sSubPr>
            <m:ctrlPr>
              <w:rPr>
                <w:rFonts w:ascii="Cambria Math" w:hAnsi="Cambria Math" w:cs="Times New Roman"/>
                <w:i/>
                <w:iCs/>
                <w:noProof/>
                <w:sz w:val="24"/>
                <w:szCs w:val="24"/>
                <w14:ligatures w14:val="standardContextual"/>
              </w:rPr>
            </m:ctrlPr>
          </m:sSubPr>
          <m:e>
            <m:r>
              <w:rPr>
                <w:rFonts w:ascii="Cambria Math" w:hAnsi="Cambria Math" w:cs="Times New Roman"/>
                <w:noProof/>
                <w:sz w:val="24"/>
                <w:szCs w:val="24"/>
                <w14:ligatures w14:val="standardContextual"/>
              </w:rPr>
              <m:t>C</m:t>
            </m:r>
          </m:e>
          <m:sub>
            <m:r>
              <m:rPr>
                <m:sty m:val="p"/>
              </m:rPr>
              <w:rPr>
                <w:rFonts w:ascii="Cambria Math" w:hAnsi="Cambria Math" w:cs="Times New Roman"/>
                <w:noProof/>
                <w:sz w:val="24"/>
                <w:szCs w:val="24"/>
                <w:vertAlign w:val="subscript"/>
                <w14:ligatures w14:val="standardContextual"/>
              </w:rPr>
              <m:t xml:space="preserve">total </m:t>
            </m:r>
          </m:sub>
        </m:sSub>
        <m:r>
          <w:rPr>
            <w:rFonts w:ascii="Cambria Math" w:hAnsi="Cambria Math" w:cs="Times New Roman"/>
            <w:noProof/>
            <w:sz w:val="24"/>
            <w:szCs w:val="24"/>
            <w14:ligatures w14:val="standardContextual"/>
          </w:rPr>
          <m:t>=</m:t>
        </m:r>
        <m:sSub>
          <m:sSubPr>
            <m:ctrlPr>
              <w:rPr>
                <w:rFonts w:ascii="Cambria Math" w:hAnsi="Cambria Math" w:cs="Times New Roman"/>
                <w:i/>
                <w:iCs/>
                <w:noProof/>
                <w:sz w:val="24"/>
                <w:szCs w:val="24"/>
                <w14:ligatures w14:val="standardContextual"/>
              </w:rPr>
            </m:ctrlPr>
          </m:sSubPr>
          <m:e>
            <m:r>
              <w:rPr>
                <w:rFonts w:ascii="Cambria Math" w:hAnsi="Cambria Math" w:cs="Times New Roman"/>
                <w:noProof/>
                <w:sz w:val="24"/>
                <w:szCs w:val="24"/>
                <w14:ligatures w14:val="standardContextual"/>
              </w:rPr>
              <m:t>C</m:t>
            </m:r>
          </m:e>
          <m:sub>
            <m:r>
              <m:rPr>
                <m:sty m:val="p"/>
              </m:rPr>
              <w:rPr>
                <w:rFonts w:ascii="Cambria Math" w:hAnsi="Cambria Math" w:cs="Times New Roman"/>
                <w:noProof/>
                <w:sz w:val="24"/>
                <w:szCs w:val="24"/>
                <w:vertAlign w:val="subscript"/>
                <w14:ligatures w14:val="standardContextual"/>
              </w:rPr>
              <m:t xml:space="preserve">var </m:t>
            </m:r>
          </m:sub>
        </m:sSub>
        <m:r>
          <w:rPr>
            <w:rFonts w:ascii="Cambria Math" w:hAnsi="Cambria Math" w:cs="Times New Roman"/>
            <w:noProof/>
            <w:sz w:val="24"/>
            <w:szCs w:val="24"/>
            <w14:ligatures w14:val="standardContextual"/>
          </w:rPr>
          <m:t>+</m:t>
        </m:r>
        <m:sSub>
          <m:sSubPr>
            <m:ctrlPr>
              <w:rPr>
                <w:rFonts w:ascii="Cambria Math" w:hAnsi="Cambria Math" w:cs="Times New Roman"/>
                <w:i/>
                <w:iCs/>
                <w:noProof/>
                <w:sz w:val="24"/>
                <w:szCs w:val="24"/>
                <w14:ligatures w14:val="standardContextual"/>
              </w:rPr>
            </m:ctrlPr>
          </m:sSubPr>
          <m:e>
            <m:r>
              <w:rPr>
                <w:rFonts w:ascii="Cambria Math" w:hAnsi="Cambria Math" w:cs="Times New Roman"/>
                <w:noProof/>
                <w:sz w:val="24"/>
                <w:szCs w:val="24"/>
                <w14:ligatures w14:val="standardContextual"/>
              </w:rPr>
              <m:t>C</m:t>
            </m:r>
          </m:e>
          <m:sub>
            <m:r>
              <m:rPr>
                <m:sty m:val="p"/>
              </m:rPr>
              <w:rPr>
                <w:rFonts w:ascii="Cambria Math" w:hAnsi="Cambria Math" w:cs="Times New Roman"/>
                <w:noProof/>
                <w:sz w:val="24"/>
                <w:szCs w:val="24"/>
                <w:vertAlign w:val="subscript"/>
                <w14:ligatures w14:val="standardContextual"/>
              </w:rPr>
              <m:t>fix/kg</m:t>
            </m:r>
          </m:sub>
        </m:sSub>
      </m:oMath>
      <w:r w:rsidRPr="00296255">
        <w:rPr>
          <w:rFonts w:ascii="Times New Roman" w:hAnsi="Times New Roman" w:cs="Times New Roman"/>
          <w:iCs/>
          <w:noProof/>
          <w:sz w:val="24"/>
          <w:szCs w:val="24"/>
          <w14:ligatures w14:val="standardContextual"/>
        </w:rPr>
        <w:t xml:space="preserve"> …………………………………………. (4.5) </w:t>
      </w:r>
    </w:p>
    <w:p w14:paraId="7A13549E" w14:textId="77777777" w:rsidR="00686ED6" w:rsidRPr="00296255" w:rsidRDefault="00686ED6" w:rsidP="00BD3695">
      <w:pPr>
        <w:spacing w:line="480" w:lineRule="auto"/>
        <w:jc w:val="both"/>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 xml:space="preserve">The cost distribution across various treatments is summarized in Table 2, which displays the calculated values. According to the findings, the treatment formulation had an impact on the overall cost of biodegradable films. At ₹360.62/kg,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1</w:t>
      </w:r>
      <w:r w:rsidRPr="00296255">
        <w:rPr>
          <w:rFonts w:ascii="Times New Roman" w:hAnsi="Times New Roman" w:cs="Times New Roman"/>
          <w:iCs/>
          <w:noProof/>
          <w:sz w:val="24"/>
          <w:szCs w:val="24"/>
          <w14:ligatures w14:val="standardContextual"/>
        </w:rPr>
        <w:t xml:space="preserve"> had the highest cost, followed by </w:t>
      </w:r>
      <w:r w:rsidRPr="00296255">
        <w:rPr>
          <w:rFonts w:ascii="Times New Roman" w:hAnsi="Times New Roman" w:cs="Times New Roman"/>
          <w:noProof/>
          <w:sz w:val="24"/>
          <w:szCs w:val="24"/>
          <w14:ligatures w14:val="standardContextual"/>
        </w:rPr>
        <w:t>T</w:t>
      </w:r>
      <w:r w:rsidRPr="00296255">
        <w:rPr>
          <w:rFonts w:ascii="Times New Roman" w:hAnsi="Times New Roman" w:cs="Times New Roman"/>
          <w:noProof/>
          <w:sz w:val="24"/>
          <w:szCs w:val="24"/>
          <w:vertAlign w:val="subscript"/>
          <w14:ligatures w14:val="standardContextual"/>
        </w:rPr>
        <w:t>2</w:t>
      </w:r>
      <w:r w:rsidRPr="00296255">
        <w:rPr>
          <w:rFonts w:ascii="Times New Roman" w:hAnsi="Times New Roman" w:cs="Times New Roman"/>
          <w:iCs/>
          <w:noProof/>
          <w:sz w:val="24"/>
          <w:szCs w:val="24"/>
          <w14:ligatures w14:val="standardContextual"/>
        </w:rPr>
        <w:t xml:space="preserve"> (₹351.04/kg), </w:t>
      </w:r>
      <w:r w:rsidRPr="00296255">
        <w:rPr>
          <w:rFonts w:ascii="Times New Roman" w:hAnsi="Times New Roman" w:cs="Times New Roman"/>
          <w:noProof/>
          <w:sz w:val="24"/>
          <w:szCs w:val="24"/>
          <w14:ligatures w14:val="standardContextual"/>
        </w:rPr>
        <w:t>T</w:t>
      </w:r>
      <w:r w:rsidRPr="00296255">
        <w:rPr>
          <w:rFonts w:ascii="Times New Roman" w:hAnsi="Times New Roman" w:cs="Times New Roman"/>
          <w:noProof/>
          <w:sz w:val="24"/>
          <w:szCs w:val="24"/>
          <w:vertAlign w:val="subscript"/>
          <w14:ligatures w14:val="standardContextual"/>
        </w:rPr>
        <w:t>0</w:t>
      </w:r>
      <w:r w:rsidRPr="00296255">
        <w:rPr>
          <w:rFonts w:ascii="Times New Roman" w:hAnsi="Times New Roman" w:cs="Times New Roman"/>
          <w:iCs/>
          <w:noProof/>
          <w:sz w:val="24"/>
          <w:szCs w:val="24"/>
          <w14:ligatures w14:val="standardContextual"/>
        </w:rPr>
        <w:t xml:space="preserve"> (₹348.32/kg), and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3</w:t>
      </w:r>
      <w:r w:rsidRPr="00296255">
        <w:rPr>
          <w:rFonts w:ascii="Times New Roman" w:hAnsi="Times New Roman" w:cs="Times New Roman"/>
          <w:iCs/>
          <w:noProof/>
          <w:sz w:val="24"/>
          <w:szCs w:val="24"/>
          <w14:ligatures w14:val="standardContextual"/>
        </w:rPr>
        <w:t xml:space="preserve"> (₹343.07/kg), which had the lowest. Variations in raw material composition were the main cause of the observed discrepancies. Because treatment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1</w:t>
      </w:r>
      <w:r w:rsidRPr="00296255">
        <w:rPr>
          <w:rFonts w:ascii="Times New Roman" w:hAnsi="Times New Roman" w:cs="Times New Roman"/>
          <w:iCs/>
          <w:noProof/>
          <w:sz w:val="24"/>
          <w:szCs w:val="24"/>
          <w14:ligatures w14:val="standardContextual"/>
        </w:rPr>
        <w:t xml:space="preserve"> included a larger percentage of PBAT, the most costly ingredient in the formulation (₹280/kg), coupled with 5% starch, 3% nanoclay, and glycerol, the costs were higher. However, because starch (₹50/kg) was used to partially replace PBAT,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3</w:t>
      </w:r>
      <w:r w:rsidRPr="00296255">
        <w:rPr>
          <w:rFonts w:ascii="Times New Roman" w:hAnsi="Times New Roman" w:cs="Times New Roman"/>
          <w:iCs/>
          <w:noProof/>
          <w:sz w:val="24"/>
          <w:szCs w:val="24"/>
          <w14:ligatures w14:val="standardContextual"/>
        </w:rPr>
        <w:t>, which had 15% starch, had the lowest cost when compared to the other options.</w:t>
      </w:r>
    </w:p>
    <w:p w14:paraId="52A227EF" w14:textId="25C8BB75" w:rsidR="00686ED6" w:rsidRPr="00296255" w:rsidRDefault="00686ED6" w:rsidP="00BD3695">
      <w:pPr>
        <w:spacing w:after="0" w:line="480" w:lineRule="auto"/>
        <w:jc w:val="both"/>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 xml:space="preserve">These results showed that adding more starch at greater concentrations helped to reduce the cost of making the biodegradable films. In a similar vein, </w:t>
      </w:r>
      <w:sdt>
        <w:sdtPr>
          <w:rPr>
            <w:rFonts w:ascii="Times New Roman" w:hAnsi="Times New Roman" w:cs="Times New Roman"/>
            <w:iCs/>
            <w:noProof/>
            <w:color w:val="000000"/>
            <w:sz w:val="24"/>
            <w:szCs w:val="24"/>
            <w14:ligatures w14:val="standardContextual"/>
          </w:rPr>
          <w:tag w:val="MENDELEY_CITATION_v3_eyJjaXRhdGlvbklEIjoiTUVOREVMRVlfQ0lUQVRJT05fYWNkN2VlODMtYjYyOC00MDE4LWE3MDctNTcwY2Q3MDM3NjUwIiwicHJvcGVydGllcyI6eyJub3RlSW5kZXgiOjB9LCJpc0VkaXRlZCI6ZmFsc2UsIm1hbnVhbE92ZXJyaWRlIjp7ImlzTWFudWFsbHlPdmVycmlkZGVuIjp0cnVlLCJjaXRlcHJvY1RleHQiOiIoS2FybndhbCBldCBhbC4sIDIwMjUpIiwibWFudWFsT3ZlcnJpZGVUZXh0IjoiS2FybndhbCBldCBhbC4sICgyMDI1KSJ9LCJjaXRhdGlvbkl0ZW1zIjpbeyJpZCI6IjZmZWZkNjIyLTAyODEtM2UxMi04M2RiLWU2MGQ0OGRkNjA1NCIsIml0ZW1EYXRhIjp7InR5cGUiOiJhcnRpY2xlLWpvdXJuYWwiLCJpZCI6IjZmZWZkNjIyLTAyODEtM2UxMi04M2RiLWU2MGQ0OGRkNjA1NCIsInRpdGxlIjoiQWR2YW5jZWQgc3RhcmNoLWJhc2VkIGZpbG1zIGZvciBmb29kIHBhY2thZ2luZzogSW5ub3ZhdGlvbnMgaW4gc3VzdGFpbmFiaWxpdHkgYW5kIGZ1bmN0aW9uYWwgcHJvcGVydGllcyIsImF1dGhvciI6W3siZmFtaWx5IjoiS2FybndhbCIsImdpdmVuIjoiQXJ1biIsInBhcnNlLW5hbWVzIjpmYWxzZSwiZHJvcHBpbmctcGFydGljbGUiOiIiLCJub24tZHJvcHBpbmctcGFydGljbGUiOiIifSx7ImZhbWlseSI6IlJhdWYiLCJnaXZlbiI6IkFiZHVyIiwicGFyc2UtbmFtZXMiOmZhbHNlLCJkcm9wcGluZy1wYXJ0aWNsZSI6IiIsIm5vbi1kcm9wcGluZy1wYXJ0aWNsZSI6IiJ9LHsiZmFtaWx5IjoiSmFzc2ltIiwiZ2l2ZW4iOiJBbWFyIFlhc3NlciIsInBhcnNlLW5hbWVzIjpmYWxzZSwiZHJvcHBpbmctcGFydGljbGUiOiIiLCJub24tZHJvcHBpbmctcGFydGljbGUiOiIifSx7ImZhbWlseSI6IlNlbHZhcmFqIiwiZ2l2ZW4iOiJNYW5pY2thbSIsInBhcnNlLW5hbWVzIjpmYWxzZSwiZHJvcHBpbmctcGFydGljbGUiOiIiLCJub24tZHJvcHBpbmctcGFydGljbGUiOiIifSx7ImZhbWlseSI6IkFsLVRhd2FoYSIsImdpdmVuIjoiQWJkZWwgUmFobWFuIE1vaGFtbWFkIFNhaWQiLCJwYXJzZS1uYW1lcyI6ZmFsc2UsImRyb3BwaW5nLXBhcnRpY2xlIjoiIiwibm9uLWRyb3BwaW5nLXBhcnRpY2xlIjoiIn0seyJmYW1pbHkiOiJLYXNoeWFwIiwiZ2l2ZW4iOiJQaXl1c2giLCJwYXJzZS1uYW1lcyI6ZmFsc2UsImRyb3BwaW5nLXBhcnRpY2xlIjoiIiwibm9uLWRyb3BwaW5nLXBhcnRpY2xlIjoiIn0seyJmYW1pbHkiOiJLdW1hciIsImdpdmVuIjoiRGVlcGFrIiwicGFyc2UtbmFtZXMiOmZhbHNlLCJkcm9wcGluZy1wYXJ0aWNsZSI6IiIsIm5vbi1kcm9wcGluZy1wYXJ0aWNsZSI6IiJ9LHsiZmFtaWx5IjoiTWFsaWsiLCJnaXZlbiI6IlRhYmFyYWsiLCJwYXJzZS1uYW1lcyI6ZmFsc2UsImRyb3BwaW5nLXBhcnRpY2xlIjoiIiwibm9uLWRyb3BwaW5nLXBhcnRpY2xlIjoiIn1dLCJjb250YWluZXItdGl0bGUiOiJGb29kIENoZW1pc3RyeTogWCIsImNvbnRhaW5lci10aXRsZS1zaG9ydCI6IkZvb2QgQ2hlbSBYIiwiRE9JIjoiMTAuMTAxNi9qLmZvY2h4LjIwMjUuMTAyNjYyIiwiSVNTTiI6IjI1OTAxNTc1IiwiaXNzdWVkIjp7ImRhdGUtcGFydHMiOltbMjAyNSw3XV19LCJwYWdlIjoiMTAyNjYyIiwidm9sdW1lIjoiMjkifSwiaXNUZW1wb3JhcnkiOmZhbHNlfV19"/>
          <w:id w:val="1503774102"/>
          <w:placeholder>
            <w:docPart w:val="C382101AD8A04DC78F376E8ADBC08A64"/>
          </w:placeholder>
        </w:sdtPr>
        <w:sdtEndPr/>
        <w:sdtContent>
          <w:r w:rsidR="00B32892" w:rsidRPr="00296255">
            <w:rPr>
              <w:rFonts w:ascii="Times New Roman" w:hAnsi="Times New Roman" w:cs="Times New Roman"/>
              <w:iCs/>
              <w:noProof/>
              <w:color w:val="000000"/>
              <w:sz w:val="24"/>
              <w:szCs w:val="24"/>
              <w14:ligatures w14:val="standardContextual"/>
            </w:rPr>
            <w:t>Karnwal et al., (2025)</w:t>
          </w:r>
        </w:sdtContent>
      </w:sdt>
      <w:r w:rsidRPr="00296255">
        <w:rPr>
          <w:rFonts w:ascii="Times New Roman" w:hAnsi="Times New Roman" w:cs="Times New Roman"/>
          <w:iCs/>
          <w:noProof/>
          <w:sz w:val="24"/>
          <w:szCs w:val="24"/>
          <w14:ligatures w14:val="standardContextual"/>
        </w:rPr>
        <w:t xml:space="preserve"> found that starch-based composites considerably lowered material costs in applications involving sustainable packaging. According to </w:t>
      </w:r>
      <w:sdt>
        <w:sdtPr>
          <w:rPr>
            <w:rFonts w:ascii="Times New Roman" w:hAnsi="Times New Roman" w:cs="Times New Roman"/>
            <w:iCs/>
            <w:noProof/>
            <w:color w:val="000000"/>
            <w:sz w:val="24"/>
            <w:szCs w:val="24"/>
            <w14:ligatures w14:val="standardContextual"/>
          </w:rPr>
          <w:tag w:val="MENDELEY_CITATION_v3_eyJjaXRhdGlvbklEIjoiTUVOREVMRVlfQ0lUQVRJT05fZDA2YzE1N2QtM2I0OS00MWVkLWFmMzctMjNmNTRjNTFiNzc2IiwicHJvcGVydGllcyI6eyJub3RlSW5kZXgiOjB9LCJpc0VkaXRlZCI6ZmFsc2UsIm1hbnVhbE92ZXJyaWRlIjp7ImlzTWFudWFsbHlPdmVycmlkZGVuIjp0cnVlLCJjaXRlcHJvY1RleHQiOiIoRmFsdWEgZXQgYWwuLCAyMDIyYikiLCJtYW51YWxPdmVycmlkZVRleHQiOiJGYWx1YSBldCBhbC4sICgyMDIyYikifSwiY2l0YXRpb25JdGVtcyI6W3siaWQiOiI2NDljN2VmMi0yNjRjLTM4NjktOGFiNi1lMzQyMzU1ZGM0Y2YiLCJpdGVtRGF0YSI6eyJ0eXBlIjoiYXJ0aWNsZS1qb3VybmFsIiwiaWQiOiI2NDljN2VmMi0yNjRjLTM4NjktOGFiNi1lMzQyMzU1ZGM0Y2YiLCJ0aXRsZSI6IlZhbG9yaXphdGlvbiBvZiBTdGFyY2ggdG8gQmlvYmFzZWQgTWF0ZXJpYWxzOiBBIFJldmlldyIsImF1dGhvciI6W3siZmFtaWx5IjoiRmFsdWEiLCJnaXZlbiI6IktlaGluZGUgSmFtZXMiLCJwYXJzZS1uYW1lcyI6ZmFsc2UsImRyb3BwaW5nLXBhcnRpY2xlIjoiIiwibm9uLWRyb3BwaW5nLXBhcnRpY2xlIjoiIn0seyJmYW1pbHkiOiJQb2toYXJlbCIsImdpdmVuIjoiQW5hbW9sIiwicGFyc2UtbmFtZXMiOmZhbHNlLCJkcm9wcGluZy1wYXJ0aWNsZSI6IiIsIm5vbi1kcm9wcGluZy1wYXJ0aWNsZSI6IiJ9LHsiZmFtaWx5IjoiQmFiYWVpLUdoYXp2aW5pIiwiZ2l2ZW4iOiJBbWluIiwicGFyc2UtbmFtZXMiOmZhbHNlLCJkcm9wcGluZy1wYXJ0aWNsZSI6IiIsIm5vbi1kcm9wcGluZy1wYXJ0aWNsZSI6IiJ9LHsiZmFtaWx5IjoiQWkiLCJnaXZlbiI6IllvbmdmZW5nIiwicGFyc2UtbmFtZXMiOmZhbHNlLCJkcm9wcGluZy1wYXJ0aWNsZSI6IiIsIm5vbi1kcm9wcGluZy1wYXJ0aWNsZSI6IiJ9LHsiZmFtaWx5IjoiQWNoYXJ5YSIsImdpdmVuIjoiQmlzaG51IiwicGFyc2UtbmFtZXMiOmZhbHNlLCJkcm9wcGluZy1wYXJ0aWNsZSI6IiIsIm5vbi1kcm9wcGluZy1wYXJ0aWNsZSI6IiJ9XSwiY29udGFpbmVyLXRpdGxlIjoiUG9seW1lcnMiLCJjb250YWluZXItdGl0bGUtc2hvcnQiOiJQb2x5bWVycyAoQmFzZWwpIiwiRE9JIjoiMTAuMzM5MC9wb2x5bTE0MTEyMjE1IiwiSVNTTiI6IjIwNzMtNDM2MCIsImlzc3VlZCI6eyJkYXRlLXBhcnRzIjpbWzIwMjIsNSwzMF1dfSwicGFnZSI6IjIyMTUiLCJhYnN0cmFjdCI6IjxwPk1hbnkgY29uY2VybnMgYXJlIGJlaW5nIGV4cHJlc3NlZCBhYm91dCB0aGUgYmlvZGVncmFkYWJpbGl0eSwgYmlvY29tcGF0aWJpbGl0eSwgYW5kIGxvbmctdGVybSB2aWFiaWxpdHkgb2YgcG9seW1lci1iYXNlZCBzdWJzdGFuY2VzLiBUaGlzIHByb21wdGVkIHRoZSBxdWVzdCBmb3IgYW4gYWx0ZXJuYXRpdmUgc291cmNlIG9mIG1hdGVyaWFsIHRoYXQgY291bGQgYmUgdXRpbGl6ZWQgZm9yIHZhcmlvdXMgcHVycG9zZXMuIFN0YXJjaCBpcyB3aWRlbHkgdXNlZCBhcyBhIHRoaWNrZW5lciwgZW11bHNpZmllciwgYW5kIGJpbmRlciBpbiBtYW55IGZvb2QgYW5kIG5vbi1mb29kIHNlY3RvcnMsIGJ1dCByZXNlYXJjaCBmb2N1c2VzIG9uIGluY3JlYXNpbmcgaXRzIGFwcGxpY2F0aW9uIGJleW9uZCB0aGVzZSBhcmVhcy4gRHVlIHRvIGl0cyBiaW9kZWdyYWRhYmlsaXR5LCBsb3cgY29zdCwgcmVuZXdhYmlsaXR5LCBhbmQgYWJ1bmRhbmNlLCBzdGFyY2ggaXMgY29uc2lkZXJlZCBhIOKAnGdyZWVuIHBhdGjigJ0gcmF3IG1hdGVyaWFsIGZvciBnZW5lcmF0aW5nIHBvcm91cyBzdWJzdGFuY2VzIHN1Y2ggYXMgYWVyb2dlbHMsIGJpb2ZvYW1zLCBhbmQgYmlvcGxhc3RpY3MsIHdoaWNoIGhhdmUgc3BhcmtlZCBhbiBhY2FkZW1pYyBpbnRlcmVzdC4gRXhpc3RpbmcgcmVzZWFyY2ggaGFzIGZvY3VzZWQgb24gc3RyYXRlZ2llcyBmb3IgZGV2ZWxvcGluZyBiaW9tYXRlcmlhbHMgZnJvbSBvcmdhbmljIHBvbHltZXJzIChlLmcuLCBjZWxsdWxvc2UpLCBidXQgdGhlcmUgaGFzIGJlZW4gbGl0dGxlIHJlc2VhcmNoIG9uIGl0cyBwb2x5c2FjY2hhcmlkZSBjb3VudGVycGFydCAoc3RhcmNoKS4gVGhpcyByZXZpZXcgcGFwZXIgaGlnaGxpZ2h0ZWQgdGhlIHN0cnVjdHVyZSBvZiBzdGFyY2gsIHRoZSBjb250ZXh0IG9mIGFteWxvc2UgYW5kIGFteWxvcGVjdGluLCBhbmQgdGhlIGV4dHJhY3Rpb24gYW5kIG1vZGlmaWNhdGlvbiBvZiBzdGFyY2ggd2l0aCB0aGVpciBwcm9jZXNzZXMgYW5kIGxpbWl0YXRpb25zLiBNb3Jlb3ZlciwgdGhpcyBwYXBlciBkZXNjcmliZXMgbmFub2ZpbGxlcnMsIGludGVsbGlnZW50IHBILXNlbnNpdGl2ZSBmaWxtcywgYmlvZm9hbXMsIGFlcm9nZWxzIG9mIHZhcmlvdXMgdHlwZXMsIGJpb3BsYXN0aWNzLCBhbmQgdGhlaXIgcHJlY3Vyc29ycywgaW5jbHVkaW5nIGRyeWluZyBhbmQgbWFudWZhY3R1cmluZy4gVGhlIHBlcnNwZWN0aXZlcyByZXZlYWwgdGhlIGdyZWF0IHBvdGVudGlhbCBvZiBzdGFyY2gtYmFzZWQgYmlvbWF0ZXJpYWxzIGluIGZvb2QsIHBoYXJtYWNldXRpY2FscywgYmlvbWVkaWNpbmUsIGFuZCBub24tZm9vZCBhcHBsaWNhdGlvbnMuPC9wPiIsImlzc3VlIjoiMTEiLCJ2b2x1bWUiOiIxNCJ9LCJpc1RlbXBvcmFyeSI6ZmFsc2V9XX0="/>
          <w:id w:val="1354538150"/>
          <w:placeholder>
            <w:docPart w:val="C382101AD8A04DC78F376E8ADBC08A64"/>
          </w:placeholder>
        </w:sdtPr>
        <w:sdtEndPr/>
        <w:sdtContent>
          <w:r w:rsidRPr="00296255">
            <w:rPr>
              <w:rFonts w:ascii="Times New Roman" w:hAnsi="Times New Roman" w:cs="Times New Roman"/>
              <w:iCs/>
              <w:noProof/>
              <w:color w:val="000000"/>
              <w:sz w:val="24"/>
              <w:szCs w:val="24"/>
              <w14:ligatures w14:val="standardContextual"/>
            </w:rPr>
            <w:t>Falua et al., (2022b)</w:t>
          </w:r>
        </w:sdtContent>
      </w:sdt>
      <w:r w:rsidRPr="00296255">
        <w:rPr>
          <w:rFonts w:ascii="Times New Roman" w:hAnsi="Times New Roman" w:cs="Times New Roman"/>
          <w:iCs/>
          <w:noProof/>
          <w:sz w:val="24"/>
          <w:szCs w:val="24"/>
          <w14:ligatures w14:val="standardContextual"/>
        </w:rPr>
        <w:t xml:space="preserve">, adding starch increases economic </w:t>
      </w:r>
      <w:r w:rsidRPr="00296255">
        <w:rPr>
          <w:rFonts w:ascii="Times New Roman" w:hAnsi="Times New Roman" w:cs="Times New Roman"/>
          <w:iCs/>
          <w:noProof/>
          <w:sz w:val="24"/>
          <w:szCs w:val="24"/>
          <w14:ligatures w14:val="standardContextual"/>
        </w:rPr>
        <w:lastRenderedPageBreak/>
        <w:t>viability by lowering reliance on pricey petroleum-based polymers while simultaneously improving biodegradability.</w:t>
      </w:r>
    </w:p>
    <w:p w14:paraId="683C94A2" w14:textId="194D2C56" w:rsidR="00686ED6" w:rsidRPr="00DE24A3" w:rsidRDefault="00686ED6" w:rsidP="00BD3695">
      <w:pPr>
        <w:spacing w:line="480" w:lineRule="auto"/>
        <w:jc w:val="both"/>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 xml:space="preserve">The packaging material becomes more economical without compromising sustainability when the starch content of PBAT–starch–nanoclay composite films is increased. In their work on polymeric packaging cost analysis, </w:t>
      </w:r>
      <w:sdt>
        <w:sdtPr>
          <w:rPr>
            <w:rFonts w:ascii="Times New Roman" w:hAnsi="Times New Roman" w:cs="Times New Roman"/>
            <w:iCs/>
            <w:noProof/>
            <w:color w:val="000000"/>
            <w:sz w:val="24"/>
            <w:szCs w:val="24"/>
            <w14:ligatures w14:val="standardContextual"/>
          </w:rPr>
          <w:tag w:val="MENDELEY_CITATION_v3_eyJjaXRhdGlvbklEIjoiTUVOREVMRVlfQ0lUQVRJT05fY2E2NDc0MmUtODZhNC00MmU3LThjZTQtYWE3MTFhMzgxYzBlIiwicHJvcGVydGllcyI6eyJub3RlSW5kZXgiOjB9LCJpc0VkaXRlZCI6ZmFsc2UsIm1hbnVhbE92ZXJyaWRlIjp7ImlzTWFudWFsbHlPdmVycmlkZGVuIjp0cnVlLCJjaXRlcHJvY1RleHQiOiIoWXVkaGlzdGlyYSBldCBhbC4sIDIwMjQpIiwibWFudWFsT3ZlcnJpZGVUZXh0IjoiWXVkaGlzdGlyYSBldCBhbC4sICgyMDI0KSJ9LCJjaXRhdGlvbkl0ZW1zIjpbeyJpZCI6IjhiYTRmMDY0LWU2MTgtMzBjZS04MTVhLWY2NTE4MTE4MDAwMSIsIml0ZW1EYXRhIjp7InR5cGUiOiJhcnRpY2xlLWpvdXJuYWwiLCJpZCI6IjhiYTRmMDY0LWU2MTgtMzBjZS04MTVhLWY2NTE4MTE4MDAwMSIsInRpdGxlIjoiUHJvZ3Jlc3MgaW4gdGhlIEFwcGxpY2F0aW9uIG9mIEVtZXJnaW5nIFRlY2hub2xvZ3kgZm9yIHRoZSBJbXByb3ZlbWVudCBvZiBTdGFyY2gtQmFzZWQgQWN0aXZlIFBhY2thZ2luZyBQcm9wZXJ0aWVzOiBBIFJldmlldyIsImF1dGhvciI6W3siZmFtaWx5IjoiWXVkaGlzdGlyYSIsImdpdmVuIjoiQmFyYSIsInBhcnNlLW5hbWVzIjpmYWxzZSwiZHJvcHBpbmctcGFydGljbGUiOiIiLCJub24tZHJvcHBpbmctcGFydGljbGUiOiIifSx7ImZhbWlseSI6Ikh1c25heWFpbiIsImdpdmVuIjoiTmFpbGEiLCJwYXJzZS1uYW1lcyI6ZmFsc2UsImRyb3BwaW5nLXBhcnRpY2xlIjoiIiwibm9uLWRyb3BwaW5nLXBhcnRpY2xlIjoiIn0seyJmYW1pbHkiOiJQdW50aGkiLCJnaXZlbiI6IkZ1YW5nZmFoIiwicGFyc2UtbmFtZXMiOmZhbHNlLCJkcm9wcGluZy1wYXJ0aWNsZSI6IiIsIm5vbi1kcm9wcGluZy1wYXJ0aWNsZSI6IiJ9LHsiZmFtaWx5IjoiR2F2YWhpYW4iLCJnaXZlbiI6Ik1vaHNlbiIsInBhcnNlLW5hbWVzIjpmYWxzZSwiZHJvcHBpbmctcGFydGljbGUiOiIiLCJub24tZHJvcHBpbmctcGFydGljbGUiOiIifSx7ImZhbWlseSI6IkNoYW5nIiwiZ2l2ZW4iOiJDaGFvLUthaSIsInBhcnNlLW5hbWVzIjpmYWxzZSwiZHJvcHBpbmctcGFydGljbGUiOiIiLCJub24tZHJvcHBpbmctcGFydGljbGUiOiIifSx7ImZhbWlseSI6IkhzaWVoIiwiZ2l2ZW4iOiJDaGFuZy1XZWkiLCJwYXJzZS1uYW1lcyI6ZmFsc2UsImRyb3BwaW5nLXBhcnRpY2xlIjoiIiwibm9uLWRyb3BwaW5nLXBhcnRpY2xlIjoiIn1dLCJjb250YWluZXItdGl0bGUiOiJBQ1MgRm9vZCBTY2llbmNlICYgVGVjaG5vbG9neSIsIkRPSSI6IjEwLjEwMjEvYWNzZm9vZHNjaXRlY2guNGMwMDI2MCIsIklTU04iOiIyNjkyLTE5NDQiLCJpc3N1ZWQiOnsiZGF0ZS1wYXJ0cyI6W1syMDI0LDksMjBdXX0sInBhZ2UiOiIxOTk3LTIwMTIiLCJpc3N1ZSI6IjkiLCJ2b2x1bWUiOiI0IiwiY29udGFpbmVyLXRpdGxlLXNob3J0IjoiIn0sImlzVGVtcG9yYXJ5IjpmYWxzZX1dfQ=="/>
          <w:id w:val="776685621"/>
          <w:placeholder>
            <w:docPart w:val="C382101AD8A04DC78F376E8ADBC08A64"/>
          </w:placeholder>
        </w:sdtPr>
        <w:sdtEndPr/>
        <w:sdtContent>
          <w:r w:rsidRPr="00296255">
            <w:rPr>
              <w:rFonts w:ascii="Times New Roman" w:hAnsi="Times New Roman" w:cs="Times New Roman"/>
              <w:iCs/>
              <w:noProof/>
              <w:color w:val="000000"/>
              <w:sz w:val="24"/>
              <w:szCs w:val="24"/>
              <w14:ligatures w14:val="standardContextual"/>
            </w:rPr>
            <w:t>Yudhistira et al., (2024)</w:t>
          </w:r>
        </w:sdtContent>
      </w:sdt>
      <w:r w:rsidRPr="00296255">
        <w:rPr>
          <w:rFonts w:ascii="Times New Roman" w:hAnsi="Times New Roman" w:cs="Times New Roman"/>
          <w:iCs/>
          <w:noProof/>
          <w:sz w:val="24"/>
          <w:szCs w:val="24"/>
          <w14:ligatures w14:val="standardContextual"/>
        </w:rPr>
        <w:t xml:space="preserve"> emphasized the techno-economic viability of using starch-based biodegradable films for food packaging applications.</w:t>
      </w:r>
    </w:p>
    <w:p w14:paraId="771EED3B" w14:textId="77777777" w:rsidR="00686ED6" w:rsidRPr="00BD3695" w:rsidRDefault="00686ED6" w:rsidP="00BD3695">
      <w:pPr>
        <w:spacing w:line="480" w:lineRule="auto"/>
        <w:jc w:val="both"/>
        <w:rPr>
          <w:rFonts w:ascii="Times New Roman" w:hAnsi="Times New Roman" w:cs="Times New Roman"/>
          <w:iCs/>
          <w:noProof/>
          <w:sz w:val="24"/>
          <w:szCs w:val="24"/>
          <w14:ligatures w14:val="standardContextual"/>
        </w:rPr>
      </w:pPr>
      <w:r w:rsidRPr="00296255">
        <w:rPr>
          <w:rFonts w:ascii="Times New Roman" w:hAnsi="Times New Roman" w:cs="Times New Roman"/>
          <w:b/>
          <w:bCs/>
          <w:iCs/>
          <w:noProof/>
          <w:sz w:val="24"/>
          <w:szCs w:val="24"/>
          <w14:ligatures w14:val="standardContextual"/>
        </w:rPr>
        <w:t xml:space="preserve">Table 2. </w:t>
      </w:r>
      <w:r w:rsidRPr="00BD3695">
        <w:rPr>
          <w:rFonts w:ascii="Times New Roman" w:hAnsi="Times New Roman" w:cs="Times New Roman"/>
          <w:iCs/>
          <w:noProof/>
          <w:sz w:val="24"/>
          <w:szCs w:val="24"/>
          <w14:ligatures w14:val="standardContextual"/>
        </w:rPr>
        <w:t>Total cost per kilogram of biodegradable films (₹/kg)</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2065"/>
        <w:gridCol w:w="2414"/>
        <w:gridCol w:w="2299"/>
      </w:tblGrid>
      <w:tr w:rsidR="00686ED6" w:rsidRPr="00296255" w14:paraId="6205DE17" w14:textId="77777777" w:rsidTr="0073039A">
        <w:trPr>
          <w:jc w:val="center"/>
        </w:trPr>
        <w:tc>
          <w:tcPr>
            <w:tcW w:w="1226" w:type="pct"/>
            <w:tcBorders>
              <w:top w:val="single" w:sz="4" w:space="0" w:color="auto"/>
              <w:left w:val="nil"/>
              <w:bottom w:val="single" w:sz="4" w:space="0" w:color="auto"/>
              <w:right w:val="nil"/>
            </w:tcBorders>
            <w:hideMark/>
          </w:tcPr>
          <w:p w14:paraId="787FDD3A" w14:textId="77777777" w:rsidR="00686ED6" w:rsidRPr="00296255" w:rsidRDefault="00686ED6" w:rsidP="00BD3695">
            <w:pPr>
              <w:spacing w:line="480" w:lineRule="auto"/>
              <w:jc w:val="center"/>
              <w:rPr>
                <w:rFonts w:ascii="Times New Roman" w:hAnsi="Times New Roman" w:cs="Times New Roman"/>
                <w:b/>
                <w:bCs/>
                <w:iCs/>
                <w:noProof/>
                <w:sz w:val="24"/>
                <w:szCs w:val="24"/>
                <w14:ligatures w14:val="standardContextual"/>
              </w:rPr>
            </w:pPr>
            <w:r w:rsidRPr="00296255">
              <w:rPr>
                <w:rFonts w:ascii="Times New Roman" w:hAnsi="Times New Roman" w:cs="Times New Roman"/>
                <w:b/>
                <w:bCs/>
                <w:iCs/>
                <w:noProof/>
                <w:sz w:val="24"/>
                <w:szCs w:val="24"/>
                <w14:ligatures w14:val="standardContextual"/>
              </w:rPr>
              <w:t>Treatment</w:t>
            </w:r>
          </w:p>
        </w:tc>
        <w:tc>
          <w:tcPr>
            <w:tcW w:w="1150" w:type="pct"/>
            <w:tcBorders>
              <w:top w:val="single" w:sz="4" w:space="0" w:color="auto"/>
              <w:left w:val="nil"/>
              <w:bottom w:val="single" w:sz="4" w:space="0" w:color="auto"/>
              <w:right w:val="nil"/>
            </w:tcBorders>
            <w:hideMark/>
          </w:tcPr>
          <w:p w14:paraId="5C56F061" w14:textId="77777777" w:rsidR="00686ED6" w:rsidRPr="00296255" w:rsidRDefault="00686ED6" w:rsidP="00BD3695">
            <w:pPr>
              <w:spacing w:line="480" w:lineRule="auto"/>
              <w:jc w:val="center"/>
              <w:rPr>
                <w:rFonts w:ascii="Times New Roman" w:hAnsi="Times New Roman" w:cs="Times New Roman"/>
                <w:b/>
                <w:bCs/>
                <w:iCs/>
                <w:noProof/>
                <w:sz w:val="24"/>
                <w:szCs w:val="24"/>
                <w14:ligatures w14:val="standardContextual"/>
              </w:rPr>
            </w:pPr>
            <w:r w:rsidRPr="00296255">
              <w:rPr>
                <w:rFonts w:ascii="Times New Roman" w:hAnsi="Times New Roman" w:cs="Times New Roman"/>
                <w:b/>
                <w:bCs/>
                <w:i/>
                <w:noProof/>
                <w:sz w:val="24"/>
                <w:szCs w:val="24"/>
                <w14:ligatures w14:val="standardContextual"/>
              </w:rPr>
              <w:t>C</w:t>
            </w:r>
            <w:r w:rsidRPr="00296255">
              <w:rPr>
                <w:rFonts w:ascii="Times New Roman" w:hAnsi="Times New Roman" w:cs="Times New Roman"/>
                <w:b/>
                <w:bCs/>
                <w:iCs/>
                <w:noProof/>
                <w:sz w:val="24"/>
                <w:szCs w:val="24"/>
                <w:vertAlign w:val="subscript"/>
                <w14:ligatures w14:val="standardContextual"/>
              </w:rPr>
              <w:t>var</w:t>
            </w:r>
            <w:r w:rsidRPr="00296255">
              <w:rPr>
                <w:rFonts w:ascii="Times New Roman" w:hAnsi="Times New Roman" w:cs="Times New Roman"/>
                <w:b/>
                <w:bCs/>
                <w:iCs/>
                <w:noProof/>
                <w:sz w:val="24"/>
                <w:szCs w:val="24"/>
                <w14:ligatures w14:val="standardContextual"/>
              </w:rPr>
              <w:t xml:space="preserve"> (₹/kg)</w:t>
            </w:r>
          </w:p>
        </w:tc>
        <w:tc>
          <w:tcPr>
            <w:tcW w:w="1344" w:type="pct"/>
            <w:tcBorders>
              <w:top w:val="single" w:sz="4" w:space="0" w:color="auto"/>
              <w:left w:val="nil"/>
              <w:bottom w:val="single" w:sz="4" w:space="0" w:color="auto"/>
              <w:right w:val="nil"/>
            </w:tcBorders>
            <w:hideMark/>
          </w:tcPr>
          <w:p w14:paraId="0E50B240" w14:textId="77777777" w:rsidR="00686ED6" w:rsidRPr="00296255" w:rsidRDefault="00686ED6" w:rsidP="00BD3695">
            <w:pPr>
              <w:spacing w:line="480" w:lineRule="auto"/>
              <w:jc w:val="center"/>
              <w:rPr>
                <w:rFonts w:ascii="Times New Roman" w:hAnsi="Times New Roman" w:cs="Times New Roman"/>
                <w:b/>
                <w:bCs/>
                <w:iCs/>
                <w:noProof/>
                <w:sz w:val="24"/>
                <w:szCs w:val="24"/>
                <w14:ligatures w14:val="standardContextual"/>
              </w:rPr>
            </w:pPr>
            <w:r w:rsidRPr="00296255">
              <w:rPr>
                <w:rFonts w:ascii="Times New Roman" w:hAnsi="Times New Roman" w:cs="Times New Roman"/>
                <w:b/>
                <w:bCs/>
                <w:i/>
                <w:noProof/>
                <w:sz w:val="24"/>
                <w:szCs w:val="24"/>
                <w14:ligatures w14:val="standardContextual"/>
              </w:rPr>
              <w:t>C</w:t>
            </w:r>
            <w:r w:rsidRPr="00296255">
              <w:rPr>
                <w:rFonts w:ascii="Times New Roman" w:hAnsi="Times New Roman" w:cs="Times New Roman"/>
                <w:b/>
                <w:bCs/>
                <w:iCs/>
                <w:noProof/>
                <w:sz w:val="24"/>
                <w:szCs w:val="24"/>
                <w:vertAlign w:val="subscript"/>
                <w14:ligatures w14:val="standardContextual"/>
              </w:rPr>
              <w:t>fix/kg</w:t>
            </w:r>
            <w:r w:rsidRPr="00296255">
              <w:rPr>
                <w:rFonts w:ascii="Times New Roman" w:hAnsi="Times New Roman" w:cs="Times New Roman"/>
                <w:b/>
                <w:bCs/>
                <w:iCs/>
                <w:noProof/>
                <w:sz w:val="24"/>
                <w:szCs w:val="24"/>
                <w14:ligatures w14:val="standardContextual"/>
              </w:rPr>
              <w:t>​ (₹/kg)</w:t>
            </w:r>
          </w:p>
        </w:tc>
        <w:tc>
          <w:tcPr>
            <w:tcW w:w="1280" w:type="pct"/>
            <w:tcBorders>
              <w:top w:val="single" w:sz="4" w:space="0" w:color="auto"/>
              <w:left w:val="nil"/>
              <w:bottom w:val="single" w:sz="4" w:space="0" w:color="auto"/>
              <w:right w:val="nil"/>
            </w:tcBorders>
            <w:hideMark/>
          </w:tcPr>
          <w:p w14:paraId="48D30223" w14:textId="77777777" w:rsidR="00686ED6" w:rsidRPr="00296255" w:rsidRDefault="00686ED6" w:rsidP="00BD3695">
            <w:pPr>
              <w:spacing w:line="480" w:lineRule="auto"/>
              <w:jc w:val="center"/>
              <w:rPr>
                <w:rFonts w:ascii="Times New Roman" w:hAnsi="Times New Roman" w:cs="Times New Roman"/>
                <w:b/>
                <w:bCs/>
                <w:iCs/>
                <w:noProof/>
                <w:sz w:val="24"/>
                <w:szCs w:val="24"/>
                <w14:ligatures w14:val="standardContextual"/>
              </w:rPr>
            </w:pPr>
            <w:r w:rsidRPr="00296255">
              <w:rPr>
                <w:rFonts w:ascii="Times New Roman" w:hAnsi="Times New Roman" w:cs="Times New Roman"/>
                <w:b/>
                <w:bCs/>
                <w:i/>
                <w:noProof/>
                <w:sz w:val="24"/>
                <w:szCs w:val="24"/>
                <w14:ligatures w14:val="standardContextual"/>
              </w:rPr>
              <w:t>C</w:t>
            </w:r>
            <w:r w:rsidRPr="00296255">
              <w:rPr>
                <w:rFonts w:ascii="Times New Roman" w:hAnsi="Times New Roman" w:cs="Times New Roman"/>
                <w:b/>
                <w:bCs/>
                <w:iCs/>
                <w:noProof/>
                <w:sz w:val="24"/>
                <w:szCs w:val="24"/>
                <w:vertAlign w:val="subscript"/>
                <w14:ligatures w14:val="standardContextual"/>
              </w:rPr>
              <w:t>total ​</w:t>
            </w:r>
            <w:r w:rsidRPr="00296255">
              <w:rPr>
                <w:rFonts w:ascii="Times New Roman" w:hAnsi="Times New Roman" w:cs="Times New Roman"/>
                <w:b/>
                <w:bCs/>
                <w:iCs/>
                <w:noProof/>
                <w:sz w:val="24"/>
                <w:szCs w:val="24"/>
                <w14:ligatures w14:val="standardContextual"/>
              </w:rPr>
              <w:t xml:space="preserve"> (₹/kg)</w:t>
            </w:r>
          </w:p>
        </w:tc>
      </w:tr>
      <w:tr w:rsidR="00686ED6" w:rsidRPr="00296255" w14:paraId="1B686A23" w14:textId="77777777" w:rsidTr="0073039A">
        <w:trPr>
          <w:jc w:val="center"/>
        </w:trPr>
        <w:tc>
          <w:tcPr>
            <w:tcW w:w="1226" w:type="pct"/>
            <w:tcBorders>
              <w:top w:val="single" w:sz="4" w:space="0" w:color="auto"/>
              <w:left w:val="nil"/>
              <w:bottom w:val="nil"/>
              <w:right w:val="nil"/>
            </w:tcBorders>
            <w:hideMark/>
          </w:tcPr>
          <w:p w14:paraId="16260F58"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noProof/>
                <w:sz w:val="24"/>
                <w:szCs w:val="24"/>
                <w14:ligatures w14:val="standardContextual"/>
              </w:rPr>
              <w:t>T</w:t>
            </w:r>
            <w:r w:rsidRPr="00296255">
              <w:rPr>
                <w:rFonts w:ascii="Times New Roman" w:hAnsi="Times New Roman" w:cs="Times New Roman"/>
                <w:noProof/>
                <w:sz w:val="24"/>
                <w:szCs w:val="24"/>
                <w:vertAlign w:val="subscript"/>
                <w14:ligatures w14:val="standardContextual"/>
              </w:rPr>
              <w:t>0</w:t>
            </w:r>
          </w:p>
        </w:tc>
        <w:tc>
          <w:tcPr>
            <w:tcW w:w="1150" w:type="pct"/>
            <w:tcBorders>
              <w:top w:val="single" w:sz="4" w:space="0" w:color="auto"/>
              <w:left w:val="nil"/>
              <w:bottom w:val="nil"/>
              <w:right w:val="nil"/>
            </w:tcBorders>
            <w:hideMark/>
          </w:tcPr>
          <w:p w14:paraId="4D276787"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291.40</w:t>
            </w:r>
          </w:p>
        </w:tc>
        <w:tc>
          <w:tcPr>
            <w:tcW w:w="1344" w:type="pct"/>
            <w:tcBorders>
              <w:top w:val="single" w:sz="4" w:space="0" w:color="auto"/>
              <w:left w:val="nil"/>
              <w:bottom w:val="nil"/>
              <w:right w:val="nil"/>
            </w:tcBorders>
            <w:hideMark/>
          </w:tcPr>
          <w:p w14:paraId="7BBB8799"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56.92</w:t>
            </w:r>
          </w:p>
        </w:tc>
        <w:tc>
          <w:tcPr>
            <w:tcW w:w="1280" w:type="pct"/>
            <w:tcBorders>
              <w:top w:val="single" w:sz="4" w:space="0" w:color="auto"/>
              <w:left w:val="nil"/>
              <w:bottom w:val="nil"/>
              <w:right w:val="nil"/>
            </w:tcBorders>
            <w:hideMark/>
          </w:tcPr>
          <w:p w14:paraId="644DE573"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348.32</w:t>
            </w:r>
          </w:p>
        </w:tc>
      </w:tr>
      <w:tr w:rsidR="00686ED6" w:rsidRPr="00296255" w14:paraId="7B7D3EED" w14:textId="77777777" w:rsidTr="0073039A">
        <w:trPr>
          <w:jc w:val="center"/>
        </w:trPr>
        <w:tc>
          <w:tcPr>
            <w:tcW w:w="1226" w:type="pct"/>
            <w:tcBorders>
              <w:top w:val="nil"/>
              <w:left w:val="nil"/>
              <w:bottom w:val="nil"/>
              <w:right w:val="nil"/>
            </w:tcBorders>
            <w:hideMark/>
          </w:tcPr>
          <w:p w14:paraId="0FBC6FC6"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1</w:t>
            </w:r>
          </w:p>
        </w:tc>
        <w:tc>
          <w:tcPr>
            <w:tcW w:w="1150" w:type="pct"/>
            <w:tcBorders>
              <w:top w:val="nil"/>
              <w:left w:val="nil"/>
              <w:bottom w:val="nil"/>
              <w:right w:val="nil"/>
            </w:tcBorders>
            <w:hideMark/>
          </w:tcPr>
          <w:p w14:paraId="4B18B51A"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303.70</w:t>
            </w:r>
          </w:p>
        </w:tc>
        <w:tc>
          <w:tcPr>
            <w:tcW w:w="1344" w:type="pct"/>
            <w:tcBorders>
              <w:top w:val="nil"/>
              <w:left w:val="nil"/>
              <w:bottom w:val="nil"/>
              <w:right w:val="nil"/>
            </w:tcBorders>
            <w:hideMark/>
          </w:tcPr>
          <w:p w14:paraId="0DE88CCD"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56.92</w:t>
            </w:r>
          </w:p>
        </w:tc>
        <w:tc>
          <w:tcPr>
            <w:tcW w:w="1280" w:type="pct"/>
            <w:tcBorders>
              <w:top w:val="nil"/>
              <w:left w:val="nil"/>
              <w:bottom w:val="nil"/>
              <w:right w:val="nil"/>
            </w:tcBorders>
            <w:hideMark/>
          </w:tcPr>
          <w:p w14:paraId="2D6E4C98"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360.62</w:t>
            </w:r>
          </w:p>
        </w:tc>
      </w:tr>
      <w:tr w:rsidR="00686ED6" w:rsidRPr="00296255" w14:paraId="0D9F58D5" w14:textId="77777777" w:rsidTr="0073039A">
        <w:trPr>
          <w:jc w:val="center"/>
        </w:trPr>
        <w:tc>
          <w:tcPr>
            <w:tcW w:w="1226" w:type="pct"/>
            <w:tcBorders>
              <w:top w:val="nil"/>
              <w:left w:val="nil"/>
              <w:bottom w:val="nil"/>
              <w:right w:val="nil"/>
            </w:tcBorders>
            <w:hideMark/>
          </w:tcPr>
          <w:p w14:paraId="0EE416E4"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noProof/>
                <w:sz w:val="24"/>
                <w:szCs w:val="24"/>
                <w14:ligatures w14:val="standardContextual"/>
              </w:rPr>
              <w:t>T</w:t>
            </w:r>
            <w:r w:rsidRPr="00296255">
              <w:rPr>
                <w:rFonts w:ascii="Times New Roman" w:hAnsi="Times New Roman" w:cs="Times New Roman"/>
                <w:noProof/>
                <w:sz w:val="24"/>
                <w:szCs w:val="24"/>
                <w:vertAlign w:val="subscript"/>
                <w14:ligatures w14:val="standardContextual"/>
              </w:rPr>
              <w:t>2</w:t>
            </w:r>
          </w:p>
        </w:tc>
        <w:tc>
          <w:tcPr>
            <w:tcW w:w="1150" w:type="pct"/>
            <w:tcBorders>
              <w:top w:val="nil"/>
              <w:left w:val="nil"/>
              <w:bottom w:val="nil"/>
              <w:right w:val="nil"/>
            </w:tcBorders>
            <w:hideMark/>
          </w:tcPr>
          <w:p w14:paraId="5F4EE7FE"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294.12</w:t>
            </w:r>
          </w:p>
        </w:tc>
        <w:tc>
          <w:tcPr>
            <w:tcW w:w="1344" w:type="pct"/>
            <w:tcBorders>
              <w:top w:val="nil"/>
              <w:left w:val="nil"/>
              <w:bottom w:val="nil"/>
              <w:right w:val="nil"/>
            </w:tcBorders>
            <w:hideMark/>
          </w:tcPr>
          <w:p w14:paraId="7126D9D5"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56.92</w:t>
            </w:r>
          </w:p>
        </w:tc>
        <w:tc>
          <w:tcPr>
            <w:tcW w:w="1280" w:type="pct"/>
            <w:tcBorders>
              <w:top w:val="nil"/>
              <w:left w:val="nil"/>
              <w:bottom w:val="nil"/>
              <w:right w:val="nil"/>
            </w:tcBorders>
            <w:hideMark/>
          </w:tcPr>
          <w:p w14:paraId="7A7FA30E"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351.04</w:t>
            </w:r>
          </w:p>
        </w:tc>
      </w:tr>
      <w:tr w:rsidR="00686ED6" w:rsidRPr="00296255" w14:paraId="19464438" w14:textId="77777777" w:rsidTr="0073039A">
        <w:trPr>
          <w:jc w:val="center"/>
        </w:trPr>
        <w:tc>
          <w:tcPr>
            <w:tcW w:w="1226" w:type="pct"/>
            <w:tcBorders>
              <w:top w:val="nil"/>
              <w:left w:val="nil"/>
              <w:bottom w:val="single" w:sz="4" w:space="0" w:color="auto"/>
              <w:right w:val="nil"/>
            </w:tcBorders>
            <w:hideMark/>
          </w:tcPr>
          <w:p w14:paraId="351FA9E3"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3</w:t>
            </w:r>
          </w:p>
        </w:tc>
        <w:tc>
          <w:tcPr>
            <w:tcW w:w="1150" w:type="pct"/>
            <w:tcBorders>
              <w:top w:val="nil"/>
              <w:left w:val="nil"/>
              <w:bottom w:val="single" w:sz="4" w:space="0" w:color="auto"/>
              <w:right w:val="nil"/>
            </w:tcBorders>
            <w:hideMark/>
          </w:tcPr>
          <w:p w14:paraId="1AC54062"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286.15</w:t>
            </w:r>
          </w:p>
        </w:tc>
        <w:tc>
          <w:tcPr>
            <w:tcW w:w="1344" w:type="pct"/>
            <w:tcBorders>
              <w:top w:val="nil"/>
              <w:left w:val="nil"/>
              <w:bottom w:val="single" w:sz="4" w:space="0" w:color="auto"/>
              <w:right w:val="nil"/>
            </w:tcBorders>
            <w:hideMark/>
          </w:tcPr>
          <w:p w14:paraId="1C43BE0E"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56.92</w:t>
            </w:r>
          </w:p>
        </w:tc>
        <w:tc>
          <w:tcPr>
            <w:tcW w:w="1280" w:type="pct"/>
            <w:tcBorders>
              <w:top w:val="nil"/>
              <w:left w:val="nil"/>
              <w:bottom w:val="single" w:sz="4" w:space="0" w:color="auto"/>
              <w:right w:val="nil"/>
            </w:tcBorders>
            <w:hideMark/>
          </w:tcPr>
          <w:p w14:paraId="6DDED961" w14:textId="77777777" w:rsidR="00686ED6" w:rsidRPr="00296255" w:rsidRDefault="00686ED6" w:rsidP="00BD3695">
            <w:pPr>
              <w:spacing w:line="480" w:lineRule="auto"/>
              <w:jc w:val="center"/>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343.07</w:t>
            </w:r>
          </w:p>
        </w:tc>
      </w:tr>
    </w:tbl>
    <w:p w14:paraId="37B3D410" w14:textId="77777777" w:rsidR="00686ED6" w:rsidRPr="00296255" w:rsidRDefault="00686ED6" w:rsidP="00BD3695">
      <w:pPr>
        <w:spacing w:before="240" w:after="0" w:line="480" w:lineRule="auto"/>
        <w:jc w:val="both"/>
        <w:rPr>
          <w:rFonts w:ascii="Times New Roman" w:hAnsi="Times New Roman" w:cs="Times New Roman"/>
          <w:b/>
          <w:bCs/>
          <w:iCs/>
          <w:noProof/>
          <w:sz w:val="24"/>
          <w:szCs w:val="24"/>
          <w14:ligatures w14:val="standardContextual"/>
        </w:rPr>
      </w:pPr>
      <w:r w:rsidRPr="00296255">
        <w:rPr>
          <w:rFonts w:ascii="Times New Roman" w:hAnsi="Times New Roman" w:cs="Times New Roman"/>
          <w:b/>
          <w:bCs/>
          <w:iCs/>
          <w:noProof/>
          <w:sz w:val="24"/>
          <w:szCs w:val="24"/>
          <w14:ligatures w14:val="standardContextual"/>
        </w:rPr>
        <w:t>Break-even analysis of biodegradable film production</w:t>
      </w:r>
    </w:p>
    <w:p w14:paraId="08DB3ABD" w14:textId="77777777" w:rsidR="00686ED6" w:rsidRPr="00296255" w:rsidRDefault="00686ED6" w:rsidP="00BD3695">
      <w:pPr>
        <w:spacing w:after="0" w:line="480" w:lineRule="auto"/>
        <w:jc w:val="both"/>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The break-even analysis was carried out to evaluate the economic feasibility of biodegradable film production. The break-even quantity (</w:t>
      </w:r>
      <w:r w:rsidRPr="00296255">
        <w:rPr>
          <w:rFonts w:ascii="Times New Roman" w:hAnsi="Times New Roman" w:cs="Times New Roman"/>
          <w:i/>
          <w:noProof/>
          <w:sz w:val="24"/>
          <w:szCs w:val="24"/>
          <w14:ligatures w14:val="standardContextual"/>
        </w:rPr>
        <w:t>Q</w:t>
      </w:r>
      <w:r w:rsidRPr="00296255">
        <w:rPr>
          <w:rFonts w:ascii="Times New Roman" w:hAnsi="Times New Roman" w:cs="Times New Roman"/>
          <w:i/>
          <w:noProof/>
          <w:sz w:val="24"/>
          <w:szCs w:val="24"/>
          <w:vertAlign w:val="subscript"/>
          <w14:ligatures w14:val="standardContextual"/>
        </w:rPr>
        <w:t>BEQ</w:t>
      </w:r>
      <w:r w:rsidRPr="00296255">
        <w:rPr>
          <w:rFonts w:ascii="Times New Roman" w:hAnsi="Times New Roman" w:cs="Times New Roman"/>
          <w:iCs/>
          <w:noProof/>
          <w:sz w:val="24"/>
          <w:szCs w:val="24"/>
          <w14:ligatures w14:val="standardContextual"/>
        </w:rPr>
        <w:t>) was calculated using equation (4.6), which relates the annual fixed cost of production (</w:t>
      </w:r>
      <w:r w:rsidRPr="00296255">
        <w:rPr>
          <w:rFonts w:ascii="Times New Roman" w:hAnsi="Times New Roman" w:cs="Times New Roman"/>
          <w:i/>
          <w:noProof/>
          <w:sz w:val="24"/>
          <w:szCs w:val="24"/>
          <w14:ligatures w14:val="standardContextual"/>
        </w:rPr>
        <w:t>C</w:t>
      </w:r>
      <w:r w:rsidRPr="00296255">
        <w:rPr>
          <w:rFonts w:ascii="Times New Roman" w:hAnsi="Times New Roman" w:cs="Times New Roman"/>
          <w:i/>
          <w:noProof/>
          <w:sz w:val="24"/>
          <w:szCs w:val="24"/>
          <w:vertAlign w:val="subscript"/>
          <w14:ligatures w14:val="standardContextual"/>
        </w:rPr>
        <w:t>fixed, annual</w:t>
      </w:r>
      <w:r w:rsidRPr="00296255">
        <w:rPr>
          <w:rFonts w:ascii="Times New Roman" w:hAnsi="Times New Roman" w:cs="Times New Roman"/>
          <w:iCs/>
          <w:noProof/>
          <w:sz w:val="24"/>
          <w:szCs w:val="24"/>
          <w14:ligatures w14:val="standardContextual"/>
        </w:rPr>
        <w:t>) to the difference between the selling price of the film (</w:t>
      </w:r>
      <w:r w:rsidRPr="00296255">
        <w:rPr>
          <w:rFonts w:ascii="Times New Roman" w:hAnsi="Times New Roman" w:cs="Times New Roman"/>
          <w:i/>
          <w:noProof/>
          <w:sz w:val="24"/>
          <w:szCs w:val="24"/>
          <w14:ligatures w14:val="standardContextual"/>
        </w:rPr>
        <w:t>P</w:t>
      </w:r>
      <w:r w:rsidRPr="00296255">
        <w:rPr>
          <w:rFonts w:ascii="Times New Roman" w:hAnsi="Times New Roman" w:cs="Times New Roman"/>
          <w:i/>
          <w:noProof/>
          <w:sz w:val="24"/>
          <w:szCs w:val="24"/>
          <w:vertAlign w:val="subscript"/>
          <w14:ligatures w14:val="standardContextual"/>
        </w:rPr>
        <w:t>sell</w:t>
      </w:r>
      <w:r w:rsidRPr="00296255">
        <w:rPr>
          <w:rFonts w:ascii="Times New Roman" w:hAnsi="Times New Roman" w:cs="Times New Roman"/>
          <w:iCs/>
          <w:noProof/>
          <w:sz w:val="24"/>
          <w:szCs w:val="24"/>
          <w14:ligatures w14:val="standardContextual"/>
        </w:rPr>
        <w:t>) and the variable cost (</w:t>
      </w:r>
      <w:r w:rsidRPr="00296255">
        <w:rPr>
          <w:rFonts w:ascii="Times New Roman" w:hAnsi="Times New Roman" w:cs="Times New Roman"/>
          <w:i/>
          <w:noProof/>
          <w:sz w:val="24"/>
          <w:szCs w:val="24"/>
          <w14:ligatures w14:val="standardContextual"/>
        </w:rPr>
        <w:t>C</w:t>
      </w:r>
      <w:r w:rsidRPr="00296255">
        <w:rPr>
          <w:rFonts w:ascii="Times New Roman" w:hAnsi="Times New Roman" w:cs="Times New Roman"/>
          <w:i/>
          <w:noProof/>
          <w:sz w:val="24"/>
          <w:szCs w:val="24"/>
          <w:vertAlign w:val="subscript"/>
          <w14:ligatures w14:val="standardContextual"/>
        </w:rPr>
        <w:t>var</w:t>
      </w:r>
      <w:r w:rsidRPr="00296255">
        <w:rPr>
          <w:rFonts w:ascii="Times New Roman" w:hAnsi="Times New Roman" w:cs="Times New Roman"/>
          <w:iCs/>
          <w:noProof/>
          <w:sz w:val="24"/>
          <w:szCs w:val="24"/>
          <w14:ligatures w14:val="standardContextual"/>
        </w:rPr>
        <w:t>).</w:t>
      </w:r>
    </w:p>
    <w:p w14:paraId="5D691EBA" w14:textId="77777777" w:rsidR="00686ED6" w:rsidRPr="00296255" w:rsidRDefault="00686ED6" w:rsidP="00BD3695">
      <w:pPr>
        <w:spacing w:after="0" w:line="480" w:lineRule="auto"/>
        <w:jc w:val="both"/>
        <w:rPr>
          <w:rFonts w:ascii="Times New Roman" w:hAnsi="Times New Roman" w:cs="Times New Roman"/>
          <w:noProof/>
          <w:sz w:val="24"/>
          <w:szCs w:val="24"/>
          <w:lang w:val="en-IN"/>
          <w14:ligatures w14:val="standardContextual"/>
        </w:rPr>
      </w:pPr>
      <m:oMath>
        <m:r>
          <m:rPr>
            <m:sty m:val="bi"/>
          </m:rPr>
          <w:rPr>
            <w:rFonts w:ascii="Cambria Math" w:hAnsi="Cambria Math" w:cs="Times New Roman"/>
            <w:noProof/>
            <w:sz w:val="24"/>
            <w:szCs w:val="24"/>
            <w14:ligatures w14:val="standardContextual"/>
          </w:rPr>
          <m:t>​</m:t>
        </m:r>
        <m:sSub>
          <m:sSubPr>
            <m:ctrlPr>
              <w:rPr>
                <w:rFonts w:ascii="Cambria Math" w:hAnsi="Cambria Math" w:cs="Times New Roman"/>
                <w:i/>
                <w:noProof/>
                <w:sz w:val="24"/>
                <w:szCs w:val="24"/>
                <w14:ligatures w14:val="standardContextual"/>
              </w:rPr>
            </m:ctrlPr>
          </m:sSubPr>
          <m:e>
            <m:r>
              <w:rPr>
                <w:rFonts w:ascii="Cambria Math" w:hAnsi="Cambria Math" w:cs="Times New Roman"/>
                <w:noProof/>
                <w:sz w:val="24"/>
                <w:szCs w:val="24"/>
                <w14:ligatures w14:val="standardContextual"/>
              </w:rPr>
              <m:t>Q</m:t>
            </m:r>
          </m:e>
          <m:sub>
            <m:r>
              <w:rPr>
                <w:rFonts w:ascii="Cambria Math" w:hAnsi="Cambria Math" w:cs="Times New Roman"/>
                <w:noProof/>
                <w:sz w:val="24"/>
                <w:szCs w:val="24"/>
                <w14:ligatures w14:val="standardContextual"/>
              </w:rPr>
              <m:t>BEQ</m:t>
            </m:r>
          </m:sub>
        </m:sSub>
        <m:r>
          <w:rPr>
            <w:rFonts w:ascii="Cambria Math" w:hAnsi="Cambria Math" w:cs="Times New Roman"/>
            <w:noProof/>
            <w:sz w:val="24"/>
            <w:szCs w:val="24"/>
            <w14:ligatures w14:val="standardContextual"/>
          </w:rPr>
          <m:t>=</m:t>
        </m:r>
        <m:f>
          <m:fPr>
            <m:ctrlPr>
              <w:rPr>
                <w:rFonts w:ascii="Cambria Math" w:hAnsi="Cambria Math" w:cs="Times New Roman"/>
                <w:i/>
                <w:noProof/>
                <w:sz w:val="24"/>
                <w:szCs w:val="24"/>
                <w:lang w:val="en-IN"/>
                <w14:ligatures w14:val="standardContextual"/>
              </w:rPr>
            </m:ctrlPr>
          </m:fPr>
          <m:num>
            <m:r>
              <w:rPr>
                <w:rFonts w:ascii="Cambria Math" w:hAnsi="Cambria Math" w:cs="Times New Roman"/>
                <w:noProof/>
                <w:sz w:val="24"/>
                <w:szCs w:val="24"/>
                <w14:ligatures w14:val="standardContextual"/>
              </w:rPr>
              <m:t>​</m:t>
            </m:r>
            <m:sSub>
              <m:sSubPr>
                <m:ctrlPr>
                  <w:rPr>
                    <w:rFonts w:ascii="Cambria Math" w:hAnsi="Cambria Math" w:cs="Times New Roman"/>
                    <w:iCs/>
                    <w:noProof/>
                    <w:sz w:val="24"/>
                    <w:szCs w:val="24"/>
                    <w:vertAlign w:val="subscript"/>
                    <w14:ligatures w14:val="standardContextual"/>
                  </w:rPr>
                </m:ctrlPr>
              </m:sSubPr>
              <m:e>
                <m:r>
                  <w:rPr>
                    <w:rFonts w:ascii="Cambria Math" w:hAnsi="Cambria Math" w:cs="Times New Roman"/>
                    <w:noProof/>
                    <w:sz w:val="24"/>
                    <w:szCs w:val="24"/>
                    <w14:ligatures w14:val="standardContextual"/>
                  </w:rPr>
                  <m:t>C</m:t>
                </m:r>
              </m:e>
              <m:sub>
                <m:r>
                  <m:rPr>
                    <m:sty m:val="p"/>
                  </m:rPr>
                  <w:rPr>
                    <w:rFonts w:ascii="Cambria Math" w:hAnsi="Cambria Math" w:cs="Times New Roman"/>
                    <w:noProof/>
                    <w:sz w:val="24"/>
                    <w:szCs w:val="24"/>
                    <w:vertAlign w:val="subscript"/>
                    <w14:ligatures w14:val="standardContextual"/>
                  </w:rPr>
                  <m:t>fixed, annual​</m:t>
                </m:r>
              </m:sub>
            </m:sSub>
            <m:r>
              <m:rPr>
                <m:sty m:val="p"/>
              </m:rPr>
              <w:rPr>
                <w:rFonts w:ascii="Cambria Math" w:hAnsi="Cambria Math" w:cs="Times New Roman"/>
                <w:noProof/>
                <w:sz w:val="24"/>
                <w:szCs w:val="24"/>
                <w14:ligatures w14:val="standardContextual"/>
              </w:rPr>
              <m:t xml:space="preserve"> </m:t>
            </m:r>
          </m:num>
          <m:den>
            <m:sSub>
              <m:sSubPr>
                <m:ctrlPr>
                  <w:rPr>
                    <w:rFonts w:ascii="Cambria Math" w:hAnsi="Cambria Math" w:cs="Times New Roman"/>
                    <w:noProof/>
                    <w:sz w:val="24"/>
                    <w:szCs w:val="24"/>
                    <w14:ligatures w14:val="standardContextual"/>
                  </w:rPr>
                </m:ctrlPr>
              </m:sSubPr>
              <m:e>
                <m:r>
                  <w:rPr>
                    <w:rFonts w:ascii="Cambria Math" w:hAnsi="Cambria Math" w:cs="Times New Roman"/>
                    <w:noProof/>
                    <w:sz w:val="24"/>
                    <w:szCs w:val="24"/>
                    <w14:ligatures w14:val="standardContextual"/>
                  </w:rPr>
                  <m:t>P</m:t>
                </m:r>
              </m:e>
              <m:sub>
                <m:r>
                  <m:rPr>
                    <m:sty m:val="p"/>
                  </m:rPr>
                  <w:rPr>
                    <w:rFonts w:ascii="Cambria Math" w:hAnsi="Cambria Math" w:cs="Times New Roman"/>
                    <w:noProof/>
                    <w:sz w:val="24"/>
                    <w:szCs w:val="24"/>
                    <w:vertAlign w:val="subscript"/>
                    <w14:ligatures w14:val="standardContextual"/>
                  </w:rPr>
                  <m:t>sell</m:t>
                </m:r>
              </m:sub>
            </m:sSub>
            <m:r>
              <m:rPr>
                <m:sty m:val="p"/>
              </m:rPr>
              <w:rPr>
                <w:rFonts w:ascii="Cambria Math" w:hAnsi="Cambria Math" w:cs="Times New Roman"/>
                <w:noProof/>
                <w:sz w:val="24"/>
                <w:szCs w:val="24"/>
                <w14:ligatures w14:val="standardContextual"/>
              </w:rPr>
              <m:t xml:space="preserve"> ​</m:t>
            </m:r>
            <m:sSub>
              <m:sSubPr>
                <m:ctrlPr>
                  <w:rPr>
                    <w:rFonts w:ascii="Cambria Math" w:hAnsi="Cambria Math" w:cs="Times New Roman"/>
                    <w:noProof/>
                    <w:sz w:val="24"/>
                    <w:szCs w:val="24"/>
                    <w14:ligatures w14:val="standardContextual"/>
                  </w:rPr>
                </m:ctrlPr>
              </m:sSubPr>
              <m:e>
                <m:r>
                  <w:rPr>
                    <w:rFonts w:ascii="Cambria Math" w:hAnsi="Cambria Math" w:cs="Times New Roman"/>
                    <w:noProof/>
                    <w:sz w:val="24"/>
                    <w:szCs w:val="24"/>
                    <w14:ligatures w14:val="standardContextual"/>
                  </w:rPr>
                  <m:t>- C</m:t>
                </m:r>
              </m:e>
              <m:sub>
                <m:r>
                  <m:rPr>
                    <m:sty m:val="p"/>
                  </m:rPr>
                  <w:rPr>
                    <w:rFonts w:ascii="Cambria Math" w:hAnsi="Cambria Math" w:cs="Times New Roman"/>
                    <w:noProof/>
                    <w:sz w:val="24"/>
                    <w:szCs w:val="24"/>
                    <w:vertAlign w:val="subscript"/>
                    <w14:ligatures w14:val="standardContextual"/>
                  </w:rPr>
                  <m:t>var</m:t>
                </m:r>
              </m:sub>
            </m:sSub>
            <m:r>
              <m:rPr>
                <m:sty m:val="p"/>
              </m:rPr>
              <w:rPr>
                <w:rFonts w:ascii="Cambria Math" w:hAnsi="Cambria Math" w:cs="Times New Roman"/>
                <w:noProof/>
                <w:sz w:val="24"/>
                <w:szCs w:val="24"/>
                <w14:ligatures w14:val="standardContextual"/>
              </w:rPr>
              <m:t>​</m:t>
            </m:r>
          </m:den>
        </m:f>
      </m:oMath>
      <w:r w:rsidRPr="00296255">
        <w:rPr>
          <w:rFonts w:ascii="Times New Roman" w:hAnsi="Times New Roman" w:cs="Times New Roman"/>
          <w:noProof/>
          <w:sz w:val="24"/>
          <w:szCs w:val="24"/>
          <w:lang w:val="en-IN"/>
          <w14:ligatures w14:val="standardContextual"/>
        </w:rPr>
        <w:t xml:space="preserve"> ………………………………………... (4.6)</w:t>
      </w:r>
    </w:p>
    <w:p w14:paraId="24CCBD02" w14:textId="77777777" w:rsidR="00686ED6" w:rsidRPr="00296255" w:rsidRDefault="00686ED6" w:rsidP="00BD3695">
      <w:pPr>
        <w:spacing w:after="0" w:line="480" w:lineRule="auto"/>
        <w:jc w:val="both"/>
        <w:rPr>
          <w:rFonts w:ascii="Times New Roman" w:hAnsi="Times New Roman" w:cs="Times New Roman"/>
          <w:iCs/>
          <w:noProof/>
          <w:sz w:val="24"/>
          <w:szCs w:val="24"/>
          <w14:ligatures w14:val="standardContextual"/>
        </w:rPr>
      </w:pPr>
      <w:r w:rsidRPr="00296255">
        <w:rPr>
          <w:rFonts w:ascii="Times New Roman" w:hAnsi="Times New Roman" w:cs="Times New Roman"/>
          <w:iCs/>
          <w:noProof/>
          <w:sz w:val="24"/>
          <w:szCs w:val="24"/>
          <w14:ligatures w14:val="standardContextual"/>
        </w:rPr>
        <w:t>The break-even sale was then determined by multiplying the break-even quantity with the selling price of the film, as expressed in equation (4.7).</w:t>
      </w:r>
    </w:p>
    <w:p w14:paraId="5D7BBDBB" w14:textId="77777777" w:rsidR="00686ED6" w:rsidRPr="00296255" w:rsidRDefault="00686ED6" w:rsidP="00BD3695">
      <w:pPr>
        <w:spacing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Break-even Sale =</w:t>
      </w:r>
      <w:r w:rsidRPr="00296255">
        <w:rPr>
          <w:rFonts w:ascii="Times New Roman" w:hAnsi="Times New Roman" w:cs="Times New Roman"/>
          <w:b/>
          <w:bCs/>
          <w:noProof/>
          <w:sz w:val="24"/>
          <w:szCs w:val="24"/>
          <w14:ligatures w14:val="standardContextual"/>
        </w:rPr>
        <w:t xml:space="preserve"> ​</w:t>
      </w:r>
      <m:oMath>
        <m:sSub>
          <m:sSubPr>
            <m:ctrlPr>
              <w:rPr>
                <w:rFonts w:ascii="Cambria Math" w:hAnsi="Cambria Math" w:cs="Times New Roman"/>
                <w:i/>
                <w:noProof/>
                <w:sz w:val="24"/>
                <w:szCs w:val="24"/>
                <w14:ligatures w14:val="standardContextual"/>
              </w:rPr>
            </m:ctrlPr>
          </m:sSubPr>
          <m:e>
            <m:r>
              <w:rPr>
                <w:rFonts w:ascii="Cambria Math" w:hAnsi="Cambria Math" w:cs="Times New Roman"/>
                <w:noProof/>
                <w:sz w:val="24"/>
                <w:szCs w:val="24"/>
                <w14:ligatures w14:val="standardContextual"/>
              </w:rPr>
              <m:t>Q</m:t>
            </m:r>
          </m:e>
          <m:sub>
            <m:r>
              <w:rPr>
                <w:rFonts w:ascii="Cambria Math" w:hAnsi="Cambria Math" w:cs="Times New Roman"/>
                <w:noProof/>
                <w:sz w:val="24"/>
                <w:szCs w:val="24"/>
                <w14:ligatures w14:val="standardContextual"/>
              </w:rPr>
              <m:t>BEQ</m:t>
            </m:r>
          </m:sub>
        </m:sSub>
        <m:r>
          <w:rPr>
            <w:rFonts w:ascii="Cambria Math" w:hAnsi="Cambria Math" w:cs="Times New Roman"/>
            <w:noProof/>
            <w:sz w:val="24"/>
            <w:szCs w:val="24"/>
            <w14:ligatures w14:val="standardContextual"/>
          </w:rPr>
          <m:t xml:space="preserve"> × </m:t>
        </m:r>
        <m:sSub>
          <m:sSubPr>
            <m:ctrlPr>
              <w:rPr>
                <w:rFonts w:ascii="Cambria Math" w:hAnsi="Cambria Math" w:cs="Times New Roman"/>
                <w:noProof/>
                <w:sz w:val="24"/>
                <w:szCs w:val="24"/>
                <w14:ligatures w14:val="standardContextual"/>
              </w:rPr>
            </m:ctrlPr>
          </m:sSubPr>
          <m:e>
            <m:r>
              <w:rPr>
                <w:rFonts w:ascii="Cambria Math" w:hAnsi="Cambria Math" w:cs="Times New Roman"/>
                <w:noProof/>
                <w:sz w:val="24"/>
                <w:szCs w:val="24"/>
                <w14:ligatures w14:val="standardContextual"/>
              </w:rPr>
              <m:t>P</m:t>
            </m:r>
          </m:e>
          <m:sub>
            <m:r>
              <m:rPr>
                <m:sty m:val="p"/>
              </m:rPr>
              <w:rPr>
                <w:rFonts w:ascii="Cambria Math" w:hAnsi="Cambria Math" w:cs="Times New Roman"/>
                <w:noProof/>
                <w:sz w:val="24"/>
                <w:szCs w:val="24"/>
                <w:vertAlign w:val="subscript"/>
                <w14:ligatures w14:val="standardContextual"/>
              </w:rPr>
              <m:t>sell</m:t>
            </m:r>
          </m:sub>
        </m:sSub>
      </m:oMath>
      <w:r w:rsidRPr="00296255">
        <w:rPr>
          <w:rFonts w:ascii="Times New Roman" w:hAnsi="Times New Roman" w:cs="Times New Roman"/>
          <w:noProof/>
          <w:sz w:val="24"/>
          <w:szCs w:val="24"/>
          <w14:ligatures w14:val="standardContextual"/>
        </w:rPr>
        <w:t xml:space="preserve"> …………………………... (4.7)</w:t>
      </w:r>
    </w:p>
    <w:p w14:paraId="6F2A9E20" w14:textId="3D451CF0" w:rsidR="00686ED6" w:rsidRPr="00296255" w:rsidRDefault="00686ED6" w:rsidP="00BD3695">
      <w:pPr>
        <w:spacing w:after="0"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lastRenderedPageBreak/>
        <w:t>the purpose of each treatment, Table 3 displays the computed break-even quantity and break-even sale values. According to the findings, the break-even quantity (</w:t>
      </w:r>
      <w:r w:rsidRPr="00296255">
        <w:rPr>
          <w:rFonts w:ascii="Times New Roman" w:hAnsi="Times New Roman" w:cs="Times New Roman"/>
          <w:i/>
          <w:noProof/>
          <w:sz w:val="24"/>
          <w:szCs w:val="24"/>
          <w14:ligatures w14:val="standardContextual"/>
        </w:rPr>
        <w:t>Q</w:t>
      </w:r>
      <w:r w:rsidRPr="00296255">
        <w:rPr>
          <w:rFonts w:ascii="Times New Roman" w:hAnsi="Times New Roman" w:cs="Times New Roman"/>
          <w:iCs/>
          <w:noProof/>
          <w:sz w:val="24"/>
          <w:szCs w:val="24"/>
          <w:vertAlign w:val="subscript"/>
          <w14:ligatures w14:val="standardContextual"/>
        </w:rPr>
        <w:t>BEQ</w:t>
      </w:r>
      <w:r w:rsidRPr="00296255">
        <w:rPr>
          <w:rFonts w:ascii="Times New Roman" w:hAnsi="Times New Roman" w:cs="Times New Roman"/>
          <w:noProof/>
          <w:sz w:val="24"/>
          <w:szCs w:val="24"/>
          <w14:ligatures w14:val="standardContextual"/>
        </w:rPr>
        <w:t xml:space="preserve">) of biodegradable films varied by formulation, ranging from 30,973 to 33,741 kg/year. As previously noted, Treatment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1</w:t>
      </w:r>
      <w:r w:rsidRPr="00296255">
        <w:rPr>
          <w:rFonts w:ascii="Times New Roman" w:hAnsi="Times New Roman" w:cs="Times New Roman"/>
          <w:noProof/>
          <w:sz w:val="24"/>
          <w:szCs w:val="24"/>
          <w14:ligatures w14:val="standardContextual"/>
        </w:rPr>
        <w:t xml:space="preserve"> had the greatest break-even quantity (33,741 kg/year) and break-even sale (₹16,870,500/year), which was in line with its higher production cost per kilogram (Table 3). </w:t>
      </w: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3</w:t>
      </w:r>
      <w:r w:rsidRPr="00296255">
        <w:rPr>
          <w:rFonts w:ascii="Times New Roman" w:hAnsi="Times New Roman" w:cs="Times New Roman"/>
          <w:noProof/>
          <w:sz w:val="24"/>
          <w:szCs w:val="24"/>
          <w14:ligatures w14:val="standardContextual"/>
        </w:rPr>
        <w:t>, on the other hand, had the lowest break-even quantity (30,973 kg/year) and break-even sale (₹15,486,500/year), which was explained by the lower manufacturing costs brought about by a higher starch substitution.</w:t>
      </w:r>
    </w:p>
    <w:p w14:paraId="510120BE" w14:textId="77777777" w:rsidR="00686ED6" w:rsidRPr="00296255" w:rsidRDefault="00686ED6" w:rsidP="00BD3695">
      <w:pPr>
        <w:spacing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 xml:space="preserve">This analysis showed that raising the starch percentage in PBAT–starch–nanoclay formulations reduced the break-even requirement and production costs, making the technique more economically feasible. A lower </w:t>
      </w:r>
      <w:r w:rsidRPr="00296255">
        <w:rPr>
          <w:rFonts w:ascii="Times New Roman" w:hAnsi="Times New Roman" w:cs="Times New Roman"/>
          <w:i/>
          <w:noProof/>
          <w:sz w:val="24"/>
          <w:szCs w:val="24"/>
          <w14:ligatures w14:val="standardContextual"/>
        </w:rPr>
        <w:t>Q</w:t>
      </w:r>
      <w:r w:rsidRPr="00296255">
        <w:rPr>
          <w:rFonts w:ascii="Times New Roman" w:hAnsi="Times New Roman" w:cs="Times New Roman"/>
          <w:iCs/>
          <w:noProof/>
          <w:sz w:val="24"/>
          <w:szCs w:val="24"/>
          <w:vertAlign w:val="subscript"/>
          <w14:ligatures w14:val="standardContextual"/>
        </w:rPr>
        <w:t>BEQ</w:t>
      </w:r>
      <w:r w:rsidRPr="00296255">
        <w:rPr>
          <w:rFonts w:ascii="Times New Roman" w:hAnsi="Times New Roman" w:cs="Times New Roman"/>
          <w:noProof/>
          <w:sz w:val="24"/>
          <w:szCs w:val="24"/>
          <w14:ligatures w14:val="standardContextual"/>
        </w:rPr>
        <w:t xml:space="preserve"> and break-even sale indicated that a lesser production volume might still be profitable, which is advantageous for the industrial scaling up of biodegradable packaging materials. Similar findings were noted by </w:t>
      </w:r>
      <w:sdt>
        <w:sdtPr>
          <w:rPr>
            <w:rFonts w:ascii="Times New Roman" w:hAnsi="Times New Roman" w:cs="Times New Roman"/>
            <w:noProof/>
            <w:color w:val="000000"/>
            <w:sz w:val="24"/>
            <w:szCs w:val="24"/>
            <w14:ligatures w14:val="standardContextual"/>
          </w:rPr>
          <w:tag w:val="MENDELEY_CITATION_v3_eyJjaXRhdGlvbklEIjoiTUVOREVMRVlfQ0lUQVRJT05fM2FmNThlZGUtZmEyZi00M2Q2LWFlNTgtN2U0NWE5ODRlNGEzIiwicHJvcGVydGllcyI6eyJub3RlSW5kZXgiOjB9LCJpc0VkaXRlZCI6ZmFsc2UsIm1hbnVhbE92ZXJyaWRlIjp7ImlzTWFudWFsbHlPdmVycmlkZGVuIjp0cnVlLCJjaXRlcHJvY1RleHQiOiIoRmVybsOhbmRlei1CZWRveWEgZXQgYWwuLCAyMDI0KSIsIm1hbnVhbE92ZXJyaWRlVGV4dCI6IkZlcm7DoW5kZXotQmVkb3lhIGV0IGFsLiwgKDIwMjQpIn0sImNpdGF0aW9uSXRlbXMiOlt7ImlkIjoiNDRmNjE5Y2ItZDFiOC0zZTBmLWExZjctOGIyNmZjODJmZGIyIiwiaXRlbURhdGEiOnsidHlwZSI6ImFydGljbGUtam91cm5hbCIsImlkIjoiNDRmNjE5Y2ItZDFiOC0zZTBmLWExZjctOGIyNmZjODJmZGIyIiwidGl0bGUiOiJCcmVhay1FdmVuIFBvaW50IGFuZCBpdHMgSW1wYWN0IG9uIFByb2ZpdCBQbGFubmluZyBpbiBFZHVjYXRpb25hbCBJbnN0aXR1dGlvbnM6IEEgU3R1ZHkgQ29uZHVjdGVkIGluIExpbWEsIFBlcnUsIDIwMjIiLCJhdXRob3IiOlt7ImZhbWlseSI6IkZlcm7DoW5kZXotQmVkb3lhIiwiZ2l2ZW4iOiJWw61jdG9yIEh1Z28iLCJwYXJzZS1uYW1lcyI6ZmFsc2UsImRyb3BwaW5nLXBhcnRpY2xlIjoiIiwibm9uLWRyb3BwaW5nLXBhcnRpY2xlIjoiIn0seyJmYW1pbHkiOiJTdXlvLVZlZ2EiLCJnaXZlbiI6Ikpvc2VmaW5hIEFtYW5kYSIsInBhcnNlLW5hbWVzIjpmYWxzZSwiZHJvcHBpbmctcGFydGljbGUiOiIiLCJub24tZHJvcHBpbmctcGFydGljbGUiOiIifSx7ImZhbWlseSI6Ik1lbmVzZXMtTGEtUml2YSIsImdpdmVuIjoiTW9uaWNhIEVsaXNhIiwicGFyc2UtbmFtZXMiOmZhbHNlLCJkcm9wcGluZy1wYXJ0aWNsZSI6IiIsIm5vbi1kcm9wcGluZy1wYXJ0aWNsZSI6IiJ9LHsiZmFtaWx5IjoiR3JpamFsdmEtU2FsYXphciIsImdpdmVuIjoiUm9zYXJpbyBWaW9sZXRhIiwicGFyc2UtbmFtZXMiOmZhbHNlLCJkcm9wcGluZy1wYXJ0aWNsZSI6IiIsIm5vbi1kcm9wcGluZy1wYXJ0aWNsZSI6IiJ9XSwiY29udGFpbmVyLXRpdGxlIjoiQWNhZGVtaWMgSm91cm5hbCBvZiBJbnRlcmRpc2NpcGxpbmFyeSBTdHVkaWVzIiwiRE9JIjoiMTAuMzY5NDEvYWppcy0yMDI0LTAwODIiLCJJU1NOIjoiMjI4MS00NjEyIiwiaXNzdWVkIjp7ImRhdGUtcGFydHMiOltbMjAyNCw1LDVdXX0sInBhZ2UiOiIzMDIiLCJhYnN0cmFjdCI6IjxwPlRoZSBicmVhay1ldmVuIHBvaW50IGlzIGEgdGVjaG5pcXVlIGZvciBhbmFseXppbmcgdGhlIHJlbGF0aW9uc2hpcCBiZXR3ZWVuIGNvc3RzLCB2b2x1bWVzIGFuZCBwcm9maXRzIGluIG9yZ2FuaXphdGlvbnMsIHdoaWNoIGFsbG93cyB0aGVpciBtYW5hZ2VycyB0byBrbm93IHF1aWNrbHkgYW5kIGVjb25vbWljYWxseSB0aGUgbWluaW11bSB1bml0cyBvciBhbW91bnRzIHRoYXQgdGhlaXIgY29tcGFuaWVzIG11c3Qgc2VsbCBpbiBvcmRlciBub3QgdG8gZ2VuZXJhdGUgbG9zc2VzLCB0aHVzIGFsbG93aW5nIHRoZW0gdG8gcGxhbiB0aGVpciBwcm9maXRzLiBEdWUgdG8gdGhlIHBhbmRlbWljIGNhdXNlZCBieSB0aGUgU2Fycy1Db3YtMiAoQ09WSUQtMTkgdmlydXMpLCB2aXJ0dWFsIHRlYWNoaW5nIGJlY2FtZSBwb3B1bGFyLCB3aGljaCBzZXJ2ZWQgYXMgYW4gb3Bwb3J0dW5pdHkgZm9yIG1hbnkgdGVhY2hlcnMgdG8gc3RhcnQgdGVhY2hpbmcgY291cnNlczsgd2l0aCB0aW1lLCB0aGVzZSBlbnRyZXByZW5ldXJzIHBhaWQgYXR0ZW50aW9uIHRvIHRoZSBpbXBvcnRhbmNlIG9mIHRoZSBicmVhay1ldmVuIHBvaW50IGZvciBtYWtpbmcgZGVjaXNpb25zIHJlbGF0ZWQgdG8gdGhlIG9wZW5pbmcgb2YgbmV3IHNlY3Rpb25zIG9mIGV4aXN0aW5nIGNvdXJzZXMsIG9yIHRoZSBpbXBsZW1lbnRhdGlvbiBvZiBuZXcgc3R1ZHkgcHJvZ3JhbXMuIFRoZSBvYmplY3RpdmUgb2YgdGhpcyBzdHVkeSB3YXMgdG8gZGV0ZXJtaW5lIHRoZSBpbXBhY3Qgb2YgdGhlIGJyZWFrLWV2ZW4gcG9pbnQgaW4gcHJvZml0IHBsYW5uaW5nIGluIGVkdWNhdGlvbmFsIGluc3RpdHV0aW9ucyBpbiBMaW1hLCAyMDIyLiBUaGUgaHlwb3RoZXNpcyB3YXM6IHRoZSBicmVhay1ldmVuIHBvaW50IGhhcyBhbiBpbXBhY3Qgb24gcHJvZml0IHBsYW5uaW5nIGluIGVkdWNhdGlvbmFsIGluc3RpdHV0aW9ucyBpbiBMaW1hLCAyMDIyLiBUaHJvdWdoIGEgcXVhbnRpdGF0aXZlIGFwcHJvYWNoIHN0dWR5LCBhcHBsaWVkIHR5cGUsIGV4cGxhbmF0b3J5IGxldmVsLCBub24tZXhwZXJpbWVudGFsIGFuZCBjcm9zcy1zZWN0aW9uYWwgZGVzaWduLCBkYXRhIHdhcyBjb2xsZWN0ZWQgZnJvbSA5MSBlbnRyZXByZW5ldXJzIHdobyBjYXJyaWVkIG91dCB0ZWFjaGluZyBhY3Rpdml0aWVzIG9uIHZpcnR1YWwgcGxhdGZvcm1zLiBUaGUgcmVzdWx0cyBvYnRhaW5lZCBjb25maXJtZWQgdGhlIGluZmx1ZW5jZSBvZiB0aGUgYnJlYWstZXZlbiBwb2ludCBjYWxjdWxhdGlvbiBvbiBwcm9maXQgcGxhbm5pbmcgaW4gdGhpcyBjb250ZXh0LCBtb2RlbGluZyBpdCB3aXRoIHRoZSBmb2xsb3dpbmcgZm9ybXVsYTogcHJvZml0IHBsYW5uaW5nPTAuMTAxKzAuOTc5IHggYnJlYWstZXZlbiBwb2ludC4mIzEzOyDCoCYjMTM7IFJlY2VpdmVkOiAyMCBOb3ZlbWJlciAyMDIzIC8gQWNjZXB0ZWQ6IDI0IEFwcmlsIDIwMjQgLyBQdWJsaXNoZWQ6IDUgTWF5IDIwMjQ8L3A+IiwiaXNzdWUiOiIzIiwidm9sdW1lIjoiMTMiLCJjb250YWluZXItdGl0bGUtc2hvcnQiOiIifSwiaXNUZW1wb3JhcnkiOmZhbHNlfV19"/>
          <w:id w:val="-104736221"/>
          <w:placeholder>
            <w:docPart w:val="C382101AD8A04DC78F376E8ADBC08A64"/>
          </w:placeholder>
        </w:sdtPr>
        <w:sdtEndPr/>
        <w:sdtContent>
          <w:r w:rsidRPr="00296255">
            <w:rPr>
              <w:rFonts w:ascii="Times New Roman" w:hAnsi="Times New Roman" w:cs="Times New Roman"/>
              <w:noProof/>
              <w:color w:val="000000"/>
              <w:sz w:val="24"/>
              <w:szCs w:val="24"/>
              <w14:ligatures w14:val="standardContextual"/>
            </w:rPr>
            <w:t>Fernández-Bedoya et al., (2024)</w:t>
          </w:r>
        </w:sdtContent>
      </w:sdt>
      <w:r w:rsidRPr="00296255">
        <w:rPr>
          <w:rFonts w:ascii="Times New Roman" w:hAnsi="Times New Roman" w:cs="Times New Roman"/>
          <w:noProof/>
          <w:sz w:val="24"/>
          <w:szCs w:val="24"/>
          <w14:ligatures w14:val="standardContextual"/>
        </w:rPr>
        <w:t xml:space="preserve">, who emphasized that the composition of raw materials has a major impact on break-even output in the polymer processing industries. Additionally, </w:t>
      </w:r>
      <w:sdt>
        <w:sdtPr>
          <w:rPr>
            <w:rFonts w:ascii="Times New Roman" w:hAnsi="Times New Roman" w:cs="Times New Roman"/>
            <w:noProof/>
            <w:color w:val="000000"/>
            <w:sz w:val="24"/>
            <w:szCs w:val="24"/>
            <w14:ligatures w14:val="standardContextual"/>
          </w:rPr>
          <w:tag w:val="MENDELEY_CITATION_v3_eyJjaXRhdGlvbklEIjoiTUVOREVMRVlfQ0lUQVRJT05fOTk0OTFlNDItMmFhNC00ODZmLTg5YzktOGFkZWIzMTBmMjlmIiwicHJvcGVydGllcyI6eyJub3RlSW5kZXgiOjB9LCJpc0VkaXRlZCI6ZmFsc2UsIm1hbnVhbE92ZXJyaWRlIjp7ImlzTWFudWFsbHlPdmVycmlkZGVuIjp0cnVlLCJjaXRlcHJvY1RleHQiOiIoRGhhbHNhbWFudCBldCBhbC4sIDIwMjUpIiwibWFudWFsT3ZlcnJpZGVUZXh0IjoiRGhhbHNhbWFudCBldCBhbC4sICgyMDI1KSJ9LCJjaXRhdGlvbkl0ZW1zIjpbeyJpZCI6ImRjZWMxZjNiLTRkMmMtM2E4ZC04MTcyLTk2NDg5Y2YwZTU2MyIsIml0ZW1EYXRhIjp7InR5cGUiOiJhcnRpY2xlLWpvdXJuYWwiLCJpZCI6ImRjZWMxZjNiLTRkMmMtM2E4ZC04MTcyLTk2NDg5Y2YwZTU2MyIsInRpdGxlIjoiQmlvZGVncmFkYWJsZSBDYXJib2h5ZHJhdGUtQmFzZWQgRmlsbXMgZm9yIFBhY2thZ2luZyBBZ3JpY3VsdHVyYWwgUHJvZHVjdHPigJRBIFJldmlldyIsImF1dGhvciI6W3siZmFtaWx5IjoiRGhhbHNhbWFudCIsImdpdmVuIjoiS3NoYW5hcHJhdmEiLCJwYXJzZS1uYW1lcyI6ZmFsc2UsImRyb3BwaW5nLXBhcnRpY2xlIjoiIiwibm9uLWRyb3BwaW5nLXBhcnRpY2xlIjoiIn0seyJmYW1pbHkiOiJEYWxhaSIsImdpdmVuIjoiQXN1dG9zaCIsInBhcnNlLW5hbWVzIjpmYWxzZSwiZHJvcHBpbmctcGFydGljbGUiOiIiLCJub24tZHJvcHBpbmctcGFydGljbGUiOiIifSx7ImZhbWlseSI6IlBhdHRuYWlrIiwiZ2l2ZW4iOiJGYWxndW5pIiwicGFyc2UtbmFtZXMiOmZhbHNlLCJkcm9wcGluZy1wYXJ0aWNsZSI6IiIsIm5vbi1kcm9wcGluZy1wYXJ0aWNsZSI6IiJ9LHsiZmFtaWx5IjoiQWNoYXJ5YSIsImdpdmVuIjoiQmlzaG51IiwicGFyc2UtbmFtZXMiOmZhbHNlLCJkcm9wcGluZy1wYXJ0aWNsZSI6IiIsIm5vbi1kcm9wcGluZy1wYXJ0aWNsZSI6IiJ9XSwiY29udGFpbmVyLXRpdGxlIjoiUG9seW1lcnMiLCJjb250YWluZXItdGl0bGUtc2hvcnQiOiJQb2x5bWVycyAoQmFzZWwpIiwiRE9JIjoiMTAuMzM5MC9wb2x5bTE3MTAxMzI1IiwiSVNTTiI6IjIwNzMtNDM2MCIsImlzc3VlZCI6eyJkYXRlLXBhcnRzIjpbWzIwMjUsNSwxM11dfSwicGFnZSI6IjEzMjUiLCJhYnN0cmFjdCI6IjxwPkNhcmJvaHlkcmF0ZS1iYXNlZCBiaW9kZWdyYWRhYmxlIGZpbG1zIG9mZmVyIGFuIGVjby1mcmllbmRseSBhbHRlcm5hdGl2ZSB0byBjb252ZW50aW9uYWwgcGV0cm9sZXVtLWRlcml2ZWQgcGFja2FnaW5nIGZvciBhZ3JpY3VsdHVyYWwgY29tbW9kaXRpZXMuIERlcml2ZWQgZnJvbSByZW5ld2FibGUgcG9seXNhY2NoYXJpZGVzIHN1Y2ggYXMgc3RhcmNoLCBjZWxsdWxvc2UsIGNoaXRvc2FuLCBwZWN0aW4sIGFsZ2luYXRlLCBwdWxsdWxhbiwgYW5kIHhhbnRoYW4gZ3VtLCB0aGVzZSBmaWxtcyBleGhpYml0IGZhdm9yYWJsZSBiaW9kZWdyYWRhYmlsaXR5LCBmaWxtLWZvcm1pbmcgYWJpbGl0eSwgYW5kIGNvbXBhdGliaWxpdHkgd2l0aCBmb29kIHN5c3RlbXMuIFRoaXMgcmV2aWV3IHByZXNlbnRzIGEgY29tcHJlaGVuc2l2ZSBhbmFseXNpcyBvZiByZWNlbnQgZGV2ZWxvcG1lbnRzIGluIHRoZSBwcmVwYXJhdGlvbiwgZnVuY3Rpb25hbGl6YXRpb24sIGFuZCBhcHBsaWNhdGlvbiBvZiB0aGVzZSBwb2x5c2FjY2hhcmlkZS1iYXNlZCBmaWxtcyBmb3IgYWdyaWN1bHR1cmFsIHBhY2thZ2luZy4gRW1waGFzaXMgaXMgcGxhY2VkIG9uIGVtZXJnaW5nIGZhYnJpY2F0aW9uIHRlY2huaXF1ZXMsIGluY2x1ZGluZyBlbGVjdHJvc3Bpbm5pbmcsIGV4dHJ1c2lvbiwgYW5kIGxheWVyLWJ5LWxheWVyIGFzc2VtYmx5LCB3aGljaCBoYXZlIHNpZ25pZmljYW50bHkgZW5oYW5jZWQgdGhlIG1lY2hhbmljYWwsIGJhcnJpZXIsIGFuZCBhbnRpbWljcm9iaWFsIHByb3BlcnRpZXMgb2YgdGhlc2UgbWF0ZXJpYWxzLiBGdXJ0aGVybW9yZSwgdGhlIGluY29ycG9yYXRpb24gb2YgYWN0aXZlIGNvbXBvdW5kcyBzdWNoIGFzIGFudGlveGlkYW50cyBhbmQgYW50aW1pY3JvYmlhbHMgaGFzIGltcHJvdmVkIHRoZSBwZXJmb3JtYW5jZSBhbmQgc2hlbGYtbGlmZSBvZiBwYWNrYWdlZCBnb29kcy4gRGVzcGl0ZSBub3RhYmxlIGFkdmFuY2VtZW50cywga2V5IGxpbWl0YXRpb25zIHN1Y2ggYXMgbW9pc3R1cmUgc2Vuc2l0aXZpdHksIHBvb3IgbWVjaGFuaWNhbCBkdXJhYmlsaXR5LCBhbmQgaGlnaCBwcm9kdWN0aW9uIGNvc3RzIHBlcnNpc3QuIFN0cmF0ZWdpZXMgaW5jbHVkaW5nIHBvbHltZXIgYmxlbmRpbmcsIG5hbm9maWxsZXIgaW5jb3Jwb3JhdGlvbiwgYW5kIHN1cmZhY2UgbW9kaWZpY2F0aW9uIGFyZSBleHBsb3JlZCBhcyBwb3RlbnRpYWwgc29sdXRpb25zLiBUaGUgYXBwbGljYWJpbGl0eSBvZiB0aGVzZSBmaWxtcyBpbiBwYWNrYWdpbmcgZnJ1aXRzLCB2ZWdldGFibGVzLCBkYWlyeSwgZ3JhaW5zLCBhbmQgbWVhdCBwcm9kdWN0cyBpcyBhbHNvIGRpc2N1c3NlZC4gQnkgYXNzZXNzaW5nIGN1cnJlbnQgcHJvZ3Jlc3MgYW5kIGZ1dHVyZSBwcm9zcGVjdHMsIHRoaXMgcmV2aWV3IHVuZGVyc2NvcmVzIHRoZSBpbXBvcnRhbmNlIG9mIGNhcmJvaHlkcmF0ZS1iYXNlZCBmaWxtcyBpbiBwcm9tb3Rpbmcgc3VzdGFpbmFibGUgYWdyaWN1bHR1cmFsIHBhY2thZ2luZyBzeXN0ZW1zLCByZWR1Y2luZyBlbnZpcm9ubWVudGFsIGltcGFjdCB0aHJvdWdoIHRoZSBhZHZhbmNlbWVudCBvZiBjaXJjdWxhciBiaW9lY29ub215IHByaW5jaXBsZXMgYW5kIHN1c3RhaW5hYmxlIGRldmVsb3BtZW50LjwvcD4iLCJpc3N1ZSI6IjEwIiwidm9sdW1lIjoiMTcifSwiaXNUZW1wb3JhcnkiOmZhbHNlfV19"/>
          <w:id w:val="-1111512991"/>
          <w:placeholder>
            <w:docPart w:val="C382101AD8A04DC78F376E8ADBC08A64"/>
          </w:placeholder>
        </w:sdtPr>
        <w:sdtEndPr/>
        <w:sdtContent>
          <w:r w:rsidRPr="00296255">
            <w:rPr>
              <w:rFonts w:ascii="Times New Roman" w:hAnsi="Times New Roman" w:cs="Times New Roman"/>
              <w:noProof/>
              <w:color w:val="000000"/>
              <w:sz w:val="24"/>
              <w:szCs w:val="24"/>
              <w14:ligatures w14:val="standardContextual"/>
            </w:rPr>
            <w:t>Dhalsamant et al., (2025)</w:t>
          </w:r>
        </w:sdtContent>
      </w:sdt>
      <w:r w:rsidRPr="00296255">
        <w:rPr>
          <w:rFonts w:ascii="Times New Roman" w:hAnsi="Times New Roman" w:cs="Times New Roman"/>
          <w:noProof/>
          <w:sz w:val="24"/>
          <w:szCs w:val="24"/>
          <w14:ligatures w14:val="standardContextual"/>
        </w:rPr>
        <w:t xml:space="preserve"> highlighted that adding starch to biodegradable films increases economic viability by lowering reliance on pricey polymers derived from petroleum while simultaneously improving sustainability.</w:t>
      </w:r>
    </w:p>
    <w:p w14:paraId="33520140" w14:textId="77777777" w:rsidR="00686ED6" w:rsidRPr="00BD3695" w:rsidRDefault="00686ED6" w:rsidP="00BD3695">
      <w:pPr>
        <w:spacing w:line="480" w:lineRule="auto"/>
        <w:jc w:val="both"/>
        <w:rPr>
          <w:rFonts w:ascii="Times New Roman" w:hAnsi="Times New Roman" w:cs="Times New Roman"/>
          <w:noProof/>
          <w:sz w:val="24"/>
          <w:szCs w:val="24"/>
          <w14:ligatures w14:val="standardContextual"/>
        </w:rPr>
      </w:pPr>
      <w:r w:rsidRPr="00296255">
        <w:rPr>
          <w:rFonts w:ascii="Times New Roman" w:hAnsi="Times New Roman" w:cs="Times New Roman"/>
          <w:b/>
          <w:bCs/>
          <w:noProof/>
          <w:sz w:val="24"/>
          <w:szCs w:val="24"/>
          <w14:ligatures w14:val="standardContextual"/>
        </w:rPr>
        <w:t xml:space="preserve">Table 3. </w:t>
      </w:r>
      <w:r w:rsidRPr="00BD3695">
        <w:rPr>
          <w:rFonts w:ascii="Times New Roman" w:hAnsi="Times New Roman" w:cs="Times New Roman"/>
          <w:noProof/>
          <w:sz w:val="24"/>
          <w:szCs w:val="24"/>
          <w14:ligatures w14:val="standardContextual"/>
        </w:rPr>
        <w:t xml:space="preserve">Break-even analysis of film formulations </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4139"/>
        <w:gridCol w:w="3263"/>
      </w:tblGrid>
      <w:tr w:rsidR="00686ED6" w:rsidRPr="00296255" w14:paraId="79B6E6D7" w14:textId="77777777" w:rsidTr="0073039A">
        <w:trPr>
          <w:jc w:val="center"/>
        </w:trPr>
        <w:tc>
          <w:tcPr>
            <w:tcW w:w="862" w:type="pct"/>
            <w:tcBorders>
              <w:top w:val="single" w:sz="4" w:space="0" w:color="auto"/>
              <w:left w:val="nil"/>
              <w:bottom w:val="single" w:sz="4" w:space="0" w:color="auto"/>
              <w:right w:val="nil"/>
            </w:tcBorders>
            <w:vAlign w:val="center"/>
            <w:hideMark/>
          </w:tcPr>
          <w:p w14:paraId="6C06C120" w14:textId="77777777" w:rsidR="00686ED6" w:rsidRPr="00296255" w:rsidRDefault="00686ED6" w:rsidP="00BD3695">
            <w:pPr>
              <w:spacing w:line="480" w:lineRule="auto"/>
              <w:jc w:val="center"/>
              <w:rPr>
                <w:rFonts w:ascii="Times New Roman" w:hAnsi="Times New Roman" w:cs="Times New Roman"/>
                <w:b/>
                <w:bCs/>
                <w:noProof/>
                <w:sz w:val="24"/>
                <w:szCs w:val="24"/>
                <w14:ligatures w14:val="standardContextual"/>
              </w:rPr>
            </w:pPr>
            <w:r w:rsidRPr="00296255">
              <w:rPr>
                <w:rFonts w:ascii="Times New Roman" w:hAnsi="Times New Roman" w:cs="Times New Roman"/>
                <w:b/>
                <w:bCs/>
                <w:noProof/>
                <w:sz w:val="24"/>
                <w:szCs w:val="24"/>
                <w14:ligatures w14:val="standardContextual"/>
              </w:rPr>
              <w:t>Treatment</w:t>
            </w:r>
          </w:p>
        </w:tc>
        <w:tc>
          <w:tcPr>
            <w:tcW w:w="2262" w:type="pct"/>
            <w:tcBorders>
              <w:top w:val="single" w:sz="4" w:space="0" w:color="auto"/>
              <w:left w:val="nil"/>
              <w:bottom w:val="single" w:sz="4" w:space="0" w:color="auto"/>
              <w:right w:val="nil"/>
            </w:tcBorders>
            <w:vAlign w:val="center"/>
            <w:hideMark/>
          </w:tcPr>
          <w:p w14:paraId="5A2BD066" w14:textId="77777777" w:rsidR="00686ED6" w:rsidRPr="00296255" w:rsidRDefault="00686ED6" w:rsidP="00BD3695">
            <w:pPr>
              <w:spacing w:line="480" w:lineRule="auto"/>
              <w:jc w:val="center"/>
              <w:rPr>
                <w:rFonts w:ascii="Times New Roman" w:hAnsi="Times New Roman" w:cs="Times New Roman"/>
                <w:b/>
                <w:bCs/>
                <w:noProof/>
                <w:sz w:val="24"/>
                <w:szCs w:val="24"/>
                <w14:ligatures w14:val="standardContextual"/>
              </w:rPr>
            </w:pPr>
            <w:r w:rsidRPr="00296255">
              <w:rPr>
                <w:rFonts w:ascii="Times New Roman" w:hAnsi="Times New Roman" w:cs="Times New Roman"/>
                <w:b/>
                <w:bCs/>
                <w:i/>
                <w:noProof/>
                <w:sz w:val="24"/>
                <w:szCs w:val="24"/>
                <w14:ligatures w14:val="standardContextual"/>
              </w:rPr>
              <w:t>Q</w:t>
            </w:r>
            <w:r w:rsidRPr="00296255">
              <w:rPr>
                <w:rFonts w:ascii="Times New Roman" w:hAnsi="Times New Roman" w:cs="Times New Roman"/>
                <w:b/>
                <w:bCs/>
                <w:iCs/>
                <w:noProof/>
                <w:sz w:val="24"/>
                <w:szCs w:val="24"/>
                <w:vertAlign w:val="subscript"/>
                <w14:ligatures w14:val="standardContextual"/>
              </w:rPr>
              <w:t>BEQ</w:t>
            </w:r>
            <w:r w:rsidRPr="00296255">
              <w:rPr>
                <w:rFonts w:ascii="Times New Roman" w:hAnsi="Times New Roman" w:cs="Times New Roman"/>
                <w:b/>
                <w:bCs/>
                <w:noProof/>
                <w:sz w:val="24"/>
                <w:szCs w:val="24"/>
                <w14:ligatures w14:val="standardContextual"/>
              </w:rPr>
              <w:t xml:space="preserve"> (kg/yr)</w:t>
            </w:r>
          </w:p>
        </w:tc>
        <w:tc>
          <w:tcPr>
            <w:tcW w:w="1784" w:type="pct"/>
            <w:tcBorders>
              <w:top w:val="single" w:sz="4" w:space="0" w:color="auto"/>
              <w:left w:val="nil"/>
              <w:bottom w:val="single" w:sz="4" w:space="0" w:color="auto"/>
              <w:right w:val="nil"/>
            </w:tcBorders>
            <w:vAlign w:val="center"/>
            <w:hideMark/>
          </w:tcPr>
          <w:p w14:paraId="5DE6C8EC" w14:textId="77777777" w:rsidR="00686ED6" w:rsidRPr="00296255" w:rsidRDefault="00686ED6" w:rsidP="00BD3695">
            <w:pPr>
              <w:spacing w:line="480" w:lineRule="auto"/>
              <w:jc w:val="center"/>
              <w:rPr>
                <w:rFonts w:ascii="Times New Roman" w:hAnsi="Times New Roman" w:cs="Times New Roman"/>
                <w:b/>
                <w:bCs/>
                <w:noProof/>
                <w:sz w:val="24"/>
                <w:szCs w:val="24"/>
                <w14:ligatures w14:val="standardContextual"/>
              </w:rPr>
            </w:pPr>
            <w:r w:rsidRPr="00296255">
              <w:rPr>
                <w:rFonts w:ascii="Times New Roman" w:hAnsi="Times New Roman" w:cs="Times New Roman"/>
                <w:b/>
                <w:bCs/>
                <w:noProof/>
                <w:sz w:val="24"/>
                <w:szCs w:val="24"/>
                <w14:ligatures w14:val="standardContextual"/>
              </w:rPr>
              <w:t>Break-even Sale (₹/yr)</w:t>
            </w:r>
          </w:p>
        </w:tc>
      </w:tr>
      <w:tr w:rsidR="00686ED6" w:rsidRPr="00296255" w14:paraId="07AFDF44" w14:textId="77777777" w:rsidTr="0073039A">
        <w:trPr>
          <w:jc w:val="center"/>
        </w:trPr>
        <w:tc>
          <w:tcPr>
            <w:tcW w:w="862" w:type="pct"/>
            <w:tcBorders>
              <w:top w:val="single" w:sz="4" w:space="0" w:color="auto"/>
              <w:left w:val="nil"/>
              <w:bottom w:val="nil"/>
              <w:right w:val="nil"/>
            </w:tcBorders>
            <w:vAlign w:val="center"/>
            <w:hideMark/>
          </w:tcPr>
          <w:p w14:paraId="78C2AF87"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T</w:t>
            </w:r>
            <w:r w:rsidRPr="00296255">
              <w:rPr>
                <w:rFonts w:ascii="Times New Roman" w:hAnsi="Times New Roman" w:cs="Times New Roman"/>
                <w:noProof/>
                <w:sz w:val="24"/>
                <w:szCs w:val="24"/>
                <w:vertAlign w:val="subscript"/>
                <w14:ligatures w14:val="standardContextual"/>
              </w:rPr>
              <w:t>0</w:t>
            </w:r>
          </w:p>
        </w:tc>
        <w:tc>
          <w:tcPr>
            <w:tcW w:w="2262" w:type="pct"/>
            <w:tcBorders>
              <w:top w:val="single" w:sz="4" w:space="0" w:color="auto"/>
              <w:left w:val="nil"/>
              <w:bottom w:val="nil"/>
              <w:right w:val="nil"/>
            </w:tcBorders>
            <w:vAlign w:val="center"/>
            <w:hideMark/>
          </w:tcPr>
          <w:p w14:paraId="5FD4BDC2"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31,755</w:t>
            </w:r>
          </w:p>
        </w:tc>
        <w:tc>
          <w:tcPr>
            <w:tcW w:w="1784" w:type="pct"/>
            <w:tcBorders>
              <w:top w:val="single" w:sz="4" w:space="0" w:color="auto"/>
              <w:left w:val="nil"/>
              <w:bottom w:val="nil"/>
              <w:right w:val="nil"/>
            </w:tcBorders>
            <w:vAlign w:val="center"/>
            <w:hideMark/>
          </w:tcPr>
          <w:p w14:paraId="7F80B515"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15,877,500</w:t>
            </w:r>
          </w:p>
        </w:tc>
      </w:tr>
      <w:tr w:rsidR="00686ED6" w:rsidRPr="00296255" w14:paraId="5313293B" w14:textId="77777777" w:rsidTr="0073039A">
        <w:trPr>
          <w:jc w:val="center"/>
        </w:trPr>
        <w:tc>
          <w:tcPr>
            <w:tcW w:w="862" w:type="pct"/>
            <w:tcBorders>
              <w:top w:val="nil"/>
              <w:left w:val="nil"/>
              <w:bottom w:val="nil"/>
              <w:right w:val="nil"/>
            </w:tcBorders>
            <w:vAlign w:val="center"/>
            <w:hideMark/>
          </w:tcPr>
          <w:p w14:paraId="0114F844"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1</w:t>
            </w:r>
          </w:p>
        </w:tc>
        <w:tc>
          <w:tcPr>
            <w:tcW w:w="2262" w:type="pct"/>
            <w:tcBorders>
              <w:top w:val="nil"/>
              <w:left w:val="nil"/>
              <w:bottom w:val="nil"/>
              <w:right w:val="nil"/>
            </w:tcBorders>
            <w:vAlign w:val="center"/>
            <w:hideMark/>
          </w:tcPr>
          <w:p w14:paraId="1C8503E6"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33,741</w:t>
            </w:r>
          </w:p>
        </w:tc>
        <w:tc>
          <w:tcPr>
            <w:tcW w:w="1784" w:type="pct"/>
            <w:tcBorders>
              <w:top w:val="nil"/>
              <w:left w:val="nil"/>
              <w:bottom w:val="nil"/>
              <w:right w:val="nil"/>
            </w:tcBorders>
            <w:vAlign w:val="center"/>
            <w:hideMark/>
          </w:tcPr>
          <w:p w14:paraId="35F35510"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16,870,500</w:t>
            </w:r>
          </w:p>
        </w:tc>
      </w:tr>
      <w:tr w:rsidR="00686ED6" w:rsidRPr="00296255" w14:paraId="6ABF53AF" w14:textId="77777777" w:rsidTr="0073039A">
        <w:trPr>
          <w:jc w:val="center"/>
        </w:trPr>
        <w:tc>
          <w:tcPr>
            <w:tcW w:w="862" w:type="pct"/>
            <w:tcBorders>
              <w:top w:val="nil"/>
              <w:left w:val="nil"/>
              <w:bottom w:val="nil"/>
              <w:right w:val="nil"/>
            </w:tcBorders>
            <w:vAlign w:val="center"/>
            <w:hideMark/>
          </w:tcPr>
          <w:p w14:paraId="2121997F"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lastRenderedPageBreak/>
              <w:t>T</w:t>
            </w:r>
            <w:r w:rsidRPr="00296255">
              <w:rPr>
                <w:rFonts w:ascii="Times New Roman" w:hAnsi="Times New Roman" w:cs="Times New Roman"/>
                <w:noProof/>
                <w:sz w:val="24"/>
                <w:szCs w:val="24"/>
                <w:vertAlign w:val="subscript"/>
                <w14:ligatures w14:val="standardContextual"/>
              </w:rPr>
              <w:t>2</w:t>
            </w:r>
          </w:p>
        </w:tc>
        <w:tc>
          <w:tcPr>
            <w:tcW w:w="2262" w:type="pct"/>
            <w:tcBorders>
              <w:top w:val="nil"/>
              <w:left w:val="nil"/>
              <w:bottom w:val="nil"/>
              <w:right w:val="nil"/>
            </w:tcBorders>
            <w:vAlign w:val="center"/>
            <w:hideMark/>
          </w:tcPr>
          <w:p w14:paraId="210A678B"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32,185</w:t>
            </w:r>
          </w:p>
        </w:tc>
        <w:tc>
          <w:tcPr>
            <w:tcW w:w="1784" w:type="pct"/>
            <w:tcBorders>
              <w:top w:val="nil"/>
              <w:left w:val="nil"/>
              <w:bottom w:val="nil"/>
              <w:right w:val="nil"/>
            </w:tcBorders>
            <w:vAlign w:val="center"/>
            <w:hideMark/>
          </w:tcPr>
          <w:p w14:paraId="27330123"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16,092,500</w:t>
            </w:r>
          </w:p>
        </w:tc>
      </w:tr>
      <w:tr w:rsidR="00686ED6" w:rsidRPr="00296255" w14:paraId="63B326D7" w14:textId="77777777" w:rsidTr="0073039A">
        <w:trPr>
          <w:jc w:val="center"/>
        </w:trPr>
        <w:tc>
          <w:tcPr>
            <w:tcW w:w="862" w:type="pct"/>
            <w:tcBorders>
              <w:top w:val="nil"/>
              <w:left w:val="nil"/>
              <w:bottom w:val="single" w:sz="4" w:space="0" w:color="auto"/>
              <w:right w:val="nil"/>
            </w:tcBorders>
            <w:vAlign w:val="center"/>
            <w:hideMark/>
          </w:tcPr>
          <w:p w14:paraId="48FA54B6"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sz w:val="24"/>
                <w:szCs w:val="24"/>
              </w:rPr>
              <w:t>T</w:t>
            </w:r>
            <w:r w:rsidRPr="00296255">
              <w:rPr>
                <w:rFonts w:ascii="Times New Roman" w:hAnsi="Times New Roman" w:cs="Times New Roman"/>
                <w:sz w:val="24"/>
                <w:szCs w:val="24"/>
                <w:vertAlign w:val="subscript"/>
              </w:rPr>
              <w:t>3</w:t>
            </w:r>
          </w:p>
        </w:tc>
        <w:tc>
          <w:tcPr>
            <w:tcW w:w="2262" w:type="pct"/>
            <w:tcBorders>
              <w:top w:val="nil"/>
              <w:left w:val="nil"/>
              <w:bottom w:val="single" w:sz="4" w:space="0" w:color="auto"/>
              <w:right w:val="nil"/>
            </w:tcBorders>
            <w:vAlign w:val="center"/>
            <w:hideMark/>
          </w:tcPr>
          <w:p w14:paraId="4690B8C9"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30,973</w:t>
            </w:r>
          </w:p>
        </w:tc>
        <w:tc>
          <w:tcPr>
            <w:tcW w:w="1784" w:type="pct"/>
            <w:tcBorders>
              <w:top w:val="nil"/>
              <w:left w:val="nil"/>
              <w:bottom w:val="single" w:sz="4" w:space="0" w:color="auto"/>
              <w:right w:val="nil"/>
            </w:tcBorders>
            <w:vAlign w:val="center"/>
            <w:hideMark/>
          </w:tcPr>
          <w:p w14:paraId="390DDBB9" w14:textId="77777777" w:rsidR="00686ED6" w:rsidRPr="00296255" w:rsidRDefault="00686ED6" w:rsidP="00BD3695">
            <w:pPr>
              <w:spacing w:line="480" w:lineRule="auto"/>
              <w:jc w:val="center"/>
              <w:rPr>
                <w:rFonts w:ascii="Times New Roman" w:hAnsi="Times New Roman" w:cs="Times New Roman"/>
                <w:noProof/>
                <w:sz w:val="24"/>
                <w:szCs w:val="24"/>
                <w14:ligatures w14:val="standardContextual"/>
              </w:rPr>
            </w:pPr>
            <w:r w:rsidRPr="00296255">
              <w:rPr>
                <w:rFonts w:ascii="Times New Roman" w:hAnsi="Times New Roman" w:cs="Times New Roman"/>
                <w:noProof/>
                <w:sz w:val="24"/>
                <w:szCs w:val="24"/>
                <w14:ligatures w14:val="standardContextual"/>
              </w:rPr>
              <w:t>15,486,500</w:t>
            </w:r>
          </w:p>
        </w:tc>
      </w:tr>
    </w:tbl>
    <w:p w14:paraId="6AE5EFC1" w14:textId="6A409708" w:rsidR="00686ED6" w:rsidRPr="00296255" w:rsidRDefault="006A7BB8" w:rsidP="00BD3695">
      <w:pPr>
        <w:spacing w:before="240" w:after="0" w:line="480" w:lineRule="auto"/>
        <w:jc w:val="both"/>
        <w:rPr>
          <w:rFonts w:ascii="Times New Roman" w:hAnsi="Times New Roman" w:cs="Times New Roman"/>
          <w:b/>
          <w:bCs/>
          <w:sz w:val="24"/>
          <w:szCs w:val="24"/>
        </w:rPr>
      </w:pPr>
      <w:r w:rsidRPr="00296255">
        <w:rPr>
          <w:rFonts w:ascii="Times New Roman" w:hAnsi="Times New Roman" w:cs="Times New Roman"/>
          <w:b/>
          <w:bCs/>
          <w:sz w:val="24"/>
          <w:szCs w:val="24"/>
        </w:rPr>
        <w:t>CONCLUSION</w:t>
      </w:r>
    </w:p>
    <w:p w14:paraId="122B9D4D" w14:textId="77777777" w:rsidR="00686ED6" w:rsidRDefault="00686ED6" w:rsidP="00BD3695">
      <w:pPr>
        <w:spacing w:line="480" w:lineRule="auto"/>
        <w:jc w:val="both"/>
        <w:rPr>
          <w:rFonts w:ascii="Times New Roman" w:hAnsi="Times New Roman" w:cs="Times New Roman"/>
          <w:sz w:val="24"/>
          <w:szCs w:val="24"/>
        </w:rPr>
      </w:pPr>
      <w:r w:rsidRPr="00296255">
        <w:rPr>
          <w:rFonts w:ascii="Times New Roman" w:hAnsi="Times New Roman" w:cs="Times New Roman"/>
          <w:sz w:val="24"/>
          <w:szCs w:val="24"/>
        </w:rPr>
        <w:t>The study showed that adding more starch to PBAT-starch-</w:t>
      </w:r>
      <w:proofErr w:type="spellStart"/>
      <w:r w:rsidRPr="00296255">
        <w:rPr>
          <w:rFonts w:ascii="Times New Roman" w:hAnsi="Times New Roman" w:cs="Times New Roman"/>
          <w:sz w:val="24"/>
          <w:szCs w:val="24"/>
        </w:rPr>
        <w:t>nanoclay</w:t>
      </w:r>
      <w:proofErr w:type="spellEnd"/>
      <w:r w:rsidRPr="00296255">
        <w:rPr>
          <w:rFonts w:ascii="Times New Roman" w:hAnsi="Times New Roman" w:cs="Times New Roman"/>
          <w:sz w:val="24"/>
          <w:szCs w:val="24"/>
        </w:rPr>
        <w:t xml:space="preserve"> films enhanced economic viability and decreased material costs. Variable expenses dropped from ₹303.70/kg in T</w:t>
      </w:r>
      <w:r w:rsidRPr="00296255">
        <w:rPr>
          <w:rFonts w:ascii="Times New Roman" w:hAnsi="Times New Roman" w:cs="Times New Roman"/>
          <w:sz w:val="24"/>
          <w:szCs w:val="24"/>
          <w:vertAlign w:val="subscript"/>
        </w:rPr>
        <w:t>1</w:t>
      </w:r>
      <w:r w:rsidRPr="00296255">
        <w:rPr>
          <w:rFonts w:ascii="Times New Roman" w:hAnsi="Times New Roman" w:cs="Times New Roman"/>
          <w:sz w:val="24"/>
          <w:szCs w:val="24"/>
        </w:rPr>
        <w:t xml:space="preserve"> to ₹286.15/kg in T</w:t>
      </w:r>
      <w:r w:rsidRPr="00296255">
        <w:rPr>
          <w:rFonts w:ascii="Times New Roman" w:hAnsi="Times New Roman" w:cs="Times New Roman"/>
          <w:sz w:val="24"/>
          <w:szCs w:val="24"/>
          <w:vertAlign w:val="subscript"/>
        </w:rPr>
        <w:t>3</w:t>
      </w:r>
      <w:r w:rsidRPr="00296255">
        <w:rPr>
          <w:rFonts w:ascii="Times New Roman" w:hAnsi="Times New Roman" w:cs="Times New Roman"/>
          <w:sz w:val="24"/>
          <w:szCs w:val="24"/>
        </w:rPr>
        <w:t>, but fixed costs stayed the same at ₹56.92/kg. As a result, T</w:t>
      </w:r>
      <w:r w:rsidRPr="00296255">
        <w:rPr>
          <w:rFonts w:ascii="Times New Roman" w:hAnsi="Times New Roman" w:cs="Times New Roman"/>
          <w:sz w:val="24"/>
          <w:szCs w:val="24"/>
          <w:vertAlign w:val="subscript"/>
        </w:rPr>
        <w:t>3</w:t>
      </w:r>
      <w:r w:rsidRPr="00296255">
        <w:rPr>
          <w:rFonts w:ascii="Times New Roman" w:hAnsi="Times New Roman" w:cs="Times New Roman"/>
          <w:sz w:val="24"/>
          <w:szCs w:val="24"/>
        </w:rPr>
        <w:t xml:space="preserve"> had lower overall production costs (₹343.07/kg) than T</w:t>
      </w:r>
      <w:r w:rsidRPr="00296255">
        <w:rPr>
          <w:rFonts w:ascii="Times New Roman" w:hAnsi="Times New Roman" w:cs="Times New Roman"/>
          <w:sz w:val="24"/>
          <w:szCs w:val="24"/>
          <w:vertAlign w:val="subscript"/>
        </w:rPr>
        <w:t>1</w:t>
      </w:r>
      <w:r w:rsidRPr="00296255">
        <w:rPr>
          <w:rFonts w:ascii="Times New Roman" w:hAnsi="Times New Roman" w:cs="Times New Roman"/>
          <w:sz w:val="24"/>
          <w:szCs w:val="24"/>
        </w:rPr>
        <w:t xml:space="preserve"> (₹360.62/kg). Break-even analysis showed that T</w:t>
      </w:r>
      <w:r w:rsidRPr="00296255">
        <w:rPr>
          <w:rFonts w:ascii="Times New Roman" w:hAnsi="Times New Roman" w:cs="Times New Roman"/>
          <w:sz w:val="24"/>
          <w:szCs w:val="24"/>
          <w:vertAlign w:val="subscript"/>
        </w:rPr>
        <w:t>3</w:t>
      </w:r>
      <w:r w:rsidRPr="00296255">
        <w:rPr>
          <w:rFonts w:ascii="Times New Roman" w:hAnsi="Times New Roman" w:cs="Times New Roman"/>
          <w:sz w:val="24"/>
          <w:szCs w:val="24"/>
        </w:rPr>
        <w:t xml:space="preserve"> was more cost-effective with increased starch substitution, requiring the least amount of output (30,973 kg/year) and sales (15,486,500/year) to meet annual expenses. In addition to highlighting the partial substitution of starch for PBAT without compromising the contributions of glycerol and </w:t>
      </w:r>
      <w:proofErr w:type="spellStart"/>
      <w:r w:rsidRPr="00296255">
        <w:rPr>
          <w:rFonts w:ascii="Times New Roman" w:hAnsi="Times New Roman" w:cs="Times New Roman"/>
          <w:sz w:val="24"/>
          <w:szCs w:val="24"/>
        </w:rPr>
        <w:t>nanoclay</w:t>
      </w:r>
      <w:proofErr w:type="spellEnd"/>
      <w:r w:rsidRPr="00296255">
        <w:rPr>
          <w:rFonts w:ascii="Times New Roman" w:hAnsi="Times New Roman" w:cs="Times New Roman"/>
          <w:sz w:val="24"/>
          <w:szCs w:val="24"/>
        </w:rPr>
        <w:t>, normalization of component fractions guaranteed accurate comparisons. In order to improve the sustainability and functional performance of biodegradable films, more research could examine different biopolymers and additives.</w:t>
      </w:r>
    </w:p>
    <w:p w14:paraId="405D73D3" w14:textId="77777777" w:rsidR="004F4D74" w:rsidRPr="00DE24A3" w:rsidRDefault="004F4D74" w:rsidP="004F4D74">
      <w:pPr>
        <w:spacing w:after="0" w:line="480" w:lineRule="auto"/>
        <w:jc w:val="both"/>
        <w:rPr>
          <w:rFonts w:ascii="Times New Roman" w:hAnsi="Times New Roman" w:cs="Times New Roman"/>
          <w:b/>
          <w:bCs/>
          <w:sz w:val="24"/>
          <w:szCs w:val="24"/>
        </w:rPr>
      </w:pPr>
      <w:r w:rsidRPr="00DE24A3">
        <w:rPr>
          <w:rFonts w:ascii="Times New Roman" w:hAnsi="Times New Roman" w:cs="Times New Roman"/>
          <w:b/>
          <w:bCs/>
          <w:sz w:val="24"/>
          <w:szCs w:val="24"/>
        </w:rPr>
        <w:t>HIGHLIGHTS</w:t>
      </w:r>
    </w:p>
    <w:p w14:paraId="5C314064" w14:textId="77777777" w:rsidR="004F4D74" w:rsidRPr="00DE24A3" w:rsidRDefault="004F4D74" w:rsidP="004F4D74">
      <w:pPr>
        <w:numPr>
          <w:ilvl w:val="0"/>
          <w:numId w:val="1"/>
        </w:numPr>
        <w:tabs>
          <w:tab w:val="clear" w:pos="360"/>
          <w:tab w:val="num" w:pos="720"/>
        </w:tabs>
        <w:spacing w:after="0" w:line="480" w:lineRule="auto"/>
        <w:jc w:val="both"/>
        <w:rPr>
          <w:rFonts w:ascii="Times New Roman" w:hAnsi="Times New Roman" w:cs="Times New Roman"/>
          <w:sz w:val="24"/>
          <w:szCs w:val="24"/>
        </w:rPr>
      </w:pPr>
      <w:r w:rsidRPr="00DE24A3">
        <w:rPr>
          <w:rFonts w:ascii="Times New Roman" w:hAnsi="Times New Roman" w:cs="Times New Roman"/>
          <w:sz w:val="24"/>
          <w:szCs w:val="24"/>
        </w:rPr>
        <w:t>PBAT–starch–</w:t>
      </w:r>
      <w:proofErr w:type="spellStart"/>
      <w:r w:rsidRPr="00DE24A3">
        <w:rPr>
          <w:rFonts w:ascii="Times New Roman" w:hAnsi="Times New Roman" w:cs="Times New Roman"/>
          <w:sz w:val="24"/>
          <w:szCs w:val="24"/>
        </w:rPr>
        <w:t>nanoclay</w:t>
      </w:r>
      <w:proofErr w:type="spellEnd"/>
      <w:r w:rsidRPr="00DE24A3">
        <w:rPr>
          <w:rFonts w:ascii="Times New Roman" w:hAnsi="Times New Roman" w:cs="Times New Roman"/>
          <w:sz w:val="24"/>
          <w:szCs w:val="24"/>
        </w:rPr>
        <w:t xml:space="preserve"> biodegradable films prepared using extrusion and blowing.</w:t>
      </w:r>
    </w:p>
    <w:p w14:paraId="688014E4" w14:textId="77777777" w:rsidR="004F4D74" w:rsidRPr="00DE24A3" w:rsidRDefault="004F4D74" w:rsidP="004F4D74">
      <w:pPr>
        <w:numPr>
          <w:ilvl w:val="0"/>
          <w:numId w:val="1"/>
        </w:numPr>
        <w:tabs>
          <w:tab w:val="clear" w:pos="360"/>
          <w:tab w:val="num" w:pos="720"/>
        </w:tabs>
        <w:spacing w:after="0" w:line="480" w:lineRule="auto"/>
        <w:jc w:val="both"/>
        <w:rPr>
          <w:rFonts w:ascii="Times New Roman" w:hAnsi="Times New Roman" w:cs="Times New Roman"/>
          <w:sz w:val="24"/>
          <w:szCs w:val="24"/>
        </w:rPr>
      </w:pPr>
      <w:r w:rsidRPr="00DE24A3">
        <w:rPr>
          <w:rFonts w:ascii="Times New Roman" w:hAnsi="Times New Roman" w:cs="Times New Roman"/>
          <w:sz w:val="24"/>
          <w:szCs w:val="24"/>
        </w:rPr>
        <w:t>Total cost ranged ₹343.07–₹360.62/kg with fixed cost ₹56.92/kg constant.</w:t>
      </w:r>
    </w:p>
    <w:p w14:paraId="14AE637F" w14:textId="77777777" w:rsidR="004F4D74" w:rsidRPr="00DE24A3" w:rsidRDefault="004F4D74" w:rsidP="004F4D74">
      <w:pPr>
        <w:numPr>
          <w:ilvl w:val="0"/>
          <w:numId w:val="1"/>
        </w:numPr>
        <w:tabs>
          <w:tab w:val="clear" w:pos="360"/>
          <w:tab w:val="num" w:pos="720"/>
        </w:tabs>
        <w:spacing w:after="0" w:line="480" w:lineRule="auto"/>
        <w:jc w:val="both"/>
        <w:rPr>
          <w:rFonts w:ascii="Times New Roman" w:hAnsi="Times New Roman" w:cs="Times New Roman"/>
          <w:sz w:val="24"/>
          <w:szCs w:val="24"/>
        </w:rPr>
      </w:pPr>
      <w:r w:rsidRPr="00DE24A3">
        <w:rPr>
          <w:rFonts w:ascii="Times New Roman" w:hAnsi="Times New Roman" w:cs="Times New Roman"/>
          <w:sz w:val="24"/>
          <w:szCs w:val="24"/>
        </w:rPr>
        <w:t>T3 (15% starch) showed lowest break-even output and highest economic viability.</w:t>
      </w:r>
    </w:p>
    <w:p w14:paraId="012BAB80" w14:textId="77777777" w:rsidR="004F4D74" w:rsidRPr="00DE24A3" w:rsidRDefault="004F4D74" w:rsidP="004F4D74">
      <w:pPr>
        <w:numPr>
          <w:ilvl w:val="0"/>
          <w:numId w:val="1"/>
        </w:numPr>
        <w:tabs>
          <w:tab w:val="clear" w:pos="360"/>
          <w:tab w:val="num" w:pos="720"/>
        </w:tabs>
        <w:spacing w:after="0" w:line="480" w:lineRule="auto"/>
        <w:jc w:val="both"/>
        <w:rPr>
          <w:rFonts w:ascii="Times New Roman" w:hAnsi="Times New Roman" w:cs="Times New Roman"/>
          <w:sz w:val="24"/>
          <w:szCs w:val="24"/>
        </w:rPr>
      </w:pPr>
      <w:r w:rsidRPr="00DE24A3">
        <w:rPr>
          <w:rFonts w:ascii="Times New Roman" w:hAnsi="Times New Roman" w:cs="Times New Roman"/>
          <w:sz w:val="24"/>
          <w:szCs w:val="24"/>
        </w:rPr>
        <w:t>Normalization enabled accurate comparison of material substitution and performance.</w:t>
      </w:r>
    </w:p>
    <w:p w14:paraId="035EEEFF" w14:textId="77777777" w:rsidR="004F4D74" w:rsidRPr="00DE24A3" w:rsidRDefault="004F4D74" w:rsidP="004F4D74">
      <w:pPr>
        <w:numPr>
          <w:ilvl w:val="0"/>
          <w:numId w:val="1"/>
        </w:numPr>
        <w:tabs>
          <w:tab w:val="clear" w:pos="360"/>
          <w:tab w:val="num" w:pos="720"/>
        </w:tabs>
        <w:spacing w:line="480" w:lineRule="auto"/>
        <w:jc w:val="both"/>
        <w:rPr>
          <w:rFonts w:ascii="Times New Roman" w:hAnsi="Times New Roman" w:cs="Times New Roman"/>
          <w:sz w:val="24"/>
          <w:szCs w:val="24"/>
        </w:rPr>
      </w:pPr>
      <w:r w:rsidRPr="00DE24A3">
        <w:rPr>
          <w:rFonts w:ascii="Times New Roman" w:hAnsi="Times New Roman" w:cs="Times New Roman"/>
          <w:sz w:val="24"/>
          <w:szCs w:val="24"/>
        </w:rPr>
        <w:t>Starch substitution reduced cost and enhanced sustainability without loss of functionality.</w:t>
      </w:r>
    </w:p>
    <w:p w14:paraId="0DF22E8C" w14:textId="77777777" w:rsidR="004F4D74" w:rsidRDefault="004F4D74" w:rsidP="00BD3695">
      <w:pPr>
        <w:spacing w:line="480" w:lineRule="auto"/>
        <w:jc w:val="both"/>
        <w:rPr>
          <w:rFonts w:ascii="Times New Roman" w:hAnsi="Times New Roman" w:cs="Times New Roman"/>
          <w:sz w:val="24"/>
          <w:szCs w:val="24"/>
        </w:rPr>
      </w:pPr>
    </w:p>
    <w:p w14:paraId="32E8A6C5" w14:textId="5F8292C9" w:rsidR="00686ED6" w:rsidRDefault="00686ED6" w:rsidP="00BD3695">
      <w:pPr>
        <w:spacing w:line="480" w:lineRule="auto"/>
        <w:jc w:val="both"/>
        <w:rPr>
          <w:rFonts w:ascii="Times New Roman" w:hAnsi="Times New Roman" w:cs="Times New Roman"/>
          <w:b/>
          <w:bCs/>
          <w:sz w:val="24"/>
          <w:szCs w:val="24"/>
        </w:rPr>
      </w:pPr>
    </w:p>
    <w:p w14:paraId="2F46119F" w14:textId="2E1ECA1E" w:rsidR="00490A06" w:rsidRDefault="00490A06" w:rsidP="00BD3695">
      <w:pPr>
        <w:spacing w:line="480" w:lineRule="auto"/>
        <w:jc w:val="both"/>
        <w:rPr>
          <w:rFonts w:ascii="Times New Roman" w:hAnsi="Times New Roman" w:cs="Times New Roman"/>
          <w:b/>
          <w:bCs/>
          <w:sz w:val="24"/>
          <w:szCs w:val="24"/>
        </w:rPr>
      </w:pPr>
    </w:p>
    <w:p w14:paraId="6E3CB411" w14:textId="77777777" w:rsidR="00490A06" w:rsidRPr="00296255" w:rsidRDefault="00490A06" w:rsidP="00BD3695">
      <w:pPr>
        <w:spacing w:line="480" w:lineRule="auto"/>
        <w:jc w:val="both"/>
        <w:rPr>
          <w:rFonts w:ascii="Times New Roman" w:hAnsi="Times New Roman" w:cs="Times New Roman"/>
          <w:b/>
          <w:bCs/>
          <w:sz w:val="24"/>
          <w:szCs w:val="24"/>
        </w:rPr>
      </w:pPr>
      <w:bookmarkStart w:id="1" w:name="_GoBack"/>
      <w:bookmarkEnd w:id="1"/>
    </w:p>
    <w:p w14:paraId="22529D86" w14:textId="77777777" w:rsidR="00686ED6" w:rsidRPr="00296255" w:rsidRDefault="00686ED6" w:rsidP="00BD3695">
      <w:pPr>
        <w:spacing w:after="0" w:line="480" w:lineRule="auto"/>
        <w:jc w:val="both"/>
        <w:rPr>
          <w:rFonts w:ascii="Times New Roman" w:hAnsi="Times New Roman" w:cs="Times New Roman"/>
          <w:b/>
          <w:bCs/>
          <w:sz w:val="24"/>
          <w:szCs w:val="24"/>
        </w:rPr>
      </w:pPr>
      <w:r w:rsidRPr="00296255">
        <w:rPr>
          <w:rFonts w:ascii="Times New Roman" w:hAnsi="Times New Roman" w:cs="Times New Roman"/>
          <w:b/>
          <w:bCs/>
          <w:sz w:val="24"/>
          <w:szCs w:val="24"/>
        </w:rPr>
        <w:t xml:space="preserve">References </w:t>
      </w:r>
    </w:p>
    <w:sdt>
      <w:sdtPr>
        <w:rPr>
          <w:rFonts w:ascii="Times New Roman" w:hAnsi="Times New Roman" w:cs="Times New Roman"/>
          <w:color w:val="000000"/>
          <w:sz w:val="24"/>
          <w:szCs w:val="24"/>
        </w:rPr>
        <w:tag w:val="MENDELEY_BIBLIOGRAPHY"/>
        <w:id w:val="365338983"/>
        <w:placeholder>
          <w:docPart w:val="C382101AD8A04DC78F376E8ADBC08A64"/>
        </w:placeholder>
      </w:sdtPr>
      <w:sdtEndPr/>
      <w:sdtContent>
        <w:p w14:paraId="5671DBDE"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t>Al-</w:t>
          </w:r>
          <w:proofErr w:type="spellStart"/>
          <w:r w:rsidRPr="00296255">
            <w:rPr>
              <w:rFonts w:ascii="Times New Roman" w:hAnsi="Times New Roman" w:cs="Times New Roman"/>
              <w:sz w:val="24"/>
              <w:szCs w:val="24"/>
            </w:rPr>
            <w:t>Darkazali</w:t>
          </w:r>
          <w:proofErr w:type="spellEnd"/>
          <w:r w:rsidRPr="00296255">
            <w:rPr>
              <w:rFonts w:ascii="Times New Roman" w:hAnsi="Times New Roman" w:cs="Times New Roman"/>
              <w:sz w:val="24"/>
              <w:szCs w:val="24"/>
            </w:rPr>
            <w:t xml:space="preserve">, W. N., </w:t>
          </w:r>
          <w:proofErr w:type="spellStart"/>
          <w:r w:rsidRPr="00296255">
            <w:rPr>
              <w:rFonts w:ascii="Times New Roman" w:hAnsi="Times New Roman" w:cs="Times New Roman"/>
              <w:sz w:val="24"/>
              <w:szCs w:val="24"/>
            </w:rPr>
            <w:t>Aalhusaini</w:t>
          </w:r>
          <w:proofErr w:type="spellEnd"/>
          <w:r w:rsidRPr="00296255">
            <w:rPr>
              <w:rFonts w:ascii="Times New Roman" w:hAnsi="Times New Roman" w:cs="Times New Roman"/>
              <w:sz w:val="24"/>
              <w:szCs w:val="24"/>
            </w:rPr>
            <w:t xml:space="preserve">, T. N., &amp; Harbi, N. S. (2025). Analysis and development of biodegradable organic plastic: Study of chemical properties and sustainable environmental applications. </w:t>
          </w:r>
          <w:r w:rsidRPr="00296255">
            <w:rPr>
              <w:rFonts w:ascii="Times New Roman" w:hAnsi="Times New Roman" w:cs="Times New Roman"/>
              <w:i/>
              <w:iCs/>
              <w:sz w:val="24"/>
              <w:szCs w:val="24"/>
            </w:rPr>
            <w:t>Case Studies in Chemical and Environmental Engineering</w:t>
          </w:r>
          <w:r w:rsidRPr="00296255">
            <w:rPr>
              <w:rFonts w:ascii="Times New Roman" w:hAnsi="Times New Roman" w:cs="Times New Roman"/>
              <w:sz w:val="24"/>
              <w:szCs w:val="24"/>
            </w:rPr>
            <w:t xml:space="preserve">, </w:t>
          </w:r>
          <w:r w:rsidRPr="006F1EED">
            <w:rPr>
              <w:rFonts w:ascii="Times New Roman" w:hAnsi="Times New Roman" w:cs="Times New Roman"/>
              <w:b/>
              <w:bCs/>
              <w:sz w:val="24"/>
              <w:szCs w:val="24"/>
            </w:rPr>
            <w:t>11</w:t>
          </w:r>
          <w:r w:rsidRPr="00296255">
            <w:rPr>
              <w:rFonts w:ascii="Times New Roman" w:hAnsi="Times New Roman" w:cs="Times New Roman"/>
              <w:sz w:val="24"/>
              <w:szCs w:val="24"/>
            </w:rPr>
            <w:t>, 101054. https://doi.org/10.1016/j.cscee.2024.101054</w:t>
          </w:r>
        </w:p>
        <w:p w14:paraId="690CCAB5"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t xml:space="preserve">Benitez, J. J., Florido-Moreno, P., Porras-Vázquez, J. M., Tedeschi, G., </w:t>
          </w:r>
          <w:proofErr w:type="spellStart"/>
          <w:r w:rsidRPr="00296255">
            <w:rPr>
              <w:rFonts w:ascii="Times New Roman" w:hAnsi="Times New Roman" w:cs="Times New Roman"/>
              <w:sz w:val="24"/>
              <w:szCs w:val="24"/>
            </w:rPr>
            <w:t>Athanassiou</w:t>
          </w:r>
          <w:proofErr w:type="spellEnd"/>
          <w:r w:rsidRPr="00296255">
            <w:rPr>
              <w:rFonts w:ascii="Times New Roman" w:hAnsi="Times New Roman" w:cs="Times New Roman"/>
              <w:sz w:val="24"/>
              <w:szCs w:val="24"/>
            </w:rPr>
            <w:t xml:space="preserve">, A., Heredia-Guerrero, J. A., &amp; Guzman-Puyol, S. (2024). Transparent, plasticized cellulose-glycerol bioplastics for food packaging applications. </w:t>
          </w:r>
          <w:r w:rsidRPr="00296255">
            <w:rPr>
              <w:rFonts w:ascii="Times New Roman" w:hAnsi="Times New Roman" w:cs="Times New Roman"/>
              <w:i/>
              <w:iCs/>
              <w:sz w:val="24"/>
              <w:szCs w:val="24"/>
            </w:rPr>
            <w:t>International Journal of Biological Macromolecules</w:t>
          </w:r>
          <w:r w:rsidRPr="00296255">
            <w:rPr>
              <w:rFonts w:ascii="Times New Roman" w:hAnsi="Times New Roman" w:cs="Times New Roman"/>
              <w:sz w:val="24"/>
              <w:szCs w:val="24"/>
            </w:rPr>
            <w:t xml:space="preserve">, </w:t>
          </w:r>
          <w:r w:rsidRPr="006F1EED">
            <w:rPr>
              <w:rFonts w:ascii="Times New Roman" w:hAnsi="Times New Roman" w:cs="Times New Roman"/>
              <w:b/>
              <w:bCs/>
              <w:sz w:val="24"/>
              <w:szCs w:val="24"/>
            </w:rPr>
            <w:t>273</w:t>
          </w:r>
          <w:r w:rsidRPr="006F1EED">
            <w:rPr>
              <w:rFonts w:ascii="Times New Roman" w:hAnsi="Times New Roman" w:cs="Times New Roman"/>
              <w:sz w:val="24"/>
              <w:szCs w:val="24"/>
            </w:rPr>
            <w:t>,</w:t>
          </w:r>
          <w:r w:rsidRPr="00296255">
            <w:rPr>
              <w:rFonts w:ascii="Times New Roman" w:hAnsi="Times New Roman" w:cs="Times New Roman"/>
              <w:sz w:val="24"/>
              <w:szCs w:val="24"/>
            </w:rPr>
            <w:t xml:space="preserve"> 132956. https://doi.org/10.1016/j.ijbiomac.2024.132956</w:t>
          </w:r>
        </w:p>
        <w:p w14:paraId="2AC973A6"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t xml:space="preserve">Chauhan, A., &amp; Saini, R. P. (2016). Techno-economic feasibility study on Integrated Renewable Energy System for an isolated community of India. </w:t>
          </w:r>
          <w:r w:rsidRPr="00296255">
            <w:rPr>
              <w:rFonts w:ascii="Times New Roman" w:hAnsi="Times New Roman" w:cs="Times New Roman"/>
              <w:i/>
              <w:iCs/>
              <w:sz w:val="24"/>
              <w:szCs w:val="24"/>
            </w:rPr>
            <w:t>Renewable and Sustainable Energy Reviews</w:t>
          </w:r>
          <w:r w:rsidRPr="00296255">
            <w:rPr>
              <w:rFonts w:ascii="Times New Roman" w:hAnsi="Times New Roman" w:cs="Times New Roman"/>
              <w:sz w:val="24"/>
              <w:szCs w:val="24"/>
            </w:rPr>
            <w:t xml:space="preserve">, </w:t>
          </w:r>
          <w:r w:rsidRPr="006F1EED">
            <w:rPr>
              <w:rFonts w:ascii="Times New Roman" w:hAnsi="Times New Roman" w:cs="Times New Roman"/>
              <w:b/>
              <w:bCs/>
              <w:sz w:val="24"/>
              <w:szCs w:val="24"/>
            </w:rPr>
            <w:t>59</w:t>
          </w:r>
          <w:r w:rsidRPr="00296255">
            <w:rPr>
              <w:rFonts w:ascii="Times New Roman" w:hAnsi="Times New Roman" w:cs="Times New Roman"/>
              <w:sz w:val="24"/>
              <w:szCs w:val="24"/>
            </w:rPr>
            <w:t>, 388–405. https://doi.org/10.1016/j.rser.2015.12.290</w:t>
          </w:r>
        </w:p>
        <w:p w14:paraId="0D665E61"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proofErr w:type="spellStart"/>
          <w:r w:rsidRPr="00296255">
            <w:rPr>
              <w:rFonts w:ascii="Times New Roman" w:hAnsi="Times New Roman" w:cs="Times New Roman"/>
              <w:sz w:val="24"/>
              <w:szCs w:val="24"/>
            </w:rPr>
            <w:t>Dhalsamant</w:t>
          </w:r>
          <w:proofErr w:type="spellEnd"/>
          <w:r w:rsidRPr="00296255">
            <w:rPr>
              <w:rFonts w:ascii="Times New Roman" w:hAnsi="Times New Roman" w:cs="Times New Roman"/>
              <w:sz w:val="24"/>
              <w:szCs w:val="24"/>
            </w:rPr>
            <w:t xml:space="preserve">, K., Dalai, A., </w:t>
          </w:r>
          <w:proofErr w:type="spellStart"/>
          <w:r w:rsidRPr="00296255">
            <w:rPr>
              <w:rFonts w:ascii="Times New Roman" w:hAnsi="Times New Roman" w:cs="Times New Roman"/>
              <w:sz w:val="24"/>
              <w:szCs w:val="24"/>
            </w:rPr>
            <w:t>Pattnaik</w:t>
          </w:r>
          <w:proofErr w:type="spellEnd"/>
          <w:r w:rsidRPr="00296255">
            <w:rPr>
              <w:rFonts w:ascii="Times New Roman" w:hAnsi="Times New Roman" w:cs="Times New Roman"/>
              <w:sz w:val="24"/>
              <w:szCs w:val="24"/>
            </w:rPr>
            <w:t xml:space="preserve">, F., &amp; Acharya, B. (2025). Biodegradable Carbohydrate-Based Films for Packaging Agricultural Products—A Review. </w:t>
          </w:r>
          <w:r w:rsidRPr="00296255">
            <w:rPr>
              <w:rFonts w:ascii="Times New Roman" w:hAnsi="Times New Roman" w:cs="Times New Roman"/>
              <w:i/>
              <w:iCs/>
              <w:sz w:val="24"/>
              <w:szCs w:val="24"/>
            </w:rPr>
            <w:t>Polymers</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17</w:t>
          </w:r>
          <w:r w:rsidRPr="00296255">
            <w:rPr>
              <w:rFonts w:ascii="Times New Roman" w:hAnsi="Times New Roman" w:cs="Times New Roman"/>
              <w:sz w:val="24"/>
              <w:szCs w:val="24"/>
            </w:rPr>
            <w:t>(10), 1325. https://doi.org/10.3390/polym17101325</w:t>
          </w:r>
        </w:p>
        <w:p w14:paraId="2B3F761F"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proofErr w:type="spellStart"/>
          <w:r w:rsidRPr="00296255">
            <w:rPr>
              <w:rFonts w:ascii="Times New Roman" w:hAnsi="Times New Roman" w:cs="Times New Roman"/>
              <w:sz w:val="24"/>
              <w:szCs w:val="24"/>
            </w:rPr>
            <w:t>Falua</w:t>
          </w:r>
          <w:proofErr w:type="spellEnd"/>
          <w:r w:rsidRPr="00296255">
            <w:rPr>
              <w:rFonts w:ascii="Times New Roman" w:hAnsi="Times New Roman" w:cs="Times New Roman"/>
              <w:sz w:val="24"/>
              <w:szCs w:val="24"/>
            </w:rPr>
            <w:t xml:space="preserve">, K. J., Pokharel, A., Babaei-Ghazvini, A., Ai, Y., &amp; Acharya, B. (2022a). Valorization of Starch to Biobased Materials: A Review. </w:t>
          </w:r>
          <w:r w:rsidRPr="00296255">
            <w:rPr>
              <w:rFonts w:ascii="Times New Roman" w:hAnsi="Times New Roman" w:cs="Times New Roman"/>
              <w:i/>
              <w:iCs/>
              <w:sz w:val="24"/>
              <w:szCs w:val="24"/>
            </w:rPr>
            <w:t>Polymers</w:t>
          </w:r>
          <w:r w:rsidRPr="00296255">
            <w:rPr>
              <w:rFonts w:ascii="Times New Roman" w:hAnsi="Times New Roman" w:cs="Times New Roman"/>
              <w:sz w:val="24"/>
              <w:szCs w:val="24"/>
            </w:rPr>
            <w:t xml:space="preserve">, </w:t>
          </w:r>
          <w:r w:rsidRPr="006F1EED">
            <w:rPr>
              <w:rFonts w:ascii="Times New Roman" w:hAnsi="Times New Roman" w:cs="Times New Roman"/>
              <w:b/>
              <w:bCs/>
              <w:sz w:val="24"/>
              <w:szCs w:val="24"/>
            </w:rPr>
            <w:t>14</w:t>
          </w:r>
          <w:r w:rsidRPr="00296255">
            <w:rPr>
              <w:rFonts w:ascii="Times New Roman" w:hAnsi="Times New Roman" w:cs="Times New Roman"/>
              <w:sz w:val="24"/>
              <w:szCs w:val="24"/>
            </w:rPr>
            <w:t>(11), 2215. https://doi.org/10.3390/polym14112215</w:t>
          </w:r>
        </w:p>
        <w:p w14:paraId="3CA356A8"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proofErr w:type="spellStart"/>
          <w:r w:rsidRPr="00296255">
            <w:rPr>
              <w:rFonts w:ascii="Times New Roman" w:hAnsi="Times New Roman" w:cs="Times New Roman"/>
              <w:sz w:val="24"/>
              <w:szCs w:val="24"/>
            </w:rPr>
            <w:t>Falua</w:t>
          </w:r>
          <w:proofErr w:type="spellEnd"/>
          <w:r w:rsidRPr="00296255">
            <w:rPr>
              <w:rFonts w:ascii="Times New Roman" w:hAnsi="Times New Roman" w:cs="Times New Roman"/>
              <w:sz w:val="24"/>
              <w:szCs w:val="24"/>
            </w:rPr>
            <w:t xml:space="preserve">, K. J., Pokharel, A., Babaei-Ghazvini, A., Ai, Y., &amp; Acharya, B. (2022b). Valorization of Starch to Biobased Materials: A Review. </w:t>
          </w:r>
          <w:r w:rsidRPr="00296255">
            <w:rPr>
              <w:rFonts w:ascii="Times New Roman" w:hAnsi="Times New Roman" w:cs="Times New Roman"/>
              <w:i/>
              <w:iCs/>
              <w:sz w:val="24"/>
              <w:szCs w:val="24"/>
            </w:rPr>
            <w:t>Polymers</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14</w:t>
          </w:r>
          <w:r w:rsidRPr="00296255">
            <w:rPr>
              <w:rFonts w:ascii="Times New Roman" w:hAnsi="Times New Roman" w:cs="Times New Roman"/>
              <w:sz w:val="24"/>
              <w:szCs w:val="24"/>
            </w:rPr>
            <w:t>(11), 2215. https://doi.org/10.3390/polym14112215</w:t>
          </w:r>
        </w:p>
        <w:p w14:paraId="61404B3D"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lastRenderedPageBreak/>
            <w:t xml:space="preserve">Fernández-Bedoya, V. H., </w:t>
          </w:r>
          <w:proofErr w:type="spellStart"/>
          <w:r w:rsidRPr="00296255">
            <w:rPr>
              <w:rFonts w:ascii="Times New Roman" w:hAnsi="Times New Roman" w:cs="Times New Roman"/>
              <w:sz w:val="24"/>
              <w:szCs w:val="24"/>
            </w:rPr>
            <w:t>Suyo</w:t>
          </w:r>
          <w:proofErr w:type="spellEnd"/>
          <w:r w:rsidRPr="00296255">
            <w:rPr>
              <w:rFonts w:ascii="Times New Roman" w:hAnsi="Times New Roman" w:cs="Times New Roman"/>
              <w:sz w:val="24"/>
              <w:szCs w:val="24"/>
            </w:rPr>
            <w:t xml:space="preserve">-Vega, J. A., Meneses-La-Riva, M. E., &amp; Grijalva-Salazar, R. V. (2024). Break-Even Point and its Impact on Profit Planning in Educational Institutions: A Study Conducted in Lima, Peru, 2022. </w:t>
          </w:r>
          <w:r w:rsidRPr="00296255">
            <w:rPr>
              <w:rFonts w:ascii="Times New Roman" w:hAnsi="Times New Roman" w:cs="Times New Roman"/>
              <w:i/>
              <w:iCs/>
              <w:sz w:val="24"/>
              <w:szCs w:val="24"/>
            </w:rPr>
            <w:t>Academic Journal of Interdisciplinary Studies</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13</w:t>
          </w:r>
          <w:r w:rsidRPr="00296255">
            <w:rPr>
              <w:rFonts w:ascii="Times New Roman" w:hAnsi="Times New Roman" w:cs="Times New Roman"/>
              <w:sz w:val="24"/>
              <w:szCs w:val="24"/>
            </w:rPr>
            <w:t>(3), 302. https://doi.org/10.36941/ajis-2024-0082</w:t>
          </w:r>
        </w:p>
        <w:p w14:paraId="7A9345B0"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t xml:space="preserve">Islam, M., </w:t>
          </w:r>
          <w:proofErr w:type="spellStart"/>
          <w:r w:rsidRPr="00296255">
            <w:rPr>
              <w:rFonts w:ascii="Times New Roman" w:hAnsi="Times New Roman" w:cs="Times New Roman"/>
              <w:sz w:val="24"/>
              <w:szCs w:val="24"/>
            </w:rPr>
            <w:t>Xayachak</w:t>
          </w:r>
          <w:proofErr w:type="spellEnd"/>
          <w:r w:rsidRPr="00296255">
            <w:rPr>
              <w:rFonts w:ascii="Times New Roman" w:hAnsi="Times New Roman" w:cs="Times New Roman"/>
              <w:sz w:val="24"/>
              <w:szCs w:val="24"/>
            </w:rPr>
            <w:t xml:space="preserve">, T., Haque, N., Lau, D., Bhuiyan, M., &amp; Pramanik, B. K. (2024). Impact of bioplastics on environment from its production to end-of-life. </w:t>
          </w:r>
          <w:r w:rsidRPr="00296255">
            <w:rPr>
              <w:rFonts w:ascii="Times New Roman" w:hAnsi="Times New Roman" w:cs="Times New Roman"/>
              <w:i/>
              <w:iCs/>
              <w:sz w:val="24"/>
              <w:szCs w:val="24"/>
            </w:rPr>
            <w:t>Process Safety and Environmental Protection</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188</w:t>
          </w:r>
          <w:r w:rsidRPr="00296255">
            <w:rPr>
              <w:rFonts w:ascii="Times New Roman" w:hAnsi="Times New Roman" w:cs="Times New Roman"/>
              <w:sz w:val="24"/>
              <w:szCs w:val="24"/>
            </w:rPr>
            <w:t>, 151–166. https://doi.org/10.1016/j.psep.2024.05.113</w:t>
          </w:r>
        </w:p>
        <w:p w14:paraId="7EE56BAB"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proofErr w:type="spellStart"/>
          <w:r w:rsidRPr="00296255">
            <w:rPr>
              <w:rFonts w:ascii="Times New Roman" w:hAnsi="Times New Roman" w:cs="Times New Roman"/>
              <w:sz w:val="24"/>
              <w:szCs w:val="24"/>
            </w:rPr>
            <w:t>Karnwal</w:t>
          </w:r>
          <w:proofErr w:type="spellEnd"/>
          <w:r w:rsidRPr="00296255">
            <w:rPr>
              <w:rFonts w:ascii="Times New Roman" w:hAnsi="Times New Roman" w:cs="Times New Roman"/>
              <w:sz w:val="24"/>
              <w:szCs w:val="24"/>
            </w:rPr>
            <w:t>, A., Rauf, A., Jassim, A. Y., Selvaraj, M., Al-</w:t>
          </w:r>
          <w:proofErr w:type="spellStart"/>
          <w:r w:rsidRPr="00296255">
            <w:rPr>
              <w:rFonts w:ascii="Times New Roman" w:hAnsi="Times New Roman" w:cs="Times New Roman"/>
              <w:sz w:val="24"/>
              <w:szCs w:val="24"/>
            </w:rPr>
            <w:t>Tawaha</w:t>
          </w:r>
          <w:proofErr w:type="spellEnd"/>
          <w:r w:rsidRPr="00296255">
            <w:rPr>
              <w:rFonts w:ascii="Times New Roman" w:hAnsi="Times New Roman" w:cs="Times New Roman"/>
              <w:sz w:val="24"/>
              <w:szCs w:val="24"/>
            </w:rPr>
            <w:t xml:space="preserve">, A. R. M. S., Kashyap, P., Kumar, D., &amp; Malik, T. (2025). Advanced starch-based films for food packaging: Innovations in sustainability and functional properties. </w:t>
          </w:r>
          <w:r w:rsidRPr="00296255">
            <w:rPr>
              <w:rFonts w:ascii="Times New Roman" w:hAnsi="Times New Roman" w:cs="Times New Roman"/>
              <w:i/>
              <w:iCs/>
              <w:sz w:val="24"/>
              <w:szCs w:val="24"/>
            </w:rPr>
            <w:t>Food Chemistry: X</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29</w:t>
          </w:r>
          <w:r w:rsidRPr="00296255">
            <w:rPr>
              <w:rFonts w:ascii="Times New Roman" w:hAnsi="Times New Roman" w:cs="Times New Roman"/>
              <w:sz w:val="24"/>
              <w:szCs w:val="24"/>
            </w:rPr>
            <w:t>, 102662. https://doi.org/10.1016/j.fochx.2025.102662</w:t>
          </w:r>
        </w:p>
        <w:p w14:paraId="42606D57"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t xml:space="preserve">Küster, A. N., Paula, C., Azevedo, J., Serra, A. C., &amp; Coelho, J. F. J. (2025). Formulations, Processing, and Application of </w:t>
          </w:r>
          <w:proofErr w:type="gramStart"/>
          <w:r w:rsidRPr="00296255">
            <w:rPr>
              <w:rFonts w:ascii="Times New Roman" w:hAnsi="Times New Roman" w:cs="Times New Roman"/>
              <w:sz w:val="24"/>
              <w:szCs w:val="24"/>
            </w:rPr>
            <w:t>Poly(</w:t>
          </w:r>
          <w:proofErr w:type="gramEnd"/>
          <w:r w:rsidRPr="00296255">
            <w:rPr>
              <w:rFonts w:ascii="Times New Roman" w:hAnsi="Times New Roman" w:cs="Times New Roman"/>
              <w:sz w:val="24"/>
              <w:szCs w:val="24"/>
            </w:rPr>
            <w:t xml:space="preserve">butylene adipate-co-terephthalate)/Thermoplastic Starch Blends: A Review. </w:t>
          </w:r>
          <w:r w:rsidRPr="00296255">
            <w:rPr>
              <w:rFonts w:ascii="Times New Roman" w:hAnsi="Times New Roman" w:cs="Times New Roman"/>
              <w:i/>
              <w:iCs/>
              <w:sz w:val="24"/>
              <w:szCs w:val="24"/>
            </w:rPr>
            <w:t>Polymers</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17</w:t>
          </w:r>
          <w:r w:rsidRPr="00296255">
            <w:rPr>
              <w:rFonts w:ascii="Times New Roman" w:hAnsi="Times New Roman" w:cs="Times New Roman"/>
              <w:sz w:val="24"/>
              <w:szCs w:val="24"/>
            </w:rPr>
            <w:t>(11), 1457. https://doi.org/10.3390/polym17111457</w:t>
          </w:r>
        </w:p>
        <w:p w14:paraId="084F83F1"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proofErr w:type="spellStart"/>
          <w:r w:rsidRPr="00296255">
            <w:rPr>
              <w:rFonts w:ascii="Times New Roman" w:hAnsi="Times New Roman" w:cs="Times New Roman"/>
              <w:sz w:val="24"/>
              <w:szCs w:val="24"/>
            </w:rPr>
            <w:t>Langrish</w:t>
          </w:r>
          <w:proofErr w:type="spellEnd"/>
          <w:r w:rsidRPr="00296255">
            <w:rPr>
              <w:rFonts w:ascii="Times New Roman" w:hAnsi="Times New Roman" w:cs="Times New Roman"/>
              <w:sz w:val="24"/>
              <w:szCs w:val="24"/>
            </w:rPr>
            <w:t xml:space="preserve">, T. A. G., &amp; Cheng, S. (2025). Techno-Economic Analysis for the Costs of Drying Chickpeas: An Example Showing the Trade-Off Between Capital and Operating Costs for Different Inlet Air Temperatures. </w:t>
          </w:r>
          <w:r w:rsidRPr="00296255">
            <w:rPr>
              <w:rFonts w:ascii="Times New Roman" w:hAnsi="Times New Roman" w:cs="Times New Roman"/>
              <w:i/>
              <w:iCs/>
              <w:sz w:val="24"/>
              <w:szCs w:val="24"/>
            </w:rPr>
            <w:t>Processes</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13</w:t>
          </w:r>
          <w:r w:rsidRPr="00296255">
            <w:rPr>
              <w:rFonts w:ascii="Times New Roman" w:hAnsi="Times New Roman" w:cs="Times New Roman"/>
              <w:sz w:val="24"/>
              <w:szCs w:val="24"/>
            </w:rPr>
            <w:t>(4), 1178. https://doi.org/10.3390/pr13041178</w:t>
          </w:r>
        </w:p>
        <w:p w14:paraId="6D856627"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t xml:space="preserve">Mehdikhani, M., </w:t>
          </w:r>
          <w:proofErr w:type="spellStart"/>
          <w:r w:rsidRPr="00296255">
            <w:rPr>
              <w:rFonts w:ascii="Times New Roman" w:hAnsi="Times New Roman" w:cs="Times New Roman"/>
              <w:sz w:val="24"/>
              <w:szCs w:val="24"/>
            </w:rPr>
            <w:t>Gorbatikh</w:t>
          </w:r>
          <w:proofErr w:type="spellEnd"/>
          <w:r w:rsidRPr="00296255">
            <w:rPr>
              <w:rFonts w:ascii="Times New Roman" w:hAnsi="Times New Roman" w:cs="Times New Roman"/>
              <w:sz w:val="24"/>
              <w:szCs w:val="24"/>
            </w:rPr>
            <w:t xml:space="preserve">, L., </w:t>
          </w:r>
          <w:proofErr w:type="spellStart"/>
          <w:r w:rsidRPr="00296255">
            <w:rPr>
              <w:rFonts w:ascii="Times New Roman" w:hAnsi="Times New Roman" w:cs="Times New Roman"/>
              <w:sz w:val="24"/>
              <w:szCs w:val="24"/>
            </w:rPr>
            <w:t>Verpoest</w:t>
          </w:r>
          <w:proofErr w:type="spellEnd"/>
          <w:r w:rsidRPr="00296255">
            <w:rPr>
              <w:rFonts w:ascii="Times New Roman" w:hAnsi="Times New Roman" w:cs="Times New Roman"/>
              <w:sz w:val="24"/>
              <w:szCs w:val="24"/>
            </w:rPr>
            <w:t xml:space="preserve">, I., &amp; Lomov, S. V. (2019). Voids in fiber-reinforced polymer composites: A review on their formation, characteristics, and effects on mechanical performance. </w:t>
          </w:r>
          <w:r w:rsidRPr="00296255">
            <w:rPr>
              <w:rFonts w:ascii="Times New Roman" w:hAnsi="Times New Roman" w:cs="Times New Roman"/>
              <w:i/>
              <w:iCs/>
              <w:sz w:val="24"/>
              <w:szCs w:val="24"/>
            </w:rPr>
            <w:t>Journal of Composite Materials</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53</w:t>
          </w:r>
          <w:r w:rsidRPr="00296255">
            <w:rPr>
              <w:rFonts w:ascii="Times New Roman" w:hAnsi="Times New Roman" w:cs="Times New Roman"/>
              <w:sz w:val="24"/>
              <w:szCs w:val="24"/>
            </w:rPr>
            <w:t>(12), 1579–1669. https://doi.org/10.1177/0021998318772152</w:t>
          </w:r>
        </w:p>
        <w:p w14:paraId="31ACC973"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lastRenderedPageBreak/>
            <w:t xml:space="preserve">Moshood, T. D., </w:t>
          </w:r>
          <w:proofErr w:type="spellStart"/>
          <w:r w:rsidRPr="00296255">
            <w:rPr>
              <w:rFonts w:ascii="Times New Roman" w:hAnsi="Times New Roman" w:cs="Times New Roman"/>
              <w:sz w:val="24"/>
              <w:szCs w:val="24"/>
            </w:rPr>
            <w:t>Nawanir</w:t>
          </w:r>
          <w:proofErr w:type="spellEnd"/>
          <w:r w:rsidRPr="00296255">
            <w:rPr>
              <w:rFonts w:ascii="Times New Roman" w:hAnsi="Times New Roman" w:cs="Times New Roman"/>
              <w:sz w:val="24"/>
              <w:szCs w:val="24"/>
            </w:rPr>
            <w:t xml:space="preserve">, G., Mahmud, F., Mohamad, F., Ahmad, M. H., &amp; </w:t>
          </w:r>
          <w:proofErr w:type="spellStart"/>
          <w:r w:rsidRPr="00296255">
            <w:rPr>
              <w:rFonts w:ascii="Times New Roman" w:hAnsi="Times New Roman" w:cs="Times New Roman"/>
              <w:sz w:val="24"/>
              <w:szCs w:val="24"/>
            </w:rPr>
            <w:t>AbdulGhani</w:t>
          </w:r>
          <w:proofErr w:type="spellEnd"/>
          <w:r w:rsidRPr="00296255">
            <w:rPr>
              <w:rFonts w:ascii="Times New Roman" w:hAnsi="Times New Roman" w:cs="Times New Roman"/>
              <w:sz w:val="24"/>
              <w:szCs w:val="24"/>
            </w:rPr>
            <w:t xml:space="preserve">, A. (2022). Sustainability of biodegradable plastics: New problem or solution to solve the global plastic pollution? </w:t>
          </w:r>
          <w:r w:rsidRPr="00296255">
            <w:rPr>
              <w:rFonts w:ascii="Times New Roman" w:hAnsi="Times New Roman" w:cs="Times New Roman"/>
              <w:i/>
              <w:iCs/>
              <w:sz w:val="24"/>
              <w:szCs w:val="24"/>
            </w:rPr>
            <w:t>Current Research in Green and Sustainable Chemistry</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5</w:t>
          </w:r>
          <w:r w:rsidRPr="00296255">
            <w:rPr>
              <w:rFonts w:ascii="Times New Roman" w:hAnsi="Times New Roman" w:cs="Times New Roman"/>
              <w:sz w:val="24"/>
              <w:szCs w:val="24"/>
            </w:rPr>
            <w:t>, 100273. https://doi.org/10.1016/j.crgsc.2022.100273</w:t>
          </w:r>
        </w:p>
        <w:p w14:paraId="4CB90E2E"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t xml:space="preserve">Nworie, G. O., &amp; Nwoye, U. J. (2023). Drivers of Operating Profit: A Focus on Selected Firms’ Costs. </w:t>
          </w:r>
          <w:r w:rsidRPr="00296255">
            <w:rPr>
              <w:rFonts w:ascii="Times New Roman" w:hAnsi="Times New Roman" w:cs="Times New Roman"/>
              <w:i/>
              <w:iCs/>
              <w:sz w:val="24"/>
              <w:szCs w:val="24"/>
            </w:rPr>
            <w:t>CECCAR Business Review</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4</w:t>
          </w:r>
          <w:r w:rsidRPr="00296255">
            <w:rPr>
              <w:rFonts w:ascii="Times New Roman" w:hAnsi="Times New Roman" w:cs="Times New Roman"/>
              <w:sz w:val="24"/>
              <w:szCs w:val="24"/>
            </w:rPr>
            <w:t>(2), 62–72. https://doi.org/10.37945/cbr.2023.02.07</w:t>
          </w:r>
        </w:p>
        <w:p w14:paraId="7261C689"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proofErr w:type="spellStart"/>
          <w:r w:rsidRPr="00296255">
            <w:rPr>
              <w:rFonts w:ascii="Times New Roman" w:hAnsi="Times New Roman" w:cs="Times New Roman"/>
              <w:sz w:val="24"/>
              <w:szCs w:val="24"/>
            </w:rPr>
            <w:t>Pawase</w:t>
          </w:r>
          <w:proofErr w:type="spellEnd"/>
          <w:r w:rsidRPr="00296255">
            <w:rPr>
              <w:rFonts w:ascii="Times New Roman" w:hAnsi="Times New Roman" w:cs="Times New Roman"/>
              <w:sz w:val="24"/>
              <w:szCs w:val="24"/>
            </w:rPr>
            <w:t xml:space="preserve">, P. A., </w:t>
          </w:r>
          <w:proofErr w:type="spellStart"/>
          <w:r w:rsidRPr="00296255">
            <w:rPr>
              <w:rFonts w:ascii="Times New Roman" w:hAnsi="Times New Roman" w:cs="Times New Roman"/>
              <w:sz w:val="24"/>
              <w:szCs w:val="24"/>
            </w:rPr>
            <w:t>Pathare</w:t>
          </w:r>
          <w:proofErr w:type="spellEnd"/>
          <w:r w:rsidRPr="00296255">
            <w:rPr>
              <w:rFonts w:ascii="Times New Roman" w:hAnsi="Times New Roman" w:cs="Times New Roman"/>
              <w:sz w:val="24"/>
              <w:szCs w:val="24"/>
            </w:rPr>
            <w:t xml:space="preserve">, A. M., Bashir, O., Saleem, F., </w:t>
          </w:r>
          <w:proofErr w:type="spellStart"/>
          <w:r w:rsidRPr="00296255">
            <w:rPr>
              <w:rFonts w:ascii="Times New Roman" w:hAnsi="Times New Roman" w:cs="Times New Roman"/>
              <w:sz w:val="24"/>
              <w:szCs w:val="24"/>
            </w:rPr>
            <w:t>Shrama</w:t>
          </w:r>
          <w:proofErr w:type="spellEnd"/>
          <w:r w:rsidRPr="00296255">
            <w:rPr>
              <w:rFonts w:ascii="Times New Roman" w:hAnsi="Times New Roman" w:cs="Times New Roman"/>
              <w:sz w:val="24"/>
              <w:szCs w:val="24"/>
            </w:rPr>
            <w:t xml:space="preserve">, E., Mudgal, S., &amp; Ahmad, M. (2025). Physical, Chemical, and Nano-Enabled Modifications of Starch for Sustainable Food Packaging films: Recent Trends, Challenges, and Prospects. </w:t>
          </w:r>
          <w:r w:rsidRPr="00296255">
            <w:rPr>
              <w:rFonts w:ascii="Times New Roman" w:hAnsi="Times New Roman" w:cs="Times New Roman"/>
              <w:i/>
              <w:iCs/>
              <w:sz w:val="24"/>
              <w:szCs w:val="24"/>
            </w:rPr>
            <w:t>Carbohydrate Polymer Technologies and Applications</w:t>
          </w:r>
          <w:r w:rsidRPr="00296255">
            <w:rPr>
              <w:rFonts w:ascii="Times New Roman" w:hAnsi="Times New Roman" w:cs="Times New Roman"/>
              <w:sz w:val="24"/>
              <w:szCs w:val="24"/>
            </w:rPr>
            <w:t>, 100986. https://doi.org/10.1016/j.carpta.2025.100986</w:t>
          </w:r>
        </w:p>
        <w:p w14:paraId="2C0A6F14"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t xml:space="preserve">Perera, K. Y., Jaiswal, A. K., &amp; Jaiswal, S. (2023). Biopolymer-Based Sustainable Food Packaging Materials: Challenges, Solutions, and Applications. </w:t>
          </w:r>
          <w:r w:rsidRPr="00296255">
            <w:rPr>
              <w:rFonts w:ascii="Times New Roman" w:hAnsi="Times New Roman" w:cs="Times New Roman"/>
              <w:i/>
              <w:iCs/>
              <w:sz w:val="24"/>
              <w:szCs w:val="24"/>
            </w:rPr>
            <w:t>Foods</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12</w:t>
          </w:r>
          <w:r w:rsidRPr="00296255">
            <w:rPr>
              <w:rFonts w:ascii="Times New Roman" w:hAnsi="Times New Roman" w:cs="Times New Roman"/>
              <w:sz w:val="24"/>
              <w:szCs w:val="24"/>
            </w:rPr>
            <w:t>(12), 2422. https://doi.org/10.3390/foods12122422</w:t>
          </w:r>
        </w:p>
        <w:p w14:paraId="27542F1B"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proofErr w:type="spellStart"/>
          <w:r w:rsidRPr="00296255">
            <w:rPr>
              <w:rFonts w:ascii="Times New Roman" w:hAnsi="Times New Roman" w:cs="Times New Roman"/>
              <w:sz w:val="24"/>
              <w:szCs w:val="24"/>
            </w:rPr>
            <w:t>Pirogova</w:t>
          </w:r>
          <w:proofErr w:type="spellEnd"/>
          <w:r w:rsidRPr="00296255">
            <w:rPr>
              <w:rFonts w:ascii="Times New Roman" w:hAnsi="Times New Roman" w:cs="Times New Roman"/>
              <w:sz w:val="24"/>
              <w:szCs w:val="24"/>
            </w:rPr>
            <w:t xml:space="preserve">, O., </w:t>
          </w:r>
          <w:proofErr w:type="spellStart"/>
          <w:r w:rsidRPr="00296255">
            <w:rPr>
              <w:rFonts w:ascii="Times New Roman" w:hAnsi="Times New Roman" w:cs="Times New Roman"/>
              <w:sz w:val="24"/>
              <w:szCs w:val="24"/>
            </w:rPr>
            <w:t>Nuzhdin</w:t>
          </w:r>
          <w:proofErr w:type="spellEnd"/>
          <w:r w:rsidRPr="00296255">
            <w:rPr>
              <w:rFonts w:ascii="Times New Roman" w:hAnsi="Times New Roman" w:cs="Times New Roman"/>
              <w:sz w:val="24"/>
              <w:szCs w:val="24"/>
            </w:rPr>
            <w:t xml:space="preserve">, R., </w:t>
          </w:r>
          <w:proofErr w:type="spellStart"/>
          <w:r w:rsidRPr="00296255">
            <w:rPr>
              <w:rFonts w:ascii="Times New Roman" w:hAnsi="Times New Roman" w:cs="Times New Roman"/>
              <w:sz w:val="24"/>
              <w:szCs w:val="24"/>
            </w:rPr>
            <w:t>Kondrashova</w:t>
          </w:r>
          <w:proofErr w:type="spellEnd"/>
          <w:r w:rsidRPr="00296255">
            <w:rPr>
              <w:rFonts w:ascii="Times New Roman" w:hAnsi="Times New Roman" w:cs="Times New Roman"/>
              <w:sz w:val="24"/>
              <w:szCs w:val="24"/>
            </w:rPr>
            <w:t xml:space="preserve">, N., &amp; Lukina, O. (2020). Process-cost analysis of productivity and wages in agro-industrial processing organizations. </w:t>
          </w:r>
          <w:r w:rsidRPr="00296255">
            <w:rPr>
              <w:rFonts w:ascii="Times New Roman" w:hAnsi="Times New Roman" w:cs="Times New Roman"/>
              <w:i/>
              <w:iCs/>
              <w:sz w:val="24"/>
              <w:szCs w:val="24"/>
            </w:rPr>
            <w:t>E3S Web of Conferences</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217</w:t>
          </w:r>
          <w:r w:rsidRPr="00296255">
            <w:rPr>
              <w:rFonts w:ascii="Times New Roman" w:hAnsi="Times New Roman" w:cs="Times New Roman"/>
              <w:sz w:val="24"/>
              <w:szCs w:val="24"/>
            </w:rPr>
            <w:t>, 09002. https://doi.org/10.1051/e3sconf/202021709002</w:t>
          </w:r>
        </w:p>
        <w:p w14:paraId="639FD44E"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t xml:space="preserve">Radev, R., &amp; </w:t>
          </w:r>
          <w:proofErr w:type="spellStart"/>
          <w:r w:rsidRPr="00296255">
            <w:rPr>
              <w:rFonts w:ascii="Times New Roman" w:hAnsi="Times New Roman" w:cs="Times New Roman"/>
              <w:sz w:val="24"/>
              <w:szCs w:val="24"/>
            </w:rPr>
            <w:t>Kurshumov</w:t>
          </w:r>
          <w:proofErr w:type="spellEnd"/>
          <w:r w:rsidRPr="00296255">
            <w:rPr>
              <w:rFonts w:ascii="Times New Roman" w:hAnsi="Times New Roman" w:cs="Times New Roman"/>
              <w:sz w:val="24"/>
              <w:szCs w:val="24"/>
            </w:rPr>
            <w:t xml:space="preserve">, V. (2024). Cost price of edible films and coatings for fresh fruit and vegetables. </w:t>
          </w:r>
          <w:r w:rsidRPr="00296255">
            <w:rPr>
              <w:rFonts w:ascii="Times New Roman" w:hAnsi="Times New Roman" w:cs="Times New Roman"/>
              <w:i/>
              <w:iCs/>
              <w:sz w:val="24"/>
              <w:szCs w:val="24"/>
            </w:rPr>
            <w:t>BIO Web of Conferences</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141</w:t>
          </w:r>
          <w:r w:rsidRPr="00296255">
            <w:rPr>
              <w:rFonts w:ascii="Times New Roman" w:hAnsi="Times New Roman" w:cs="Times New Roman"/>
              <w:sz w:val="24"/>
              <w:szCs w:val="24"/>
            </w:rPr>
            <w:t>, 01001. https://doi.org/10.1051/bioconf/202414101001</w:t>
          </w:r>
        </w:p>
        <w:p w14:paraId="05A0A8B4"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t xml:space="preserve">Singh, P., Pandey, V. K., Singh, R., Singh, K., Dash, K. K., &amp; Malik, S. (2024). Unveiling the potential of starch-blended biodegradable polymers for substantializing the eco-friendly </w:t>
          </w:r>
          <w:r w:rsidRPr="00296255">
            <w:rPr>
              <w:rFonts w:ascii="Times New Roman" w:hAnsi="Times New Roman" w:cs="Times New Roman"/>
              <w:sz w:val="24"/>
              <w:szCs w:val="24"/>
            </w:rPr>
            <w:lastRenderedPageBreak/>
            <w:t xml:space="preserve">innovations. </w:t>
          </w:r>
          <w:r w:rsidRPr="00296255">
            <w:rPr>
              <w:rFonts w:ascii="Times New Roman" w:hAnsi="Times New Roman" w:cs="Times New Roman"/>
              <w:i/>
              <w:iCs/>
              <w:sz w:val="24"/>
              <w:szCs w:val="24"/>
            </w:rPr>
            <w:t>Journal of Agriculture and Food Research</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15</w:t>
          </w:r>
          <w:r w:rsidRPr="00296255">
            <w:rPr>
              <w:rFonts w:ascii="Times New Roman" w:hAnsi="Times New Roman" w:cs="Times New Roman"/>
              <w:sz w:val="24"/>
              <w:szCs w:val="24"/>
            </w:rPr>
            <w:t>, 101065. https://doi.org/10.1016/j.jafr.2024.101065</w:t>
          </w:r>
        </w:p>
        <w:p w14:paraId="7F74B83C"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t xml:space="preserve">Sintha, L. (2020). IMPORTANCE OF BREAK-EVEN ANALYSIS FOR THE MICRO, SMALL AND MEDIUM ENTERPRISES. </w:t>
          </w:r>
          <w:r w:rsidRPr="00296255">
            <w:rPr>
              <w:rFonts w:ascii="Times New Roman" w:hAnsi="Times New Roman" w:cs="Times New Roman"/>
              <w:i/>
              <w:iCs/>
              <w:sz w:val="24"/>
              <w:szCs w:val="24"/>
            </w:rPr>
            <w:t>International Journal of Research -GRANTHAALAYAH</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8</w:t>
          </w:r>
          <w:r w:rsidRPr="00296255">
            <w:rPr>
              <w:rFonts w:ascii="Times New Roman" w:hAnsi="Times New Roman" w:cs="Times New Roman"/>
              <w:sz w:val="24"/>
              <w:szCs w:val="24"/>
            </w:rPr>
            <w:t>(6), 212–218. https://doi.org/10.29121/granthaalayah.v8.i6.2020.502</w:t>
          </w:r>
        </w:p>
        <w:p w14:paraId="3BCCD480"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r w:rsidRPr="00296255">
            <w:rPr>
              <w:rFonts w:ascii="Times New Roman" w:hAnsi="Times New Roman" w:cs="Times New Roman"/>
              <w:sz w:val="24"/>
              <w:szCs w:val="24"/>
            </w:rPr>
            <w:t>Wang, H.-H., Zhou, S.-J., Xiong, S.-J., Liu, Q., Tian, H., Yu, S., &amp; Yuan, T.-Q. (2023). High-performance thermoplastic starch/</w:t>
          </w:r>
          <w:proofErr w:type="gramStart"/>
          <w:r w:rsidRPr="00296255">
            <w:rPr>
              <w:rFonts w:ascii="Times New Roman" w:hAnsi="Times New Roman" w:cs="Times New Roman"/>
              <w:sz w:val="24"/>
              <w:szCs w:val="24"/>
            </w:rPr>
            <w:t>poly(</w:t>
          </w:r>
          <w:proofErr w:type="gramEnd"/>
          <w:r w:rsidRPr="00296255">
            <w:rPr>
              <w:rFonts w:ascii="Times New Roman" w:hAnsi="Times New Roman" w:cs="Times New Roman"/>
              <w:sz w:val="24"/>
              <w:szCs w:val="24"/>
            </w:rPr>
            <w:t xml:space="preserve">butylene adipate-co-terephthalate) blends through synergistic plasticization of epoxidized soybean oil and glycerol. </w:t>
          </w:r>
          <w:r w:rsidRPr="00296255">
            <w:rPr>
              <w:rFonts w:ascii="Times New Roman" w:hAnsi="Times New Roman" w:cs="Times New Roman"/>
              <w:i/>
              <w:iCs/>
              <w:sz w:val="24"/>
              <w:szCs w:val="24"/>
            </w:rPr>
            <w:t>International Journal of Biological Macromolecules</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242</w:t>
          </w:r>
          <w:r w:rsidRPr="00296255">
            <w:rPr>
              <w:rFonts w:ascii="Times New Roman" w:hAnsi="Times New Roman" w:cs="Times New Roman"/>
              <w:sz w:val="24"/>
              <w:szCs w:val="24"/>
            </w:rPr>
            <w:t>, 124716. https://doi.org/10.1016/j.ijbiomac.2023.124716</w:t>
          </w:r>
        </w:p>
        <w:p w14:paraId="3C011255"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proofErr w:type="spellStart"/>
          <w:r w:rsidRPr="00296255">
            <w:rPr>
              <w:rFonts w:ascii="Times New Roman" w:hAnsi="Times New Roman" w:cs="Times New Roman"/>
              <w:sz w:val="24"/>
              <w:szCs w:val="24"/>
            </w:rPr>
            <w:t>Wellenreuther</w:t>
          </w:r>
          <w:proofErr w:type="spellEnd"/>
          <w:r w:rsidRPr="00296255">
            <w:rPr>
              <w:rFonts w:ascii="Times New Roman" w:hAnsi="Times New Roman" w:cs="Times New Roman"/>
              <w:sz w:val="24"/>
              <w:szCs w:val="24"/>
            </w:rPr>
            <w:t xml:space="preserve">, C., Wolf, A., &amp; Zander, N. (2022). Cost competitiveness of sustainable bioplastic feedstocks – A Monte Carlo analysis for polylactic acid. </w:t>
          </w:r>
          <w:r w:rsidRPr="00296255">
            <w:rPr>
              <w:rFonts w:ascii="Times New Roman" w:hAnsi="Times New Roman" w:cs="Times New Roman"/>
              <w:i/>
              <w:iCs/>
              <w:sz w:val="24"/>
              <w:szCs w:val="24"/>
            </w:rPr>
            <w:t>Cleaner Engineering and Technology</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6</w:t>
          </w:r>
          <w:r w:rsidRPr="00296255">
            <w:rPr>
              <w:rFonts w:ascii="Times New Roman" w:hAnsi="Times New Roman" w:cs="Times New Roman"/>
              <w:sz w:val="24"/>
              <w:szCs w:val="24"/>
            </w:rPr>
            <w:t>, 100411. https://doi.org/10.1016/j.clet.2022.100411</w:t>
          </w:r>
        </w:p>
        <w:p w14:paraId="10292CEF" w14:textId="77777777" w:rsidR="00686ED6" w:rsidRPr="00296255" w:rsidRDefault="00686ED6" w:rsidP="00BD3695">
          <w:pPr>
            <w:autoSpaceDE w:val="0"/>
            <w:autoSpaceDN w:val="0"/>
            <w:spacing w:line="480" w:lineRule="auto"/>
            <w:ind w:hanging="480"/>
            <w:jc w:val="both"/>
            <w:rPr>
              <w:rFonts w:ascii="Times New Roman" w:hAnsi="Times New Roman" w:cs="Times New Roman"/>
              <w:sz w:val="24"/>
              <w:szCs w:val="24"/>
            </w:rPr>
          </w:pPr>
          <w:proofErr w:type="spellStart"/>
          <w:r w:rsidRPr="00296255">
            <w:rPr>
              <w:rFonts w:ascii="Times New Roman" w:hAnsi="Times New Roman" w:cs="Times New Roman"/>
              <w:sz w:val="24"/>
              <w:szCs w:val="24"/>
            </w:rPr>
            <w:t>Yudhistira</w:t>
          </w:r>
          <w:proofErr w:type="spellEnd"/>
          <w:r w:rsidRPr="00296255">
            <w:rPr>
              <w:rFonts w:ascii="Times New Roman" w:hAnsi="Times New Roman" w:cs="Times New Roman"/>
              <w:sz w:val="24"/>
              <w:szCs w:val="24"/>
            </w:rPr>
            <w:t xml:space="preserve">, B., </w:t>
          </w:r>
          <w:proofErr w:type="spellStart"/>
          <w:r w:rsidRPr="00296255">
            <w:rPr>
              <w:rFonts w:ascii="Times New Roman" w:hAnsi="Times New Roman" w:cs="Times New Roman"/>
              <w:sz w:val="24"/>
              <w:szCs w:val="24"/>
            </w:rPr>
            <w:t>Husnayain</w:t>
          </w:r>
          <w:proofErr w:type="spellEnd"/>
          <w:r w:rsidRPr="00296255">
            <w:rPr>
              <w:rFonts w:ascii="Times New Roman" w:hAnsi="Times New Roman" w:cs="Times New Roman"/>
              <w:sz w:val="24"/>
              <w:szCs w:val="24"/>
            </w:rPr>
            <w:t xml:space="preserve">, N., </w:t>
          </w:r>
          <w:proofErr w:type="spellStart"/>
          <w:r w:rsidRPr="00296255">
            <w:rPr>
              <w:rFonts w:ascii="Times New Roman" w:hAnsi="Times New Roman" w:cs="Times New Roman"/>
              <w:sz w:val="24"/>
              <w:szCs w:val="24"/>
            </w:rPr>
            <w:t>Punthi</w:t>
          </w:r>
          <w:proofErr w:type="spellEnd"/>
          <w:r w:rsidRPr="00296255">
            <w:rPr>
              <w:rFonts w:ascii="Times New Roman" w:hAnsi="Times New Roman" w:cs="Times New Roman"/>
              <w:sz w:val="24"/>
              <w:szCs w:val="24"/>
            </w:rPr>
            <w:t xml:space="preserve">, F., </w:t>
          </w:r>
          <w:proofErr w:type="spellStart"/>
          <w:r w:rsidRPr="00296255">
            <w:rPr>
              <w:rFonts w:ascii="Times New Roman" w:hAnsi="Times New Roman" w:cs="Times New Roman"/>
              <w:sz w:val="24"/>
              <w:szCs w:val="24"/>
            </w:rPr>
            <w:t>Gavahian</w:t>
          </w:r>
          <w:proofErr w:type="spellEnd"/>
          <w:r w:rsidRPr="00296255">
            <w:rPr>
              <w:rFonts w:ascii="Times New Roman" w:hAnsi="Times New Roman" w:cs="Times New Roman"/>
              <w:sz w:val="24"/>
              <w:szCs w:val="24"/>
            </w:rPr>
            <w:t xml:space="preserve">, M., Chang, C.-K., &amp; Hsieh, C.-W. (2024). Progress in the Application of Emerging Technology for the Improvement of Starch-Based Active Packaging Properties: A Review. </w:t>
          </w:r>
          <w:r w:rsidRPr="00296255">
            <w:rPr>
              <w:rFonts w:ascii="Times New Roman" w:hAnsi="Times New Roman" w:cs="Times New Roman"/>
              <w:i/>
              <w:iCs/>
              <w:sz w:val="24"/>
              <w:szCs w:val="24"/>
            </w:rPr>
            <w:t>ACS Food Science &amp; Technology</w:t>
          </w:r>
          <w:r w:rsidRPr="00296255">
            <w:rPr>
              <w:rFonts w:ascii="Times New Roman" w:hAnsi="Times New Roman" w:cs="Times New Roman"/>
              <w:sz w:val="24"/>
              <w:szCs w:val="24"/>
            </w:rPr>
            <w:t xml:space="preserve">, </w:t>
          </w:r>
          <w:r w:rsidRPr="00050C91">
            <w:rPr>
              <w:rFonts w:ascii="Times New Roman" w:hAnsi="Times New Roman" w:cs="Times New Roman"/>
              <w:b/>
              <w:bCs/>
              <w:sz w:val="24"/>
              <w:szCs w:val="24"/>
            </w:rPr>
            <w:t>4</w:t>
          </w:r>
          <w:r w:rsidRPr="00296255">
            <w:rPr>
              <w:rFonts w:ascii="Times New Roman" w:hAnsi="Times New Roman" w:cs="Times New Roman"/>
              <w:sz w:val="24"/>
              <w:szCs w:val="24"/>
            </w:rPr>
            <w:t>(9), 1997–2012. https://doi.org/10.1021/acsfoodscitech.4c00260</w:t>
          </w:r>
        </w:p>
        <w:p w14:paraId="16AD8F70" w14:textId="77777777" w:rsidR="00686ED6" w:rsidRPr="00296255" w:rsidRDefault="00686ED6" w:rsidP="00BD3695">
          <w:pPr>
            <w:spacing w:line="480" w:lineRule="auto"/>
            <w:jc w:val="both"/>
            <w:rPr>
              <w:rFonts w:ascii="Times New Roman" w:hAnsi="Times New Roman" w:cs="Times New Roman"/>
              <w:sz w:val="24"/>
              <w:szCs w:val="24"/>
            </w:rPr>
          </w:pPr>
          <w:r w:rsidRPr="00296255">
            <w:rPr>
              <w:rFonts w:ascii="Times New Roman" w:hAnsi="Times New Roman" w:cs="Times New Roman"/>
              <w:sz w:val="24"/>
              <w:szCs w:val="24"/>
            </w:rPr>
            <w:t> </w:t>
          </w:r>
        </w:p>
      </w:sdtContent>
    </w:sdt>
    <w:p w14:paraId="084A60D8" w14:textId="77777777" w:rsidR="00B53BDC" w:rsidRPr="00296255" w:rsidRDefault="00B53BDC" w:rsidP="00BD3695">
      <w:pPr>
        <w:spacing w:line="480" w:lineRule="auto"/>
        <w:rPr>
          <w:rFonts w:ascii="Times New Roman" w:hAnsi="Times New Roman" w:cs="Times New Roman"/>
          <w:sz w:val="24"/>
          <w:szCs w:val="24"/>
        </w:rPr>
      </w:pPr>
    </w:p>
    <w:sectPr w:rsidR="00B53BDC" w:rsidRPr="00296255" w:rsidSect="00DA33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8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62981" w14:textId="77777777" w:rsidR="00B866B3" w:rsidRDefault="00B866B3" w:rsidP="00296255">
      <w:pPr>
        <w:spacing w:after="0" w:line="240" w:lineRule="auto"/>
      </w:pPr>
      <w:r>
        <w:separator/>
      </w:r>
    </w:p>
  </w:endnote>
  <w:endnote w:type="continuationSeparator" w:id="0">
    <w:p w14:paraId="5A880915" w14:textId="77777777" w:rsidR="00B866B3" w:rsidRDefault="00B866B3" w:rsidP="0029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24291" w14:textId="77777777" w:rsidR="00490A06" w:rsidRDefault="00490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7392646"/>
      <w:docPartObj>
        <w:docPartGallery w:val="Page Numbers (Bottom of Page)"/>
        <w:docPartUnique/>
      </w:docPartObj>
    </w:sdtPr>
    <w:sdtEndPr>
      <w:rPr>
        <w:noProof/>
      </w:rPr>
    </w:sdtEndPr>
    <w:sdtContent>
      <w:p w14:paraId="124B807C" w14:textId="33B95C94" w:rsidR="00296255" w:rsidRDefault="002962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3B328B" w14:textId="77777777" w:rsidR="00296255" w:rsidRDefault="00296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22347" w14:textId="77777777" w:rsidR="00490A06" w:rsidRDefault="00490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39B0B" w14:textId="77777777" w:rsidR="00B866B3" w:rsidRDefault="00B866B3" w:rsidP="00296255">
      <w:pPr>
        <w:spacing w:after="0" w:line="240" w:lineRule="auto"/>
      </w:pPr>
      <w:r>
        <w:separator/>
      </w:r>
    </w:p>
  </w:footnote>
  <w:footnote w:type="continuationSeparator" w:id="0">
    <w:p w14:paraId="37FFBE7A" w14:textId="77777777" w:rsidR="00B866B3" w:rsidRDefault="00B866B3" w:rsidP="00296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888F" w14:textId="5C4DD68D" w:rsidR="00490A06" w:rsidRDefault="00490A06">
    <w:pPr>
      <w:pStyle w:val="Header"/>
    </w:pPr>
    <w:r>
      <w:rPr>
        <w:noProof/>
      </w:rPr>
      <w:pict w14:anchorId="1E632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53126" o:spid="_x0000_s2050" type="#_x0000_t136" style="position:absolute;margin-left:0;margin-top:0;width:533pt;height:99.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37F8" w14:textId="31835F6B" w:rsidR="00490A06" w:rsidRDefault="00490A06">
    <w:pPr>
      <w:pStyle w:val="Header"/>
    </w:pPr>
    <w:r>
      <w:rPr>
        <w:noProof/>
      </w:rPr>
      <w:pict w14:anchorId="21D63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53127" o:spid="_x0000_s2051" type="#_x0000_t136" style="position:absolute;margin-left:0;margin-top:0;width:533pt;height:99.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D433A" w14:textId="2466A50F" w:rsidR="00490A06" w:rsidRDefault="00490A06">
    <w:pPr>
      <w:pStyle w:val="Header"/>
    </w:pPr>
    <w:r>
      <w:rPr>
        <w:noProof/>
      </w:rPr>
      <w:pict w14:anchorId="6F90E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53125" o:spid="_x0000_s2049" type="#_x0000_t136" style="position:absolute;margin-left:0;margin-top:0;width:533pt;height:99.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D76315"/>
    <w:multiLevelType w:val="multilevel"/>
    <w:tmpl w:val="ECA642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ED6"/>
    <w:rsid w:val="00050C91"/>
    <w:rsid w:val="0007478C"/>
    <w:rsid w:val="00296255"/>
    <w:rsid w:val="003734C5"/>
    <w:rsid w:val="00490A06"/>
    <w:rsid w:val="004F4D74"/>
    <w:rsid w:val="00637C60"/>
    <w:rsid w:val="006836E0"/>
    <w:rsid w:val="00686ED6"/>
    <w:rsid w:val="006A7BB8"/>
    <w:rsid w:val="006C1728"/>
    <w:rsid w:val="006F1EED"/>
    <w:rsid w:val="00727205"/>
    <w:rsid w:val="007F3BC9"/>
    <w:rsid w:val="008000E7"/>
    <w:rsid w:val="008446BD"/>
    <w:rsid w:val="00913B7B"/>
    <w:rsid w:val="00A770CF"/>
    <w:rsid w:val="00B32892"/>
    <w:rsid w:val="00B53BDC"/>
    <w:rsid w:val="00B866B3"/>
    <w:rsid w:val="00BD3695"/>
    <w:rsid w:val="00D21301"/>
    <w:rsid w:val="00D33DAA"/>
    <w:rsid w:val="00DA330B"/>
    <w:rsid w:val="00DA7137"/>
    <w:rsid w:val="00DE24A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6E056"/>
  <w15:chartTrackingRefBased/>
  <w15:docId w15:val="{02171F26-8631-42A2-9A49-BC0F63A2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ED6"/>
    <w:pPr>
      <w:spacing w:line="259" w:lineRule="auto"/>
    </w:pPr>
    <w:rPr>
      <w:rFonts w:ascii="Calibri" w:eastAsia="Times New Roman" w:hAnsi="Calibri" w:cs="Mangal"/>
      <w:kern w:val="0"/>
      <w:sz w:val="22"/>
      <w:szCs w:val="20"/>
      <w14:ligatures w14:val="none"/>
    </w:rPr>
  </w:style>
  <w:style w:type="paragraph" w:styleId="Heading1">
    <w:name w:val="heading 1"/>
    <w:basedOn w:val="Normal"/>
    <w:next w:val="Normal"/>
    <w:link w:val="Heading1Char"/>
    <w:uiPriority w:val="9"/>
    <w:qFormat/>
    <w:rsid w:val="00686ED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36"/>
      <w14:ligatures w14:val="standardContextual"/>
    </w:rPr>
  </w:style>
  <w:style w:type="paragraph" w:styleId="Heading2">
    <w:name w:val="heading 2"/>
    <w:basedOn w:val="Normal"/>
    <w:next w:val="Normal"/>
    <w:link w:val="Heading2Char"/>
    <w:uiPriority w:val="9"/>
    <w:semiHidden/>
    <w:unhideWhenUsed/>
    <w:qFormat/>
    <w:rsid w:val="00686ED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29"/>
      <w14:ligatures w14:val="standardContextual"/>
    </w:rPr>
  </w:style>
  <w:style w:type="paragraph" w:styleId="Heading3">
    <w:name w:val="heading 3"/>
    <w:basedOn w:val="Normal"/>
    <w:next w:val="Normal"/>
    <w:link w:val="Heading3Char"/>
    <w:uiPriority w:val="9"/>
    <w:semiHidden/>
    <w:unhideWhenUsed/>
    <w:qFormat/>
    <w:rsid w:val="00686ED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5"/>
      <w14:ligatures w14:val="standardContextual"/>
    </w:rPr>
  </w:style>
  <w:style w:type="paragraph" w:styleId="Heading4">
    <w:name w:val="heading 4"/>
    <w:basedOn w:val="Normal"/>
    <w:next w:val="Normal"/>
    <w:link w:val="Heading4Char"/>
    <w:uiPriority w:val="9"/>
    <w:semiHidden/>
    <w:unhideWhenUsed/>
    <w:qFormat/>
    <w:rsid w:val="00686ED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1"/>
      <w14:ligatures w14:val="standardContextual"/>
    </w:rPr>
  </w:style>
  <w:style w:type="paragraph" w:styleId="Heading5">
    <w:name w:val="heading 5"/>
    <w:basedOn w:val="Normal"/>
    <w:next w:val="Normal"/>
    <w:link w:val="Heading5Char"/>
    <w:uiPriority w:val="9"/>
    <w:semiHidden/>
    <w:unhideWhenUsed/>
    <w:qFormat/>
    <w:rsid w:val="00686ED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1"/>
      <w14:ligatures w14:val="standardContextual"/>
    </w:rPr>
  </w:style>
  <w:style w:type="paragraph" w:styleId="Heading6">
    <w:name w:val="heading 6"/>
    <w:basedOn w:val="Normal"/>
    <w:next w:val="Normal"/>
    <w:link w:val="Heading6Char"/>
    <w:uiPriority w:val="9"/>
    <w:semiHidden/>
    <w:unhideWhenUsed/>
    <w:qFormat/>
    <w:rsid w:val="00686ED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1"/>
      <w14:ligatures w14:val="standardContextual"/>
    </w:rPr>
  </w:style>
  <w:style w:type="paragraph" w:styleId="Heading7">
    <w:name w:val="heading 7"/>
    <w:basedOn w:val="Normal"/>
    <w:next w:val="Normal"/>
    <w:link w:val="Heading7Char"/>
    <w:uiPriority w:val="9"/>
    <w:semiHidden/>
    <w:unhideWhenUsed/>
    <w:qFormat/>
    <w:rsid w:val="00686ED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1"/>
      <w14:ligatures w14:val="standardContextual"/>
    </w:rPr>
  </w:style>
  <w:style w:type="paragraph" w:styleId="Heading8">
    <w:name w:val="heading 8"/>
    <w:basedOn w:val="Normal"/>
    <w:next w:val="Normal"/>
    <w:link w:val="Heading8Char"/>
    <w:uiPriority w:val="9"/>
    <w:semiHidden/>
    <w:unhideWhenUsed/>
    <w:qFormat/>
    <w:rsid w:val="00686ED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1"/>
      <w14:ligatures w14:val="standardContextual"/>
    </w:rPr>
  </w:style>
  <w:style w:type="paragraph" w:styleId="Heading9">
    <w:name w:val="heading 9"/>
    <w:basedOn w:val="Normal"/>
    <w:next w:val="Normal"/>
    <w:link w:val="Heading9Char"/>
    <w:uiPriority w:val="9"/>
    <w:semiHidden/>
    <w:unhideWhenUsed/>
    <w:qFormat/>
    <w:rsid w:val="00686ED6"/>
    <w:pPr>
      <w:keepNext/>
      <w:keepLines/>
      <w:spacing w:after="0" w:line="278" w:lineRule="auto"/>
      <w:outlineLvl w:val="8"/>
    </w:pPr>
    <w:rPr>
      <w:rFonts w:asciiTheme="minorHAnsi" w:eastAsiaTheme="majorEastAsia" w:hAnsiTheme="minorHAnsi" w:cstheme="majorBidi"/>
      <w:color w:val="272727" w:themeColor="text1" w:themeTint="D8"/>
      <w:kern w:val="2"/>
      <w:sz w:val="24"/>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ED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86ED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86ED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86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6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6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ED6"/>
    <w:rPr>
      <w:rFonts w:eastAsiaTheme="majorEastAsia" w:cstheme="majorBidi"/>
      <w:color w:val="272727" w:themeColor="text1" w:themeTint="D8"/>
    </w:rPr>
  </w:style>
  <w:style w:type="paragraph" w:styleId="Title">
    <w:name w:val="Title"/>
    <w:basedOn w:val="Normal"/>
    <w:next w:val="Normal"/>
    <w:link w:val="TitleChar"/>
    <w:uiPriority w:val="10"/>
    <w:qFormat/>
    <w:rsid w:val="00686ED6"/>
    <w:pPr>
      <w:spacing w:after="80" w:line="240" w:lineRule="auto"/>
      <w:contextualSpacing/>
    </w:pPr>
    <w:rPr>
      <w:rFonts w:asciiTheme="majorHAnsi" w:eastAsiaTheme="majorEastAsia" w:hAnsiTheme="majorHAnsi" w:cstheme="majorBidi"/>
      <w:spacing w:val="-10"/>
      <w:kern w:val="28"/>
      <w:sz w:val="56"/>
      <w:szCs w:val="50"/>
      <w14:ligatures w14:val="standardContextual"/>
    </w:rPr>
  </w:style>
  <w:style w:type="character" w:customStyle="1" w:styleId="TitleChar">
    <w:name w:val="Title Char"/>
    <w:basedOn w:val="DefaultParagraphFont"/>
    <w:link w:val="Title"/>
    <w:uiPriority w:val="10"/>
    <w:rsid w:val="00686ED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86ED6"/>
    <w:pPr>
      <w:numPr>
        <w:ilvl w:val="1"/>
      </w:numPr>
      <w:spacing w:line="278" w:lineRule="auto"/>
    </w:pPr>
    <w:rPr>
      <w:rFonts w:asciiTheme="minorHAnsi" w:eastAsiaTheme="majorEastAsia" w:hAnsiTheme="minorHAnsi" w:cstheme="majorBidi"/>
      <w:color w:val="595959" w:themeColor="text1" w:themeTint="A6"/>
      <w:spacing w:val="15"/>
      <w:kern w:val="2"/>
      <w:sz w:val="28"/>
      <w:szCs w:val="25"/>
      <w14:ligatures w14:val="standardContextual"/>
    </w:rPr>
  </w:style>
  <w:style w:type="character" w:customStyle="1" w:styleId="SubtitleChar">
    <w:name w:val="Subtitle Char"/>
    <w:basedOn w:val="DefaultParagraphFont"/>
    <w:link w:val="Subtitle"/>
    <w:uiPriority w:val="11"/>
    <w:rsid w:val="00686ED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86ED6"/>
    <w:pPr>
      <w:spacing w:before="160" w:line="278" w:lineRule="auto"/>
      <w:jc w:val="center"/>
    </w:pPr>
    <w:rPr>
      <w:rFonts w:asciiTheme="minorHAnsi" w:eastAsiaTheme="minorHAnsi" w:hAnsiTheme="minorHAnsi" w:cstheme="minorBidi"/>
      <w:i/>
      <w:iCs/>
      <w:color w:val="404040" w:themeColor="text1" w:themeTint="BF"/>
      <w:kern w:val="2"/>
      <w:sz w:val="24"/>
      <w:szCs w:val="21"/>
      <w14:ligatures w14:val="standardContextual"/>
    </w:rPr>
  </w:style>
  <w:style w:type="character" w:customStyle="1" w:styleId="QuoteChar">
    <w:name w:val="Quote Char"/>
    <w:basedOn w:val="DefaultParagraphFont"/>
    <w:link w:val="Quote"/>
    <w:uiPriority w:val="29"/>
    <w:rsid w:val="00686ED6"/>
    <w:rPr>
      <w:i/>
      <w:iCs/>
      <w:color w:val="404040" w:themeColor="text1" w:themeTint="BF"/>
    </w:rPr>
  </w:style>
  <w:style w:type="paragraph" w:styleId="ListParagraph">
    <w:name w:val="List Paragraph"/>
    <w:basedOn w:val="Normal"/>
    <w:uiPriority w:val="34"/>
    <w:qFormat/>
    <w:rsid w:val="00686ED6"/>
    <w:pPr>
      <w:spacing w:line="278" w:lineRule="auto"/>
      <w:ind w:left="720"/>
      <w:contextualSpacing/>
    </w:pPr>
    <w:rPr>
      <w:rFonts w:asciiTheme="minorHAnsi" w:eastAsiaTheme="minorHAnsi" w:hAnsiTheme="minorHAnsi" w:cstheme="minorBidi"/>
      <w:kern w:val="2"/>
      <w:sz w:val="24"/>
      <w:szCs w:val="21"/>
      <w14:ligatures w14:val="standardContextual"/>
    </w:rPr>
  </w:style>
  <w:style w:type="character" w:styleId="IntenseEmphasis">
    <w:name w:val="Intense Emphasis"/>
    <w:basedOn w:val="DefaultParagraphFont"/>
    <w:uiPriority w:val="21"/>
    <w:qFormat/>
    <w:rsid w:val="00686ED6"/>
    <w:rPr>
      <w:i/>
      <w:iCs/>
      <w:color w:val="2F5496" w:themeColor="accent1" w:themeShade="BF"/>
    </w:rPr>
  </w:style>
  <w:style w:type="paragraph" w:styleId="IntenseQuote">
    <w:name w:val="Intense Quote"/>
    <w:basedOn w:val="Normal"/>
    <w:next w:val="Normal"/>
    <w:link w:val="IntenseQuoteChar"/>
    <w:uiPriority w:val="30"/>
    <w:qFormat/>
    <w:rsid w:val="00686ED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1"/>
      <w14:ligatures w14:val="standardContextual"/>
    </w:rPr>
  </w:style>
  <w:style w:type="character" w:customStyle="1" w:styleId="IntenseQuoteChar">
    <w:name w:val="Intense Quote Char"/>
    <w:basedOn w:val="DefaultParagraphFont"/>
    <w:link w:val="IntenseQuote"/>
    <w:uiPriority w:val="30"/>
    <w:rsid w:val="00686ED6"/>
    <w:rPr>
      <w:i/>
      <w:iCs/>
      <w:color w:val="2F5496" w:themeColor="accent1" w:themeShade="BF"/>
    </w:rPr>
  </w:style>
  <w:style w:type="character" w:styleId="IntenseReference">
    <w:name w:val="Intense Reference"/>
    <w:basedOn w:val="DefaultParagraphFont"/>
    <w:uiPriority w:val="32"/>
    <w:qFormat/>
    <w:rsid w:val="00686ED6"/>
    <w:rPr>
      <w:b/>
      <w:bCs/>
      <w:smallCaps/>
      <w:color w:val="2F5496" w:themeColor="accent1" w:themeShade="BF"/>
      <w:spacing w:val="5"/>
    </w:rPr>
  </w:style>
  <w:style w:type="table" w:styleId="TableGrid">
    <w:name w:val="Table Grid"/>
    <w:basedOn w:val="TableNormal"/>
    <w:uiPriority w:val="39"/>
    <w:rsid w:val="00686ED6"/>
    <w:pPr>
      <w:spacing w:after="0" w:line="240" w:lineRule="auto"/>
    </w:pPr>
    <w:rPr>
      <w:rFonts w:ascii="Calibri" w:eastAsia="Times New Roman" w:hAnsi="Calibri" w:cs="Mang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6ED6"/>
    <w:rPr>
      <w:color w:val="0563C1" w:themeColor="hyperlink"/>
      <w:u w:val="single"/>
    </w:rPr>
  </w:style>
  <w:style w:type="paragraph" w:styleId="Header">
    <w:name w:val="header"/>
    <w:basedOn w:val="Normal"/>
    <w:link w:val="HeaderChar"/>
    <w:uiPriority w:val="99"/>
    <w:unhideWhenUsed/>
    <w:rsid w:val="00296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55"/>
    <w:rPr>
      <w:rFonts w:ascii="Calibri" w:eastAsia="Times New Roman" w:hAnsi="Calibri" w:cs="Mangal"/>
      <w:kern w:val="0"/>
      <w:sz w:val="22"/>
      <w:szCs w:val="20"/>
      <w14:ligatures w14:val="none"/>
    </w:rPr>
  </w:style>
  <w:style w:type="paragraph" w:styleId="Footer">
    <w:name w:val="footer"/>
    <w:basedOn w:val="Normal"/>
    <w:link w:val="FooterChar"/>
    <w:uiPriority w:val="99"/>
    <w:unhideWhenUsed/>
    <w:rsid w:val="00296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55"/>
    <w:rPr>
      <w:rFonts w:ascii="Calibri" w:eastAsia="Times New Roman" w:hAnsi="Calibri" w:cs="Mangal"/>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5838">
      <w:marLeft w:val="480"/>
      <w:marRight w:val="0"/>
      <w:marTop w:val="0"/>
      <w:marBottom w:val="0"/>
      <w:divBdr>
        <w:top w:val="none" w:sz="0" w:space="0" w:color="auto"/>
        <w:left w:val="none" w:sz="0" w:space="0" w:color="auto"/>
        <w:bottom w:val="none" w:sz="0" w:space="0" w:color="auto"/>
        <w:right w:val="none" w:sz="0" w:space="0" w:color="auto"/>
      </w:divBdr>
    </w:div>
    <w:div w:id="116024301">
      <w:marLeft w:val="480"/>
      <w:marRight w:val="0"/>
      <w:marTop w:val="0"/>
      <w:marBottom w:val="0"/>
      <w:divBdr>
        <w:top w:val="none" w:sz="0" w:space="0" w:color="auto"/>
        <w:left w:val="none" w:sz="0" w:space="0" w:color="auto"/>
        <w:bottom w:val="none" w:sz="0" w:space="0" w:color="auto"/>
        <w:right w:val="none" w:sz="0" w:space="0" w:color="auto"/>
      </w:divBdr>
    </w:div>
    <w:div w:id="160437632">
      <w:marLeft w:val="480"/>
      <w:marRight w:val="0"/>
      <w:marTop w:val="0"/>
      <w:marBottom w:val="0"/>
      <w:divBdr>
        <w:top w:val="none" w:sz="0" w:space="0" w:color="auto"/>
        <w:left w:val="none" w:sz="0" w:space="0" w:color="auto"/>
        <w:bottom w:val="none" w:sz="0" w:space="0" w:color="auto"/>
        <w:right w:val="none" w:sz="0" w:space="0" w:color="auto"/>
      </w:divBdr>
    </w:div>
    <w:div w:id="162206434">
      <w:marLeft w:val="480"/>
      <w:marRight w:val="0"/>
      <w:marTop w:val="0"/>
      <w:marBottom w:val="0"/>
      <w:divBdr>
        <w:top w:val="none" w:sz="0" w:space="0" w:color="auto"/>
        <w:left w:val="none" w:sz="0" w:space="0" w:color="auto"/>
        <w:bottom w:val="none" w:sz="0" w:space="0" w:color="auto"/>
        <w:right w:val="none" w:sz="0" w:space="0" w:color="auto"/>
      </w:divBdr>
    </w:div>
    <w:div w:id="174344975">
      <w:marLeft w:val="480"/>
      <w:marRight w:val="0"/>
      <w:marTop w:val="0"/>
      <w:marBottom w:val="0"/>
      <w:divBdr>
        <w:top w:val="none" w:sz="0" w:space="0" w:color="auto"/>
        <w:left w:val="none" w:sz="0" w:space="0" w:color="auto"/>
        <w:bottom w:val="none" w:sz="0" w:space="0" w:color="auto"/>
        <w:right w:val="none" w:sz="0" w:space="0" w:color="auto"/>
      </w:divBdr>
    </w:div>
    <w:div w:id="189537788">
      <w:marLeft w:val="480"/>
      <w:marRight w:val="0"/>
      <w:marTop w:val="0"/>
      <w:marBottom w:val="0"/>
      <w:divBdr>
        <w:top w:val="none" w:sz="0" w:space="0" w:color="auto"/>
        <w:left w:val="none" w:sz="0" w:space="0" w:color="auto"/>
        <w:bottom w:val="none" w:sz="0" w:space="0" w:color="auto"/>
        <w:right w:val="none" w:sz="0" w:space="0" w:color="auto"/>
      </w:divBdr>
    </w:div>
    <w:div w:id="200869113">
      <w:marLeft w:val="480"/>
      <w:marRight w:val="0"/>
      <w:marTop w:val="0"/>
      <w:marBottom w:val="0"/>
      <w:divBdr>
        <w:top w:val="none" w:sz="0" w:space="0" w:color="auto"/>
        <w:left w:val="none" w:sz="0" w:space="0" w:color="auto"/>
        <w:bottom w:val="none" w:sz="0" w:space="0" w:color="auto"/>
        <w:right w:val="none" w:sz="0" w:space="0" w:color="auto"/>
      </w:divBdr>
    </w:div>
    <w:div w:id="260603781">
      <w:marLeft w:val="480"/>
      <w:marRight w:val="0"/>
      <w:marTop w:val="0"/>
      <w:marBottom w:val="0"/>
      <w:divBdr>
        <w:top w:val="none" w:sz="0" w:space="0" w:color="auto"/>
        <w:left w:val="none" w:sz="0" w:space="0" w:color="auto"/>
        <w:bottom w:val="none" w:sz="0" w:space="0" w:color="auto"/>
        <w:right w:val="none" w:sz="0" w:space="0" w:color="auto"/>
      </w:divBdr>
    </w:div>
    <w:div w:id="315574573">
      <w:marLeft w:val="480"/>
      <w:marRight w:val="0"/>
      <w:marTop w:val="0"/>
      <w:marBottom w:val="0"/>
      <w:divBdr>
        <w:top w:val="none" w:sz="0" w:space="0" w:color="auto"/>
        <w:left w:val="none" w:sz="0" w:space="0" w:color="auto"/>
        <w:bottom w:val="none" w:sz="0" w:space="0" w:color="auto"/>
        <w:right w:val="none" w:sz="0" w:space="0" w:color="auto"/>
      </w:divBdr>
    </w:div>
    <w:div w:id="328483579">
      <w:marLeft w:val="480"/>
      <w:marRight w:val="0"/>
      <w:marTop w:val="0"/>
      <w:marBottom w:val="0"/>
      <w:divBdr>
        <w:top w:val="none" w:sz="0" w:space="0" w:color="auto"/>
        <w:left w:val="none" w:sz="0" w:space="0" w:color="auto"/>
        <w:bottom w:val="none" w:sz="0" w:space="0" w:color="auto"/>
        <w:right w:val="none" w:sz="0" w:space="0" w:color="auto"/>
      </w:divBdr>
    </w:div>
    <w:div w:id="360934429">
      <w:marLeft w:val="480"/>
      <w:marRight w:val="0"/>
      <w:marTop w:val="0"/>
      <w:marBottom w:val="0"/>
      <w:divBdr>
        <w:top w:val="none" w:sz="0" w:space="0" w:color="auto"/>
        <w:left w:val="none" w:sz="0" w:space="0" w:color="auto"/>
        <w:bottom w:val="none" w:sz="0" w:space="0" w:color="auto"/>
        <w:right w:val="none" w:sz="0" w:space="0" w:color="auto"/>
      </w:divBdr>
    </w:div>
    <w:div w:id="397827124">
      <w:marLeft w:val="480"/>
      <w:marRight w:val="0"/>
      <w:marTop w:val="0"/>
      <w:marBottom w:val="0"/>
      <w:divBdr>
        <w:top w:val="none" w:sz="0" w:space="0" w:color="auto"/>
        <w:left w:val="none" w:sz="0" w:space="0" w:color="auto"/>
        <w:bottom w:val="none" w:sz="0" w:space="0" w:color="auto"/>
        <w:right w:val="none" w:sz="0" w:space="0" w:color="auto"/>
      </w:divBdr>
    </w:div>
    <w:div w:id="476263421">
      <w:marLeft w:val="480"/>
      <w:marRight w:val="0"/>
      <w:marTop w:val="0"/>
      <w:marBottom w:val="0"/>
      <w:divBdr>
        <w:top w:val="none" w:sz="0" w:space="0" w:color="auto"/>
        <w:left w:val="none" w:sz="0" w:space="0" w:color="auto"/>
        <w:bottom w:val="none" w:sz="0" w:space="0" w:color="auto"/>
        <w:right w:val="none" w:sz="0" w:space="0" w:color="auto"/>
      </w:divBdr>
    </w:div>
    <w:div w:id="610481518">
      <w:marLeft w:val="480"/>
      <w:marRight w:val="0"/>
      <w:marTop w:val="0"/>
      <w:marBottom w:val="0"/>
      <w:divBdr>
        <w:top w:val="none" w:sz="0" w:space="0" w:color="auto"/>
        <w:left w:val="none" w:sz="0" w:space="0" w:color="auto"/>
        <w:bottom w:val="none" w:sz="0" w:space="0" w:color="auto"/>
        <w:right w:val="none" w:sz="0" w:space="0" w:color="auto"/>
      </w:divBdr>
    </w:div>
    <w:div w:id="654577103">
      <w:marLeft w:val="480"/>
      <w:marRight w:val="0"/>
      <w:marTop w:val="0"/>
      <w:marBottom w:val="0"/>
      <w:divBdr>
        <w:top w:val="none" w:sz="0" w:space="0" w:color="auto"/>
        <w:left w:val="none" w:sz="0" w:space="0" w:color="auto"/>
        <w:bottom w:val="none" w:sz="0" w:space="0" w:color="auto"/>
        <w:right w:val="none" w:sz="0" w:space="0" w:color="auto"/>
      </w:divBdr>
    </w:div>
    <w:div w:id="665474028">
      <w:marLeft w:val="480"/>
      <w:marRight w:val="0"/>
      <w:marTop w:val="0"/>
      <w:marBottom w:val="0"/>
      <w:divBdr>
        <w:top w:val="none" w:sz="0" w:space="0" w:color="auto"/>
        <w:left w:val="none" w:sz="0" w:space="0" w:color="auto"/>
        <w:bottom w:val="none" w:sz="0" w:space="0" w:color="auto"/>
        <w:right w:val="none" w:sz="0" w:space="0" w:color="auto"/>
      </w:divBdr>
    </w:div>
    <w:div w:id="690031490">
      <w:marLeft w:val="480"/>
      <w:marRight w:val="0"/>
      <w:marTop w:val="0"/>
      <w:marBottom w:val="0"/>
      <w:divBdr>
        <w:top w:val="none" w:sz="0" w:space="0" w:color="auto"/>
        <w:left w:val="none" w:sz="0" w:space="0" w:color="auto"/>
        <w:bottom w:val="none" w:sz="0" w:space="0" w:color="auto"/>
        <w:right w:val="none" w:sz="0" w:space="0" w:color="auto"/>
      </w:divBdr>
    </w:div>
    <w:div w:id="792403540">
      <w:marLeft w:val="480"/>
      <w:marRight w:val="0"/>
      <w:marTop w:val="0"/>
      <w:marBottom w:val="0"/>
      <w:divBdr>
        <w:top w:val="none" w:sz="0" w:space="0" w:color="auto"/>
        <w:left w:val="none" w:sz="0" w:space="0" w:color="auto"/>
        <w:bottom w:val="none" w:sz="0" w:space="0" w:color="auto"/>
        <w:right w:val="none" w:sz="0" w:space="0" w:color="auto"/>
      </w:divBdr>
    </w:div>
    <w:div w:id="794908042">
      <w:marLeft w:val="480"/>
      <w:marRight w:val="0"/>
      <w:marTop w:val="0"/>
      <w:marBottom w:val="0"/>
      <w:divBdr>
        <w:top w:val="none" w:sz="0" w:space="0" w:color="auto"/>
        <w:left w:val="none" w:sz="0" w:space="0" w:color="auto"/>
        <w:bottom w:val="none" w:sz="0" w:space="0" w:color="auto"/>
        <w:right w:val="none" w:sz="0" w:space="0" w:color="auto"/>
      </w:divBdr>
    </w:div>
    <w:div w:id="847449243">
      <w:marLeft w:val="480"/>
      <w:marRight w:val="0"/>
      <w:marTop w:val="0"/>
      <w:marBottom w:val="0"/>
      <w:divBdr>
        <w:top w:val="none" w:sz="0" w:space="0" w:color="auto"/>
        <w:left w:val="none" w:sz="0" w:space="0" w:color="auto"/>
        <w:bottom w:val="none" w:sz="0" w:space="0" w:color="auto"/>
        <w:right w:val="none" w:sz="0" w:space="0" w:color="auto"/>
      </w:divBdr>
    </w:div>
    <w:div w:id="896625347">
      <w:marLeft w:val="480"/>
      <w:marRight w:val="0"/>
      <w:marTop w:val="0"/>
      <w:marBottom w:val="0"/>
      <w:divBdr>
        <w:top w:val="none" w:sz="0" w:space="0" w:color="auto"/>
        <w:left w:val="none" w:sz="0" w:space="0" w:color="auto"/>
        <w:bottom w:val="none" w:sz="0" w:space="0" w:color="auto"/>
        <w:right w:val="none" w:sz="0" w:space="0" w:color="auto"/>
      </w:divBdr>
    </w:div>
    <w:div w:id="988824299">
      <w:marLeft w:val="480"/>
      <w:marRight w:val="0"/>
      <w:marTop w:val="0"/>
      <w:marBottom w:val="0"/>
      <w:divBdr>
        <w:top w:val="none" w:sz="0" w:space="0" w:color="auto"/>
        <w:left w:val="none" w:sz="0" w:space="0" w:color="auto"/>
        <w:bottom w:val="none" w:sz="0" w:space="0" w:color="auto"/>
        <w:right w:val="none" w:sz="0" w:space="0" w:color="auto"/>
      </w:divBdr>
    </w:div>
    <w:div w:id="1035426157">
      <w:marLeft w:val="480"/>
      <w:marRight w:val="0"/>
      <w:marTop w:val="0"/>
      <w:marBottom w:val="0"/>
      <w:divBdr>
        <w:top w:val="none" w:sz="0" w:space="0" w:color="auto"/>
        <w:left w:val="none" w:sz="0" w:space="0" w:color="auto"/>
        <w:bottom w:val="none" w:sz="0" w:space="0" w:color="auto"/>
        <w:right w:val="none" w:sz="0" w:space="0" w:color="auto"/>
      </w:divBdr>
    </w:div>
    <w:div w:id="1105617595">
      <w:marLeft w:val="480"/>
      <w:marRight w:val="0"/>
      <w:marTop w:val="0"/>
      <w:marBottom w:val="0"/>
      <w:divBdr>
        <w:top w:val="none" w:sz="0" w:space="0" w:color="auto"/>
        <w:left w:val="none" w:sz="0" w:space="0" w:color="auto"/>
        <w:bottom w:val="none" w:sz="0" w:space="0" w:color="auto"/>
        <w:right w:val="none" w:sz="0" w:space="0" w:color="auto"/>
      </w:divBdr>
    </w:div>
    <w:div w:id="1162164876">
      <w:marLeft w:val="480"/>
      <w:marRight w:val="0"/>
      <w:marTop w:val="0"/>
      <w:marBottom w:val="0"/>
      <w:divBdr>
        <w:top w:val="none" w:sz="0" w:space="0" w:color="auto"/>
        <w:left w:val="none" w:sz="0" w:space="0" w:color="auto"/>
        <w:bottom w:val="none" w:sz="0" w:space="0" w:color="auto"/>
        <w:right w:val="none" w:sz="0" w:space="0" w:color="auto"/>
      </w:divBdr>
    </w:div>
    <w:div w:id="1203246260">
      <w:marLeft w:val="480"/>
      <w:marRight w:val="0"/>
      <w:marTop w:val="0"/>
      <w:marBottom w:val="0"/>
      <w:divBdr>
        <w:top w:val="none" w:sz="0" w:space="0" w:color="auto"/>
        <w:left w:val="none" w:sz="0" w:space="0" w:color="auto"/>
        <w:bottom w:val="none" w:sz="0" w:space="0" w:color="auto"/>
        <w:right w:val="none" w:sz="0" w:space="0" w:color="auto"/>
      </w:divBdr>
    </w:div>
    <w:div w:id="1246912599">
      <w:marLeft w:val="480"/>
      <w:marRight w:val="0"/>
      <w:marTop w:val="0"/>
      <w:marBottom w:val="0"/>
      <w:divBdr>
        <w:top w:val="none" w:sz="0" w:space="0" w:color="auto"/>
        <w:left w:val="none" w:sz="0" w:space="0" w:color="auto"/>
        <w:bottom w:val="none" w:sz="0" w:space="0" w:color="auto"/>
        <w:right w:val="none" w:sz="0" w:space="0" w:color="auto"/>
      </w:divBdr>
    </w:div>
    <w:div w:id="1324313004">
      <w:marLeft w:val="480"/>
      <w:marRight w:val="0"/>
      <w:marTop w:val="0"/>
      <w:marBottom w:val="0"/>
      <w:divBdr>
        <w:top w:val="none" w:sz="0" w:space="0" w:color="auto"/>
        <w:left w:val="none" w:sz="0" w:space="0" w:color="auto"/>
        <w:bottom w:val="none" w:sz="0" w:space="0" w:color="auto"/>
        <w:right w:val="none" w:sz="0" w:space="0" w:color="auto"/>
      </w:divBdr>
    </w:div>
    <w:div w:id="1489519580">
      <w:marLeft w:val="480"/>
      <w:marRight w:val="0"/>
      <w:marTop w:val="0"/>
      <w:marBottom w:val="0"/>
      <w:divBdr>
        <w:top w:val="none" w:sz="0" w:space="0" w:color="auto"/>
        <w:left w:val="none" w:sz="0" w:space="0" w:color="auto"/>
        <w:bottom w:val="none" w:sz="0" w:space="0" w:color="auto"/>
        <w:right w:val="none" w:sz="0" w:space="0" w:color="auto"/>
      </w:divBdr>
    </w:div>
    <w:div w:id="1494493689">
      <w:marLeft w:val="480"/>
      <w:marRight w:val="0"/>
      <w:marTop w:val="0"/>
      <w:marBottom w:val="0"/>
      <w:divBdr>
        <w:top w:val="none" w:sz="0" w:space="0" w:color="auto"/>
        <w:left w:val="none" w:sz="0" w:space="0" w:color="auto"/>
        <w:bottom w:val="none" w:sz="0" w:space="0" w:color="auto"/>
        <w:right w:val="none" w:sz="0" w:space="0" w:color="auto"/>
      </w:divBdr>
    </w:div>
    <w:div w:id="1497652893">
      <w:marLeft w:val="480"/>
      <w:marRight w:val="0"/>
      <w:marTop w:val="0"/>
      <w:marBottom w:val="0"/>
      <w:divBdr>
        <w:top w:val="none" w:sz="0" w:space="0" w:color="auto"/>
        <w:left w:val="none" w:sz="0" w:space="0" w:color="auto"/>
        <w:bottom w:val="none" w:sz="0" w:space="0" w:color="auto"/>
        <w:right w:val="none" w:sz="0" w:space="0" w:color="auto"/>
      </w:divBdr>
    </w:div>
    <w:div w:id="1526598391">
      <w:marLeft w:val="480"/>
      <w:marRight w:val="0"/>
      <w:marTop w:val="0"/>
      <w:marBottom w:val="0"/>
      <w:divBdr>
        <w:top w:val="none" w:sz="0" w:space="0" w:color="auto"/>
        <w:left w:val="none" w:sz="0" w:space="0" w:color="auto"/>
        <w:bottom w:val="none" w:sz="0" w:space="0" w:color="auto"/>
        <w:right w:val="none" w:sz="0" w:space="0" w:color="auto"/>
      </w:divBdr>
    </w:div>
    <w:div w:id="1527210885">
      <w:marLeft w:val="480"/>
      <w:marRight w:val="0"/>
      <w:marTop w:val="0"/>
      <w:marBottom w:val="0"/>
      <w:divBdr>
        <w:top w:val="none" w:sz="0" w:space="0" w:color="auto"/>
        <w:left w:val="none" w:sz="0" w:space="0" w:color="auto"/>
        <w:bottom w:val="none" w:sz="0" w:space="0" w:color="auto"/>
        <w:right w:val="none" w:sz="0" w:space="0" w:color="auto"/>
      </w:divBdr>
    </w:div>
    <w:div w:id="1616866302">
      <w:marLeft w:val="480"/>
      <w:marRight w:val="0"/>
      <w:marTop w:val="0"/>
      <w:marBottom w:val="0"/>
      <w:divBdr>
        <w:top w:val="none" w:sz="0" w:space="0" w:color="auto"/>
        <w:left w:val="none" w:sz="0" w:space="0" w:color="auto"/>
        <w:bottom w:val="none" w:sz="0" w:space="0" w:color="auto"/>
        <w:right w:val="none" w:sz="0" w:space="0" w:color="auto"/>
      </w:divBdr>
    </w:div>
    <w:div w:id="1693340362">
      <w:marLeft w:val="480"/>
      <w:marRight w:val="0"/>
      <w:marTop w:val="0"/>
      <w:marBottom w:val="0"/>
      <w:divBdr>
        <w:top w:val="none" w:sz="0" w:space="0" w:color="auto"/>
        <w:left w:val="none" w:sz="0" w:space="0" w:color="auto"/>
        <w:bottom w:val="none" w:sz="0" w:space="0" w:color="auto"/>
        <w:right w:val="none" w:sz="0" w:space="0" w:color="auto"/>
      </w:divBdr>
    </w:div>
    <w:div w:id="1706104090">
      <w:marLeft w:val="480"/>
      <w:marRight w:val="0"/>
      <w:marTop w:val="0"/>
      <w:marBottom w:val="0"/>
      <w:divBdr>
        <w:top w:val="none" w:sz="0" w:space="0" w:color="auto"/>
        <w:left w:val="none" w:sz="0" w:space="0" w:color="auto"/>
        <w:bottom w:val="none" w:sz="0" w:space="0" w:color="auto"/>
        <w:right w:val="none" w:sz="0" w:space="0" w:color="auto"/>
      </w:divBdr>
    </w:div>
    <w:div w:id="1730960336">
      <w:marLeft w:val="480"/>
      <w:marRight w:val="0"/>
      <w:marTop w:val="0"/>
      <w:marBottom w:val="0"/>
      <w:divBdr>
        <w:top w:val="none" w:sz="0" w:space="0" w:color="auto"/>
        <w:left w:val="none" w:sz="0" w:space="0" w:color="auto"/>
        <w:bottom w:val="none" w:sz="0" w:space="0" w:color="auto"/>
        <w:right w:val="none" w:sz="0" w:space="0" w:color="auto"/>
      </w:divBdr>
    </w:div>
    <w:div w:id="1890460632">
      <w:marLeft w:val="480"/>
      <w:marRight w:val="0"/>
      <w:marTop w:val="0"/>
      <w:marBottom w:val="0"/>
      <w:divBdr>
        <w:top w:val="none" w:sz="0" w:space="0" w:color="auto"/>
        <w:left w:val="none" w:sz="0" w:space="0" w:color="auto"/>
        <w:bottom w:val="none" w:sz="0" w:space="0" w:color="auto"/>
        <w:right w:val="none" w:sz="0" w:space="0" w:color="auto"/>
      </w:divBdr>
    </w:div>
    <w:div w:id="1891844074">
      <w:marLeft w:val="480"/>
      <w:marRight w:val="0"/>
      <w:marTop w:val="0"/>
      <w:marBottom w:val="0"/>
      <w:divBdr>
        <w:top w:val="none" w:sz="0" w:space="0" w:color="auto"/>
        <w:left w:val="none" w:sz="0" w:space="0" w:color="auto"/>
        <w:bottom w:val="none" w:sz="0" w:space="0" w:color="auto"/>
        <w:right w:val="none" w:sz="0" w:space="0" w:color="auto"/>
      </w:divBdr>
    </w:div>
    <w:div w:id="1958220994">
      <w:marLeft w:val="480"/>
      <w:marRight w:val="0"/>
      <w:marTop w:val="0"/>
      <w:marBottom w:val="0"/>
      <w:divBdr>
        <w:top w:val="none" w:sz="0" w:space="0" w:color="auto"/>
        <w:left w:val="none" w:sz="0" w:space="0" w:color="auto"/>
        <w:bottom w:val="none" w:sz="0" w:space="0" w:color="auto"/>
        <w:right w:val="none" w:sz="0" w:space="0" w:color="auto"/>
      </w:divBdr>
    </w:div>
    <w:div w:id="1970741981">
      <w:marLeft w:val="480"/>
      <w:marRight w:val="0"/>
      <w:marTop w:val="0"/>
      <w:marBottom w:val="0"/>
      <w:divBdr>
        <w:top w:val="none" w:sz="0" w:space="0" w:color="auto"/>
        <w:left w:val="none" w:sz="0" w:space="0" w:color="auto"/>
        <w:bottom w:val="none" w:sz="0" w:space="0" w:color="auto"/>
        <w:right w:val="none" w:sz="0" w:space="0" w:color="auto"/>
      </w:divBdr>
    </w:div>
    <w:div w:id="1975283274">
      <w:marLeft w:val="480"/>
      <w:marRight w:val="0"/>
      <w:marTop w:val="0"/>
      <w:marBottom w:val="0"/>
      <w:divBdr>
        <w:top w:val="none" w:sz="0" w:space="0" w:color="auto"/>
        <w:left w:val="none" w:sz="0" w:space="0" w:color="auto"/>
        <w:bottom w:val="none" w:sz="0" w:space="0" w:color="auto"/>
        <w:right w:val="none" w:sz="0" w:space="0" w:color="auto"/>
      </w:divBdr>
    </w:div>
    <w:div w:id="1978754850">
      <w:marLeft w:val="480"/>
      <w:marRight w:val="0"/>
      <w:marTop w:val="0"/>
      <w:marBottom w:val="0"/>
      <w:divBdr>
        <w:top w:val="none" w:sz="0" w:space="0" w:color="auto"/>
        <w:left w:val="none" w:sz="0" w:space="0" w:color="auto"/>
        <w:bottom w:val="none" w:sz="0" w:space="0" w:color="auto"/>
        <w:right w:val="none" w:sz="0" w:space="0" w:color="auto"/>
      </w:divBdr>
    </w:div>
    <w:div w:id="2017148914">
      <w:marLeft w:val="480"/>
      <w:marRight w:val="0"/>
      <w:marTop w:val="0"/>
      <w:marBottom w:val="0"/>
      <w:divBdr>
        <w:top w:val="none" w:sz="0" w:space="0" w:color="auto"/>
        <w:left w:val="none" w:sz="0" w:space="0" w:color="auto"/>
        <w:bottom w:val="none" w:sz="0" w:space="0" w:color="auto"/>
        <w:right w:val="none" w:sz="0" w:space="0" w:color="auto"/>
      </w:divBdr>
    </w:div>
    <w:div w:id="2028174047">
      <w:marLeft w:val="480"/>
      <w:marRight w:val="0"/>
      <w:marTop w:val="0"/>
      <w:marBottom w:val="0"/>
      <w:divBdr>
        <w:top w:val="none" w:sz="0" w:space="0" w:color="auto"/>
        <w:left w:val="none" w:sz="0" w:space="0" w:color="auto"/>
        <w:bottom w:val="none" w:sz="0" w:space="0" w:color="auto"/>
        <w:right w:val="none" w:sz="0" w:space="0" w:color="auto"/>
      </w:divBdr>
    </w:div>
    <w:div w:id="2036692198">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82101AD8A04DC78F376E8ADBC08A64"/>
        <w:category>
          <w:name w:val="General"/>
          <w:gallery w:val="placeholder"/>
        </w:category>
        <w:types>
          <w:type w:val="bbPlcHdr"/>
        </w:types>
        <w:behaviors>
          <w:behavior w:val="content"/>
        </w:behaviors>
        <w:guid w:val="{7FD97F1C-8A58-4F66-8864-CA16278501A1}"/>
      </w:docPartPr>
      <w:docPartBody>
        <w:p w:rsidR="002A226B" w:rsidRDefault="009B3CE3" w:rsidP="009B3CE3">
          <w:pPr>
            <w:pStyle w:val="C382101AD8A04DC78F376E8ADBC08A64"/>
          </w:pPr>
          <w:r w:rsidRPr="00737E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E3"/>
    <w:rsid w:val="002A226B"/>
    <w:rsid w:val="004B29C0"/>
    <w:rsid w:val="007F2FDE"/>
    <w:rsid w:val="007F3BC9"/>
    <w:rsid w:val="008446BD"/>
    <w:rsid w:val="009B3CE3"/>
    <w:rsid w:val="00B957B6"/>
    <w:rsid w:val="00D00ADD"/>
    <w:rsid w:val="00D2130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CE3"/>
    <w:rPr>
      <w:color w:val="666666"/>
    </w:rPr>
  </w:style>
  <w:style w:type="paragraph" w:customStyle="1" w:styleId="C382101AD8A04DC78F376E8ADBC08A64">
    <w:name w:val="C382101AD8A04DC78F376E8ADBC08A64"/>
    <w:rsid w:val="009B3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6A6263-525F-4C8D-B62D-17DC0C214E1B}">
  <we:reference id="wa104382081" version="1.55.1.0" store="en-US" storeType="OMEX"/>
  <we:alternateReferences>
    <we:reference id="WA104382081" version="1.55.1.0" store="" storeType="OMEX"/>
  </we:alternateReferences>
  <we:properties>
    <we:property name="MENDELEY_CITATIONS" value="[{&quot;citationID&quot;:&quot;MENDELEY_CITATION_4f65d454-2869-4fe2-8f06-7304483ca437&quot;,&quot;properties&quot;:{&quot;noteIndex&quot;:0},&quot;isEdited&quot;:false,&quot;manualOverride&quot;:{&quot;isManuallyOverridden&quot;:false,&quot;citeprocText&quot;:&quot;(Moshood et al., 2022)&quot;,&quot;manualOverrideText&quot;:&quot;&quot;},&quot;citationTag&quot;:&quot;MENDELEY_CITATION_v3_eyJjaXRhdGlvbklEIjoiTUVOREVMRVlfQ0lUQVRJT05fNGY2NWQ0NTQtMjg2OS00ZmUyLThmMDYtNzMwNDQ4M2NhNDM3IiwicHJvcGVydGllcyI6eyJub3RlSW5kZXgiOjB9LCJpc0VkaXRlZCI6ZmFsc2UsIm1hbnVhbE92ZXJyaWRlIjp7ImlzTWFudWFsbHlPdmVycmlkZGVuIjpmYWxzZSwiY2l0ZXByb2NUZXh0IjoiKE1vc2hvb2QgZXQgYWwuLCAyMDIyKSIsIm1hbnVhbE92ZXJyaWRlVGV4dCI6IiJ9LCJjaXRhdGlvbkl0ZW1zIjpbeyJpZCI6Ijc5ZGNmNWUzLWE0N2MtMzczOC04ODY0LWU4ZTM4YjBmM2UwMyIsIml0ZW1EYXRhIjp7InR5cGUiOiJhcnRpY2xlLWpvdXJuYWwiLCJpZCI6Ijc5ZGNmNWUzLWE0N2MtMzczOC04ODY0LWU4ZTM4YjBmM2UwMyIsInRpdGxlIjoiU3VzdGFpbmFiaWxpdHkgb2YgYmlvZGVncmFkYWJsZSBwbGFzdGljczogTmV3IHByb2JsZW0gb3Igc29sdXRpb24gdG8gc29sdmUgdGhlIGdsb2JhbCBwbGFzdGljIHBvbGx1dGlvbj8iLCJhdXRob3IiOlt7ImZhbWlseSI6Ik1vc2hvb2QiLCJnaXZlbiI6IlRhb2ZlZXEgRC4iLCJwYXJzZS1uYW1lcyI6ZmFsc2UsImRyb3BwaW5nLXBhcnRpY2xlIjoiIiwibm9uLWRyb3BwaW5nLXBhcnRpY2xlIjoiIn0seyJmYW1pbHkiOiJOYXdhbmlyIiwiZ2l2ZW4iOiJHdXNtYW4iLCJwYXJzZS1uYW1lcyI6ZmFsc2UsImRyb3BwaW5nLXBhcnRpY2xlIjoiIiwibm9uLWRyb3BwaW5nLXBhcnRpY2xlIjoiIn0seyJmYW1pbHkiOiJNYWhtdWQiLCJnaXZlbiI6IkZhdGltYWgiLCJwYXJzZS1uYW1lcyI6ZmFsc2UsImRyb3BwaW5nLXBhcnRpY2xlIjoiIiwibm9uLWRyb3BwaW5nLXBhcnRpY2xlIjoiIn0seyJmYW1pbHkiOiJNb2hhbWFkIiwiZ2l2ZW4iOiJGYXplZWRhIiwicGFyc2UtbmFtZXMiOmZhbHNlLCJkcm9wcGluZy1wYXJ0aWNsZSI6IiIsIm5vbi1kcm9wcGluZy1wYXJ0aWNsZSI6IiJ9LHsiZmFtaWx5IjoiQWhtYWQiLCJnaXZlbiI6Ik1vaGQgSGFuYWZpYWgiLCJwYXJzZS1uYW1lcyI6ZmFsc2UsImRyb3BwaW5nLXBhcnRpY2xlIjoiIiwibm9uLWRyb3BwaW5nLXBhcnRpY2xlIjoiIn0seyJmYW1pbHkiOiJBYmR1bEdoYW5pIiwiZ2l2ZW4iOiJBaXJpbiIsInBhcnNlLW5hbWVzIjpmYWxzZSwiZHJvcHBpbmctcGFydGljbGUiOiIiLCJub24tZHJvcHBpbmctcGFydGljbGUiOiIifV0sImNvbnRhaW5lci10aXRsZSI6IkN1cnJlbnQgUmVzZWFyY2ggaW4gR3JlZW4gYW5kIFN1c3RhaW5hYmxlIENoZW1pc3RyeSIsIkRPSSI6IjEwLjEwMTYvai5jcmdzYy4yMDIyLjEwMDI3MyIsIklTU04iOiIyNjY2MDg2NSIsImlzc3VlZCI6eyJkYXRlLXBhcnRzIjpbWzIwMjJdXX0sInBhZ2UiOiIxMDAyNzMiLCJ2b2x1bWUiOiI1IiwiY29udGFpbmVyLXRpdGxlLXNob3J0IjoiIn0sImlzVGVtcG9yYXJ5IjpmYWxzZX1dfQ==&quot;,&quot;citationItems&quot;:[{&quot;id&quot;:&quot;79dcf5e3-a47c-3738-8864-e8e38b0f3e03&quot;,&quot;itemData&quot;:{&quot;type&quot;:&quot;article-journal&quot;,&quot;id&quot;:&quot;79dcf5e3-a47c-3738-8864-e8e38b0f3e03&quot;,&quot;title&quot;:&quot;Sustainability of biodegradable plastics: New problem or solution to solve the global plastic pollution?&quot;,&quot;author&quot;:[{&quot;family&quot;:&quot;Moshood&quot;,&quot;given&quot;:&quot;Taofeeq D.&quot;,&quot;parse-names&quot;:false,&quot;dropping-particle&quot;:&quot;&quot;,&quot;non-dropping-particle&quot;:&quot;&quot;},{&quot;family&quot;:&quot;Nawanir&quot;,&quot;given&quot;:&quot;Gusman&quot;,&quot;parse-names&quot;:false,&quot;dropping-particle&quot;:&quot;&quot;,&quot;non-dropping-particle&quot;:&quot;&quot;},{&quot;family&quot;:&quot;Mahmud&quot;,&quot;given&quot;:&quot;Fatimah&quot;,&quot;parse-names&quot;:false,&quot;dropping-particle&quot;:&quot;&quot;,&quot;non-dropping-particle&quot;:&quot;&quot;},{&quot;family&quot;:&quot;Mohamad&quot;,&quot;given&quot;:&quot;Fazeeda&quot;,&quot;parse-names&quot;:false,&quot;dropping-particle&quot;:&quot;&quot;,&quot;non-dropping-particle&quot;:&quot;&quot;},{&quot;family&quot;:&quot;Ahmad&quot;,&quot;given&quot;:&quot;Mohd Hanafiah&quot;,&quot;parse-names&quot;:false,&quot;dropping-particle&quot;:&quot;&quot;,&quot;non-dropping-particle&quot;:&quot;&quot;},{&quot;family&quot;:&quot;AbdulGhani&quot;,&quot;given&quot;:&quot;Airin&quot;,&quot;parse-names&quot;:false,&quot;dropping-particle&quot;:&quot;&quot;,&quot;non-dropping-particle&quot;:&quot;&quot;}],&quot;container-title&quot;:&quot;Current Research in Green and Sustainable Chemistry&quot;,&quot;DOI&quot;:&quot;10.1016/j.crgsc.2022.100273&quot;,&quot;ISSN&quot;:&quot;26660865&quot;,&quot;issued&quot;:{&quot;date-parts&quot;:[[2022]]},&quot;page&quot;:&quot;100273&quot;,&quot;volume&quot;:&quot;5&quot;,&quot;container-title-short&quot;:&quot;&quot;},&quot;isTemporary&quot;:false}]},{&quot;citationID&quot;:&quot;MENDELEY_CITATION_bd9138ac-e328-46b4-a817-6cb7f9747870&quot;,&quot;properties&quot;:{&quot;noteIndex&quot;:0},&quot;isEdited&quot;:false,&quot;manualOverride&quot;:{&quot;isManuallyOverridden&quot;:false,&quot;citeprocText&quot;:&quot;(Küster et al., 2025)&quot;,&quot;manualOverrideText&quot;:&quot;&quot;},&quot;citationTag&quot;:&quot;MENDELEY_CITATION_v3_eyJjaXRhdGlvbklEIjoiTUVOREVMRVlfQ0lUQVRJT05fYmQ5MTM4YWMtZTMyOC00NmI0LWE4MTctNmNiN2Y5NzQ3ODcwIiwicHJvcGVydGllcyI6eyJub3RlSW5kZXgiOjB9LCJpc0VkaXRlZCI6ZmFsc2UsIm1hbnVhbE92ZXJyaWRlIjp7ImlzTWFudWFsbHlPdmVycmlkZGVuIjpmYWxzZSwiY2l0ZXByb2NUZXh0IjoiKEvDvHN0ZXIgZXQgYWwuLCAyMDI1KSIsIm1hbnVhbE92ZXJyaWRlVGV4dCI6IiJ9LCJjaXRhdGlvbkl0ZW1zIjpbeyJpZCI6ImFkODU3YzE1LWMzNDctMzA5Mi05MTg5LWFmZDRhNDM1MDEwNSIsIml0ZW1EYXRhIjp7InR5cGUiOiJhcnRpY2xlLWpvdXJuYWwiLCJpZCI6ImFkODU3YzE1LWMzNDctMzA5Mi05MTg5LWFmZDRhNDM1MDEwNSIsInRpdGxlIjoiRm9ybXVsYXRpb25zLCBQcm9jZXNzaW5nLCBhbmQgQXBwbGljYXRpb24gb2YgUG9seShidXR5bGVuZSBhZGlwYXRlLWNvLXRlcmVwaHRoYWxhdGUpL1RoZXJtb3BsYXN0aWMgU3RhcmNoIEJsZW5kczogQSBSZXZpZXciLCJhdXRob3IiOlt7ImZhbWlseSI6IkvDvHN0ZXIiLCJnaXZlbiI6IkFsaW5lIE4uIiwicGFyc2UtbmFtZXMiOmZhbHNlLCJkcm9wcGluZy1wYXJ0aWNsZSI6IiIsIm5vbi1kcm9wcGluZy1wYXJ0aWNsZSI6IiJ9LHsiZmFtaWx5IjoiUGF1bGEiLCJnaXZlbiI6IkNpZGFsaWEiLCJwYXJzZS1uYW1lcyI6ZmFsc2UsImRyb3BwaW5nLXBhcnRpY2xlIjoiIiwibm9uLWRyb3BwaW5nLXBhcnRpY2xlIjoiIn0seyJmYW1pbHkiOiJBemV2ZWRvIiwiZ2l2ZW4iOiJKdWxpYW5hIiwicGFyc2UtbmFtZXMiOmZhbHNlLCJkcm9wcGluZy1wYXJ0aWNsZSI6IiIsIm5vbi1kcm9wcGluZy1wYXJ0aWNsZSI6IiJ9LHsiZmFtaWx5IjoiU2VycmEiLCJnaXZlbiI6IkFybcOpbmlvIEMuIiwicGFyc2UtbmFtZXMiOmZhbHNlLCJkcm9wcGluZy1wYXJ0aWNsZSI6IiIsIm5vbi1kcm9wcGluZy1wYXJ0aWNsZSI6IiJ9LHsiZmFtaWx5IjoiQ29lbGhvIiwiZ2l2ZW4iOiJKb3JnZSBGLiBKLiIsInBhcnNlLW5hbWVzIjpmYWxzZSwiZHJvcHBpbmctcGFydGljbGUiOiIiLCJub24tZHJvcHBpbmctcGFydGljbGUiOiIifV0sImNvbnRhaW5lci10aXRsZSI6IlBvbHltZXJzIiwiY29udGFpbmVyLXRpdGxlLXNob3J0IjoiUG9seW1lcnMgKEJhc2VsKSIsIkRPSSI6IjEwLjMzOTAvcG9seW0xNzExMTQ1NyIsIklTU04iOiIyMDczLTQzNjAiLCJpc3N1ZWQiOnsiZGF0ZS1wYXJ0cyI6W1syMDI1LDUsMjNdXX0sInBhZ2UiOiIxNDU3IiwiYWJzdHJhY3QiOiI8cD5UaGUgY29uY2VybiBmb3IgdGhlIGVudmlyb25tZW50IGFuZCBzdXN0YWluYWJpbGl0eSBoYXMgaW50ZW5zaWZpZWQgdGhlIHNlYXJjaCBmb3IgYWx0ZXJuYXRpdmUgbWF0ZXJpYWxzIHRvIHJlcGxhY2Ugbm9uLWRlZ3JhZGFibGUgcGxhc3RpY3MuIFBvbHkoYnV0eWxlbmUgYWRpcGF0ZS1jby10ZXJlcGh0aGFsYXRlKSAoUEJBVCkgaXMgYSBiaW9wbGFzdGljIHRoYXQgaGFzIGJlZW4gZXh0ZW5zaXZlbHkgc3R1ZGllZCBkdWUgdG8gaXRzIGV4Y2VsbGVudCBtZWNoYW5pY2FsIHByb3BlcnRpZXMsIHdoaWNoIGFyZSBzaW1pbGFyIHRvIHRob3NlIG9mIGxvdy1kZW5zaXR5IHBvbHkoZXRoeWxlbmUpIChMRFBFKS4gSG93ZXZlciwgdGhlIGhpZ2ggY29zdCBvZiB0aGlzIHBvbHltZXIgc3RpbGwgaGluZGVycyBpdHMgd2lkZXIgYXBwbGljYXRpb24uIEFtb25nIHRoZSBkaWZmZXJlbnQgYXBwcm9hY2hlcyB0aGF0IGhhdmUgYmVlbiBzdHVkaWVkLCBibGVuZGluZyBQQkFUIHdpdGggdGhlcm1vcGxhc3RpYyBzdGFyY2ggKFRQUykgY291bGQgYmUgYW4gaW50ZXJlc3Rpbmcgc29sdXRpb24gdG8gcmVkdWNlIHRoZSBjb3N0IG9mIHRoZSBtYXRlcmlhbCBhbmQgaW5jcmVhc2UgdGhlIGRlZ3JhZGFiaWxpdHkgb2YgdGhlIGJsZW5kcy4gVGhpcyByZXZpZXcgY292ZXJzIG1vc3Qgb2YgdGhlIHdvcmsgcmVwb3J0ZWQgaW4gcmVjZW50IHllYXJzIG9uIFBCQVQvVFBTIGJsZW5kcywgaW5jbHVkaW5nIHRoZSBlZmZlY3RzIG9mIHN0YXJjaCBwbGFzdGljaXplcnMsIHN0YXJjaCBtb2RpZmljYXRpb25zLCBwcm9jZXNzaW5nIG1ldGhvZHMsIHVzZSBvZiBjaGFpbiBleHRlbmRlcnMsIHZhcmlvdXMgY29tcGF0aWJpbGl6ZXJzLCBhbmQgYWRkaXRpdmVzIHVzZWQgZm9yIGRpZmZlcmVudCBhcHBsaWNhdGlvbnMuPC9wPiIsImlzc3VlIjoiMTEiLCJ2b2x1bWUiOiIxNyJ9LCJpc1RlbXBvcmFyeSI6ZmFsc2V9XX0=&quot;,&quot;citationItems&quot;:[{&quot;id&quot;:&quot;ad857c15-c347-3092-9189-afd4a4350105&quot;,&quot;itemData&quot;:{&quot;type&quot;:&quot;article-journal&quot;,&quot;id&quot;:&quot;ad857c15-c347-3092-9189-afd4a4350105&quot;,&quot;title&quot;:&quot;Formulations, Processing, and Application of Poly(butylene adipate-co-terephthalate)/Thermoplastic Starch Blends: A Review&quot;,&quot;author&quot;:[{&quot;family&quot;:&quot;Küster&quot;,&quot;given&quot;:&quot;Aline N.&quot;,&quot;parse-names&quot;:false,&quot;dropping-particle&quot;:&quot;&quot;,&quot;non-dropping-particle&quot;:&quot;&quot;},{&quot;family&quot;:&quot;Paula&quot;,&quot;given&quot;:&quot;Cidalia&quot;,&quot;parse-names&quot;:false,&quot;dropping-particle&quot;:&quot;&quot;,&quot;non-dropping-particle&quot;:&quot;&quot;},{&quot;family&quot;:&quot;Azevedo&quot;,&quot;given&quot;:&quot;Juliana&quot;,&quot;parse-names&quot;:false,&quot;dropping-particle&quot;:&quot;&quot;,&quot;non-dropping-particle&quot;:&quot;&quot;},{&quot;family&quot;:&quot;Serra&quot;,&quot;given&quot;:&quot;Arménio C.&quot;,&quot;parse-names&quot;:false,&quot;dropping-particle&quot;:&quot;&quot;,&quot;non-dropping-particle&quot;:&quot;&quot;},{&quot;family&quot;:&quot;Coelho&quot;,&quot;given&quot;:&quot;Jorge F. J.&quot;,&quot;parse-names&quot;:false,&quot;dropping-particle&quot;:&quot;&quot;,&quot;non-dropping-particle&quot;:&quot;&quot;}],&quot;container-title&quot;:&quot;Polymers&quot;,&quot;container-title-short&quot;:&quot;Polymers (Basel)&quot;,&quot;DOI&quot;:&quot;10.3390/polym17111457&quot;,&quot;ISSN&quot;:&quot;2073-4360&quot;,&quot;issued&quot;:{&quot;date-parts&quot;:[[2025,5,23]]},&quot;page&quot;:&quot;1457&quot;,&quot;abstract&quot;:&quot;&lt;p&gt;The concern for the environment and sustainability has intensified the search for alternative materials to replace non-degradable plastics. Poly(butylene adipate-co-terephthalate) (PBAT) is a bioplastic that has been extensively studied due to its excellent mechanical properties, which are similar to those of low-density poly(ethylene) (LDPE). However, the high cost of this polymer still hinders its wider application. Among the different approaches that have been studied, blending PBAT with thermoplastic starch (TPS) could be an interesting solution to reduce the cost of the material and increase the degradability of the blends. This review covers most of the work reported in recent years on PBAT/TPS blends, including the effects of starch plasticizers, starch modifications, processing methods, use of chain extenders, various compatibilizers, and additives used for different applications.&lt;/p&gt;&quot;,&quot;issue&quot;:&quot;11&quot;,&quot;volume&quot;:&quot;17&quot;},&quot;isTemporary&quot;:false}]},{&quot;citationID&quot;:&quot;MENDELEY_CITATION_d4171fc0-f58a-4393-84ac-7cebcefd3cd0&quot;,&quot;properties&quot;:{&quot;noteIndex&quot;:0},&quot;isEdited&quot;:false,&quot;manualOverride&quot;:{&quot;isManuallyOverridden&quot;:false,&quot;citeprocText&quot;:&quot;(Wang et al., 2023)&quot;,&quot;manualOverrideText&quot;:&quot;&quot;},&quot;citationTag&quot;:&quot;MENDELEY_CITATION_v3_eyJjaXRhdGlvbklEIjoiTUVOREVMRVlfQ0lUQVRJT05fZDQxNzFmYzAtZjU4YS00MzkzLTg0YWMtN2NlYmNlZmQzY2QwIiwicHJvcGVydGllcyI6eyJub3RlSW5kZXgiOjB9LCJpc0VkaXRlZCI6ZmFsc2UsIm1hbnVhbE92ZXJyaWRlIjp7ImlzTWFudWFsbHlPdmVycmlkZGVuIjpmYWxzZSwiY2l0ZXByb2NUZXh0IjoiKFdhbmcgZXQgYWwuLCAyMDIzKSIsIm1hbnVhbE92ZXJyaWRlVGV4dCI6IiJ9LCJjaXRhdGlvbkl0ZW1zIjpbeyJpZCI6IjFjN2QxN2IxLWY3NTYtMzZiZC04MmQ3LWM4NDhmNGZhNDc2OCIsIml0ZW1EYXRhIjp7InR5cGUiOiJhcnRpY2xlLWpvdXJuYWwiLCJpZCI6IjFjN2QxN2IxLWY3NTYtMzZiZC04MmQ3LWM4NDhmNGZhNDc2OCIsInRpdGxlIjoiSGlnaC1wZXJmb3JtYW5jZSB0aGVybW9wbGFzdGljIHN0YXJjaC9wb2x5KGJ1dHlsZW5lIGFkaXBhdGUtY28tdGVyZXBodGhhbGF0ZSkgYmxlbmRzIHRocm91Z2ggc3luZXJnaXN0aWMgcGxhc3RpY2l6YXRpb24gb2YgZXBveGlkaXplZCBzb3liZWFuIG9pbCBhbmQgZ2x5Y2Vyb2wiLCJhdXRob3IiOlt7ImZhbWlseSI6IldhbmciLCJnaXZlbiI6Ikhhby1IdWkiLCJwYXJzZS1uYW1lcyI6ZmFsc2UsImRyb3BwaW5nLXBhcnRpY2xlIjoiIiwibm9uLWRyb3BwaW5nLXBhcnRpY2xlIjoiIn0seyJmYW1pbHkiOiJaaG91IiwiZ2l2ZW4iOiJTaS1KaWUiLCJwYXJzZS1uYW1lcyI6ZmFsc2UsImRyb3BwaW5nLXBhcnRpY2xlIjoiIiwibm9uLWRyb3BwaW5nLXBhcnRpY2xlIjoiIn0seyJmYW1pbHkiOiJYaW9uZyIsImdpdmVuIjoiU2hhby1KdW4iLCJwYXJzZS1uYW1lcyI6ZmFsc2UsImRyb3BwaW5nLXBhcnRpY2xlIjoiIiwibm9uLWRyb3BwaW5nLXBhcnRpY2xlIjoiIn0seyJmYW1pbHkiOiJMaXUiLCJnaXZlbiI6IlFpbiIsInBhcnNlLW5hbWVzIjpmYWxzZSwiZHJvcHBpbmctcGFydGljbGUiOiIiLCJub24tZHJvcHBpbmctcGFydGljbGUiOiIifSx7ImZhbWlseSI6IlRpYW4iLCJnaXZlbiI6Ikh1YWZlbmciLCJwYXJzZS1uYW1lcyI6ZmFsc2UsImRyb3BwaW5nLXBhcnRpY2xlIjoiIiwibm9uLWRyb3BwaW5nLXBhcnRpY2xlIjoiIn0seyJmYW1pbHkiOiJZdSIsImdpdmVuIjoiU2hpeGluIiwicGFyc2UtbmFtZXMiOmZhbHNlLCJkcm9wcGluZy1wYXJ0aWNsZSI6IiIsIm5vbi1kcm9wcGluZy1wYXJ0aWNsZSI6IiJ9LHsiZmFtaWx5IjoiWXVhbiIsImdpdmVuIjoiVG9uZy1RaS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IzLjEyNDcxNiIsIklTU04iOiIwMTQxODEzMCIsImlzc3VlZCI6eyJkYXRlLXBhcnRzIjpbWzIwMjMsN11dfSwicGFnZSI6IjEyNDcxNiIsInZvbHVtZSI6IjI0MiJ9LCJpc1RlbXBvcmFyeSI6ZmFsc2V9XX0=&quot;,&quot;citationItems&quot;:[{&quot;id&quot;:&quot;1c7d17b1-f756-36bd-82d7-c848f4fa4768&quot;,&quot;itemData&quot;:{&quot;type&quot;:&quot;article-journal&quot;,&quot;id&quot;:&quot;1c7d17b1-f756-36bd-82d7-c848f4fa4768&quot;,&quot;title&quot;:&quot;High-performance thermoplastic starch/poly(butylene adipate-co-terephthalate) blends through synergistic plasticization of epoxidized soybean oil and glycerol&quot;,&quot;author&quot;:[{&quot;family&quot;:&quot;Wang&quot;,&quot;given&quot;:&quot;Hao-Hui&quot;,&quot;parse-names&quot;:false,&quot;dropping-particle&quot;:&quot;&quot;,&quot;non-dropping-particle&quot;:&quot;&quot;},{&quot;family&quot;:&quot;Zhou&quot;,&quot;given&quot;:&quot;Si-Jie&quot;,&quot;parse-names&quot;:false,&quot;dropping-particle&quot;:&quot;&quot;,&quot;non-dropping-particle&quot;:&quot;&quot;},{&quot;family&quot;:&quot;Xiong&quot;,&quot;given&quot;:&quot;Shao-Jun&quot;,&quot;parse-names&quot;:false,&quot;dropping-particle&quot;:&quot;&quot;,&quot;non-dropping-particle&quot;:&quot;&quot;},{&quot;family&quot;:&quot;Liu&quot;,&quot;given&quot;:&quot;Qin&quot;,&quot;parse-names&quot;:false,&quot;dropping-particle&quot;:&quot;&quot;,&quot;non-dropping-particle&quot;:&quot;&quot;},{&quot;family&quot;:&quot;Tian&quot;,&quot;given&quot;:&quot;Huafeng&quot;,&quot;parse-names&quot;:false,&quot;dropping-particle&quot;:&quot;&quot;,&quot;non-dropping-particle&quot;:&quot;&quot;},{&quot;family&quot;:&quot;Yu&quot;,&quot;given&quot;:&quot;Shixin&quot;,&quot;parse-names&quot;:false,&quot;dropping-particle&quot;:&quot;&quot;,&quot;non-dropping-particle&quot;:&quot;&quot;},{&quot;family&quot;:&quot;Yuan&quot;,&quot;given&quot;:&quot;Tong-Qi&quot;,&quot;parse-names&quot;:false,&quot;dropping-particle&quot;:&quot;&quot;,&quot;non-dropping-particle&quot;:&quot;&quot;}],&quot;container-title&quot;:&quot;International Journal of Biological Macromolecules&quot;,&quot;container-title-short&quot;:&quot;Int J Biol Macromol&quot;,&quot;DOI&quot;:&quot;10.1016/j.ijbiomac.2023.124716&quot;,&quot;ISSN&quot;:&quot;01418130&quot;,&quot;issued&quot;:{&quot;date-parts&quot;:[[2023,7]]},&quot;page&quot;:&quot;124716&quot;,&quot;volume&quot;:&quot;242&quot;},&quot;isTemporary&quot;:false}]},{&quot;citationID&quot;:&quot;MENDELEY_CITATION_e64d509d-27a5-4ab0-94b8-62ac6dbbb4ee&quot;,&quot;properties&quot;:{&quot;noteIndex&quot;:0},&quot;isEdited&quot;:false,&quot;manualOverride&quot;:{&quot;isManuallyOverridden&quot;:false,&quot;citeprocText&quot;:&quot;(Perera et al., 2023)&quot;,&quot;manualOverrideText&quot;:&quot;&quot;},&quot;citationTag&quot;:&quot;MENDELEY_CITATION_v3_eyJjaXRhdGlvbklEIjoiTUVOREVMRVlfQ0lUQVRJT05fZTY0ZDUwOWQtMjdhNS00YWIwLTk0YjgtNjJhYzZkYmJiNGVlIiwicHJvcGVydGllcyI6eyJub3RlSW5kZXgiOjB9LCJpc0VkaXRlZCI6ZmFsc2UsIm1hbnVhbE92ZXJyaWRlIjp7ImlzTWFudWFsbHlPdmVycmlkZGVuIjpmYWxzZSwiY2l0ZXByb2NUZXh0IjoiKFBlcmVyYSBldCBhbC4sIDIwMjMpIiwibWFudWFsT3ZlcnJpZGVUZXh0IjoiIn0sImNpdGF0aW9uSXRlbXMiOlt7ImlkIjoiZDgzNDU2ODktNDcyNC0zNzRiLTlhODgtY2MxYmNlNDAzNTgzIiwiaXRlbURhdGEiOnsidHlwZSI6ImFydGljbGUtam91cm5hbCIsImlkIjoiZDgzNDU2ODktNDcyNC0zNzRiLTlhODgtY2MxYmNlNDAzNTgzIiwidGl0bGUiOiJCaW9wb2x5bWVyLUJhc2VkIFN1c3RhaW5hYmxlIEZvb2QgUGFja2FnaW5nIE1hdGVyaWFsczogQ2hhbGxlbmdlcywgU29sdXRpb25zLCBhbmQgQXBwbGljYXRpb25zIiwiYXV0aG9yIjpbeyJmYW1pbHkiOiJQZXJlcmEiLCJnaXZlbiI6IkthbHBhbmkgWS4iLCJwYXJzZS1uYW1lcyI6ZmFsc2UsImRyb3BwaW5nLXBhcnRpY2xlIjoiIiwibm9uLWRyb3BwaW5nLXBhcnRpY2xlIjoiIn0seyJmYW1pbHkiOiJKYWlzd2FsIiwiZ2l2ZW4iOiJBbWl0IEsuIiwicGFyc2UtbmFtZXMiOmZhbHNlLCJkcm9wcGluZy1wYXJ0aWNsZSI6IiIsIm5vbi1kcm9wcGluZy1wYXJ0aWNsZSI6IiJ9LHsiZmFtaWx5IjoiSmFpc3dhbCIsImdpdmVuIjoiU3dhcm5hIiwicGFyc2UtbmFtZXMiOmZhbHNlLCJkcm9wcGluZy1wYXJ0aWNsZSI6IiIsIm5vbi1kcm9wcGluZy1wYXJ0aWNsZSI6IiJ9XSwiY29udGFpbmVyLXRpdGxlIjoiRm9vZHMiLCJET0kiOiIxMC4zMzkwL2Zvb2RzMTIxMjI0MjIiLCJJU1NOIjoiMjMwNC04MTU4IiwiaXNzdWVkIjp7ImRhdGUtcGFydHMiOltbMjAyMyw2LDIwXV19LCJwYWdlIjoiMjQyMiIsImFic3RyYWN0IjoiPHA+QmlvcG9seW1lci1iYXNlZCBwYWNrYWdpbmcgbWF0ZXJpYWxzIGhhdmUgYmVjb21lIG9mIGdyZWF0ZXIgaW50ZXJlc3QgdG8gdGhlIHdvcmxkIGR1ZSB0byB0aGVpciBiaW9kZWdyYWRhYmlsaXR5LCByZW5ld2FiaWxpdHksIGFuZCBiaW9jb21wYXRpYmlsaXR5LiBJbiByZWNlbnQgeWVhcnMsIG51bWVyb3VzIGJpb3BvbHltZXJz4oCUc3VjaCBhcyBzdGFyY2gsIGNoaXRvc2FuLCBjYXJyYWdlZW5hbiwgcG9seWxhY3RpYyBhY2lkLCBldGMu4oCUaGF2ZSBiZWVuIGludmVzdGlnYXRlZCBmb3IgdGhlaXIgcG90ZW50aWFsIGFwcGxpY2F0aW9uIGluIGZvb2QgcGFja2FnaW5nLiBSZWluZm9yY2VtZW50IGFnZW50cyBzdWNoIGFzIG5hbm9maWxsZXJzIGFuZCBhY3RpdmUgYWdlbnRzIGltcHJvdmUgdGhlIHByb3BlcnRpZXMgb2YgdGhlIGJpb3BvbHltZXJzLCBtYWtpbmcgdGhlbSBzdWl0YWJsZSBmb3IgYWN0aXZlIGFuZCBpbnRlbGxpZ2VudCBwYWNrYWdpbmcuIFNvbWUgb2YgdGhlIHBhY2thZ2luZyBtYXRlcmlhbHMsIGUuZy4sIGNlbGx1bG9zZSwgc3RhcmNoLCBwb2x5bGFjdGljIGFjaWQsIGFuZCBwb2x5YnV0eWxlbmUgYWRpcGF0ZSB0ZXJlcGh0aGFsYXRlLCBhcmUgY3VycmVudGx5IHVzZWQgaW4gdGhlIHBhY2thZ2luZyBpbmR1c3RyeS4gVGhlIHRyZW5kIG9mIHVzaW5nIGJpb3BvbHltZXJzIGluIHRoZSBwYWNrYWdpbmcgaW5kdXN0cnkgaGFzIGluY3JlYXNlZCBpbW1lbnNlbHk7IHRoZXJlZm9yZSwgbWFueSBsZWdpc2xhdGlvbnMgaGF2ZSBiZWVuIGFwcHJvdmVkIGJ5IHZhcmlvdXMgb3JnYW5pemF0aW9ucy4gVGhpcyByZXZpZXcgYXJ0aWNsZSBkZXNjcmliZXMgdmFyaW91cyBjaGFsbGVuZ2VzIGFuZCBwb3NzaWJsZSBzb2x1dGlvbnMgYXNzb2NpYXRlZCB3aXRoIGZvb2QgcGFja2FnaW5nIG1hdGVyaWFscy4gSXQgY292ZXJzIGEgd2lkZSByYW5nZSBvZiBiaW9wb2x5bWVycyB1c2VkIGluIGZvb2QgcGFja2FnaW5nIGFuZCB0aGUgbGltaXRhdGlvbnMgb2YgdXNpbmcgdGhlbSBpbiB0aGVpciBwdXJlIGZvcm0uIEZpbmFsbHksIGEgU1dPVCBhbmFseXNpcyBpcyBwcmVzZW50ZWQgZm9yIGJpb3BvbHltZXJzLCBhbmQgdGhlIGZ1dHVyZSB0cmVuZHMgYXJlIGRpc2N1c3NlZC4gQmlvcG9seW1lcnMgYXJlIGVjby1mcmllbmRseSwgYmlvZGVncmFkYWJsZSwgbm9udG94aWMsIHJlbmV3YWJsZSwgYW5kIGJpb2NvbXBhdGlibGUgYWx0ZXJuYXRpdmVzIHRvIHN5bnRoZXRpYyBwYWNrYWdpbmcgbWF0ZXJpYWxzLiBSZXNlYXJjaCBzaG93cyB0aGF0IGJpb3BvbHltZXItYmFzZWQgcGFja2FnaW5nIG1hdGVyaWFscyBhcmUgb2YgZ3JlYXQgZXNzZW5jZSBpbiBjb21iaW5lZCBmb3JtLCBhbmQgZnVydGhlciBzdHVkaWVzIGFyZSBuZWVkZWQgZm9yIHRoZW0gdG8gYmUgdXNlZCBhcyBhbiBhbHRlcm5hdGl2ZSBwYWNrYWdpbmcgbWF0ZXJpYWwuPC9wPiIsImlzc3VlIjoiMTIiLCJ2b2x1bWUiOiIxMiIsImNvbnRhaW5lci10aXRsZS1zaG9ydCI6IiJ9LCJpc1RlbXBvcmFyeSI6ZmFsc2V9XX0=&quot;,&quot;citationItems&quot;:[{&quot;id&quot;:&quot;d8345689-4724-374b-9a88-cc1bce403583&quot;,&quot;itemData&quot;:{&quot;type&quot;:&quot;article-journal&quot;,&quot;id&quot;:&quot;d8345689-4724-374b-9a88-cc1bce403583&quot;,&quot;title&quot;:&quot;Biopolymer-Based Sustainable Food Packaging Materials: Challenges, Solutions, and Applications&quot;,&quot;author&quot;:[{&quot;family&quot;:&quot;Perera&quot;,&quot;given&quot;:&quot;Kalpani Y.&quot;,&quot;parse-names&quot;:false,&quot;dropping-particle&quot;:&quot;&quot;,&quot;non-dropping-particle&quot;:&quot;&quot;},{&quot;family&quot;:&quot;Jaiswal&quot;,&quot;given&quot;:&quot;Amit K.&quot;,&quot;parse-names&quot;:false,&quot;dropping-particle&quot;:&quot;&quot;,&quot;non-dropping-particle&quot;:&quot;&quot;},{&quot;family&quot;:&quot;Jaiswal&quot;,&quot;given&quot;:&quot;Swarna&quot;,&quot;parse-names&quot;:false,&quot;dropping-particle&quot;:&quot;&quot;,&quot;non-dropping-particle&quot;:&quot;&quot;}],&quot;container-title&quot;:&quot;Foods&quot;,&quot;DOI&quot;:&quot;10.3390/foods12122422&quot;,&quot;ISSN&quot;:&quot;2304-8158&quot;,&quot;issued&quot;:{&quot;date-parts&quot;:[[2023,6,20]]},&quot;page&quot;:&quot;2422&quot;,&quot;abstract&quot;:&quot;&lt;p&gt;Biopolymer-based packaging materials have become of greater interest to the world due to their biodegradability, renewability, and biocompatibility. In recent years, numerous biopolymers—such as starch, chitosan, carrageenan, polylactic acid, etc.—have been investigated for their potential application in food packaging. Reinforcement agents such as nanofillers and active agents improve the properties of the biopolymers, making them suitable for active and intelligent packaging. Some of the packaging materials, e.g., cellulose, starch, polylactic acid, and polybutylene adipate terephthalate, are currently used in the packaging industry. The trend of using biopolymers in the packaging industry has increased immensely; therefore, many legislations have been approved by various organizations. This review article describes various challenges and possible solutions associated with food packaging materials. It covers a wide range of biopolymers used in food packaging and the limitations of using them in their pure form. Finally, a SWOT analysis is presented for biopolymers, and the future trends are discussed. Biopolymers are eco-friendly, biodegradable, nontoxic, renewable, and biocompatible alternatives to synthetic packaging materials. Research shows that biopolymer-based packaging materials are of great essence in combined form, and further studies are needed for them to be used as an alternative packaging material.&lt;/p&gt;&quot;,&quot;issue&quot;:&quot;12&quot;,&quot;volume&quot;:&quot;12&quot;,&quot;container-title-short&quot;:&quot;&quot;},&quot;isTemporary&quot;:false}]},{&quot;citationID&quot;:&quot;MENDELEY_CITATION_5b0dc861-7152-4dec-ad9a-5630b03c1454&quot;,&quot;properties&quot;:{&quot;noteIndex&quot;:0},&quot;isEdited&quot;:false,&quot;manualOverride&quot;:{&quot;isManuallyOverridden&quot;:false,&quot;citeprocText&quot;:&quot;(Benitez et al., 2024)&quot;,&quot;manualOverrideText&quot;:&quot;&quot;},&quot;citationTag&quot;:&quot;MENDELEY_CITATION_v3_eyJjaXRhdGlvbklEIjoiTUVOREVMRVlfQ0lUQVRJT05fNWIwZGM4NjEtNzE1Mi00ZGVjLWFkOWEtNTYzMGIwM2MxNDU0IiwicHJvcGVydGllcyI6eyJub3RlSW5kZXgiOjB9LCJpc0VkaXRlZCI6ZmFsc2UsIm1hbnVhbE92ZXJyaWRlIjp7ImlzTWFudWFsbHlPdmVycmlkZGVuIjpmYWxzZSwiY2l0ZXByb2NUZXh0IjoiKEJlbml0ZXogZXQgYWwuLCAyMDI0KSIsIm1hbnVhbE92ZXJyaWRlVGV4dCI6IiJ9LCJjaXRhdGlvbkl0ZW1zIjpbeyJpZCI6IjlhZDU1NjllLWQxOWYtMzE2My1iYzBjLTg0YTBhZmViMmJmNSIsIml0ZW1EYXRhIjp7InR5cGUiOiJhcnRpY2xlLWpvdXJuYWwiLCJpZCI6IjlhZDU1NjllLWQxOWYtMzE2My1iYzBjLTg0YTBhZmViMmJmNSIsInRpdGxlIjoiVHJhbnNwYXJlbnQsIHBsYXN0aWNpemVkIGNlbGx1bG9zZS1nbHljZXJvbCBiaW9wbGFzdGljcyBmb3IgZm9vZCBwYWNrYWdpbmcgYXBwbGljYXRpb25zIiwiYXV0aG9yIjpbeyJmYW1pbHkiOiJCZW5pdGV6IiwiZ2l2ZW4iOiJKb3PDqSBKLiIsInBhcnNlLW5hbWVzIjpmYWxzZSwiZHJvcHBpbmctcGFydGljbGUiOiIiLCJub24tZHJvcHBpbmctcGFydGljbGUiOiIifSx7ImZhbWlseSI6IkZsb3JpZG8tTW9yZW5vIiwiZ2l2ZW4iOiJQZWRybyIsInBhcnNlLW5hbWVzIjpmYWxzZSwiZHJvcHBpbmctcGFydGljbGUiOiIiLCJub24tZHJvcHBpbmctcGFydGljbGUiOiIifSx7ImZhbWlseSI6IlBvcnJhcy1Ww6F6cXVleiIsImdpdmVuIjoiSm9zw6kgTS4iLCJwYXJzZS1uYW1lcyI6ZmFsc2UsImRyb3BwaW5nLXBhcnRpY2xlIjoiIiwibm9uLWRyb3BwaW5nLXBhcnRpY2xlIjoiIn0seyJmYW1pbHkiOiJUZWRlc2NoaSIsImdpdmVuIjoiR2lhY29tbyIsInBhcnNlLW5hbWVzIjpmYWxzZSwiZHJvcHBpbmctcGFydGljbGUiOiIiLCJub24tZHJvcHBpbmctcGFydGljbGUiOiIifSx7ImZhbWlseSI6IkF0aGFuYXNzaW91IiwiZ2l2ZW4iOiJBdGhhbmFzc2lhIiwicGFyc2UtbmFtZXMiOmZhbHNlLCJkcm9wcGluZy1wYXJ0aWNsZSI6IiIsIm5vbi1kcm9wcGluZy1wYXJ0aWNsZSI6IiJ9LHsiZmFtaWx5IjoiSGVyZWRpYS1HdWVycmVybyIsImdpdmVuIjoiSm9zw6kgQS4iLCJwYXJzZS1uYW1lcyI6ZmFsc2UsImRyb3BwaW5nLXBhcnRpY2xlIjoiIiwibm9uLWRyb3BwaW5nLXBhcnRpY2xlIjoiIn0seyJmYW1pbHkiOiJHdXptYW4tUHV5b2wiLCJnaXZlbiI6IlN1c2FuYS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I0LjEzMjk1NiIsIklTU04iOiIwMTQxODEzMCIsImlzc3VlZCI6eyJkYXRlLXBhcnRzIjpbWzIwMjQsN11dfSwicGFnZSI6IjEzMjk1NiIsInZvbHVtZSI6IjI3MyJ9LCJpc1RlbXBvcmFyeSI6ZmFsc2V9XX0=&quot;,&quot;citationItems&quot;:[{&quot;id&quot;:&quot;9ad5569e-d19f-3163-bc0c-84a0afeb2bf5&quot;,&quot;itemData&quot;:{&quot;type&quot;:&quot;article-journal&quot;,&quot;id&quot;:&quot;9ad5569e-d19f-3163-bc0c-84a0afeb2bf5&quot;,&quot;title&quot;:&quot;Transparent, plasticized cellulose-glycerol bioplastics for food packaging applications&quot;,&quot;author&quot;:[{&quot;family&quot;:&quot;Benitez&quot;,&quot;given&quot;:&quot;José J.&quot;,&quot;parse-names&quot;:false,&quot;dropping-particle&quot;:&quot;&quot;,&quot;non-dropping-particle&quot;:&quot;&quot;},{&quot;family&quot;:&quot;Florido-Moreno&quot;,&quot;given&quot;:&quot;Pedro&quot;,&quot;parse-names&quot;:false,&quot;dropping-particle&quot;:&quot;&quot;,&quot;non-dropping-particle&quot;:&quot;&quot;},{&quot;family&quot;:&quot;Porras-Vázquez&quot;,&quot;given&quot;:&quot;José M.&quot;,&quot;parse-names&quot;:false,&quot;dropping-particle&quot;:&quot;&quot;,&quot;non-dropping-particle&quot;:&quot;&quot;},{&quot;family&quot;:&quot;Tedeschi&quot;,&quot;given&quot;:&quot;Giacomo&quot;,&quot;parse-names&quot;:false,&quot;dropping-particle&quot;:&quot;&quot;,&quot;non-dropping-particle&quot;:&quot;&quot;},{&quot;family&quot;:&quot;Athanassiou&quot;,&quot;given&quot;:&quot;Athanassia&quot;,&quot;parse-names&quot;:false,&quot;dropping-particle&quot;:&quot;&quot;,&quot;non-dropping-particle&quot;:&quot;&quot;},{&quot;family&quot;:&quot;Heredia-Guerrero&quot;,&quot;given&quot;:&quot;José A.&quot;,&quot;parse-names&quot;:false,&quot;dropping-particle&quot;:&quot;&quot;,&quot;non-dropping-particle&quot;:&quot;&quot;},{&quot;family&quot;:&quot;Guzman-Puyol&quot;,&quot;given&quot;:&quot;Susana&quot;,&quot;parse-names&quot;:false,&quot;dropping-particle&quot;:&quot;&quot;,&quot;non-dropping-particle&quot;:&quot;&quot;}],&quot;container-title&quot;:&quot;International Journal of Biological Macromolecules&quot;,&quot;container-title-short&quot;:&quot;Int J Biol Macromol&quot;,&quot;DOI&quot;:&quot;10.1016/j.ijbiomac.2024.132956&quot;,&quot;ISSN&quot;:&quot;01418130&quot;,&quot;issued&quot;:{&quot;date-parts&quot;:[[2024,7]]},&quot;page&quot;:&quot;132956&quot;,&quot;volume&quot;:&quot;273&quot;},&quot;isTemporary&quot;:false}]},{&quot;citationID&quot;:&quot;MENDELEY_CITATION_df750fe0-e67d-4b31-b649-0a62fcc4acc8&quot;,&quot;properties&quot;:{&quot;noteIndex&quot;:0},&quot;isEdited&quot;:false,&quot;manualOverride&quot;:{&quot;isManuallyOverridden&quot;:false,&quot;citeprocText&quot;:&quot;(Falua et al., 2022a)&quot;,&quot;manualOverrideText&quot;:&quot;&quot;},&quot;citationTag&quot;:&quot;MENDELEY_CITATION_v3_eyJjaXRhdGlvbklEIjoiTUVOREVMRVlfQ0lUQVRJT05fZGY3NTBmZTAtZTY3ZC00YjMxLWI2NDktMGE2MmZjYzRhY2M4IiwicHJvcGVydGllcyI6eyJub3RlSW5kZXgiOjB9LCJpc0VkaXRlZCI6ZmFsc2UsIm1hbnVhbE92ZXJyaWRlIjp7ImlzTWFudWFsbHlPdmVycmlkZGVuIjpmYWxzZSwiY2l0ZXByb2NUZXh0IjoiKEZhbHVhIGV0IGFsLiwgMjAyMmEpIiwibWFudWFsT3ZlcnJpZGVUZXh0IjoiIn0sImNpdGF0aW9uSXRlbXMiOlt7ImlkIjoiZmYzYWU4YzktNjIyNy0zODcyLWI4ODUtNWY1ZjdjMWM4MzU0IiwiaXRlbURhdGEiOnsidHlwZSI6ImFydGljbGUtam91cm5hbCIsImlkIjoiZmYzYWU4YzktNjIyNy0zODcyLWI4ODUtNWY1ZjdjMWM4MzU0IiwidGl0bGUiOiJWYWxvcml6YXRpb24gb2YgU3RhcmNoIHRvIEJpb2Jhc2VkIE1hdGVyaWFsczogQSBSZXZpZXciLCJhdXRob3IiOlt7ImZhbWlseSI6IkZhbHVhIiwiZ2l2ZW4iOiJLZWhpbmRlIEphbWVzIiwicGFyc2UtbmFtZXMiOmZhbHNlLCJkcm9wcGluZy1wYXJ0aWNsZSI6IiIsIm5vbi1kcm9wcGluZy1wYXJ0aWNsZSI6IiJ9LHsiZmFtaWx5IjoiUG9raGFyZWwiLCJnaXZlbiI6IkFuYW1vbCIsInBhcnNlLW5hbWVzIjpmYWxzZSwiZHJvcHBpbmctcGFydGljbGUiOiIiLCJub24tZHJvcHBpbmctcGFydGljbGUiOiIifSx7ImZhbWlseSI6IkJhYmFlaS1HaGF6dmluaSIsImdpdmVuIjoiQW1pbiIsInBhcnNlLW5hbWVzIjpmYWxzZSwiZHJvcHBpbmctcGFydGljbGUiOiIiLCJub24tZHJvcHBpbmctcGFydGljbGUiOiIifSx7ImZhbWlseSI6IkFpIiwiZ2l2ZW4iOiJZb25nZmVuZyIsInBhcnNlLW5hbWVzIjpmYWxzZSwiZHJvcHBpbmctcGFydGljbGUiOiIiLCJub24tZHJvcHBpbmctcGFydGljbGUiOiIifSx7ImZhbWlseSI6IkFjaGFyeWEiLCJnaXZlbiI6IkJpc2hudSIsInBhcnNlLW5hbWVzIjpmYWxzZSwiZHJvcHBpbmctcGFydGljbGUiOiIiLCJub24tZHJvcHBpbmctcGFydGljbGUiOiIifV0sImNvbnRhaW5lci10aXRsZSI6IlBvbHltZXJzIiwiY29udGFpbmVyLXRpdGxlLXNob3J0IjoiUG9seW1lcnMgKEJhc2VsKSIsIkRPSSI6IjEwLjMzOTAvcG9seW0xNDExMjIxNSIsIklTU04iOiIyMDczLTQzNjAiLCJpc3N1ZWQiOnsiZGF0ZS1wYXJ0cyI6W1syMDIyLDUsMzBdXX0sInBhZ2UiOiIyMjE1IiwiYWJzdHJhY3QiOiI8cD5NYW55IGNvbmNlcm5zIGFyZSBiZWluZyBleHByZXNzZWQgYWJvdXQgdGhlIGJpb2RlZ3JhZGFiaWxpdHksIGJpb2NvbXBhdGliaWxpdHksIGFuZCBsb25nLXRlcm0gdmlhYmlsaXR5IG9mIHBvbHltZXItYmFzZWQgc3Vic3RhbmNlcy4gVGhpcyBwcm9tcHRlZCB0aGUgcXVlc3QgZm9yIGFuIGFsdGVybmF0aXZlIHNvdXJjZSBvZiBtYXRlcmlhbCB0aGF0IGNvdWxkIGJlIHV0aWxpemVkIGZvciB2YXJpb3VzIHB1cnBvc2VzLiBTdGFyY2ggaXMgd2lkZWx5IHVzZWQgYXMgYSB0aGlja2VuZXIsIGVtdWxzaWZpZXIsIGFuZCBiaW5kZXIgaW4gbWFueSBmb29kIGFuZCBub24tZm9vZCBzZWN0b3JzLCBidXQgcmVzZWFyY2ggZm9jdXNlcyBvbiBpbmNyZWFzaW5nIGl0cyBhcHBsaWNhdGlvbiBiZXlvbmQgdGhlc2UgYXJlYXMuIER1ZSB0byBpdHMgYmlvZGVncmFkYWJpbGl0eSwgbG93IGNvc3QsIHJlbmV3YWJpbGl0eSwgYW5kIGFidW5kYW5jZSwgc3RhcmNoIGlzIGNvbnNpZGVyZWQgYSDigJxncmVlbiBwYXRo4oCdIHJhdyBtYXRlcmlhbCBmb3IgZ2VuZXJhdGluZyBwb3JvdXMgc3Vic3RhbmNlcyBzdWNoIGFzIGFlcm9nZWxzLCBiaW9mb2FtcywgYW5kIGJpb3BsYXN0aWNzLCB3aGljaCBoYXZlIHNwYXJrZWQgYW4gYWNhZGVtaWMgaW50ZXJlc3QuIEV4aXN0aW5nIHJlc2VhcmNoIGhhcyBmb2N1c2VkIG9uIHN0cmF0ZWdpZXMgZm9yIGRldmVsb3BpbmcgYmlvbWF0ZXJpYWxzIGZyb20gb3JnYW5pYyBwb2x5bWVycyAoZS5nLiwgY2VsbHVsb3NlKSwgYnV0IHRoZXJlIGhhcyBiZWVuIGxpdHRsZSByZXNlYXJjaCBvbiBpdHMgcG9seXNhY2NoYXJpZGUgY291bnRlcnBhcnQgKHN0YXJjaCkuIFRoaXMgcmV2aWV3IHBhcGVyIGhpZ2hsaWdodGVkIHRoZSBzdHJ1Y3R1cmUgb2Ygc3RhcmNoLCB0aGUgY29udGV4dCBvZiBhbXlsb3NlIGFuZCBhbXlsb3BlY3RpbiwgYW5kIHRoZSBleHRyYWN0aW9uIGFuZCBtb2RpZmljYXRpb24gb2Ygc3RhcmNoIHdpdGggdGhlaXIgcHJvY2Vzc2VzIGFuZCBsaW1pdGF0aW9ucy4gTW9yZW92ZXIsIHRoaXMgcGFwZXIgZGVzY3JpYmVzIG5hbm9maWxsZXJzLCBpbnRlbGxpZ2VudCBwSC1zZW5zaXRpdmUgZmlsbXMsIGJpb2ZvYW1zLCBhZXJvZ2VscyBvZiB2YXJpb3VzIHR5cGVzLCBiaW9wbGFzdGljcywgYW5kIHRoZWlyIHByZWN1cnNvcnMsIGluY2x1ZGluZyBkcnlpbmcgYW5kIG1hbnVmYWN0dXJpbmcuIFRoZSBwZXJzcGVjdGl2ZXMgcmV2ZWFsIHRoZSBncmVhdCBwb3RlbnRpYWwgb2Ygc3RhcmNoLWJhc2VkIGJpb21hdGVyaWFscyBpbiBmb29kLCBwaGFybWFjZXV0aWNhbHMsIGJpb21lZGljaW5lLCBhbmQgbm9uLWZvb2QgYXBwbGljYXRpb25zLjwvcD4iLCJpc3N1ZSI6IjExIiwidm9sdW1lIjoiMTQifSwiaXNUZW1wb3JhcnkiOmZhbHNlfV19&quot;,&quot;citationItems&quot;:[{&quot;id&quot;:&quot;ff3ae8c9-6227-3872-b885-5f5f7c1c8354&quot;,&quot;itemData&quot;:{&quot;type&quot;:&quot;article-journal&quot;,&quot;id&quot;:&quot;ff3ae8c9-6227-3872-b885-5f5f7c1c8354&quot;,&quot;title&quot;:&quot;Valorization of Starch to Biobased Materials: A Review&quot;,&quot;author&quot;:[{&quot;family&quot;:&quot;Falua&quot;,&quot;given&quot;:&quot;Kehinde James&quot;,&quot;parse-names&quot;:false,&quot;dropping-particle&quot;:&quot;&quot;,&quot;non-dropping-particle&quot;:&quot;&quot;},{&quot;family&quot;:&quot;Pokharel&quot;,&quot;given&quot;:&quot;Anamol&quot;,&quot;parse-names&quot;:false,&quot;dropping-particle&quot;:&quot;&quot;,&quot;non-dropping-particle&quot;:&quot;&quot;},{&quot;family&quot;:&quot;Babaei-Ghazvini&quot;,&quot;given&quot;:&quot;Amin&quot;,&quot;parse-names&quot;:false,&quot;dropping-particle&quot;:&quot;&quot;,&quot;non-dropping-particle&quot;:&quot;&quot;},{&quot;family&quot;:&quot;Ai&quot;,&quot;given&quot;:&quot;Yongfeng&quot;,&quot;parse-names&quot;:false,&quot;dropping-particle&quot;:&quot;&quot;,&quot;non-dropping-particle&quot;:&quot;&quot;},{&quot;family&quot;:&quot;Acharya&quot;,&quot;given&quot;:&quot;Bishnu&quot;,&quot;parse-names&quot;:false,&quot;dropping-particle&quot;:&quot;&quot;,&quot;non-dropping-particle&quot;:&quot;&quot;}],&quot;container-title&quot;:&quot;Polymers&quot;,&quot;container-title-short&quot;:&quot;Polymers (Basel)&quot;,&quot;DOI&quot;:&quot;10.3390/polym14112215&quot;,&quot;ISSN&quot;:&quot;2073-4360&quot;,&quot;issued&quot;:{&quot;date-parts&quot;:[[2022,5,30]]},&quot;page&quot;:&quot;2215&quot;,&quot;abstract&quot;:&quot;&lt;p&gt;Many concerns are being expressed about the biodegradability, biocompatibility, and long-term viability of polymer-based substances. This prompted the quest for an alternative source of material that could be utilized for various purposes. Starch is widely used as a thickener, emulsifier, and binder in many food and non-food sectors, but research focuses on increasing its application beyond these areas. Due to its biodegradability, low cost, renewability, and abundance, starch is considered a “green path” raw material for generating porous substances such as aerogels, biofoams, and bioplastics, which have sparked an academic interest. Existing research has focused on strategies for developing biomaterials from organic polymers (e.g., cellulose), but there has been little research on its polysaccharide counterpart (starch). This review paper highlighted the structure of starch, the context of amylose and amylopectin, and the extraction and modification of starch with their processes and limitations. Moreover, this paper describes nanofillers, intelligent pH-sensitive films, biofoams, aerogels of various types, bioplastics, and their precursors, including drying and manufacturing. The perspectives reveal the great potential of starch-based biomaterials in food, pharmaceuticals, biomedicine, and non-food applications.&lt;/p&gt;&quot;,&quot;issue&quot;:&quot;11&quot;,&quot;volume&quot;:&quot;14&quot;},&quot;isTemporary&quot;:false}]},{&quot;citationID&quot;:&quot;MENDELEY_CITATION_a51d4b9e-8cc6-4288-a0e5-543e946ae220&quot;,&quot;properties&quot;:{&quot;noteIndex&quot;:0},&quot;isEdited&quot;:false,&quot;manualOverride&quot;:{&quot;isManuallyOverridden&quot;:true,&quot;citeprocText&quot;:&quot;(Langrish &amp;#38; Cheng, 2025)&quot;,&quot;manualOverrideText&quot;:&quot;(Langrish and Cheng, 2025)&quot;},&quot;citationTag&quot;:&quot;MENDELEY_CITATION_v3_eyJjaXRhdGlvbklEIjoiTUVOREVMRVlfQ0lUQVRJT05fYTUxZDRiOWUtOGNjNi00Mjg4LWEwZTUtNTQzZTk0NmFlMjIwIiwicHJvcGVydGllcyI6eyJub3RlSW5kZXgiOjB9LCJpc0VkaXRlZCI6ZmFsc2UsIm1hbnVhbE92ZXJyaWRlIjp7ImlzTWFudWFsbHlPdmVycmlkZGVuIjp0cnVlLCJjaXRlcHJvY1RleHQiOiIoTGFuZ3Jpc2ggJiMzODsgQ2hlbmcsIDIwMjUpIiwibWFudWFsT3ZlcnJpZGVUZXh0IjoiKExhbmdyaXNoIGFuZCBDaGVuZywgMjAyNSkifSwiY2l0YXRpb25JdGVtcyI6W3siaWQiOiIwMTNjYjY1MC0xMDI1LTNjMmEtODU5Ny1hMDQxODg3NDRmZDgiLCJpdGVtRGF0YSI6eyJ0eXBlIjoiYXJ0aWNsZS1qb3VybmFsIiwiaWQiOiIwMTNjYjY1MC0xMDI1LTNjMmEtODU5Ny1hMDQxODg3NDRmZDgiLCJ0aXRsZSI6IlRlY2huby1FY29ub21pYyBBbmFseXNpcyBmb3IgdGhlIENvc3RzIG9mIERyeWluZyBDaGlja3BlYXM6IEFuIEV4YW1wbGUgU2hvd2luZyB0aGUgVHJhZGUtT2ZmIEJldHdlZW4gQ2FwaXRhbCBhbmQgT3BlcmF0aW5nIENvc3RzIGZvciBEaWZmZXJlbnQgSW5sZXQgQWlyIFRlbXBlcmF0dXJlcyIsImF1dGhvciI6W3siZmFtaWx5IjoiTGFuZ3Jpc2giLCJnaXZlbiI6IlRpbW90aHkgQS4gRy4iLCJwYXJzZS1uYW1lcyI6ZmFsc2UsImRyb3BwaW5nLXBhcnRpY2xlIjoiIiwibm9uLWRyb3BwaW5nLXBhcnRpY2xlIjoiIn0seyJmYW1pbHkiOiJDaGVuZyIsImdpdmVuIjoiU2h1IiwicGFyc2UtbmFtZXMiOmZhbHNlLCJkcm9wcGluZy1wYXJ0aWNsZSI6IiIsIm5vbi1kcm9wcGluZy1wYXJ0aWNsZSI6IiJ9XSwiY29udGFpbmVyLXRpdGxlIjoiUHJvY2Vzc2VzIiwiRE9JIjoiMTAuMzM5MC9wcjEzMDQxMTc4IiwiSVNTTiI6IjIyMjctOTcxNyIsImlzc3VlZCI6eyJkYXRlLXBhcnRzIjpbWzIwMjUsNCwxM11dfSwicGFnZSI6IjExNzgiLCJhYnN0cmFjdCI6IjxwPlRoaXMgc3R1ZHkgaW52ZXN0aWdhdGVzIHRoZSBpbXBsZW1lbnRhdGlvbiBvZiBuZXcgZHJ5aW5nIHNjaGVkdWxlcyBmb3IgY2hpY2twZWFzLCBhIHNpZ25pZmljYW50IHB1bHNlLCBpbmNvcnBvcmF0aW5nIGEgdGVjaG5vLWVjb25vbWljIGFuYWx5c2lzLiBUaGUgcmVzZWFyY2ggYWxzbyBleHBsb3JlcyB0aGUgcmVkdWN0aW9uIGluIGFudGktbnV0cml0aW9uYWwgZmFjdG9ycywgc3VjaCBhcyB0cnlwc2luIGluaGliaXRvcnMsIHRocm91Z2ggZmx1aWRpemVkLWJlZCBkcnlpbmcgd2l0aCBhbiBhaXIgcmVjeWNsaW5nIHN5c3RlbS4gVGhlIHByb2Nlc3NpbmcgY29zdCBwZXIgdW5pdCBtYXNzIG9mIGNoaWNrcGVhcyBpcyBwcmVkaWN0ZWQgdG8gZGVjcmVhc2Ugd2l0aCBhbiBpbmNyZWFzaW5nIHJlY3ljbGluZyByYXRpbywgZnJvbSBvdmVyIEFVRCAxLjMyL2tnIG9mIGNoaWNrcGVhcyB3aXRoIG5vIHJlY3ljbGluZyBkb3duIHRvIEFVRCAwLjA4ODUva2cgb2YgY2hpY2twZWFzIGF0IGEgcmF0aW8gb2YgOTklLiBXaXRoIG5vIGFpciByZWN5Y2xpbmcsIHRoZSBsb3dlc3QgaW5sZXQgYWlyIHRlbXBlcmF0dXJlICg0MCDCsEMpIGdpdmVzIHRoZSBsb3dlc3QgY29zdCwgYnV0IG5lYXIgdGhlIG9wdGltdW0gcmVjeWNsaW5nIHJhdGlvLCB0aGUgaGlnaGVzdCBpbmxldCBhaXIgdGVtcGVyYXR1cmUgKDgwIMKwQykgaXMgYmVzdC4gVGhpcyBwYXR0ZXJuIGlzIGZvbGxvd2VkIHdoZW4gY29uc2lkZXJpbmcgZXF1aXZhbGVudCBjYXJib24gZGlveGlkZSBlbWlzc2lvbnMsIHdpdGggdGhlIGxvd2VzdCBlbWlzc2lvbnMgKG92ZXIgMC4yNTkga2cgQ08yIChrZyBjaGlja3BlYXMp4oiSMSkgY29ycmVzcG9uZGluZyB0byBoaWdoIHJlY3ljbGluZyByYXRpb3MgYW5kIGhpZ2ggaW5sZXQgYWlyIHRlbXBlcmF0dXJlcy4gVGhlIHVzZSBvZiBhaXIgcmVjeWNsaW5nIHNob3VsZCBjYXVzZSBubyBzaWduaWZpY2FudCBjaGFsbGVuZ2VzIHdoZW4gaW1wbGVtZW50aW5nIGEgZHJ5aW5nIHNjaGVkdWxlIGZvciB0cnlwc2luIGluaGliaXRvciByZWR1Y3Rpb24gaW4gY2hpY2twZWFzLjwvcD4iLCJpc3N1ZSI6IjQiLCJ2b2x1bWUiOiIxMyIsImNvbnRhaW5lci10aXRsZS1zaG9ydCI6IiJ9LCJpc1RlbXBvcmFyeSI6ZmFsc2V9XX0=&quot;,&quot;citationItems&quot;:[{&quot;id&quot;:&quot;013cb650-1025-3c2a-8597-a04188744fd8&quot;,&quot;itemData&quot;:{&quot;type&quot;:&quot;article-journal&quot;,&quot;id&quot;:&quot;013cb650-1025-3c2a-8597-a04188744fd8&quot;,&quot;title&quot;:&quot;Techno-Economic Analysis for the Costs of Drying Chickpeas: An Example Showing the Trade-Off Between Capital and Operating Costs for Different Inlet Air Temperatures&quot;,&quot;author&quot;:[{&quot;family&quot;:&quot;Langrish&quot;,&quot;given&quot;:&quot;Timothy A. G.&quot;,&quot;parse-names&quot;:false,&quot;dropping-particle&quot;:&quot;&quot;,&quot;non-dropping-particle&quot;:&quot;&quot;},{&quot;family&quot;:&quot;Cheng&quot;,&quot;given&quot;:&quot;Shu&quot;,&quot;parse-names&quot;:false,&quot;dropping-particle&quot;:&quot;&quot;,&quot;non-dropping-particle&quot;:&quot;&quot;}],&quot;container-title&quot;:&quot;Processes&quot;,&quot;DOI&quot;:&quot;10.3390/pr13041178&quot;,&quot;ISSN&quot;:&quot;2227-9717&quot;,&quot;issued&quot;:{&quot;date-parts&quot;:[[2025,4,13]]},&quot;page&quot;:&quot;1178&quot;,&quot;abstract&quot;:&quot;&lt;p&gt;This study investigates the implementation of new drying schedules for chickpeas, a significant pulse, incorporating a techno-economic analysis. The research also explores the reduction in anti-nutritional factors, such as trypsin inhibitors, through fluidized-bed drying with an air recycling system. The processing cost per unit mass of chickpeas is predicted to decrease with an increasing recycling ratio, from over AUD 1.32/kg of chickpeas with no recycling down to AUD 0.0885/kg of chickpeas at a ratio of 99%. With no air recycling, the lowest inlet air temperature (40 °C) gives the lowest cost, but near the optimum recycling ratio, the highest inlet air temperature (80 °C) is best. This pattern is followed when considering equivalent carbon dioxide emissions, with the lowest emissions (over 0.259 kg CO2 (kg chickpeas)−1) corresponding to high recycling ratios and high inlet air temperatures. The use of air recycling should cause no significant challenges when implementing a drying schedule for trypsin inhibitor reduction in chickpeas.&lt;/p&gt;&quot;,&quot;issue&quot;:&quot;4&quot;,&quot;volume&quot;:&quot;13&quot;,&quot;container-title-short&quot;:&quot;&quot;},&quot;isTemporary&quot;:false}]},{&quot;citationID&quot;:&quot;MENDELEY_CITATION_8f1e3356-6c13-4910-a48f-e61f41a511f9&quot;,&quot;properties&quot;:{&quot;noteIndex&quot;:0},&quot;isEdited&quot;:false,&quot;manualOverride&quot;:{&quot;isManuallyOverridden&quot;:true,&quot;citeprocText&quot;:&quot;(Radev &amp;#38; Kurshumov, 2024)&quot;,&quot;manualOverrideText&quot;:&quot;(Radev and Kurshumov, 2024)&quot;},&quot;citationTag&quot;:&quot;MENDELEY_CITATION_v3_eyJjaXRhdGlvbklEIjoiTUVOREVMRVlfQ0lUQVRJT05fOGYxZTMzNTYtNmMxMy00OTEwLWE0OGYtZTYxZjQxYTUxMWY5IiwicHJvcGVydGllcyI6eyJub3RlSW5kZXgiOjB9LCJpc0VkaXRlZCI6ZmFsc2UsIm1hbnVhbE92ZXJyaWRlIjp7ImlzTWFudWFsbHlPdmVycmlkZGVuIjp0cnVlLCJjaXRlcHJvY1RleHQiOiIoUmFkZXYgJiMzODsgS3Vyc2h1bW92LCAyMDI0KSIsIm1hbnVhbE92ZXJyaWRlVGV4dCI6IihSYWRldiBhbmQgS3Vyc2h1bW92LCAyMDI0KSJ9LCJjaXRhdGlvbkl0ZW1zIjpbeyJpZCI6IjQ3YzE4OGY4LTM5MmQtMzA4MC04N2EyLWMyYzgwYjI2NmFiOSIsIml0ZW1EYXRhIjp7InR5cGUiOiJhcnRpY2xlLWpvdXJuYWwiLCJpZCI6IjQ3YzE4OGY4LTM5MmQtMzA4MC04N2EyLWMyYzgwYjI2NmFiOSIsInRpdGxlIjoiQ29zdCBwcmljZSBvZiBlZGlibGUgZmlsbXMgYW5kIGNvYXRpbmdzIGZvciBmcmVzaCBmcnVpdCBhbmQgdmVnZXRhYmxlcyIsImF1dGhvciI6W3siZmFtaWx5IjoiUmFkZXYiLCJnaXZlbiI6IlJhZG9zbGF2IiwicGFyc2UtbmFtZXMiOmZhbHNlLCJkcm9wcGluZy1wYXJ0aWNsZSI6IiIsIm5vbi1kcm9wcGluZy1wYXJ0aWNsZSI6IiJ9LHsiZmFtaWx5IjoiS3Vyc2h1bW92IiwiZ2l2ZW4iOiJWbGFkaSIsInBhcnNlLW5hbWVzIjpmYWxzZSwiZHJvcHBpbmctcGFydGljbGUiOiIiLCJub24tZHJvcHBpbmctcGFydGljbGUiOiIifV0sImNvbnRhaW5lci10aXRsZSI6IkJJTyBXZWIgb2YgQ29uZmVyZW5jZXMiLCJjb250YWluZXItdGl0bGUtc2hvcnQiOiJCSU8gV2ViIENvbmYiLCJET0kiOiIxMC4xMDUxL2Jpb2NvbmYvMjAyNDE0MTAxMDAxIiwiSVNTTiI6IjIxMTctNDQ1OCIsImlzc3VlZCI6eyJkYXRlLXBhcnRzIjpbWzIwMjQsMTEsMjFdXX0sInBhZ2UiOiIwMTAwMSIsImFic3RyYWN0IjoiPHA+U2NpZW50aWZpYyBzdHVkaWVzIG9uIGRldGVybWluaW5nIHRoZSBjb3N0IHByaWNlIG9mIGVkaWJsZSBmaWxtcyBhbmQgY29hdGluZ3MgZm9yIGZyZXNoIGZydWl0cyBhbmQgdmVnZXRhYmxlcyBoYXZlIG5vdCBiZWVuIGVzdGFibGlzaGVkIGluIHRoZSBzY2llbnRpZmljIGxpdGVyYXR1cmUuIFRoZSBwdXJwb3NlIG9mIHRoaXMgYXJ0aWNsZSBpcyB0byBleGFtaW5lIGNvc3QgcHJpY2Ugb2YgdmFyaW91cyBlZGlibGUgZmlsbXMgYW5kIGNvYXRpbmdzIGZvciBzb21lIGZyZXNoIGZydWl0cyBhbmQgdmVnZXRhYmxlcy4gVGhlIGRlc2NyaXB0aXZlLWFuYWx5dGljYWwgbWV0aG9kIGlzIHVzZWQgdG8gZnVsZmlsbCB0aGUgYWltIC0gdGhlIHRoZW9yZXRpY2FsIGFzcGVjdHMgb2YgdGhlIHJlc2VhcmNoZWQgc2NpZW50aWZpYyBmaWVsZCBhcmUgaW52ZXN0aWdhdGVkIG9uIHRoZSBiYXNpcyBvZiBhIGN1cnJlbnQgbGl0ZXJhdHVyZSBzdXJ2ZXkuIFRoZSBjb2xsZWN0ZWQgaW5mb3JtYXRpb24gaXMgc3VtbWFyaXplZCBhbmQgYW5hbHl6ZWQgdXNpbmcgYSBzeXN0ZW1hdGljIGFwcHJvYWNoOyBhbiBhbmFseXRpY2FsIGFwcHJvYWNoOyBhIHN0dWR5IG9mIHRoZSB3b3JrcyBvZiBhdXRob3JzIGluIHRoZSBmaWVsZDsgYSBjb21wYXJhdGl2ZSBhbmFseXNpcyBhbmQgYW4gb2JzZXJ2YXRpb25hbCBtZXRob2QuIEluIHRoZSBzY2llbnRpZmljIHN0dWR5LCB0aGUgY29zdCBwcmljZSBvZiBlZGlibGUgZmlsbXMgYW5kIGNvYXRpbmdzIGZvciBmcmVzaCBmcnVpdHMgYW5kIHZlZ2V0YWJsZXMgb2YgcmFuZG9tbHkgc2VsZWN0ZWQgc2NpZW50aWZpYyBkZXZlbG9wbWVudHMgd2FzIGNhbGN1bGF0ZWQsIGFuZCB0aHJlZSBncm91cHMgYWNjb3JkaW5nIHRvIGNvc3QgcHJpY2Ugd2VyZSBwcmVzZW50ZWQuIEluIGNvbmNsdXNpb24sIG9wcG9ydHVuaXRpZXMgZm9yIGZ1dHVyZSByZXNlYXJjaCBvbiB0aGUgY29zdCBwcmljZSBvZiBlZGlibGUgZmlsbXMgYW5kIGNvYXRpbmdzIGFyZSBwcmVzZW50ZWQuPC9wPiIsInZvbHVtZSI6IjE0MSJ9LCJpc1RlbXBvcmFyeSI6ZmFsc2V9XX0=&quot;,&quot;citationItems&quot;:[{&quot;id&quot;:&quot;47c188f8-392d-3080-87a2-c2c80b266ab9&quot;,&quot;itemData&quot;:{&quot;type&quot;:&quot;article-journal&quot;,&quot;id&quot;:&quot;47c188f8-392d-3080-87a2-c2c80b266ab9&quot;,&quot;title&quot;:&quot;Cost price of edible films and coatings for fresh fruit and vegetables&quot;,&quot;author&quot;:[{&quot;family&quot;:&quot;Radev&quot;,&quot;given&quot;:&quot;Radoslav&quot;,&quot;parse-names&quot;:false,&quot;dropping-particle&quot;:&quot;&quot;,&quot;non-dropping-particle&quot;:&quot;&quot;},{&quot;family&quot;:&quot;Kurshumov&quot;,&quot;given&quot;:&quot;Vladi&quot;,&quot;parse-names&quot;:false,&quot;dropping-particle&quot;:&quot;&quot;,&quot;non-dropping-particle&quot;:&quot;&quot;}],&quot;container-title&quot;:&quot;BIO Web of Conferences&quot;,&quot;container-title-short&quot;:&quot;BIO Web Conf&quot;,&quot;DOI&quot;:&quot;10.1051/bioconf/202414101001&quot;,&quot;ISSN&quot;:&quot;2117-4458&quot;,&quot;issued&quot;:{&quot;date-parts&quot;:[[2024,11,21]]},&quot;page&quot;:&quot;01001&quot;,&quot;abstract&quot;:&quot;&lt;p&gt;Scientific studies on determining the cost price of edible films and coatings for fresh fruits and vegetables have not been established in the scientific literature. The purpose of this article is to examine cost price of various edible films and coatings for some fresh fruits and vegetables. The descriptive-analytical method is used to fulfill the aim - the theoretical aspects of the researched scientific field are investigated on the basis of a current literature survey. The collected information is summarized and analyzed using a systematic approach; an analytical approach; a study of the works of authors in the field; a comparative analysis and an observational method. In the scientific study, the cost price of edible films and coatings for fresh fruits and vegetables of randomly selected scientific developments was calculated, and three groups according to cost price were presented. In conclusion, opportunities for future research on the cost price of edible films and coatings are presented.&lt;/p&gt;&quot;,&quot;volume&quot;:&quot;141&quot;},&quot;isTemporary&quot;:false}]},{&quot;citationID&quot;:&quot;MENDELEY_CITATION_c5caa96e-5dbb-4f76-9107-5f7e60ad410f&quot;,&quot;properties&quot;:{&quot;noteIndex&quot;:0},&quot;isEdited&quot;:false,&quot;manualOverride&quot;:{&quot;isManuallyOverridden&quot;:false,&quot;citeprocText&quot;:&quot;(Sintha, 2020)&quot;,&quot;manualOverrideText&quot;:&quot;&quot;},&quot;citationTag&quot;:&quot;MENDELEY_CITATION_v3_eyJjaXRhdGlvbklEIjoiTUVOREVMRVlfQ0lUQVRJT05fYzVjYWE5NmUtNWRiYi00Zjc2LTkxMDctNWY3ZTYwYWQ0MTBmIiwicHJvcGVydGllcyI6eyJub3RlSW5kZXgiOjB9LCJpc0VkaXRlZCI6ZmFsc2UsIm1hbnVhbE92ZXJyaWRlIjp7ImlzTWFudWFsbHlPdmVycmlkZGVuIjpmYWxzZSwiY2l0ZXByb2NUZXh0IjoiKFNpbnRoYSwgMjAyMCkiLCJtYW51YWxPdmVycmlkZVRleHQiOiIifSwiY2l0YXRpb25JdGVtcyI6W3siaWQiOiJmMjFkNDFmNC04MWVjLTNmOTEtYjU4OC02OTEwMjg5ZGQyYzYiLCJpdGVtRGF0YSI6eyJ0eXBlIjoiYXJ0aWNsZS1qb3VybmFsIiwiaWQiOiJmMjFkNDFmNC04MWVjLTNmOTEtYjU4OC02OTEwMjg5ZGQyYzYiLCJ0aXRsZSI6IklNUE9SVEFOQ0UgT0YgQlJFQUstRVZFTiBBTkFMWVNJUyBGT1IgVEhFIE1JQ1JPLCBTTUFMTCBBTkQgTUVESVVNIEVOVEVSUFJJU0VTIiwiYXV0aG9yIjpbeyJmYW1pbHkiOiJTaW50aGEiLCJnaXZlbiI6IkxpcyIsInBhcnNlLW5hbWVzIjpmYWxzZSwiZHJvcHBpbmctcGFydGljbGUiOiIiLCJub24tZHJvcHBpbmctcGFydGljbGUiOiIifV0sImNvbnRhaW5lci10aXRsZSI6IkludGVybmF0aW9uYWwgSm91cm5hbCBvZiBSZXNlYXJjaCAtR1JBTlRIQUFMQVlBSCIsIkRPSSI6IjEwLjI5MTIxL2dyYW50aGFhbGF5YWgudjguaTYuMjAyMC41MDIiLCJJU1NOIjoiMjM1MC0wNTMwIiwiaXNzdWVkIjp7ImRhdGUtcGFydHMiOltbMjAyMCw3LDEwXV19LCJwYWdlIjoiMjEyLTIxOCIsImFic3RyYWN0IjoiPHA+VGhlIGN1cnJlbnQgYmVoYXZpb3VyIG9mIFNtYWxsIGFuZCBNZWRpdW0gRW50ZXJwcmlzZXMgaGFzIHRvIGZhY2UgbWFueSBwcm9ibGVtcyBhbmQgdGhlIHN1cnZleSBhcmUgcHJlZGljdGVkLCA0NyBwZXIgY2VudCBvZiBTbWFsbCBhbmQgTWVkaXVtIEVudGVycHJpc2VzIHN0b3AgdHJ5aW5nLiBPbmUgb2YgdGhlIGNhdXNlcyBpcyB0aGF0IHRoZXJlIGFyZSBzdGlsbCBtYW55IHNtYWxsIGFuZCBtZWRpdW0gYnVzaW5lc3NlcywgZnJvbSB0aGUgYmVnaW5uaW5nIG9mIG9wZW5pbmcgdGhlaXIgYnVzaW5lc3MgdXAgdG8gbm93LCB0aGV5IGhhdmUgbmV2ZXIgY2FycmllZCBvdXQgYW4gYW5hbHlzaXMgb2YgcHJvZml0IGFuZCBsb3NzIGNhbGN1bGF0aW9ucyBhbmQgYSBjb21wcmVoZW5zaXZlIGNhbGN1bGF0aW9uIG9mIGhvdyBtYW55IHByb2R1Y3QgdW5pdHMgc2hvdWxkIGJlIG1hZGUgc28gdGhhdCB0aGUgYnVzaW5lc3MgcmV0dXJucyBvbiBjYXBpdGFsIGJ5IGxvb2tpbmcgYXQgcHJvZHVjdGlvbiBmYWN0b3JzIG9yIHJlc291cmNlcyB1c2VkLiBCcmVhay1ldmVuIGFuYWx5c2lzIGlzIGEgZmluYW5jaWFsIHRvb2wgdGhhdCBoZWxwcyBkZWNpZGUgYXQgd2hhdCBzdGFnZSBhIGNvbXBhbnksIG9yIG5ldyBzZXJ2aWNlIG9yIHByb2R1Y3QsIHdpbGwgYmUgcHJvZml0YWJsZSwgd2hpY2ggaXMgYSBmaW5hbmNpYWwgY2FsY3VsYXRpb24gdG8gZGVjaWRlIHRoZSBudW1iZXIgb2YgcHJvZHVjdHMgb3Igc2VydmljZXMgdGhhdCBhIGNvbXBhbnkgbXVzdCBzZWxsIHRvIGNvdmVyIGl0cyBjb3N0cyAoZXNwZWNpYWxseSBmaXhlZCBjb3N0cykuIFRoaXMgcmVzZWFyY2ggcGFwZXIgaXMgdGhlIGFwcGxpY2F0aW9uIG9mIHRoZSB0aGVvcmV0aWNhbCBjb25jZXB0cyBvZiBDVlAgQW5hbHlzaXMsIEJyZWFrLUV2ZW4gUG9pbnQgYSBwb3dlcmZ1bCB0b29sIGZvciBwbGFubmluZyBhbmQgZGVjaXNpb24gbWFraW5nLiBoaWdobGlnaHQgY29zdHMsIHF1YW50aXRpZXMgc29sZCBhbmQgcHJpY2VzLCB3aGljaCBhcmUgdGhlIGNvbXBhbnkncyBmaW5hbmNpYWwgaW5mb3JtYXRpb24uIMKgPC9wPiIsImlzc3VlIjoiNiIsInZvbHVtZSI6IjgiLCJjb250YWluZXItdGl0bGUtc2hvcnQiOiIifSwiaXNUZW1wb3JhcnkiOmZhbHNlfV19&quot;,&quot;citationItems&quot;:[{&quot;id&quot;:&quot;f21d41f4-81ec-3f91-b588-6910289dd2c6&quot;,&quot;itemData&quot;:{&quot;type&quot;:&quot;article-journal&quot;,&quot;id&quot;:&quot;f21d41f4-81ec-3f91-b588-6910289dd2c6&quot;,&quot;title&quot;:&quot;IMPORTANCE OF BREAK-EVEN ANALYSIS FOR THE MICRO, SMALL AND MEDIUM ENTERPRISES&quot;,&quot;author&quot;:[{&quot;family&quot;:&quot;Sintha&quot;,&quot;given&quot;:&quot;Lis&quot;,&quot;parse-names&quot;:false,&quot;dropping-particle&quot;:&quot;&quot;,&quot;non-dropping-particle&quot;:&quot;&quot;}],&quot;container-title&quot;:&quot;International Journal of Research -GRANTHAALAYAH&quot;,&quot;DOI&quot;:&quot;10.29121/granthaalayah.v8.i6.2020.502&quot;,&quot;ISSN&quot;:&quot;2350-0530&quot;,&quot;issued&quot;:{&quot;date-parts&quot;:[[2020,7,10]]},&quot;page&quot;:&quot;212-218&quot;,&quot;abstract&quot;:&quot;&lt;p&gt;The current behaviour of Small and Medium Enterprises has to face many problems and the survey are predicted, 47 per cent of Small and Medium Enterprises stop trying. One of the causes is that there are still many small and medium businesses, from the beginning of opening their business up to now, they have never carried out an analysis of profit and loss calculations and a comprehensive calculation of how many product units should be made so that the business returns on capital by looking at production factors or resources used. Break-even analysis is a financial tool that helps decide at what stage a company, or new service or product, will be profitable, which is a financial calculation to decide the number of products or services that a company must sell to cover its costs (especially fixed costs). This research paper is the application of the theoretical concepts of CVP Analysis, Break-Even Point a powerful tool for planning and decision making. highlight costs, quantities sold and prices, which are the company's financial information.  &lt;/p&gt;&quot;,&quot;issue&quot;:&quot;6&quot;,&quot;volume&quot;:&quot;8&quot;,&quot;container-title-short&quot;:&quot;&quot;},&quot;isTemporary&quot;:false}]},{&quot;citationID&quot;:&quot;MENDELEY_CITATION_13587fcd-5742-4055-a4f0-9fc5efdf2ea9&quot;,&quot;properties&quot;:{&quot;noteIndex&quot;:0},&quot;isEdited&quot;:false,&quot;manualOverride&quot;:{&quot;isManuallyOverridden&quot;:false,&quot;citeprocText&quot;:&quot;(Al-Darkazali et al., 2025)&quot;,&quot;manualOverrideText&quot;:&quot;&quot;},&quot;citationTag&quot;:&quot;MENDELEY_CITATION_v3_eyJjaXRhdGlvbklEIjoiTUVOREVMRVlfQ0lUQVRJT05fMTM1ODdmY2QtNTc0Mi00MDU1LWE0ZjAtOWZjNWVmZGYyZWE5IiwicHJvcGVydGllcyI6eyJub3RlSW5kZXgiOjB9LCJpc0VkaXRlZCI6ZmFsc2UsIm1hbnVhbE92ZXJyaWRlIjp7ImlzTWFudWFsbHlPdmVycmlkZGVuIjpmYWxzZSwiY2l0ZXByb2NUZXh0IjoiKEFsLURhcmthemFsaSBldCBhbC4sIDIwMjUpIiwibWFudWFsT3ZlcnJpZGVUZXh0IjoiIn0sImNpdGF0aW9uSXRlbXMiOlt7ImlkIjoiYjhkNzNkY2QtZmIyZi0zODkyLTkwZDQtNGY0Mjc5ODFmYzY5IiwiaXRlbURhdGEiOnsidHlwZSI6ImFydGljbGUtam91cm5hbCIsImlkIjoiYjhkNzNkY2QtZmIyZi0zODkyLTkwZDQtNGY0Mjc5ODFmYzY5IiwidGl0bGUiOiJBbmFseXNpcyBhbmQgZGV2ZWxvcG1lbnQgb2YgYmlvZGVncmFkYWJsZSBvcmdhbmljIHBsYXN0aWM6IFN0dWR5IG9mIGNoZW1pY2FsIHByb3BlcnRpZXMgYW5kIHN1c3RhaW5hYmxlIGVudmlyb25tZW50YWwgYXBwbGljYXRpb25zIiwiYXV0aG9yIjpbeyJmYW1pbHkiOiJBbC1EYXJrYXphbGkiLCJnaXZlbiI6IldhbGVlZCBOLiIsInBhcnNlLW5hbWVzIjpmYWxzZSwiZHJvcHBpbmctcGFydGljbGUiOiIiLCJub24tZHJvcHBpbmctcGFydGljbGUiOiIifSx7ImZhbWlseSI6IkFhbGh1c2FpbmkiLCJnaXZlbiI6IlRhaGEgTmFqbSIsInBhcnNlLW5hbWVzIjpmYWxzZSwiZHJvcHBpbmctcGFydGljbGUiOiIiLCJub24tZHJvcHBpbmctcGFydGljbGUiOiIifSx7ImZhbWlseSI6IkhhcmJpIiwiZ2l2ZW4iOiJOYXphciBTYXR0YXIiLCJwYXJzZS1uYW1lcyI6ZmFsc2UsImRyb3BwaW5nLXBhcnRpY2xlIjoiIiwibm9uLWRyb3BwaW5nLXBhcnRpY2xlIjoiIn1dLCJjb250YWluZXItdGl0bGUiOiJDYXNlIFN0dWRpZXMgaW4gQ2hlbWljYWwgYW5kIEVudmlyb25tZW50YWwgRW5naW5lZXJpbmciLCJET0kiOiIxMC4xMDE2L2ouY3NjZWUuMjAyNC4xMDEwNTQiLCJJU1NOIjoiMjY2NjAxNjQiLCJpc3N1ZWQiOnsiZGF0ZS1wYXJ0cyI6W1syMDI1LDZdXX0sInBhZ2UiOiIxMDEwNTQiLCJ2b2x1bWUiOiIxMSIsImNvbnRhaW5lci10aXRsZS1zaG9ydCI6IiJ9LCJpc1RlbXBvcmFyeSI6ZmFsc2V9XX0=&quot;,&quot;citationItems&quot;:[{&quot;id&quot;:&quot;b8d73dcd-fb2f-3892-90d4-4f427981fc69&quot;,&quot;itemData&quot;:{&quot;type&quot;:&quot;article-journal&quot;,&quot;id&quot;:&quot;b8d73dcd-fb2f-3892-90d4-4f427981fc69&quot;,&quot;title&quot;:&quot;Analysis and development of biodegradable organic plastic: Study of chemical properties and sustainable environmental applications&quot;,&quot;author&quot;:[{&quot;family&quot;:&quot;Al-Darkazali&quot;,&quot;given&quot;:&quot;Waleed N.&quot;,&quot;parse-names&quot;:false,&quot;dropping-particle&quot;:&quot;&quot;,&quot;non-dropping-particle&quot;:&quot;&quot;},{&quot;family&quot;:&quot;Aalhusaini&quot;,&quot;given&quot;:&quot;Taha Najm&quot;,&quot;parse-names&quot;:false,&quot;dropping-particle&quot;:&quot;&quot;,&quot;non-dropping-particle&quot;:&quot;&quot;},{&quot;family&quot;:&quot;Harbi&quot;,&quot;given&quot;:&quot;Nazar Sattar&quot;,&quot;parse-names&quot;:false,&quot;dropping-particle&quot;:&quot;&quot;,&quot;non-dropping-particle&quot;:&quot;&quot;}],&quot;container-title&quot;:&quot;Case Studies in Chemical and Environmental Engineering&quot;,&quot;DOI&quot;:&quot;10.1016/j.cscee.2024.101054&quot;,&quot;ISSN&quot;:&quot;26660164&quot;,&quot;issued&quot;:{&quot;date-parts&quot;:[[2025,6]]},&quot;page&quot;:&quot;101054&quot;,&quot;volume&quot;:&quot;11&quot;,&quot;container-title-short&quot;:&quot;&quot;},&quot;isTemporary&quot;:false}]},{&quot;citationID&quot;:&quot;MENDELEY_CITATION_8891c2ee-2b83-42af-b514-d782a6987bd0&quot;,&quot;properties&quot;:{&quot;noteIndex&quot;:0},&quot;isEdited&quot;:false,&quot;manualOverride&quot;:{&quot;isManuallyOverridden&quot;:false,&quot;citeprocText&quot;:&quot;(Pirogova et al., 2020)&quot;,&quot;manualOverrideText&quot;:&quot;&quot;},&quot;citationTag&quot;:&quot;MENDELEY_CITATION_v3_eyJjaXRhdGlvbklEIjoiTUVOREVMRVlfQ0lUQVRJT05fODg5MWMyZWUtMmI4My00MmFmLWI1MTQtZDc4MmE2OTg3YmQwIiwicHJvcGVydGllcyI6eyJub3RlSW5kZXgiOjB9LCJpc0VkaXRlZCI6ZmFsc2UsIm1hbnVhbE92ZXJyaWRlIjp7ImlzTWFudWFsbHlPdmVycmlkZGVuIjpmYWxzZSwiY2l0ZXByb2NUZXh0IjoiKFBpcm9nb3ZhIGV0IGFsLiwgMjAyMCkiLCJtYW51YWxPdmVycmlkZVRleHQiOiIifSwiY2l0YXRpb25JdGVtcyI6W3siaWQiOiJiZWY0MTEzZC1lYjYwLTNjZDktYTMwNS1jMjY5NzVkMTBiMTkiLCJpdGVtRGF0YSI6eyJ0eXBlIjoiYXJ0aWNsZS1qb3VybmFsIiwiaWQiOiJiZWY0MTEzZC1lYjYwLTNjZDktYTMwNS1jMjY5NzVkMTBiMTkiLCJ0aXRsZSI6IlByb2Nlc3MtY29zdCBhbmFseXNpcyBvZiBwcm9kdWN0aXZpdHkgYW5kIHdhZ2VzIGluIGFncm8taW5kdXN0cmlhbCBwcm9jZXNzaW5nIG9yZ2FuaXphdGlvbnMiLCJhdXRob3IiOlt7ImZhbWlseSI6IlBpcm9nb3ZhIiwiZ2l2ZW4iOiJPa3NhbmEiLCJwYXJzZS1uYW1lcyI6ZmFsc2UsImRyb3BwaW5nLXBhcnRpY2xlIjoiIiwibm9uLWRyb3BwaW5nLXBhcnRpY2xlIjoiIn0seyJmYW1pbHkiOiJOdXpoZGluIiwiZ2l2ZW4iOiJSb21hbiIsInBhcnNlLW5hbWVzIjpmYWxzZSwiZHJvcHBpbmctcGFydGljbGUiOiIiLCJub24tZHJvcHBpbmctcGFydGljbGUiOiIifSx7ImZhbWlseSI6IktvbmRyYXNob3ZhIiwiZ2l2ZW4iOiJOYWRlemhkYSIsInBhcnNlLW5hbWVzIjpmYWxzZSwiZHJvcHBpbmctcGFydGljbGUiOiIiLCJub24tZHJvcHBpbmctcGFydGljbGUiOiIifSx7ImZhbWlseSI6Ikx1a2luYSIsImdpdmVuIjoiT2tzYW5hIiwicGFyc2UtbmFtZXMiOmZhbHNlLCJkcm9wcGluZy1wYXJ0aWNsZSI6IiIsIm5vbi1kcm9wcGluZy1wYXJ0aWNsZSI6IiJ9XSwiY29udGFpbmVyLXRpdGxlIjoiRTNTIFdlYiBvZiBDb25mZXJlbmNlcyIsIkRPSSI6IjEwLjEwNTEvZTNzY29uZi8yMDIwMjE3MDkwMDIiLCJJU1NOIjoiMjI2Ny0xMjQyIiwiaXNzdWVkIjp7ImRhdGUtcGFydHMiOltbMjAyMCwxMiwxNF1dfSwicGFnZSI6IjA5MDAyIiwiYWJzdHJhY3QiOiI8cD5Qcm9jZXNzLWNvc3QgYW5hbHlzaXMgaW52b2x2ZXMgdGhlIGltcGxlbWVudGF0aW9uIG9mIGFwcHJhaXNhbCBwcm9jZWR1cmVzIGF0IGVhY2ggc3RhZ2Ugb2YgYWRkaW5nIHZhbHVlLCB3aGljaCBpcyBjb25zaWRlcmVkIGFzIHRoZSBtYWluIHNvdXJjZSBvZiBhY2hpZXZpbmcgdGhlIGludGVyZXN0cyBvZiBwZXJzb25uZWwsIG93bmVycyBhbmQgdGhlIHN0YXRlLiBUaGUgbWFpbiBnb2FsIG9mIHRoaXMgc3R1ZHkgaXMgdG8gdmVyaWZ5IHRoZSBleGlzdGluZyBtZXRob2RvbG9naWNhbCBhcHByb2FjaGVzIHRvIGFzc2Vzc2luZyB0aGUgbGFib3IgcHJvZHVjdGl2aXR5IG9mIHBlcnNvbm5lbCBpbiBwcm9jZXNzaW5nIG9yZ2FuaXphdGlvbnMgb2YgdGhlIGFncm8taW5kdXN0cmlhbCBjb21wbGV4LCB0byBhc3Nlc3MgdGhlIGR5bmFtaWMgcmF0aW8gb2YgcHJvZHVjdGl2aXR5IGFuZCB3YWdlcywgYmFzZWQgb24gbWV0aG9kb2xvZ2ljYWxseSBqdXN0aWZpZWQgYXNzZXNzbWVudCBwcm9jZWR1cmVzIHRoYXQgZW5zdXJlIHRoZSBpbXBsZW1lbnRhdGlvbiBvZiB0aGUgYWR2YW50YWdlcyBvZiBwcm9jZXNzLWNvc3QgYW5hbHlzaXMgYW5kIGVsaW1pbmF0ZSB0aGUgZGlzYWR2YW50YWdlcyBvZiB0cmFkaXRpb25hbCBtZXRob2RzLiBJbiBvcmRlciB0byBpbXByb3ZlIHRoZSBhbmFseXRpY2FsIHN1aXRhYmlsaXR5IG9mIHRoZSByZXN1bHRzIG9mIHRoZSBwcm9jZXNzLWNvc3QgYW5hbHlzaXMgb2YgbGFib3IgcmVzdWx0cywgdGhyZWUgYXJlYXMgb2Yga2V5IHN0YWtlaG9sZGVyc+KAmSBpbnRlcmVzdCBhcmUgaWRlbnRpZmllZCwgZm9yIGVhY2ggb2Ygd2hpY2ggY29ycmVjdGl2ZSBvcGVyYXRpb25zIGFyZSBwcm92aWRlZCB0aGF0IHByb3ZpZGUgbm90IG9ubHkgdGhlIHBvc3NpYmlsaXR5IG9mIGEgcmV0cm9zcGVjdGl2ZSBhbmFseXNpcywgYnV0IGFsc28gcHJlZGljdGluZyB0aGUgcG9zc2liaWxpdHkgb2YgcGFyaXR5IG9mIGludGVyZXN0cy4gQmFzZWQgb24gdGhlIHJlc3VsdHMgb2J0YWluZWQsIGl0IHdhcyBjb25jbHVkZWQgdGhhdCB0aGUgc2hhcmUgb2YgdmFsdWUgYWRkZWQgaW4gdG90YWwgcmV2ZW51ZXMgaXMgbG93LCB0aGUgbGV2ZWwgb2Ygd2FnZXMgaXMgdW5yZWFzb25hYmxlIGFuZCwgY29uc2VxdWVudGx5LCBzaWduaWZpY2FudCBkaXNwYXJpdGllcyBpbiB0aGUgZGlzdHJpYnV0aW9uIG9mIHZhbHVlIGFkZGVkLiBUaGUgaW5jb25zaXN0ZW5jeSBvZiB0aGUgY3JpdGVyaWFsIGFzc2Vzc21lbnQgb2YgdGhlIGR5bmFtaWMgcmF0aW8gb2YgbGFib3IgcHJvZHVjdGl2aXR5IGFuZCBpdHMgcGF5bWVudCBpbiBtb2Rlcm4gY29uZGl0aW9ucyBoYXMgYmVlbiBwcm92ZWQuPC9wPiIsInZvbHVtZSI6IjIxNyIsImNvbnRhaW5lci10aXRsZS1zaG9ydCI6IiJ9LCJpc1RlbXBvcmFyeSI6ZmFsc2V9XX0=&quot;,&quot;citationItems&quot;:[{&quot;id&quot;:&quot;bef4113d-eb60-3cd9-a305-c26975d10b19&quot;,&quot;itemData&quot;:{&quot;type&quot;:&quot;article-journal&quot;,&quot;id&quot;:&quot;bef4113d-eb60-3cd9-a305-c26975d10b19&quot;,&quot;title&quot;:&quot;Process-cost analysis of productivity and wages in agro-industrial processing organizations&quot;,&quot;author&quot;:[{&quot;family&quot;:&quot;Pirogova&quot;,&quot;given&quot;:&quot;Oksana&quot;,&quot;parse-names&quot;:false,&quot;dropping-particle&quot;:&quot;&quot;,&quot;non-dropping-particle&quot;:&quot;&quot;},{&quot;family&quot;:&quot;Nuzhdin&quot;,&quot;given&quot;:&quot;Roman&quot;,&quot;parse-names&quot;:false,&quot;dropping-particle&quot;:&quot;&quot;,&quot;non-dropping-particle&quot;:&quot;&quot;},{&quot;family&quot;:&quot;Kondrashova&quot;,&quot;given&quot;:&quot;Nadezhda&quot;,&quot;parse-names&quot;:false,&quot;dropping-particle&quot;:&quot;&quot;,&quot;non-dropping-particle&quot;:&quot;&quot;},{&quot;family&quot;:&quot;Lukina&quot;,&quot;given&quot;:&quot;Oksana&quot;,&quot;parse-names&quot;:false,&quot;dropping-particle&quot;:&quot;&quot;,&quot;non-dropping-particle&quot;:&quot;&quot;}],&quot;container-title&quot;:&quot;E3S Web of Conferences&quot;,&quot;DOI&quot;:&quot;10.1051/e3sconf/202021709002&quot;,&quot;ISSN&quot;:&quot;2267-1242&quot;,&quot;issued&quot;:{&quot;date-parts&quot;:[[2020,12,14]]},&quot;page&quot;:&quot;09002&quot;,&quot;abstract&quot;:&quot;&lt;p&gt;Process-cost analysis involves the implementation of appraisal procedures at each stage of adding value, which is considered as the main source of achieving the interests of personnel, owners and the state. The main goal of this study is to verify the existing methodological approaches to assessing the labor productivity of personnel in processing organizations of the agro-industrial complex, to assess the dynamic ratio of productivity and wages, based on methodologically justified assessment procedures that ensure the implementation of the advantages of process-cost analysis and eliminate the disadvantages of traditional methods. In order to improve the analytical suitability of the results of the process-cost analysis of labor results, three areas of key stakeholders’ interest are identified, for each of which corrective operations are provided that provide not only the possibility of a retrospective analysis, but also predicting the possibility of parity of interests. Based on the results obtained, it was concluded that the share of value added in total revenues is low, the level of wages is unreasonable and, consequently, significant disparities in the distribution of value added. The inconsistency of the criterial assessment of the dynamic ratio of labor productivity and its payment in modern conditions has been proved.&lt;/p&gt;&quot;,&quot;volume&quot;:&quot;217&quot;,&quot;container-title-short&quot;:&quot;&quot;},&quot;isTemporary&quot;:false}]},{&quot;citationID&quot;:&quot;MENDELEY_CITATION_17ea05dc-22c0-4abc-abc2-7b8518b0da05&quot;,&quot;properties&quot;:{&quot;noteIndex&quot;:0},&quot;isEdited&quot;:false,&quot;manualOverride&quot;:{&quot;isManuallyOverridden&quot;:true,&quot;citeprocText&quot;:&quot;(Pawase et al., 2025)&quot;,&quot;manualOverrideText&quot;:&quot;Pawase et al., (2025)&quot;},&quot;citationTag&quot;:&quot;MENDELEY_CITATION_v3_eyJjaXRhdGlvbklEIjoiTUVOREVMRVlfQ0lUQVRJT05fMTdlYTA1ZGMtMjJjMC00YWJjLWFiYzItN2I4NTE4YjBkYTA1IiwicHJvcGVydGllcyI6eyJub3RlSW5kZXgiOjB9LCJpc0VkaXRlZCI6ZmFsc2UsIm1hbnVhbE92ZXJyaWRlIjp7ImlzTWFudWFsbHlPdmVycmlkZGVuIjp0cnVlLCJjaXRlcHJvY1RleHQiOiIoUGF3YXNlIGV0IGFsLiwgMjAyNSkiLCJtYW51YWxPdmVycmlkZVRleHQiOiJQYXdhc2UgZXQgYWwuLCAoMjAyNSkifSwiY2l0YXRpb25JdGVtcyI6W3siaWQiOiJhODg2N2EzNS0xOGUyLTM1M2MtYWJiMy1iYTQyM2Q5YmIwNDUiLCJpdGVtRGF0YSI6eyJ0eXBlIjoiYXJ0aWNsZS1qb3VybmFsIiwiaWQiOiJhODg2N2EzNS0xOGUyLTM1M2MtYWJiMy1iYTQyM2Q5YmIwNDUiLCJ0aXRsZSI6IlBoeXNpY2FsLCBDaGVtaWNhbCwgYW5kIE5hbm8tRW5hYmxlZCBNb2RpZmljYXRpb25zIG9mIFN0YXJjaCBmb3IgU3VzdGFpbmFibGUgRm9vZCBQYWNrYWdpbmcgZmlsbXM6IFJlY2VudCBUcmVuZHMsIENoYWxsZW5nZXMsIGFuZCBQcm9zcGVjdHMiLCJhdXRob3IiOlt7ImZhbWlseSI6IlBhd2FzZSIsImdpdmVuIjoiUHJhc2hhbnQgQW5pbCIsInBhcnNlLW5hbWVzIjpmYWxzZSwiZHJvcHBpbmctcGFydGljbGUiOiIiLCJub24tZHJvcHBpbmctcGFydGljbGUiOiIifSx7ImZhbWlseSI6IlBhdGhhcmUiLCJnaXZlbiI6IkFuaWtldCBNLiIsInBhcnNlLW5hbWVzIjpmYWxzZSwiZHJvcHBpbmctcGFydGljbGUiOiIiLCJub24tZHJvcHBpbmctcGFydGljbGUiOiIifSx7ImZhbWlseSI6IkJhc2hpciIsImdpdmVuIjoiT21hciIsInBhcnNlLW5hbWVzIjpmYWxzZSwiZHJvcHBpbmctcGFydGljbGUiOiIiLCJub24tZHJvcHBpbmctcGFydGljbGUiOiIifSx7ImZhbWlseSI6IlNhbGVlbSIsImdpdmVuIjoiRml6emEiLCJwYXJzZS1uYW1lcyI6ZmFsc2UsImRyb3BwaW5nLXBhcnRpY2xlIjoiIiwibm9uLWRyb3BwaW5nLXBhcnRpY2xlIjoiIn0seyJmYW1pbHkiOiJTaHJhbWEiLCJnaXZlbiI6IkVzaGEiLCJwYXJzZS1uYW1lcyI6ZmFsc2UsImRyb3BwaW5nLXBhcnRpY2xlIjoiIiwibm9uLWRyb3BwaW5nLXBhcnRpY2xlIjoiIn0seyJmYW1pbHkiOiJNdWRnYWwiLCJnaXZlbiI6IlN3YXN0aSIsInBhcnNlLW5hbWVzIjpmYWxzZSwiZHJvcHBpbmctcGFydGljbGUiOiIiLCJub24tZHJvcHBpbmctcGFydGljbGUiOiIifSx7ImZhbWlseSI6IkFobWFkIiwiZ2l2ZW4iOiJNdWRhc2lyIiwicGFyc2UtbmFtZXMiOmZhbHNlLCJkcm9wcGluZy1wYXJ0aWNsZSI6IiIsIm5vbi1kcm9wcGluZy1wYXJ0aWNsZSI6IiJ9XSwiY29udGFpbmVyLXRpdGxlIjoiQ2FyYm9oeWRyYXRlIFBvbHltZXIgVGVjaG5vbG9naWVzIGFuZCBBcHBsaWNhdGlvbnMiLCJET0kiOiIxMC4xMDE2L2ouY2FycHRhLjIwMjUuMTAwOTg2IiwiSVNTTiI6IjI2NjY4OTM5IiwiaXNzdWVkIjp7ImRhdGUtcGFydHMiOltbMjAyNSw4XV19LCJwYWdlIjoiMTAwOTg2IiwiY29udGFpbmVyLXRpdGxlLXNob3J0IjoiIn0sImlzVGVtcG9yYXJ5IjpmYWxzZX1dfQ==&quot;,&quot;citationItems&quot;:[{&quot;id&quot;:&quot;a8867a35-18e2-353c-abb3-ba423d9bb045&quot;,&quot;itemData&quot;:{&quot;type&quot;:&quot;article-journal&quot;,&quot;id&quot;:&quot;a8867a35-18e2-353c-abb3-ba423d9bb045&quot;,&quot;title&quot;:&quot;Physical, Chemical, and Nano-Enabled Modifications of Starch for Sustainable Food Packaging films: Recent Trends, Challenges, and Prospects&quot;,&quot;author&quot;:[{&quot;family&quot;:&quot;Pawase&quot;,&quot;given&quot;:&quot;Prashant Anil&quot;,&quot;parse-names&quot;:false,&quot;dropping-particle&quot;:&quot;&quot;,&quot;non-dropping-particle&quot;:&quot;&quot;},{&quot;family&quot;:&quot;Pathare&quot;,&quot;given&quot;:&quot;Aniket M.&quot;,&quot;parse-names&quot;:false,&quot;dropping-particle&quot;:&quot;&quot;,&quot;non-dropping-particle&quot;:&quot;&quot;},{&quot;family&quot;:&quot;Bashir&quot;,&quot;given&quot;:&quot;Omar&quot;,&quot;parse-names&quot;:false,&quot;dropping-particle&quot;:&quot;&quot;,&quot;non-dropping-particle&quot;:&quot;&quot;},{&quot;family&quot;:&quot;Saleem&quot;,&quot;given&quot;:&quot;Fizza&quot;,&quot;parse-names&quot;:false,&quot;dropping-particle&quot;:&quot;&quot;,&quot;non-dropping-particle&quot;:&quot;&quot;},{&quot;family&quot;:&quot;Shrama&quot;,&quot;given&quot;:&quot;Esha&quot;,&quot;parse-names&quot;:false,&quot;dropping-particle&quot;:&quot;&quot;,&quot;non-dropping-particle&quot;:&quot;&quot;},{&quot;family&quot;:&quot;Mudgal&quot;,&quot;given&quot;:&quot;Swasti&quot;,&quot;parse-names&quot;:false,&quot;dropping-particle&quot;:&quot;&quot;,&quot;non-dropping-particle&quot;:&quot;&quot;},{&quot;family&quot;:&quot;Ahmad&quot;,&quot;given&quot;:&quot;Mudasir&quot;,&quot;parse-names&quot;:false,&quot;dropping-particle&quot;:&quot;&quot;,&quot;non-dropping-particle&quot;:&quot;&quot;}],&quot;container-title&quot;:&quot;Carbohydrate Polymer Technologies and Applications&quot;,&quot;DOI&quot;:&quot;10.1016/j.carpta.2025.100986&quot;,&quot;ISSN&quot;:&quot;26668939&quot;,&quot;issued&quot;:{&quot;date-parts&quot;:[[2025,8]]},&quot;page&quot;:&quot;100986&quot;,&quot;container-title-short&quot;:&quot;&quot;},&quot;isTemporary&quot;:false}]},{&quot;citationID&quot;:&quot;MENDELEY_CITATION_a9115c8b-1997-448b-b192-4ac860d8e4ee&quot;,&quot;properties&quot;:{&quot;noteIndex&quot;:0},&quot;isEdited&quot;:false,&quot;manualOverride&quot;:{&quot;isManuallyOverridden&quot;:true,&quot;citeprocText&quot;:&quot;(Mehdikhani et al., 2019)&quot;,&quot;manualOverrideText&quot;:&quot;Mehdikhani et al., (2019)&quot;},&quot;citationTag&quot;:&quot;MENDELEY_CITATION_v3_eyJjaXRhdGlvbklEIjoiTUVOREVMRVlfQ0lUQVRJT05fYTkxMTVjOGItMTk5Ny00NDhiLWIxOTItNGFjODYwZDhlNGVlIiwicHJvcGVydGllcyI6eyJub3RlSW5kZXgiOjB9LCJpc0VkaXRlZCI6ZmFsc2UsIm1hbnVhbE92ZXJyaWRlIjp7ImlzTWFudWFsbHlPdmVycmlkZGVuIjp0cnVlLCJjaXRlcHJvY1RleHQiOiIoTWVoZGlraGFuaSBldCBhbC4sIDIwMTkpIiwibWFudWFsT3ZlcnJpZGVUZXh0IjoiTWVoZGlraGFuaSBldCBhbC4sICgyMDE5KSJ9LCJjaXRhdGlvbkl0ZW1zIjpbeyJpZCI6ImM2OWM1MWZjLWRhMTgtM2QyMi05MDVlLTUxNWNmMDg5ZjNkMiIsIml0ZW1EYXRhIjp7InR5cGUiOiJhcnRpY2xlLWpvdXJuYWwiLCJpZCI6ImM2OWM1MWZjLWRhMTgtM2QyMi05MDVlLTUxNWNmMDg5ZjNkMiIsInRpdGxlIjoiVm9pZHMgaW4gZmliZXItcmVpbmZvcmNlZCBwb2x5bWVyIGNvbXBvc2l0ZXM6IEEgcmV2aWV3IG9uIHRoZWlyIGZvcm1hdGlvbiwgY2hhcmFjdGVyaXN0aWNzLCBhbmQgZWZmZWN0cyBvbiBtZWNoYW5pY2FsIHBlcmZvcm1hbmNlIiwiYXV0aG9yIjpbeyJmYW1pbHkiOiJNZWhkaWtoYW5pIiwiZ2l2ZW4iOiJNYWhvb3IiLCJwYXJzZS1uYW1lcyI6ZmFsc2UsImRyb3BwaW5nLXBhcnRpY2xlIjoiIiwibm9uLWRyb3BwaW5nLXBhcnRpY2xlIjoiIn0seyJmYW1pbHkiOiJHb3JiYXRpa2giLCJnaXZlbiI6Ikxhcmlzc2EiLCJwYXJzZS1uYW1lcyI6ZmFsc2UsImRyb3BwaW5nLXBhcnRpY2xlIjoiIiwibm9uLWRyb3BwaW5nLXBhcnRpY2xlIjoiIn0seyJmYW1pbHkiOiJWZXJwb2VzdCIsImdpdmVuIjoiSWduYWFzIiwicGFyc2UtbmFtZXMiOmZhbHNlLCJkcm9wcGluZy1wYXJ0aWNsZSI6IiIsIm5vbi1kcm9wcGluZy1wYXJ0aWNsZSI6IiJ9LHsiZmFtaWx5IjoiTG9tb3YiLCJnaXZlbiI6IlN0ZXBhbiIsInBhcnNlLW5hbWVzIjpmYWxzZSwiZHJvcHBpbmctcGFydGljbGUiOiJWIiwibm9uLWRyb3BwaW5nLXBhcnRpY2xlIjoiIn1dLCJjb250YWluZXItdGl0bGUiOiJKb3VybmFsIG9mIENvbXBvc2l0ZSBNYXRlcmlhbHMiLCJjb250YWluZXItdGl0bGUtc2hvcnQiOiJKIENvbXBvcyBNYXRlciIsIkRPSSI6IjEwLjExNzcvMDAyMTk5ODMxODc3MjE1MiIsIklTU04iOiIwMDIxLTk5ODMiLCJpc3N1ZWQiOnsiZGF0ZS1wYXJ0cyI6W1syMDE5LDUsMjBdXX0sInBhZ2UiOiIxNTc5LTE2NjkiLCJhYnN0cmFjdCI6IjxwPlZvaWRzLCB0aGUgbW9zdCBzdHVkaWVkIHR5cGUgb2YgbWFudWZhY3R1cmluZyBkZWZlY3RzLCBmb3JtIHZlcnkgb2Z0ZW4gaW4gcHJvY2Vzc2luZyBvZiBmaWJlci1yZWluZm9yY2VkIGNvbXBvc2l0ZXMuIER1ZSB0byB0aGVpciBjb25zaWRlcmFibGUgaW5mbHVlbmNlIG9uIHBoeXNpY2FsIGFuZCB0aGVybW9tZWNoYW5pY2FsIHByb3BlcnRpZXMgb2YgY29tcG9zaXRlcywgdGhleSBoYXZlIGJlZW4gZXh0ZW5zaXZlbHkgc3R1ZGllZCwgd2l0aCB0aGUgZm9jdXMgb24gdGhyZWUgcmVzZWFyY2ggdHJhY2tzOiB2b2lkIGZvcm1hdGlvbiwgY2hhcmFjdGVyaXN0aWNzLCBhbmQgbWVjaGFuaWNhbCBlZmZlY3RzLiBJbnZlc3RpZ2F0aW9uIG9mIHZvaWRzIGluIGNvbXBvc2l0ZXMgc3RhcnRlZCBhcm91bmQgaGFsZiBhIGNlbnR1cnkgYWdvIGFuZCBpcyBzdGlsbCBhbiBhY3RpdmUgcmVzZWFyY2ggZmllbGQgaW4gY29tcG9zaXRlcyBjb21tdW5pdHkuIFRoaXMgaXMgYmVjYXVzZSBvZiByZW1haW5pbmcgdW5rbm93bnMgYW5kIHVuY2VydGFpbnRpZXMgYWJvdXQgdm9pZHMgYXMgd2VsbCBhcyBkaWZmaWN1bHRpZXMgaW4gdGhlaXIgc3VwcHJlc3Npb24gaW4gbW9kZXJuIG1hbnVmYWN0dXJpbmcgdGVjaG5pcXVlcyBsaWtlIG91dC1vZi1hdXRvY2xhdmUgY3VyaW5nIGFuZCBwYXJ0cyB3aXRoIGhpZ2ggY29tcGxleGl0eSwgZnVydGhlciBjb21wbGljYXRlZCBieSBpbmNyZWFzZWQgdmlzY29zaXR5IG9mIG1vZGlmaWVkIHJlc2lucy4gRmluYWxseSwgdGhpcyBpcyBiZWNhdXNlIG9mIHRoZSBpbmNyZWFzaW5nIGludGVyZXN0IGluIHJlYWxpemF0aW9uIG9mIG1vcmUgYWNjdXJhdGUgdm9pZCByZWplY3Rpb24gbGltaXRzIHRoYXQgd291bGQgdG9sZXJhdGUgc29tZSB2b2lkYWdlLiBUaGUgY3VycmVudCBzdHVkeSByZXZpZXdzIHRoZSByZXNlYXJjaCBvbiBmb3JtYXRpb24sIGNoYXJhY3Rlcml6YXRpb24sIGFuZCBtZWNoYW5pY2FsIGVmZmVjdHMgb2Ygdm9pZHMsIHdoaWNoIGhhcyBiZWVuIGNvbmR1Y3RlZCBvdmVyIHRoZSBwYXN0IGZpdmUgZGVjYWRlcy4gSW52ZXN0aWdhdGlvbiBhbmQgY29udHJvbCBvZiB2b2lkIGZvcm1hdGlvbiwgdXNpbmcgZXhwZXJpbWVudGFsIGFuZCBtb2RlbGluZyBhcHByb2FjaGVzLCBpbiBsaXF1aWQgY29tcG9zaXRlIG1vbGRpbmcgYXMgd2VsbCBhcyBpbiBwcmVwcmVnIGNvbXBvc2l0ZSBwcm9jZXNzaW5nIGFyZSBzdXJ2ZXllZC4gVGVjaG5pcXVlcyBmb3Igdm9pZCBjaGFyYWN0ZXJpemF0aW9uIHdpdGggdGhlaXIgYWR2YW50YWdlcyBhbmQgZGlzYWR2YW50YWdlcyBhcmUgZGVzY3JpYmVkLiBGaW5hbGx5LCB0aGUgZWZmZWN0IG9mIHZvaWRzIG9uIGEgYnJvYWQgcmFuZ2Ugb2YgbWVjaGFuaWNhbCBwcm9wZXJ0aWVzLCBpbmNsdWRpbmcgaW50ZXItbGFtaW5hciBzaGVhciwgdGVuc2lsZSwgY29tcHJlc3NpdmUsIGFuZCBmbGV4dXJhbCBzdHJlbmd0aCBhcyB3ZWxsIGFzIGZyYWN0dXJlIHRvdWdobmVzcyBhbmQgZmF0aWd1ZSBsaWZlLCBpcyBhcHByYWlzZWQuIEJvdGggZXhwZXJpbWVudGFsIGFuZCBzaW11bGF0aW9uIGFwcHJvYWNoZXMgYW5kIHJlc3VsdHMsIGNvbmNlcm5pbmcgdm9pZHMnIGVmZmVjdHMsIGFyZSByZXZpZXdlZC48L3A+IiwiaXNzdWUiOiIxMiIsInZvbHVtZSI6IjUzIn0sImlzVGVtcG9yYXJ5IjpmYWxzZX1dfQ==&quot;,&quot;citationItems&quot;:[{&quot;id&quot;:&quot;c69c51fc-da18-3d22-905e-515cf089f3d2&quot;,&quot;itemData&quot;:{&quot;type&quot;:&quot;article-journal&quot;,&quot;id&quot;:&quot;c69c51fc-da18-3d22-905e-515cf089f3d2&quot;,&quot;title&quot;:&quot;Voids in fiber-reinforced polymer composites: A review on their formation, characteristics, and effects on mechanical performance&quot;,&quot;author&quot;:[{&quot;family&quot;:&quot;Mehdikhani&quot;,&quot;given&quot;:&quot;Mahoor&quot;,&quot;parse-names&quot;:false,&quot;dropping-particle&quot;:&quot;&quot;,&quot;non-dropping-particle&quot;:&quot;&quot;},{&quot;family&quot;:&quot;Gorbatikh&quot;,&quot;given&quot;:&quot;Larissa&quot;,&quot;parse-names&quot;:false,&quot;dropping-particle&quot;:&quot;&quot;,&quot;non-dropping-particle&quot;:&quot;&quot;},{&quot;family&quot;:&quot;Verpoest&quot;,&quot;given&quot;:&quot;Ignaas&quot;,&quot;parse-names&quot;:false,&quot;dropping-particle&quot;:&quot;&quot;,&quot;non-dropping-particle&quot;:&quot;&quot;},{&quot;family&quot;:&quot;Lomov&quot;,&quot;given&quot;:&quot;Stepan&quot;,&quot;parse-names&quot;:false,&quot;dropping-particle&quot;:&quot;V&quot;,&quot;non-dropping-particle&quot;:&quot;&quot;}],&quot;container-title&quot;:&quot;Journal of Composite Materials&quot;,&quot;container-title-short&quot;:&quot;J Compos Mater&quot;,&quot;DOI&quot;:&quot;10.1177/0021998318772152&quot;,&quot;ISSN&quot;:&quot;0021-9983&quot;,&quot;issued&quot;:{&quot;date-parts&quot;:[[2019,5,20]]},&quot;page&quot;:&quot;1579-1669&quot;,&quot;abstract&quot;:&quot;&lt;p&gt;Voids, the most studied type of manufacturing defects, form very often in processing of fiber-reinforced composites. Due to their considerable influence on physical and thermomechanical properties of composites, they have been extensively studied, with the focus on three research tracks: void formation, characteristics, and mechanical effects. Investigation of voids in composites started around half a century ago and is still an active research field in composites community. This is because of remaining unknowns and uncertainties about voids as well as difficulties in their suppression in modern manufacturing techniques like out-of-autoclave curing and parts with high complexity, further complicated by increased viscosity of modified resins. Finally, this is because of the increasing interest in realization of more accurate void rejection limits that would tolerate some voidage. The current study reviews the research on formation, characterization, and mechanical effects of voids, which has been conducted over the past five decades. Investigation and control of void formation, using experimental and modeling approaches, in liquid composite molding as well as in prepreg composite processing are surveyed. Techniques for void characterization with their advantages and disadvantages are described. Finally, the effect of voids on a broad range of mechanical properties, including inter-laminar shear, tensile, compressive, and flexural strength as well as fracture toughness and fatigue life, is appraised. Both experimental and simulation approaches and results, concerning voids' effects, are reviewed.&lt;/p&gt;&quot;,&quot;issue&quot;:&quot;12&quot;,&quot;volume&quot;:&quot;53&quot;},&quot;isTemporary&quot;:false}]},{&quot;citationID&quot;:&quot;MENDELEY_CITATION_78f68bbf-a0e8-48ef-a6ac-1aa16d7dca89&quot;,&quot;properties&quot;:{&quot;noteIndex&quot;:0},&quot;isEdited&quot;:false,&quot;manualOverride&quot;:{&quot;isManuallyOverridden&quot;:true,&quot;citeprocText&quot;:&quot;(Islam et al., 2024)&quot;,&quot;manualOverrideText&quot;:&quot;Islam et al., (2024)&quot;},&quot;citationTag&quot;:&quot;MENDELEY_CITATION_v3_eyJjaXRhdGlvbklEIjoiTUVOREVMRVlfQ0lUQVRJT05fNzhmNjhiYmYtYTBlOC00OGVmLWE2YWMtMWFhMTZkN2RjYTg5IiwicHJvcGVydGllcyI6eyJub3RlSW5kZXgiOjB9LCJpc0VkaXRlZCI6ZmFsc2UsIm1hbnVhbE92ZXJyaWRlIjp7ImlzTWFudWFsbHlPdmVycmlkZGVuIjp0cnVlLCJjaXRlcHJvY1RleHQiOiIoSXNsYW0gZXQgYWwuLCAyMDI0KSIsIm1hbnVhbE92ZXJyaWRlVGV4dCI6IklzbGFtIGV0IGFsLiwgKDIwMjQpIn0sImNpdGF0aW9uSXRlbXMiOlt7ImlkIjoiNjM4YTk4YjItNGJlNy0zODJmLWJhMGMtY2ZjZjAxZmZkNTNmIiwiaXRlbURhdGEiOnsidHlwZSI6ImFydGljbGUtam91cm5hbCIsImlkIjoiNjM4YTk4YjItNGJlNy0zODJmLWJhMGMtY2ZjZjAxZmZkNTNmIiwidGl0bGUiOiJJbXBhY3Qgb2YgYmlvcGxhc3RpY3Mgb24gZW52aXJvbm1lbnQgZnJvbSBpdHMgcHJvZHVjdGlvbiB0byBlbmQtb2YtbGlmZSIsImF1dGhvciI6W3siZmFtaWx5IjoiSXNsYW0iLCJnaXZlbiI6Ik1vbmp1cnVsIiwicGFyc2UtbmFtZXMiOmZhbHNlLCJkcm9wcGluZy1wYXJ0aWNsZSI6IiIsIm5vbi1kcm9wcGluZy1wYXJ0aWNsZSI6IiJ9LHsiZmFtaWx5IjoiWGF5YWNoYWsiLCJnaXZlbiI6IlR1IiwicGFyc2UtbmFtZXMiOmZhbHNlLCJkcm9wcGluZy1wYXJ0aWNsZSI6IiIsIm5vbi1kcm9wcGluZy1wYXJ0aWNsZSI6IiJ9LHsiZmFtaWx5IjoiSGFxdWUiLCJnaXZlbiI6Ik5hd3NoYWQiLCJwYXJzZS1uYW1lcyI6ZmFsc2UsImRyb3BwaW5nLXBhcnRpY2xlIjoiIiwibm9uLWRyb3BwaW5nLXBhcnRpY2xlIjoiIn0seyJmYW1pbHkiOiJMYXUiLCJnaXZlbiI6IkRlYm9yYWgiLCJwYXJzZS1uYW1lcyI6ZmFsc2UsImRyb3BwaW5nLXBhcnRpY2xlIjoiIiwibm9uLWRyb3BwaW5nLXBhcnRpY2xlIjoiIn0seyJmYW1pbHkiOiJCaHVpeWFuIiwiZ2l2ZW4iOiJNdWhhbW1lZCIsInBhcnNlLW5hbWVzIjpmYWxzZSwiZHJvcHBpbmctcGFydGljbGUiOiIiLCJub24tZHJvcHBpbmctcGFydGljbGUiOiIifSx7ImZhbWlseSI6IlByYW1hbmlrIiwiZ2l2ZW4iOiJCaXBsb2IgS3VtYXIiLCJwYXJzZS1uYW1lcyI6ZmFsc2UsImRyb3BwaW5nLXBhcnRpY2xlIjoiIiwibm9uLWRyb3BwaW5nLXBhcnRpY2xlIjoiIn1dLCJjb250YWluZXItdGl0bGUiOiJQcm9jZXNzIFNhZmV0eSBhbmQgRW52aXJvbm1lbnRhbCBQcm90ZWN0aW9uIiwiRE9JIjoiMTAuMTAxNi9qLnBzZXAuMjAyNC4wNS4xMTMiLCJJU1NOIjoiMDk1NzU4MjAiLCJpc3N1ZWQiOnsiZGF0ZS1wYXJ0cyI6W1syMDI0LDhdXX0sInBhZ2UiOiIxNTEtMTY2Iiwidm9sdW1lIjoiMTg4IiwiY29udGFpbmVyLXRpdGxlLXNob3J0IjoiIn0sImlzVGVtcG9yYXJ5IjpmYWxzZX1dfQ==&quot;,&quot;citationItems&quot;:[{&quot;id&quot;:&quot;638a98b2-4be7-382f-ba0c-cfcf01ffd53f&quot;,&quot;itemData&quot;:{&quot;type&quot;:&quot;article-journal&quot;,&quot;id&quot;:&quot;638a98b2-4be7-382f-ba0c-cfcf01ffd53f&quot;,&quot;title&quot;:&quot;Impact of bioplastics on environment from its production to end-of-life&quot;,&quot;author&quot;:[{&quot;family&quot;:&quot;Islam&quot;,&quot;given&quot;:&quot;Monjurul&quot;,&quot;parse-names&quot;:false,&quot;dropping-particle&quot;:&quot;&quot;,&quot;non-dropping-particle&quot;:&quot;&quot;},{&quot;family&quot;:&quot;Xayachak&quot;,&quot;given&quot;:&quot;Tu&quot;,&quot;parse-names&quot;:false,&quot;dropping-particle&quot;:&quot;&quot;,&quot;non-dropping-particle&quot;:&quot;&quot;},{&quot;family&quot;:&quot;Haque&quot;,&quot;given&quot;:&quot;Nawshad&quot;,&quot;parse-names&quot;:false,&quot;dropping-particle&quot;:&quot;&quot;,&quot;non-dropping-particle&quot;:&quot;&quot;},{&quot;family&quot;:&quot;Lau&quot;,&quot;given&quot;:&quot;Deborah&quot;,&quot;parse-names&quot;:false,&quot;dropping-particle&quot;:&quot;&quot;,&quot;non-dropping-particle&quot;:&quot;&quot;},{&quot;family&quot;:&quot;Bhuiyan&quot;,&quot;given&quot;:&quot;Muhammed&quot;,&quot;parse-names&quot;:false,&quot;dropping-particle&quot;:&quot;&quot;,&quot;non-dropping-particle&quot;:&quot;&quot;},{&quot;family&quot;:&quot;Pramanik&quot;,&quot;given&quot;:&quot;Biplob Kumar&quot;,&quot;parse-names&quot;:false,&quot;dropping-particle&quot;:&quot;&quot;,&quot;non-dropping-particle&quot;:&quot;&quot;}],&quot;container-title&quot;:&quot;Process Safety and Environmental Protection&quot;,&quot;DOI&quot;:&quot;10.1016/j.psep.2024.05.113&quot;,&quot;ISSN&quot;:&quot;09575820&quot;,&quot;issued&quot;:{&quot;date-parts&quot;:[[2024,8]]},&quot;page&quot;:&quot;151-166&quot;,&quot;volume&quot;:&quot;188&quot;,&quot;container-title-short&quot;:&quot;&quot;},&quot;isTemporary&quot;:false}]},{&quot;citationID&quot;:&quot;MENDELEY_CITATION_aad9b0d1-3f61-4270-89f1-863946112dd9&quot;,&quot;properties&quot;:{&quot;noteIndex&quot;:0},&quot;isEdited&quot;:false,&quot;manualOverride&quot;:{&quot;isManuallyOverridden&quot;:true,&quot;citeprocText&quot;:&quot;(Chauhan &amp;#38; Saini, 2016)&quot;,&quot;manualOverrideText&quot;:&quot;Chauhan and Saini, (2016)&quot;},&quot;citationTag&quot;:&quot;MENDELEY_CITATION_v3_eyJjaXRhdGlvbklEIjoiTUVOREVMRVlfQ0lUQVRJT05fYWFkOWIwZDEtM2Y2MS00MjcwLTg5ZjEtODYzOTQ2MTEyZGQ5IiwicHJvcGVydGllcyI6eyJub3RlSW5kZXgiOjB9LCJpc0VkaXRlZCI6ZmFsc2UsIm1hbnVhbE92ZXJyaWRlIjp7ImlzTWFudWFsbHlPdmVycmlkZGVuIjp0cnVlLCJjaXRlcHJvY1RleHQiOiIoQ2hhdWhhbiAmIzM4OyBTYWluaSwgMjAxNikiLCJtYW51YWxPdmVycmlkZVRleHQiOiJDaGF1aGFuIGFuZCBTYWluaSwgKDIwMTYpIn0sImNpdGF0aW9uSXRlbXMiOlt7ImlkIjoiYjczZjBjOWYtMWE2Yi0zZTYzLTlkZjgtNDBkOGZlMTk4M2E4IiwiaXRlbURhdGEiOnsidHlwZSI6ImFydGljbGUtam91cm5hbCIsImlkIjoiYjczZjBjOWYtMWE2Yi0zZTYzLTlkZjgtNDBkOGZlMTk4M2E4IiwidGl0bGUiOiJUZWNobm8tZWNvbm9taWMgZmVhc2liaWxpdHkgc3R1ZHkgb24gSW50ZWdyYXRlZCBSZW5ld2FibGUgRW5lcmd5IFN5c3RlbSBmb3IgYW4gaXNvbGF0ZWQgY29tbXVuaXR5IG9mIEluZGlhIiwiYXV0aG9yIjpbeyJmYW1pbHkiOiJDaGF1aGFuIiwiZ2l2ZW4iOiJBbnVyYWciLCJwYXJzZS1uYW1lcyI6ZmFsc2UsImRyb3BwaW5nLXBhcnRpY2xlIjoiIiwibm9uLWRyb3BwaW5nLXBhcnRpY2xlIjoiIn0seyJmYW1pbHkiOiJTYWluaSIsImdpdmVuIjoiUi5QLiIsInBhcnNlLW5hbWVzIjpmYWxzZSwiZHJvcHBpbmctcGFydGljbGUiOiIiLCJub24tZHJvcHBpbmctcGFydGljbGUiOiIifV0sImNvbnRhaW5lci10aXRsZSI6IlJlbmV3YWJsZSBhbmQgU3VzdGFpbmFibGUgRW5lcmd5IFJldmlld3MiLCJET0kiOiIxMC4xMDE2L2oucnNlci4yMDE1LjEyLjI5MCIsIklTU04iOiIxMzY0MDMyMSIsImlzc3VlZCI6eyJkYXRlLXBhcnRzIjpbWzIwMTYsNl1dfSwicGFnZSI6IjM4OC00MDUiLCJ2b2x1bWUiOiI1OSIsImNvbnRhaW5lci10aXRsZS1zaG9ydCI6IiJ9LCJpc1RlbXBvcmFyeSI6ZmFsc2V9XX0=&quot;,&quot;citationItems&quot;:[{&quot;id&quot;:&quot;b73f0c9f-1a6b-3e63-9df8-40d8fe1983a8&quot;,&quot;itemData&quot;:{&quot;type&quot;:&quot;article-journal&quot;,&quot;id&quot;:&quot;b73f0c9f-1a6b-3e63-9df8-40d8fe1983a8&quot;,&quot;title&quot;:&quot;Techno-economic feasibility study on Integrated Renewable Energy System for an isolated community of India&quot;,&quot;author&quot;:[{&quot;family&quot;:&quot;Chauhan&quot;,&quot;given&quot;:&quot;Anurag&quot;,&quot;parse-names&quot;:false,&quot;dropping-particle&quot;:&quot;&quot;,&quot;non-dropping-particle&quot;:&quot;&quot;},{&quot;family&quot;:&quot;Saini&quot;,&quot;given&quot;:&quot;R.P.&quot;,&quot;parse-names&quot;:false,&quot;dropping-particle&quot;:&quot;&quot;,&quot;non-dropping-particle&quot;:&quot;&quot;}],&quot;container-title&quot;:&quot;Renewable and Sustainable Energy Reviews&quot;,&quot;DOI&quot;:&quot;10.1016/j.rser.2015.12.290&quot;,&quot;ISSN&quot;:&quot;13640321&quot;,&quot;issued&quot;:{&quot;date-parts&quot;:[[2016,6]]},&quot;page&quot;:&quot;388-405&quot;,&quot;volume&quot;:&quot;59&quot;,&quot;container-title-short&quot;:&quot;&quot;},&quot;isTemporary&quot;:false}]},{&quot;citationID&quot;:&quot;MENDELEY_CITATION_6604a5ba-53ba-4b13-98c3-3d05323ebccf&quot;,&quot;properties&quot;:{&quot;noteIndex&quot;:0},&quot;isEdited&quot;:false,&quot;manualOverride&quot;:{&quot;isManuallyOverridden&quot;:true,&quot;citeprocText&quot;:&quot;(Nworie &amp;#38; Nwoye, 2023)&quot;,&quot;manualOverrideText&quot;:&quot;(Nworie and Nwoye, 2023)&quot;},&quot;citationTag&quot;:&quot;MENDELEY_CITATION_v3_eyJjaXRhdGlvbklEIjoiTUVOREVMRVlfQ0lUQVRJT05fNjYwNGE1YmEtNTNiYS00YjEzLTk4YzMtM2QwNTMyM2ViY2NmIiwicHJvcGVydGllcyI6eyJub3RlSW5kZXgiOjB9LCJpc0VkaXRlZCI6ZmFsc2UsIm1hbnVhbE92ZXJyaWRlIjp7ImlzTWFudWFsbHlPdmVycmlkZGVuIjp0cnVlLCJjaXRlcHJvY1RleHQiOiIoTndvcmllICYjMzg7IE53b3llLCAyMDIzKSIsIm1hbnVhbE92ZXJyaWRlVGV4dCI6IihOd29yaWUgYW5kIE53b3llLCAyMDIzKSJ9LCJjaXRhdGlvbkl0ZW1zIjpbeyJpZCI6IjVhMzM2ODgwLWQ2MGMtMzMyYy1iYmJmLWY5ZWJmMTExMjdiYiIsIml0ZW1EYXRhIjp7InR5cGUiOiJhcnRpY2xlLWpvdXJuYWwiLCJpZCI6IjVhMzM2ODgwLWQ2MGMtMzMyYy1iYmJmLWY5ZWJmMTExMjdiYiIsInRpdGxlIjoiRHJpdmVycyBvZiBPcGVyYXRpbmcgUHJvZml0OiBBIEZvY3VzIG9uIFNlbGVjdGVkIEZpcm1z4oCZIENvc3RzIiwiYXV0aG9yIjpbeyJmYW1pbHkiOiJOd29yaWUiLCJnaXZlbiI6IkdpbGJlcnQgT2dlY2h1a3d1IiwicGFyc2UtbmFtZXMiOmZhbHNlLCJkcm9wcGluZy1wYXJ0aWNsZSI6IiIsIm5vbi1kcm9wcGluZy1wYXJ0aWNsZSI6IiJ9LHsiZmFtaWx5IjoiTndveWUiLCJnaXZlbiI6IlVnb2NodWt3dSBKLiIsInBhcnNlLW5hbWVzIjpmYWxzZSwiZHJvcHBpbmctcGFydGljbGUiOiIiLCJub24tZHJvcHBpbmctcGFydGljbGUiOiIifV0sImNvbnRhaW5lci10aXRsZSI6IkNFQ0NBUiBCdXNpbmVzcyBSZXZpZXciLCJET0kiOiIxMC4zNzk0NS9jYnIuMjAyMy4wMi4wNyIsIklTU04iOiIxNDU0LTkyNjMiLCJpc3N1ZWQiOnsiZGF0ZS1wYXJ0cyI6W1syMDIzLDIsMjhdXX0sInBhZ2UiOiI2Mi03MiIsImlzc3VlIjoiMiIsInZvbHVtZSI6IjQiLCJjb250YWluZXItdGl0bGUtc2hvcnQiOiIifSwiaXNUZW1wb3JhcnkiOmZhbHNlfV19&quot;,&quot;citationItems&quot;:[{&quot;id&quot;:&quot;5a336880-d60c-332c-bbbf-f9ebf11127bb&quot;,&quot;itemData&quot;:{&quot;type&quot;:&quot;article-journal&quot;,&quot;id&quot;:&quot;5a336880-d60c-332c-bbbf-f9ebf11127bb&quot;,&quot;title&quot;:&quot;Drivers of Operating Profit: A Focus on Selected Firms’ Costs&quot;,&quot;author&quot;:[{&quot;family&quot;:&quot;Nworie&quot;,&quot;given&quot;:&quot;Gilbert Ogechukwu&quot;,&quot;parse-names&quot;:false,&quot;dropping-particle&quot;:&quot;&quot;,&quot;non-dropping-particle&quot;:&quot;&quot;},{&quot;family&quot;:&quot;Nwoye&quot;,&quot;given&quot;:&quot;Ugochukwu J.&quot;,&quot;parse-names&quot;:false,&quot;dropping-particle&quot;:&quot;&quot;,&quot;non-dropping-particle&quot;:&quot;&quot;}],&quot;container-title&quot;:&quot;CECCAR Business Review&quot;,&quot;DOI&quot;:&quot;10.37945/cbr.2023.02.07&quot;,&quot;ISSN&quot;:&quot;1454-9263&quot;,&quot;issued&quot;:{&quot;date-parts&quot;:[[2023,2,28]]},&quot;page&quot;:&quot;62-72&quot;,&quot;issue&quot;:&quot;2&quot;,&quot;volume&quot;:&quot;4&quot;,&quot;container-title-short&quot;:&quot;&quot;},&quot;isTemporary&quot;:false}]},{&quot;citationID&quot;:&quot;MENDELEY_CITATION_c3e2ac6b-4bcc-4294-ad10-48418c2abfc3&quot;,&quot;properties&quot;:{&quot;noteIndex&quot;:0},&quot;isEdited&quot;:false,&quot;manualOverride&quot;:{&quot;isManuallyOverridden&quot;:false,&quot;citeprocText&quot;:&quot;(Wellenreuther et al., 2022)&quot;,&quot;manualOverrideText&quot;:&quot;&quot;},&quot;citationTag&quot;:&quot;MENDELEY_CITATION_v3_eyJjaXRhdGlvbklEIjoiTUVOREVMRVlfQ0lUQVRJT05fYzNlMmFjNmItNGJjYy00Mjk0LWFkMTAtNDg0MThjMmFiZmMzIiwicHJvcGVydGllcyI6eyJub3RlSW5kZXgiOjB9LCJpc0VkaXRlZCI6ZmFsc2UsIm1hbnVhbE92ZXJyaWRlIjp7ImlzTWFudWFsbHlPdmVycmlkZGVuIjpmYWxzZSwiY2l0ZXByb2NUZXh0IjoiKFdlbGxlbnJldXRoZXIgZXQgYWwuLCAyMDIyKSIsIm1hbnVhbE92ZXJyaWRlVGV4dCI6IiJ9LCJjaXRhdGlvbkl0ZW1zIjpbeyJpZCI6IjFhZjBmYWMxLTcxYzktMzIxZC1iMzcyLWRkN2NjYzRiNDQyMyIsIml0ZW1EYXRhIjp7InR5cGUiOiJhcnRpY2xlLWpvdXJuYWwiLCJpZCI6IjFhZjBmYWMxLTcxYzktMzIxZC1iMzcyLWRkN2NjYzRiNDQyMyIsInRpdGxlIjoiQ29zdCBjb21wZXRpdGl2ZW5lc3Mgb2Ygc3VzdGFpbmFibGUgYmlvcGxhc3RpYyBmZWVkc3RvY2tzIOKAkyBBIE1vbnRlIENhcmxvIGFuYWx5c2lzIGZvciBwb2x5bGFjdGljIGFjaWQiLCJhdXRob3IiOlt7ImZhbWlseSI6IldlbGxlbnJldXRoZXIiLCJnaXZlbiI6IkNsYXVkaWEiLCJwYXJzZS1uYW1lcyI6ZmFsc2UsImRyb3BwaW5nLXBhcnRpY2xlIjoiIiwibm9uLWRyb3BwaW5nLXBhcnRpY2xlIjoiIn0seyJmYW1pbHkiOiJXb2xmIiwiZ2l2ZW4iOiJBbmRyw6kiLCJwYXJzZS1uYW1lcyI6ZmFsc2UsImRyb3BwaW5nLXBhcnRpY2xlIjoiIiwibm9uLWRyb3BwaW5nLXBhcnRpY2xlIjoiIn0seyJmYW1pbHkiOiJaYW5kZXIiLCJnaXZlbiI6Ik5pbHMiLCJwYXJzZS1uYW1lcyI6ZmFsc2UsImRyb3BwaW5nLXBhcnRpY2xlIjoiIiwibm9uLWRyb3BwaW5nLXBhcnRpY2xlIjoiIn1dLCJjb250YWluZXItdGl0bGUiOiJDbGVhbmVyIEVuZ2luZWVyaW5nIGFuZCBUZWNobm9sb2d5IiwiY29udGFpbmVyLXRpdGxlLXNob3J0IjoiQ2xlYW4gRW5nIFRlY2hub2wiLCJET0kiOiIxMC4xMDE2L2ouY2xldC4yMDIyLjEwMDQxMSIsIklTU04iOiIyNjY2NzkwOCIsImlzc3VlZCI6eyJkYXRlLXBhcnRzIjpbWzIwMjIsMl1dfSwicGFnZSI6IjEwMDQxMSIsInZvbHVtZSI6IjYifSwiaXNUZW1wb3JhcnkiOmZhbHNlfV19&quot;,&quot;citationItems&quot;:[{&quot;id&quot;:&quot;1af0fac1-71c9-321d-b372-dd7ccc4b4423&quot;,&quot;itemData&quot;:{&quot;type&quot;:&quot;article-journal&quot;,&quot;id&quot;:&quot;1af0fac1-71c9-321d-b372-dd7ccc4b4423&quot;,&quot;title&quot;:&quot;Cost competitiveness of sustainable bioplastic feedstocks – A Monte Carlo analysis for polylactic acid&quot;,&quot;author&quot;:[{&quot;family&quot;:&quot;Wellenreuther&quot;,&quot;given&quot;:&quot;Claudia&quot;,&quot;parse-names&quot;:false,&quot;dropping-particle&quot;:&quot;&quot;,&quot;non-dropping-particle&quot;:&quot;&quot;},{&quot;family&quot;:&quot;Wolf&quot;,&quot;given&quot;:&quot;André&quot;,&quot;parse-names&quot;:false,&quot;dropping-particle&quot;:&quot;&quot;,&quot;non-dropping-particle&quot;:&quot;&quot;},{&quot;family&quot;:&quot;Zander&quot;,&quot;given&quot;:&quot;Nils&quot;,&quot;parse-names&quot;:false,&quot;dropping-particle&quot;:&quot;&quot;,&quot;non-dropping-particle&quot;:&quot;&quot;}],&quot;container-title&quot;:&quot;Cleaner Engineering and Technology&quot;,&quot;container-title-short&quot;:&quot;Clean Eng Technol&quot;,&quot;DOI&quot;:&quot;10.1016/j.clet.2022.100411&quot;,&quot;ISSN&quot;:&quot;26667908&quot;,&quot;issued&quot;:{&quot;date-parts&quot;:[[2022,2]]},&quot;page&quot;:&quot;100411&quot;,&quot;volume&quot;:&quot;6&quot;},&quot;isTemporary&quot;:false}]},{&quot;citationID&quot;:&quot;MENDELEY_CITATION_0e087482-5001-4dc0-8ec4-148972d933d0&quot;,&quot;properties&quot;:{&quot;noteIndex&quot;:0},&quot;isEdited&quot;:false,&quot;manualOverride&quot;:{&quot;isManuallyOverridden&quot;:true,&quot;citeprocText&quot;:&quot;(Singh et al., 2024)&quot;,&quot;manualOverrideText&quot;:&quot;Singh et al., (2024)&quot;},&quot;citationTag&quot;:&quot;MENDELEY_CITATION_v3_eyJjaXRhdGlvbklEIjoiTUVOREVMRVlfQ0lUQVRJT05fMGUwODc0ODItNTAwMS00ZGMwLThlYzQtMTQ4OTcyZDkzM2QwIiwicHJvcGVydGllcyI6eyJub3RlSW5kZXgiOjB9LCJpc0VkaXRlZCI6ZmFsc2UsIm1hbnVhbE92ZXJyaWRlIjp7ImlzTWFudWFsbHlPdmVycmlkZGVuIjp0cnVlLCJjaXRlcHJvY1RleHQiOiIoU2luZ2ggZXQgYWwuLCAyMDI0KSIsIm1hbnVhbE92ZXJyaWRlVGV4dCI6IlNpbmdoIGV0IGFsLiwgKDIwMjQpIn0sImNpdGF0aW9uSXRlbXMiOlt7ImlkIjoiOGQyNzc4ODYtZGU1MC0zN2RkLWE1NzAtMTcxYTg5ZDczMDUxIiwiaXRlbURhdGEiOnsidHlwZSI6ImFydGljbGUtam91cm5hbCIsImlkIjoiOGQyNzc4ODYtZGU1MC0zN2RkLWE1NzAtMTcxYTg5ZDczMDUxIiwidGl0bGUiOiJVbnZlaWxpbmcgdGhlIHBvdGVudGlhbCBvZiBzdGFyY2gtYmxlbmRlZCBiaW9kZWdyYWRhYmxlIHBvbHltZXJzIGZvciBzdWJzdGFudGlhbGl6aW5nIHRoZSBlY28tZnJpZW5kbHkgaW5ub3ZhdGlvbnMiLCJhdXRob3IiOlt7ImZhbWlseSI6IlNpbmdoIiwiZ2l2ZW4iOiJQb29ybmltYSIsInBhcnNlLW5hbWVzIjpmYWxzZSwiZHJvcHBpbmctcGFydGljbGUiOiIiLCJub24tZHJvcHBpbmctcGFydGljbGUiOiIifSx7ImZhbWlseSI6IlBhbmRleSIsImdpdmVuIjoiVmluYXkgS3VtYXIiLCJwYXJzZS1uYW1lcyI6ZmFsc2UsImRyb3BwaW5nLXBhcnRpY2xlIjoiIiwibm9uLWRyb3BwaW5nLXBhcnRpY2xlIjoiIn0seyJmYW1pbHkiOiJTaW5naCIsImdpdmVuIjoiUmFodWwiLCJwYXJzZS1uYW1lcyI6ZmFsc2UsImRyb3BwaW5nLXBhcnRpY2xlIjoiIiwibm9uLWRyb3BwaW5nLXBhcnRpY2xlIjoiIn0seyJmYW1pbHkiOiJTaW5naCIsImdpdmVuIjoiS3VuYWwiLCJwYXJzZS1uYW1lcyI6ZmFsc2UsImRyb3BwaW5nLXBhcnRpY2xlIjoiIiwibm9uLWRyb3BwaW5nLXBhcnRpY2xlIjoiIn0seyJmYW1pbHkiOiJEYXNoIiwiZ2l2ZW4iOiJLc2hpcm9kIEt1bWFyIiwicGFyc2UtbmFtZXMiOmZhbHNlLCJkcm9wcGluZy1wYXJ0aWNsZSI6IiIsIm5vbi1kcm9wcGluZy1wYXJ0aWNsZSI6IiJ9LHsiZmFtaWx5IjoiTWFsaWsiLCJnaXZlbiI6IlN1bWlyYSIsInBhcnNlLW5hbWVzIjpmYWxzZSwiZHJvcHBpbmctcGFydGljbGUiOiIiLCJub24tZHJvcHBpbmctcGFydGljbGUiOiIifV0sImNvbnRhaW5lci10aXRsZSI6IkpvdXJuYWwgb2YgQWdyaWN1bHR1cmUgYW5kIEZvb2QgUmVzZWFyY2giLCJjb250YWluZXItdGl0bGUtc2hvcnQiOiJKIEFncmljIEZvb2QgUmVzIiwiRE9JIjoiMTAuMTAxNi9qLmphZnIuMjAyNC4xMDEwNjUiLCJJU1NOIjoiMjY2NjE1NDMiLCJpc3N1ZWQiOnsiZGF0ZS1wYXJ0cyI6W1syMDI0LDNdXX0sInBhZ2UiOiIxMDEwNjUiLCJ2b2x1bWUiOiIxNSJ9LCJpc1RlbXBvcmFyeSI6ZmFsc2V9XX0=&quot;,&quot;citationItems&quot;:[{&quot;id&quot;:&quot;8d277886-de50-37dd-a570-171a89d73051&quot;,&quot;itemData&quot;:{&quot;type&quot;:&quot;article-journal&quot;,&quot;id&quot;:&quot;8d277886-de50-37dd-a570-171a89d73051&quot;,&quot;title&quot;:&quot;Unveiling the potential of starch-blended biodegradable polymers for substantializing the eco-friendly innovations&quot;,&quot;author&quot;:[{&quot;family&quot;:&quot;Singh&quot;,&quot;given&quot;:&quot;Poornima&quot;,&quot;parse-names&quot;:false,&quot;dropping-particle&quot;:&quot;&quot;,&quot;non-dropping-particle&quot;:&quot;&quot;},{&quot;family&quot;:&quot;Pandey&quot;,&quot;given&quot;:&quot;Vinay Kumar&quot;,&quot;parse-names&quot;:false,&quot;dropping-particle&quot;:&quot;&quot;,&quot;non-dropping-particle&quot;:&quot;&quot;},{&quot;family&quot;:&quot;Singh&quot;,&quot;given&quot;:&quot;Rahul&quot;,&quot;parse-names&quot;:false,&quot;dropping-particle&quot;:&quot;&quot;,&quot;non-dropping-particle&quot;:&quot;&quot;},{&quot;family&quot;:&quot;Singh&quot;,&quot;given&quot;:&quot;Kunal&quot;,&quot;parse-names&quot;:false,&quot;dropping-particle&quot;:&quot;&quot;,&quot;non-dropping-particle&quot;:&quot;&quot;},{&quot;family&quot;:&quot;Dash&quot;,&quot;given&quot;:&quot;Kshirod Kumar&quot;,&quot;parse-names&quot;:false,&quot;dropping-particle&quot;:&quot;&quot;,&quot;non-dropping-particle&quot;:&quot;&quot;},{&quot;family&quot;:&quot;Malik&quot;,&quot;given&quot;:&quot;Sumira&quot;,&quot;parse-names&quot;:false,&quot;dropping-particle&quot;:&quot;&quot;,&quot;non-dropping-particle&quot;:&quot;&quot;}],&quot;container-title&quot;:&quot;Journal of Agriculture and Food Research&quot;,&quot;container-title-short&quot;:&quot;J Agric Food Res&quot;,&quot;DOI&quot;:&quot;10.1016/j.jafr.2024.101065&quot;,&quot;ISSN&quot;:&quot;26661543&quot;,&quot;issued&quot;:{&quot;date-parts&quot;:[[2024,3]]},&quot;page&quot;:&quot;101065&quot;,&quot;volume&quot;:&quot;15&quot;},&quot;isTemporary&quot;:false}]},{&quot;citationID&quot;:&quot;MENDELEY_CITATION_acd7ee83-b628-4018-a707-570cd7037650&quot;,&quot;properties&quot;:{&quot;noteIndex&quot;:0},&quot;isEdited&quot;:false,&quot;manualOverride&quot;:{&quot;isManuallyOverridden&quot;:true,&quot;citeprocText&quot;:&quot;(Karnwal et al., 2025)&quot;,&quot;manualOverrideText&quot;:&quot;Karnwal et al., (2025)&quot;},&quot;citationTag&quot;:&quot;MENDELEY_CITATION_v3_eyJjaXRhdGlvbklEIjoiTUVOREVMRVlfQ0lUQVRJT05fYWNkN2VlODMtYjYyOC00MDE4LWE3MDctNTcwY2Q3MDM3NjUwIiwicHJvcGVydGllcyI6eyJub3RlSW5kZXgiOjB9LCJpc0VkaXRlZCI6ZmFsc2UsIm1hbnVhbE92ZXJyaWRlIjp7ImlzTWFudWFsbHlPdmVycmlkZGVuIjp0cnVlLCJjaXRlcHJvY1RleHQiOiIoS2FybndhbCBldCBhbC4sIDIwMjUpIiwibWFudWFsT3ZlcnJpZGVUZXh0IjoiS2FybndhbCBldCBhbC4sICgyMDI1KSJ9LCJjaXRhdGlvbkl0ZW1zIjpbeyJpZCI6IjZmZWZkNjIyLTAyODEtM2UxMi04M2RiLWU2MGQ0OGRkNjA1NCIsIml0ZW1EYXRhIjp7InR5cGUiOiJhcnRpY2xlLWpvdXJuYWwiLCJpZCI6IjZmZWZkNjIyLTAyODEtM2UxMi04M2RiLWU2MGQ0OGRkNjA1NCIsInRpdGxlIjoiQWR2YW5jZWQgc3RhcmNoLWJhc2VkIGZpbG1zIGZvciBmb29kIHBhY2thZ2luZzogSW5ub3ZhdGlvbnMgaW4gc3VzdGFpbmFiaWxpdHkgYW5kIGZ1bmN0aW9uYWwgcHJvcGVydGllcyIsImF1dGhvciI6W3siZmFtaWx5IjoiS2FybndhbCIsImdpdmVuIjoiQXJ1biIsInBhcnNlLW5hbWVzIjpmYWxzZSwiZHJvcHBpbmctcGFydGljbGUiOiIiLCJub24tZHJvcHBpbmctcGFydGljbGUiOiIifSx7ImZhbWlseSI6IlJhdWYiLCJnaXZlbiI6IkFiZHVyIiwicGFyc2UtbmFtZXMiOmZhbHNlLCJkcm9wcGluZy1wYXJ0aWNsZSI6IiIsIm5vbi1kcm9wcGluZy1wYXJ0aWNsZSI6IiJ9LHsiZmFtaWx5IjoiSmFzc2ltIiwiZ2l2ZW4iOiJBbWFyIFlhc3NlciIsInBhcnNlLW5hbWVzIjpmYWxzZSwiZHJvcHBpbmctcGFydGljbGUiOiIiLCJub24tZHJvcHBpbmctcGFydGljbGUiOiIifSx7ImZhbWlseSI6IlNlbHZhcmFqIiwiZ2l2ZW4iOiJNYW5pY2thbSIsInBhcnNlLW5hbWVzIjpmYWxzZSwiZHJvcHBpbmctcGFydGljbGUiOiIiLCJub24tZHJvcHBpbmctcGFydGljbGUiOiIifSx7ImZhbWlseSI6IkFsLVRhd2FoYSIsImdpdmVuIjoiQWJkZWwgUmFobWFuIE1vaGFtbWFkIFNhaWQiLCJwYXJzZS1uYW1lcyI6ZmFsc2UsImRyb3BwaW5nLXBhcnRpY2xlIjoiIiwibm9uLWRyb3BwaW5nLXBhcnRpY2xlIjoiIn0seyJmYW1pbHkiOiJLYXNoeWFwIiwiZ2l2ZW4iOiJQaXl1c2giLCJwYXJzZS1uYW1lcyI6ZmFsc2UsImRyb3BwaW5nLXBhcnRpY2xlIjoiIiwibm9uLWRyb3BwaW5nLXBhcnRpY2xlIjoiIn0seyJmYW1pbHkiOiJLdW1hciIsImdpdmVuIjoiRGVlcGFrIiwicGFyc2UtbmFtZXMiOmZhbHNlLCJkcm9wcGluZy1wYXJ0aWNsZSI6IiIsIm5vbi1kcm9wcGluZy1wYXJ0aWNsZSI6IiJ9LHsiZmFtaWx5IjoiTWFsaWsiLCJnaXZlbiI6IlRhYmFyYWsiLCJwYXJzZS1uYW1lcyI6ZmFsc2UsImRyb3BwaW5nLXBhcnRpY2xlIjoiIiwibm9uLWRyb3BwaW5nLXBhcnRpY2xlIjoiIn1dLCJjb250YWluZXItdGl0bGUiOiJGb29kIENoZW1pc3RyeTogWCIsImNvbnRhaW5lci10aXRsZS1zaG9ydCI6IkZvb2QgQ2hlbSBYIiwiRE9JIjoiMTAuMTAxNi9qLmZvY2h4LjIwMjUuMTAyNjYyIiwiSVNTTiI6IjI1OTAxNTc1IiwiaXNzdWVkIjp7ImRhdGUtcGFydHMiOltbMjAyNSw3XV19LCJwYWdlIjoiMTAyNjYyIiwidm9sdW1lIjoiMjkifSwiaXNUZW1wb3JhcnkiOmZhbHNlfV19&quot;,&quot;citationItems&quot;:[{&quot;id&quot;:&quot;6fefd622-0281-3e12-83db-e60d48dd6054&quot;,&quot;itemData&quot;:{&quot;type&quot;:&quot;article-journal&quot;,&quot;id&quot;:&quot;6fefd622-0281-3e12-83db-e60d48dd6054&quot;,&quot;title&quot;:&quot;Advanced starch-based films for food packaging: Innovations in sustainability and functional properties&quot;,&quot;author&quot;:[{&quot;family&quot;:&quot;Karnwal&quot;,&quot;given&quot;:&quot;Arun&quot;,&quot;parse-names&quot;:false,&quot;dropping-particle&quot;:&quot;&quot;,&quot;non-dropping-particle&quot;:&quot;&quot;},{&quot;family&quot;:&quot;Rauf&quot;,&quot;given&quot;:&quot;Abdur&quot;,&quot;parse-names&quot;:false,&quot;dropping-particle&quot;:&quot;&quot;,&quot;non-dropping-particle&quot;:&quot;&quot;},{&quot;family&quot;:&quot;Jassim&quot;,&quot;given&quot;:&quot;Amar Yasser&quot;,&quot;parse-names&quot;:false,&quot;dropping-particle&quot;:&quot;&quot;,&quot;non-dropping-particle&quot;:&quot;&quot;},{&quot;family&quot;:&quot;Selvaraj&quot;,&quot;given&quot;:&quot;Manickam&quot;,&quot;parse-names&quot;:false,&quot;dropping-particle&quot;:&quot;&quot;,&quot;non-dropping-particle&quot;:&quot;&quot;},{&quot;family&quot;:&quot;Al-Tawaha&quot;,&quot;given&quot;:&quot;Abdel Rahman Mohammad Said&quot;,&quot;parse-names&quot;:false,&quot;dropping-particle&quot;:&quot;&quot;,&quot;non-dropping-particle&quot;:&quot;&quot;},{&quot;family&quot;:&quot;Kashyap&quot;,&quot;given&quot;:&quot;Piyush&quot;,&quot;parse-names&quot;:false,&quot;dropping-particle&quot;:&quot;&quot;,&quot;non-dropping-particle&quot;:&quot;&quot;},{&quot;family&quot;:&quot;Kumar&quot;,&quot;given&quot;:&quot;Deepak&quot;,&quot;parse-names&quot;:false,&quot;dropping-particle&quot;:&quot;&quot;,&quot;non-dropping-particle&quot;:&quot;&quot;},{&quot;family&quot;:&quot;Malik&quot;,&quot;given&quot;:&quot;Tabarak&quot;,&quot;parse-names&quot;:false,&quot;dropping-particle&quot;:&quot;&quot;,&quot;non-dropping-particle&quot;:&quot;&quot;}],&quot;container-title&quot;:&quot;Food Chemistry: X&quot;,&quot;container-title-short&quot;:&quot;Food Chem X&quot;,&quot;DOI&quot;:&quot;10.1016/j.fochx.2025.102662&quot;,&quot;ISSN&quot;:&quot;25901575&quot;,&quot;issued&quot;:{&quot;date-parts&quot;:[[2025,7]]},&quot;page&quot;:&quot;102662&quot;,&quot;volume&quot;:&quot;29&quot;},&quot;isTemporary&quot;:false}]},{&quot;citationID&quot;:&quot;MENDELEY_CITATION_d06c157d-3b49-41ed-af37-23f54c51b776&quot;,&quot;properties&quot;:{&quot;noteIndex&quot;:0},&quot;isEdited&quot;:false,&quot;manualOverride&quot;:{&quot;isManuallyOverridden&quot;:true,&quot;citeprocText&quot;:&quot;(Falua et al., 2022b)&quot;,&quot;manualOverrideText&quot;:&quot;Falua et al., (2022b)&quot;},&quot;citationTag&quot;:&quot;MENDELEY_CITATION_v3_eyJjaXRhdGlvbklEIjoiTUVOREVMRVlfQ0lUQVRJT05fZDA2YzE1N2QtM2I0OS00MWVkLWFmMzctMjNmNTRjNTFiNzc2IiwicHJvcGVydGllcyI6eyJub3RlSW5kZXgiOjB9LCJpc0VkaXRlZCI6ZmFsc2UsIm1hbnVhbE92ZXJyaWRlIjp7ImlzTWFudWFsbHlPdmVycmlkZGVuIjp0cnVlLCJjaXRlcHJvY1RleHQiOiIoRmFsdWEgZXQgYWwuLCAyMDIyYikiLCJtYW51YWxPdmVycmlkZVRleHQiOiJGYWx1YSBldCBhbC4sICgyMDIyYikifSwiY2l0YXRpb25JdGVtcyI6W3siaWQiOiI2NDljN2VmMi0yNjRjLTM4NjktOGFiNi1lMzQyMzU1ZGM0Y2YiLCJpdGVtRGF0YSI6eyJ0eXBlIjoiYXJ0aWNsZS1qb3VybmFsIiwiaWQiOiI2NDljN2VmMi0yNjRjLTM4NjktOGFiNi1lMzQyMzU1ZGM0Y2YiLCJ0aXRsZSI6IlZhbG9yaXphdGlvbiBvZiBTdGFyY2ggdG8gQmlvYmFzZWQgTWF0ZXJpYWxzOiBBIFJldmlldyIsImF1dGhvciI6W3siZmFtaWx5IjoiRmFsdWEiLCJnaXZlbiI6IktlaGluZGUgSmFtZXMiLCJwYXJzZS1uYW1lcyI6ZmFsc2UsImRyb3BwaW5nLXBhcnRpY2xlIjoiIiwibm9uLWRyb3BwaW5nLXBhcnRpY2xlIjoiIn0seyJmYW1pbHkiOiJQb2toYXJlbCIsImdpdmVuIjoiQW5hbW9sIiwicGFyc2UtbmFtZXMiOmZhbHNlLCJkcm9wcGluZy1wYXJ0aWNsZSI6IiIsIm5vbi1kcm9wcGluZy1wYXJ0aWNsZSI6IiJ9LHsiZmFtaWx5IjoiQmFiYWVpLUdoYXp2aW5pIiwiZ2l2ZW4iOiJBbWluIiwicGFyc2UtbmFtZXMiOmZhbHNlLCJkcm9wcGluZy1wYXJ0aWNsZSI6IiIsIm5vbi1kcm9wcGluZy1wYXJ0aWNsZSI6IiJ9LHsiZmFtaWx5IjoiQWkiLCJnaXZlbiI6IllvbmdmZW5nIiwicGFyc2UtbmFtZXMiOmZhbHNlLCJkcm9wcGluZy1wYXJ0aWNsZSI6IiIsIm5vbi1kcm9wcGluZy1wYXJ0aWNsZSI6IiJ9LHsiZmFtaWx5IjoiQWNoYXJ5YSIsImdpdmVuIjoiQmlzaG51IiwicGFyc2UtbmFtZXMiOmZhbHNlLCJkcm9wcGluZy1wYXJ0aWNsZSI6IiIsIm5vbi1kcm9wcGluZy1wYXJ0aWNsZSI6IiJ9XSwiY29udGFpbmVyLXRpdGxlIjoiUG9seW1lcnMiLCJjb250YWluZXItdGl0bGUtc2hvcnQiOiJQb2x5bWVycyAoQmFzZWwpIiwiRE9JIjoiMTAuMzM5MC9wb2x5bTE0MTEyMjE1IiwiSVNTTiI6IjIwNzMtNDM2MCIsImlzc3VlZCI6eyJkYXRlLXBhcnRzIjpbWzIwMjIsNSwzMF1dfSwicGFnZSI6IjIyMTUiLCJhYnN0cmFjdCI6IjxwPk1hbnkgY29uY2VybnMgYXJlIGJlaW5nIGV4cHJlc3NlZCBhYm91dCB0aGUgYmlvZGVncmFkYWJpbGl0eSwgYmlvY29tcGF0aWJpbGl0eSwgYW5kIGxvbmctdGVybSB2aWFiaWxpdHkgb2YgcG9seW1lci1iYXNlZCBzdWJzdGFuY2VzLiBUaGlzIHByb21wdGVkIHRoZSBxdWVzdCBmb3IgYW4gYWx0ZXJuYXRpdmUgc291cmNlIG9mIG1hdGVyaWFsIHRoYXQgY291bGQgYmUgdXRpbGl6ZWQgZm9yIHZhcmlvdXMgcHVycG9zZXMuIFN0YXJjaCBpcyB3aWRlbHkgdXNlZCBhcyBhIHRoaWNrZW5lciwgZW11bHNpZmllciwgYW5kIGJpbmRlciBpbiBtYW55IGZvb2QgYW5kIG5vbi1mb29kIHNlY3RvcnMsIGJ1dCByZXNlYXJjaCBmb2N1c2VzIG9uIGluY3JlYXNpbmcgaXRzIGFwcGxpY2F0aW9uIGJleW9uZCB0aGVzZSBhcmVhcy4gRHVlIHRvIGl0cyBiaW9kZWdyYWRhYmlsaXR5LCBsb3cgY29zdCwgcmVuZXdhYmlsaXR5LCBhbmQgYWJ1bmRhbmNlLCBzdGFyY2ggaXMgY29uc2lkZXJlZCBhIOKAnGdyZWVuIHBhdGjigJ0gcmF3IG1hdGVyaWFsIGZvciBnZW5lcmF0aW5nIHBvcm91cyBzdWJzdGFuY2VzIHN1Y2ggYXMgYWVyb2dlbHMsIGJpb2ZvYW1zLCBhbmQgYmlvcGxhc3RpY3MsIHdoaWNoIGhhdmUgc3BhcmtlZCBhbiBhY2FkZW1pYyBpbnRlcmVzdC4gRXhpc3RpbmcgcmVzZWFyY2ggaGFzIGZvY3VzZWQgb24gc3RyYXRlZ2llcyBmb3IgZGV2ZWxvcGluZyBiaW9tYXRlcmlhbHMgZnJvbSBvcmdhbmljIHBvbHltZXJzIChlLmcuLCBjZWxsdWxvc2UpLCBidXQgdGhlcmUgaGFzIGJlZW4gbGl0dGxlIHJlc2VhcmNoIG9uIGl0cyBwb2x5c2FjY2hhcmlkZSBjb3VudGVycGFydCAoc3RhcmNoKS4gVGhpcyByZXZpZXcgcGFwZXIgaGlnaGxpZ2h0ZWQgdGhlIHN0cnVjdHVyZSBvZiBzdGFyY2gsIHRoZSBjb250ZXh0IG9mIGFteWxvc2UgYW5kIGFteWxvcGVjdGluLCBhbmQgdGhlIGV4dHJhY3Rpb24gYW5kIG1vZGlmaWNhdGlvbiBvZiBzdGFyY2ggd2l0aCB0aGVpciBwcm9jZXNzZXMgYW5kIGxpbWl0YXRpb25zLiBNb3Jlb3ZlciwgdGhpcyBwYXBlciBkZXNjcmliZXMgbmFub2ZpbGxlcnMsIGludGVsbGlnZW50IHBILXNlbnNpdGl2ZSBmaWxtcywgYmlvZm9hbXMsIGFlcm9nZWxzIG9mIHZhcmlvdXMgdHlwZXMsIGJpb3BsYXN0aWNzLCBhbmQgdGhlaXIgcHJlY3Vyc29ycywgaW5jbHVkaW5nIGRyeWluZyBhbmQgbWFudWZhY3R1cmluZy4gVGhlIHBlcnNwZWN0aXZlcyByZXZlYWwgdGhlIGdyZWF0IHBvdGVudGlhbCBvZiBzdGFyY2gtYmFzZWQgYmlvbWF0ZXJpYWxzIGluIGZvb2QsIHBoYXJtYWNldXRpY2FscywgYmlvbWVkaWNpbmUsIGFuZCBub24tZm9vZCBhcHBsaWNhdGlvbnMuPC9wPiIsImlzc3VlIjoiMTEiLCJ2b2x1bWUiOiIxNCJ9LCJpc1RlbXBvcmFyeSI6ZmFsc2V9XX0=&quot;,&quot;citationItems&quot;:[{&quot;id&quot;:&quot;649c7ef2-264c-3869-8ab6-e342355dc4cf&quot;,&quot;itemData&quot;:{&quot;type&quot;:&quot;article-journal&quot;,&quot;id&quot;:&quot;649c7ef2-264c-3869-8ab6-e342355dc4cf&quot;,&quot;title&quot;:&quot;Valorization of Starch to Biobased Materials: A Review&quot;,&quot;author&quot;:[{&quot;family&quot;:&quot;Falua&quot;,&quot;given&quot;:&quot;Kehinde James&quot;,&quot;parse-names&quot;:false,&quot;dropping-particle&quot;:&quot;&quot;,&quot;non-dropping-particle&quot;:&quot;&quot;},{&quot;family&quot;:&quot;Pokharel&quot;,&quot;given&quot;:&quot;Anamol&quot;,&quot;parse-names&quot;:false,&quot;dropping-particle&quot;:&quot;&quot;,&quot;non-dropping-particle&quot;:&quot;&quot;},{&quot;family&quot;:&quot;Babaei-Ghazvini&quot;,&quot;given&quot;:&quot;Amin&quot;,&quot;parse-names&quot;:false,&quot;dropping-particle&quot;:&quot;&quot;,&quot;non-dropping-particle&quot;:&quot;&quot;},{&quot;family&quot;:&quot;Ai&quot;,&quot;given&quot;:&quot;Yongfeng&quot;,&quot;parse-names&quot;:false,&quot;dropping-particle&quot;:&quot;&quot;,&quot;non-dropping-particle&quot;:&quot;&quot;},{&quot;family&quot;:&quot;Acharya&quot;,&quot;given&quot;:&quot;Bishnu&quot;,&quot;parse-names&quot;:false,&quot;dropping-particle&quot;:&quot;&quot;,&quot;non-dropping-particle&quot;:&quot;&quot;}],&quot;container-title&quot;:&quot;Polymers&quot;,&quot;container-title-short&quot;:&quot;Polymers (Basel)&quot;,&quot;DOI&quot;:&quot;10.3390/polym14112215&quot;,&quot;ISSN&quot;:&quot;2073-4360&quot;,&quot;issued&quot;:{&quot;date-parts&quot;:[[2022,5,30]]},&quot;page&quot;:&quot;2215&quot;,&quot;abstract&quot;:&quot;&lt;p&gt;Many concerns are being expressed about the biodegradability, biocompatibility, and long-term viability of polymer-based substances. This prompted the quest for an alternative source of material that could be utilized for various purposes. Starch is widely used as a thickener, emulsifier, and binder in many food and non-food sectors, but research focuses on increasing its application beyond these areas. Due to its biodegradability, low cost, renewability, and abundance, starch is considered a “green path” raw material for generating porous substances such as aerogels, biofoams, and bioplastics, which have sparked an academic interest. Existing research has focused on strategies for developing biomaterials from organic polymers (e.g., cellulose), but there has been little research on its polysaccharide counterpart (starch). This review paper highlighted the structure of starch, the context of amylose and amylopectin, and the extraction and modification of starch with their processes and limitations. Moreover, this paper describes nanofillers, intelligent pH-sensitive films, biofoams, aerogels of various types, bioplastics, and their precursors, including drying and manufacturing. The perspectives reveal the great potential of starch-based biomaterials in food, pharmaceuticals, biomedicine, and non-food applications.&lt;/p&gt;&quot;,&quot;issue&quot;:&quot;11&quot;,&quot;volume&quot;:&quot;14&quot;},&quot;isTemporary&quot;:false}]},{&quot;citationID&quot;:&quot;MENDELEY_CITATION_ca64742e-86a4-42e7-8ce4-aa711a381c0e&quot;,&quot;properties&quot;:{&quot;noteIndex&quot;:0},&quot;isEdited&quot;:false,&quot;manualOverride&quot;:{&quot;isManuallyOverridden&quot;:true,&quot;citeprocText&quot;:&quot;(Yudhistira et al., 2024)&quot;,&quot;manualOverrideText&quot;:&quot;Yudhistira et al., (2024)&quot;},&quot;citationTag&quot;:&quot;MENDELEY_CITATION_v3_eyJjaXRhdGlvbklEIjoiTUVOREVMRVlfQ0lUQVRJT05fY2E2NDc0MmUtODZhNC00MmU3LThjZTQtYWE3MTFhMzgxYzBlIiwicHJvcGVydGllcyI6eyJub3RlSW5kZXgiOjB9LCJpc0VkaXRlZCI6ZmFsc2UsIm1hbnVhbE92ZXJyaWRlIjp7ImlzTWFudWFsbHlPdmVycmlkZGVuIjp0cnVlLCJjaXRlcHJvY1RleHQiOiIoWXVkaGlzdGlyYSBldCBhbC4sIDIwMjQpIiwibWFudWFsT3ZlcnJpZGVUZXh0IjoiWXVkaGlzdGlyYSBldCBhbC4sICgyMDI0KSJ9LCJjaXRhdGlvbkl0ZW1zIjpbeyJpZCI6IjhiYTRmMDY0LWU2MTgtMzBjZS04MTVhLWY2NTE4MTE4MDAwMSIsIml0ZW1EYXRhIjp7InR5cGUiOiJhcnRpY2xlLWpvdXJuYWwiLCJpZCI6IjhiYTRmMDY0LWU2MTgtMzBjZS04MTVhLWY2NTE4MTE4MDAwMSIsInRpdGxlIjoiUHJvZ3Jlc3MgaW4gdGhlIEFwcGxpY2F0aW9uIG9mIEVtZXJnaW5nIFRlY2hub2xvZ3kgZm9yIHRoZSBJbXByb3ZlbWVudCBvZiBTdGFyY2gtQmFzZWQgQWN0aXZlIFBhY2thZ2luZyBQcm9wZXJ0aWVzOiBBIFJldmlldyIsImF1dGhvciI6W3siZmFtaWx5IjoiWXVkaGlzdGlyYSIsImdpdmVuIjoiQmFyYSIsInBhcnNlLW5hbWVzIjpmYWxzZSwiZHJvcHBpbmctcGFydGljbGUiOiIiLCJub24tZHJvcHBpbmctcGFydGljbGUiOiIifSx7ImZhbWlseSI6Ikh1c25heWFpbiIsImdpdmVuIjoiTmFpbGEiLCJwYXJzZS1uYW1lcyI6ZmFsc2UsImRyb3BwaW5nLXBhcnRpY2xlIjoiIiwibm9uLWRyb3BwaW5nLXBhcnRpY2xlIjoiIn0seyJmYW1pbHkiOiJQdW50aGkiLCJnaXZlbiI6IkZ1YW5nZmFoIiwicGFyc2UtbmFtZXMiOmZhbHNlLCJkcm9wcGluZy1wYXJ0aWNsZSI6IiIsIm5vbi1kcm9wcGluZy1wYXJ0aWNsZSI6IiJ9LHsiZmFtaWx5IjoiR2F2YWhpYW4iLCJnaXZlbiI6Ik1vaHNlbiIsInBhcnNlLW5hbWVzIjpmYWxzZSwiZHJvcHBpbmctcGFydGljbGUiOiIiLCJub24tZHJvcHBpbmctcGFydGljbGUiOiIifSx7ImZhbWlseSI6IkNoYW5nIiwiZ2l2ZW4iOiJDaGFvLUthaSIsInBhcnNlLW5hbWVzIjpmYWxzZSwiZHJvcHBpbmctcGFydGljbGUiOiIiLCJub24tZHJvcHBpbmctcGFydGljbGUiOiIifSx7ImZhbWlseSI6IkhzaWVoIiwiZ2l2ZW4iOiJDaGFuZy1XZWkiLCJwYXJzZS1uYW1lcyI6ZmFsc2UsImRyb3BwaW5nLXBhcnRpY2xlIjoiIiwibm9uLWRyb3BwaW5nLXBhcnRpY2xlIjoiIn1dLCJjb250YWluZXItdGl0bGUiOiJBQ1MgRm9vZCBTY2llbmNlICYgVGVjaG5vbG9neSIsIkRPSSI6IjEwLjEwMjEvYWNzZm9vZHNjaXRlY2guNGMwMDI2MCIsIklTU04iOiIyNjkyLTE5NDQiLCJpc3N1ZWQiOnsiZGF0ZS1wYXJ0cyI6W1syMDI0LDksMjBdXX0sInBhZ2UiOiIxOTk3LTIwMTIiLCJpc3N1ZSI6IjkiLCJ2b2x1bWUiOiI0IiwiY29udGFpbmVyLXRpdGxlLXNob3J0IjoiIn0sImlzVGVtcG9yYXJ5IjpmYWxzZX1dfQ==&quot;,&quot;citationItems&quot;:[{&quot;id&quot;:&quot;8ba4f064-e618-30ce-815a-f65181180001&quot;,&quot;itemData&quot;:{&quot;type&quot;:&quot;article-journal&quot;,&quot;id&quot;:&quot;8ba4f064-e618-30ce-815a-f65181180001&quot;,&quot;title&quot;:&quot;Progress in the Application of Emerging Technology for the Improvement of Starch-Based Active Packaging Properties: A Review&quot;,&quot;author&quot;:[{&quot;family&quot;:&quot;Yudhistira&quot;,&quot;given&quot;:&quot;Bara&quot;,&quot;parse-names&quot;:false,&quot;dropping-particle&quot;:&quot;&quot;,&quot;non-dropping-particle&quot;:&quot;&quot;},{&quot;family&quot;:&quot;Husnayain&quot;,&quot;given&quot;:&quot;Naila&quot;,&quot;parse-names&quot;:false,&quot;dropping-particle&quot;:&quot;&quot;,&quot;non-dropping-particle&quot;:&quot;&quot;},{&quot;family&quot;:&quot;Punthi&quot;,&quot;given&quot;:&quot;Fuangfah&quot;,&quot;parse-names&quot;:false,&quot;dropping-particle&quot;:&quot;&quot;,&quot;non-dropping-particle&quot;:&quot;&quot;},{&quot;family&quot;:&quot;Gavahian&quot;,&quot;given&quot;:&quot;Mohsen&quot;,&quot;parse-names&quot;:false,&quot;dropping-particle&quot;:&quot;&quot;,&quot;non-dropping-particle&quot;:&quot;&quot;},{&quot;family&quot;:&quot;Chang&quot;,&quot;given&quot;:&quot;Chao-Kai&quot;,&quot;parse-names&quot;:false,&quot;dropping-particle&quot;:&quot;&quot;,&quot;non-dropping-particle&quot;:&quot;&quot;},{&quot;family&quot;:&quot;Hsieh&quot;,&quot;given&quot;:&quot;Chang-Wei&quot;,&quot;parse-names&quot;:false,&quot;dropping-particle&quot;:&quot;&quot;,&quot;non-dropping-particle&quot;:&quot;&quot;}],&quot;container-title&quot;:&quot;ACS Food Science &amp; Technology&quot;,&quot;DOI&quot;:&quot;10.1021/acsfoodscitech.4c00260&quot;,&quot;ISSN&quot;:&quot;2692-1944&quot;,&quot;issued&quot;:{&quot;date-parts&quot;:[[2024,9,20]]},&quot;page&quot;:&quot;1997-2012&quot;,&quot;issue&quot;:&quot;9&quot;,&quot;volume&quot;:&quot;4&quot;,&quot;container-title-short&quot;:&quot;&quot;},&quot;isTemporary&quot;:false}]},{&quot;citationID&quot;:&quot;MENDELEY_CITATION_3af58ede-fa2f-43d6-ae58-7e45a984e4a3&quot;,&quot;properties&quot;:{&quot;noteIndex&quot;:0},&quot;isEdited&quot;:false,&quot;manualOverride&quot;:{&quot;isManuallyOverridden&quot;:true,&quot;citeprocText&quot;:&quot;(Fernández-Bedoya et al., 2024)&quot;,&quot;manualOverrideText&quot;:&quot;Fernández-Bedoya et al., (2024)&quot;},&quot;citationTag&quot;:&quot;MENDELEY_CITATION_v3_eyJjaXRhdGlvbklEIjoiTUVOREVMRVlfQ0lUQVRJT05fM2FmNThlZGUtZmEyZi00M2Q2LWFlNTgtN2U0NWE5ODRlNGEzIiwicHJvcGVydGllcyI6eyJub3RlSW5kZXgiOjB9LCJpc0VkaXRlZCI6ZmFsc2UsIm1hbnVhbE92ZXJyaWRlIjp7ImlzTWFudWFsbHlPdmVycmlkZGVuIjp0cnVlLCJjaXRlcHJvY1RleHQiOiIoRmVybsOhbmRlei1CZWRveWEgZXQgYWwuLCAyMDI0KSIsIm1hbnVhbE92ZXJyaWRlVGV4dCI6IkZlcm7DoW5kZXotQmVkb3lhIGV0IGFsLiwgKDIwMjQpIn0sImNpdGF0aW9uSXRlbXMiOlt7ImlkIjoiNDRmNjE5Y2ItZDFiOC0zZTBmLWExZjctOGIyNmZjODJmZGIyIiwiaXRlbURhdGEiOnsidHlwZSI6ImFydGljbGUtam91cm5hbCIsImlkIjoiNDRmNjE5Y2ItZDFiOC0zZTBmLWExZjctOGIyNmZjODJmZGIyIiwidGl0bGUiOiJCcmVhay1FdmVuIFBvaW50IGFuZCBpdHMgSW1wYWN0IG9uIFByb2ZpdCBQbGFubmluZyBpbiBFZHVjYXRpb25hbCBJbnN0aXR1dGlvbnM6IEEgU3R1ZHkgQ29uZHVjdGVkIGluIExpbWEsIFBlcnUsIDIwMjIiLCJhdXRob3IiOlt7ImZhbWlseSI6IkZlcm7DoW5kZXotQmVkb3lhIiwiZ2l2ZW4iOiJWw61jdG9yIEh1Z28iLCJwYXJzZS1uYW1lcyI6ZmFsc2UsImRyb3BwaW5nLXBhcnRpY2xlIjoiIiwibm9uLWRyb3BwaW5nLXBhcnRpY2xlIjoiIn0seyJmYW1pbHkiOiJTdXlvLVZlZ2EiLCJnaXZlbiI6Ikpvc2VmaW5hIEFtYW5kYSIsInBhcnNlLW5hbWVzIjpmYWxzZSwiZHJvcHBpbmctcGFydGljbGUiOiIiLCJub24tZHJvcHBpbmctcGFydGljbGUiOiIifSx7ImZhbWlseSI6Ik1lbmVzZXMtTGEtUml2YSIsImdpdmVuIjoiTW9uaWNhIEVsaXNhIiwicGFyc2UtbmFtZXMiOmZhbHNlLCJkcm9wcGluZy1wYXJ0aWNsZSI6IiIsIm5vbi1kcm9wcGluZy1wYXJ0aWNsZSI6IiJ9LHsiZmFtaWx5IjoiR3JpamFsdmEtU2FsYXphciIsImdpdmVuIjoiUm9zYXJpbyBWaW9sZXRhIiwicGFyc2UtbmFtZXMiOmZhbHNlLCJkcm9wcGluZy1wYXJ0aWNsZSI6IiIsIm5vbi1kcm9wcGluZy1wYXJ0aWNsZSI6IiJ9XSwiY29udGFpbmVyLXRpdGxlIjoiQWNhZGVtaWMgSm91cm5hbCBvZiBJbnRlcmRpc2NpcGxpbmFyeSBTdHVkaWVzIiwiRE9JIjoiMTAuMzY5NDEvYWppcy0yMDI0LTAwODIiLCJJU1NOIjoiMjI4MS00NjEyIiwiaXNzdWVkIjp7ImRhdGUtcGFydHMiOltbMjAyNCw1LDVdXX0sInBhZ2UiOiIzMDIiLCJhYnN0cmFjdCI6IjxwPlRoZSBicmVhay1ldmVuIHBvaW50IGlzIGEgdGVjaG5pcXVlIGZvciBhbmFseXppbmcgdGhlIHJlbGF0aW9uc2hpcCBiZXR3ZWVuIGNvc3RzLCB2b2x1bWVzIGFuZCBwcm9maXRzIGluIG9yZ2FuaXphdGlvbnMsIHdoaWNoIGFsbG93cyB0aGVpciBtYW5hZ2VycyB0byBrbm93IHF1aWNrbHkgYW5kIGVjb25vbWljYWxseSB0aGUgbWluaW11bSB1bml0cyBvciBhbW91bnRzIHRoYXQgdGhlaXIgY29tcGFuaWVzIG11c3Qgc2VsbCBpbiBvcmRlciBub3QgdG8gZ2VuZXJhdGUgbG9zc2VzLCB0aHVzIGFsbG93aW5nIHRoZW0gdG8gcGxhbiB0aGVpciBwcm9maXRzLiBEdWUgdG8gdGhlIHBhbmRlbWljIGNhdXNlZCBieSB0aGUgU2Fycy1Db3YtMiAoQ09WSUQtMTkgdmlydXMpLCB2aXJ0dWFsIHRlYWNoaW5nIGJlY2FtZSBwb3B1bGFyLCB3aGljaCBzZXJ2ZWQgYXMgYW4gb3Bwb3J0dW5pdHkgZm9yIG1hbnkgdGVhY2hlcnMgdG8gc3RhcnQgdGVhY2hpbmcgY291cnNlczsgd2l0aCB0aW1lLCB0aGVzZSBlbnRyZXByZW5ldXJzIHBhaWQgYXR0ZW50aW9uIHRvIHRoZSBpbXBvcnRhbmNlIG9mIHRoZSBicmVhay1ldmVuIHBvaW50IGZvciBtYWtpbmcgZGVjaXNpb25zIHJlbGF0ZWQgdG8gdGhlIG9wZW5pbmcgb2YgbmV3IHNlY3Rpb25zIG9mIGV4aXN0aW5nIGNvdXJzZXMsIG9yIHRoZSBpbXBsZW1lbnRhdGlvbiBvZiBuZXcgc3R1ZHkgcHJvZ3JhbXMuIFRoZSBvYmplY3RpdmUgb2YgdGhpcyBzdHVkeSB3YXMgdG8gZGV0ZXJtaW5lIHRoZSBpbXBhY3Qgb2YgdGhlIGJyZWFrLWV2ZW4gcG9pbnQgaW4gcHJvZml0IHBsYW5uaW5nIGluIGVkdWNhdGlvbmFsIGluc3RpdHV0aW9ucyBpbiBMaW1hLCAyMDIyLiBUaGUgaHlwb3RoZXNpcyB3YXM6IHRoZSBicmVhay1ldmVuIHBvaW50IGhhcyBhbiBpbXBhY3Qgb24gcHJvZml0IHBsYW5uaW5nIGluIGVkdWNhdGlvbmFsIGluc3RpdHV0aW9ucyBpbiBMaW1hLCAyMDIyLiBUaHJvdWdoIGEgcXVhbnRpdGF0aXZlIGFwcHJvYWNoIHN0dWR5LCBhcHBsaWVkIHR5cGUsIGV4cGxhbmF0b3J5IGxldmVsLCBub24tZXhwZXJpbWVudGFsIGFuZCBjcm9zcy1zZWN0aW9uYWwgZGVzaWduLCBkYXRhIHdhcyBjb2xsZWN0ZWQgZnJvbSA5MSBlbnRyZXByZW5ldXJzIHdobyBjYXJyaWVkIG91dCB0ZWFjaGluZyBhY3Rpdml0aWVzIG9uIHZpcnR1YWwgcGxhdGZvcm1zLiBUaGUgcmVzdWx0cyBvYnRhaW5lZCBjb25maXJtZWQgdGhlIGluZmx1ZW5jZSBvZiB0aGUgYnJlYWstZXZlbiBwb2ludCBjYWxjdWxhdGlvbiBvbiBwcm9maXQgcGxhbm5pbmcgaW4gdGhpcyBjb250ZXh0LCBtb2RlbGluZyBpdCB3aXRoIHRoZSBmb2xsb3dpbmcgZm9ybXVsYTogcHJvZml0IHBsYW5uaW5nPTAuMTAxKzAuOTc5IHggYnJlYWstZXZlbiBwb2ludC4mIzEzOyDCoCYjMTM7IFJlY2VpdmVkOiAyMCBOb3ZlbWJlciAyMDIzIC8gQWNjZXB0ZWQ6IDI0IEFwcmlsIDIwMjQgLyBQdWJsaXNoZWQ6IDUgTWF5IDIwMjQ8L3A+IiwiaXNzdWUiOiIzIiwidm9sdW1lIjoiMTMiLCJjb250YWluZXItdGl0bGUtc2hvcnQiOiIifSwiaXNUZW1wb3JhcnkiOmZhbHNlfV19&quot;,&quot;citationItems&quot;:[{&quot;id&quot;:&quot;44f619cb-d1b8-3e0f-a1f7-8b26fc82fdb2&quot;,&quot;itemData&quot;:{&quot;type&quot;:&quot;article-journal&quot;,&quot;id&quot;:&quot;44f619cb-d1b8-3e0f-a1f7-8b26fc82fdb2&quot;,&quot;title&quot;:&quot;Break-Even Point and its Impact on Profit Planning in Educational Institutions: A Study Conducted in Lima, Peru, 2022&quot;,&quot;author&quot;:[{&quot;family&quot;:&quot;Fernández-Bedoya&quot;,&quot;given&quot;:&quot;Víctor Hugo&quot;,&quot;parse-names&quot;:false,&quot;dropping-particle&quot;:&quot;&quot;,&quot;non-dropping-particle&quot;:&quot;&quot;},{&quot;family&quot;:&quot;Suyo-Vega&quot;,&quot;given&quot;:&quot;Josefina Amanda&quot;,&quot;parse-names&quot;:false,&quot;dropping-particle&quot;:&quot;&quot;,&quot;non-dropping-particle&quot;:&quot;&quot;},{&quot;family&quot;:&quot;Meneses-La-Riva&quot;,&quot;given&quot;:&quot;Monica Elisa&quot;,&quot;parse-names&quot;:false,&quot;dropping-particle&quot;:&quot;&quot;,&quot;non-dropping-particle&quot;:&quot;&quot;},{&quot;family&quot;:&quot;Grijalva-Salazar&quot;,&quot;given&quot;:&quot;Rosario Violeta&quot;,&quot;parse-names&quot;:false,&quot;dropping-particle&quot;:&quot;&quot;,&quot;non-dropping-particle&quot;:&quot;&quot;}],&quot;container-title&quot;:&quot;Academic Journal of Interdisciplinary Studies&quot;,&quot;DOI&quot;:&quot;10.36941/ajis-2024-0082&quot;,&quot;ISSN&quot;:&quot;2281-4612&quot;,&quot;issued&quot;:{&quot;date-parts&quot;:[[2024,5,5]]},&quot;page&quot;:&quot;302&quot;,&quot;abstract&quot;:&quot;&lt;p&gt;The break-even point is a technique for analyzing the relationship between costs, volumes and profits in organizations, which allows their managers to know quickly and economically the minimum units or amounts that their companies must sell in order not to generate losses, thus allowing them to plan their profits. Due to the pandemic caused by the Sars-Cov-2 (COVID-19 virus), virtual teaching became popular, which served as an opportunity for many teachers to start teaching courses; with time, these entrepreneurs paid attention to the importance of the break-even point for making decisions related to the opening of new sections of existing courses, or the implementation of new study programs. The objective of this study was to determine the impact of the break-even point in profit planning in educational institutions in Lima, 2022. The hypothesis was: the break-even point has an impact on profit planning in educational institutions in Lima, 2022. Through a quantitative approach study, applied type, explanatory level, non-experimental and cross-sectional design, data was collected from 91 entrepreneurs who carried out teaching activities on virtual platforms. The results obtained confirmed the influence of the break-even point calculation on profit planning in this context, modeling it with the following formula: profit planning=0.101+0.979 x break-even point.&amp;#13;  &amp;#13; Received: 20 November 2023 / Accepted: 24 April 2024 / Published: 5 May 2024&lt;/p&gt;&quot;,&quot;issue&quot;:&quot;3&quot;,&quot;volume&quot;:&quot;13&quot;,&quot;container-title-short&quot;:&quot;&quot;},&quot;isTemporary&quot;:false}]},{&quot;citationID&quot;:&quot;MENDELEY_CITATION_99491e42-2aa4-486f-89c9-8adeb310f29f&quot;,&quot;properties&quot;:{&quot;noteIndex&quot;:0},&quot;isEdited&quot;:false,&quot;manualOverride&quot;:{&quot;isManuallyOverridden&quot;:true,&quot;citeprocText&quot;:&quot;(Dhalsamant et al., 2025)&quot;,&quot;manualOverrideText&quot;:&quot;Dhalsamant et al., (2025)&quot;},&quot;citationTag&quot;:&quot;MENDELEY_CITATION_v3_eyJjaXRhdGlvbklEIjoiTUVOREVMRVlfQ0lUQVRJT05fOTk0OTFlNDItMmFhNC00ODZmLTg5YzktOGFkZWIzMTBmMjlmIiwicHJvcGVydGllcyI6eyJub3RlSW5kZXgiOjB9LCJpc0VkaXRlZCI6ZmFsc2UsIm1hbnVhbE92ZXJyaWRlIjp7ImlzTWFudWFsbHlPdmVycmlkZGVuIjp0cnVlLCJjaXRlcHJvY1RleHQiOiIoRGhhbHNhbWFudCBldCBhbC4sIDIwMjUpIiwibWFudWFsT3ZlcnJpZGVUZXh0IjoiRGhhbHNhbWFudCBldCBhbC4sICgyMDI1KSJ9LCJjaXRhdGlvbkl0ZW1zIjpbeyJpZCI6ImRjZWMxZjNiLTRkMmMtM2E4ZC04MTcyLTk2NDg5Y2YwZTU2MyIsIml0ZW1EYXRhIjp7InR5cGUiOiJhcnRpY2xlLWpvdXJuYWwiLCJpZCI6ImRjZWMxZjNiLTRkMmMtM2E4ZC04MTcyLTk2NDg5Y2YwZTU2MyIsInRpdGxlIjoiQmlvZGVncmFkYWJsZSBDYXJib2h5ZHJhdGUtQmFzZWQgRmlsbXMgZm9yIFBhY2thZ2luZyBBZ3JpY3VsdHVyYWwgUHJvZHVjdHPigJRBIFJldmlldyIsImF1dGhvciI6W3siZmFtaWx5IjoiRGhhbHNhbWFudCIsImdpdmVuIjoiS3NoYW5hcHJhdmEiLCJwYXJzZS1uYW1lcyI6ZmFsc2UsImRyb3BwaW5nLXBhcnRpY2xlIjoiIiwibm9uLWRyb3BwaW5nLXBhcnRpY2xlIjoiIn0seyJmYW1pbHkiOiJEYWxhaSIsImdpdmVuIjoiQXN1dG9zaCIsInBhcnNlLW5hbWVzIjpmYWxzZSwiZHJvcHBpbmctcGFydGljbGUiOiIiLCJub24tZHJvcHBpbmctcGFydGljbGUiOiIifSx7ImZhbWlseSI6IlBhdHRuYWlrIiwiZ2l2ZW4iOiJGYWxndW5pIiwicGFyc2UtbmFtZXMiOmZhbHNlLCJkcm9wcGluZy1wYXJ0aWNsZSI6IiIsIm5vbi1kcm9wcGluZy1wYXJ0aWNsZSI6IiJ9LHsiZmFtaWx5IjoiQWNoYXJ5YSIsImdpdmVuIjoiQmlzaG51IiwicGFyc2UtbmFtZXMiOmZhbHNlLCJkcm9wcGluZy1wYXJ0aWNsZSI6IiIsIm5vbi1kcm9wcGluZy1wYXJ0aWNsZSI6IiJ9XSwiY29udGFpbmVyLXRpdGxlIjoiUG9seW1lcnMiLCJjb250YWluZXItdGl0bGUtc2hvcnQiOiJQb2x5bWVycyAoQmFzZWwpIiwiRE9JIjoiMTAuMzM5MC9wb2x5bTE3MTAxMzI1IiwiSVNTTiI6IjIwNzMtNDM2MCIsImlzc3VlZCI6eyJkYXRlLXBhcnRzIjpbWzIwMjUsNSwxM11dfSwicGFnZSI6IjEzMjUiLCJhYnN0cmFjdCI6IjxwPkNhcmJvaHlkcmF0ZS1iYXNlZCBiaW9kZWdyYWRhYmxlIGZpbG1zIG9mZmVyIGFuIGVjby1mcmllbmRseSBhbHRlcm5hdGl2ZSB0byBjb252ZW50aW9uYWwgcGV0cm9sZXVtLWRlcml2ZWQgcGFja2FnaW5nIGZvciBhZ3JpY3VsdHVyYWwgY29tbW9kaXRpZXMuIERlcml2ZWQgZnJvbSByZW5ld2FibGUgcG9seXNhY2NoYXJpZGVzIHN1Y2ggYXMgc3RhcmNoLCBjZWxsdWxvc2UsIGNoaXRvc2FuLCBwZWN0aW4sIGFsZ2luYXRlLCBwdWxsdWxhbiwgYW5kIHhhbnRoYW4gZ3VtLCB0aGVzZSBmaWxtcyBleGhpYml0IGZhdm9yYWJsZSBiaW9kZWdyYWRhYmlsaXR5LCBmaWxtLWZvcm1pbmcgYWJpbGl0eSwgYW5kIGNvbXBhdGliaWxpdHkgd2l0aCBmb29kIHN5c3RlbXMuIFRoaXMgcmV2aWV3IHByZXNlbnRzIGEgY29tcHJlaGVuc2l2ZSBhbmFseXNpcyBvZiByZWNlbnQgZGV2ZWxvcG1lbnRzIGluIHRoZSBwcmVwYXJhdGlvbiwgZnVuY3Rpb25hbGl6YXRpb24sIGFuZCBhcHBsaWNhdGlvbiBvZiB0aGVzZSBwb2x5c2FjY2hhcmlkZS1iYXNlZCBmaWxtcyBmb3IgYWdyaWN1bHR1cmFsIHBhY2thZ2luZy4gRW1waGFzaXMgaXMgcGxhY2VkIG9uIGVtZXJnaW5nIGZhYnJpY2F0aW9uIHRlY2huaXF1ZXMsIGluY2x1ZGluZyBlbGVjdHJvc3Bpbm5pbmcsIGV4dHJ1c2lvbiwgYW5kIGxheWVyLWJ5LWxheWVyIGFzc2VtYmx5LCB3aGljaCBoYXZlIHNpZ25pZmljYW50bHkgZW5oYW5jZWQgdGhlIG1lY2hhbmljYWwsIGJhcnJpZXIsIGFuZCBhbnRpbWljcm9iaWFsIHByb3BlcnRpZXMgb2YgdGhlc2UgbWF0ZXJpYWxzLiBGdXJ0aGVybW9yZSwgdGhlIGluY29ycG9yYXRpb24gb2YgYWN0aXZlIGNvbXBvdW5kcyBzdWNoIGFzIGFudGlveGlkYW50cyBhbmQgYW50aW1pY3JvYmlhbHMgaGFzIGltcHJvdmVkIHRoZSBwZXJmb3JtYW5jZSBhbmQgc2hlbGYtbGlmZSBvZiBwYWNrYWdlZCBnb29kcy4gRGVzcGl0ZSBub3RhYmxlIGFkdmFuY2VtZW50cywga2V5IGxpbWl0YXRpb25zIHN1Y2ggYXMgbW9pc3R1cmUgc2Vuc2l0aXZpdHksIHBvb3IgbWVjaGFuaWNhbCBkdXJhYmlsaXR5LCBhbmQgaGlnaCBwcm9kdWN0aW9uIGNvc3RzIHBlcnNpc3QuIFN0cmF0ZWdpZXMgaW5jbHVkaW5nIHBvbHltZXIgYmxlbmRpbmcsIG5hbm9maWxsZXIgaW5jb3Jwb3JhdGlvbiwgYW5kIHN1cmZhY2UgbW9kaWZpY2F0aW9uIGFyZSBleHBsb3JlZCBhcyBwb3RlbnRpYWwgc29sdXRpb25zLiBUaGUgYXBwbGljYWJpbGl0eSBvZiB0aGVzZSBmaWxtcyBpbiBwYWNrYWdpbmcgZnJ1aXRzLCB2ZWdldGFibGVzLCBkYWlyeSwgZ3JhaW5zLCBhbmQgbWVhdCBwcm9kdWN0cyBpcyBhbHNvIGRpc2N1c3NlZC4gQnkgYXNzZXNzaW5nIGN1cnJlbnQgcHJvZ3Jlc3MgYW5kIGZ1dHVyZSBwcm9zcGVjdHMsIHRoaXMgcmV2aWV3IHVuZGVyc2NvcmVzIHRoZSBpbXBvcnRhbmNlIG9mIGNhcmJvaHlkcmF0ZS1iYXNlZCBmaWxtcyBpbiBwcm9tb3Rpbmcgc3VzdGFpbmFibGUgYWdyaWN1bHR1cmFsIHBhY2thZ2luZyBzeXN0ZW1zLCByZWR1Y2luZyBlbnZpcm9ubWVudGFsIGltcGFjdCB0aHJvdWdoIHRoZSBhZHZhbmNlbWVudCBvZiBjaXJjdWxhciBiaW9lY29ub215IHByaW5jaXBsZXMgYW5kIHN1c3RhaW5hYmxlIGRldmVsb3BtZW50LjwvcD4iLCJpc3N1ZSI6IjEwIiwidm9sdW1lIjoiMTcifSwiaXNUZW1wb3JhcnkiOmZhbHNlfV19&quot;,&quot;citationItems&quot;:[{&quot;id&quot;:&quot;dcec1f3b-4d2c-3a8d-8172-96489cf0e563&quot;,&quot;itemData&quot;:{&quot;type&quot;:&quot;article-journal&quot;,&quot;id&quot;:&quot;dcec1f3b-4d2c-3a8d-8172-96489cf0e563&quot;,&quot;title&quot;:&quot;Biodegradable Carbohydrate-Based Films for Packaging Agricultural Products—A Review&quot;,&quot;author&quot;:[{&quot;family&quot;:&quot;Dhalsamant&quot;,&quot;given&quot;:&quot;Kshanaprava&quot;,&quot;parse-names&quot;:false,&quot;dropping-particle&quot;:&quot;&quot;,&quot;non-dropping-particle&quot;:&quot;&quot;},{&quot;family&quot;:&quot;Dalai&quot;,&quot;given&quot;:&quot;Asutosh&quot;,&quot;parse-names&quot;:false,&quot;dropping-particle&quot;:&quot;&quot;,&quot;non-dropping-particle&quot;:&quot;&quot;},{&quot;family&quot;:&quot;Pattnaik&quot;,&quot;given&quot;:&quot;Falguni&quot;,&quot;parse-names&quot;:false,&quot;dropping-particle&quot;:&quot;&quot;,&quot;non-dropping-particle&quot;:&quot;&quot;},{&quot;family&quot;:&quot;Acharya&quot;,&quot;given&quot;:&quot;Bishnu&quot;,&quot;parse-names&quot;:false,&quot;dropping-particle&quot;:&quot;&quot;,&quot;non-dropping-particle&quot;:&quot;&quot;}],&quot;container-title&quot;:&quot;Polymers&quot;,&quot;container-title-short&quot;:&quot;Polymers (Basel)&quot;,&quot;DOI&quot;:&quot;10.3390/polym17101325&quot;,&quot;ISSN&quot;:&quot;2073-4360&quot;,&quot;issued&quot;:{&quot;date-parts&quot;:[[2025,5,13]]},&quot;page&quot;:&quot;1325&quot;,&quot;abstract&quot;:&quot;&lt;p&gt;Carbohydrate-based biodegradable films offer an eco-friendly alternative to conventional petroleum-derived packaging for agricultural commodities. Derived from renewable polysaccharides such as starch, cellulose, chitosan, pectin, alginate, pullulan, and xanthan gum, these films exhibit favorable biodegradability, film-forming ability, and compatibility with food systems. This review presents a comprehensive analysis of recent developments in the preparation, functionalization, and application of these polysaccharide-based films for agricultural packaging. Emphasis is placed on emerging fabrication techniques, including electrospinning, extrusion, and layer-by-layer assembly, which have significantly enhanced the mechanical, barrier, and antimicrobial properties of these materials. Furthermore, the incorporation of active compounds such as antioxidants and antimicrobials has improved the performance and shelf-life of packaged goods. Despite notable advancements, key limitations such as moisture sensitivity, poor mechanical durability, and high production costs persist. Strategies including polymer blending, nanofiller incorporation, and surface modification are explored as potential solutions. The applicability of these films in packaging fruits, vegetables, dairy, grains, and meat products is also discussed. By assessing current progress and future prospects, this review underscores the importance of carbohydrate-based films in promoting sustainable agricultural packaging systems, reducing environmental impact through the advancement of circular bioeconomy principles and sustainable development.&lt;/p&gt;&quot;,&quot;issue&quot;:&quot;10&quot;,&quot;volume&quot;:&quot;17&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B4570-FAC3-4092-A018-29731A4E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16</Pages>
  <Words>3931</Words>
  <Characters>22412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Adsare</dc:creator>
  <cp:keywords/>
  <dc:description/>
  <cp:lastModifiedBy>SDI 1084</cp:lastModifiedBy>
  <cp:revision>19</cp:revision>
  <dcterms:created xsi:type="dcterms:W3CDTF">2025-08-28T16:24:00Z</dcterms:created>
  <dcterms:modified xsi:type="dcterms:W3CDTF">2025-09-17T11:29:00Z</dcterms:modified>
</cp:coreProperties>
</file>