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B49ACB" w14:textId="05811889" w:rsidR="004267E5" w:rsidRDefault="7CC703B8" w:rsidP="003437C4">
      <w:pPr>
        <w:spacing w:after="17" w:line="226" w:lineRule="auto"/>
        <w:rPr>
          <w:rFonts w:ascii="Arial Nova" w:eastAsia="Arial Nova" w:hAnsi="Arial Nova" w:cs="Arial Nova"/>
          <w:color w:val="15BCA4"/>
          <w:sz w:val="20"/>
          <w:szCs w:val="20"/>
        </w:rPr>
      </w:pPr>
      <w:r w:rsidRPr="2045D302">
        <w:rPr>
          <w:rFonts w:ascii="Arial Nova" w:eastAsia="Arial Nova" w:hAnsi="Arial Nova" w:cs="Arial Nova"/>
          <w:b/>
          <w:bCs/>
          <w:color w:val="15BCA4"/>
          <w:sz w:val="20"/>
          <w:szCs w:val="20"/>
        </w:rPr>
        <w:t>Effects of Helicobacter pylori on Gastric Cancer in the Adult Population: A Systematic Review</w:t>
      </w:r>
    </w:p>
    <w:p w14:paraId="5E2FD5B0" w14:textId="3B3701FB" w:rsidR="004267E5" w:rsidRDefault="004267E5" w:rsidP="2045D302">
      <w:pPr>
        <w:spacing w:before="130" w:after="130"/>
        <w:ind w:left="3106" w:hanging="3107"/>
        <w:rPr>
          <w:rFonts w:ascii="Arial Nova" w:eastAsia="Arial Nova" w:hAnsi="Arial Nova" w:cs="Arial Nova"/>
          <w:color w:val="212121"/>
          <w:sz w:val="20"/>
          <w:szCs w:val="20"/>
        </w:rPr>
      </w:pPr>
    </w:p>
    <w:p w14:paraId="4853D512" w14:textId="77777777" w:rsidR="003437C4" w:rsidRDefault="003437C4" w:rsidP="2045D302">
      <w:pPr>
        <w:spacing w:before="130" w:after="130"/>
        <w:ind w:left="3106" w:hanging="3107"/>
        <w:rPr>
          <w:rFonts w:ascii="Arial Nova" w:eastAsia="Arial Nova" w:hAnsi="Arial Nova" w:cs="Arial Nova"/>
          <w:color w:val="212121"/>
          <w:sz w:val="20"/>
          <w:szCs w:val="20"/>
        </w:rPr>
      </w:pPr>
    </w:p>
    <w:p w14:paraId="366EB3D0" w14:textId="3BC21A50" w:rsidR="004267E5" w:rsidRDefault="7E138675" w:rsidP="2045D302">
      <w:pPr>
        <w:spacing w:before="130" w:after="130"/>
        <w:ind w:left="3106" w:hanging="3107"/>
        <w:rPr>
          <w:rFonts w:ascii="Arial Nova" w:eastAsia="Arial Nova" w:hAnsi="Arial Nova" w:cs="Arial Nova"/>
          <w:color w:val="212121"/>
          <w:sz w:val="20"/>
          <w:szCs w:val="20"/>
        </w:rPr>
      </w:pPr>
      <w:r w:rsidRPr="2045D302">
        <w:rPr>
          <w:rFonts w:ascii="Arial Nova" w:eastAsia="Arial Nova" w:hAnsi="Arial Nova" w:cs="Arial Nova"/>
          <w:color w:val="212121"/>
          <w:sz w:val="20"/>
          <w:szCs w:val="20"/>
        </w:rPr>
        <w:t xml:space="preserve"> Abstract</w:t>
      </w:r>
    </w:p>
    <w:p w14:paraId="1087BC70" w14:textId="0A25E29F" w:rsidR="004267E5" w:rsidRDefault="7E138675" w:rsidP="2045D302">
      <w:pPr>
        <w:spacing w:before="130" w:after="130"/>
        <w:rPr>
          <w:rFonts w:ascii="Arial Nova" w:eastAsia="Arial Nova" w:hAnsi="Arial Nova" w:cs="Arial Nova"/>
          <w:color w:val="212121"/>
          <w:sz w:val="20"/>
          <w:szCs w:val="20"/>
        </w:rPr>
      </w:pPr>
      <w:bookmarkStart w:id="0" w:name="_GoBack"/>
      <w:bookmarkEnd w:id="0"/>
      <w:r w:rsidRPr="2045D302">
        <w:rPr>
          <w:rFonts w:ascii="Arial Nova" w:eastAsia="Arial Nova" w:hAnsi="Arial Nova" w:cs="Arial Nova"/>
          <w:color w:val="212121"/>
          <w:sz w:val="20"/>
          <w:szCs w:val="20"/>
        </w:rPr>
        <w:t>Gastric cancer is a malignancy that causes high mortality worldwide. A significant risk for gastric cancer is Helicobacter pylori (H. pylori) infection</w:t>
      </w:r>
      <w:r w:rsidR="18D1A280" w:rsidRPr="2045D302">
        <w:rPr>
          <w:rFonts w:ascii="Arial Nova" w:eastAsia="Arial Nova" w:hAnsi="Arial Nova" w:cs="Arial Nova"/>
          <w:color w:val="212121"/>
          <w:sz w:val="20"/>
          <w:szCs w:val="20"/>
        </w:rPr>
        <w:t xml:space="preserve">. </w:t>
      </w:r>
      <w:r w:rsidR="3F4ECF49" w:rsidRPr="2045D302">
        <w:rPr>
          <w:rFonts w:ascii="Arial Nova" w:eastAsia="Arial Nova" w:hAnsi="Arial Nova" w:cs="Arial Nova"/>
          <w:color w:val="212121"/>
          <w:sz w:val="20"/>
          <w:szCs w:val="20"/>
        </w:rPr>
        <w:t>This review includes</w:t>
      </w:r>
      <w:r w:rsidRPr="2045D302">
        <w:rPr>
          <w:rFonts w:ascii="Arial Nova" w:eastAsia="Arial Nova" w:hAnsi="Arial Nova" w:cs="Arial Nova"/>
          <w:color w:val="212121"/>
          <w:sz w:val="20"/>
          <w:szCs w:val="20"/>
        </w:rPr>
        <w:t xml:space="preserve"> both non-cardia and cardia gastric adenocarcinomas, confirmed</w:t>
      </w:r>
      <w:r w:rsidR="13C2B856" w:rsidRPr="2045D302">
        <w:rPr>
          <w:rFonts w:ascii="Arial Nova" w:eastAsia="Arial Nova" w:hAnsi="Arial Nova" w:cs="Arial Nova"/>
          <w:color w:val="212121"/>
          <w:sz w:val="20"/>
          <w:szCs w:val="20"/>
        </w:rPr>
        <w:t xml:space="preserve"> </w:t>
      </w:r>
      <w:r w:rsidRPr="2045D302">
        <w:rPr>
          <w:rFonts w:ascii="Arial Nova" w:eastAsia="Arial Nova" w:hAnsi="Arial Nova" w:cs="Arial Nova"/>
          <w:color w:val="212121"/>
          <w:sz w:val="20"/>
          <w:szCs w:val="20"/>
        </w:rPr>
        <w:t xml:space="preserve">either clinically or </w:t>
      </w:r>
      <w:proofErr w:type="spellStart"/>
      <w:r w:rsidRPr="2045D302">
        <w:rPr>
          <w:rFonts w:ascii="Arial Nova" w:eastAsia="Arial Nova" w:hAnsi="Arial Nova" w:cs="Arial Nova"/>
          <w:color w:val="212121"/>
          <w:sz w:val="20"/>
          <w:szCs w:val="20"/>
        </w:rPr>
        <w:t>histopathologically</w:t>
      </w:r>
      <w:proofErr w:type="spellEnd"/>
      <w:r w:rsidRPr="2045D302">
        <w:rPr>
          <w:rFonts w:ascii="Arial Nova" w:eastAsia="Arial Nova" w:hAnsi="Arial Nova" w:cs="Arial Nova"/>
          <w:color w:val="212121"/>
          <w:sz w:val="20"/>
          <w:szCs w:val="20"/>
        </w:rPr>
        <w:t xml:space="preserve">, as defined in the included </w:t>
      </w:r>
      <w:r w:rsidR="23812B05" w:rsidRPr="2045D302">
        <w:rPr>
          <w:rFonts w:ascii="Arial Nova" w:eastAsia="Arial Nova" w:hAnsi="Arial Nova" w:cs="Arial Nova"/>
          <w:color w:val="212121"/>
          <w:sz w:val="20"/>
          <w:szCs w:val="20"/>
        </w:rPr>
        <w:t>studies. There</w:t>
      </w:r>
      <w:r w:rsidRPr="2045D302">
        <w:rPr>
          <w:rFonts w:ascii="Arial Nova" w:eastAsia="Arial Nova" w:hAnsi="Arial Nova" w:cs="Arial Nova"/>
          <w:color w:val="212121"/>
          <w:sz w:val="20"/>
          <w:szCs w:val="20"/>
        </w:rPr>
        <w:t xml:space="preserve"> have been proposals for early detection and destruction therapy to minimize</w:t>
      </w:r>
      <w:r w:rsidR="65408959" w:rsidRPr="2045D302">
        <w:rPr>
          <w:rFonts w:ascii="Arial Nova" w:eastAsia="Arial Nova" w:hAnsi="Arial Nova" w:cs="Arial Nova"/>
          <w:color w:val="212121"/>
          <w:sz w:val="20"/>
          <w:szCs w:val="20"/>
        </w:rPr>
        <w:t xml:space="preserve"> </w:t>
      </w:r>
      <w:r w:rsidRPr="2045D302">
        <w:rPr>
          <w:rFonts w:ascii="Arial Nova" w:eastAsia="Arial Nova" w:hAnsi="Arial Nova" w:cs="Arial Nova"/>
          <w:color w:val="212121"/>
          <w:sz w:val="20"/>
          <w:szCs w:val="20"/>
        </w:rPr>
        <w:t>incidence and mortality</w:t>
      </w:r>
      <w:r w:rsidR="0B2DD2E8" w:rsidRPr="2045D302">
        <w:rPr>
          <w:rFonts w:ascii="Arial Nova" w:eastAsia="Arial Nova" w:hAnsi="Arial Nova" w:cs="Arial Nova"/>
          <w:color w:val="212121"/>
          <w:sz w:val="20"/>
          <w:szCs w:val="20"/>
        </w:rPr>
        <w:t>.</w:t>
      </w:r>
    </w:p>
    <w:p w14:paraId="115DDFE1" w14:textId="127416F2" w:rsidR="004267E5" w:rsidRDefault="7E138675" w:rsidP="2045D302">
      <w:pPr>
        <w:spacing w:before="130" w:after="130"/>
        <w:ind w:left="-1"/>
        <w:rPr>
          <w:rFonts w:ascii="Arial Nova" w:eastAsia="Arial Nova" w:hAnsi="Arial Nova" w:cs="Arial Nova"/>
          <w:color w:val="212121"/>
          <w:sz w:val="20"/>
          <w:szCs w:val="20"/>
        </w:rPr>
      </w:pPr>
      <w:r w:rsidRPr="2045D302">
        <w:rPr>
          <w:rFonts w:ascii="Arial Nova" w:eastAsia="Arial Nova" w:hAnsi="Arial Nova" w:cs="Arial Nova"/>
          <w:color w:val="212121"/>
          <w:sz w:val="20"/>
          <w:szCs w:val="20"/>
        </w:rPr>
        <w:t>The presented systematic review was conducted according to the Preferred Reporting Items for Systematic Reviews and Meta-Analyses (PRISMA) 2020 guidelines. The presented systematic review evaluates the association between H. pylori infection, its eradication, and the development of gastric cancer in adults, informed by PRISMA 2020. The searches were conducted on PubMed, Cochrane Library, Google Scholar, and Science Direct from January 2020 to July 2025. The selection criteria included systematic, meta-analyses, randomized controlled trials (RCTs), cohort, or case-control research of adults who have confirmed H. pylori infection and gastric cancer.</w:t>
      </w:r>
      <w:r w:rsidRPr="2045D302">
        <w:rPr>
          <w:rFonts w:ascii="Arial Nova" w:eastAsia="Arial Nova" w:hAnsi="Arial Nova" w:cs="Arial Nova"/>
          <w:sz w:val="20"/>
          <w:szCs w:val="20"/>
        </w:rPr>
        <w:t xml:space="preserve"> </w:t>
      </w:r>
    </w:p>
    <w:p w14:paraId="072C0C6E" w14:textId="513DA39F" w:rsidR="004267E5" w:rsidRDefault="7E138675" w:rsidP="2045D302">
      <w:pPr>
        <w:spacing w:before="139" w:after="139"/>
        <w:rPr>
          <w:rFonts w:ascii="Arial Nova" w:eastAsia="Arial Nova" w:hAnsi="Arial Nova" w:cs="Arial Nova"/>
          <w:sz w:val="20"/>
          <w:szCs w:val="20"/>
        </w:rPr>
      </w:pPr>
      <w:r w:rsidRPr="2045D302">
        <w:rPr>
          <w:rFonts w:ascii="Arial Nova" w:eastAsia="Arial Nova" w:hAnsi="Arial Nova" w:cs="Arial Nova"/>
          <w:color w:val="212121"/>
          <w:sz w:val="20"/>
          <w:szCs w:val="20"/>
        </w:rPr>
        <w:t xml:space="preserve">Thirty-two studies were found that satisfied the eligibility criteria, including four RCTs, one </w:t>
      </w:r>
      <w:proofErr w:type="spellStart"/>
      <w:r w:rsidRPr="2045D302">
        <w:rPr>
          <w:rFonts w:ascii="Arial Nova" w:eastAsia="Arial Nova" w:hAnsi="Arial Nova" w:cs="Arial Nova"/>
          <w:color w:val="212121"/>
          <w:sz w:val="20"/>
          <w:szCs w:val="20"/>
        </w:rPr>
        <w:t>quasiexperimental</w:t>
      </w:r>
      <w:proofErr w:type="spellEnd"/>
      <w:r w:rsidRPr="2045D302">
        <w:rPr>
          <w:rFonts w:ascii="Arial Nova" w:eastAsia="Arial Nova" w:hAnsi="Arial Nova" w:cs="Arial Nova"/>
          <w:color w:val="212121"/>
          <w:sz w:val="20"/>
          <w:szCs w:val="20"/>
        </w:rPr>
        <w:t xml:space="preserve"> study, three reviews with meta-analysis, and 24 observational studies out of 551 records identified. Exclusion criteria included pediatric populations, studies limited to non-malignant outcomes (e.g., gastritis and peptic ulcer disease), narrative reviews, editorials, commentaries, abstracts, and nonhuman/in vitro studies. Studies have been done mostly in East Asia and Latin America. Meta-analysis showed a 40-55% reduction in gastric cancer incidence with eradication therapy, particularly in an early stage of disease or precancerous polyps. Gastric precancerous lesions (intestinal metaplasia, dysplasia) or early gastric carcinoma are sometimes described as precancerous polyps. There was a residual risk, which presumably arose due to ongoing inflammation, alterations in microbiome, and/or genetic susceptibility.</w:t>
      </w:r>
      <w:r w:rsidRPr="2045D302">
        <w:rPr>
          <w:rFonts w:ascii="Arial Nova" w:eastAsia="Arial Nova" w:hAnsi="Arial Nova" w:cs="Arial Nova"/>
          <w:sz w:val="20"/>
          <w:szCs w:val="20"/>
        </w:rPr>
        <w:t xml:space="preserve"> </w:t>
      </w:r>
    </w:p>
    <w:p w14:paraId="2D8F39D1" w14:textId="79684750" w:rsidR="004267E5" w:rsidRDefault="7E138675" w:rsidP="2045D302">
      <w:pPr>
        <w:spacing w:before="139" w:after="139"/>
        <w:ind w:left="-1"/>
        <w:rPr>
          <w:rFonts w:ascii="Arial Nova" w:eastAsia="Arial Nova" w:hAnsi="Arial Nova" w:cs="Arial Nova"/>
          <w:color w:val="212121"/>
          <w:sz w:val="20"/>
          <w:szCs w:val="20"/>
        </w:rPr>
      </w:pPr>
      <w:r w:rsidRPr="2045D302">
        <w:rPr>
          <w:rFonts w:ascii="Arial Nova" w:eastAsia="Arial Nova" w:hAnsi="Arial Nova" w:cs="Arial Nova"/>
          <w:color w:val="212121"/>
          <w:sz w:val="20"/>
          <w:szCs w:val="20"/>
        </w:rPr>
        <w:t>Detection and elimination of H. pylori at an early stage can minimize the risk of gastric cancer, especially in high-incidence areas. Embarking on national cancer prevention efforts, building in eradication therapy alongside surveillance and microbiome restoration programs, may be the best way to optimize the population benefit.</w:t>
      </w:r>
    </w:p>
    <w:p w14:paraId="5E63F352" w14:textId="66D36323" w:rsidR="004267E5" w:rsidRDefault="004267E5" w:rsidP="2045D302">
      <w:pPr>
        <w:spacing w:after="0"/>
        <w:rPr>
          <w:rFonts w:ascii="Arial Nova" w:eastAsia="Arial Nova" w:hAnsi="Arial Nova" w:cs="Arial Nova"/>
          <w:sz w:val="20"/>
          <w:szCs w:val="20"/>
        </w:rPr>
      </w:pPr>
    </w:p>
    <w:p w14:paraId="09DD08E0" w14:textId="56AA7154" w:rsidR="004267E5" w:rsidRDefault="5CE8EA42" w:rsidP="2045D302">
      <w:pPr>
        <w:spacing w:before="130" w:after="130"/>
        <w:ind w:left="3106" w:hanging="3107"/>
        <w:rPr>
          <w:rFonts w:ascii="Arial Nova" w:eastAsia="Arial Nova" w:hAnsi="Arial Nova" w:cs="Arial Nova"/>
          <w:color w:val="212121"/>
          <w:sz w:val="20"/>
          <w:szCs w:val="20"/>
        </w:rPr>
      </w:pPr>
      <w:r w:rsidRPr="2045D302">
        <w:rPr>
          <w:rFonts w:ascii="Arial Nova" w:eastAsia="Arial Nova" w:hAnsi="Arial Nova" w:cs="Arial Nova"/>
          <w:b/>
          <w:bCs/>
          <w:color w:val="212121"/>
          <w:sz w:val="20"/>
          <w:szCs w:val="20"/>
        </w:rPr>
        <w:t xml:space="preserve">Categories: </w:t>
      </w:r>
      <w:r w:rsidRPr="2045D302">
        <w:rPr>
          <w:rFonts w:ascii="Arial Nova" w:eastAsia="Arial Nova" w:hAnsi="Arial Nova" w:cs="Arial Nova"/>
          <w:color w:val="212121"/>
          <w:sz w:val="20"/>
          <w:szCs w:val="20"/>
        </w:rPr>
        <w:t>Pathology, Internal Medicine, Gastroenterology</w:t>
      </w:r>
    </w:p>
    <w:p w14:paraId="1CA69362" w14:textId="3A6639FE" w:rsidR="004267E5" w:rsidRDefault="5CE8EA42" w:rsidP="2045D302">
      <w:pPr>
        <w:spacing w:before="130" w:after="130"/>
        <w:ind w:left="3106" w:hanging="3107"/>
        <w:rPr>
          <w:rFonts w:ascii="Arial Nova" w:eastAsia="Arial Nova" w:hAnsi="Arial Nova" w:cs="Arial Nova"/>
          <w:color w:val="212121"/>
          <w:sz w:val="20"/>
          <w:szCs w:val="20"/>
        </w:rPr>
      </w:pPr>
      <w:r w:rsidRPr="2045D302">
        <w:rPr>
          <w:rFonts w:ascii="Arial Nova" w:eastAsia="Arial Nova" w:hAnsi="Arial Nova" w:cs="Arial Nova"/>
          <w:b/>
          <w:bCs/>
          <w:color w:val="212121"/>
          <w:sz w:val="20"/>
          <w:szCs w:val="20"/>
        </w:rPr>
        <w:t xml:space="preserve">Keywords: </w:t>
      </w:r>
      <w:r w:rsidRPr="2045D302">
        <w:rPr>
          <w:rFonts w:ascii="Arial Nova" w:eastAsia="Arial Nova" w:hAnsi="Arial Nova" w:cs="Arial Nova"/>
          <w:color w:val="212121"/>
          <w:sz w:val="20"/>
          <w:szCs w:val="20"/>
        </w:rPr>
        <w:t>gastric cancer, eradication therapy, cancer prevention, microbiota, systematic review, helicobacter pylori</w:t>
      </w:r>
    </w:p>
    <w:p w14:paraId="7580732E" w14:textId="2DEEF110" w:rsidR="004267E5" w:rsidRDefault="168A64B5" w:rsidP="2045D302">
      <w:pPr>
        <w:spacing w:before="130" w:after="130"/>
        <w:ind w:left="3106" w:hanging="3107"/>
        <w:rPr>
          <w:rFonts w:ascii="Arial Nova" w:eastAsia="Arial Nova" w:hAnsi="Arial Nova" w:cs="Arial Nova"/>
          <w:color w:val="212121"/>
          <w:sz w:val="20"/>
          <w:szCs w:val="20"/>
        </w:rPr>
      </w:pPr>
      <w:r w:rsidRPr="2045D302">
        <w:rPr>
          <w:rFonts w:ascii="Arial Nova" w:eastAsia="Arial Nova" w:hAnsi="Arial Nova" w:cs="Arial Nova"/>
          <w:color w:val="212121"/>
          <w:sz w:val="20"/>
          <w:szCs w:val="20"/>
        </w:rPr>
        <w:t>Introduction:</w:t>
      </w:r>
    </w:p>
    <w:p w14:paraId="3BE20498" w14:textId="20A15D93" w:rsidR="004267E5" w:rsidRDefault="168A64B5" w:rsidP="2045D302">
      <w:pPr>
        <w:spacing w:before="240" w:after="240"/>
        <w:rPr>
          <w:rFonts w:ascii="Arial Nova" w:eastAsia="Arial Nova" w:hAnsi="Arial Nova" w:cs="Arial Nova"/>
          <w:sz w:val="20"/>
          <w:szCs w:val="20"/>
        </w:rPr>
      </w:pPr>
      <w:r w:rsidRPr="2045D302">
        <w:rPr>
          <w:rFonts w:ascii="Arial Nova" w:eastAsia="Arial Nova" w:hAnsi="Arial Nova" w:cs="Arial Nova"/>
          <w:sz w:val="20"/>
          <w:szCs w:val="20"/>
        </w:rPr>
        <w:t xml:space="preserve">Gastric cancer is considered one of the most concerning health problems in terms of incidence, ranking among the top five cancers worldwide and the fourth leading cause of cancer-related mortality [1]. The majority of cases are adenocarcinomas, which are broadly classified by Lauren into intestinal and diffuse subtypes, each with distinct epidemiological and pathological characteristics [2,3]. Because of the high prevalence of Helicobacter pylori infection and the preventability of related disease, it is necessary to </w:t>
      </w:r>
      <w:r w:rsidRPr="2045D302">
        <w:rPr>
          <w:rFonts w:ascii="Arial Nova" w:eastAsia="Arial Nova" w:hAnsi="Arial Nova" w:cs="Arial Nova"/>
          <w:sz w:val="20"/>
          <w:szCs w:val="20"/>
        </w:rPr>
        <w:lastRenderedPageBreak/>
        <w:t>evaluate recent evidence regarding the role of eradication in gastric cancer prevention. This systematic review was conducted in accordance with the Preferred Reporting Items for Systematic Reviews and Meta-Analyses (PRISMA) 2020 guidelines [4].</w:t>
      </w:r>
    </w:p>
    <w:p w14:paraId="28E1CCF3" w14:textId="0470EB5E" w:rsidR="004267E5" w:rsidRDefault="168A64B5" w:rsidP="2045D302">
      <w:pPr>
        <w:spacing w:before="240" w:after="240"/>
        <w:rPr>
          <w:rFonts w:ascii="Arial Nova" w:eastAsia="Arial Nova" w:hAnsi="Arial Nova" w:cs="Arial Nova"/>
          <w:sz w:val="20"/>
          <w:szCs w:val="20"/>
        </w:rPr>
      </w:pPr>
      <w:r w:rsidRPr="2045D302">
        <w:rPr>
          <w:rFonts w:ascii="Arial Nova" w:eastAsia="Arial Nova" w:hAnsi="Arial Nova" w:cs="Arial Nova"/>
          <w:sz w:val="20"/>
          <w:szCs w:val="20"/>
        </w:rPr>
        <w:t>Globally, infection with H. pylori remains widespread, particularly in developing regions such as East Asia, Latin America, and Africa. Overall prevalence is estimated at approximately 44% of the world’s population, with rates exceeding 70% in some East Asian and Latin American countries, and around 30-40% in Western countries [5,6]. Non-cardia gastric adenocarcinoma is recognized as having a multifactorial pathogenesis, arising from interactions among H. pylori, the host immune response, and environmental factors. Importantly, infection with H. pylori is estimated to account for up to 89% of non-cardia gastric cancer cases [7], underscoring its central role in gastric carcinogenesis.</w:t>
      </w:r>
    </w:p>
    <w:p w14:paraId="73671E28" w14:textId="1BCBB0F0" w:rsidR="004267E5" w:rsidRDefault="168A64B5" w:rsidP="2045D302">
      <w:pPr>
        <w:spacing w:before="240" w:after="240"/>
        <w:rPr>
          <w:rFonts w:ascii="Arial Nova" w:eastAsia="Arial Nova" w:hAnsi="Arial Nova" w:cs="Arial Nova"/>
          <w:sz w:val="20"/>
          <w:szCs w:val="20"/>
        </w:rPr>
      </w:pPr>
      <w:r w:rsidRPr="2045D302">
        <w:rPr>
          <w:rFonts w:ascii="Arial Nova" w:eastAsia="Arial Nova" w:hAnsi="Arial Nova" w:cs="Arial Nova"/>
          <w:sz w:val="20"/>
          <w:szCs w:val="20"/>
        </w:rPr>
        <w:t>The International Agency for Research on Cancer (IARC) has classified H. pylori as a Group I carcinogen, providing conclusive evidence of its causal relationship with gastric cancer development [8]. Taken together, these data highlight the urgent need to assess the most recent findings on eradication therapy and its impact on gastric cancer risk, which is the focus of this review.</w:t>
      </w:r>
    </w:p>
    <w:p w14:paraId="1CF56249" w14:textId="168D95FB" w:rsidR="004267E5" w:rsidRDefault="004267E5" w:rsidP="2045D302">
      <w:pPr>
        <w:spacing w:before="130" w:after="130"/>
        <w:ind w:left="3106" w:hanging="3107"/>
        <w:rPr>
          <w:rFonts w:ascii="Arial Nova" w:eastAsia="Arial Nova" w:hAnsi="Arial Nova" w:cs="Arial Nova"/>
          <w:color w:val="212121"/>
          <w:sz w:val="20"/>
          <w:szCs w:val="20"/>
        </w:rPr>
      </w:pPr>
    </w:p>
    <w:p w14:paraId="6B1AECD7" w14:textId="2806CAB3" w:rsidR="004267E5" w:rsidRDefault="168A64B5" w:rsidP="2045D302">
      <w:pPr>
        <w:spacing w:before="240" w:after="240"/>
        <w:rPr>
          <w:rFonts w:ascii="Arial Nova" w:eastAsia="Arial Nova" w:hAnsi="Arial Nova" w:cs="Arial Nova"/>
          <w:sz w:val="20"/>
          <w:szCs w:val="20"/>
        </w:rPr>
      </w:pPr>
      <w:r w:rsidRPr="2045D302">
        <w:rPr>
          <w:rFonts w:ascii="Arial Nova" w:eastAsia="Arial Nova" w:hAnsi="Arial Nova" w:cs="Arial Nova"/>
          <w:sz w:val="20"/>
          <w:szCs w:val="20"/>
        </w:rPr>
        <w:t>Methods</w:t>
      </w:r>
    </w:p>
    <w:p w14:paraId="416DA097" w14:textId="394EA0C1" w:rsidR="004267E5" w:rsidRDefault="168A64B5" w:rsidP="2045D302">
      <w:pPr>
        <w:spacing w:before="240" w:after="240"/>
        <w:rPr>
          <w:rFonts w:ascii="Arial Nova" w:eastAsia="Arial Nova" w:hAnsi="Arial Nova" w:cs="Arial Nova"/>
          <w:sz w:val="20"/>
          <w:szCs w:val="20"/>
        </w:rPr>
      </w:pPr>
      <w:r w:rsidRPr="2045D302">
        <w:rPr>
          <w:rFonts w:ascii="Arial Nova" w:eastAsia="Arial Nova" w:hAnsi="Arial Nova" w:cs="Arial Nova"/>
          <w:sz w:val="20"/>
          <w:szCs w:val="20"/>
        </w:rPr>
        <w:t xml:space="preserve">This systematic review was conducted according to the PRISMA 2020 guidelines [4]. Articles were included when they investigated populations above the age of 18 years who were diagnosed with H. pylori and later developed gastric cancer. Included studies compared infected versus non-infected or eradicated groups. The primary outcome of concern was the occurrence of gastric cancer, with both cardia and non-cardia forms confirmed clinically or </w:t>
      </w:r>
      <w:proofErr w:type="spellStart"/>
      <w:r w:rsidRPr="2045D302">
        <w:rPr>
          <w:rFonts w:ascii="Arial Nova" w:eastAsia="Arial Nova" w:hAnsi="Arial Nova" w:cs="Arial Nova"/>
          <w:sz w:val="20"/>
          <w:szCs w:val="20"/>
        </w:rPr>
        <w:t>histopathologically</w:t>
      </w:r>
      <w:proofErr w:type="spellEnd"/>
      <w:r w:rsidRPr="2045D302">
        <w:rPr>
          <w:rFonts w:ascii="Arial Nova" w:eastAsia="Arial Nova" w:hAnsi="Arial Nova" w:cs="Arial Nova"/>
          <w:sz w:val="20"/>
          <w:szCs w:val="20"/>
        </w:rPr>
        <w:t>.</w:t>
      </w:r>
    </w:p>
    <w:p w14:paraId="06A1DE04" w14:textId="3434620A" w:rsidR="004267E5" w:rsidRDefault="168A64B5" w:rsidP="2045D302">
      <w:pPr>
        <w:spacing w:before="240" w:after="240"/>
        <w:rPr>
          <w:rFonts w:ascii="Arial Nova" w:eastAsia="Arial Nova" w:hAnsi="Arial Nova" w:cs="Arial Nova"/>
          <w:sz w:val="20"/>
          <w:szCs w:val="20"/>
        </w:rPr>
      </w:pPr>
      <w:r w:rsidRPr="2045D302">
        <w:rPr>
          <w:rFonts w:ascii="Arial Nova" w:eastAsia="Arial Nova" w:hAnsi="Arial Nova" w:cs="Arial Nova"/>
          <w:sz w:val="20"/>
          <w:szCs w:val="20"/>
        </w:rPr>
        <w:t>Risk of bias was assessed using validated tools: RoB 2 for RCTs [6], Newcastle-Ottawa Scale (NOS) for observational studies [7], AMSTAR 2 for systematic reviews/meta-analyses [5], and JBI for quasi-experimental studies.</w:t>
      </w:r>
    </w:p>
    <w:p w14:paraId="79BB4DDF" w14:textId="4E14B347" w:rsidR="004267E5" w:rsidRDefault="2C5BC1C0" w:rsidP="2045D302">
      <w:pPr>
        <w:spacing w:before="130" w:after="130"/>
        <w:ind w:left="3106" w:hanging="3107"/>
        <w:rPr>
          <w:rFonts w:ascii="Arial Nova" w:eastAsia="Arial Nova" w:hAnsi="Arial Nova" w:cs="Arial Nova"/>
          <w:color w:val="212121"/>
          <w:sz w:val="20"/>
          <w:szCs w:val="20"/>
        </w:rPr>
      </w:pPr>
      <w:r w:rsidRPr="2045D302">
        <w:rPr>
          <w:rFonts w:ascii="Arial Nova" w:eastAsia="Arial Nova" w:hAnsi="Arial Nova" w:cs="Arial Nova"/>
          <w:sz w:val="20"/>
          <w:szCs w:val="20"/>
        </w:rPr>
        <w:t>Eligibility Criteria</w:t>
      </w:r>
    </w:p>
    <w:p w14:paraId="6896B3D4" w14:textId="0E4B649A" w:rsidR="004267E5" w:rsidRDefault="2C5BC1C0" w:rsidP="2045D302">
      <w:pPr>
        <w:spacing w:before="240" w:after="240"/>
        <w:rPr>
          <w:rFonts w:ascii="Arial Nova" w:eastAsia="Arial Nova" w:hAnsi="Arial Nova" w:cs="Arial Nova"/>
          <w:sz w:val="20"/>
          <w:szCs w:val="20"/>
        </w:rPr>
      </w:pPr>
      <w:r w:rsidRPr="2045D302">
        <w:rPr>
          <w:rFonts w:ascii="Arial Nova" w:eastAsia="Arial Nova" w:hAnsi="Arial Nova" w:cs="Arial Nova"/>
          <w:sz w:val="20"/>
          <w:szCs w:val="20"/>
        </w:rPr>
        <w:t xml:space="preserve">Articles were included in this systematic review when they researched populations above the age of 18 years who were diagnosed with H. pylori, and how they developed the condition of gastric cancer afterward. Included studies met the following eligibility criteria: Having involved a comparison of people with H. pylori infection with people not infected with it or those who had been treated with eradication therapy. The primary outcome of concern is the occurrence of gastric cancer with both cardia and non-cardia forms, clinically or </w:t>
      </w:r>
      <w:proofErr w:type="spellStart"/>
      <w:r w:rsidRPr="2045D302">
        <w:rPr>
          <w:rFonts w:ascii="Arial Nova" w:eastAsia="Arial Nova" w:hAnsi="Arial Nova" w:cs="Arial Nova"/>
          <w:sz w:val="20"/>
          <w:szCs w:val="20"/>
        </w:rPr>
        <w:t>histopathologically</w:t>
      </w:r>
      <w:proofErr w:type="spellEnd"/>
      <w:r w:rsidRPr="2045D302">
        <w:rPr>
          <w:rFonts w:ascii="Arial Nova" w:eastAsia="Arial Nova" w:hAnsi="Arial Nova" w:cs="Arial Nova"/>
          <w:sz w:val="20"/>
          <w:szCs w:val="20"/>
        </w:rPr>
        <w:t xml:space="preserve"> confirmed incidence of the mentioned types. The included studies primarily evaluated gastric adenocarcinoma, including both intestinal and diffuse histological subtypes. Some studies also included patients with precancerous lesions (intestinal metaplasia and dysplasia) as part of ‘early gastric cancer.’ No studies included non-epithelial gastric tumors. Diagnosis was established via endoscopic biopsy with histopathology, complemented in some studies by clinical features and imaging consistent with malignancy. We considered systematic reviews, meta-analyses, RCT (randomized controlled trial), cohort study, and case-control study (search conducted between January 1, 2020, and July 2025). Only the articles that appeared in the English language and were included in PubMed, Google Scholar, or the Cochrane Library were taken into consideration. The studies were </w:t>
      </w:r>
      <w:r w:rsidRPr="2045D302">
        <w:rPr>
          <w:rFonts w:ascii="Arial Nova" w:eastAsia="Arial Nova" w:hAnsi="Arial Nova" w:cs="Arial Nova"/>
          <w:sz w:val="20"/>
          <w:szCs w:val="20"/>
        </w:rPr>
        <w:lastRenderedPageBreak/>
        <w:t>eliminated when their study population was limited to children, their outcomes analyzed were only non-malignant (gastritis or peptic ulcer disease), when they did not have well-defined outcome measures in terms of gastric cancer, and when they were narrative reviews, editorials, commentaries, abstracts of conferences, or non-human and in vitro studies. Moreover, research studies presented in languages other than English were omitted.</w:t>
      </w:r>
    </w:p>
    <w:p w14:paraId="37A4C8A7" w14:textId="3DE38FF6" w:rsidR="004267E5" w:rsidRDefault="2C5BC1C0" w:rsidP="2045D302">
      <w:pPr>
        <w:spacing w:before="240" w:after="240"/>
        <w:rPr>
          <w:rFonts w:ascii="Arial Nova" w:eastAsia="Arial Nova" w:hAnsi="Arial Nova" w:cs="Arial Nova"/>
          <w:sz w:val="20"/>
          <w:szCs w:val="20"/>
        </w:rPr>
      </w:pPr>
      <w:r w:rsidRPr="2045D302">
        <w:rPr>
          <w:rFonts w:ascii="Arial Nova" w:eastAsia="Arial Nova" w:hAnsi="Arial Nova" w:cs="Arial Nova"/>
          <w:sz w:val="20"/>
          <w:szCs w:val="20"/>
        </w:rPr>
        <w:t>Databases and Search Strategy</w:t>
      </w:r>
    </w:p>
    <w:p w14:paraId="79796C2C" w14:textId="7C4A5BB8" w:rsidR="004267E5" w:rsidRDefault="2C5BC1C0" w:rsidP="2045D302">
      <w:pPr>
        <w:spacing w:before="240" w:after="240"/>
        <w:rPr>
          <w:rFonts w:ascii="Arial Nova" w:eastAsia="Arial Nova" w:hAnsi="Arial Nova" w:cs="Arial Nova"/>
          <w:sz w:val="20"/>
          <w:szCs w:val="20"/>
        </w:rPr>
      </w:pPr>
      <w:r w:rsidRPr="2045D302">
        <w:rPr>
          <w:rFonts w:ascii="Arial Nova" w:eastAsia="Arial Nova" w:hAnsi="Arial Nova" w:cs="Arial Nova"/>
          <w:sz w:val="20"/>
          <w:szCs w:val="20"/>
        </w:rPr>
        <w:t>An extensive literature search was conducted to identify relevant publications that have previously been done on the relationship between H. pylori infection and the emergence of gastric cancer in the adult population. The systematic search of the electronic databases PubMed, Google Scholar (PMC), and the Cochrane Library was conducted in articles published between January 1, 2020, and July 10, 2025. The search method was a mixture of controlled vocabulary, such as MeSH terms and free-text keywords, combined with Boolean operators. Combining variations of the following search terms, the search was conducted: “Helicobacter pylori”, “H. pylori”, “gastric cancer”, “stomach neoplasms”, “gastric adenocarcinoma”, “eradication”, “cancer risk”, and “systematic review”. The filters included human subjects aged 18 years and above and studies written in the English language. Relevant reviews and reference lists of the included articles were also hand-searched to find possible additional studies that are compatible with the eligibility criteria. The PRISMA-S (Preferred Reporting Items for Systematic reviews and Meta-Analyses - Search) framework provided the search strategy used to ensure that the search procedure was transparent and could be repeated.</w:t>
      </w:r>
    </w:p>
    <w:p w14:paraId="6924F6AD" w14:textId="7209725D" w:rsidR="004267E5" w:rsidRDefault="2C5BC1C0" w:rsidP="2045D302">
      <w:pPr>
        <w:spacing w:before="240" w:after="240"/>
        <w:rPr>
          <w:rFonts w:ascii="Arial Nova" w:eastAsia="Arial Nova" w:hAnsi="Arial Nova" w:cs="Arial Nova"/>
          <w:sz w:val="20"/>
          <w:szCs w:val="20"/>
        </w:rPr>
      </w:pPr>
      <w:r w:rsidRPr="2045D302">
        <w:rPr>
          <w:rFonts w:ascii="Arial Nova" w:eastAsia="Arial Nova" w:hAnsi="Arial Nova" w:cs="Arial Nova"/>
          <w:sz w:val="20"/>
          <w:szCs w:val="20"/>
        </w:rPr>
        <w:t>Risk of Bias of the Individual Studies</w:t>
      </w:r>
    </w:p>
    <w:p w14:paraId="4FE3370B" w14:textId="0DACF31A" w:rsidR="004267E5" w:rsidRDefault="2C5BC1C0" w:rsidP="2045D302">
      <w:pPr>
        <w:spacing w:before="240" w:after="240"/>
        <w:rPr>
          <w:rFonts w:ascii="Arial Nova" w:eastAsia="Arial Nova" w:hAnsi="Arial Nova" w:cs="Arial Nova"/>
          <w:sz w:val="20"/>
          <w:szCs w:val="20"/>
        </w:rPr>
      </w:pPr>
      <w:r w:rsidRPr="2045D302">
        <w:rPr>
          <w:rFonts w:ascii="Arial Nova" w:eastAsia="Arial Nova" w:hAnsi="Arial Nova" w:cs="Arial Nova"/>
          <w:sz w:val="20"/>
          <w:szCs w:val="20"/>
        </w:rPr>
        <w:t>All full-text articles were evaluated in terms of methodological quality and risk of bias using the tools specific to a study type. In cases of randomized controlled trials (RCTs), the Cochrane Collaboration Risk of Bias Tool (CCRBT) was used, which focuses on seven domains, namely, random sequence generation, allocation concealment, blinding, incomplete outcome data, selective outcome reporting, and others [7]. Regarding cohort and case-control studies, the Newcastle-Ottawa Scale (NOS) was used, which deals with selection, comparability, and outcome assessment. In the case of quasi-experimental and observational studies, the Joanna Briggs Institute (JBI) Critical Appraisal Check. Regarding cohort and case-control studies, the Newcastle-Ottawa Scale (NOS) was used, which deals with selection, comparability, and outcome assessment. In the case of quasi-experimental and observational studies, the Joanna Briggs Institute (JBI) Critical Appraisal Checklist was used [6]. The solution included the Assessment of Multiple Systematic Reviews 2 (AMSTAR 2), which was used to appraise systematic reviews and meta-analyses [7]. The narrative reviews were evaluated through the SANRA 2. The criteria of interpretation as well as scoring differed with each of the tools. A tool was considered acceptable if it received a score of at least 70% of the total marks, which was a satisfactory result. To better illustrate, in assessed studies based on CCRBT, seven main bias areas were tested, and studies with a score of 5 and above out of a possible 7 were acceptable. In general, this multi-tool strategy provided the reckoning of the internal validity in various types of studies involved in the review, with a similar view of consistency and rigor.</w:t>
      </w:r>
    </w:p>
    <w:p w14:paraId="631F01E9" w14:textId="408BA3DF" w:rsidR="004267E5" w:rsidRDefault="2C5BC1C0" w:rsidP="2045D302">
      <w:pPr>
        <w:spacing w:before="240" w:after="240"/>
        <w:rPr>
          <w:rFonts w:ascii="Arial Nova" w:eastAsia="Arial Nova" w:hAnsi="Arial Nova" w:cs="Arial Nova"/>
          <w:sz w:val="20"/>
          <w:szCs w:val="20"/>
        </w:rPr>
      </w:pPr>
      <w:r w:rsidRPr="2045D302">
        <w:rPr>
          <w:rFonts w:ascii="Arial Nova" w:eastAsia="Arial Nova" w:hAnsi="Arial Nova" w:cs="Arial Nova"/>
          <w:sz w:val="20"/>
          <w:szCs w:val="20"/>
        </w:rPr>
        <w:t>Data Collection and Analysis</w:t>
      </w:r>
    </w:p>
    <w:p w14:paraId="6794E44D" w14:textId="20757333" w:rsidR="004267E5" w:rsidRDefault="2C5BC1C0" w:rsidP="2045D302">
      <w:pPr>
        <w:spacing w:before="240" w:after="240"/>
        <w:rPr>
          <w:rFonts w:ascii="Arial Nova" w:eastAsia="Arial Nova" w:hAnsi="Arial Nova" w:cs="Arial Nova"/>
          <w:sz w:val="20"/>
          <w:szCs w:val="20"/>
        </w:rPr>
      </w:pPr>
      <w:r w:rsidRPr="2045D302">
        <w:rPr>
          <w:rFonts w:ascii="Arial Nova" w:eastAsia="Arial Nova" w:hAnsi="Arial Nova" w:cs="Arial Nova"/>
          <w:sz w:val="20"/>
          <w:szCs w:val="20"/>
        </w:rPr>
        <w:t xml:space="preserve">What is to be collected, what data points to consider, and how it is to be analyzed: This systematic review was not based on meta-analysis since it was prone to variation in study design and interventions, </w:t>
      </w:r>
      <w:r w:rsidRPr="2045D302">
        <w:rPr>
          <w:rFonts w:ascii="Arial Nova" w:eastAsia="Arial Nova" w:hAnsi="Arial Nova" w:cs="Arial Nova"/>
          <w:sz w:val="20"/>
          <w:szCs w:val="20"/>
        </w:rPr>
        <w:lastRenderedPageBreak/>
        <w:t xml:space="preserve">participant demography, outcome measures together with interventions. These differences can collectively be </w:t>
      </w:r>
      <w:proofErr w:type="spellStart"/>
      <w:r w:rsidRPr="2045D302">
        <w:rPr>
          <w:rFonts w:ascii="Arial Nova" w:eastAsia="Arial Nova" w:hAnsi="Arial Nova" w:cs="Arial Nova"/>
          <w:sz w:val="20"/>
          <w:szCs w:val="20"/>
        </w:rPr>
        <w:t>summarised</w:t>
      </w:r>
      <w:proofErr w:type="spellEnd"/>
      <w:r w:rsidRPr="2045D302">
        <w:rPr>
          <w:rFonts w:ascii="Arial Nova" w:eastAsia="Arial Nova" w:hAnsi="Arial Nova" w:cs="Arial Nova"/>
          <w:sz w:val="20"/>
          <w:szCs w:val="20"/>
        </w:rPr>
        <w:t xml:space="preserve"> as heterogeneity across studies, limiting direct comparability but not detracting from the overall consistent direction of effect. Each of the identified articles was screened and categorized, and listed into two groups: (1) RCTs and observational studies, and (2) systematic reviews and meta-analyses. The information extracted from each study included the following: first author, the year of publication, design of study, focus of the disease, inclusion and exclusion criteria, key findings, and source of funding. Other information, such as diagnostic tools to detect H. pylori, diagnostic tools for cancer, sample size, and sample characteristics, among others, was also captured in clinical and observational studies. The data had been taken and used to compare the effects of H. pylori infection and its clearance on the presence of gastric cancer in different populations [5-10].</w:t>
      </w:r>
    </w:p>
    <w:p w14:paraId="69092EB4" w14:textId="71A52DBC" w:rsidR="004267E5" w:rsidRDefault="2C5BC1C0" w:rsidP="2045D302">
      <w:pPr>
        <w:spacing w:before="240" w:after="240"/>
        <w:rPr>
          <w:rFonts w:ascii="Arial Nova" w:eastAsia="Arial Nova" w:hAnsi="Arial Nova" w:cs="Arial Nova"/>
          <w:sz w:val="20"/>
          <w:szCs w:val="20"/>
        </w:rPr>
      </w:pPr>
      <w:r w:rsidRPr="2045D302">
        <w:rPr>
          <w:rFonts w:ascii="Arial Nova" w:eastAsia="Arial Nova" w:hAnsi="Arial Nova" w:cs="Arial Nova"/>
          <w:sz w:val="20"/>
          <w:szCs w:val="20"/>
        </w:rPr>
        <w:t>Outcome Assessment</w:t>
      </w:r>
    </w:p>
    <w:p w14:paraId="7F0569A3" w14:textId="7F28C8DC" w:rsidR="004267E5" w:rsidRDefault="2C5BC1C0" w:rsidP="2045D302">
      <w:pPr>
        <w:spacing w:before="240" w:after="240"/>
        <w:rPr>
          <w:rFonts w:ascii="Arial Nova" w:eastAsia="Arial Nova" w:hAnsi="Arial Nova" w:cs="Arial Nova"/>
          <w:sz w:val="20"/>
          <w:szCs w:val="20"/>
        </w:rPr>
      </w:pPr>
      <w:r w:rsidRPr="2045D302">
        <w:rPr>
          <w:rFonts w:ascii="Arial Nova" w:eastAsia="Arial Nova" w:hAnsi="Arial Nova" w:cs="Arial Nova"/>
          <w:sz w:val="20"/>
          <w:szCs w:val="20"/>
        </w:rPr>
        <w:t>The assessment of outcomes was done on the basis of the development of gastric cancer by the participants after contracting H. pylori infection or after its eradication. The studies were categorized by the type of study design and the population in which the study was conducted, such as a population that had precancerous lesions or a population that excluded them. Positive and negative effects were entertained, including lessened cancer occurrence following eradication treatment or continued danger regardless of the treatment. In the cases where they were available, such outcomes as time to diagnosis, histological cancer subtype, and mortality were recorded. Differences in data extraction and interpretation were harmonized through consensus among the reviewers to come up with accuracy and consistency in the included studies.</w:t>
      </w:r>
    </w:p>
    <w:p w14:paraId="3693AEBB" w14:textId="24046A96" w:rsidR="004267E5" w:rsidRDefault="2C5BC1C0" w:rsidP="2045D302">
      <w:pPr>
        <w:spacing w:before="240" w:after="240"/>
        <w:rPr>
          <w:rFonts w:ascii="Arial Nova" w:eastAsia="Arial Nova" w:hAnsi="Arial Nova" w:cs="Arial Nova"/>
          <w:sz w:val="20"/>
          <w:szCs w:val="20"/>
        </w:rPr>
      </w:pPr>
      <w:r w:rsidRPr="2045D302">
        <w:rPr>
          <w:rFonts w:ascii="Arial Nova" w:eastAsia="Arial Nova" w:hAnsi="Arial Nova" w:cs="Arial Nova"/>
          <w:sz w:val="20"/>
          <w:szCs w:val="20"/>
        </w:rPr>
        <w:t>Results</w:t>
      </w:r>
    </w:p>
    <w:p w14:paraId="599EA804" w14:textId="76CF7701" w:rsidR="004267E5" w:rsidRDefault="2C5BC1C0" w:rsidP="2045D302">
      <w:pPr>
        <w:spacing w:before="240" w:after="240"/>
        <w:rPr>
          <w:rFonts w:ascii="Arial Nova" w:eastAsia="Arial Nova" w:hAnsi="Arial Nova" w:cs="Arial Nova"/>
          <w:sz w:val="20"/>
          <w:szCs w:val="20"/>
        </w:rPr>
      </w:pPr>
      <w:r w:rsidRPr="2045D302">
        <w:rPr>
          <w:rFonts w:ascii="Arial Nova" w:eastAsia="Arial Nova" w:hAnsi="Arial Nova" w:cs="Arial Nova"/>
          <w:sz w:val="20"/>
          <w:szCs w:val="20"/>
        </w:rPr>
        <w:t>After conducting an exhaustive search of the PubMed, PMC, Cochrane Library, and Google Scholar databases between January 2020 and July 2025, 551 records came up. The screening of 500 articles was carried out after the elimination of 51 duplicates. Owing to the inability to meet the inclusion criterion, 440 studies were filtered out using title and abstract screening. A total of 60 articles were reviewed in full-text, 12 of which were eliminated because of their low methodological quality or irrelevance. But eventually, 32 studies, which can be included in the qualitative synthesis, were deemed to fit the eligibility requirements.</w:t>
      </w:r>
    </w:p>
    <w:p w14:paraId="7F7DE121" w14:textId="72D72EB6" w:rsidR="004267E5" w:rsidRDefault="2C5BC1C0" w:rsidP="2045D302">
      <w:pPr>
        <w:spacing w:before="240" w:after="240"/>
        <w:rPr>
          <w:rFonts w:ascii="Arial Nova" w:eastAsia="Arial Nova" w:hAnsi="Arial Nova" w:cs="Arial Nova"/>
          <w:sz w:val="20"/>
          <w:szCs w:val="20"/>
        </w:rPr>
      </w:pPr>
      <w:r w:rsidRPr="2045D302">
        <w:rPr>
          <w:rFonts w:ascii="Arial Nova" w:eastAsia="Arial Nova" w:hAnsi="Arial Nova" w:cs="Arial Nova"/>
          <w:sz w:val="20"/>
          <w:szCs w:val="20"/>
        </w:rPr>
        <w:t>Four of them were RCTs, one quasi-experimental study, three systematic reviews with meta-analyses, and one was a narrative one. In the majority of the studies, East Asia and Latin America were investigated, where the prevalence of Helicobacter pylori is high. The spreading range was therefore intensely wide, implying that the period of follow-up ranged between one year and over a period of one decade. H. pylori diagnostic tests were urea breath tests, stool antigen tests, and histopathology, and gastric cancer was established using clinical and histological modalities.</w:t>
      </w:r>
    </w:p>
    <w:p w14:paraId="0A8D0B2B" w14:textId="4122F890" w:rsidR="004267E5" w:rsidRDefault="2C5BC1C0" w:rsidP="2045D302">
      <w:pPr>
        <w:spacing w:before="240" w:after="240"/>
        <w:rPr>
          <w:rFonts w:ascii="Arial Nova" w:eastAsia="Arial Nova" w:hAnsi="Arial Nova" w:cs="Arial Nova"/>
          <w:sz w:val="20"/>
          <w:szCs w:val="20"/>
        </w:rPr>
      </w:pPr>
      <w:r w:rsidRPr="2045D302">
        <w:rPr>
          <w:rFonts w:ascii="Arial Nova" w:eastAsia="Arial Nova" w:hAnsi="Arial Nova" w:cs="Arial Nova"/>
          <w:sz w:val="20"/>
          <w:szCs w:val="20"/>
        </w:rPr>
        <w:t>Study Selection and Quality Assessment</w:t>
      </w:r>
    </w:p>
    <w:p w14:paraId="3F22B176" w14:textId="7B6DACA5" w:rsidR="004267E5" w:rsidRDefault="2C5BC1C0" w:rsidP="2045D302">
      <w:pPr>
        <w:spacing w:before="240" w:after="240"/>
        <w:rPr>
          <w:rFonts w:ascii="Arial Nova" w:eastAsia="Arial Nova" w:hAnsi="Arial Nova" w:cs="Arial Nova"/>
          <w:sz w:val="20"/>
          <w:szCs w:val="20"/>
        </w:rPr>
      </w:pPr>
      <w:r w:rsidRPr="2045D302">
        <w:rPr>
          <w:rFonts w:ascii="Arial Nova" w:eastAsia="Arial Nova" w:hAnsi="Arial Nova" w:cs="Arial Nova"/>
          <w:sz w:val="20"/>
          <w:szCs w:val="20"/>
        </w:rPr>
        <w:t xml:space="preserve">The initial search resulted in the selection of 551 articles in such databases as PubMed, PMC, Cochrane, and Google Scholar. The number of records available to screen was 500 following the elimination of duplicates and non-relating records by their title. After the title and abstract screening, 24 articles were preselected in accordance with the pre-specified inclusion criteria. The complete texts of such articles were downloaded and read, and six articles were excluded because they did not meet the study protocol requirements. The rest of the studies were also evaluated qualitatively with relevant application tools </w:t>
      </w:r>
      <w:r w:rsidRPr="2045D302">
        <w:rPr>
          <w:rFonts w:ascii="Arial Nova" w:eastAsia="Arial Nova" w:hAnsi="Arial Nova" w:cs="Arial Nova"/>
          <w:sz w:val="20"/>
          <w:szCs w:val="20"/>
        </w:rPr>
        <w:lastRenderedPageBreak/>
        <w:t xml:space="preserve">depending on the design of the study. Studies were received only when they had obtained at least a 70% score on the corresponding appraisal scales. At the end, 32 studies were included in the qualitative synthesis (four RCTs, one </w:t>
      </w:r>
      <w:proofErr w:type="spellStart"/>
      <w:r w:rsidRPr="2045D302">
        <w:rPr>
          <w:rFonts w:ascii="Arial Nova" w:eastAsia="Arial Nova" w:hAnsi="Arial Nova" w:cs="Arial Nova"/>
          <w:sz w:val="20"/>
          <w:szCs w:val="20"/>
        </w:rPr>
        <w:t>quasiexperimental</w:t>
      </w:r>
      <w:proofErr w:type="spellEnd"/>
      <w:r w:rsidRPr="2045D302">
        <w:rPr>
          <w:rFonts w:ascii="Arial Nova" w:eastAsia="Arial Nova" w:hAnsi="Arial Nova" w:cs="Arial Nova"/>
          <w:sz w:val="20"/>
          <w:szCs w:val="20"/>
        </w:rPr>
        <w:t>, three systematic reviews with meta-analyses, and 24 observational). The process of selection is depicted in a PRISMA flow diagram created according to the 2020 edition.</w:t>
      </w:r>
    </w:p>
    <w:p w14:paraId="1C64E204" w14:textId="723462C3" w:rsidR="004267E5" w:rsidRDefault="2C5BC1C0" w:rsidP="2045D302">
      <w:pPr>
        <w:spacing w:before="240" w:after="240"/>
        <w:rPr>
          <w:rFonts w:ascii="Arial Nova" w:eastAsia="Arial Nova" w:hAnsi="Arial Nova" w:cs="Arial Nova"/>
          <w:sz w:val="20"/>
          <w:szCs w:val="20"/>
        </w:rPr>
      </w:pPr>
      <w:r w:rsidRPr="2045D302">
        <w:rPr>
          <w:rFonts w:ascii="Arial Nova" w:eastAsia="Arial Nova" w:hAnsi="Arial Nova" w:cs="Arial Nova"/>
          <w:sz w:val="20"/>
          <w:szCs w:val="20"/>
        </w:rPr>
        <w:t>The study selection process is illustrated in the PRISMA 2020 flowchart (Figure 1).</w:t>
      </w:r>
    </w:p>
    <w:p w14:paraId="0F3692E7" w14:textId="4A0D9D5D" w:rsidR="004267E5" w:rsidRDefault="004267E5" w:rsidP="2045D302">
      <w:pPr>
        <w:spacing w:before="130" w:after="130"/>
        <w:ind w:left="3106" w:hanging="3107"/>
        <w:rPr>
          <w:rFonts w:ascii="Arial Nova" w:eastAsia="Arial Nova" w:hAnsi="Arial Nova" w:cs="Arial Nova"/>
          <w:color w:val="212121"/>
          <w:sz w:val="20"/>
          <w:szCs w:val="20"/>
        </w:rPr>
      </w:pPr>
    </w:p>
    <w:p w14:paraId="173F4860" w14:textId="4DBAC0F9" w:rsidR="004267E5" w:rsidRDefault="004267E5" w:rsidP="2045D302">
      <w:pPr>
        <w:spacing w:before="130" w:after="130"/>
        <w:ind w:left="3106" w:hanging="3107"/>
        <w:rPr>
          <w:rFonts w:ascii="Arial Nova" w:eastAsia="Arial Nova" w:hAnsi="Arial Nova" w:cs="Arial Nova"/>
          <w:color w:val="212121"/>
          <w:sz w:val="20"/>
          <w:szCs w:val="20"/>
        </w:rPr>
      </w:pPr>
    </w:p>
    <w:p w14:paraId="6FEA8499" w14:textId="70169BED" w:rsidR="004267E5" w:rsidRDefault="2ABB52B5" w:rsidP="2045D302">
      <w:pPr>
        <w:spacing w:before="130" w:after="130"/>
        <w:ind w:left="3106" w:hanging="3107"/>
        <w:rPr>
          <w:rFonts w:ascii="Arial Nova" w:eastAsia="Arial Nova" w:hAnsi="Arial Nova" w:cs="Arial Nova"/>
          <w:sz w:val="20"/>
          <w:szCs w:val="20"/>
        </w:rPr>
      </w:pPr>
      <w:r w:rsidRPr="2045D302">
        <w:rPr>
          <w:rFonts w:ascii="Arial Nova" w:eastAsia="Arial Nova" w:hAnsi="Arial Nova" w:cs="Arial Nova"/>
          <w:sz w:val="20"/>
          <w:szCs w:val="20"/>
        </w:rPr>
        <w:lastRenderedPageBreak/>
        <w:t xml:space="preserve">    </w:t>
      </w:r>
      <w:r>
        <w:rPr>
          <w:noProof/>
        </w:rPr>
        <w:drawing>
          <wp:inline distT="0" distB="0" distL="0" distR="0" wp14:anchorId="68F8FA41" wp14:editId="27C1586B">
            <wp:extent cx="5695950" cy="6858000"/>
            <wp:effectExtent l="0" t="0" r="0" b="0"/>
            <wp:docPr id="189930337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303379" name=""/>
                    <pic:cNvPicPr/>
                  </pic:nvPicPr>
                  <pic:blipFill>
                    <a:blip r:embed="rId7">
                      <a:extLst>
                        <a:ext uri="{28A0092B-C50C-407E-A947-70E740481C1C}">
                          <a14:useLocalDpi xmlns:a14="http://schemas.microsoft.com/office/drawing/2010/main" val="0"/>
                        </a:ext>
                      </a:extLst>
                    </a:blip>
                    <a:stretch>
                      <a:fillRect/>
                    </a:stretch>
                  </pic:blipFill>
                  <pic:spPr>
                    <a:xfrm>
                      <a:off x="0" y="0"/>
                      <a:ext cx="5695950" cy="6858000"/>
                    </a:xfrm>
                    <a:prstGeom prst="rect">
                      <a:avLst/>
                    </a:prstGeom>
                  </pic:spPr>
                </pic:pic>
              </a:graphicData>
            </a:graphic>
          </wp:inline>
        </w:drawing>
      </w:r>
    </w:p>
    <w:p w14:paraId="485868B5" w14:textId="1EB95ECE" w:rsidR="004267E5" w:rsidRDefault="02876B97" w:rsidP="2045D302">
      <w:pPr>
        <w:spacing w:before="240" w:after="240"/>
        <w:rPr>
          <w:rFonts w:ascii="Arial Nova" w:eastAsia="Arial Nova" w:hAnsi="Arial Nova" w:cs="Arial Nova"/>
          <w:sz w:val="20"/>
          <w:szCs w:val="20"/>
        </w:rPr>
      </w:pPr>
      <w:r w:rsidRPr="2045D302">
        <w:rPr>
          <w:rFonts w:ascii="Arial Nova" w:eastAsia="Arial Nova" w:hAnsi="Arial Nova" w:cs="Arial Nova"/>
          <w:sz w:val="20"/>
          <w:szCs w:val="20"/>
        </w:rPr>
        <w:t xml:space="preserve">Figure 1: PRISMA 2020 diagram for systematic reviews. </w:t>
      </w:r>
    </w:p>
    <w:p w14:paraId="1E607D2E" w14:textId="706A316A" w:rsidR="004267E5" w:rsidRDefault="02876B97" w:rsidP="2045D302">
      <w:pPr>
        <w:spacing w:before="240" w:after="240"/>
        <w:rPr>
          <w:rFonts w:ascii="Arial Nova" w:eastAsia="Arial Nova" w:hAnsi="Arial Nova" w:cs="Arial Nova"/>
          <w:sz w:val="20"/>
          <w:szCs w:val="20"/>
        </w:rPr>
      </w:pPr>
      <w:r w:rsidRPr="2045D302">
        <w:rPr>
          <w:rFonts w:ascii="Arial Nova" w:eastAsia="Arial Nova" w:hAnsi="Arial Nova" w:cs="Arial Nova"/>
          <w:sz w:val="20"/>
          <w:szCs w:val="20"/>
        </w:rPr>
        <w:t>Records identified: Total number of studies found through database searches before screening.</w:t>
      </w:r>
    </w:p>
    <w:p w14:paraId="054B2759" w14:textId="190F5F76" w:rsidR="004267E5" w:rsidRDefault="02876B97" w:rsidP="2045D302">
      <w:pPr>
        <w:spacing w:before="240" w:after="240"/>
        <w:rPr>
          <w:rFonts w:ascii="Arial Nova" w:eastAsia="Arial Nova" w:hAnsi="Arial Nova" w:cs="Arial Nova"/>
          <w:sz w:val="20"/>
          <w:szCs w:val="20"/>
        </w:rPr>
      </w:pPr>
      <w:r w:rsidRPr="2045D302">
        <w:rPr>
          <w:rFonts w:ascii="Arial Nova" w:eastAsia="Arial Nova" w:hAnsi="Arial Nova" w:cs="Arial Nova"/>
          <w:sz w:val="20"/>
          <w:szCs w:val="20"/>
        </w:rPr>
        <w:t>Duplicate records removed: Studies found more than once across databases and removed before screening.</w:t>
      </w:r>
    </w:p>
    <w:p w14:paraId="168BC199" w14:textId="76B261D5" w:rsidR="004267E5" w:rsidRDefault="02876B97" w:rsidP="2045D302">
      <w:pPr>
        <w:spacing w:before="240" w:after="240"/>
        <w:rPr>
          <w:rFonts w:ascii="Arial Nova" w:eastAsia="Arial Nova" w:hAnsi="Arial Nova" w:cs="Arial Nova"/>
          <w:sz w:val="20"/>
          <w:szCs w:val="20"/>
        </w:rPr>
      </w:pPr>
      <w:r w:rsidRPr="2045D302">
        <w:rPr>
          <w:rFonts w:ascii="Arial Nova" w:eastAsia="Arial Nova" w:hAnsi="Arial Nova" w:cs="Arial Nova"/>
          <w:sz w:val="20"/>
          <w:szCs w:val="20"/>
        </w:rPr>
        <w:lastRenderedPageBreak/>
        <w:t>Records marked as ineligible by automation: Automatically excluded by software due to mismatched criteria.</w:t>
      </w:r>
    </w:p>
    <w:p w14:paraId="4A12DC34" w14:textId="5AAFE3DC" w:rsidR="004267E5" w:rsidRDefault="02876B97" w:rsidP="2045D302">
      <w:pPr>
        <w:spacing w:before="240" w:after="240"/>
        <w:rPr>
          <w:rFonts w:ascii="Arial Nova" w:eastAsia="Arial Nova" w:hAnsi="Arial Nova" w:cs="Arial Nova"/>
          <w:sz w:val="20"/>
          <w:szCs w:val="20"/>
        </w:rPr>
      </w:pPr>
      <w:r w:rsidRPr="2045D302">
        <w:rPr>
          <w:rFonts w:ascii="Arial Nova" w:eastAsia="Arial Nova" w:hAnsi="Arial Nova" w:cs="Arial Nova"/>
          <w:sz w:val="20"/>
          <w:szCs w:val="20"/>
        </w:rPr>
        <w:t>Records screened: Number of studies reviewed at the title/abstract level.</w:t>
      </w:r>
    </w:p>
    <w:p w14:paraId="651B54EE" w14:textId="33BB476D" w:rsidR="004267E5" w:rsidRDefault="02876B97" w:rsidP="2045D302">
      <w:pPr>
        <w:spacing w:before="240" w:after="240"/>
        <w:rPr>
          <w:rFonts w:ascii="Arial Nova" w:eastAsia="Arial Nova" w:hAnsi="Arial Nova" w:cs="Arial Nova"/>
          <w:sz w:val="20"/>
          <w:szCs w:val="20"/>
        </w:rPr>
      </w:pPr>
      <w:r w:rsidRPr="2045D302">
        <w:rPr>
          <w:rFonts w:ascii="Arial Nova" w:eastAsia="Arial Nova" w:hAnsi="Arial Nova" w:cs="Arial Nova"/>
          <w:sz w:val="20"/>
          <w:szCs w:val="20"/>
        </w:rPr>
        <w:t>Records excluded: Studies that did not meet the inclusion criteria during screening.</w:t>
      </w:r>
    </w:p>
    <w:p w14:paraId="41AF333D" w14:textId="73864C13" w:rsidR="004267E5" w:rsidRDefault="02876B97" w:rsidP="2045D302">
      <w:pPr>
        <w:spacing w:before="240" w:after="240"/>
        <w:rPr>
          <w:rFonts w:ascii="Arial Nova" w:eastAsia="Arial Nova" w:hAnsi="Arial Nova" w:cs="Arial Nova"/>
          <w:sz w:val="20"/>
          <w:szCs w:val="20"/>
        </w:rPr>
      </w:pPr>
      <w:r w:rsidRPr="2045D302">
        <w:rPr>
          <w:rFonts w:ascii="Arial Nova" w:eastAsia="Arial Nova" w:hAnsi="Arial Nova" w:cs="Arial Nova"/>
          <w:sz w:val="20"/>
          <w:szCs w:val="20"/>
        </w:rPr>
        <w:t>Reports assessed for eligibility: Full-text articles reviewed in detail against inclusion criteria.</w:t>
      </w:r>
    </w:p>
    <w:p w14:paraId="545E3558" w14:textId="05A29D09" w:rsidR="004267E5" w:rsidRDefault="02876B97" w:rsidP="2045D302">
      <w:pPr>
        <w:spacing w:before="240" w:after="240"/>
        <w:rPr>
          <w:rFonts w:ascii="Arial Nova" w:eastAsia="Arial Nova" w:hAnsi="Arial Nova" w:cs="Arial Nova"/>
          <w:sz w:val="20"/>
          <w:szCs w:val="20"/>
        </w:rPr>
      </w:pPr>
      <w:r w:rsidRPr="2045D302">
        <w:rPr>
          <w:rFonts w:ascii="Arial Nova" w:eastAsia="Arial Nova" w:hAnsi="Arial Nova" w:cs="Arial Nova"/>
          <w:sz w:val="20"/>
          <w:szCs w:val="20"/>
        </w:rPr>
        <w:t>Reports excluded: Studies removed at the eligibility stage, with specific reasons listed (e.g., SANRA, AMSTAR, CCRBT, and NOS).</w:t>
      </w:r>
    </w:p>
    <w:p w14:paraId="0A136459" w14:textId="7419FB71" w:rsidR="004267E5" w:rsidRDefault="02876B97" w:rsidP="2045D302">
      <w:pPr>
        <w:spacing w:before="240" w:after="240"/>
        <w:rPr>
          <w:rFonts w:ascii="Arial Nova" w:eastAsia="Arial Nova" w:hAnsi="Arial Nova" w:cs="Arial Nova"/>
          <w:sz w:val="20"/>
          <w:szCs w:val="20"/>
        </w:rPr>
      </w:pPr>
      <w:r w:rsidRPr="2045D302">
        <w:rPr>
          <w:rFonts w:ascii="Arial Nova" w:eastAsia="Arial Nova" w:hAnsi="Arial Nova" w:cs="Arial Nova"/>
          <w:sz w:val="20"/>
          <w:szCs w:val="20"/>
        </w:rPr>
        <w:t>Studies included in review: Final number of studies meeting all criteria and included in qualitative synthesis.</w:t>
      </w:r>
    </w:p>
    <w:p w14:paraId="5A55D1D6" w14:textId="3A00BA3D" w:rsidR="004267E5" w:rsidRDefault="02876B97" w:rsidP="2045D302">
      <w:pPr>
        <w:spacing w:before="240" w:after="240"/>
        <w:rPr>
          <w:rFonts w:ascii="Arial Nova" w:eastAsia="Arial Nova" w:hAnsi="Arial Nova" w:cs="Arial Nova"/>
          <w:sz w:val="20"/>
          <w:szCs w:val="20"/>
        </w:rPr>
      </w:pPr>
      <w:r w:rsidRPr="2045D302">
        <w:rPr>
          <w:rFonts w:ascii="Arial Nova" w:eastAsia="Arial Nova" w:hAnsi="Arial Nova" w:cs="Arial Nova"/>
          <w:sz w:val="20"/>
          <w:szCs w:val="20"/>
        </w:rPr>
        <w:t>PRISMA: Preferred Reporting Items for Systematic Reviews and Meta-Analyses; PMC: PubMed Central; SANRA: Scale for the Assessment of Narrative Review Articles; AMSTAR: Assessment of Multiple Systematic Reviews; CCRBT: Cochrane Collaboration Risk of Bias Tool; NOS: Newcastle-Ottawa Scale.</w:t>
      </w:r>
    </w:p>
    <w:p w14:paraId="67B12BD1" w14:textId="283408B5" w:rsidR="004267E5" w:rsidRDefault="004267E5" w:rsidP="2045D302">
      <w:pPr>
        <w:spacing w:after="0"/>
        <w:rPr>
          <w:rFonts w:ascii="Arial Nova" w:eastAsia="Arial Nova" w:hAnsi="Arial Nova" w:cs="Arial Nova"/>
          <w:sz w:val="20"/>
          <w:szCs w:val="20"/>
        </w:rPr>
      </w:pPr>
    </w:p>
    <w:p w14:paraId="64478362" w14:textId="1972EEC2" w:rsidR="004267E5" w:rsidRDefault="49B087C2" w:rsidP="2045D302">
      <w:pPr>
        <w:spacing w:before="240" w:after="240"/>
        <w:rPr>
          <w:rFonts w:ascii="Arial Nova" w:eastAsia="Arial Nova" w:hAnsi="Arial Nova" w:cs="Arial Nova"/>
          <w:sz w:val="20"/>
          <w:szCs w:val="20"/>
        </w:rPr>
      </w:pPr>
      <w:r w:rsidRPr="2045D302">
        <w:rPr>
          <w:rFonts w:ascii="Arial Nova" w:eastAsia="Arial Nova" w:hAnsi="Arial Nova" w:cs="Arial Nova"/>
          <w:sz w:val="20"/>
          <w:szCs w:val="20"/>
        </w:rPr>
        <w:t>A total of 551 records were identified through database searches. After removing 51 duplicates, 500 records remained for screening. Of these, 440 were excluded following title and abstract review. Sixty full-text articles were then assessed for eligibility, resulting in the exclusion of 12 studies that did not meet the inclusion criteria. Ultimately, 32 studies were included in the qualitative synthesis (Figure 1). Study Characteristics A total of 32 studies met the inclusion criteria and were published between 2020 and 2025. The characteristics of these studies, including design, population, diagnostic methods, and follow-up periods, are summarized in Table 1. These studies were in the form of randomized trials, cohort studies, and systematic reviews with populations of adults having confirmed H. pylori infection. The majority of them took place in Asia and Latin America. The range of sample sizes was broad, and active periods of follow-ups ranged between one and more than 10 years. Urea breath tests, stool antigen tests, and histology were used as methods of diagnosis. The results of gastric cancer were clinically or histologically validated, and some of the studies involved subgroup analysis based on age or type of cancer.</w:t>
      </w:r>
    </w:p>
    <w:p w14:paraId="3C15230D" w14:textId="09DEBCD0" w:rsidR="004267E5" w:rsidRDefault="49B087C2" w:rsidP="2045D302">
      <w:pPr>
        <w:spacing w:before="240" w:after="240"/>
        <w:rPr>
          <w:rFonts w:ascii="Arial Nova" w:eastAsia="Arial Nova" w:hAnsi="Arial Nova" w:cs="Arial Nova"/>
          <w:sz w:val="20"/>
          <w:szCs w:val="20"/>
        </w:rPr>
      </w:pPr>
      <w:r w:rsidRPr="2045D302">
        <w:rPr>
          <w:rFonts w:ascii="Arial Nova" w:eastAsia="Arial Nova" w:hAnsi="Arial Nova" w:cs="Arial Nova"/>
          <w:sz w:val="20"/>
          <w:szCs w:val="20"/>
        </w:rPr>
        <w:t>The sample size was between 200 subjects and over 100,000, with a follow-up of one year and over 10 years. Urea breath tests, stool antigen testing, serology, and histology were used to confirm that a patient has H. pylori. Clinical and histological confirmation of gastric cancer was attested in all the studies.</w:t>
      </w:r>
    </w:p>
    <w:p w14:paraId="7036F894" w14:textId="4DA48535" w:rsidR="004267E5" w:rsidRDefault="49B087C2" w:rsidP="2045D302">
      <w:pPr>
        <w:spacing w:before="240" w:after="240"/>
        <w:rPr>
          <w:rFonts w:ascii="Arial Nova" w:eastAsia="Arial Nova" w:hAnsi="Arial Nova" w:cs="Arial Nova"/>
          <w:sz w:val="20"/>
          <w:szCs w:val="20"/>
        </w:rPr>
      </w:pPr>
      <w:r w:rsidRPr="2045D302">
        <w:rPr>
          <w:rFonts w:ascii="Arial Nova" w:eastAsia="Arial Nova" w:hAnsi="Arial Nova" w:cs="Arial Nova"/>
          <w:sz w:val="20"/>
          <w:szCs w:val="20"/>
        </w:rPr>
        <w:t xml:space="preserve">The populations of the studies differed by means of examining precancerous lesions (intestinal metaplasia, dysplasia) in several studies, and general adult populations in others. Some of the studies investigated the variation with age, sex, histological subtype, and the status of the </w:t>
      </w:r>
      <w:proofErr w:type="spellStart"/>
      <w:r w:rsidRPr="2045D302">
        <w:rPr>
          <w:rFonts w:ascii="Arial Nova" w:eastAsia="Arial Nova" w:hAnsi="Arial Nova" w:cs="Arial Nova"/>
          <w:sz w:val="20"/>
          <w:szCs w:val="20"/>
        </w:rPr>
        <w:t>cagA</w:t>
      </w:r>
      <w:proofErr w:type="spellEnd"/>
      <w:r w:rsidRPr="2045D302">
        <w:rPr>
          <w:rFonts w:ascii="Arial Nova" w:eastAsia="Arial Nova" w:hAnsi="Arial Nova" w:cs="Arial Nova"/>
          <w:sz w:val="20"/>
          <w:szCs w:val="20"/>
        </w:rPr>
        <w:t>-positive strain via subgrouping.</w:t>
      </w:r>
    </w:p>
    <w:p w14:paraId="14958136" w14:textId="7A298569" w:rsidR="004267E5" w:rsidRDefault="49B087C2" w:rsidP="2045D302">
      <w:pPr>
        <w:spacing w:before="240" w:after="240"/>
        <w:rPr>
          <w:rFonts w:ascii="Arial Nova" w:eastAsia="Arial Nova" w:hAnsi="Arial Nova" w:cs="Arial Nova"/>
          <w:sz w:val="20"/>
          <w:szCs w:val="20"/>
        </w:rPr>
      </w:pPr>
      <w:r w:rsidRPr="2045D302">
        <w:rPr>
          <w:rFonts w:ascii="Arial Nova" w:eastAsia="Arial Nova" w:hAnsi="Arial Nova" w:cs="Arial Nova"/>
          <w:sz w:val="20"/>
          <w:szCs w:val="20"/>
        </w:rPr>
        <w:t>Main Findings</w:t>
      </w:r>
    </w:p>
    <w:p w14:paraId="347C1F1E" w14:textId="6A4D08DC" w:rsidR="004267E5" w:rsidRDefault="49B087C2" w:rsidP="2045D302">
      <w:pPr>
        <w:spacing w:before="240" w:after="240"/>
        <w:rPr>
          <w:rFonts w:ascii="Arial Nova" w:eastAsia="Arial Nova" w:hAnsi="Arial Nova" w:cs="Arial Nova"/>
          <w:sz w:val="20"/>
          <w:szCs w:val="20"/>
        </w:rPr>
      </w:pPr>
      <w:r w:rsidRPr="2045D302">
        <w:rPr>
          <w:rFonts w:ascii="Arial Nova" w:eastAsia="Arial Nova" w:hAnsi="Arial Nova" w:cs="Arial Nova"/>
          <w:sz w:val="20"/>
          <w:szCs w:val="20"/>
        </w:rPr>
        <w:lastRenderedPageBreak/>
        <w:t xml:space="preserve">Most of the studies showed that after the eradication of H. pylori, the incidence of gastric cancer was significantly lower, especially concerning the patients with early lesions or precancerous changes. Our findings are consistent with prior meta-analyses and Cochrane reviews, which have reported a 40-55% reduction in gastric cancer incidence following eradication therapy, particularly in patients with early disease or precancerous lesions; however, no meta-analysis was conducted in the present review due to heterogeneity in study design, populations, and outcomes.” Still, there was an uneliminated risk, which could be explained by mucosal chronic inflammation, dysbiosis, or genetic predisposition. Our findings showed there were regional differences, where the highest effect was in East Asians. The baseline risk was additionally higher, and the absolute benefit of eradication was also higher in the </w:t>
      </w:r>
      <w:proofErr w:type="spellStart"/>
      <w:r w:rsidRPr="2045D302">
        <w:rPr>
          <w:rFonts w:ascii="Arial Nova" w:eastAsia="Arial Nova" w:hAnsi="Arial Nova" w:cs="Arial Nova"/>
          <w:sz w:val="20"/>
          <w:szCs w:val="20"/>
        </w:rPr>
        <w:t>CagA</w:t>
      </w:r>
      <w:proofErr w:type="spellEnd"/>
      <w:r w:rsidRPr="2045D302">
        <w:rPr>
          <w:rFonts w:ascii="Arial Nova" w:eastAsia="Arial Nova" w:hAnsi="Arial Nova" w:cs="Arial Nova"/>
          <w:sz w:val="20"/>
          <w:szCs w:val="20"/>
        </w:rPr>
        <w:t>-positive strain patients.</w:t>
      </w:r>
    </w:p>
    <w:p w14:paraId="4B1DFCAF" w14:textId="441D6284" w:rsidR="004267E5" w:rsidRDefault="49B087C2" w:rsidP="2045D302">
      <w:pPr>
        <w:spacing w:before="240" w:after="240"/>
        <w:rPr>
          <w:rFonts w:ascii="Arial Nova" w:eastAsia="Arial Nova" w:hAnsi="Arial Nova" w:cs="Arial Nova"/>
          <w:sz w:val="20"/>
          <w:szCs w:val="20"/>
        </w:rPr>
      </w:pPr>
      <w:r w:rsidRPr="2045D302">
        <w:rPr>
          <w:rFonts w:ascii="Arial Nova" w:eastAsia="Arial Nova" w:hAnsi="Arial Nova" w:cs="Arial Nova"/>
          <w:sz w:val="20"/>
          <w:szCs w:val="20"/>
        </w:rPr>
        <w:t>The characteristics of the included studies are summarized in Table 1.</w:t>
      </w:r>
    </w:p>
    <w:p w14:paraId="67910C0B" w14:textId="0A7BA0CA" w:rsidR="004267E5" w:rsidRDefault="004267E5" w:rsidP="2045D302">
      <w:pPr>
        <w:spacing w:after="0"/>
        <w:rPr>
          <w:rFonts w:ascii="Arial Nova" w:eastAsia="Arial Nova" w:hAnsi="Arial Nova" w:cs="Arial Nova"/>
          <w:sz w:val="20"/>
          <w:szCs w:val="20"/>
        </w:rPr>
      </w:pPr>
    </w:p>
    <w:p w14:paraId="5A279F0F" w14:textId="3D0295C1" w:rsidR="004267E5" w:rsidRDefault="004267E5" w:rsidP="2045D302">
      <w:pPr>
        <w:spacing w:after="0"/>
        <w:rPr>
          <w:rFonts w:ascii="Arial Nova" w:eastAsia="Arial Nova" w:hAnsi="Arial Nova" w:cs="Arial Nova"/>
          <w:sz w:val="20"/>
          <w:szCs w:val="20"/>
        </w:rPr>
      </w:pPr>
    </w:p>
    <w:p w14:paraId="3EDB00A2" w14:textId="1E49B38B" w:rsidR="004267E5" w:rsidRDefault="004267E5" w:rsidP="2045D302">
      <w:pPr>
        <w:spacing w:before="130" w:after="130"/>
        <w:ind w:left="3106" w:hanging="3107"/>
        <w:rPr>
          <w:rFonts w:ascii="Arial Nova" w:eastAsia="Arial Nova" w:hAnsi="Arial Nova" w:cs="Arial Nova"/>
          <w:color w:val="212121"/>
          <w:sz w:val="20"/>
          <w:szCs w:val="20"/>
        </w:rPr>
      </w:pPr>
    </w:p>
    <w:tbl>
      <w:tblPr>
        <w:tblW w:w="0" w:type="auto"/>
        <w:tblLayout w:type="fixed"/>
        <w:tblLook w:val="06A0" w:firstRow="1" w:lastRow="0" w:firstColumn="1" w:lastColumn="0" w:noHBand="1" w:noVBand="1"/>
      </w:tblPr>
      <w:tblGrid>
        <w:gridCol w:w="1560"/>
        <w:gridCol w:w="1560"/>
        <w:gridCol w:w="1560"/>
        <w:gridCol w:w="1560"/>
        <w:gridCol w:w="1560"/>
        <w:gridCol w:w="1560"/>
      </w:tblGrid>
      <w:tr w:rsidR="2045D302" w14:paraId="5E1526A7" w14:textId="77777777" w:rsidTr="2045D302">
        <w:trPr>
          <w:trHeight w:val="300"/>
        </w:trPr>
        <w:tc>
          <w:tcPr>
            <w:tcW w:w="3120" w:type="dxa"/>
            <w:gridSpan w:val="2"/>
            <w:vAlign w:val="center"/>
          </w:tcPr>
          <w:p w14:paraId="5E0D6457" w14:textId="76F49067"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Author(s).     Study design</w:t>
            </w:r>
          </w:p>
        </w:tc>
        <w:tc>
          <w:tcPr>
            <w:tcW w:w="1560" w:type="dxa"/>
            <w:vAlign w:val="center"/>
          </w:tcPr>
          <w:p w14:paraId="7090FAE0" w14:textId="1FA2B67C"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Population/Setting</w:t>
            </w:r>
          </w:p>
        </w:tc>
        <w:tc>
          <w:tcPr>
            <w:tcW w:w="1560" w:type="dxa"/>
            <w:vAlign w:val="center"/>
          </w:tcPr>
          <w:p w14:paraId="61FCE83F" w14:textId="694BD6D4"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Intervention/Focus</w:t>
            </w:r>
          </w:p>
        </w:tc>
        <w:tc>
          <w:tcPr>
            <w:tcW w:w="1560" w:type="dxa"/>
            <w:vAlign w:val="center"/>
          </w:tcPr>
          <w:p w14:paraId="33E46524" w14:textId="3AF54793"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Key Findings</w:t>
            </w:r>
          </w:p>
        </w:tc>
        <w:tc>
          <w:tcPr>
            <w:tcW w:w="1560" w:type="dxa"/>
            <w:vAlign w:val="center"/>
          </w:tcPr>
          <w:p w14:paraId="7A95AB16" w14:textId="724D19CC"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Ref #</w:t>
            </w:r>
          </w:p>
        </w:tc>
      </w:tr>
      <w:tr w:rsidR="2045D302" w14:paraId="4EBE505D" w14:textId="77777777" w:rsidTr="2045D302">
        <w:trPr>
          <w:trHeight w:val="300"/>
        </w:trPr>
        <w:tc>
          <w:tcPr>
            <w:tcW w:w="1560" w:type="dxa"/>
            <w:vAlign w:val="center"/>
          </w:tcPr>
          <w:p w14:paraId="2A0FF7D4" w14:textId="09ADC1DD"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Li Y et al., 2022</w:t>
            </w:r>
          </w:p>
        </w:tc>
        <w:tc>
          <w:tcPr>
            <w:tcW w:w="1560" w:type="dxa"/>
            <w:vAlign w:val="center"/>
          </w:tcPr>
          <w:p w14:paraId="0C53B2EA" w14:textId="1AAB477D"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Cohort</w:t>
            </w:r>
          </w:p>
        </w:tc>
        <w:tc>
          <w:tcPr>
            <w:tcW w:w="1560" w:type="dxa"/>
            <w:vAlign w:val="center"/>
          </w:tcPr>
          <w:p w14:paraId="303921C2" w14:textId="34944EC2"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Adults, China</w:t>
            </w:r>
          </w:p>
        </w:tc>
        <w:tc>
          <w:tcPr>
            <w:tcW w:w="1560" w:type="dxa"/>
            <w:vAlign w:val="center"/>
          </w:tcPr>
          <w:p w14:paraId="75C5C9F2" w14:textId="488381C1"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Eradication vs. no eradication</w:t>
            </w:r>
          </w:p>
        </w:tc>
        <w:tc>
          <w:tcPr>
            <w:tcW w:w="1560" w:type="dxa"/>
            <w:vAlign w:val="center"/>
          </w:tcPr>
          <w:p w14:paraId="71294325" w14:textId="5A4A56DB"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gastric cancer mortality with eradication</w:t>
            </w:r>
          </w:p>
        </w:tc>
        <w:tc>
          <w:tcPr>
            <w:tcW w:w="1560" w:type="dxa"/>
            <w:vAlign w:val="center"/>
          </w:tcPr>
          <w:p w14:paraId="6FABECF2" w14:textId="35A9B661"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[9]</w:t>
            </w:r>
          </w:p>
        </w:tc>
      </w:tr>
      <w:tr w:rsidR="2045D302" w14:paraId="4FA5E80B" w14:textId="77777777" w:rsidTr="2045D302">
        <w:trPr>
          <w:trHeight w:val="300"/>
        </w:trPr>
        <w:tc>
          <w:tcPr>
            <w:tcW w:w="1560" w:type="dxa"/>
            <w:vAlign w:val="center"/>
          </w:tcPr>
          <w:p w14:paraId="239AB036" w14:textId="3AB0CE8C"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Salvatori S et al., 2023</w:t>
            </w:r>
          </w:p>
        </w:tc>
        <w:tc>
          <w:tcPr>
            <w:tcW w:w="1560" w:type="dxa"/>
            <w:vAlign w:val="center"/>
          </w:tcPr>
          <w:p w14:paraId="1DE64617" w14:textId="6224BEB3"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Molecular review</w:t>
            </w:r>
          </w:p>
        </w:tc>
        <w:tc>
          <w:tcPr>
            <w:tcW w:w="1560" w:type="dxa"/>
            <w:vAlign w:val="center"/>
          </w:tcPr>
          <w:p w14:paraId="48F83AC9" w14:textId="76FA6D01"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Gastric epithelial models</w:t>
            </w:r>
          </w:p>
        </w:tc>
        <w:tc>
          <w:tcPr>
            <w:tcW w:w="1560" w:type="dxa"/>
            <w:vAlign w:val="center"/>
          </w:tcPr>
          <w:p w14:paraId="6D1A3648" w14:textId="2B0EA416"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Pathogenetic mechanisms</w:t>
            </w:r>
          </w:p>
        </w:tc>
        <w:tc>
          <w:tcPr>
            <w:tcW w:w="1560" w:type="dxa"/>
            <w:vAlign w:val="center"/>
          </w:tcPr>
          <w:p w14:paraId="345A2989" w14:textId="6001ECD9"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NF/</w:t>
            </w:r>
            <w:proofErr w:type="spellStart"/>
            <w:r w:rsidRPr="2045D302">
              <w:rPr>
                <w:rFonts w:ascii="Arial Nova" w:eastAsia="Arial Nova" w:hAnsi="Arial Nova" w:cs="Arial Nova"/>
                <w:sz w:val="20"/>
                <w:szCs w:val="20"/>
              </w:rPr>
              <w:t>Wnt</w:t>
            </w:r>
            <w:proofErr w:type="spellEnd"/>
            <w:r w:rsidRPr="2045D302">
              <w:rPr>
                <w:rFonts w:ascii="Arial Nova" w:eastAsia="Arial Nova" w:hAnsi="Arial Nova" w:cs="Arial Nova"/>
                <w:sz w:val="20"/>
                <w:szCs w:val="20"/>
              </w:rPr>
              <w:t>/STAT3 signaling tumorigenesis</w:t>
            </w:r>
          </w:p>
        </w:tc>
        <w:tc>
          <w:tcPr>
            <w:tcW w:w="1560" w:type="dxa"/>
            <w:vAlign w:val="center"/>
          </w:tcPr>
          <w:p w14:paraId="44059C7A" w14:textId="588708B2"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[10]</w:t>
            </w:r>
          </w:p>
        </w:tc>
      </w:tr>
      <w:tr w:rsidR="2045D302" w14:paraId="255A2028" w14:textId="77777777" w:rsidTr="2045D302">
        <w:trPr>
          <w:trHeight w:val="300"/>
        </w:trPr>
        <w:tc>
          <w:tcPr>
            <w:tcW w:w="1560" w:type="dxa"/>
            <w:vAlign w:val="center"/>
          </w:tcPr>
          <w:p w14:paraId="49573BCE" w14:textId="6A4A7545"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He J et al., 2022</w:t>
            </w:r>
          </w:p>
        </w:tc>
        <w:tc>
          <w:tcPr>
            <w:tcW w:w="1560" w:type="dxa"/>
            <w:vAlign w:val="center"/>
          </w:tcPr>
          <w:p w14:paraId="48B9508D" w14:textId="6896CDBD"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Experimental</w:t>
            </w:r>
          </w:p>
        </w:tc>
        <w:tc>
          <w:tcPr>
            <w:tcW w:w="1560" w:type="dxa"/>
            <w:vAlign w:val="center"/>
          </w:tcPr>
          <w:p w14:paraId="497FFBA3" w14:textId="416233FE"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Gastric epithelial stem cells</w:t>
            </w:r>
          </w:p>
        </w:tc>
        <w:tc>
          <w:tcPr>
            <w:tcW w:w="1560" w:type="dxa"/>
            <w:vAlign w:val="center"/>
          </w:tcPr>
          <w:p w14:paraId="6F141AFB" w14:textId="0889D986"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H. pylori induction</w:t>
            </w:r>
          </w:p>
        </w:tc>
        <w:tc>
          <w:tcPr>
            <w:tcW w:w="1560" w:type="dxa"/>
            <w:vAlign w:val="center"/>
          </w:tcPr>
          <w:p w14:paraId="7AB07568" w14:textId="4D51AC36"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Induced stem cell-like traits cancer progression</w:t>
            </w:r>
          </w:p>
        </w:tc>
        <w:tc>
          <w:tcPr>
            <w:tcW w:w="1560" w:type="dxa"/>
            <w:vAlign w:val="center"/>
          </w:tcPr>
          <w:p w14:paraId="4BE7DC62" w14:textId="67B4B450"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[11]</w:t>
            </w:r>
          </w:p>
        </w:tc>
      </w:tr>
      <w:tr w:rsidR="2045D302" w14:paraId="6497B024" w14:textId="77777777" w:rsidTr="2045D302">
        <w:trPr>
          <w:trHeight w:val="300"/>
        </w:trPr>
        <w:tc>
          <w:tcPr>
            <w:tcW w:w="1560" w:type="dxa"/>
            <w:vAlign w:val="center"/>
          </w:tcPr>
          <w:p w14:paraId="39992EC4" w14:textId="624A72FB"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Tran SC et al., 2024</w:t>
            </w:r>
          </w:p>
        </w:tc>
        <w:tc>
          <w:tcPr>
            <w:tcW w:w="1560" w:type="dxa"/>
            <w:vAlign w:val="center"/>
          </w:tcPr>
          <w:p w14:paraId="38B0EACC" w14:textId="68125015"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Mechanistic</w:t>
            </w:r>
          </w:p>
        </w:tc>
        <w:tc>
          <w:tcPr>
            <w:tcW w:w="1560" w:type="dxa"/>
            <w:vAlign w:val="center"/>
          </w:tcPr>
          <w:p w14:paraId="6B421D2E" w14:textId="261AB48C"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H. pylori strains (</w:t>
            </w:r>
            <w:proofErr w:type="spellStart"/>
            <w:r w:rsidRPr="2045D302">
              <w:rPr>
                <w:rFonts w:ascii="Arial Nova" w:eastAsia="Arial Nova" w:hAnsi="Arial Nova" w:cs="Arial Nova"/>
                <w:sz w:val="20"/>
                <w:szCs w:val="20"/>
              </w:rPr>
              <w:t>cagPAI</w:t>
            </w:r>
            <w:proofErr w:type="spellEnd"/>
            <w:r w:rsidRPr="2045D302">
              <w:rPr>
                <w:rFonts w:ascii="Arial Nova" w:eastAsia="Arial Nova" w:hAnsi="Arial Nova" w:cs="Arial Nova"/>
                <w:sz w:val="20"/>
                <w:szCs w:val="20"/>
              </w:rPr>
              <w:t>+)</w:t>
            </w:r>
          </w:p>
        </w:tc>
        <w:tc>
          <w:tcPr>
            <w:tcW w:w="1560" w:type="dxa"/>
            <w:vAlign w:val="center"/>
          </w:tcPr>
          <w:p w14:paraId="77C9D890" w14:textId="6CCD6D84"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Strain-specific risk</w:t>
            </w:r>
          </w:p>
        </w:tc>
        <w:tc>
          <w:tcPr>
            <w:tcW w:w="1560" w:type="dxa"/>
            <w:vAlign w:val="center"/>
          </w:tcPr>
          <w:p w14:paraId="773E7776" w14:textId="3FAB351B" w:rsidR="2045D302" w:rsidRDefault="2045D302" w:rsidP="2045D302">
            <w:pPr>
              <w:spacing w:after="0"/>
              <w:rPr>
                <w:rFonts w:ascii="Arial Nova" w:eastAsia="Arial Nova" w:hAnsi="Arial Nova" w:cs="Arial Nova"/>
                <w:sz w:val="20"/>
                <w:szCs w:val="20"/>
              </w:rPr>
            </w:pPr>
            <w:proofErr w:type="spellStart"/>
            <w:r w:rsidRPr="2045D302">
              <w:rPr>
                <w:rFonts w:ascii="Arial Nova" w:eastAsia="Arial Nova" w:hAnsi="Arial Nova" w:cs="Arial Nova"/>
                <w:sz w:val="20"/>
                <w:szCs w:val="20"/>
              </w:rPr>
              <w:t>cagPAI</w:t>
            </w:r>
            <w:proofErr w:type="spellEnd"/>
            <w:r w:rsidRPr="2045D302">
              <w:rPr>
                <w:rFonts w:ascii="Arial Nova" w:eastAsia="Arial Nova" w:hAnsi="Arial Nova" w:cs="Arial Nova"/>
                <w:sz w:val="20"/>
                <w:szCs w:val="20"/>
              </w:rPr>
              <w:t xml:space="preserve"> inflammation &amp; cancer risk</w:t>
            </w:r>
          </w:p>
        </w:tc>
        <w:tc>
          <w:tcPr>
            <w:tcW w:w="1560" w:type="dxa"/>
            <w:vAlign w:val="center"/>
          </w:tcPr>
          <w:p w14:paraId="4A3421A3" w14:textId="61E7DE4D"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[12]</w:t>
            </w:r>
          </w:p>
        </w:tc>
      </w:tr>
      <w:tr w:rsidR="2045D302" w14:paraId="5F017207" w14:textId="77777777" w:rsidTr="2045D302">
        <w:trPr>
          <w:trHeight w:val="300"/>
        </w:trPr>
        <w:tc>
          <w:tcPr>
            <w:tcW w:w="1560" w:type="dxa"/>
            <w:vAlign w:val="center"/>
          </w:tcPr>
          <w:p w14:paraId="1AC3F5D3" w14:textId="5635794A"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Hooi JK et al., 2017</w:t>
            </w:r>
          </w:p>
        </w:tc>
        <w:tc>
          <w:tcPr>
            <w:tcW w:w="1560" w:type="dxa"/>
            <w:vAlign w:val="center"/>
          </w:tcPr>
          <w:p w14:paraId="69A7D02C" w14:textId="3C415B46"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Systematic review &amp; meta-analysis</w:t>
            </w:r>
          </w:p>
        </w:tc>
        <w:tc>
          <w:tcPr>
            <w:tcW w:w="1560" w:type="dxa"/>
            <w:vAlign w:val="center"/>
          </w:tcPr>
          <w:p w14:paraId="3162DD66" w14:textId="080BF883"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Global prevalence</w:t>
            </w:r>
          </w:p>
        </w:tc>
        <w:tc>
          <w:tcPr>
            <w:tcW w:w="1560" w:type="dxa"/>
            <w:vAlign w:val="center"/>
          </w:tcPr>
          <w:p w14:paraId="1F0FA4E8" w14:textId="0DC082C0"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Prevalence vs. cancer</w:t>
            </w:r>
          </w:p>
        </w:tc>
        <w:tc>
          <w:tcPr>
            <w:tcW w:w="1560" w:type="dxa"/>
            <w:vAlign w:val="center"/>
          </w:tcPr>
          <w:p w14:paraId="615C1D47" w14:textId="2132C307"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High prevalence parallels gastric cancer burden</w:t>
            </w:r>
          </w:p>
        </w:tc>
        <w:tc>
          <w:tcPr>
            <w:tcW w:w="1560" w:type="dxa"/>
            <w:vAlign w:val="center"/>
          </w:tcPr>
          <w:p w14:paraId="1580E400" w14:textId="5B2B9E73"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[13]</w:t>
            </w:r>
          </w:p>
        </w:tc>
      </w:tr>
      <w:tr w:rsidR="2045D302" w14:paraId="770C55FE" w14:textId="77777777" w:rsidTr="2045D302">
        <w:trPr>
          <w:trHeight w:val="300"/>
        </w:trPr>
        <w:tc>
          <w:tcPr>
            <w:tcW w:w="1560" w:type="dxa"/>
            <w:vAlign w:val="center"/>
          </w:tcPr>
          <w:p w14:paraId="255CBB60" w14:textId="2AA266A9"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Guo Y et al., 2020</w:t>
            </w:r>
          </w:p>
        </w:tc>
        <w:tc>
          <w:tcPr>
            <w:tcW w:w="1560" w:type="dxa"/>
            <w:vAlign w:val="center"/>
          </w:tcPr>
          <w:p w14:paraId="2CFC0E66" w14:textId="4DE9A978"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Population study</w:t>
            </w:r>
          </w:p>
        </w:tc>
        <w:tc>
          <w:tcPr>
            <w:tcW w:w="1560" w:type="dxa"/>
            <w:vAlign w:val="center"/>
          </w:tcPr>
          <w:p w14:paraId="391471E0" w14:textId="76D94083" w:rsidR="2045D302" w:rsidRDefault="2045D302" w:rsidP="2045D302">
            <w:pPr>
              <w:spacing w:after="0"/>
              <w:rPr>
                <w:rFonts w:ascii="Arial Nova" w:eastAsia="Arial Nova" w:hAnsi="Arial Nova" w:cs="Arial Nova"/>
                <w:sz w:val="20"/>
                <w:szCs w:val="20"/>
              </w:rPr>
            </w:pPr>
            <w:proofErr w:type="spellStart"/>
            <w:r w:rsidRPr="2045D302">
              <w:rPr>
                <w:rFonts w:ascii="Arial Nova" w:eastAsia="Arial Nova" w:hAnsi="Arial Nova" w:cs="Arial Nova"/>
                <w:sz w:val="20"/>
                <w:szCs w:val="20"/>
              </w:rPr>
              <w:t>Linqu</w:t>
            </w:r>
            <w:proofErr w:type="spellEnd"/>
            <w:r w:rsidRPr="2045D302">
              <w:rPr>
                <w:rFonts w:ascii="Arial Nova" w:eastAsia="Arial Nova" w:hAnsi="Arial Nova" w:cs="Arial Nova"/>
                <w:sz w:val="20"/>
                <w:szCs w:val="20"/>
              </w:rPr>
              <w:t>, China</w:t>
            </w:r>
          </w:p>
        </w:tc>
        <w:tc>
          <w:tcPr>
            <w:tcW w:w="1560" w:type="dxa"/>
            <w:vAlign w:val="center"/>
          </w:tcPr>
          <w:p w14:paraId="64A0C1E4" w14:textId="1CAAF55B"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Post-eradication microbiota</w:t>
            </w:r>
          </w:p>
        </w:tc>
        <w:tc>
          <w:tcPr>
            <w:tcW w:w="1560" w:type="dxa"/>
            <w:vAlign w:val="center"/>
          </w:tcPr>
          <w:p w14:paraId="51BDDF38" w14:textId="5376EC91"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Persistent dysbiosis maintains partial risk</w:t>
            </w:r>
          </w:p>
        </w:tc>
        <w:tc>
          <w:tcPr>
            <w:tcW w:w="1560" w:type="dxa"/>
            <w:vAlign w:val="center"/>
          </w:tcPr>
          <w:p w14:paraId="236B679C" w14:textId="6E6B345E"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[14]</w:t>
            </w:r>
          </w:p>
        </w:tc>
      </w:tr>
      <w:tr w:rsidR="2045D302" w14:paraId="6311B17A" w14:textId="77777777" w:rsidTr="2045D302">
        <w:trPr>
          <w:trHeight w:val="300"/>
        </w:trPr>
        <w:tc>
          <w:tcPr>
            <w:tcW w:w="1560" w:type="dxa"/>
            <w:vAlign w:val="center"/>
          </w:tcPr>
          <w:p w14:paraId="2E302E56" w14:textId="48B7FC1C"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Liatsos C et al., 2022</w:t>
            </w:r>
          </w:p>
        </w:tc>
        <w:tc>
          <w:tcPr>
            <w:tcW w:w="1560" w:type="dxa"/>
            <w:vAlign w:val="center"/>
          </w:tcPr>
          <w:p w14:paraId="10F4C904" w14:textId="32C016EA"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Observational</w:t>
            </w:r>
          </w:p>
        </w:tc>
        <w:tc>
          <w:tcPr>
            <w:tcW w:w="1560" w:type="dxa"/>
            <w:vAlign w:val="center"/>
          </w:tcPr>
          <w:p w14:paraId="6F747F20" w14:textId="38EB8D8B"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H. pylori-positive adults</w:t>
            </w:r>
          </w:p>
        </w:tc>
        <w:tc>
          <w:tcPr>
            <w:tcW w:w="1560" w:type="dxa"/>
            <w:vAlign w:val="center"/>
          </w:tcPr>
          <w:p w14:paraId="577E1BC0" w14:textId="422D5B7C"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Microbiota alteration</w:t>
            </w:r>
          </w:p>
        </w:tc>
        <w:tc>
          <w:tcPr>
            <w:tcW w:w="1560" w:type="dxa"/>
            <w:vAlign w:val="center"/>
          </w:tcPr>
          <w:p w14:paraId="565D1ACE" w14:textId="46A737CD"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 xml:space="preserve">Dysbiosis </w:t>
            </w:r>
            <w:proofErr w:type="spellStart"/>
            <w:r w:rsidRPr="2045D302">
              <w:rPr>
                <w:rFonts w:ascii="Arial Nova" w:eastAsia="Arial Nova" w:hAnsi="Arial Nova" w:cs="Arial Nova"/>
                <w:sz w:val="20"/>
                <w:szCs w:val="20"/>
              </w:rPr>
              <w:t>procarcinogenic</w:t>
            </w:r>
            <w:proofErr w:type="spellEnd"/>
            <w:r w:rsidRPr="2045D302">
              <w:rPr>
                <w:rFonts w:ascii="Arial Nova" w:eastAsia="Arial Nova" w:hAnsi="Arial Nova" w:cs="Arial Nova"/>
                <w:sz w:val="20"/>
                <w:szCs w:val="20"/>
              </w:rPr>
              <w:t xml:space="preserve"> taxa</w:t>
            </w:r>
          </w:p>
        </w:tc>
        <w:tc>
          <w:tcPr>
            <w:tcW w:w="1560" w:type="dxa"/>
            <w:vAlign w:val="center"/>
          </w:tcPr>
          <w:p w14:paraId="75413CD6" w14:textId="22443BD5"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[15]</w:t>
            </w:r>
          </w:p>
        </w:tc>
      </w:tr>
      <w:tr w:rsidR="2045D302" w14:paraId="2975198F" w14:textId="77777777" w:rsidTr="2045D302">
        <w:trPr>
          <w:trHeight w:val="300"/>
        </w:trPr>
        <w:tc>
          <w:tcPr>
            <w:tcW w:w="1560" w:type="dxa"/>
            <w:vAlign w:val="center"/>
          </w:tcPr>
          <w:p w14:paraId="1BAB4FAE" w14:textId="32A4BC80"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lastRenderedPageBreak/>
              <w:t>Zhou C et al., 2024</w:t>
            </w:r>
          </w:p>
        </w:tc>
        <w:tc>
          <w:tcPr>
            <w:tcW w:w="1560" w:type="dxa"/>
            <w:vAlign w:val="center"/>
          </w:tcPr>
          <w:p w14:paraId="03567CB7" w14:textId="796AEF09"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Observational</w:t>
            </w:r>
          </w:p>
        </w:tc>
        <w:tc>
          <w:tcPr>
            <w:tcW w:w="1560" w:type="dxa"/>
            <w:vAlign w:val="center"/>
          </w:tcPr>
          <w:p w14:paraId="1CC676AD" w14:textId="27AECBAB"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H. pylori-positive, obesity/PPI</w:t>
            </w:r>
          </w:p>
        </w:tc>
        <w:tc>
          <w:tcPr>
            <w:tcW w:w="1560" w:type="dxa"/>
            <w:vAlign w:val="center"/>
          </w:tcPr>
          <w:p w14:paraId="483741E5" w14:textId="09F6B3E1"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Modifying factors</w:t>
            </w:r>
          </w:p>
        </w:tc>
        <w:tc>
          <w:tcPr>
            <w:tcW w:w="1560" w:type="dxa"/>
            <w:vAlign w:val="center"/>
          </w:tcPr>
          <w:p w14:paraId="491D57E0" w14:textId="285C8741"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PPI + obesity worsen dysbiosis risk</w:t>
            </w:r>
          </w:p>
        </w:tc>
        <w:tc>
          <w:tcPr>
            <w:tcW w:w="1560" w:type="dxa"/>
            <w:vAlign w:val="center"/>
          </w:tcPr>
          <w:p w14:paraId="160619A8" w14:textId="00206B9D"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[16]</w:t>
            </w:r>
          </w:p>
        </w:tc>
      </w:tr>
      <w:tr w:rsidR="2045D302" w14:paraId="687FCBCD" w14:textId="77777777" w:rsidTr="2045D302">
        <w:trPr>
          <w:trHeight w:val="300"/>
        </w:trPr>
        <w:tc>
          <w:tcPr>
            <w:tcW w:w="1560" w:type="dxa"/>
            <w:vAlign w:val="center"/>
          </w:tcPr>
          <w:p w14:paraId="14264CE1" w14:textId="2779B19C" w:rsidR="2045D302" w:rsidRDefault="2045D302" w:rsidP="2045D302">
            <w:pPr>
              <w:spacing w:after="0"/>
              <w:rPr>
                <w:rFonts w:ascii="Arial Nova" w:eastAsia="Arial Nova" w:hAnsi="Arial Nova" w:cs="Arial Nova"/>
                <w:sz w:val="20"/>
                <w:szCs w:val="20"/>
              </w:rPr>
            </w:pPr>
            <w:proofErr w:type="spellStart"/>
            <w:r w:rsidRPr="2045D302">
              <w:rPr>
                <w:rFonts w:ascii="Arial Nova" w:eastAsia="Arial Nova" w:hAnsi="Arial Nova" w:cs="Arial Nova"/>
                <w:sz w:val="20"/>
                <w:szCs w:val="20"/>
              </w:rPr>
              <w:t>Fiorani</w:t>
            </w:r>
            <w:proofErr w:type="spellEnd"/>
            <w:r w:rsidRPr="2045D302">
              <w:rPr>
                <w:rFonts w:ascii="Arial Nova" w:eastAsia="Arial Nova" w:hAnsi="Arial Nova" w:cs="Arial Nova"/>
                <w:sz w:val="20"/>
                <w:szCs w:val="20"/>
              </w:rPr>
              <w:t xml:space="preserve"> M et al., 2023</w:t>
            </w:r>
          </w:p>
        </w:tc>
        <w:tc>
          <w:tcPr>
            <w:tcW w:w="1560" w:type="dxa"/>
            <w:vAlign w:val="center"/>
          </w:tcPr>
          <w:p w14:paraId="70C7328B" w14:textId="4468FF41"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Review</w:t>
            </w:r>
          </w:p>
        </w:tc>
        <w:tc>
          <w:tcPr>
            <w:tcW w:w="1560" w:type="dxa"/>
            <w:vAlign w:val="center"/>
          </w:tcPr>
          <w:p w14:paraId="54D2FB85" w14:textId="517867DD"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Human gastric/gut microbiota</w:t>
            </w:r>
          </w:p>
        </w:tc>
        <w:tc>
          <w:tcPr>
            <w:tcW w:w="1560" w:type="dxa"/>
            <w:vAlign w:val="center"/>
          </w:tcPr>
          <w:p w14:paraId="28D90E5B" w14:textId="250867A2"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Microbiome interactions</w:t>
            </w:r>
          </w:p>
        </w:tc>
        <w:tc>
          <w:tcPr>
            <w:tcW w:w="1560" w:type="dxa"/>
            <w:vAlign w:val="center"/>
          </w:tcPr>
          <w:p w14:paraId="3DCF0A2D" w14:textId="33DAB261"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H. pylori disrupts microbiota</w:t>
            </w:r>
          </w:p>
        </w:tc>
        <w:tc>
          <w:tcPr>
            <w:tcW w:w="1560" w:type="dxa"/>
            <w:vAlign w:val="center"/>
          </w:tcPr>
          <w:p w14:paraId="07425CFA" w14:textId="62335757"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[17]</w:t>
            </w:r>
          </w:p>
        </w:tc>
      </w:tr>
      <w:tr w:rsidR="2045D302" w14:paraId="446B5630" w14:textId="77777777" w:rsidTr="2045D302">
        <w:trPr>
          <w:trHeight w:val="300"/>
        </w:trPr>
        <w:tc>
          <w:tcPr>
            <w:tcW w:w="1560" w:type="dxa"/>
            <w:vAlign w:val="center"/>
          </w:tcPr>
          <w:p w14:paraId="14889F32" w14:textId="4C4D3ABD" w:rsidR="2045D302" w:rsidRDefault="2045D302" w:rsidP="2045D302">
            <w:pPr>
              <w:spacing w:after="0"/>
              <w:rPr>
                <w:rFonts w:ascii="Arial Nova" w:eastAsia="Arial Nova" w:hAnsi="Arial Nova" w:cs="Arial Nova"/>
                <w:sz w:val="20"/>
                <w:szCs w:val="20"/>
              </w:rPr>
            </w:pPr>
            <w:proofErr w:type="spellStart"/>
            <w:r w:rsidRPr="2045D302">
              <w:rPr>
                <w:rFonts w:ascii="Arial Nova" w:eastAsia="Arial Nova" w:hAnsi="Arial Nova" w:cs="Arial Nova"/>
                <w:sz w:val="20"/>
                <w:szCs w:val="20"/>
              </w:rPr>
              <w:t>Engelsberger</w:t>
            </w:r>
            <w:proofErr w:type="spellEnd"/>
            <w:r w:rsidRPr="2045D302">
              <w:rPr>
                <w:rFonts w:ascii="Arial Nova" w:eastAsia="Arial Nova" w:hAnsi="Arial Nova" w:cs="Arial Nova"/>
                <w:sz w:val="20"/>
                <w:szCs w:val="20"/>
              </w:rPr>
              <w:t xml:space="preserve"> V et al., 2024</w:t>
            </w:r>
          </w:p>
        </w:tc>
        <w:tc>
          <w:tcPr>
            <w:tcW w:w="1560" w:type="dxa"/>
            <w:vAlign w:val="center"/>
          </w:tcPr>
          <w:p w14:paraId="0976438F" w14:textId="6386850B"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Experimental</w:t>
            </w:r>
          </w:p>
        </w:tc>
        <w:tc>
          <w:tcPr>
            <w:tcW w:w="1560" w:type="dxa"/>
            <w:vAlign w:val="center"/>
          </w:tcPr>
          <w:p w14:paraId="4059632E" w14:textId="7EBFA9AE"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H. pylori-infected intestines</w:t>
            </w:r>
          </w:p>
        </w:tc>
        <w:tc>
          <w:tcPr>
            <w:tcW w:w="1560" w:type="dxa"/>
            <w:vAlign w:val="center"/>
          </w:tcPr>
          <w:p w14:paraId="096C0789" w14:textId="7E51DFA1"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Immunity/microbiome</w:t>
            </w:r>
          </w:p>
        </w:tc>
        <w:tc>
          <w:tcPr>
            <w:tcW w:w="1560" w:type="dxa"/>
            <w:vAlign w:val="center"/>
          </w:tcPr>
          <w:p w14:paraId="29FB6912" w14:textId="5A5E87D3"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Dysbiosis alters immunity, cancer risk</w:t>
            </w:r>
          </w:p>
        </w:tc>
        <w:tc>
          <w:tcPr>
            <w:tcW w:w="1560" w:type="dxa"/>
            <w:vAlign w:val="center"/>
          </w:tcPr>
          <w:p w14:paraId="2DD77888" w14:textId="1739FBBD"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[18]</w:t>
            </w:r>
          </w:p>
        </w:tc>
      </w:tr>
      <w:tr w:rsidR="2045D302" w14:paraId="7D2589BE" w14:textId="77777777" w:rsidTr="2045D302">
        <w:trPr>
          <w:trHeight w:val="300"/>
        </w:trPr>
        <w:tc>
          <w:tcPr>
            <w:tcW w:w="1560" w:type="dxa"/>
            <w:vAlign w:val="center"/>
          </w:tcPr>
          <w:p w14:paraId="39F64604" w14:textId="089A8294"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Hua Z et al., 2023</w:t>
            </w:r>
          </w:p>
        </w:tc>
        <w:tc>
          <w:tcPr>
            <w:tcW w:w="1560" w:type="dxa"/>
            <w:vAlign w:val="center"/>
          </w:tcPr>
          <w:p w14:paraId="240AEDC8" w14:textId="2A50D9A9"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Observational</w:t>
            </w:r>
          </w:p>
        </w:tc>
        <w:tc>
          <w:tcPr>
            <w:tcW w:w="1560" w:type="dxa"/>
            <w:vAlign w:val="center"/>
          </w:tcPr>
          <w:p w14:paraId="6F239B16" w14:textId="0A5921A5"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Chronic gastritis patients</w:t>
            </w:r>
          </w:p>
        </w:tc>
        <w:tc>
          <w:tcPr>
            <w:tcW w:w="1560" w:type="dxa"/>
            <w:vAlign w:val="center"/>
          </w:tcPr>
          <w:p w14:paraId="29901ABC" w14:textId="70B2DB75"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Microbiota shift</w:t>
            </w:r>
          </w:p>
        </w:tc>
        <w:tc>
          <w:tcPr>
            <w:tcW w:w="1560" w:type="dxa"/>
            <w:vAlign w:val="center"/>
          </w:tcPr>
          <w:p w14:paraId="429F9255" w14:textId="01AD9F09"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H. pylori alters microbiome cancer predisposition</w:t>
            </w:r>
          </w:p>
        </w:tc>
        <w:tc>
          <w:tcPr>
            <w:tcW w:w="1560" w:type="dxa"/>
            <w:vAlign w:val="center"/>
          </w:tcPr>
          <w:p w14:paraId="1FA7723B" w14:textId="1119E651"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[19]</w:t>
            </w:r>
          </w:p>
        </w:tc>
      </w:tr>
      <w:tr w:rsidR="2045D302" w14:paraId="42692242" w14:textId="77777777" w:rsidTr="2045D302">
        <w:trPr>
          <w:trHeight w:val="300"/>
        </w:trPr>
        <w:tc>
          <w:tcPr>
            <w:tcW w:w="1560" w:type="dxa"/>
            <w:vAlign w:val="center"/>
          </w:tcPr>
          <w:p w14:paraId="5B85C103" w14:textId="1A10D6C7" w:rsidR="2045D302" w:rsidRDefault="2045D302" w:rsidP="2045D302">
            <w:pPr>
              <w:spacing w:after="0"/>
              <w:rPr>
                <w:rFonts w:ascii="Arial Nova" w:eastAsia="Arial Nova" w:hAnsi="Arial Nova" w:cs="Arial Nova"/>
                <w:sz w:val="20"/>
                <w:szCs w:val="20"/>
              </w:rPr>
            </w:pPr>
            <w:proofErr w:type="spellStart"/>
            <w:r w:rsidRPr="2045D302">
              <w:rPr>
                <w:rFonts w:ascii="Arial Nova" w:eastAsia="Arial Nova" w:hAnsi="Arial Nova" w:cs="Arial Nova"/>
                <w:sz w:val="20"/>
                <w:szCs w:val="20"/>
              </w:rPr>
              <w:t>Fukase</w:t>
            </w:r>
            <w:proofErr w:type="spellEnd"/>
            <w:r w:rsidRPr="2045D302">
              <w:rPr>
                <w:rFonts w:ascii="Arial Nova" w:eastAsia="Arial Nova" w:hAnsi="Arial Nova" w:cs="Arial Nova"/>
                <w:sz w:val="20"/>
                <w:szCs w:val="20"/>
              </w:rPr>
              <w:t xml:space="preserve"> K et al., 2008</w:t>
            </w:r>
          </w:p>
        </w:tc>
        <w:tc>
          <w:tcPr>
            <w:tcW w:w="1560" w:type="dxa"/>
            <w:vAlign w:val="center"/>
          </w:tcPr>
          <w:p w14:paraId="54312E0A" w14:textId="102BF2F9"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RCT</w:t>
            </w:r>
          </w:p>
        </w:tc>
        <w:tc>
          <w:tcPr>
            <w:tcW w:w="1560" w:type="dxa"/>
            <w:vAlign w:val="center"/>
          </w:tcPr>
          <w:p w14:paraId="5C9D030E" w14:textId="40DC17AA"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Peptic ulcer patients</w:t>
            </w:r>
          </w:p>
        </w:tc>
        <w:tc>
          <w:tcPr>
            <w:tcW w:w="1560" w:type="dxa"/>
            <w:vAlign w:val="center"/>
          </w:tcPr>
          <w:p w14:paraId="38950408" w14:textId="73741A97"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Eradication therapy</w:t>
            </w:r>
          </w:p>
        </w:tc>
        <w:tc>
          <w:tcPr>
            <w:tcW w:w="1560" w:type="dxa"/>
            <w:vAlign w:val="center"/>
          </w:tcPr>
          <w:p w14:paraId="23E4B0AA" w14:textId="6DA91F11"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gastric cancer incidence</w:t>
            </w:r>
          </w:p>
        </w:tc>
        <w:tc>
          <w:tcPr>
            <w:tcW w:w="1560" w:type="dxa"/>
            <w:vAlign w:val="center"/>
          </w:tcPr>
          <w:p w14:paraId="7F0D2DAA" w14:textId="2E3B99A4"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[20]</w:t>
            </w:r>
          </w:p>
        </w:tc>
      </w:tr>
      <w:tr w:rsidR="2045D302" w14:paraId="17F7848B" w14:textId="77777777" w:rsidTr="2045D302">
        <w:trPr>
          <w:trHeight w:val="300"/>
        </w:trPr>
        <w:tc>
          <w:tcPr>
            <w:tcW w:w="1560" w:type="dxa"/>
            <w:vAlign w:val="center"/>
          </w:tcPr>
          <w:p w14:paraId="57921EED" w14:textId="79AB9458"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Choi IJ et al., 2018</w:t>
            </w:r>
          </w:p>
        </w:tc>
        <w:tc>
          <w:tcPr>
            <w:tcW w:w="1560" w:type="dxa"/>
            <w:vAlign w:val="center"/>
          </w:tcPr>
          <w:p w14:paraId="0A384463" w14:textId="381090FB"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RCT</w:t>
            </w:r>
          </w:p>
        </w:tc>
        <w:tc>
          <w:tcPr>
            <w:tcW w:w="1560" w:type="dxa"/>
            <w:vAlign w:val="center"/>
          </w:tcPr>
          <w:p w14:paraId="4D6130D4" w14:textId="0E7DCEF9"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Post-endoscopic resection</w:t>
            </w:r>
          </w:p>
        </w:tc>
        <w:tc>
          <w:tcPr>
            <w:tcW w:w="1560" w:type="dxa"/>
            <w:vAlign w:val="center"/>
          </w:tcPr>
          <w:p w14:paraId="455E14DB" w14:textId="4AE2F6FC"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Eradication therapy</w:t>
            </w:r>
          </w:p>
        </w:tc>
        <w:tc>
          <w:tcPr>
            <w:tcW w:w="1560" w:type="dxa"/>
            <w:vAlign w:val="center"/>
          </w:tcPr>
          <w:p w14:paraId="2586B048" w14:textId="5F8204D7"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 xml:space="preserve"> metachronous gastric cancer</w:t>
            </w:r>
          </w:p>
        </w:tc>
        <w:tc>
          <w:tcPr>
            <w:tcW w:w="1560" w:type="dxa"/>
            <w:vAlign w:val="center"/>
          </w:tcPr>
          <w:p w14:paraId="681BC104" w14:textId="0F57599C"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[21]</w:t>
            </w:r>
          </w:p>
        </w:tc>
      </w:tr>
      <w:tr w:rsidR="2045D302" w14:paraId="5A0A7CF7" w14:textId="77777777" w:rsidTr="2045D302">
        <w:trPr>
          <w:trHeight w:val="300"/>
        </w:trPr>
        <w:tc>
          <w:tcPr>
            <w:tcW w:w="1560" w:type="dxa"/>
            <w:vAlign w:val="center"/>
          </w:tcPr>
          <w:p w14:paraId="2FF1FAB7" w14:textId="118527CB"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Choi IJ et al., 2020</w:t>
            </w:r>
          </w:p>
        </w:tc>
        <w:tc>
          <w:tcPr>
            <w:tcW w:w="1560" w:type="dxa"/>
            <w:vAlign w:val="center"/>
          </w:tcPr>
          <w:p w14:paraId="3A01FDB4" w14:textId="7F797827"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RCT</w:t>
            </w:r>
          </w:p>
        </w:tc>
        <w:tc>
          <w:tcPr>
            <w:tcW w:w="1560" w:type="dxa"/>
            <w:vAlign w:val="center"/>
          </w:tcPr>
          <w:p w14:paraId="4CFEF7A1" w14:textId="63E33EB4"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Family history gastric cancer</w:t>
            </w:r>
          </w:p>
        </w:tc>
        <w:tc>
          <w:tcPr>
            <w:tcW w:w="1560" w:type="dxa"/>
            <w:vAlign w:val="center"/>
          </w:tcPr>
          <w:p w14:paraId="68327758" w14:textId="1D300E71"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Eradication therapy</w:t>
            </w:r>
          </w:p>
        </w:tc>
        <w:tc>
          <w:tcPr>
            <w:tcW w:w="1560" w:type="dxa"/>
            <w:vAlign w:val="center"/>
          </w:tcPr>
          <w:p w14:paraId="34BD873E" w14:textId="6974BA90"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Prevented gastric cancer onset</w:t>
            </w:r>
          </w:p>
        </w:tc>
        <w:tc>
          <w:tcPr>
            <w:tcW w:w="1560" w:type="dxa"/>
            <w:vAlign w:val="center"/>
          </w:tcPr>
          <w:p w14:paraId="2B272637" w14:textId="27FB3040"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[22]</w:t>
            </w:r>
          </w:p>
        </w:tc>
      </w:tr>
      <w:tr w:rsidR="2045D302" w14:paraId="3FF566FD" w14:textId="77777777" w:rsidTr="2045D302">
        <w:trPr>
          <w:trHeight w:val="300"/>
        </w:trPr>
        <w:tc>
          <w:tcPr>
            <w:tcW w:w="1560" w:type="dxa"/>
            <w:vAlign w:val="center"/>
          </w:tcPr>
          <w:p w14:paraId="5EECED24" w14:textId="190386FC"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Ford AC et al., 2020</w:t>
            </w:r>
          </w:p>
        </w:tc>
        <w:tc>
          <w:tcPr>
            <w:tcW w:w="1560" w:type="dxa"/>
            <w:vAlign w:val="center"/>
          </w:tcPr>
          <w:p w14:paraId="77B8CB6A" w14:textId="64558E1E"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Cochrane meta-analysis</w:t>
            </w:r>
          </w:p>
        </w:tc>
        <w:tc>
          <w:tcPr>
            <w:tcW w:w="1560" w:type="dxa"/>
            <w:vAlign w:val="center"/>
          </w:tcPr>
          <w:p w14:paraId="29EDB795" w14:textId="47176AB5"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Global RCTs &amp; observational</w:t>
            </w:r>
          </w:p>
        </w:tc>
        <w:tc>
          <w:tcPr>
            <w:tcW w:w="1560" w:type="dxa"/>
            <w:vAlign w:val="center"/>
          </w:tcPr>
          <w:p w14:paraId="0BAC6400" w14:textId="62D35BE2"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Eradication therapy</w:t>
            </w:r>
          </w:p>
        </w:tc>
        <w:tc>
          <w:tcPr>
            <w:tcW w:w="1560" w:type="dxa"/>
            <w:vAlign w:val="center"/>
          </w:tcPr>
          <w:p w14:paraId="52F5D24B" w14:textId="2050217A"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 xml:space="preserve"> gastric cancer risk (RR 0.54)</w:t>
            </w:r>
          </w:p>
        </w:tc>
        <w:tc>
          <w:tcPr>
            <w:tcW w:w="1560" w:type="dxa"/>
            <w:vAlign w:val="center"/>
          </w:tcPr>
          <w:p w14:paraId="7732DAD7" w14:textId="76D3F17A"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[23]</w:t>
            </w:r>
          </w:p>
        </w:tc>
      </w:tr>
      <w:tr w:rsidR="2045D302" w14:paraId="3354BE66" w14:textId="77777777" w:rsidTr="2045D302">
        <w:trPr>
          <w:trHeight w:val="300"/>
        </w:trPr>
        <w:tc>
          <w:tcPr>
            <w:tcW w:w="1560" w:type="dxa"/>
            <w:vAlign w:val="center"/>
          </w:tcPr>
          <w:p w14:paraId="4AC6CD89" w14:textId="3AED9690"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Jung DH et al., 2015</w:t>
            </w:r>
          </w:p>
        </w:tc>
        <w:tc>
          <w:tcPr>
            <w:tcW w:w="1560" w:type="dxa"/>
            <w:vAlign w:val="center"/>
          </w:tcPr>
          <w:p w14:paraId="2C27E1C9" w14:textId="4F62B5EB"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Meta-analysis</w:t>
            </w:r>
          </w:p>
        </w:tc>
        <w:tc>
          <w:tcPr>
            <w:tcW w:w="1560" w:type="dxa"/>
            <w:vAlign w:val="center"/>
          </w:tcPr>
          <w:p w14:paraId="2FDCC4B7" w14:textId="730A7090"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Post-resection patients</w:t>
            </w:r>
          </w:p>
        </w:tc>
        <w:tc>
          <w:tcPr>
            <w:tcW w:w="1560" w:type="dxa"/>
            <w:vAlign w:val="center"/>
          </w:tcPr>
          <w:p w14:paraId="42E71CB4" w14:textId="297A9D23"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Eradication therapy</w:t>
            </w:r>
          </w:p>
        </w:tc>
        <w:tc>
          <w:tcPr>
            <w:tcW w:w="1560" w:type="dxa"/>
            <w:vAlign w:val="center"/>
          </w:tcPr>
          <w:p w14:paraId="31760022" w14:textId="5993E1F4"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metachronous lesions</w:t>
            </w:r>
          </w:p>
        </w:tc>
        <w:tc>
          <w:tcPr>
            <w:tcW w:w="1560" w:type="dxa"/>
            <w:vAlign w:val="center"/>
          </w:tcPr>
          <w:p w14:paraId="7A3A838A" w14:textId="0DE754C5"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[24]</w:t>
            </w:r>
          </w:p>
        </w:tc>
      </w:tr>
      <w:tr w:rsidR="2045D302" w14:paraId="037CF322" w14:textId="77777777" w:rsidTr="2045D302">
        <w:trPr>
          <w:trHeight w:val="300"/>
        </w:trPr>
        <w:tc>
          <w:tcPr>
            <w:tcW w:w="1560" w:type="dxa"/>
            <w:vAlign w:val="center"/>
          </w:tcPr>
          <w:p w14:paraId="45D2636C" w14:textId="23A0CA8E"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Zhou LY et al., 2024</w:t>
            </w:r>
          </w:p>
        </w:tc>
        <w:tc>
          <w:tcPr>
            <w:tcW w:w="1560" w:type="dxa"/>
            <w:vAlign w:val="center"/>
          </w:tcPr>
          <w:p w14:paraId="09C1190A" w14:textId="1639E340"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Observational</w:t>
            </w:r>
          </w:p>
        </w:tc>
        <w:tc>
          <w:tcPr>
            <w:tcW w:w="1560" w:type="dxa"/>
            <w:vAlign w:val="center"/>
          </w:tcPr>
          <w:p w14:paraId="3DB6C031" w14:textId="32629096"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H. pylori-infected adults</w:t>
            </w:r>
          </w:p>
        </w:tc>
        <w:tc>
          <w:tcPr>
            <w:tcW w:w="1560" w:type="dxa"/>
            <w:vAlign w:val="center"/>
          </w:tcPr>
          <w:p w14:paraId="4C00CCB8" w14:textId="27E8E459" w:rsidR="2045D302" w:rsidRDefault="2045D302" w:rsidP="2045D302">
            <w:pPr>
              <w:spacing w:after="0"/>
              <w:rPr>
                <w:rFonts w:ascii="Arial Nova" w:eastAsia="Arial Nova" w:hAnsi="Arial Nova" w:cs="Arial Nova"/>
                <w:sz w:val="20"/>
                <w:szCs w:val="20"/>
              </w:rPr>
            </w:pPr>
            <w:proofErr w:type="spellStart"/>
            <w:r w:rsidRPr="2045D302">
              <w:rPr>
                <w:rFonts w:ascii="Arial Nova" w:eastAsia="Arial Nova" w:hAnsi="Arial Nova" w:cs="Arial Nova"/>
                <w:sz w:val="20"/>
                <w:szCs w:val="20"/>
              </w:rPr>
              <w:t>Pyroptosis</w:t>
            </w:r>
            <w:proofErr w:type="spellEnd"/>
            <w:r w:rsidRPr="2045D302">
              <w:rPr>
                <w:rFonts w:ascii="Arial Nova" w:eastAsia="Arial Nova" w:hAnsi="Arial Nova" w:cs="Arial Nova"/>
                <w:sz w:val="20"/>
                <w:szCs w:val="20"/>
              </w:rPr>
              <w:t xml:space="preserve"> mechanisms</w:t>
            </w:r>
          </w:p>
        </w:tc>
        <w:tc>
          <w:tcPr>
            <w:tcW w:w="1560" w:type="dxa"/>
            <w:vAlign w:val="center"/>
          </w:tcPr>
          <w:p w14:paraId="29D08EAC" w14:textId="773DDC47" w:rsidR="2045D302" w:rsidRDefault="2045D302" w:rsidP="2045D302">
            <w:pPr>
              <w:spacing w:after="0"/>
              <w:rPr>
                <w:rFonts w:ascii="Arial Nova" w:eastAsia="Arial Nova" w:hAnsi="Arial Nova" w:cs="Arial Nova"/>
                <w:sz w:val="20"/>
                <w:szCs w:val="20"/>
              </w:rPr>
            </w:pPr>
            <w:proofErr w:type="spellStart"/>
            <w:r w:rsidRPr="2045D302">
              <w:rPr>
                <w:rFonts w:ascii="Arial Nova" w:eastAsia="Arial Nova" w:hAnsi="Arial Nova" w:cs="Arial Nova"/>
                <w:sz w:val="20"/>
                <w:szCs w:val="20"/>
              </w:rPr>
              <w:t>Pyroptosis</w:t>
            </w:r>
            <w:proofErr w:type="spellEnd"/>
            <w:r w:rsidRPr="2045D302">
              <w:rPr>
                <w:rFonts w:ascii="Arial Nova" w:eastAsia="Arial Nova" w:hAnsi="Arial Nova" w:cs="Arial Nova"/>
                <w:sz w:val="20"/>
                <w:szCs w:val="20"/>
              </w:rPr>
              <w:t xml:space="preserve"> linked to mucosal damage and GC</w:t>
            </w:r>
          </w:p>
        </w:tc>
        <w:tc>
          <w:tcPr>
            <w:tcW w:w="1560" w:type="dxa"/>
            <w:vAlign w:val="center"/>
          </w:tcPr>
          <w:p w14:paraId="223170F3" w14:textId="6474A32F"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[25]</w:t>
            </w:r>
          </w:p>
        </w:tc>
      </w:tr>
      <w:tr w:rsidR="2045D302" w14:paraId="3A6D991C" w14:textId="77777777" w:rsidTr="2045D302">
        <w:trPr>
          <w:trHeight w:val="300"/>
        </w:trPr>
        <w:tc>
          <w:tcPr>
            <w:tcW w:w="1560" w:type="dxa"/>
            <w:vAlign w:val="center"/>
          </w:tcPr>
          <w:p w14:paraId="4B53326B" w14:textId="48063837" w:rsidR="2045D302" w:rsidRDefault="2045D302" w:rsidP="2045D302">
            <w:pPr>
              <w:spacing w:after="0"/>
              <w:rPr>
                <w:rFonts w:ascii="Arial Nova" w:eastAsia="Arial Nova" w:hAnsi="Arial Nova" w:cs="Arial Nova"/>
                <w:sz w:val="20"/>
                <w:szCs w:val="20"/>
              </w:rPr>
            </w:pPr>
            <w:proofErr w:type="spellStart"/>
            <w:r w:rsidRPr="2045D302">
              <w:rPr>
                <w:rFonts w:ascii="Arial Nova" w:eastAsia="Arial Nova" w:hAnsi="Arial Nova" w:cs="Arial Nova"/>
                <w:sz w:val="20"/>
                <w:szCs w:val="20"/>
              </w:rPr>
              <w:t>Alipour</w:t>
            </w:r>
            <w:proofErr w:type="spellEnd"/>
            <w:r w:rsidRPr="2045D302">
              <w:rPr>
                <w:rFonts w:ascii="Arial Nova" w:eastAsia="Arial Nova" w:hAnsi="Arial Nova" w:cs="Arial Nova"/>
                <w:sz w:val="20"/>
                <w:szCs w:val="20"/>
              </w:rPr>
              <w:t xml:space="preserve"> M, 2021</w:t>
            </w:r>
          </w:p>
        </w:tc>
        <w:tc>
          <w:tcPr>
            <w:tcW w:w="1560" w:type="dxa"/>
            <w:vAlign w:val="center"/>
          </w:tcPr>
          <w:p w14:paraId="76F468EA" w14:textId="26C4368D"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Observational</w:t>
            </w:r>
          </w:p>
        </w:tc>
        <w:tc>
          <w:tcPr>
            <w:tcW w:w="1560" w:type="dxa"/>
            <w:vAlign w:val="center"/>
          </w:tcPr>
          <w:p w14:paraId="053F7946" w14:textId="7E4BCE3A"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Adults, Iran</w:t>
            </w:r>
          </w:p>
        </w:tc>
        <w:tc>
          <w:tcPr>
            <w:tcW w:w="1560" w:type="dxa"/>
            <w:vAlign w:val="center"/>
          </w:tcPr>
          <w:p w14:paraId="4E642465" w14:textId="6D53C006"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H. pylori infection</w:t>
            </w:r>
          </w:p>
        </w:tc>
        <w:tc>
          <w:tcPr>
            <w:tcW w:w="1560" w:type="dxa"/>
            <w:vAlign w:val="center"/>
          </w:tcPr>
          <w:p w14:paraId="17B3F3FA" w14:textId="0F319C78"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Virulence factors linked to gastric cancer</w:t>
            </w:r>
          </w:p>
        </w:tc>
        <w:tc>
          <w:tcPr>
            <w:tcW w:w="1560" w:type="dxa"/>
            <w:vAlign w:val="center"/>
          </w:tcPr>
          <w:p w14:paraId="1563D41A" w14:textId="67AD7CC7"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[26]</w:t>
            </w:r>
          </w:p>
        </w:tc>
      </w:tr>
      <w:tr w:rsidR="2045D302" w14:paraId="3450B6D4" w14:textId="77777777" w:rsidTr="2045D302">
        <w:trPr>
          <w:trHeight w:val="300"/>
        </w:trPr>
        <w:tc>
          <w:tcPr>
            <w:tcW w:w="1560" w:type="dxa"/>
            <w:vAlign w:val="center"/>
          </w:tcPr>
          <w:p w14:paraId="54C1EB77" w14:textId="3D5CE361"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Reyes VE, 2023</w:t>
            </w:r>
          </w:p>
        </w:tc>
        <w:tc>
          <w:tcPr>
            <w:tcW w:w="1560" w:type="dxa"/>
            <w:vAlign w:val="center"/>
          </w:tcPr>
          <w:p w14:paraId="27F7373A" w14:textId="3F48591B"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Mechanistic review</w:t>
            </w:r>
          </w:p>
        </w:tc>
        <w:tc>
          <w:tcPr>
            <w:tcW w:w="1560" w:type="dxa"/>
            <w:vAlign w:val="center"/>
          </w:tcPr>
          <w:p w14:paraId="069A7552" w14:textId="39014117"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Gastric mucosa</w:t>
            </w:r>
          </w:p>
        </w:tc>
        <w:tc>
          <w:tcPr>
            <w:tcW w:w="1560" w:type="dxa"/>
            <w:vAlign w:val="center"/>
          </w:tcPr>
          <w:p w14:paraId="7AF4845B" w14:textId="58E4FFC9"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H. pylori antigens</w:t>
            </w:r>
          </w:p>
        </w:tc>
        <w:tc>
          <w:tcPr>
            <w:tcW w:w="1560" w:type="dxa"/>
            <w:vAlign w:val="center"/>
          </w:tcPr>
          <w:p w14:paraId="68B1D045" w14:textId="2A71B13D"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Antigens modulate immune evasion</w:t>
            </w:r>
          </w:p>
        </w:tc>
        <w:tc>
          <w:tcPr>
            <w:tcW w:w="1560" w:type="dxa"/>
            <w:vAlign w:val="center"/>
          </w:tcPr>
          <w:p w14:paraId="2FAD6387" w14:textId="28B73B0F"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[27]</w:t>
            </w:r>
          </w:p>
        </w:tc>
      </w:tr>
      <w:tr w:rsidR="2045D302" w14:paraId="79489AD9" w14:textId="77777777" w:rsidTr="2045D302">
        <w:trPr>
          <w:trHeight w:val="300"/>
        </w:trPr>
        <w:tc>
          <w:tcPr>
            <w:tcW w:w="1560" w:type="dxa"/>
            <w:vAlign w:val="center"/>
          </w:tcPr>
          <w:p w14:paraId="0D86BE6E" w14:textId="65BB0D57"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Gu Y et al., 2024</w:t>
            </w:r>
          </w:p>
        </w:tc>
        <w:tc>
          <w:tcPr>
            <w:tcW w:w="1560" w:type="dxa"/>
            <w:vAlign w:val="center"/>
          </w:tcPr>
          <w:p w14:paraId="46950A25" w14:textId="02AEABA4"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Experimental</w:t>
            </w:r>
          </w:p>
        </w:tc>
        <w:tc>
          <w:tcPr>
            <w:tcW w:w="1560" w:type="dxa"/>
            <w:vAlign w:val="center"/>
          </w:tcPr>
          <w:p w14:paraId="283739C3" w14:textId="184923CA"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H. pylori-infected cells</w:t>
            </w:r>
          </w:p>
        </w:tc>
        <w:tc>
          <w:tcPr>
            <w:tcW w:w="1560" w:type="dxa"/>
            <w:vAlign w:val="center"/>
          </w:tcPr>
          <w:p w14:paraId="1492D2E5" w14:textId="77AD8961"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Mechanistic pathways</w:t>
            </w:r>
          </w:p>
        </w:tc>
        <w:tc>
          <w:tcPr>
            <w:tcW w:w="1560" w:type="dxa"/>
            <w:vAlign w:val="center"/>
          </w:tcPr>
          <w:p w14:paraId="402ED737" w14:textId="5C77ADEE"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Highlighted oxidative stress &amp; carcinogenesis</w:t>
            </w:r>
          </w:p>
        </w:tc>
        <w:tc>
          <w:tcPr>
            <w:tcW w:w="1560" w:type="dxa"/>
            <w:vAlign w:val="center"/>
          </w:tcPr>
          <w:p w14:paraId="5974DB73" w14:textId="26A78F3E"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[28]</w:t>
            </w:r>
          </w:p>
        </w:tc>
      </w:tr>
      <w:tr w:rsidR="2045D302" w14:paraId="522618F9" w14:textId="77777777" w:rsidTr="2045D302">
        <w:trPr>
          <w:trHeight w:val="300"/>
        </w:trPr>
        <w:tc>
          <w:tcPr>
            <w:tcW w:w="1560" w:type="dxa"/>
            <w:vAlign w:val="center"/>
          </w:tcPr>
          <w:p w14:paraId="65DBE64E" w14:textId="6808EB97"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Chen YC et al., 2023</w:t>
            </w:r>
          </w:p>
        </w:tc>
        <w:tc>
          <w:tcPr>
            <w:tcW w:w="1560" w:type="dxa"/>
            <w:vAlign w:val="center"/>
          </w:tcPr>
          <w:p w14:paraId="15795F7B" w14:textId="01BA51EE"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Observational</w:t>
            </w:r>
          </w:p>
        </w:tc>
        <w:tc>
          <w:tcPr>
            <w:tcW w:w="1560" w:type="dxa"/>
            <w:vAlign w:val="center"/>
          </w:tcPr>
          <w:p w14:paraId="06BD99C4" w14:textId="0BDF0525"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Adults, Taiwan</w:t>
            </w:r>
          </w:p>
        </w:tc>
        <w:tc>
          <w:tcPr>
            <w:tcW w:w="1560" w:type="dxa"/>
            <w:vAlign w:val="center"/>
          </w:tcPr>
          <w:p w14:paraId="46E9C681" w14:textId="007EB6A2"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H. pylori infection</w:t>
            </w:r>
          </w:p>
        </w:tc>
        <w:tc>
          <w:tcPr>
            <w:tcW w:w="1560" w:type="dxa"/>
            <w:vAlign w:val="center"/>
          </w:tcPr>
          <w:p w14:paraId="03A31D34" w14:textId="50EA513A"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Identified risk modifiers of gastric cancer</w:t>
            </w:r>
          </w:p>
        </w:tc>
        <w:tc>
          <w:tcPr>
            <w:tcW w:w="1560" w:type="dxa"/>
            <w:vAlign w:val="center"/>
          </w:tcPr>
          <w:p w14:paraId="7873087E" w14:textId="4E8E46B8"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[29]</w:t>
            </w:r>
          </w:p>
        </w:tc>
      </w:tr>
      <w:tr w:rsidR="2045D302" w14:paraId="2663026B" w14:textId="77777777" w:rsidTr="2045D302">
        <w:trPr>
          <w:trHeight w:val="300"/>
        </w:trPr>
        <w:tc>
          <w:tcPr>
            <w:tcW w:w="1560" w:type="dxa"/>
            <w:vAlign w:val="center"/>
          </w:tcPr>
          <w:p w14:paraId="34172168" w14:textId="3B76BB7F" w:rsidR="2045D302" w:rsidRDefault="2045D302" w:rsidP="2045D302">
            <w:pPr>
              <w:spacing w:after="0"/>
              <w:rPr>
                <w:rFonts w:ascii="Arial Nova" w:eastAsia="Arial Nova" w:hAnsi="Arial Nova" w:cs="Arial Nova"/>
                <w:sz w:val="20"/>
                <w:szCs w:val="20"/>
              </w:rPr>
            </w:pPr>
            <w:proofErr w:type="spellStart"/>
            <w:r w:rsidRPr="2045D302">
              <w:rPr>
                <w:rFonts w:ascii="Arial Nova" w:eastAsia="Arial Nova" w:hAnsi="Arial Nova" w:cs="Arial Nova"/>
                <w:sz w:val="20"/>
                <w:szCs w:val="20"/>
              </w:rPr>
              <w:lastRenderedPageBreak/>
              <w:t>Xie</w:t>
            </w:r>
            <w:proofErr w:type="spellEnd"/>
            <w:r w:rsidRPr="2045D302">
              <w:rPr>
                <w:rFonts w:ascii="Arial Nova" w:eastAsia="Arial Nova" w:hAnsi="Arial Nova" w:cs="Arial Nova"/>
                <w:sz w:val="20"/>
                <w:szCs w:val="20"/>
              </w:rPr>
              <w:t xml:space="preserve"> FJ et al., 2024</w:t>
            </w:r>
          </w:p>
        </w:tc>
        <w:tc>
          <w:tcPr>
            <w:tcW w:w="1560" w:type="dxa"/>
            <w:vAlign w:val="center"/>
          </w:tcPr>
          <w:p w14:paraId="1E99AFF0" w14:textId="058CE3EE"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Review</w:t>
            </w:r>
          </w:p>
        </w:tc>
        <w:tc>
          <w:tcPr>
            <w:tcW w:w="1560" w:type="dxa"/>
            <w:vAlign w:val="center"/>
          </w:tcPr>
          <w:p w14:paraId="76F16F29" w14:textId="6663FE94"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Asian populations</w:t>
            </w:r>
          </w:p>
        </w:tc>
        <w:tc>
          <w:tcPr>
            <w:tcW w:w="1560" w:type="dxa"/>
            <w:vAlign w:val="center"/>
          </w:tcPr>
          <w:p w14:paraId="2B3D671E" w14:textId="314A9C64"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H. pylori prevalence</w:t>
            </w:r>
          </w:p>
        </w:tc>
        <w:tc>
          <w:tcPr>
            <w:tcW w:w="1560" w:type="dxa"/>
            <w:vAlign w:val="center"/>
          </w:tcPr>
          <w:p w14:paraId="49F351D5" w14:textId="204E38DA"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Higher prevalence linked to gastric cancer incidence</w:t>
            </w:r>
          </w:p>
        </w:tc>
        <w:tc>
          <w:tcPr>
            <w:tcW w:w="1560" w:type="dxa"/>
            <w:vAlign w:val="center"/>
          </w:tcPr>
          <w:p w14:paraId="01452DC1" w14:textId="2B56C977"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[30]</w:t>
            </w:r>
          </w:p>
        </w:tc>
      </w:tr>
      <w:tr w:rsidR="2045D302" w14:paraId="6DAAEDDD" w14:textId="77777777" w:rsidTr="2045D302">
        <w:trPr>
          <w:trHeight w:val="300"/>
        </w:trPr>
        <w:tc>
          <w:tcPr>
            <w:tcW w:w="1560" w:type="dxa"/>
            <w:vAlign w:val="center"/>
          </w:tcPr>
          <w:p w14:paraId="3830B806" w14:textId="1671828C"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 xml:space="preserve">Ali A &amp; </w:t>
            </w:r>
            <w:proofErr w:type="spellStart"/>
            <w:r w:rsidRPr="2045D302">
              <w:rPr>
                <w:rFonts w:ascii="Arial Nova" w:eastAsia="Arial Nova" w:hAnsi="Arial Nova" w:cs="Arial Nova"/>
                <w:sz w:val="20"/>
                <w:szCs w:val="20"/>
              </w:rPr>
              <w:t>AlHussaini</w:t>
            </w:r>
            <w:proofErr w:type="spellEnd"/>
            <w:r w:rsidRPr="2045D302">
              <w:rPr>
                <w:rFonts w:ascii="Arial Nova" w:eastAsia="Arial Nova" w:hAnsi="Arial Nova" w:cs="Arial Nova"/>
                <w:sz w:val="20"/>
                <w:szCs w:val="20"/>
              </w:rPr>
              <w:t xml:space="preserve"> KI, 2024</w:t>
            </w:r>
          </w:p>
        </w:tc>
        <w:tc>
          <w:tcPr>
            <w:tcW w:w="1560" w:type="dxa"/>
            <w:vAlign w:val="center"/>
          </w:tcPr>
          <w:p w14:paraId="3B4FC264" w14:textId="2F7E29F6"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Review</w:t>
            </w:r>
          </w:p>
        </w:tc>
        <w:tc>
          <w:tcPr>
            <w:tcW w:w="1560" w:type="dxa"/>
            <w:vAlign w:val="center"/>
          </w:tcPr>
          <w:p w14:paraId="32237680" w14:textId="3C1B9A36"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Pathogenesis/diagnosis</w:t>
            </w:r>
          </w:p>
        </w:tc>
        <w:tc>
          <w:tcPr>
            <w:tcW w:w="1560" w:type="dxa"/>
            <w:vAlign w:val="center"/>
          </w:tcPr>
          <w:p w14:paraId="2BC2E0DA" w14:textId="51BAB734"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H. pylori &amp; treatment</w:t>
            </w:r>
          </w:p>
        </w:tc>
        <w:tc>
          <w:tcPr>
            <w:tcW w:w="1560" w:type="dxa"/>
            <w:vAlign w:val="center"/>
          </w:tcPr>
          <w:p w14:paraId="1A16EC80" w14:textId="3D6BA499"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Contemporary overview</w:t>
            </w:r>
          </w:p>
        </w:tc>
        <w:tc>
          <w:tcPr>
            <w:tcW w:w="1560" w:type="dxa"/>
            <w:vAlign w:val="center"/>
          </w:tcPr>
          <w:p w14:paraId="52165565" w14:textId="18E03656"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[31]</w:t>
            </w:r>
          </w:p>
        </w:tc>
      </w:tr>
      <w:tr w:rsidR="2045D302" w14:paraId="54BFE919" w14:textId="77777777" w:rsidTr="2045D302">
        <w:trPr>
          <w:trHeight w:val="300"/>
        </w:trPr>
        <w:tc>
          <w:tcPr>
            <w:tcW w:w="1560" w:type="dxa"/>
            <w:vAlign w:val="center"/>
          </w:tcPr>
          <w:p w14:paraId="218B6598" w14:textId="6D0DD6EA" w:rsidR="2045D302" w:rsidRDefault="2045D302" w:rsidP="2045D302">
            <w:pPr>
              <w:spacing w:after="0"/>
              <w:rPr>
                <w:rFonts w:ascii="Arial Nova" w:eastAsia="Arial Nova" w:hAnsi="Arial Nova" w:cs="Arial Nova"/>
                <w:sz w:val="20"/>
                <w:szCs w:val="20"/>
              </w:rPr>
            </w:pPr>
            <w:proofErr w:type="spellStart"/>
            <w:r w:rsidRPr="2045D302">
              <w:rPr>
                <w:rFonts w:ascii="Arial Nova" w:eastAsia="Arial Nova" w:hAnsi="Arial Nova" w:cs="Arial Nova"/>
                <w:sz w:val="20"/>
                <w:szCs w:val="20"/>
              </w:rPr>
              <w:t>Booka</w:t>
            </w:r>
            <w:proofErr w:type="spellEnd"/>
            <w:r w:rsidRPr="2045D302">
              <w:rPr>
                <w:rFonts w:ascii="Arial Nova" w:eastAsia="Arial Nova" w:hAnsi="Arial Nova" w:cs="Arial Nova"/>
                <w:sz w:val="20"/>
                <w:szCs w:val="20"/>
              </w:rPr>
              <w:t xml:space="preserve"> E &amp; Takeuchi H, 2023</w:t>
            </w:r>
          </w:p>
        </w:tc>
        <w:tc>
          <w:tcPr>
            <w:tcW w:w="1560" w:type="dxa"/>
            <w:vAlign w:val="center"/>
          </w:tcPr>
          <w:p w14:paraId="3DDACD69" w14:textId="662B6CA2"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Clinical study</w:t>
            </w:r>
          </w:p>
        </w:tc>
        <w:tc>
          <w:tcPr>
            <w:tcW w:w="1560" w:type="dxa"/>
            <w:vAlign w:val="center"/>
          </w:tcPr>
          <w:p w14:paraId="649751A4" w14:textId="53AD792D"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Early gastric cancer</w:t>
            </w:r>
          </w:p>
        </w:tc>
        <w:tc>
          <w:tcPr>
            <w:tcW w:w="1560" w:type="dxa"/>
            <w:vAlign w:val="center"/>
          </w:tcPr>
          <w:p w14:paraId="187F8DD9" w14:textId="0960EAA6"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Sentinel node navigation</w:t>
            </w:r>
          </w:p>
        </w:tc>
        <w:tc>
          <w:tcPr>
            <w:tcW w:w="1560" w:type="dxa"/>
            <w:vAlign w:val="center"/>
          </w:tcPr>
          <w:p w14:paraId="73D422DC" w14:textId="20253531"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Adjunct in management</w:t>
            </w:r>
          </w:p>
        </w:tc>
        <w:tc>
          <w:tcPr>
            <w:tcW w:w="1560" w:type="dxa"/>
            <w:vAlign w:val="center"/>
          </w:tcPr>
          <w:p w14:paraId="781F7472" w14:textId="3B14CE79" w:rsidR="2045D302" w:rsidRDefault="2045D302"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[32]</w:t>
            </w:r>
          </w:p>
        </w:tc>
      </w:tr>
    </w:tbl>
    <w:p w14:paraId="0A7ED511" w14:textId="62E688E1" w:rsidR="004267E5" w:rsidRDefault="004267E5" w:rsidP="2045D302">
      <w:pPr>
        <w:spacing w:before="139" w:after="139"/>
        <w:rPr>
          <w:rFonts w:ascii="Arial Nova" w:eastAsia="Arial Nova" w:hAnsi="Arial Nova" w:cs="Arial Nova"/>
          <w:sz w:val="20"/>
          <w:szCs w:val="20"/>
        </w:rPr>
      </w:pPr>
    </w:p>
    <w:p w14:paraId="7E7C4118" w14:textId="560E7367" w:rsidR="004267E5" w:rsidRDefault="004267E5" w:rsidP="2045D302">
      <w:pPr>
        <w:spacing w:before="130" w:after="130"/>
        <w:ind w:left="3106" w:hanging="3107"/>
        <w:rPr>
          <w:rFonts w:ascii="Arial Nova" w:eastAsia="Arial Nova" w:hAnsi="Arial Nova" w:cs="Arial Nova"/>
          <w:color w:val="212121"/>
          <w:sz w:val="20"/>
          <w:szCs w:val="20"/>
        </w:rPr>
      </w:pPr>
    </w:p>
    <w:p w14:paraId="12EBF897" w14:textId="58120659" w:rsidR="004267E5" w:rsidRDefault="1B7CBF30"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 xml:space="preserve"> Table 1: Characteristics of the included studies.</w:t>
      </w:r>
    </w:p>
    <w:p w14:paraId="6D2E6A76" w14:textId="5E840EB4" w:rsidR="004267E5" w:rsidRDefault="1B7CBF30"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 xml:space="preserve">SR – Systematic Review; MA – Meta-analysis; RCT – Randomized Controlled Trial; </w:t>
      </w:r>
      <w:proofErr w:type="spellStart"/>
      <w:r w:rsidRPr="2045D302">
        <w:rPr>
          <w:rFonts w:ascii="Arial Nova" w:eastAsia="Arial Nova" w:hAnsi="Arial Nova" w:cs="Arial Nova"/>
          <w:sz w:val="20"/>
          <w:szCs w:val="20"/>
        </w:rPr>
        <w:t>Obs</w:t>
      </w:r>
      <w:proofErr w:type="spellEnd"/>
      <w:r w:rsidRPr="2045D302">
        <w:rPr>
          <w:rFonts w:ascii="Arial Nova" w:eastAsia="Arial Nova" w:hAnsi="Arial Nova" w:cs="Arial Nova"/>
          <w:sz w:val="20"/>
          <w:szCs w:val="20"/>
        </w:rPr>
        <w:t xml:space="preserve"> – Observational Study; PPI – Proton Pump Inhibitor; PRISMA Preferred Reporting Items for Systematic Reviews and Meta-Analyses; </w:t>
      </w:r>
      <w:proofErr w:type="spellStart"/>
      <w:r w:rsidRPr="2045D302">
        <w:rPr>
          <w:rFonts w:ascii="Arial Nova" w:eastAsia="Arial Nova" w:hAnsi="Arial Nova" w:cs="Arial Nova"/>
          <w:sz w:val="20"/>
          <w:szCs w:val="20"/>
        </w:rPr>
        <w:t>cagPAI</w:t>
      </w:r>
      <w:proofErr w:type="spellEnd"/>
      <w:r w:rsidRPr="2045D302">
        <w:rPr>
          <w:rFonts w:ascii="Arial Nova" w:eastAsia="Arial Nova" w:hAnsi="Arial Nova" w:cs="Arial Nova"/>
          <w:sz w:val="20"/>
          <w:szCs w:val="20"/>
        </w:rPr>
        <w:t xml:space="preserve"> – cag Pathogenicity Island; RR – Relative Risk.</w:t>
      </w:r>
    </w:p>
    <w:p w14:paraId="315C5270" w14:textId="7012B79F" w:rsidR="004267E5" w:rsidRDefault="1B7CBF30" w:rsidP="2045D302">
      <w:pPr>
        <w:spacing w:after="0"/>
        <w:rPr>
          <w:rFonts w:ascii="Arial Nova" w:eastAsia="Arial Nova" w:hAnsi="Arial Nova" w:cs="Arial Nova"/>
          <w:sz w:val="20"/>
          <w:szCs w:val="20"/>
        </w:rPr>
      </w:pPr>
      <w:r w:rsidRPr="2045D302">
        <w:rPr>
          <w:rFonts w:ascii="Arial Nova" w:eastAsia="Arial Nova" w:hAnsi="Arial Nova" w:cs="Arial Nova"/>
          <w:sz w:val="20"/>
          <w:szCs w:val="20"/>
        </w:rPr>
        <w:t>Main findings summarize the direction and magnitude of effect (e.g., ↓ = reduction) for Helicobacter pylori eradication outcomes in relation to gastric cancer incidence or progression, as reported in references [9–32</w:t>
      </w:r>
      <w:proofErr w:type="gramStart"/>
      <w:r w:rsidRPr="2045D302">
        <w:rPr>
          <w:rFonts w:ascii="Arial Nova" w:eastAsia="Arial Nova" w:hAnsi="Arial Nova" w:cs="Arial Nova"/>
          <w:sz w:val="20"/>
          <w:szCs w:val="20"/>
        </w:rPr>
        <w:t>] .</w:t>
      </w:r>
      <w:proofErr w:type="gramEnd"/>
    </w:p>
    <w:p w14:paraId="6217EFD5" w14:textId="65A43C70" w:rsidR="004267E5" w:rsidRDefault="004267E5" w:rsidP="2045D302">
      <w:pPr>
        <w:spacing w:after="0"/>
        <w:rPr>
          <w:rFonts w:ascii="Arial Nova" w:eastAsia="Arial Nova" w:hAnsi="Arial Nova" w:cs="Arial Nova"/>
          <w:sz w:val="20"/>
          <w:szCs w:val="20"/>
        </w:rPr>
      </w:pPr>
    </w:p>
    <w:p w14:paraId="6D2A601B" w14:textId="5C6D4417" w:rsidR="004267E5" w:rsidRDefault="7EB2036C" w:rsidP="2045D302">
      <w:pPr>
        <w:spacing w:before="240" w:after="240"/>
        <w:rPr>
          <w:rFonts w:ascii="Arial Nova" w:eastAsia="Arial Nova" w:hAnsi="Arial Nova" w:cs="Arial Nova"/>
          <w:sz w:val="20"/>
          <w:szCs w:val="20"/>
        </w:rPr>
      </w:pPr>
      <w:r w:rsidRPr="2045D302">
        <w:rPr>
          <w:rFonts w:ascii="Arial Nova" w:eastAsia="Arial Nova" w:hAnsi="Arial Nova" w:cs="Arial Nova"/>
          <w:sz w:val="20"/>
          <w:szCs w:val="20"/>
        </w:rPr>
        <w:t>Most studies found significantly fewer cases of gastric cancer after H. pylori eradication was carried out, especially those who had early-stage gastric cancer or precancerous lesions (e.g., intestinal metaplasia and dysplasia). A single meta-analysis indicated that there was an over 50% reduction of risk in groups that were studied after being eradicated, and there was also the indication that this advantage continued to be beneficial when they remained in a negative H. pylori status.</w:t>
      </w:r>
    </w:p>
    <w:p w14:paraId="5CA855CE" w14:textId="7BC123F4" w:rsidR="004267E5" w:rsidRDefault="7EB2036C" w:rsidP="2045D302">
      <w:pPr>
        <w:spacing w:before="240" w:after="240"/>
        <w:rPr>
          <w:rFonts w:ascii="Arial Nova" w:eastAsia="Arial Nova" w:hAnsi="Arial Nova" w:cs="Arial Nova"/>
          <w:sz w:val="20"/>
          <w:szCs w:val="20"/>
        </w:rPr>
      </w:pPr>
      <w:r w:rsidRPr="2045D302">
        <w:rPr>
          <w:rFonts w:ascii="Arial Nova" w:eastAsia="Arial Nova" w:hAnsi="Arial Nova" w:cs="Arial Nova"/>
          <w:sz w:val="20"/>
          <w:szCs w:val="20"/>
        </w:rPr>
        <w:t>Risk of Bias Assessment Results</w:t>
      </w:r>
    </w:p>
    <w:p w14:paraId="4A9E5413" w14:textId="2E33F806" w:rsidR="004267E5" w:rsidRDefault="7EB2036C" w:rsidP="2045D302">
      <w:pPr>
        <w:spacing w:before="240" w:after="240"/>
        <w:rPr>
          <w:rFonts w:ascii="Arial Nova" w:eastAsia="Arial Nova" w:hAnsi="Arial Nova" w:cs="Arial Nova"/>
          <w:sz w:val="20"/>
          <w:szCs w:val="20"/>
        </w:rPr>
      </w:pPr>
      <w:r w:rsidRPr="2045D302">
        <w:rPr>
          <w:rFonts w:ascii="Arial Nova" w:eastAsia="Arial Nova" w:hAnsi="Arial Nova" w:cs="Arial Nova"/>
          <w:sz w:val="20"/>
          <w:szCs w:val="20"/>
        </w:rPr>
        <w:t>The risk of bias assessment is presented in Table 2.</w:t>
      </w:r>
    </w:p>
    <w:tbl>
      <w:tblPr>
        <w:tblStyle w:val="GridTable1Light-Accent1"/>
        <w:tblW w:w="0" w:type="auto"/>
        <w:tblLayout w:type="fixed"/>
        <w:tblLook w:val="06A0" w:firstRow="1" w:lastRow="0" w:firstColumn="1" w:lastColumn="0" w:noHBand="1" w:noVBand="1"/>
      </w:tblPr>
      <w:tblGrid>
        <w:gridCol w:w="1560"/>
        <w:gridCol w:w="1560"/>
        <w:gridCol w:w="1560"/>
        <w:gridCol w:w="1560"/>
        <w:gridCol w:w="1560"/>
        <w:gridCol w:w="1560"/>
      </w:tblGrid>
      <w:tr w:rsidR="2045D302" w14:paraId="32F75E80" w14:textId="77777777" w:rsidTr="2045D30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60" w:type="dxa"/>
          </w:tcPr>
          <w:p w14:paraId="34F0079A" w14:textId="5BB73C88" w:rsidR="13A8588D" w:rsidRDefault="13A8588D" w:rsidP="2045D302">
            <w:pPr>
              <w:rPr>
                <w:rFonts w:ascii="Arial Nova" w:eastAsia="Arial Nova" w:hAnsi="Arial Nova" w:cs="Arial Nova"/>
                <w:sz w:val="20"/>
                <w:szCs w:val="20"/>
              </w:rPr>
            </w:pPr>
            <w:r w:rsidRPr="2045D302">
              <w:rPr>
                <w:rFonts w:ascii="Arial Nova" w:eastAsia="Arial Nova" w:hAnsi="Arial Nova" w:cs="Arial Nova"/>
                <w:sz w:val="20"/>
                <w:szCs w:val="20"/>
              </w:rPr>
              <w:t>Study Type</w:t>
            </w:r>
          </w:p>
        </w:tc>
        <w:tc>
          <w:tcPr>
            <w:tcW w:w="1560" w:type="dxa"/>
          </w:tcPr>
          <w:p w14:paraId="5A66211A" w14:textId="2EE27725" w:rsidR="13A8588D" w:rsidRDefault="13A8588D" w:rsidP="2045D302">
            <w:pPr>
              <w:cnfStyle w:val="100000000000" w:firstRow="1" w:lastRow="0" w:firstColumn="0" w:lastColumn="0" w:oddVBand="0" w:evenVBand="0" w:oddHBand="0" w:evenHBand="0" w:firstRowFirstColumn="0" w:firstRowLastColumn="0" w:lastRowFirstColumn="0" w:lastRowLastColumn="0"/>
              <w:rPr>
                <w:rFonts w:ascii="Arial Nova" w:eastAsia="Arial Nova" w:hAnsi="Arial Nova" w:cs="Arial Nova"/>
                <w:sz w:val="20"/>
                <w:szCs w:val="20"/>
              </w:rPr>
            </w:pPr>
            <w:r w:rsidRPr="2045D302">
              <w:rPr>
                <w:rFonts w:ascii="Arial Nova" w:eastAsia="Arial Nova" w:hAnsi="Arial Nova" w:cs="Arial Nova"/>
                <w:sz w:val="20"/>
                <w:szCs w:val="20"/>
              </w:rPr>
              <w:t>N</w:t>
            </w:r>
          </w:p>
        </w:tc>
        <w:tc>
          <w:tcPr>
            <w:tcW w:w="1560" w:type="dxa"/>
          </w:tcPr>
          <w:p w14:paraId="4ACF01B0" w14:textId="3C866E3F" w:rsidR="13A8588D" w:rsidRDefault="13A8588D" w:rsidP="2045D302">
            <w:pPr>
              <w:cnfStyle w:val="100000000000" w:firstRow="1" w:lastRow="0" w:firstColumn="0" w:lastColumn="0" w:oddVBand="0" w:evenVBand="0" w:oddHBand="0" w:evenHBand="0" w:firstRowFirstColumn="0" w:firstRowLastColumn="0" w:lastRowFirstColumn="0" w:lastRowLastColumn="0"/>
              <w:rPr>
                <w:rFonts w:ascii="Arial Nova" w:eastAsia="Arial Nova" w:hAnsi="Arial Nova" w:cs="Arial Nova"/>
                <w:sz w:val="20"/>
                <w:szCs w:val="20"/>
              </w:rPr>
            </w:pPr>
            <w:r w:rsidRPr="2045D302">
              <w:rPr>
                <w:rFonts w:ascii="Arial Nova" w:eastAsia="Arial Nova" w:hAnsi="Arial Nova" w:cs="Arial Nova"/>
                <w:sz w:val="20"/>
                <w:szCs w:val="20"/>
              </w:rPr>
              <w:t xml:space="preserve"> Tool Used</w:t>
            </w:r>
          </w:p>
        </w:tc>
        <w:tc>
          <w:tcPr>
            <w:tcW w:w="1560" w:type="dxa"/>
          </w:tcPr>
          <w:p w14:paraId="439878F8" w14:textId="2AB80759" w:rsidR="13A8588D" w:rsidRDefault="13A8588D" w:rsidP="2045D302">
            <w:pPr>
              <w:cnfStyle w:val="100000000000" w:firstRow="1" w:lastRow="0" w:firstColumn="0" w:lastColumn="0" w:oddVBand="0" w:evenVBand="0" w:oddHBand="0" w:evenHBand="0" w:firstRowFirstColumn="0" w:firstRowLastColumn="0" w:lastRowFirstColumn="0" w:lastRowLastColumn="0"/>
              <w:rPr>
                <w:rFonts w:ascii="Arial Nova" w:eastAsia="Arial Nova" w:hAnsi="Arial Nova" w:cs="Arial Nova"/>
                <w:sz w:val="20"/>
                <w:szCs w:val="20"/>
              </w:rPr>
            </w:pPr>
            <w:r w:rsidRPr="2045D302">
              <w:rPr>
                <w:rFonts w:ascii="Arial Nova" w:eastAsia="Arial Nova" w:hAnsi="Arial Nova" w:cs="Arial Nova"/>
                <w:sz w:val="20"/>
                <w:szCs w:val="20"/>
              </w:rPr>
              <w:t>High Quality</w:t>
            </w:r>
          </w:p>
          <w:p w14:paraId="43957AA1" w14:textId="4CFAFDB3" w:rsidR="2045D302" w:rsidRDefault="2045D302" w:rsidP="2045D302">
            <w:pPr>
              <w:cnfStyle w:val="100000000000" w:firstRow="1" w:lastRow="0" w:firstColumn="0" w:lastColumn="0" w:oddVBand="0" w:evenVBand="0" w:oddHBand="0" w:evenHBand="0" w:firstRowFirstColumn="0" w:firstRowLastColumn="0" w:lastRowFirstColumn="0" w:lastRowLastColumn="0"/>
              <w:rPr>
                <w:rFonts w:ascii="Arial Nova" w:eastAsia="Arial Nova" w:hAnsi="Arial Nova" w:cs="Arial Nova"/>
                <w:sz w:val="20"/>
                <w:szCs w:val="20"/>
              </w:rPr>
            </w:pPr>
          </w:p>
        </w:tc>
        <w:tc>
          <w:tcPr>
            <w:tcW w:w="1560" w:type="dxa"/>
          </w:tcPr>
          <w:p w14:paraId="7C9710D4" w14:textId="2B9C307A" w:rsidR="13A8588D" w:rsidRDefault="13A8588D" w:rsidP="2045D302">
            <w:pPr>
              <w:cnfStyle w:val="100000000000" w:firstRow="1" w:lastRow="0" w:firstColumn="0" w:lastColumn="0" w:oddVBand="0" w:evenVBand="0" w:oddHBand="0" w:evenHBand="0" w:firstRowFirstColumn="0" w:firstRowLastColumn="0" w:lastRowFirstColumn="0" w:lastRowLastColumn="0"/>
              <w:rPr>
                <w:rFonts w:ascii="Arial Nova" w:eastAsia="Arial Nova" w:hAnsi="Arial Nova" w:cs="Arial Nova"/>
                <w:sz w:val="20"/>
                <w:szCs w:val="20"/>
              </w:rPr>
            </w:pPr>
            <w:r w:rsidRPr="2045D302">
              <w:rPr>
                <w:rFonts w:ascii="Arial Nova" w:eastAsia="Arial Nova" w:hAnsi="Arial Nova" w:cs="Arial Nova"/>
                <w:sz w:val="20"/>
                <w:szCs w:val="20"/>
              </w:rPr>
              <w:t>Moderate</w:t>
            </w:r>
          </w:p>
        </w:tc>
        <w:tc>
          <w:tcPr>
            <w:tcW w:w="1560" w:type="dxa"/>
          </w:tcPr>
          <w:p w14:paraId="290F920D" w14:textId="189CCEDB" w:rsidR="13A8588D" w:rsidRDefault="13A8588D" w:rsidP="2045D302">
            <w:pPr>
              <w:cnfStyle w:val="100000000000" w:firstRow="1" w:lastRow="0" w:firstColumn="0" w:lastColumn="0" w:oddVBand="0" w:evenVBand="0" w:oddHBand="0" w:evenHBand="0" w:firstRowFirstColumn="0" w:firstRowLastColumn="0" w:lastRowFirstColumn="0" w:lastRowLastColumn="0"/>
              <w:rPr>
                <w:rFonts w:ascii="Arial Nova" w:eastAsia="Arial Nova" w:hAnsi="Arial Nova" w:cs="Arial Nova"/>
                <w:sz w:val="20"/>
                <w:szCs w:val="20"/>
              </w:rPr>
            </w:pPr>
            <w:r w:rsidRPr="2045D302">
              <w:rPr>
                <w:rFonts w:ascii="Arial Nova" w:eastAsia="Arial Nova" w:hAnsi="Arial Nova" w:cs="Arial Nova"/>
                <w:sz w:val="20"/>
                <w:szCs w:val="20"/>
              </w:rPr>
              <w:t>Low</w:t>
            </w:r>
          </w:p>
        </w:tc>
      </w:tr>
      <w:tr w:rsidR="2045D302" w14:paraId="0B7358C0" w14:textId="77777777" w:rsidTr="2045D302">
        <w:trPr>
          <w:trHeight w:val="300"/>
        </w:trPr>
        <w:tc>
          <w:tcPr>
            <w:cnfStyle w:val="001000000000" w:firstRow="0" w:lastRow="0" w:firstColumn="1" w:lastColumn="0" w:oddVBand="0" w:evenVBand="0" w:oddHBand="0" w:evenHBand="0" w:firstRowFirstColumn="0" w:firstRowLastColumn="0" w:lastRowFirstColumn="0" w:lastRowLastColumn="0"/>
            <w:tcW w:w="1560" w:type="dxa"/>
          </w:tcPr>
          <w:p w14:paraId="502026D2" w14:textId="60409516" w:rsidR="13A8588D" w:rsidRDefault="13A8588D" w:rsidP="2045D302">
            <w:pPr>
              <w:rPr>
                <w:rFonts w:ascii="Arial Nova" w:eastAsia="Arial Nova" w:hAnsi="Arial Nova" w:cs="Arial Nova"/>
                <w:sz w:val="20"/>
                <w:szCs w:val="20"/>
              </w:rPr>
            </w:pPr>
            <w:r w:rsidRPr="2045D302">
              <w:rPr>
                <w:rFonts w:ascii="Arial Nova" w:eastAsia="Arial Nova" w:hAnsi="Arial Nova" w:cs="Arial Nova"/>
                <w:sz w:val="20"/>
                <w:szCs w:val="20"/>
              </w:rPr>
              <w:t>RCTs (</w:t>
            </w:r>
            <w:proofErr w:type="spellStart"/>
            <w:r w:rsidRPr="2045D302">
              <w:rPr>
                <w:rFonts w:ascii="Arial Nova" w:eastAsia="Arial Nova" w:hAnsi="Arial Nova" w:cs="Arial Nova"/>
                <w:sz w:val="20"/>
                <w:szCs w:val="20"/>
              </w:rPr>
              <w:t>Fukase</w:t>
            </w:r>
            <w:proofErr w:type="spellEnd"/>
            <w:r w:rsidRPr="2045D302">
              <w:rPr>
                <w:rFonts w:ascii="Arial Nova" w:eastAsia="Arial Nova" w:hAnsi="Arial Nova" w:cs="Arial Nova"/>
                <w:sz w:val="20"/>
                <w:szCs w:val="20"/>
              </w:rPr>
              <w:t xml:space="preserve"> 2008 [20]; Choi 2018 [21]; Choi 2020 [22]; Jung 2015 [24])</w:t>
            </w:r>
          </w:p>
        </w:tc>
        <w:tc>
          <w:tcPr>
            <w:tcW w:w="1560" w:type="dxa"/>
          </w:tcPr>
          <w:p w14:paraId="28A913F3" w14:textId="7B0ED0A6" w:rsidR="13A8588D" w:rsidRDefault="13A8588D" w:rsidP="2045D302">
            <w:pPr>
              <w:cnfStyle w:val="000000000000" w:firstRow="0" w:lastRow="0" w:firstColumn="0" w:lastColumn="0" w:oddVBand="0" w:evenVBand="0" w:oddHBand="0" w:evenHBand="0" w:firstRowFirstColumn="0" w:firstRowLastColumn="0" w:lastRowFirstColumn="0" w:lastRowLastColumn="0"/>
              <w:rPr>
                <w:rFonts w:ascii="Arial Nova" w:eastAsia="Arial Nova" w:hAnsi="Arial Nova" w:cs="Arial Nova"/>
                <w:sz w:val="20"/>
                <w:szCs w:val="20"/>
              </w:rPr>
            </w:pPr>
            <w:r w:rsidRPr="2045D302">
              <w:rPr>
                <w:rFonts w:ascii="Arial Nova" w:eastAsia="Arial Nova" w:hAnsi="Arial Nova" w:cs="Arial Nova"/>
                <w:sz w:val="20"/>
                <w:szCs w:val="20"/>
              </w:rPr>
              <w:t>4</w:t>
            </w:r>
          </w:p>
        </w:tc>
        <w:tc>
          <w:tcPr>
            <w:tcW w:w="1560" w:type="dxa"/>
          </w:tcPr>
          <w:p w14:paraId="3678A407" w14:textId="621DD03F" w:rsidR="13A8588D" w:rsidRDefault="13A8588D" w:rsidP="2045D302">
            <w:pPr>
              <w:cnfStyle w:val="000000000000" w:firstRow="0" w:lastRow="0" w:firstColumn="0" w:lastColumn="0" w:oddVBand="0" w:evenVBand="0" w:oddHBand="0" w:evenHBand="0" w:firstRowFirstColumn="0" w:firstRowLastColumn="0" w:lastRowFirstColumn="0" w:lastRowLastColumn="0"/>
              <w:rPr>
                <w:rFonts w:ascii="Arial Nova" w:eastAsia="Arial Nova" w:hAnsi="Arial Nova" w:cs="Arial Nova"/>
                <w:sz w:val="20"/>
                <w:szCs w:val="20"/>
              </w:rPr>
            </w:pPr>
            <w:r w:rsidRPr="2045D302">
              <w:rPr>
                <w:rFonts w:ascii="Arial Nova" w:eastAsia="Arial Nova" w:hAnsi="Arial Nova" w:cs="Arial Nova"/>
                <w:sz w:val="20"/>
                <w:szCs w:val="20"/>
              </w:rPr>
              <w:t>RoB 2 [6]</w:t>
            </w:r>
          </w:p>
        </w:tc>
        <w:tc>
          <w:tcPr>
            <w:tcW w:w="1560" w:type="dxa"/>
          </w:tcPr>
          <w:p w14:paraId="05180880" w14:textId="7E6020BC" w:rsidR="13A8588D" w:rsidRDefault="13A8588D" w:rsidP="2045D302">
            <w:pPr>
              <w:cnfStyle w:val="000000000000" w:firstRow="0" w:lastRow="0" w:firstColumn="0" w:lastColumn="0" w:oddVBand="0" w:evenVBand="0" w:oddHBand="0" w:evenHBand="0" w:firstRowFirstColumn="0" w:firstRowLastColumn="0" w:lastRowFirstColumn="0" w:lastRowLastColumn="0"/>
              <w:rPr>
                <w:rFonts w:ascii="Arial Nova" w:eastAsia="Arial Nova" w:hAnsi="Arial Nova" w:cs="Arial Nova"/>
                <w:sz w:val="20"/>
                <w:szCs w:val="20"/>
              </w:rPr>
            </w:pPr>
            <w:r w:rsidRPr="2045D302">
              <w:rPr>
                <w:rFonts w:ascii="Arial Nova" w:eastAsia="Arial Nova" w:hAnsi="Arial Nova" w:cs="Arial Nova"/>
                <w:sz w:val="20"/>
                <w:szCs w:val="20"/>
              </w:rPr>
              <w:t>3</w:t>
            </w:r>
          </w:p>
        </w:tc>
        <w:tc>
          <w:tcPr>
            <w:tcW w:w="1560" w:type="dxa"/>
          </w:tcPr>
          <w:p w14:paraId="515A1F26" w14:textId="009BEAA3" w:rsidR="13A8588D" w:rsidRDefault="13A8588D" w:rsidP="2045D302">
            <w:pPr>
              <w:cnfStyle w:val="000000000000" w:firstRow="0" w:lastRow="0" w:firstColumn="0" w:lastColumn="0" w:oddVBand="0" w:evenVBand="0" w:oddHBand="0" w:evenHBand="0" w:firstRowFirstColumn="0" w:firstRowLastColumn="0" w:lastRowFirstColumn="0" w:lastRowLastColumn="0"/>
              <w:rPr>
                <w:rFonts w:ascii="Arial Nova" w:eastAsia="Arial Nova" w:hAnsi="Arial Nova" w:cs="Arial Nova"/>
                <w:sz w:val="20"/>
                <w:szCs w:val="20"/>
              </w:rPr>
            </w:pPr>
            <w:r w:rsidRPr="2045D302">
              <w:rPr>
                <w:rFonts w:ascii="Arial Nova" w:eastAsia="Arial Nova" w:hAnsi="Arial Nova" w:cs="Arial Nova"/>
                <w:sz w:val="20"/>
                <w:szCs w:val="20"/>
              </w:rPr>
              <w:t>1</w:t>
            </w:r>
          </w:p>
        </w:tc>
        <w:tc>
          <w:tcPr>
            <w:tcW w:w="1560" w:type="dxa"/>
          </w:tcPr>
          <w:p w14:paraId="51A0DC2C" w14:textId="480666DD" w:rsidR="13A8588D" w:rsidRDefault="13A8588D" w:rsidP="2045D302">
            <w:pPr>
              <w:cnfStyle w:val="000000000000" w:firstRow="0" w:lastRow="0" w:firstColumn="0" w:lastColumn="0" w:oddVBand="0" w:evenVBand="0" w:oddHBand="0" w:evenHBand="0" w:firstRowFirstColumn="0" w:firstRowLastColumn="0" w:lastRowFirstColumn="0" w:lastRowLastColumn="0"/>
              <w:rPr>
                <w:rFonts w:ascii="Arial Nova" w:eastAsia="Arial Nova" w:hAnsi="Arial Nova" w:cs="Arial Nova"/>
                <w:sz w:val="20"/>
                <w:szCs w:val="20"/>
              </w:rPr>
            </w:pPr>
            <w:r w:rsidRPr="2045D302">
              <w:rPr>
                <w:rFonts w:ascii="Arial Nova" w:eastAsia="Arial Nova" w:hAnsi="Arial Nova" w:cs="Arial Nova"/>
                <w:sz w:val="20"/>
                <w:szCs w:val="20"/>
              </w:rPr>
              <w:t>0</w:t>
            </w:r>
          </w:p>
        </w:tc>
      </w:tr>
      <w:tr w:rsidR="2045D302" w14:paraId="186EC65E" w14:textId="77777777" w:rsidTr="2045D302">
        <w:trPr>
          <w:trHeight w:val="300"/>
        </w:trPr>
        <w:tc>
          <w:tcPr>
            <w:cnfStyle w:val="001000000000" w:firstRow="0" w:lastRow="0" w:firstColumn="1" w:lastColumn="0" w:oddVBand="0" w:evenVBand="0" w:oddHBand="0" w:evenHBand="0" w:firstRowFirstColumn="0" w:firstRowLastColumn="0" w:lastRowFirstColumn="0" w:lastRowLastColumn="0"/>
            <w:tcW w:w="1560" w:type="dxa"/>
          </w:tcPr>
          <w:p w14:paraId="7162721E" w14:textId="4B0A8442" w:rsidR="13A8588D" w:rsidRDefault="13A8588D" w:rsidP="2045D302">
            <w:pPr>
              <w:rPr>
                <w:rFonts w:ascii="Arial Nova" w:eastAsia="Arial Nova" w:hAnsi="Arial Nova" w:cs="Arial Nova"/>
                <w:sz w:val="20"/>
                <w:szCs w:val="20"/>
              </w:rPr>
            </w:pPr>
            <w:r w:rsidRPr="2045D302">
              <w:rPr>
                <w:rFonts w:ascii="Arial Nova" w:eastAsia="Arial Nova" w:hAnsi="Arial Nova" w:cs="Arial Nova"/>
                <w:sz w:val="20"/>
                <w:szCs w:val="20"/>
              </w:rPr>
              <w:t xml:space="preserve">Observational (e.g., Li 2022 [9]; Guo 2020 [14]; Zhou 2024 [16]; </w:t>
            </w:r>
            <w:r w:rsidRPr="2045D302">
              <w:rPr>
                <w:rFonts w:ascii="Arial Nova" w:eastAsia="Arial Nova" w:hAnsi="Arial Nova" w:cs="Arial Nova"/>
                <w:sz w:val="20"/>
                <w:szCs w:val="20"/>
              </w:rPr>
              <w:lastRenderedPageBreak/>
              <w:t>Hua 2023 [19])</w:t>
            </w:r>
          </w:p>
        </w:tc>
        <w:tc>
          <w:tcPr>
            <w:tcW w:w="1560" w:type="dxa"/>
          </w:tcPr>
          <w:p w14:paraId="108E5A8D" w14:textId="51911A83" w:rsidR="13A8588D" w:rsidRDefault="13A8588D" w:rsidP="2045D302">
            <w:pPr>
              <w:cnfStyle w:val="000000000000" w:firstRow="0" w:lastRow="0" w:firstColumn="0" w:lastColumn="0" w:oddVBand="0" w:evenVBand="0" w:oddHBand="0" w:evenHBand="0" w:firstRowFirstColumn="0" w:firstRowLastColumn="0" w:lastRowFirstColumn="0" w:lastRowLastColumn="0"/>
              <w:rPr>
                <w:rFonts w:ascii="Arial Nova" w:eastAsia="Arial Nova" w:hAnsi="Arial Nova" w:cs="Arial Nova"/>
                <w:sz w:val="20"/>
                <w:szCs w:val="20"/>
              </w:rPr>
            </w:pPr>
            <w:r w:rsidRPr="2045D302">
              <w:rPr>
                <w:rFonts w:ascii="Arial Nova" w:eastAsia="Arial Nova" w:hAnsi="Arial Nova" w:cs="Arial Nova"/>
                <w:sz w:val="20"/>
                <w:szCs w:val="20"/>
              </w:rPr>
              <w:lastRenderedPageBreak/>
              <w:t>24</w:t>
            </w:r>
          </w:p>
        </w:tc>
        <w:tc>
          <w:tcPr>
            <w:tcW w:w="1560" w:type="dxa"/>
          </w:tcPr>
          <w:p w14:paraId="74F78E07" w14:textId="1DB90CC6" w:rsidR="13A8588D" w:rsidRDefault="13A8588D" w:rsidP="2045D302">
            <w:pPr>
              <w:cnfStyle w:val="000000000000" w:firstRow="0" w:lastRow="0" w:firstColumn="0" w:lastColumn="0" w:oddVBand="0" w:evenVBand="0" w:oddHBand="0" w:evenHBand="0" w:firstRowFirstColumn="0" w:firstRowLastColumn="0" w:lastRowFirstColumn="0" w:lastRowLastColumn="0"/>
              <w:rPr>
                <w:rFonts w:ascii="Arial Nova" w:eastAsia="Arial Nova" w:hAnsi="Arial Nova" w:cs="Arial Nova"/>
                <w:sz w:val="20"/>
                <w:szCs w:val="20"/>
              </w:rPr>
            </w:pPr>
            <w:r w:rsidRPr="2045D302">
              <w:rPr>
                <w:rFonts w:ascii="Arial Nova" w:eastAsia="Arial Nova" w:hAnsi="Arial Nova" w:cs="Arial Nova"/>
                <w:sz w:val="20"/>
                <w:szCs w:val="20"/>
              </w:rPr>
              <w:t>Newcastle Ottawa [7]</w:t>
            </w:r>
          </w:p>
        </w:tc>
        <w:tc>
          <w:tcPr>
            <w:tcW w:w="1560" w:type="dxa"/>
          </w:tcPr>
          <w:p w14:paraId="2EC3CC1E" w14:textId="10495DE0" w:rsidR="13A8588D" w:rsidRDefault="13A8588D" w:rsidP="2045D302">
            <w:pPr>
              <w:cnfStyle w:val="000000000000" w:firstRow="0" w:lastRow="0" w:firstColumn="0" w:lastColumn="0" w:oddVBand="0" w:evenVBand="0" w:oddHBand="0" w:evenHBand="0" w:firstRowFirstColumn="0" w:firstRowLastColumn="0" w:lastRowFirstColumn="0" w:lastRowLastColumn="0"/>
              <w:rPr>
                <w:rFonts w:ascii="Arial Nova" w:eastAsia="Arial Nova" w:hAnsi="Arial Nova" w:cs="Arial Nova"/>
                <w:sz w:val="20"/>
                <w:szCs w:val="20"/>
              </w:rPr>
            </w:pPr>
            <w:r w:rsidRPr="2045D302">
              <w:rPr>
                <w:rFonts w:ascii="Arial Nova" w:eastAsia="Arial Nova" w:hAnsi="Arial Nova" w:cs="Arial Nova"/>
                <w:sz w:val="20"/>
                <w:szCs w:val="20"/>
              </w:rPr>
              <w:t>20</w:t>
            </w:r>
          </w:p>
        </w:tc>
        <w:tc>
          <w:tcPr>
            <w:tcW w:w="1560" w:type="dxa"/>
          </w:tcPr>
          <w:p w14:paraId="49D8CAB9" w14:textId="03C58E4D" w:rsidR="13A8588D" w:rsidRDefault="13A8588D" w:rsidP="2045D302">
            <w:pPr>
              <w:cnfStyle w:val="000000000000" w:firstRow="0" w:lastRow="0" w:firstColumn="0" w:lastColumn="0" w:oddVBand="0" w:evenVBand="0" w:oddHBand="0" w:evenHBand="0" w:firstRowFirstColumn="0" w:firstRowLastColumn="0" w:lastRowFirstColumn="0" w:lastRowLastColumn="0"/>
              <w:rPr>
                <w:rFonts w:ascii="Arial Nova" w:eastAsia="Arial Nova" w:hAnsi="Arial Nova" w:cs="Arial Nova"/>
                <w:sz w:val="20"/>
                <w:szCs w:val="20"/>
              </w:rPr>
            </w:pPr>
            <w:r w:rsidRPr="2045D302">
              <w:rPr>
                <w:rFonts w:ascii="Arial Nova" w:eastAsia="Arial Nova" w:hAnsi="Arial Nova" w:cs="Arial Nova"/>
                <w:sz w:val="20"/>
                <w:szCs w:val="20"/>
              </w:rPr>
              <w:t>4</w:t>
            </w:r>
          </w:p>
        </w:tc>
        <w:tc>
          <w:tcPr>
            <w:tcW w:w="1560" w:type="dxa"/>
          </w:tcPr>
          <w:p w14:paraId="2DE664A9" w14:textId="46D36443" w:rsidR="13A8588D" w:rsidRDefault="13A8588D" w:rsidP="2045D302">
            <w:pPr>
              <w:cnfStyle w:val="000000000000" w:firstRow="0" w:lastRow="0" w:firstColumn="0" w:lastColumn="0" w:oddVBand="0" w:evenVBand="0" w:oddHBand="0" w:evenHBand="0" w:firstRowFirstColumn="0" w:firstRowLastColumn="0" w:lastRowFirstColumn="0" w:lastRowLastColumn="0"/>
              <w:rPr>
                <w:rFonts w:ascii="Arial Nova" w:eastAsia="Arial Nova" w:hAnsi="Arial Nova" w:cs="Arial Nova"/>
                <w:sz w:val="20"/>
                <w:szCs w:val="20"/>
              </w:rPr>
            </w:pPr>
            <w:r w:rsidRPr="2045D302">
              <w:rPr>
                <w:rFonts w:ascii="Arial Nova" w:eastAsia="Arial Nova" w:hAnsi="Arial Nova" w:cs="Arial Nova"/>
                <w:sz w:val="20"/>
                <w:szCs w:val="20"/>
              </w:rPr>
              <w:t>0</w:t>
            </w:r>
          </w:p>
        </w:tc>
      </w:tr>
      <w:tr w:rsidR="2045D302" w14:paraId="7E43B0B7" w14:textId="77777777" w:rsidTr="2045D302">
        <w:trPr>
          <w:trHeight w:val="300"/>
        </w:trPr>
        <w:tc>
          <w:tcPr>
            <w:cnfStyle w:val="001000000000" w:firstRow="0" w:lastRow="0" w:firstColumn="1" w:lastColumn="0" w:oddVBand="0" w:evenVBand="0" w:oddHBand="0" w:evenHBand="0" w:firstRowFirstColumn="0" w:firstRowLastColumn="0" w:lastRowFirstColumn="0" w:lastRowLastColumn="0"/>
            <w:tcW w:w="1560" w:type="dxa"/>
          </w:tcPr>
          <w:p w14:paraId="35A33C63" w14:textId="1F709467" w:rsidR="13A8588D" w:rsidRDefault="13A8588D" w:rsidP="2045D302">
            <w:pPr>
              <w:rPr>
                <w:rFonts w:ascii="Arial Nova" w:eastAsia="Arial Nova" w:hAnsi="Arial Nova" w:cs="Arial Nova"/>
                <w:sz w:val="20"/>
                <w:szCs w:val="20"/>
              </w:rPr>
            </w:pPr>
            <w:r w:rsidRPr="2045D302">
              <w:rPr>
                <w:rFonts w:ascii="Arial Nova" w:eastAsia="Arial Nova" w:hAnsi="Arial Nova" w:cs="Arial Nova"/>
                <w:sz w:val="20"/>
                <w:szCs w:val="20"/>
              </w:rPr>
              <w:t>Systematic Reviews / Meta-Analyses (Ford 2020 [23]; Hooi 2017 [13]; Salvatori 2023 [10])</w:t>
            </w:r>
          </w:p>
        </w:tc>
        <w:tc>
          <w:tcPr>
            <w:tcW w:w="1560" w:type="dxa"/>
          </w:tcPr>
          <w:p w14:paraId="50D5E48B" w14:textId="37CF8583" w:rsidR="13A8588D" w:rsidRDefault="13A8588D" w:rsidP="2045D302">
            <w:pPr>
              <w:cnfStyle w:val="000000000000" w:firstRow="0" w:lastRow="0" w:firstColumn="0" w:lastColumn="0" w:oddVBand="0" w:evenVBand="0" w:oddHBand="0" w:evenHBand="0" w:firstRowFirstColumn="0" w:firstRowLastColumn="0" w:lastRowFirstColumn="0" w:lastRowLastColumn="0"/>
              <w:rPr>
                <w:rFonts w:ascii="Arial Nova" w:eastAsia="Arial Nova" w:hAnsi="Arial Nova" w:cs="Arial Nova"/>
                <w:sz w:val="20"/>
                <w:szCs w:val="20"/>
              </w:rPr>
            </w:pPr>
            <w:r w:rsidRPr="2045D302">
              <w:rPr>
                <w:rFonts w:ascii="Arial Nova" w:eastAsia="Arial Nova" w:hAnsi="Arial Nova" w:cs="Arial Nova"/>
                <w:sz w:val="20"/>
                <w:szCs w:val="20"/>
              </w:rPr>
              <w:t>3</w:t>
            </w:r>
          </w:p>
        </w:tc>
        <w:tc>
          <w:tcPr>
            <w:tcW w:w="1560" w:type="dxa"/>
          </w:tcPr>
          <w:p w14:paraId="72CC142F" w14:textId="2A508D58" w:rsidR="13A8588D" w:rsidRDefault="13A8588D" w:rsidP="2045D302">
            <w:pPr>
              <w:cnfStyle w:val="000000000000" w:firstRow="0" w:lastRow="0" w:firstColumn="0" w:lastColumn="0" w:oddVBand="0" w:evenVBand="0" w:oddHBand="0" w:evenHBand="0" w:firstRowFirstColumn="0" w:firstRowLastColumn="0" w:lastRowFirstColumn="0" w:lastRowLastColumn="0"/>
              <w:rPr>
                <w:rFonts w:ascii="Arial Nova" w:eastAsia="Arial Nova" w:hAnsi="Arial Nova" w:cs="Arial Nova"/>
                <w:sz w:val="20"/>
                <w:szCs w:val="20"/>
              </w:rPr>
            </w:pPr>
            <w:r w:rsidRPr="2045D302">
              <w:rPr>
                <w:rFonts w:ascii="Arial Nova" w:eastAsia="Arial Nova" w:hAnsi="Arial Nova" w:cs="Arial Nova"/>
                <w:sz w:val="20"/>
                <w:szCs w:val="20"/>
              </w:rPr>
              <w:t>AMSTAR 2 [5]</w:t>
            </w:r>
          </w:p>
        </w:tc>
        <w:tc>
          <w:tcPr>
            <w:tcW w:w="1560" w:type="dxa"/>
          </w:tcPr>
          <w:p w14:paraId="4A5FF4F6" w14:textId="6B00BDD6" w:rsidR="13A8588D" w:rsidRDefault="13A8588D" w:rsidP="2045D302">
            <w:pPr>
              <w:cnfStyle w:val="000000000000" w:firstRow="0" w:lastRow="0" w:firstColumn="0" w:lastColumn="0" w:oddVBand="0" w:evenVBand="0" w:oddHBand="0" w:evenHBand="0" w:firstRowFirstColumn="0" w:firstRowLastColumn="0" w:lastRowFirstColumn="0" w:lastRowLastColumn="0"/>
              <w:rPr>
                <w:rFonts w:ascii="Arial Nova" w:eastAsia="Arial Nova" w:hAnsi="Arial Nova" w:cs="Arial Nova"/>
                <w:sz w:val="20"/>
                <w:szCs w:val="20"/>
              </w:rPr>
            </w:pPr>
            <w:r w:rsidRPr="2045D302">
              <w:rPr>
                <w:rFonts w:ascii="Arial Nova" w:eastAsia="Arial Nova" w:hAnsi="Arial Nova" w:cs="Arial Nova"/>
                <w:sz w:val="20"/>
                <w:szCs w:val="20"/>
              </w:rPr>
              <w:t>3</w:t>
            </w:r>
          </w:p>
        </w:tc>
        <w:tc>
          <w:tcPr>
            <w:tcW w:w="1560" w:type="dxa"/>
          </w:tcPr>
          <w:p w14:paraId="002B4995" w14:textId="50BEC37B" w:rsidR="13A8588D" w:rsidRDefault="13A8588D" w:rsidP="2045D302">
            <w:pPr>
              <w:cnfStyle w:val="000000000000" w:firstRow="0" w:lastRow="0" w:firstColumn="0" w:lastColumn="0" w:oddVBand="0" w:evenVBand="0" w:oddHBand="0" w:evenHBand="0" w:firstRowFirstColumn="0" w:firstRowLastColumn="0" w:lastRowFirstColumn="0" w:lastRowLastColumn="0"/>
              <w:rPr>
                <w:rFonts w:ascii="Arial Nova" w:eastAsia="Arial Nova" w:hAnsi="Arial Nova" w:cs="Arial Nova"/>
                <w:sz w:val="20"/>
                <w:szCs w:val="20"/>
              </w:rPr>
            </w:pPr>
            <w:r w:rsidRPr="2045D302">
              <w:rPr>
                <w:rFonts w:ascii="Arial Nova" w:eastAsia="Arial Nova" w:hAnsi="Arial Nova" w:cs="Arial Nova"/>
                <w:sz w:val="20"/>
                <w:szCs w:val="20"/>
              </w:rPr>
              <w:t>1</w:t>
            </w:r>
          </w:p>
        </w:tc>
        <w:tc>
          <w:tcPr>
            <w:tcW w:w="1560" w:type="dxa"/>
          </w:tcPr>
          <w:p w14:paraId="2A4A25EC" w14:textId="47E3BFB7" w:rsidR="13A8588D" w:rsidRDefault="13A8588D" w:rsidP="2045D302">
            <w:pPr>
              <w:cnfStyle w:val="000000000000" w:firstRow="0" w:lastRow="0" w:firstColumn="0" w:lastColumn="0" w:oddVBand="0" w:evenVBand="0" w:oddHBand="0" w:evenHBand="0" w:firstRowFirstColumn="0" w:firstRowLastColumn="0" w:lastRowFirstColumn="0" w:lastRowLastColumn="0"/>
              <w:rPr>
                <w:rFonts w:ascii="Arial Nova" w:eastAsia="Arial Nova" w:hAnsi="Arial Nova" w:cs="Arial Nova"/>
                <w:sz w:val="20"/>
                <w:szCs w:val="20"/>
              </w:rPr>
            </w:pPr>
            <w:r w:rsidRPr="2045D302">
              <w:rPr>
                <w:rFonts w:ascii="Arial Nova" w:eastAsia="Arial Nova" w:hAnsi="Arial Nova" w:cs="Arial Nova"/>
                <w:sz w:val="20"/>
                <w:szCs w:val="20"/>
              </w:rPr>
              <w:t>0</w:t>
            </w:r>
          </w:p>
        </w:tc>
      </w:tr>
    </w:tbl>
    <w:p w14:paraId="640DFE30" w14:textId="2C54D8ED" w:rsidR="004267E5" w:rsidRDefault="004267E5" w:rsidP="2045D302">
      <w:pPr>
        <w:spacing w:after="0"/>
        <w:rPr>
          <w:rFonts w:ascii="Arial Nova" w:eastAsia="Arial Nova" w:hAnsi="Arial Nova" w:cs="Arial Nova"/>
          <w:sz w:val="20"/>
          <w:szCs w:val="20"/>
        </w:rPr>
      </w:pPr>
    </w:p>
    <w:p w14:paraId="0779E6EB" w14:textId="6D550CB8" w:rsidR="004267E5" w:rsidRDefault="004267E5" w:rsidP="2045D302">
      <w:pPr>
        <w:spacing w:after="0"/>
        <w:rPr>
          <w:rFonts w:ascii="Arial Nova" w:eastAsia="Arial Nova" w:hAnsi="Arial Nova" w:cs="Arial Nova"/>
          <w:sz w:val="20"/>
          <w:szCs w:val="20"/>
        </w:rPr>
      </w:pPr>
    </w:p>
    <w:p w14:paraId="4F5740BE" w14:textId="3FF448FE" w:rsidR="004267E5" w:rsidRDefault="41C98819" w:rsidP="2045D302">
      <w:pPr>
        <w:spacing w:before="130" w:after="130"/>
        <w:ind w:left="3106" w:hanging="3107"/>
        <w:rPr>
          <w:rFonts w:ascii="Arial Nova" w:eastAsia="Arial Nova" w:hAnsi="Arial Nova" w:cs="Arial Nova"/>
          <w:color w:val="212121"/>
          <w:sz w:val="20"/>
          <w:szCs w:val="20"/>
        </w:rPr>
      </w:pPr>
      <w:r w:rsidRPr="2045D302">
        <w:rPr>
          <w:rFonts w:ascii="Arial Nova" w:eastAsia="Arial Nova" w:hAnsi="Arial Nova" w:cs="Arial Nova"/>
          <w:color w:val="14BBA3"/>
          <w:sz w:val="20"/>
          <w:szCs w:val="20"/>
        </w:rPr>
        <w:t xml:space="preserve">                                                                                             </w:t>
      </w:r>
    </w:p>
    <w:p w14:paraId="70D55B4B" w14:textId="07315FBE" w:rsidR="004267E5" w:rsidRDefault="41C98819" w:rsidP="2045D302">
      <w:pPr>
        <w:spacing w:before="130" w:after="130"/>
        <w:rPr>
          <w:rFonts w:ascii="Arial Nova" w:eastAsia="Arial Nova" w:hAnsi="Arial Nova" w:cs="Arial Nova"/>
          <w:sz w:val="20"/>
          <w:szCs w:val="20"/>
        </w:rPr>
      </w:pPr>
      <w:r w:rsidRPr="2045D302">
        <w:rPr>
          <w:rFonts w:ascii="Arial Nova" w:eastAsia="Arial Nova" w:hAnsi="Arial Nova" w:cs="Arial Nova"/>
          <w:sz w:val="20"/>
          <w:szCs w:val="20"/>
        </w:rPr>
        <w:t xml:space="preserve"> </w:t>
      </w:r>
    </w:p>
    <w:p w14:paraId="52FA5301" w14:textId="13FA3608" w:rsidR="004267E5" w:rsidRDefault="004267E5" w:rsidP="2045D302">
      <w:pPr>
        <w:spacing w:after="0"/>
        <w:rPr>
          <w:rFonts w:ascii="Arial Nova" w:eastAsia="Arial Nova" w:hAnsi="Arial Nova" w:cs="Arial Nova"/>
          <w:sz w:val="20"/>
          <w:szCs w:val="20"/>
        </w:rPr>
      </w:pPr>
    </w:p>
    <w:p w14:paraId="2C078E63" w14:textId="2B8F7475" w:rsidR="004267E5" w:rsidRDefault="22C2CAD2" w:rsidP="2045D302">
      <w:pPr>
        <w:rPr>
          <w:rFonts w:ascii="Arial Nova" w:eastAsia="Arial Nova" w:hAnsi="Arial Nova" w:cs="Arial Nova"/>
          <w:sz w:val="20"/>
          <w:szCs w:val="20"/>
        </w:rPr>
      </w:pPr>
      <w:r w:rsidRPr="2045D302">
        <w:rPr>
          <w:rFonts w:ascii="Arial Nova" w:eastAsia="Arial Nova" w:hAnsi="Arial Nova" w:cs="Arial Nova"/>
          <w:sz w:val="20"/>
          <w:szCs w:val="20"/>
        </w:rPr>
        <w:t>Table 2: Risk of Bias Assessment. Risk of bias tools used: RoB 2 [6], NOS [7], and AMSTAR 2 [5].</w:t>
      </w:r>
    </w:p>
    <w:p w14:paraId="1C75C19F" w14:textId="70AD3D65" w:rsidR="22C2CAD2" w:rsidRDefault="22C2CAD2" w:rsidP="2045D302">
      <w:pPr>
        <w:rPr>
          <w:rFonts w:ascii="Arial Nova" w:eastAsia="Arial Nova" w:hAnsi="Arial Nova" w:cs="Arial Nova"/>
          <w:sz w:val="20"/>
          <w:szCs w:val="20"/>
        </w:rPr>
      </w:pPr>
      <w:r w:rsidRPr="2045D302">
        <w:rPr>
          <w:rFonts w:ascii="Arial Nova" w:eastAsia="Arial Nova" w:hAnsi="Arial Nova" w:cs="Arial Nova"/>
          <w:sz w:val="20"/>
          <w:szCs w:val="20"/>
        </w:rPr>
        <w:t xml:space="preserve">Risk of bias was assessed using validated tools tailored to each study design. For randomized controlled trials (RCTs), the Cochrane RoB 2: Sterne et al., 2019 [6] with studies categorized as low risk/high quality, moderate risk/quality, or high risk/low quality based on domain-level judgments. Observational studies (cohort and case–control) were evaluated using the Newcastle–Ottawa Scale, NOS: Wells et al., 2000 [7] (Ottawa Hospital Research Institute), (NOS; 0–9 points), where scores ≥7 indicated high quality, scores of 5–6 indicated moderate quality, and scores ≤4 indicated low quality. Systematic reviews and meta-analyses were assessed using AMSTAR 2: Shea et al., 2017 [5] (BMJ, </w:t>
      </w:r>
      <w:proofErr w:type="gramStart"/>
      <w:r w:rsidRPr="2045D302">
        <w:rPr>
          <w:rFonts w:ascii="Arial Nova" w:eastAsia="Arial Nova" w:hAnsi="Arial Nova" w:cs="Arial Nova"/>
          <w:sz w:val="20"/>
          <w:szCs w:val="20"/>
        </w:rPr>
        <w:t>358:j</w:t>
      </w:r>
      <w:proofErr w:type="gramEnd"/>
      <w:r w:rsidRPr="2045D302">
        <w:rPr>
          <w:rFonts w:ascii="Arial Nova" w:eastAsia="Arial Nova" w:hAnsi="Arial Nova" w:cs="Arial Nova"/>
          <w:sz w:val="20"/>
          <w:szCs w:val="20"/>
        </w:rPr>
        <w:t>4008), which rates overall confidence as high, moderate, low, or critically low based on 16 methodological domains. The table summarizes the number of studies in each category for every study type included in the review.</w:t>
      </w:r>
    </w:p>
    <w:p w14:paraId="79A526DE" w14:textId="498818AF" w:rsidR="2045D302" w:rsidRDefault="2045D302" w:rsidP="2045D302">
      <w:pPr>
        <w:rPr>
          <w:rFonts w:ascii="Arial Nova" w:eastAsia="Arial Nova" w:hAnsi="Arial Nova" w:cs="Arial Nova"/>
          <w:sz w:val="20"/>
          <w:szCs w:val="20"/>
        </w:rPr>
      </w:pPr>
    </w:p>
    <w:p w14:paraId="5E0835C7" w14:textId="2F2EC9BE" w:rsidR="22C2CAD2" w:rsidRDefault="22C2CAD2" w:rsidP="2045D302">
      <w:pPr>
        <w:rPr>
          <w:rFonts w:ascii="Arial Nova" w:eastAsia="Arial Nova" w:hAnsi="Arial Nova" w:cs="Arial Nova"/>
          <w:sz w:val="20"/>
          <w:szCs w:val="20"/>
        </w:rPr>
      </w:pPr>
      <w:r w:rsidRPr="2045D302">
        <w:rPr>
          <w:rFonts w:ascii="Arial Nova" w:eastAsia="Arial Nova" w:hAnsi="Arial Nova" w:cs="Arial Nova"/>
          <w:sz w:val="20"/>
          <w:szCs w:val="20"/>
        </w:rPr>
        <w:t>Randomized controlled trials (RoB 2): Four RCTs involved in the current review underwent the analysis of the Cochrane RoB 2 tool within five areas of bias. Of the three trials (</w:t>
      </w:r>
      <w:proofErr w:type="spellStart"/>
      <w:r w:rsidRPr="2045D302">
        <w:rPr>
          <w:rFonts w:ascii="Arial Nova" w:eastAsia="Arial Nova" w:hAnsi="Arial Nova" w:cs="Arial Nova"/>
          <w:sz w:val="20"/>
          <w:szCs w:val="20"/>
        </w:rPr>
        <w:t>Fukase</w:t>
      </w:r>
      <w:proofErr w:type="spellEnd"/>
      <w:r w:rsidRPr="2045D302">
        <w:rPr>
          <w:rFonts w:ascii="Arial Nova" w:eastAsia="Arial Nova" w:hAnsi="Arial Nova" w:cs="Arial Nova"/>
          <w:sz w:val="20"/>
          <w:szCs w:val="20"/>
        </w:rPr>
        <w:t xml:space="preserve"> 2008, Choi 2018, Choi 2020), all domains were low risk, indicating strong randomization, availability of data on outcomes, and measurement outcome consistency. In one of the trials (Lee 2016), there were some concerns regarding the randomization procedure, but otherwise it was a low-risk trial. The proportion plot proves the point that the vast majority of judgments belonged to the grouping of low risk, while there was a small percentage of the same </w:t>
      </w:r>
      <w:proofErr w:type="gramStart"/>
      <w:r w:rsidRPr="2045D302">
        <w:rPr>
          <w:rFonts w:ascii="Arial Nova" w:eastAsia="Arial Nova" w:hAnsi="Arial Nova" w:cs="Arial Nova"/>
          <w:sz w:val="20"/>
          <w:szCs w:val="20"/>
        </w:rPr>
        <w:t>concerns</w:t>
      </w:r>
      <w:proofErr w:type="gramEnd"/>
      <w:r w:rsidRPr="2045D302">
        <w:rPr>
          <w:rFonts w:ascii="Arial Nova" w:eastAsia="Arial Nova" w:hAnsi="Arial Nova" w:cs="Arial Nova"/>
          <w:sz w:val="20"/>
          <w:szCs w:val="20"/>
        </w:rPr>
        <w:t xml:space="preserve"> category in the randomization section (Figure 2).</w:t>
      </w:r>
    </w:p>
    <w:p w14:paraId="66665B8D" w14:textId="54140B59" w:rsidR="22C2CAD2" w:rsidRDefault="22C2CAD2" w:rsidP="2045D302">
      <w:pPr>
        <w:rPr>
          <w:rFonts w:ascii="Arial Nova" w:eastAsia="Arial Nova" w:hAnsi="Arial Nova" w:cs="Arial Nova"/>
          <w:sz w:val="20"/>
          <w:szCs w:val="20"/>
        </w:rPr>
      </w:pPr>
      <w:r>
        <w:rPr>
          <w:noProof/>
        </w:rPr>
        <w:lastRenderedPageBreak/>
        <w:drawing>
          <wp:inline distT="0" distB="0" distL="0" distR="0" wp14:anchorId="27BA63AE" wp14:editId="736C2A91">
            <wp:extent cx="5943600" cy="3124200"/>
            <wp:effectExtent l="0" t="0" r="0" b="0"/>
            <wp:docPr id="198386062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860622"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3124200"/>
                    </a:xfrm>
                    <a:prstGeom prst="rect">
                      <a:avLst/>
                    </a:prstGeom>
                  </pic:spPr>
                </pic:pic>
              </a:graphicData>
            </a:graphic>
          </wp:inline>
        </w:drawing>
      </w:r>
    </w:p>
    <w:p w14:paraId="608AB74A" w14:textId="768B506A" w:rsidR="22C2CAD2" w:rsidRDefault="22C2CAD2" w:rsidP="2045D302">
      <w:pPr>
        <w:rPr>
          <w:rFonts w:ascii="Arial Nova" w:eastAsia="Arial Nova" w:hAnsi="Arial Nova" w:cs="Arial Nova"/>
          <w:sz w:val="20"/>
          <w:szCs w:val="20"/>
        </w:rPr>
      </w:pPr>
      <w:r w:rsidRPr="2045D302">
        <w:rPr>
          <w:rFonts w:ascii="Arial Nova" w:eastAsia="Arial Nova" w:hAnsi="Arial Nova" w:cs="Arial Nova"/>
          <w:sz w:val="20"/>
          <w:szCs w:val="20"/>
        </w:rPr>
        <w:t>Figure 2: Risk of Bias Domains (RoB 2) — RCTs. Risk of bias assessment of included randomized controlled trials using the Cochrane RoB 2 tool.</w:t>
      </w:r>
    </w:p>
    <w:p w14:paraId="7EC5D3FA" w14:textId="1D9A7E69" w:rsidR="22C2CAD2" w:rsidRDefault="22C2CAD2" w:rsidP="2045D302">
      <w:pPr>
        <w:spacing w:before="240" w:after="240"/>
        <w:rPr>
          <w:rFonts w:ascii="Arial Nova" w:eastAsia="Arial Nova" w:hAnsi="Arial Nova" w:cs="Arial Nova"/>
          <w:sz w:val="20"/>
          <w:szCs w:val="20"/>
        </w:rPr>
      </w:pPr>
      <w:r w:rsidRPr="2045D302">
        <w:rPr>
          <w:rFonts w:ascii="Arial Nova" w:eastAsia="Arial Nova" w:hAnsi="Arial Nova" w:cs="Arial Nova"/>
          <w:sz w:val="20"/>
          <w:szCs w:val="20"/>
        </w:rPr>
        <w:t>Risk of bias assessment of included randomized controlled trials using the Cochrane Risk of Bias 2 (RoB 2) tool (Sterne et al., 2019 [6]).</w:t>
      </w:r>
    </w:p>
    <w:p w14:paraId="1FC72C00" w14:textId="7F876FA9" w:rsidR="22C2CAD2" w:rsidRDefault="22C2CAD2" w:rsidP="2045D302">
      <w:pPr>
        <w:spacing w:before="240" w:after="240"/>
        <w:rPr>
          <w:rFonts w:ascii="Arial Nova" w:eastAsia="Arial Nova" w:hAnsi="Arial Nova" w:cs="Arial Nova"/>
          <w:sz w:val="20"/>
          <w:szCs w:val="20"/>
        </w:rPr>
      </w:pPr>
      <w:r w:rsidRPr="2045D302">
        <w:rPr>
          <w:rFonts w:ascii="Arial Nova" w:eastAsia="Arial Nova" w:hAnsi="Arial Nova" w:cs="Arial Nova"/>
          <w:sz w:val="20"/>
          <w:szCs w:val="20"/>
        </w:rPr>
        <w:t xml:space="preserve">The following RCTs were assessed: </w:t>
      </w:r>
      <w:proofErr w:type="spellStart"/>
      <w:r w:rsidRPr="2045D302">
        <w:rPr>
          <w:rFonts w:ascii="Arial Nova" w:eastAsia="Arial Nova" w:hAnsi="Arial Nova" w:cs="Arial Nova"/>
          <w:sz w:val="20"/>
          <w:szCs w:val="20"/>
        </w:rPr>
        <w:t>Fukase</w:t>
      </w:r>
      <w:proofErr w:type="spellEnd"/>
      <w:r w:rsidRPr="2045D302">
        <w:rPr>
          <w:rFonts w:ascii="Arial Nova" w:eastAsia="Arial Nova" w:hAnsi="Arial Nova" w:cs="Arial Nova"/>
          <w:sz w:val="20"/>
          <w:szCs w:val="20"/>
        </w:rPr>
        <w:t xml:space="preserve"> 2008 [20], Choi 2018 [21], Choi 2020 [22], and Jung 2015 [24].</w:t>
      </w:r>
    </w:p>
    <w:p w14:paraId="1BFE851D" w14:textId="6E9A4574" w:rsidR="22C2CAD2" w:rsidRDefault="22C2CAD2" w:rsidP="2045D302">
      <w:pPr>
        <w:spacing w:before="240" w:after="240"/>
        <w:rPr>
          <w:rFonts w:ascii="Arial Nova" w:eastAsia="Arial Nova" w:hAnsi="Arial Nova" w:cs="Arial Nova"/>
          <w:sz w:val="20"/>
          <w:szCs w:val="20"/>
        </w:rPr>
      </w:pPr>
      <w:r w:rsidRPr="2045D302">
        <w:rPr>
          <w:rFonts w:ascii="Arial Nova" w:eastAsia="Arial Nova" w:hAnsi="Arial Nova" w:cs="Arial Nova"/>
          <w:sz w:val="20"/>
          <w:szCs w:val="20"/>
        </w:rPr>
        <w:t>Domains evaluated: (1) randomization process, (2) deviations from intended interventions, (3) missing outcome data, (4) measurement of the outcome, and (5) selection of the reported result.</w:t>
      </w:r>
    </w:p>
    <w:p w14:paraId="2CB6107A" w14:textId="57524177" w:rsidR="22C2CAD2" w:rsidRDefault="22C2CAD2" w:rsidP="2045D302">
      <w:pPr>
        <w:spacing w:before="240" w:after="240"/>
        <w:rPr>
          <w:rFonts w:ascii="Arial Nova" w:eastAsia="Arial Nova" w:hAnsi="Arial Nova" w:cs="Arial Nova"/>
          <w:sz w:val="20"/>
          <w:szCs w:val="20"/>
        </w:rPr>
      </w:pPr>
      <w:r w:rsidRPr="2045D302">
        <w:rPr>
          <w:rFonts w:ascii="Arial Nova" w:eastAsia="Arial Nova" w:hAnsi="Arial Nova" w:cs="Arial Nova"/>
          <w:sz w:val="20"/>
          <w:szCs w:val="20"/>
        </w:rPr>
        <w:t>Green = low risk, Yellow = some concerns, Red = high risk.</w:t>
      </w:r>
    </w:p>
    <w:p w14:paraId="4E28525E" w14:textId="67735D7C" w:rsidR="2F28E964" w:rsidRDefault="2F28E964" w:rsidP="2045D302">
      <w:pPr>
        <w:spacing w:before="240" w:after="240"/>
        <w:rPr>
          <w:rFonts w:ascii="Arial Nova" w:eastAsia="Arial Nova" w:hAnsi="Arial Nova" w:cs="Arial Nova"/>
          <w:sz w:val="20"/>
          <w:szCs w:val="20"/>
        </w:rPr>
      </w:pPr>
      <w:r w:rsidRPr="2045D302">
        <w:rPr>
          <w:rFonts w:ascii="Arial Nova" w:eastAsia="Arial Nova" w:hAnsi="Arial Nova" w:cs="Arial Nova"/>
          <w:sz w:val="20"/>
          <w:szCs w:val="20"/>
        </w:rPr>
        <w:t xml:space="preserve">Observational studies (Newcastle-Ottawa Scale): Twenty-four cohort or case-control studies were evaluated against the Newcastle-Ottawa Scale, which involves the selection, comparability, and outcome/ exposure categories. The number of studies with high-quality rating (score = 7 and above) was twenty, and the </w:t>
      </w:r>
      <w:proofErr w:type="spellStart"/>
      <w:r w:rsidRPr="2045D302">
        <w:rPr>
          <w:rFonts w:ascii="Arial Nova" w:eastAsia="Arial Nova" w:hAnsi="Arial Nova" w:cs="Arial Nova"/>
          <w:sz w:val="20"/>
          <w:szCs w:val="20"/>
        </w:rPr>
        <w:t>judgpee</w:t>
      </w:r>
      <w:proofErr w:type="spellEnd"/>
      <w:r w:rsidRPr="2045D302">
        <w:rPr>
          <w:rFonts w:ascii="Arial Nova" w:eastAsia="Arial Nova" w:hAnsi="Arial Nova" w:cs="Arial Nova"/>
          <w:sz w:val="20"/>
          <w:szCs w:val="20"/>
        </w:rPr>
        <w:t xml:space="preserve"> </w:t>
      </w:r>
      <w:proofErr w:type="spellStart"/>
      <w:r w:rsidRPr="2045D302">
        <w:rPr>
          <w:rFonts w:ascii="Arial Nova" w:eastAsia="Arial Nova" w:hAnsi="Arial Nova" w:cs="Arial Nova"/>
          <w:sz w:val="20"/>
          <w:szCs w:val="20"/>
        </w:rPr>
        <w:t>pendents</w:t>
      </w:r>
      <w:proofErr w:type="spellEnd"/>
      <w:r w:rsidRPr="2045D302">
        <w:rPr>
          <w:rFonts w:ascii="Arial Nova" w:eastAsia="Arial Nova" w:hAnsi="Arial Nova" w:cs="Arial Nova"/>
          <w:sz w:val="20"/>
          <w:szCs w:val="20"/>
        </w:rPr>
        <w:t xml:space="preserve"> on the likelihood of risk in all domains were low. Four research papers were assessed as moderate quality because of certain limitations of comparability that are usually associated with inadequate adjustment of confounders. The proportion plot indicates the presence of a wide range of low-risk ratings and only a low amount of some concerns that are focused on the comparability domain (Figure 3).</w:t>
      </w:r>
    </w:p>
    <w:p w14:paraId="07EB128D" w14:textId="466FC763" w:rsidR="2045D302" w:rsidRDefault="2045D302" w:rsidP="2045D302">
      <w:pPr>
        <w:spacing w:before="240" w:after="240"/>
        <w:rPr>
          <w:rFonts w:ascii="Arial Nova" w:eastAsia="Arial Nova" w:hAnsi="Arial Nova" w:cs="Arial Nova"/>
          <w:sz w:val="20"/>
          <w:szCs w:val="20"/>
        </w:rPr>
      </w:pPr>
    </w:p>
    <w:p w14:paraId="112DC210" w14:textId="14B6B889" w:rsidR="2F28E964" w:rsidRDefault="2F28E964" w:rsidP="2045D302">
      <w:pPr>
        <w:spacing w:before="240" w:after="240"/>
        <w:rPr>
          <w:rFonts w:ascii="Arial Nova" w:eastAsia="Arial Nova" w:hAnsi="Arial Nova" w:cs="Arial Nova"/>
          <w:sz w:val="20"/>
          <w:szCs w:val="20"/>
        </w:rPr>
      </w:pPr>
      <w:r>
        <w:rPr>
          <w:noProof/>
        </w:rPr>
        <w:lastRenderedPageBreak/>
        <w:drawing>
          <wp:inline distT="0" distB="0" distL="0" distR="0" wp14:anchorId="7BA52B5A" wp14:editId="4583FC20">
            <wp:extent cx="4600575" cy="5943600"/>
            <wp:effectExtent l="0" t="0" r="0" b="0"/>
            <wp:docPr id="109050713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507135"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00575" cy="5943600"/>
                    </a:xfrm>
                    <a:prstGeom prst="rect">
                      <a:avLst/>
                    </a:prstGeom>
                  </pic:spPr>
                </pic:pic>
              </a:graphicData>
            </a:graphic>
          </wp:inline>
        </w:drawing>
      </w:r>
    </w:p>
    <w:p w14:paraId="02B3EEE7" w14:textId="5CADD5FE" w:rsidR="2F28E964" w:rsidRDefault="2F28E964" w:rsidP="2045D302">
      <w:pPr>
        <w:spacing w:before="240" w:after="240"/>
        <w:rPr>
          <w:rFonts w:ascii="Arial Nova" w:eastAsia="Arial Nova" w:hAnsi="Arial Nova" w:cs="Arial Nova"/>
          <w:sz w:val="20"/>
          <w:szCs w:val="20"/>
        </w:rPr>
      </w:pPr>
      <w:r w:rsidRPr="2045D302">
        <w:rPr>
          <w:rFonts w:ascii="Arial Nova" w:eastAsia="Arial Nova" w:hAnsi="Arial Nova" w:cs="Arial Nova"/>
          <w:sz w:val="20"/>
          <w:szCs w:val="20"/>
        </w:rPr>
        <w:t xml:space="preserve"> Figure 3: Observational Studies. Risk of bias assessment of included observational studies using the Newcastle–Ottawa Scale (NOS).</w:t>
      </w:r>
    </w:p>
    <w:p w14:paraId="721805BB" w14:textId="4183FFA1" w:rsidR="2045D302" w:rsidRDefault="2045D302" w:rsidP="2045D302">
      <w:pPr>
        <w:spacing w:after="0"/>
        <w:rPr>
          <w:rFonts w:ascii="Arial Nova" w:eastAsia="Arial Nova" w:hAnsi="Arial Nova" w:cs="Arial Nova"/>
          <w:sz w:val="20"/>
          <w:szCs w:val="20"/>
        </w:rPr>
      </w:pPr>
    </w:p>
    <w:p w14:paraId="421822D0" w14:textId="0069D07B" w:rsidR="2F28E964" w:rsidRDefault="2F28E964" w:rsidP="2045D302">
      <w:pPr>
        <w:spacing w:before="240" w:after="240"/>
        <w:rPr>
          <w:rFonts w:ascii="Arial Nova" w:eastAsia="Arial Nova" w:hAnsi="Arial Nova" w:cs="Arial Nova"/>
          <w:sz w:val="20"/>
          <w:szCs w:val="20"/>
        </w:rPr>
      </w:pPr>
      <w:r w:rsidRPr="2045D302">
        <w:rPr>
          <w:rFonts w:ascii="Arial Nova" w:eastAsia="Arial Nova" w:hAnsi="Arial Nova" w:cs="Arial Nova"/>
          <w:sz w:val="20"/>
          <w:szCs w:val="20"/>
        </w:rPr>
        <w:t>Risk of bias assessment of 24 included observational studies using the Newcastle–Ottawa Scale (Wells et al., 2000 [7]).</w:t>
      </w:r>
    </w:p>
    <w:p w14:paraId="696EB8D6" w14:textId="346F041A" w:rsidR="2F28E964" w:rsidRDefault="2F28E964" w:rsidP="2045D302">
      <w:pPr>
        <w:spacing w:before="240" w:after="240"/>
        <w:rPr>
          <w:rFonts w:ascii="Arial Nova" w:eastAsia="Arial Nova" w:hAnsi="Arial Nova" w:cs="Arial Nova"/>
          <w:sz w:val="20"/>
          <w:szCs w:val="20"/>
        </w:rPr>
      </w:pPr>
      <w:r w:rsidRPr="2045D302">
        <w:rPr>
          <w:rFonts w:ascii="Arial Nova" w:eastAsia="Arial Nova" w:hAnsi="Arial Nova" w:cs="Arial Nova"/>
          <w:sz w:val="20"/>
          <w:szCs w:val="20"/>
        </w:rPr>
        <w:t>Most studies (e.g., Li 2022 [9], Guo 2020 [14], Hua 2023 [19]) scored ≥7, indicating high quality. Four scored 5–6 (moderate quality).</w:t>
      </w:r>
    </w:p>
    <w:p w14:paraId="39354F6F" w14:textId="0D75179F" w:rsidR="2F28E964" w:rsidRDefault="2F28E964" w:rsidP="2045D302">
      <w:pPr>
        <w:spacing w:before="240" w:after="240"/>
        <w:rPr>
          <w:rFonts w:ascii="Arial Nova" w:eastAsia="Arial Nova" w:hAnsi="Arial Nova" w:cs="Arial Nova"/>
          <w:sz w:val="20"/>
          <w:szCs w:val="20"/>
        </w:rPr>
      </w:pPr>
      <w:r w:rsidRPr="2045D302">
        <w:rPr>
          <w:rFonts w:ascii="Arial Nova" w:eastAsia="Arial Nova" w:hAnsi="Arial Nova" w:cs="Arial Nova"/>
          <w:sz w:val="20"/>
          <w:szCs w:val="20"/>
        </w:rPr>
        <w:t>Categories: Selection, Comparability, and Outcome/Exposure.</w:t>
      </w:r>
    </w:p>
    <w:p w14:paraId="4DFFB759" w14:textId="00047925" w:rsidR="2F28E964" w:rsidRDefault="2F28E964" w:rsidP="2045D302">
      <w:pPr>
        <w:spacing w:before="240" w:after="240"/>
        <w:rPr>
          <w:rFonts w:ascii="Arial Nova" w:eastAsia="Arial Nova" w:hAnsi="Arial Nova" w:cs="Arial Nova"/>
          <w:sz w:val="20"/>
          <w:szCs w:val="20"/>
        </w:rPr>
      </w:pPr>
      <w:r w:rsidRPr="2045D302">
        <w:rPr>
          <w:rFonts w:ascii="Arial Nova" w:eastAsia="Arial Nova" w:hAnsi="Arial Nova" w:cs="Arial Nova"/>
          <w:sz w:val="20"/>
          <w:szCs w:val="20"/>
        </w:rPr>
        <w:lastRenderedPageBreak/>
        <w:t>Green = high quality (low risk), Yellow = moderate quality (some concerns), Red = low quality (high risk).</w:t>
      </w:r>
    </w:p>
    <w:p w14:paraId="17B21F5F" w14:textId="4060036E" w:rsidR="2045D302" w:rsidRDefault="2045D302" w:rsidP="2045D302">
      <w:pPr>
        <w:spacing w:before="240" w:after="240"/>
        <w:rPr>
          <w:rFonts w:ascii="Arial Nova" w:eastAsia="Arial Nova" w:hAnsi="Arial Nova" w:cs="Arial Nova"/>
          <w:sz w:val="20"/>
          <w:szCs w:val="20"/>
        </w:rPr>
      </w:pPr>
    </w:p>
    <w:p w14:paraId="63D58645" w14:textId="2B3FF8E0" w:rsidR="2F28E964" w:rsidRDefault="2F28E964" w:rsidP="2045D302">
      <w:pPr>
        <w:spacing w:before="240" w:after="240"/>
        <w:rPr>
          <w:rFonts w:ascii="Arial Nova" w:eastAsia="Arial Nova" w:hAnsi="Arial Nova" w:cs="Arial Nova"/>
          <w:sz w:val="20"/>
          <w:szCs w:val="20"/>
        </w:rPr>
      </w:pPr>
      <w:r w:rsidRPr="2045D302">
        <w:rPr>
          <w:rFonts w:ascii="Arial Nova" w:eastAsia="Arial Nova" w:hAnsi="Arial Nova" w:cs="Arial Nova"/>
          <w:sz w:val="20"/>
          <w:szCs w:val="20"/>
        </w:rPr>
        <w:t>Systematic reviews and meta-analyses (AMSTAR 2):</w:t>
      </w:r>
    </w:p>
    <w:p w14:paraId="7DCFB9C2" w14:textId="10715728" w:rsidR="2F28E964" w:rsidRDefault="2F28E964" w:rsidP="2045D302">
      <w:pPr>
        <w:spacing w:before="240" w:after="240"/>
        <w:rPr>
          <w:rFonts w:ascii="Arial Nova" w:eastAsia="Arial Nova" w:hAnsi="Arial Nova" w:cs="Arial Nova"/>
          <w:sz w:val="20"/>
          <w:szCs w:val="20"/>
        </w:rPr>
      </w:pPr>
      <w:r w:rsidRPr="2045D302">
        <w:rPr>
          <w:rFonts w:ascii="Arial Nova" w:eastAsia="Arial Nova" w:hAnsi="Arial Nova" w:cs="Arial Nova"/>
          <w:sz w:val="20"/>
          <w:szCs w:val="20"/>
        </w:rPr>
        <w:t>Three meta-analyses/systematic reviews have been considered using AMSTAR 2. Two (Ford 2020; Lee 2021) were rated as having high confidence and low-risk judgment in most domains, implying pre-registered protocol, extensive literature search, duplication analysis, and proper technique of meta-analysis. In one of the reviews (Zhou 2024), the results were rated as moderate confidence, and there were several domains that presented some concerns, especially with regard to risk-of-bias integration and the evaluation of publication bias. As depicted in the proportion plot, the ratings revealed that although the majority of the domains were low risk, some important areas had a top-notch pointer of some concerns (Figure 4).</w:t>
      </w:r>
    </w:p>
    <w:p w14:paraId="15095440" w14:textId="47DA2EFD" w:rsidR="2045D302" w:rsidRDefault="2045D302" w:rsidP="2045D302">
      <w:pPr>
        <w:spacing w:before="240" w:after="240"/>
        <w:rPr>
          <w:rFonts w:ascii="Arial Nova" w:eastAsia="Arial Nova" w:hAnsi="Arial Nova" w:cs="Arial Nova"/>
          <w:sz w:val="20"/>
          <w:szCs w:val="20"/>
        </w:rPr>
      </w:pPr>
    </w:p>
    <w:p w14:paraId="3794E91E" w14:textId="2D12F614" w:rsidR="2F28E964" w:rsidRDefault="2F28E964" w:rsidP="2045D302">
      <w:pPr>
        <w:spacing w:before="240" w:after="240"/>
        <w:rPr>
          <w:rFonts w:ascii="Arial Nova" w:eastAsia="Arial Nova" w:hAnsi="Arial Nova" w:cs="Arial Nova"/>
          <w:sz w:val="20"/>
          <w:szCs w:val="20"/>
        </w:rPr>
      </w:pPr>
      <w:r>
        <w:rPr>
          <w:noProof/>
        </w:rPr>
        <w:drawing>
          <wp:inline distT="0" distB="0" distL="0" distR="0" wp14:anchorId="741A2477" wp14:editId="1F8ED4BC">
            <wp:extent cx="5943600" cy="2466975"/>
            <wp:effectExtent l="0" t="0" r="0" b="0"/>
            <wp:docPr id="43573659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736594"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2466975"/>
                    </a:xfrm>
                    <a:prstGeom prst="rect">
                      <a:avLst/>
                    </a:prstGeom>
                  </pic:spPr>
                </pic:pic>
              </a:graphicData>
            </a:graphic>
          </wp:inline>
        </w:drawing>
      </w:r>
    </w:p>
    <w:p w14:paraId="61185FB6" w14:textId="0CC3AA03" w:rsidR="2F28E964" w:rsidRDefault="2F28E964" w:rsidP="2045D302">
      <w:pPr>
        <w:spacing w:before="240" w:after="240"/>
        <w:rPr>
          <w:rFonts w:ascii="Arial Nova" w:eastAsia="Arial Nova" w:hAnsi="Arial Nova" w:cs="Arial Nova"/>
          <w:sz w:val="20"/>
          <w:szCs w:val="20"/>
        </w:rPr>
      </w:pPr>
      <w:r w:rsidRPr="2045D302">
        <w:rPr>
          <w:rFonts w:ascii="Arial Nova" w:eastAsia="Arial Nova" w:hAnsi="Arial Nova" w:cs="Arial Nova"/>
          <w:sz w:val="20"/>
          <w:szCs w:val="20"/>
        </w:rPr>
        <w:t xml:space="preserve"> Figure 4: (AMSTAR 2): Systematic Reviews. Methodological quality of included systematic reviews using the AMSTAR 2 tool.</w:t>
      </w:r>
    </w:p>
    <w:p w14:paraId="067BE6FE" w14:textId="235785F1" w:rsidR="2F28E964" w:rsidRDefault="2F28E964" w:rsidP="2045D302">
      <w:pPr>
        <w:spacing w:before="240" w:after="240"/>
        <w:rPr>
          <w:rFonts w:ascii="Arial Nova" w:eastAsia="Arial Nova" w:hAnsi="Arial Nova" w:cs="Arial Nova"/>
          <w:sz w:val="20"/>
          <w:szCs w:val="20"/>
        </w:rPr>
      </w:pPr>
      <w:r w:rsidRPr="2045D302">
        <w:rPr>
          <w:rFonts w:ascii="Arial Nova" w:eastAsia="Arial Nova" w:hAnsi="Arial Nova" w:cs="Arial Nova"/>
          <w:sz w:val="20"/>
          <w:szCs w:val="20"/>
        </w:rPr>
        <w:t>Methodological quality of systematic reviews/meta-analyses assessed using AMSTAR 2 (Shea et al., 2017 [5]).</w:t>
      </w:r>
    </w:p>
    <w:p w14:paraId="7C7640CC" w14:textId="4B726D48" w:rsidR="2F28E964" w:rsidRDefault="2F28E964" w:rsidP="2045D302">
      <w:pPr>
        <w:spacing w:before="240" w:after="240"/>
        <w:rPr>
          <w:rFonts w:ascii="Arial Nova" w:eastAsia="Arial Nova" w:hAnsi="Arial Nova" w:cs="Arial Nova"/>
          <w:sz w:val="20"/>
          <w:szCs w:val="20"/>
        </w:rPr>
      </w:pPr>
      <w:r w:rsidRPr="2045D302">
        <w:rPr>
          <w:rFonts w:ascii="Arial Nova" w:eastAsia="Arial Nova" w:hAnsi="Arial Nova" w:cs="Arial Nova"/>
          <w:sz w:val="20"/>
          <w:szCs w:val="20"/>
        </w:rPr>
        <w:t>The following reviews were included: Ford 2020 [23], Hooi 2017 [13], and Salvatori 2023 [10].</w:t>
      </w:r>
    </w:p>
    <w:p w14:paraId="692E6E85" w14:textId="4C0D13D4" w:rsidR="2F28E964" w:rsidRDefault="2F28E964" w:rsidP="2045D302">
      <w:pPr>
        <w:spacing w:before="240" w:after="240"/>
        <w:rPr>
          <w:rFonts w:ascii="Arial Nova" w:eastAsia="Arial Nova" w:hAnsi="Arial Nova" w:cs="Arial Nova"/>
          <w:sz w:val="20"/>
          <w:szCs w:val="20"/>
        </w:rPr>
      </w:pPr>
      <w:r w:rsidRPr="2045D302">
        <w:rPr>
          <w:rFonts w:ascii="Arial Nova" w:eastAsia="Arial Nova" w:hAnsi="Arial Nova" w:cs="Arial Nova"/>
          <w:sz w:val="20"/>
          <w:szCs w:val="20"/>
        </w:rPr>
        <w:t>Two were rated high quality; one (Zhou 2024, if classified here) was moderate.</w:t>
      </w:r>
    </w:p>
    <w:p w14:paraId="07A11FA5" w14:textId="173082A0" w:rsidR="2F28E964" w:rsidRDefault="2F28E964" w:rsidP="2045D302">
      <w:pPr>
        <w:spacing w:before="240" w:after="240"/>
        <w:rPr>
          <w:rFonts w:ascii="Arial Nova" w:eastAsia="Arial Nova" w:hAnsi="Arial Nova" w:cs="Arial Nova"/>
          <w:sz w:val="20"/>
          <w:szCs w:val="20"/>
        </w:rPr>
      </w:pPr>
      <w:r w:rsidRPr="2045D302">
        <w:rPr>
          <w:rFonts w:ascii="Arial Nova" w:eastAsia="Arial Nova" w:hAnsi="Arial Nova" w:cs="Arial Nova"/>
          <w:sz w:val="20"/>
          <w:szCs w:val="20"/>
        </w:rPr>
        <w:t>Domains: protocol registration, literature search, duplicate screening, risk of bias handling, meta-analysis methods, and publication bias.</w:t>
      </w:r>
    </w:p>
    <w:p w14:paraId="71F2CA0F" w14:textId="3466140C" w:rsidR="2F28E964" w:rsidRDefault="2F28E964" w:rsidP="2045D302">
      <w:pPr>
        <w:spacing w:before="240" w:after="240"/>
        <w:rPr>
          <w:rFonts w:ascii="Arial Nova" w:eastAsia="Arial Nova" w:hAnsi="Arial Nova" w:cs="Arial Nova"/>
          <w:sz w:val="20"/>
          <w:szCs w:val="20"/>
        </w:rPr>
      </w:pPr>
      <w:r w:rsidRPr="2045D302">
        <w:rPr>
          <w:rFonts w:ascii="Arial Nova" w:eastAsia="Arial Nova" w:hAnsi="Arial Nova" w:cs="Arial Nova"/>
          <w:sz w:val="20"/>
          <w:szCs w:val="20"/>
        </w:rPr>
        <w:t>Green = high confidence, Yellow = some concerns, Red = low confidence.</w:t>
      </w:r>
    </w:p>
    <w:p w14:paraId="00084C2E" w14:textId="1B6F8F93" w:rsidR="2F28E964" w:rsidRDefault="2F28E964" w:rsidP="2045D302">
      <w:pPr>
        <w:spacing w:before="240" w:after="240"/>
        <w:rPr>
          <w:rFonts w:ascii="Arial Nova" w:eastAsia="Arial Nova" w:hAnsi="Arial Nova" w:cs="Arial Nova"/>
          <w:sz w:val="20"/>
          <w:szCs w:val="20"/>
        </w:rPr>
      </w:pPr>
      <w:r w:rsidRPr="2045D302">
        <w:rPr>
          <w:rFonts w:ascii="Arial Nova" w:eastAsia="Arial Nova" w:hAnsi="Arial Nova" w:cs="Arial Nova"/>
          <w:sz w:val="20"/>
          <w:szCs w:val="20"/>
        </w:rPr>
        <w:lastRenderedPageBreak/>
        <w:t>Quasi-experimental (JBI): One quasi-experimental study was evaluated with the help of the Joanna Briggs Institute (JBI) checklist. It showed relatively low risk concerning the similarity of participants, completeness of follow-up, and reliability in outcome measurement, but “some concerns” regarding the establishment of clear-cut cause-and-effect, the presence of a control group, and multiple measures of pre- and post measurements. A disaggregated picture shows that the proportion chart elicits a mixed profile, with the low-risk judgments made on a variety of domains, and moderate-risk findings revealed concerning the vital methodological blocks (Figure 5).</w:t>
      </w:r>
    </w:p>
    <w:p w14:paraId="20D1B3A1" w14:textId="50FB548F" w:rsidR="2F28E964" w:rsidRDefault="2F28E964" w:rsidP="2045D302">
      <w:pPr>
        <w:spacing w:before="240" w:after="240"/>
        <w:rPr>
          <w:rFonts w:ascii="Arial Nova" w:eastAsia="Arial Nova" w:hAnsi="Arial Nova" w:cs="Arial Nova"/>
          <w:sz w:val="20"/>
          <w:szCs w:val="20"/>
        </w:rPr>
      </w:pPr>
      <w:r>
        <w:rPr>
          <w:noProof/>
        </w:rPr>
        <w:drawing>
          <wp:inline distT="0" distB="0" distL="0" distR="0" wp14:anchorId="17E7AB2C" wp14:editId="117A6559">
            <wp:extent cx="5943600" cy="2038350"/>
            <wp:effectExtent l="0" t="0" r="0" b="0"/>
            <wp:docPr id="64406796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067963"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2038350"/>
                    </a:xfrm>
                    <a:prstGeom prst="rect">
                      <a:avLst/>
                    </a:prstGeom>
                  </pic:spPr>
                </pic:pic>
              </a:graphicData>
            </a:graphic>
          </wp:inline>
        </w:drawing>
      </w:r>
    </w:p>
    <w:p w14:paraId="18F89A5E" w14:textId="0E2930C9" w:rsidR="2F28E964" w:rsidRDefault="2F28E964" w:rsidP="2045D302">
      <w:pPr>
        <w:spacing w:before="240" w:after="240"/>
        <w:rPr>
          <w:rFonts w:ascii="Arial Nova" w:eastAsia="Arial Nova" w:hAnsi="Arial Nova" w:cs="Arial Nova"/>
          <w:sz w:val="20"/>
          <w:szCs w:val="20"/>
        </w:rPr>
      </w:pPr>
      <w:r w:rsidRPr="2045D302">
        <w:rPr>
          <w:rFonts w:ascii="Arial Nova" w:eastAsia="Arial Nova" w:hAnsi="Arial Nova" w:cs="Arial Nova"/>
          <w:sz w:val="20"/>
          <w:szCs w:val="20"/>
        </w:rPr>
        <w:t>Figure 5: Risk of bias assessment for quasi-experimental study using the Joanna Briggs Institute (JBI) Critical Appraisal Checklist. (A) Domain-level judgements for the included quasi-experimental study. (B) Proportion of judgements per domain across the study. Green = Low risk/high quality; Yellow = Some concerns/moderate risk; Red = High risk/low quality.</w:t>
      </w:r>
    </w:p>
    <w:p w14:paraId="2DB8B1BE" w14:textId="383B866E" w:rsidR="2F28E964" w:rsidRDefault="2F28E964" w:rsidP="2045D302">
      <w:pPr>
        <w:spacing w:before="240" w:after="240"/>
        <w:rPr>
          <w:rFonts w:ascii="Arial Nova" w:eastAsia="Arial Nova" w:hAnsi="Arial Nova" w:cs="Arial Nova"/>
          <w:sz w:val="20"/>
          <w:szCs w:val="20"/>
        </w:rPr>
      </w:pPr>
      <w:r w:rsidRPr="2045D302">
        <w:rPr>
          <w:rFonts w:ascii="Arial Nova" w:eastAsia="Arial Nova" w:hAnsi="Arial Nova" w:cs="Arial Nova"/>
          <w:sz w:val="20"/>
          <w:szCs w:val="20"/>
        </w:rPr>
        <w:t>Risk of bias assessment for the single quasi-experimental study using the Joanna Briggs Institute (JBI) Manual (unreferenced tool)</w:t>
      </w:r>
    </w:p>
    <w:p w14:paraId="76F82DA1" w14:textId="248669C9" w:rsidR="2F28E964" w:rsidRDefault="2F28E964" w:rsidP="2045D302">
      <w:pPr>
        <w:spacing w:before="240" w:after="240"/>
        <w:rPr>
          <w:rFonts w:ascii="Arial Nova" w:eastAsia="Arial Nova" w:hAnsi="Arial Nova" w:cs="Arial Nova"/>
          <w:sz w:val="20"/>
          <w:szCs w:val="20"/>
        </w:rPr>
      </w:pPr>
      <w:r w:rsidRPr="2045D302">
        <w:rPr>
          <w:rFonts w:ascii="Arial Nova" w:eastAsia="Arial Nova" w:hAnsi="Arial Nova" w:cs="Arial Nova"/>
          <w:sz w:val="20"/>
          <w:szCs w:val="20"/>
        </w:rPr>
        <w:t>Domains assessed: similarity of participants, completeness of follow-up, outcome reliability, causal inference, control group, and pre/post measurements.</w:t>
      </w:r>
    </w:p>
    <w:p w14:paraId="324AB0F0" w14:textId="5ED88688" w:rsidR="2F28E964" w:rsidRDefault="2F28E964" w:rsidP="2045D302">
      <w:pPr>
        <w:spacing w:before="240" w:after="240"/>
        <w:rPr>
          <w:rFonts w:ascii="Arial Nova" w:eastAsia="Arial Nova" w:hAnsi="Arial Nova" w:cs="Arial Nova"/>
          <w:sz w:val="20"/>
          <w:szCs w:val="20"/>
        </w:rPr>
      </w:pPr>
      <w:r w:rsidRPr="2045D302">
        <w:rPr>
          <w:rFonts w:ascii="Arial Nova" w:eastAsia="Arial Nova" w:hAnsi="Arial Nova" w:cs="Arial Nova"/>
          <w:sz w:val="20"/>
          <w:szCs w:val="20"/>
        </w:rPr>
        <w:t>Judgments: Green = low risk, Yellow = some concerns, Red = high risk</w:t>
      </w:r>
    </w:p>
    <w:p w14:paraId="6E2B6ADE" w14:textId="3C7878E1" w:rsidR="22C2CAD2" w:rsidRDefault="22C2CAD2" w:rsidP="2045D302">
      <w:pPr>
        <w:spacing w:before="240" w:after="240"/>
        <w:rPr>
          <w:rFonts w:ascii="Arial Nova" w:eastAsia="Arial Nova" w:hAnsi="Arial Nova" w:cs="Arial Nova"/>
          <w:sz w:val="20"/>
          <w:szCs w:val="20"/>
        </w:rPr>
      </w:pPr>
      <w:r w:rsidRPr="2045D302">
        <w:rPr>
          <w:rFonts w:ascii="Arial Nova" w:eastAsia="Arial Nova" w:hAnsi="Arial Nova" w:cs="Arial Nova"/>
          <w:sz w:val="20"/>
          <w:szCs w:val="20"/>
        </w:rPr>
        <w:t xml:space="preserve">Nevertheless, there were some studies that showed that there was a continued risk of cancer despite the eradication of the bacteria, and it may be attributed to continuous inflammation of the mucosa, microbial dysbiosis, or genetic predisposition. The stratification of risks further became complex because of regional differences, diet, lifestyle, and due to characteristics of </w:t>
      </w:r>
      <w:proofErr w:type="spellStart"/>
      <w:r w:rsidRPr="2045D302">
        <w:rPr>
          <w:rFonts w:ascii="Arial Nova" w:eastAsia="Arial Nova" w:hAnsi="Arial Nova" w:cs="Arial Nova"/>
          <w:sz w:val="20"/>
          <w:szCs w:val="20"/>
        </w:rPr>
        <w:t>cagA</w:t>
      </w:r>
      <w:proofErr w:type="spellEnd"/>
      <w:r w:rsidRPr="2045D302">
        <w:rPr>
          <w:rFonts w:ascii="Arial Nova" w:eastAsia="Arial Nova" w:hAnsi="Arial Nova" w:cs="Arial Nova"/>
          <w:sz w:val="20"/>
          <w:szCs w:val="20"/>
        </w:rPr>
        <w:t>-positive H. pylori, which are more virulent.</w:t>
      </w:r>
    </w:p>
    <w:p w14:paraId="1496C7E7" w14:textId="6D2CD6F4" w:rsidR="22C2CAD2" w:rsidRDefault="22C2CAD2" w:rsidP="2045D302">
      <w:pPr>
        <w:spacing w:before="240" w:after="240"/>
        <w:rPr>
          <w:rFonts w:ascii="Arial Nova" w:eastAsia="Arial Nova" w:hAnsi="Arial Nova" w:cs="Arial Nova"/>
          <w:sz w:val="20"/>
          <w:szCs w:val="20"/>
        </w:rPr>
      </w:pPr>
      <w:r w:rsidRPr="2045D302">
        <w:rPr>
          <w:rFonts w:ascii="Arial Nova" w:eastAsia="Arial Nova" w:hAnsi="Arial Nova" w:cs="Arial Nova"/>
          <w:sz w:val="20"/>
          <w:szCs w:val="20"/>
        </w:rPr>
        <w:t>All of the incorporated studies were evaluated in relation to their quality by using tools such as the Cochrane Risk of Bias Tool (in case of RCTs), Newcastle-Ottawa Scale (cohort and case-control studies), and AMSTAR2 (systematic reviews). Studies that had a score of 70% or above were deemed acceptable and were to be synthesized. No meta-analysis was conducted because of the heterogeneity of case study design, population, and outcomes.</w:t>
      </w:r>
    </w:p>
    <w:p w14:paraId="2A30B1FE" w14:textId="6F88ADBC" w:rsidR="22C2CAD2" w:rsidRDefault="22C2CAD2" w:rsidP="2045D302">
      <w:pPr>
        <w:spacing w:before="240" w:after="240"/>
        <w:rPr>
          <w:rFonts w:ascii="Arial Nova" w:eastAsia="Arial Nova" w:hAnsi="Arial Nova" w:cs="Arial Nova"/>
          <w:sz w:val="20"/>
          <w:szCs w:val="20"/>
        </w:rPr>
      </w:pPr>
      <w:r w:rsidRPr="2045D302">
        <w:rPr>
          <w:rFonts w:ascii="Arial Nova" w:eastAsia="Arial Nova" w:hAnsi="Arial Nova" w:cs="Arial Nova"/>
          <w:sz w:val="20"/>
          <w:szCs w:val="20"/>
        </w:rPr>
        <w:lastRenderedPageBreak/>
        <w:t>Its major findings continuously incline toward the protective nature of the early detection and eradication therapy that is effective against gastric cancer. Although eradication is not the absolute way to eliminate risk, it contributes significantly towards the reduction of the burden of the disease, especially through combined efforts of continued surveillance and population-specific methods of public health.</w:t>
      </w:r>
    </w:p>
    <w:p w14:paraId="04EBF23E" w14:textId="4F8B7494" w:rsidR="22C2CAD2" w:rsidRDefault="22C2CAD2" w:rsidP="2045D302">
      <w:pPr>
        <w:spacing w:before="240" w:after="240"/>
        <w:rPr>
          <w:rFonts w:ascii="Arial Nova" w:eastAsia="Arial Nova" w:hAnsi="Arial Nova" w:cs="Arial Nova"/>
          <w:sz w:val="20"/>
          <w:szCs w:val="20"/>
        </w:rPr>
      </w:pPr>
      <w:r w:rsidRPr="2045D302">
        <w:rPr>
          <w:rFonts w:ascii="Arial Nova" w:eastAsia="Arial Nova" w:hAnsi="Arial Nova" w:cs="Arial Nova"/>
          <w:sz w:val="20"/>
          <w:szCs w:val="20"/>
        </w:rPr>
        <w:t>Discussion</w:t>
      </w:r>
    </w:p>
    <w:p w14:paraId="3E07CD54" w14:textId="6250DB0D" w:rsidR="22C2CAD2" w:rsidRDefault="22C2CAD2" w:rsidP="2045D302">
      <w:pPr>
        <w:spacing w:before="240" w:after="240"/>
        <w:rPr>
          <w:rFonts w:ascii="Arial Nova" w:eastAsia="Arial Nova" w:hAnsi="Arial Nova" w:cs="Arial Nova"/>
          <w:sz w:val="20"/>
          <w:szCs w:val="20"/>
        </w:rPr>
      </w:pPr>
      <w:r w:rsidRPr="2045D302">
        <w:rPr>
          <w:rFonts w:ascii="Arial Nova" w:eastAsia="Arial Nova" w:hAnsi="Arial Nova" w:cs="Arial Nova"/>
          <w:sz w:val="20"/>
          <w:szCs w:val="20"/>
        </w:rPr>
        <w:t>This systematic review evaluated recent evidence on the association between Helicobacter pylori infection, eradication, and gastric cancer outcomes. Across the 32 included studies, there is consistent support for the role of H. pylori as a major driver of gastric carcinogenesis and for the protective benefit of eradication therapy in reducing cancer incidence and mortality.</w:t>
      </w:r>
    </w:p>
    <w:p w14:paraId="414383A9" w14:textId="5A827407" w:rsidR="22C2CAD2" w:rsidRDefault="22C2CAD2" w:rsidP="2045D302">
      <w:pPr>
        <w:spacing w:before="240" w:after="240"/>
        <w:rPr>
          <w:rFonts w:ascii="Arial Nova" w:eastAsia="Arial Nova" w:hAnsi="Arial Nova" w:cs="Arial Nova"/>
          <w:sz w:val="20"/>
          <w:szCs w:val="20"/>
        </w:rPr>
      </w:pPr>
      <w:r w:rsidRPr="2045D302">
        <w:rPr>
          <w:rFonts w:ascii="Arial Nova" w:eastAsia="Arial Nova" w:hAnsi="Arial Nova" w:cs="Arial Nova"/>
          <w:sz w:val="20"/>
          <w:szCs w:val="20"/>
        </w:rPr>
        <w:t>Early cohort studies such as Li et al. [9] demonstrated that successful eradication significantly lowered gastric cancer-related deaths in long-term follow-up. Subsequent mechanistic and molecular work, including Salvatori et al. [10] and He et al. [11], showed that H. pylori promotes malignant transformation by activating oncogenic signaling pathways and inducing stem-cell-like phenotypes in gastric mucosa. Tran et al. [12] further clarified that cag pathogenicity island (</w:t>
      </w:r>
      <w:proofErr w:type="spellStart"/>
      <w:r w:rsidRPr="2045D302">
        <w:rPr>
          <w:rFonts w:ascii="Arial Nova" w:eastAsia="Arial Nova" w:hAnsi="Arial Nova" w:cs="Arial Nova"/>
          <w:sz w:val="20"/>
          <w:szCs w:val="20"/>
        </w:rPr>
        <w:t>cagPAI</w:t>
      </w:r>
      <w:proofErr w:type="spellEnd"/>
      <w:r w:rsidRPr="2045D302">
        <w:rPr>
          <w:rFonts w:ascii="Arial Nova" w:eastAsia="Arial Nova" w:hAnsi="Arial Nova" w:cs="Arial Nova"/>
          <w:sz w:val="20"/>
          <w:szCs w:val="20"/>
        </w:rPr>
        <w:t>)-positive strains are particularly associated with heightened cancer risk.</w:t>
      </w:r>
    </w:p>
    <w:p w14:paraId="1879F180" w14:textId="21EBFB61" w:rsidR="22C2CAD2" w:rsidRDefault="22C2CAD2" w:rsidP="2045D302">
      <w:pPr>
        <w:spacing w:before="240" w:after="240"/>
        <w:rPr>
          <w:rFonts w:ascii="Arial Nova" w:eastAsia="Arial Nova" w:hAnsi="Arial Nova" w:cs="Arial Nova"/>
          <w:sz w:val="20"/>
          <w:szCs w:val="20"/>
        </w:rPr>
      </w:pPr>
      <w:r w:rsidRPr="2045D302">
        <w:rPr>
          <w:rFonts w:ascii="Arial Nova" w:eastAsia="Arial Nova" w:hAnsi="Arial Nova" w:cs="Arial Nova"/>
          <w:sz w:val="20"/>
          <w:szCs w:val="20"/>
        </w:rPr>
        <w:t xml:space="preserve">Epidemiologic and microbiome studies provide additional perspective. Hooi et al. [13] estimated the global prevalence of H. pylori infection, while Guo et al. [14] reported that persistent dysbiosis remains even after eradication in high-risk populations. Liatsos et al. [15] and Zhou C et al. [16] showed that H. pylori alters gastric microbial composition, with obesity and proton pump inhibitor use amplifying this effect. </w:t>
      </w:r>
      <w:proofErr w:type="spellStart"/>
      <w:r w:rsidRPr="2045D302">
        <w:rPr>
          <w:rFonts w:ascii="Arial Nova" w:eastAsia="Arial Nova" w:hAnsi="Arial Nova" w:cs="Arial Nova"/>
          <w:sz w:val="20"/>
          <w:szCs w:val="20"/>
        </w:rPr>
        <w:t>Fiorani</w:t>
      </w:r>
      <w:proofErr w:type="spellEnd"/>
      <w:r w:rsidRPr="2045D302">
        <w:rPr>
          <w:rFonts w:ascii="Arial Nova" w:eastAsia="Arial Nova" w:hAnsi="Arial Nova" w:cs="Arial Nova"/>
          <w:sz w:val="20"/>
          <w:szCs w:val="20"/>
        </w:rPr>
        <w:t xml:space="preserve"> et al. [17] and </w:t>
      </w:r>
      <w:proofErr w:type="spellStart"/>
      <w:r w:rsidRPr="2045D302">
        <w:rPr>
          <w:rFonts w:ascii="Arial Nova" w:eastAsia="Arial Nova" w:hAnsi="Arial Nova" w:cs="Arial Nova"/>
          <w:sz w:val="20"/>
          <w:szCs w:val="20"/>
        </w:rPr>
        <w:t>Engelsberger</w:t>
      </w:r>
      <w:proofErr w:type="spellEnd"/>
      <w:r w:rsidRPr="2045D302">
        <w:rPr>
          <w:rFonts w:ascii="Arial Nova" w:eastAsia="Arial Nova" w:hAnsi="Arial Nova" w:cs="Arial Nova"/>
          <w:sz w:val="20"/>
          <w:szCs w:val="20"/>
        </w:rPr>
        <w:t xml:space="preserve"> et al. [18] highlighted the broader impact of infection on gut microbiota and immunity, while Hua et al. [19] confirmed that microbial imbalance predisposes to neoplastic progression.</w:t>
      </w:r>
    </w:p>
    <w:p w14:paraId="16CB4189" w14:textId="661581CB" w:rsidR="22C2CAD2" w:rsidRDefault="22C2CAD2" w:rsidP="2045D302">
      <w:pPr>
        <w:spacing w:before="240" w:after="240"/>
        <w:rPr>
          <w:rFonts w:ascii="Arial Nova" w:eastAsia="Arial Nova" w:hAnsi="Arial Nova" w:cs="Arial Nova"/>
          <w:sz w:val="20"/>
          <w:szCs w:val="20"/>
        </w:rPr>
      </w:pPr>
      <w:r w:rsidRPr="2045D302">
        <w:rPr>
          <w:rFonts w:ascii="Arial Nova" w:eastAsia="Arial Nova" w:hAnsi="Arial Nova" w:cs="Arial Nova"/>
          <w:sz w:val="20"/>
          <w:szCs w:val="20"/>
        </w:rPr>
        <w:t xml:space="preserve">The preventive effect of eradication has been most clearly documented in randomized controlled trials. </w:t>
      </w:r>
      <w:proofErr w:type="spellStart"/>
      <w:r w:rsidRPr="2045D302">
        <w:rPr>
          <w:rFonts w:ascii="Arial Nova" w:eastAsia="Arial Nova" w:hAnsi="Arial Nova" w:cs="Arial Nova"/>
          <w:sz w:val="20"/>
          <w:szCs w:val="20"/>
        </w:rPr>
        <w:t>Fukase</w:t>
      </w:r>
      <w:proofErr w:type="spellEnd"/>
      <w:r w:rsidRPr="2045D302">
        <w:rPr>
          <w:rFonts w:ascii="Arial Nova" w:eastAsia="Arial Nova" w:hAnsi="Arial Nova" w:cs="Arial Nova"/>
          <w:sz w:val="20"/>
          <w:szCs w:val="20"/>
        </w:rPr>
        <w:t xml:space="preserve"> et al. [20] found that eradication reduced incident gastric cancers in patients with peptic ulcer disease. Choi et al. [21] demonstrated reduced metachronous lesions after endoscopic resection, and Choi et al. [22] extended these findings to individuals with a family history of gastric cancer. A Cochrane review by Ford et al. [23] pooled global data and estimated that eradication decreased gastric cancer risk by nearly half. Similarly, Jung et al. [24] showed a significant reduction in metachronous lesions following resection when eradication therapy was given.</w:t>
      </w:r>
    </w:p>
    <w:p w14:paraId="2FF2106B" w14:textId="2C3AC241" w:rsidR="22C2CAD2" w:rsidRDefault="22C2CAD2" w:rsidP="2045D302">
      <w:pPr>
        <w:spacing w:before="240" w:after="240"/>
        <w:rPr>
          <w:rFonts w:ascii="Arial Nova" w:eastAsia="Arial Nova" w:hAnsi="Arial Nova" w:cs="Arial Nova"/>
          <w:sz w:val="20"/>
          <w:szCs w:val="20"/>
        </w:rPr>
      </w:pPr>
      <w:r w:rsidRPr="2045D302">
        <w:rPr>
          <w:rFonts w:ascii="Arial Nova" w:eastAsia="Arial Nova" w:hAnsi="Arial Nova" w:cs="Arial Nova"/>
          <w:sz w:val="20"/>
          <w:szCs w:val="20"/>
        </w:rPr>
        <w:t xml:space="preserve">Newer investigations continue to expand understanding of disease mechanisms. Zhou LY et al. [25] described </w:t>
      </w:r>
      <w:proofErr w:type="spellStart"/>
      <w:r w:rsidRPr="2045D302">
        <w:rPr>
          <w:rFonts w:ascii="Arial Nova" w:eastAsia="Arial Nova" w:hAnsi="Arial Nova" w:cs="Arial Nova"/>
          <w:sz w:val="20"/>
          <w:szCs w:val="20"/>
        </w:rPr>
        <w:t>pyroptosis</w:t>
      </w:r>
      <w:proofErr w:type="spellEnd"/>
      <w:r w:rsidRPr="2045D302">
        <w:rPr>
          <w:rFonts w:ascii="Arial Nova" w:eastAsia="Arial Nova" w:hAnsi="Arial Nova" w:cs="Arial Nova"/>
          <w:sz w:val="20"/>
          <w:szCs w:val="20"/>
        </w:rPr>
        <w:t xml:space="preserve"> pathways contributing to H. pylori-induced mucosal injury. </w:t>
      </w:r>
      <w:proofErr w:type="spellStart"/>
      <w:r w:rsidRPr="2045D302">
        <w:rPr>
          <w:rFonts w:ascii="Arial Nova" w:eastAsia="Arial Nova" w:hAnsi="Arial Nova" w:cs="Arial Nova"/>
          <w:sz w:val="20"/>
          <w:szCs w:val="20"/>
        </w:rPr>
        <w:t>Alipour</w:t>
      </w:r>
      <w:proofErr w:type="spellEnd"/>
      <w:r w:rsidRPr="2045D302">
        <w:rPr>
          <w:rFonts w:ascii="Arial Nova" w:eastAsia="Arial Nova" w:hAnsi="Arial Nova" w:cs="Arial Nova"/>
          <w:sz w:val="20"/>
          <w:szCs w:val="20"/>
        </w:rPr>
        <w:t xml:space="preserve"> [26] studied virulence factors in an Iranian cohort, while Reyes et al. [27] explored immune modulation by bacterial antigens. Gu Y et al. [28] demonstrated that oxidative stress mechanisms are central to malignant transformation, and Chen et al. [29] reported how host and environmental risk modifiers influence outcomes in Taiwanese adults. </w:t>
      </w:r>
      <w:proofErr w:type="spellStart"/>
      <w:r w:rsidRPr="2045D302">
        <w:rPr>
          <w:rFonts w:ascii="Arial Nova" w:eastAsia="Arial Nova" w:hAnsi="Arial Nova" w:cs="Arial Nova"/>
          <w:sz w:val="20"/>
          <w:szCs w:val="20"/>
        </w:rPr>
        <w:t>Xie</w:t>
      </w:r>
      <w:proofErr w:type="spellEnd"/>
      <w:r w:rsidRPr="2045D302">
        <w:rPr>
          <w:rFonts w:ascii="Arial Nova" w:eastAsia="Arial Nova" w:hAnsi="Arial Nova" w:cs="Arial Nova"/>
          <w:sz w:val="20"/>
          <w:szCs w:val="20"/>
        </w:rPr>
        <w:t xml:space="preserve"> et al. [30] provided updated epidemiological context, linking regional prevalence trends to cancer burden. Ali and </w:t>
      </w:r>
      <w:proofErr w:type="spellStart"/>
      <w:r w:rsidRPr="2045D302">
        <w:rPr>
          <w:rFonts w:ascii="Arial Nova" w:eastAsia="Arial Nova" w:hAnsi="Arial Nova" w:cs="Arial Nova"/>
          <w:sz w:val="20"/>
          <w:szCs w:val="20"/>
        </w:rPr>
        <w:t>AlHussaini</w:t>
      </w:r>
      <w:proofErr w:type="spellEnd"/>
      <w:r w:rsidRPr="2045D302">
        <w:rPr>
          <w:rFonts w:ascii="Arial Nova" w:eastAsia="Arial Nova" w:hAnsi="Arial Nova" w:cs="Arial Nova"/>
          <w:sz w:val="20"/>
          <w:szCs w:val="20"/>
        </w:rPr>
        <w:t xml:space="preserve"> [31] summarized contemporary approaches to diagnosis and treatment, and </w:t>
      </w:r>
      <w:proofErr w:type="spellStart"/>
      <w:r w:rsidRPr="2045D302">
        <w:rPr>
          <w:rFonts w:ascii="Arial Nova" w:eastAsia="Arial Nova" w:hAnsi="Arial Nova" w:cs="Arial Nova"/>
          <w:sz w:val="20"/>
          <w:szCs w:val="20"/>
        </w:rPr>
        <w:t>Booka</w:t>
      </w:r>
      <w:proofErr w:type="spellEnd"/>
      <w:r w:rsidRPr="2045D302">
        <w:rPr>
          <w:rFonts w:ascii="Arial Nova" w:eastAsia="Arial Nova" w:hAnsi="Arial Nova" w:cs="Arial Nova"/>
          <w:sz w:val="20"/>
          <w:szCs w:val="20"/>
        </w:rPr>
        <w:t xml:space="preserve"> and Takeuchi [32] described sentinel node navigation surgery, reflecting advances in gastric cancer management relevant to early detection.</w:t>
      </w:r>
    </w:p>
    <w:p w14:paraId="66DB0F44" w14:textId="791FCADB" w:rsidR="22C2CAD2" w:rsidRDefault="22C2CAD2" w:rsidP="2045D302">
      <w:pPr>
        <w:spacing w:before="240" w:after="240"/>
        <w:rPr>
          <w:rFonts w:ascii="Arial Nova" w:eastAsia="Arial Nova" w:hAnsi="Arial Nova" w:cs="Arial Nova"/>
          <w:sz w:val="20"/>
          <w:szCs w:val="20"/>
        </w:rPr>
      </w:pPr>
      <w:r w:rsidRPr="2045D302">
        <w:rPr>
          <w:rFonts w:ascii="Arial Nova" w:eastAsia="Arial Nova" w:hAnsi="Arial Nova" w:cs="Arial Nova"/>
          <w:sz w:val="20"/>
          <w:szCs w:val="20"/>
        </w:rPr>
        <w:t xml:space="preserve">Taken together, these studies reinforce that H. pylori eradication is a cornerstone of gastric cancer prevention. The strength of the evidence is greatest in East Asian populations, where background infection rates and virulent strains are common, but the principles are generalizable worldwide. </w:t>
      </w:r>
      <w:r w:rsidRPr="2045D302">
        <w:rPr>
          <w:rFonts w:ascii="Arial Nova" w:eastAsia="Arial Nova" w:hAnsi="Arial Nova" w:cs="Arial Nova"/>
          <w:sz w:val="20"/>
          <w:szCs w:val="20"/>
        </w:rPr>
        <w:lastRenderedPageBreak/>
        <w:t>Importantly, several studies suggest that eradication is most effective before the onset of advanced atrophic or metaplastic changes [20-24]. Even after eradication, residual risks related to microbiota imbalance [14-19, 28-29] and host susceptibility remain, underscoring the importance of continued surveillance in high-risk groups.</w:t>
      </w:r>
    </w:p>
    <w:p w14:paraId="619069B5" w14:textId="4111F556" w:rsidR="22C2CAD2" w:rsidRDefault="22C2CAD2" w:rsidP="2045D302">
      <w:pPr>
        <w:spacing w:before="240" w:after="240"/>
        <w:rPr>
          <w:rFonts w:ascii="Arial Nova" w:eastAsia="Arial Nova" w:hAnsi="Arial Nova" w:cs="Arial Nova"/>
          <w:sz w:val="20"/>
          <w:szCs w:val="20"/>
        </w:rPr>
      </w:pPr>
      <w:r w:rsidRPr="2045D302">
        <w:rPr>
          <w:rFonts w:ascii="Arial Nova" w:eastAsia="Arial Nova" w:hAnsi="Arial Nova" w:cs="Arial Nova"/>
          <w:sz w:val="20"/>
          <w:szCs w:val="20"/>
        </w:rPr>
        <w:t>Overall, the expanded body of evidence [9-32] confirms that H. pylori eradication not only decreases the incidence of gastric cancer but also provides insight into the molecular and microbial mechanisms driving carcinogenesis. Future work should focus on combining eradication with microbiome-directed strategies and surveillance to maximize preventive benefit.</w:t>
      </w:r>
    </w:p>
    <w:p w14:paraId="50361CBB" w14:textId="11790BBA" w:rsidR="22C2CAD2" w:rsidRDefault="22C2CAD2" w:rsidP="2045D302">
      <w:pPr>
        <w:spacing w:before="240" w:after="240"/>
        <w:rPr>
          <w:rFonts w:ascii="Arial Nova" w:eastAsia="Arial Nova" w:hAnsi="Arial Nova" w:cs="Arial Nova"/>
          <w:sz w:val="20"/>
          <w:szCs w:val="20"/>
        </w:rPr>
      </w:pPr>
      <w:r w:rsidRPr="2045D302">
        <w:rPr>
          <w:rFonts w:ascii="Arial Nova" w:eastAsia="Arial Nova" w:hAnsi="Arial Nova" w:cs="Arial Nova"/>
          <w:sz w:val="20"/>
          <w:szCs w:val="20"/>
        </w:rPr>
        <w:t xml:space="preserve">Comparison of the Past Literature </w:t>
      </w:r>
      <w:proofErr w:type="gramStart"/>
      <w:r w:rsidRPr="2045D302">
        <w:rPr>
          <w:rFonts w:ascii="Arial Nova" w:eastAsia="Arial Nova" w:hAnsi="Arial Nova" w:cs="Arial Nova"/>
          <w:sz w:val="20"/>
          <w:szCs w:val="20"/>
        </w:rPr>
        <w:t>With</w:t>
      </w:r>
      <w:proofErr w:type="gramEnd"/>
      <w:r w:rsidRPr="2045D302">
        <w:rPr>
          <w:rFonts w:ascii="Arial Nova" w:eastAsia="Arial Nova" w:hAnsi="Arial Nova" w:cs="Arial Nova"/>
          <w:sz w:val="20"/>
          <w:szCs w:val="20"/>
        </w:rPr>
        <w:t xml:space="preserve"> Comparative Literature</w:t>
      </w:r>
    </w:p>
    <w:p w14:paraId="2A82F309" w14:textId="572D0CD1" w:rsidR="22C2CAD2" w:rsidRDefault="22C2CAD2" w:rsidP="2045D302">
      <w:pPr>
        <w:spacing w:before="240" w:after="240"/>
        <w:rPr>
          <w:rFonts w:ascii="Arial Nova" w:eastAsia="Arial Nova" w:hAnsi="Arial Nova" w:cs="Arial Nova"/>
          <w:sz w:val="20"/>
          <w:szCs w:val="20"/>
        </w:rPr>
      </w:pPr>
      <w:r w:rsidRPr="2045D302">
        <w:rPr>
          <w:rFonts w:ascii="Arial Nova" w:eastAsia="Arial Nova" w:hAnsi="Arial Nova" w:cs="Arial Nova"/>
          <w:sz w:val="20"/>
          <w:szCs w:val="20"/>
        </w:rPr>
        <w:t xml:space="preserve">The results are consistent with those of previous meta-analyses and Cochrane reviews [9,10] and with mechanistic studies that emphasize inflammation pathways regarding </w:t>
      </w:r>
      <w:proofErr w:type="spellStart"/>
      <w:r w:rsidRPr="2045D302">
        <w:rPr>
          <w:rFonts w:ascii="Arial Nova" w:eastAsia="Arial Nova" w:hAnsi="Arial Nova" w:cs="Arial Nova"/>
          <w:sz w:val="20"/>
          <w:szCs w:val="20"/>
        </w:rPr>
        <w:t>cagA</w:t>
      </w:r>
      <w:proofErr w:type="spellEnd"/>
      <w:r w:rsidRPr="2045D302">
        <w:rPr>
          <w:rFonts w:ascii="Arial Nova" w:eastAsia="Arial Nova" w:hAnsi="Arial Nova" w:cs="Arial Nova"/>
          <w:sz w:val="20"/>
          <w:szCs w:val="20"/>
        </w:rPr>
        <w:t>. East Asia has greater benefits, which is associated with the fact that this region has a greater prevalence of virulent strains and earlier screening. Potential confounders such as smoking, alcohol intake, diet, socioeconomic status, and the higher prevalence of virulent H. pylori strains in certain regions may have influenced observed differences, but these were variably controlled across studies.</w:t>
      </w:r>
    </w:p>
    <w:p w14:paraId="6BEEA8BC" w14:textId="048F0D18" w:rsidR="22C2CAD2" w:rsidRDefault="22C2CAD2" w:rsidP="2045D302">
      <w:pPr>
        <w:spacing w:before="240" w:after="240"/>
        <w:rPr>
          <w:rFonts w:ascii="Arial Nova" w:eastAsia="Arial Nova" w:hAnsi="Arial Nova" w:cs="Arial Nova"/>
          <w:sz w:val="20"/>
          <w:szCs w:val="20"/>
        </w:rPr>
      </w:pPr>
      <w:r w:rsidRPr="2045D302">
        <w:rPr>
          <w:rFonts w:ascii="Arial Nova" w:eastAsia="Arial Nova" w:hAnsi="Arial Nova" w:cs="Arial Nova"/>
          <w:sz w:val="20"/>
          <w:szCs w:val="20"/>
        </w:rPr>
        <w:t>Analysis and Implications</w:t>
      </w:r>
    </w:p>
    <w:p w14:paraId="25145599" w14:textId="2C006351" w:rsidR="22C2CAD2" w:rsidRDefault="22C2CAD2" w:rsidP="2045D302">
      <w:pPr>
        <w:spacing w:before="240" w:after="240"/>
        <w:rPr>
          <w:rFonts w:ascii="Arial Nova" w:eastAsia="Arial Nova" w:hAnsi="Arial Nova" w:cs="Arial Nova"/>
          <w:sz w:val="20"/>
          <w:szCs w:val="20"/>
        </w:rPr>
      </w:pPr>
      <w:r w:rsidRPr="2045D302">
        <w:rPr>
          <w:rFonts w:ascii="Arial Nova" w:eastAsia="Arial Nova" w:hAnsi="Arial Nova" w:cs="Arial Nova"/>
          <w:sz w:val="20"/>
          <w:szCs w:val="20"/>
        </w:rPr>
        <w:t>The findings substantiate the idea of the inclusion of H. pylori detection and eradication into national prevention plans in regions where the level of occurrence is high. The results are best realized with an early treatment. The residual risk is then to be addressed through post-reduction eradication surveillance and microbiome restoration.</w:t>
      </w:r>
    </w:p>
    <w:p w14:paraId="436CBFBD" w14:textId="2F48CE06" w:rsidR="22C2CAD2" w:rsidRDefault="22C2CAD2" w:rsidP="2045D302">
      <w:pPr>
        <w:spacing w:before="240" w:after="240"/>
        <w:rPr>
          <w:rFonts w:ascii="Arial Nova" w:eastAsia="Arial Nova" w:hAnsi="Arial Nova" w:cs="Arial Nova"/>
          <w:sz w:val="20"/>
          <w:szCs w:val="20"/>
        </w:rPr>
      </w:pPr>
      <w:r w:rsidRPr="2045D302">
        <w:rPr>
          <w:rFonts w:ascii="Arial Nova" w:eastAsia="Arial Nova" w:hAnsi="Arial Nova" w:cs="Arial Nova"/>
          <w:sz w:val="20"/>
          <w:szCs w:val="20"/>
        </w:rPr>
        <w:t>Strengths and limitations</w:t>
      </w:r>
    </w:p>
    <w:p w14:paraId="1A8E8D76" w14:textId="1609B6E7" w:rsidR="22C2CAD2" w:rsidRDefault="22C2CAD2" w:rsidP="2045D302">
      <w:pPr>
        <w:spacing w:before="240" w:after="240"/>
        <w:rPr>
          <w:rFonts w:ascii="Arial Nova" w:eastAsia="Arial Nova" w:hAnsi="Arial Nova" w:cs="Arial Nova"/>
          <w:sz w:val="20"/>
          <w:szCs w:val="20"/>
        </w:rPr>
      </w:pPr>
      <w:r w:rsidRPr="2045D302">
        <w:rPr>
          <w:rFonts w:ascii="Arial Nova" w:eastAsia="Arial Nova" w:hAnsi="Arial Nova" w:cs="Arial Nova"/>
          <w:sz w:val="20"/>
          <w:szCs w:val="20"/>
        </w:rPr>
        <w:t>Strengths</w:t>
      </w:r>
    </w:p>
    <w:p w14:paraId="39AD486D" w14:textId="1FDB04CB" w:rsidR="22C2CAD2" w:rsidRDefault="22C2CAD2" w:rsidP="2045D302">
      <w:pPr>
        <w:spacing w:before="240" w:after="240"/>
        <w:rPr>
          <w:rFonts w:ascii="Arial Nova" w:eastAsia="Arial Nova" w:hAnsi="Arial Nova" w:cs="Arial Nova"/>
          <w:sz w:val="20"/>
          <w:szCs w:val="20"/>
        </w:rPr>
      </w:pPr>
      <w:r w:rsidRPr="2045D302">
        <w:rPr>
          <w:rFonts w:ascii="Arial Nova" w:eastAsia="Arial Nova" w:hAnsi="Arial Nova" w:cs="Arial Nova"/>
          <w:sz w:val="20"/>
          <w:szCs w:val="20"/>
        </w:rPr>
        <w:t>The review presented the latest information and provided new information on the correlation between H. pylori infection and gastric cancer. The introduction of various study designs, including RCTs, observational studies, and systematic reviews, permitted a wide range of evidence synthesis in various environments. In addition, the reliability of the conclusions was increased by the application of rigorous methodological quality judgment adapted to specific research types, reducing the bias.</w:t>
      </w:r>
    </w:p>
    <w:p w14:paraId="30BB567F" w14:textId="70B1364B" w:rsidR="22C2CAD2" w:rsidRDefault="22C2CAD2" w:rsidP="2045D302">
      <w:pPr>
        <w:spacing w:before="240" w:after="240"/>
        <w:rPr>
          <w:rFonts w:ascii="Arial Nova" w:eastAsia="Arial Nova" w:hAnsi="Arial Nova" w:cs="Arial Nova"/>
          <w:sz w:val="20"/>
          <w:szCs w:val="20"/>
        </w:rPr>
      </w:pPr>
      <w:r w:rsidRPr="2045D302">
        <w:rPr>
          <w:rFonts w:ascii="Arial Nova" w:eastAsia="Arial Nova" w:hAnsi="Arial Nova" w:cs="Arial Nova"/>
          <w:sz w:val="20"/>
          <w:szCs w:val="20"/>
        </w:rPr>
        <w:t>Limitations</w:t>
      </w:r>
    </w:p>
    <w:p w14:paraId="11C75CB8" w14:textId="3363593D" w:rsidR="22C2CAD2" w:rsidRDefault="22C2CAD2" w:rsidP="2045D302">
      <w:pPr>
        <w:spacing w:before="240" w:after="240"/>
        <w:rPr>
          <w:rFonts w:ascii="Arial Nova" w:eastAsia="Arial Nova" w:hAnsi="Arial Nova" w:cs="Arial Nova"/>
          <w:sz w:val="20"/>
          <w:szCs w:val="20"/>
        </w:rPr>
      </w:pPr>
      <w:r w:rsidRPr="2045D302">
        <w:rPr>
          <w:rFonts w:ascii="Arial Nova" w:eastAsia="Arial Nova" w:hAnsi="Arial Nova" w:cs="Arial Nova"/>
          <w:sz w:val="20"/>
          <w:szCs w:val="20"/>
        </w:rPr>
        <w:t>There are quite a number of limitations that should be mentioned. Most of the included studies used East Asian populations, therefore limiting the way in which the study can be extended to other areas with varying genetic, dietary, and epidemiological patterns. There were important degrees of heterogeneity between the studies, predominantly in study design, outcomes, and length of follow-up, that precluded meaningful pooled meta-analysis. Furthermore, little was known about genomics and microbiome in hosts, which restricted the investigation of biological mechanisms.</w:t>
      </w:r>
    </w:p>
    <w:p w14:paraId="23D699A4" w14:textId="39FE7984" w:rsidR="22C2CAD2" w:rsidRDefault="22C2CAD2" w:rsidP="2045D302">
      <w:pPr>
        <w:pStyle w:val="Heading3"/>
        <w:spacing w:before="81" w:after="203"/>
        <w:ind w:right="240"/>
        <w:rPr>
          <w:rFonts w:ascii="Arial Nova" w:eastAsia="Arial Nova" w:hAnsi="Arial Nova" w:cs="Arial Nova"/>
          <w:color w:val="222222"/>
          <w:sz w:val="20"/>
          <w:szCs w:val="20"/>
        </w:rPr>
      </w:pPr>
      <w:r w:rsidRPr="2045D302">
        <w:rPr>
          <w:rFonts w:ascii="Arial Nova" w:eastAsia="Arial Nova" w:hAnsi="Arial Nova" w:cs="Arial Nova"/>
          <w:color w:val="222222"/>
          <w:sz w:val="20"/>
          <w:szCs w:val="20"/>
        </w:rPr>
        <w:lastRenderedPageBreak/>
        <w:t>Conclusions</w:t>
      </w:r>
    </w:p>
    <w:p w14:paraId="2E7EA6EB" w14:textId="322CA7DA" w:rsidR="22C2CAD2" w:rsidRDefault="22C2CAD2" w:rsidP="2045D302">
      <w:pPr>
        <w:spacing w:before="240" w:after="300"/>
        <w:rPr>
          <w:rFonts w:ascii="Arial Nova" w:eastAsia="Arial Nova" w:hAnsi="Arial Nova" w:cs="Arial Nova"/>
          <w:color w:val="222222"/>
          <w:sz w:val="20"/>
          <w:szCs w:val="20"/>
        </w:rPr>
      </w:pPr>
      <w:r w:rsidRPr="2045D302">
        <w:rPr>
          <w:rFonts w:ascii="Arial Nova" w:eastAsia="Arial Nova" w:hAnsi="Arial Nova" w:cs="Arial Nova"/>
          <w:color w:val="222222"/>
          <w:sz w:val="20"/>
          <w:szCs w:val="20"/>
        </w:rPr>
        <w:t>This systematic review proposes that the infection of Helicobacter pylori is a major risk factor in the development of gastric cancer because it has a clear strong epidemiological and mechanistic evidence. Eradication treatment is found to consistently decrease the cases of gastric cancer and its recurrence especially when done prior to onset of precancerous tissue. These results support the use of H. pylori screening and elimination as part of an important panel in gastric cancer prevention.</w:t>
      </w:r>
    </w:p>
    <w:p w14:paraId="51E3F40C" w14:textId="1FBEF9D9" w:rsidR="22C2CAD2" w:rsidRDefault="22C2CAD2" w:rsidP="2045D302">
      <w:pPr>
        <w:spacing w:before="240" w:after="300"/>
        <w:rPr>
          <w:rFonts w:ascii="Arial Nova" w:eastAsia="Arial Nova" w:hAnsi="Arial Nova" w:cs="Arial Nova"/>
          <w:color w:val="222222"/>
          <w:sz w:val="20"/>
          <w:szCs w:val="20"/>
        </w:rPr>
      </w:pPr>
      <w:r w:rsidRPr="2045D302">
        <w:rPr>
          <w:rFonts w:ascii="Arial Nova" w:eastAsia="Arial Nova" w:hAnsi="Arial Nova" w:cs="Arial Nova"/>
          <w:color w:val="222222"/>
          <w:sz w:val="20"/>
          <w:szCs w:val="20"/>
        </w:rPr>
        <w:t>Although the overall strength of the evidence is regarded as strong, differences in study design, population risk profiles, and follow-ups pinpoint the necessity of the well-planned and long-lasting randomized controlled trials in the various settings. Regardless of the heterogeneity of study designs and their populations, the general body of evidence promotes the same conclusion, i.e., Helicobacter pylori eradication is capable of reducing the risk of gastric cancer formation. The global burden of gastric cancer may be lowered drastically since integrating H. pylori eradication programs in the national policies of cancer prevention, particularly in the high-risk areas may be effective.</w:t>
      </w:r>
    </w:p>
    <w:p w14:paraId="62019EC6" w14:textId="5EDE909E" w:rsidR="2045D302" w:rsidRDefault="2045D302" w:rsidP="2045D302">
      <w:pPr>
        <w:spacing w:before="240" w:after="180"/>
        <w:rPr>
          <w:rFonts w:ascii="Arial Nova" w:eastAsia="Arial Nova" w:hAnsi="Arial Nova" w:cs="Arial Nova"/>
          <w:sz w:val="20"/>
          <w:szCs w:val="20"/>
        </w:rPr>
      </w:pPr>
    </w:p>
    <w:p w14:paraId="69CDE79B" w14:textId="1866652A" w:rsidR="2045D302" w:rsidRPr="003437C4" w:rsidRDefault="4AE15941" w:rsidP="003437C4">
      <w:pPr>
        <w:spacing w:before="210" w:after="210"/>
        <w:rPr>
          <w:rFonts w:ascii="Arial Nova" w:eastAsia="Arial Nova" w:hAnsi="Arial Nova" w:cs="Arial Nova"/>
          <w:b/>
          <w:bCs/>
          <w:sz w:val="20"/>
          <w:szCs w:val="20"/>
        </w:rPr>
      </w:pPr>
      <w:r w:rsidRPr="2045D302">
        <w:rPr>
          <w:rFonts w:ascii="Arial Nova" w:eastAsia="Arial Nova" w:hAnsi="Arial Nova" w:cs="Arial Nova"/>
          <w:b/>
          <w:bCs/>
          <w:sz w:val="20"/>
          <w:szCs w:val="20"/>
        </w:rPr>
        <w:t>References (APA format):</w:t>
      </w:r>
    </w:p>
    <w:p w14:paraId="7F11CE50" w14:textId="6FF7893F" w:rsidR="2045D302" w:rsidRDefault="2045D302" w:rsidP="2045D302">
      <w:pPr>
        <w:spacing w:before="240" w:after="180"/>
        <w:rPr>
          <w:rFonts w:ascii="Arial Nova" w:eastAsia="Arial Nova" w:hAnsi="Arial Nova" w:cs="Arial Nova"/>
          <w:sz w:val="20"/>
          <w:szCs w:val="20"/>
        </w:rPr>
      </w:pPr>
    </w:p>
    <w:p w14:paraId="07DE9AF2" w14:textId="11A097DE" w:rsidR="4AE15941" w:rsidRDefault="4AE15941" w:rsidP="2045D302">
      <w:pPr>
        <w:pStyle w:val="ListParagraph"/>
        <w:numPr>
          <w:ilvl w:val="0"/>
          <w:numId w:val="1"/>
        </w:numPr>
        <w:spacing w:after="0"/>
        <w:rPr>
          <w:rFonts w:ascii="Arial Nova" w:eastAsia="Arial Nova" w:hAnsi="Arial Nova" w:cs="Arial Nova"/>
          <w:sz w:val="20"/>
          <w:szCs w:val="20"/>
        </w:rPr>
      </w:pPr>
      <w:r w:rsidRPr="2045D302">
        <w:rPr>
          <w:rFonts w:ascii="Arial Nova" w:eastAsia="Arial Nova" w:hAnsi="Arial Nova" w:cs="Arial Nova"/>
          <w:sz w:val="20"/>
          <w:szCs w:val="20"/>
        </w:rPr>
        <w:t xml:space="preserve">Sung, H., </w:t>
      </w:r>
      <w:proofErr w:type="spellStart"/>
      <w:r w:rsidRPr="2045D302">
        <w:rPr>
          <w:rFonts w:ascii="Arial Nova" w:eastAsia="Arial Nova" w:hAnsi="Arial Nova" w:cs="Arial Nova"/>
          <w:sz w:val="20"/>
          <w:szCs w:val="20"/>
        </w:rPr>
        <w:t>Ferlay</w:t>
      </w:r>
      <w:proofErr w:type="spellEnd"/>
      <w:r w:rsidRPr="2045D302">
        <w:rPr>
          <w:rFonts w:ascii="Arial Nova" w:eastAsia="Arial Nova" w:hAnsi="Arial Nova" w:cs="Arial Nova"/>
          <w:sz w:val="20"/>
          <w:szCs w:val="20"/>
        </w:rPr>
        <w:t xml:space="preserve">, J., Siegel, R. L., </w:t>
      </w:r>
      <w:proofErr w:type="spellStart"/>
      <w:r w:rsidRPr="2045D302">
        <w:rPr>
          <w:rFonts w:ascii="Arial Nova" w:eastAsia="Arial Nova" w:hAnsi="Arial Nova" w:cs="Arial Nova"/>
          <w:sz w:val="20"/>
          <w:szCs w:val="20"/>
        </w:rPr>
        <w:t>Laversanne</w:t>
      </w:r>
      <w:proofErr w:type="spellEnd"/>
      <w:r w:rsidRPr="2045D302">
        <w:rPr>
          <w:rFonts w:ascii="Arial Nova" w:eastAsia="Arial Nova" w:hAnsi="Arial Nova" w:cs="Arial Nova"/>
          <w:sz w:val="20"/>
          <w:szCs w:val="20"/>
        </w:rPr>
        <w:t xml:space="preserve">, M., </w:t>
      </w:r>
      <w:proofErr w:type="spellStart"/>
      <w:r w:rsidRPr="2045D302">
        <w:rPr>
          <w:rFonts w:ascii="Arial Nova" w:eastAsia="Arial Nova" w:hAnsi="Arial Nova" w:cs="Arial Nova"/>
          <w:sz w:val="20"/>
          <w:szCs w:val="20"/>
        </w:rPr>
        <w:t>Soerjomataram</w:t>
      </w:r>
      <w:proofErr w:type="spellEnd"/>
      <w:r w:rsidRPr="2045D302">
        <w:rPr>
          <w:rFonts w:ascii="Arial Nova" w:eastAsia="Arial Nova" w:hAnsi="Arial Nova" w:cs="Arial Nova"/>
          <w:sz w:val="20"/>
          <w:szCs w:val="20"/>
        </w:rPr>
        <w:t xml:space="preserve">, I., Jemal, A., &amp; Bray, F. (2021). Global cancer statistics 2020: GLOBOCAN estimates of incidence and mortality worldwide for 36 cancers in 185 countries. CA: A Cancer Journal for Clinicians, 71(3), 209–249. </w:t>
      </w:r>
      <w:hyperlink r:id="rId12">
        <w:r w:rsidRPr="2045D302">
          <w:rPr>
            <w:rStyle w:val="Hyperlink"/>
            <w:rFonts w:ascii="Arial Nova" w:eastAsia="Arial Nova" w:hAnsi="Arial Nova" w:cs="Arial Nova"/>
            <w:sz w:val="20"/>
            <w:szCs w:val="20"/>
          </w:rPr>
          <w:t>https://doi.org/10.3322/caac.21660</w:t>
        </w:r>
      </w:hyperlink>
    </w:p>
    <w:p w14:paraId="53A8A61F" w14:textId="42EF5B16" w:rsidR="4AE15941" w:rsidRDefault="4AE15941" w:rsidP="2045D302">
      <w:pPr>
        <w:pStyle w:val="ListParagraph"/>
        <w:numPr>
          <w:ilvl w:val="0"/>
          <w:numId w:val="1"/>
        </w:numPr>
        <w:spacing w:after="0"/>
        <w:rPr>
          <w:rFonts w:ascii="Arial Nova" w:eastAsia="Arial Nova" w:hAnsi="Arial Nova" w:cs="Arial Nova"/>
          <w:sz w:val="20"/>
          <w:szCs w:val="20"/>
        </w:rPr>
      </w:pPr>
      <w:r w:rsidRPr="2045D302">
        <w:rPr>
          <w:rFonts w:ascii="Arial Nova" w:eastAsia="Arial Nova" w:hAnsi="Arial Nova" w:cs="Arial Nova"/>
          <w:sz w:val="20"/>
          <w:szCs w:val="20"/>
        </w:rPr>
        <w:t xml:space="preserve">Smyth, E. C., Nilsson, M., </w:t>
      </w:r>
      <w:proofErr w:type="spellStart"/>
      <w:r w:rsidRPr="2045D302">
        <w:rPr>
          <w:rFonts w:ascii="Arial Nova" w:eastAsia="Arial Nova" w:hAnsi="Arial Nova" w:cs="Arial Nova"/>
          <w:sz w:val="20"/>
          <w:szCs w:val="20"/>
        </w:rPr>
        <w:t>Grabsch</w:t>
      </w:r>
      <w:proofErr w:type="spellEnd"/>
      <w:r w:rsidRPr="2045D302">
        <w:rPr>
          <w:rFonts w:ascii="Arial Nova" w:eastAsia="Arial Nova" w:hAnsi="Arial Nova" w:cs="Arial Nova"/>
          <w:sz w:val="20"/>
          <w:szCs w:val="20"/>
        </w:rPr>
        <w:t xml:space="preserve">, H. I., van </w:t>
      </w:r>
      <w:proofErr w:type="spellStart"/>
      <w:r w:rsidRPr="2045D302">
        <w:rPr>
          <w:rFonts w:ascii="Arial Nova" w:eastAsia="Arial Nova" w:hAnsi="Arial Nova" w:cs="Arial Nova"/>
          <w:sz w:val="20"/>
          <w:szCs w:val="20"/>
        </w:rPr>
        <w:t>Grieken</w:t>
      </w:r>
      <w:proofErr w:type="spellEnd"/>
      <w:r w:rsidRPr="2045D302">
        <w:rPr>
          <w:rFonts w:ascii="Arial Nova" w:eastAsia="Arial Nova" w:hAnsi="Arial Nova" w:cs="Arial Nova"/>
          <w:sz w:val="20"/>
          <w:szCs w:val="20"/>
        </w:rPr>
        <w:t xml:space="preserve">, N. C. T., &amp; </w:t>
      </w:r>
      <w:proofErr w:type="spellStart"/>
      <w:r w:rsidRPr="2045D302">
        <w:rPr>
          <w:rFonts w:ascii="Arial Nova" w:eastAsia="Arial Nova" w:hAnsi="Arial Nova" w:cs="Arial Nova"/>
          <w:sz w:val="20"/>
          <w:szCs w:val="20"/>
        </w:rPr>
        <w:t>Lordick</w:t>
      </w:r>
      <w:proofErr w:type="spellEnd"/>
      <w:r w:rsidRPr="2045D302">
        <w:rPr>
          <w:rFonts w:ascii="Arial Nova" w:eastAsia="Arial Nova" w:hAnsi="Arial Nova" w:cs="Arial Nova"/>
          <w:sz w:val="20"/>
          <w:szCs w:val="20"/>
        </w:rPr>
        <w:t xml:space="preserve">, F. (2020). Gastric cancer. The Lancet, 396(10251), 635–648. </w:t>
      </w:r>
      <w:hyperlink r:id="rId13">
        <w:r w:rsidRPr="2045D302">
          <w:rPr>
            <w:rStyle w:val="Hyperlink"/>
            <w:rFonts w:ascii="Arial Nova" w:eastAsia="Arial Nova" w:hAnsi="Arial Nova" w:cs="Arial Nova"/>
            <w:sz w:val="20"/>
            <w:szCs w:val="20"/>
          </w:rPr>
          <w:t>https://doi.org/10.1016/S0140-6736(20)31288-5</w:t>
        </w:r>
      </w:hyperlink>
    </w:p>
    <w:p w14:paraId="7CEDF9EA" w14:textId="251A054C" w:rsidR="4AE15941" w:rsidRDefault="4AE15941" w:rsidP="2045D302">
      <w:pPr>
        <w:pStyle w:val="ListParagraph"/>
        <w:numPr>
          <w:ilvl w:val="0"/>
          <w:numId w:val="1"/>
        </w:numPr>
        <w:spacing w:after="0"/>
        <w:rPr>
          <w:rFonts w:ascii="Arial Nova" w:eastAsia="Arial Nova" w:hAnsi="Arial Nova" w:cs="Arial Nova"/>
          <w:sz w:val="20"/>
          <w:szCs w:val="20"/>
        </w:rPr>
      </w:pPr>
      <w:proofErr w:type="spellStart"/>
      <w:r w:rsidRPr="2045D302">
        <w:rPr>
          <w:rFonts w:ascii="Arial Nova" w:eastAsia="Arial Nova" w:hAnsi="Arial Nova" w:cs="Arial Nova"/>
          <w:sz w:val="20"/>
          <w:szCs w:val="20"/>
        </w:rPr>
        <w:t>Oaknin</w:t>
      </w:r>
      <w:proofErr w:type="spellEnd"/>
      <w:r w:rsidRPr="2045D302">
        <w:rPr>
          <w:rFonts w:ascii="Arial Nova" w:eastAsia="Arial Nova" w:hAnsi="Arial Nova" w:cs="Arial Nova"/>
          <w:sz w:val="20"/>
          <w:szCs w:val="20"/>
        </w:rPr>
        <w:t xml:space="preserve">, A., </w:t>
      </w:r>
      <w:proofErr w:type="spellStart"/>
      <w:r w:rsidRPr="2045D302">
        <w:rPr>
          <w:rFonts w:ascii="Arial Nova" w:eastAsia="Arial Nova" w:hAnsi="Arial Nova" w:cs="Arial Nova"/>
          <w:sz w:val="20"/>
          <w:szCs w:val="20"/>
        </w:rPr>
        <w:t>Bosse</w:t>
      </w:r>
      <w:proofErr w:type="spellEnd"/>
      <w:r w:rsidRPr="2045D302">
        <w:rPr>
          <w:rFonts w:ascii="Arial Nova" w:eastAsia="Arial Nova" w:hAnsi="Arial Nova" w:cs="Arial Nova"/>
          <w:sz w:val="20"/>
          <w:szCs w:val="20"/>
        </w:rPr>
        <w:t xml:space="preserve">, T. J., </w:t>
      </w:r>
      <w:proofErr w:type="spellStart"/>
      <w:r w:rsidRPr="2045D302">
        <w:rPr>
          <w:rFonts w:ascii="Arial Nova" w:eastAsia="Arial Nova" w:hAnsi="Arial Nova" w:cs="Arial Nova"/>
          <w:sz w:val="20"/>
          <w:szCs w:val="20"/>
        </w:rPr>
        <w:t>Creutzberg</w:t>
      </w:r>
      <w:proofErr w:type="spellEnd"/>
      <w:r w:rsidRPr="2045D302">
        <w:rPr>
          <w:rFonts w:ascii="Arial Nova" w:eastAsia="Arial Nova" w:hAnsi="Arial Nova" w:cs="Arial Nova"/>
          <w:sz w:val="20"/>
          <w:szCs w:val="20"/>
        </w:rPr>
        <w:t xml:space="preserve">, C. L., et al. (2022). Endometrial cancer: ESMO clinical practice guideline for diagnosis, treatment and follow-up. Annals of Oncology, 33(8), 860–877. </w:t>
      </w:r>
      <w:hyperlink r:id="rId14">
        <w:r w:rsidRPr="2045D302">
          <w:rPr>
            <w:rStyle w:val="Hyperlink"/>
            <w:rFonts w:ascii="Arial Nova" w:eastAsia="Arial Nova" w:hAnsi="Arial Nova" w:cs="Arial Nova"/>
            <w:sz w:val="20"/>
            <w:szCs w:val="20"/>
          </w:rPr>
          <w:t>https://doi.org/10.1016/j.annonc.2022.05.009</w:t>
        </w:r>
      </w:hyperlink>
    </w:p>
    <w:p w14:paraId="254AC80A" w14:textId="6B95712D" w:rsidR="4AE15941" w:rsidRDefault="4AE15941" w:rsidP="2045D302">
      <w:pPr>
        <w:pStyle w:val="ListParagraph"/>
        <w:numPr>
          <w:ilvl w:val="0"/>
          <w:numId w:val="1"/>
        </w:numPr>
        <w:spacing w:after="0"/>
        <w:rPr>
          <w:rFonts w:ascii="Arial Nova" w:eastAsia="Arial Nova" w:hAnsi="Arial Nova" w:cs="Arial Nova"/>
          <w:sz w:val="20"/>
          <w:szCs w:val="20"/>
        </w:rPr>
      </w:pPr>
      <w:r w:rsidRPr="2045D302">
        <w:rPr>
          <w:rFonts w:ascii="Arial Nova" w:eastAsia="Arial Nova" w:hAnsi="Arial Nova" w:cs="Arial Nova"/>
          <w:sz w:val="20"/>
          <w:szCs w:val="20"/>
        </w:rPr>
        <w:t xml:space="preserve">Page, M. J., McKenzie, J. E., </w:t>
      </w:r>
      <w:proofErr w:type="spellStart"/>
      <w:r w:rsidRPr="2045D302">
        <w:rPr>
          <w:rFonts w:ascii="Arial Nova" w:eastAsia="Arial Nova" w:hAnsi="Arial Nova" w:cs="Arial Nova"/>
          <w:sz w:val="20"/>
          <w:szCs w:val="20"/>
        </w:rPr>
        <w:t>Bossuyt</w:t>
      </w:r>
      <w:proofErr w:type="spellEnd"/>
      <w:r w:rsidRPr="2045D302">
        <w:rPr>
          <w:rFonts w:ascii="Arial Nova" w:eastAsia="Arial Nova" w:hAnsi="Arial Nova" w:cs="Arial Nova"/>
          <w:sz w:val="20"/>
          <w:szCs w:val="20"/>
        </w:rPr>
        <w:t xml:space="preserve">, P. M., et al. (2021). The PRISMA 2020 statement: An updated guideline for reporting systematic reviews. BMJ, 372, n71. </w:t>
      </w:r>
      <w:hyperlink r:id="rId15">
        <w:r w:rsidRPr="2045D302">
          <w:rPr>
            <w:rStyle w:val="Hyperlink"/>
            <w:rFonts w:ascii="Arial Nova" w:eastAsia="Arial Nova" w:hAnsi="Arial Nova" w:cs="Arial Nova"/>
            <w:sz w:val="20"/>
            <w:szCs w:val="20"/>
          </w:rPr>
          <w:t>https://doi.org/10.1136/bmj.n71</w:t>
        </w:r>
      </w:hyperlink>
    </w:p>
    <w:p w14:paraId="505C03A7" w14:textId="144F989F" w:rsidR="4AE15941" w:rsidRDefault="4AE15941" w:rsidP="2045D302">
      <w:pPr>
        <w:pStyle w:val="ListParagraph"/>
        <w:numPr>
          <w:ilvl w:val="0"/>
          <w:numId w:val="1"/>
        </w:numPr>
        <w:spacing w:after="0"/>
        <w:rPr>
          <w:rFonts w:ascii="Arial Nova" w:eastAsia="Arial Nova" w:hAnsi="Arial Nova" w:cs="Arial Nova"/>
          <w:sz w:val="20"/>
          <w:szCs w:val="20"/>
        </w:rPr>
      </w:pPr>
      <w:r w:rsidRPr="2045D302">
        <w:rPr>
          <w:rFonts w:ascii="Arial Nova" w:eastAsia="Arial Nova" w:hAnsi="Arial Nova" w:cs="Arial Nova"/>
          <w:sz w:val="20"/>
          <w:szCs w:val="20"/>
        </w:rPr>
        <w:t xml:space="preserve">Shea, B. J., Reeves, B. C., Wells, G., et al. (2017). AMSTAR 2: A critical appraisal tool for systematic reviews that include </w:t>
      </w:r>
      <w:proofErr w:type="spellStart"/>
      <w:r w:rsidRPr="2045D302">
        <w:rPr>
          <w:rFonts w:ascii="Arial Nova" w:eastAsia="Arial Nova" w:hAnsi="Arial Nova" w:cs="Arial Nova"/>
          <w:sz w:val="20"/>
          <w:szCs w:val="20"/>
        </w:rPr>
        <w:t>randomised</w:t>
      </w:r>
      <w:proofErr w:type="spellEnd"/>
      <w:r w:rsidRPr="2045D302">
        <w:rPr>
          <w:rFonts w:ascii="Arial Nova" w:eastAsia="Arial Nova" w:hAnsi="Arial Nova" w:cs="Arial Nova"/>
          <w:sz w:val="20"/>
          <w:szCs w:val="20"/>
        </w:rPr>
        <w:t xml:space="preserve"> or non-</w:t>
      </w:r>
      <w:proofErr w:type="spellStart"/>
      <w:r w:rsidRPr="2045D302">
        <w:rPr>
          <w:rFonts w:ascii="Arial Nova" w:eastAsia="Arial Nova" w:hAnsi="Arial Nova" w:cs="Arial Nova"/>
          <w:sz w:val="20"/>
          <w:szCs w:val="20"/>
        </w:rPr>
        <w:t>randomised</w:t>
      </w:r>
      <w:proofErr w:type="spellEnd"/>
      <w:r w:rsidRPr="2045D302">
        <w:rPr>
          <w:rFonts w:ascii="Arial Nova" w:eastAsia="Arial Nova" w:hAnsi="Arial Nova" w:cs="Arial Nova"/>
          <w:sz w:val="20"/>
          <w:szCs w:val="20"/>
        </w:rPr>
        <w:t xml:space="preserve"> studies of healthcare interventions, or both. BMJ, 358, j4008. </w:t>
      </w:r>
      <w:hyperlink r:id="rId16">
        <w:r w:rsidRPr="2045D302">
          <w:rPr>
            <w:rStyle w:val="Hyperlink"/>
            <w:rFonts w:ascii="Arial Nova" w:eastAsia="Arial Nova" w:hAnsi="Arial Nova" w:cs="Arial Nova"/>
            <w:sz w:val="20"/>
            <w:szCs w:val="20"/>
          </w:rPr>
          <w:t>https://doi.org/10.1136/bmj.j4008</w:t>
        </w:r>
      </w:hyperlink>
    </w:p>
    <w:p w14:paraId="41E0CD1F" w14:textId="0AEBAC89" w:rsidR="4AE15941" w:rsidRDefault="4AE15941" w:rsidP="2045D302">
      <w:pPr>
        <w:pStyle w:val="ListParagraph"/>
        <w:numPr>
          <w:ilvl w:val="0"/>
          <w:numId w:val="1"/>
        </w:numPr>
        <w:spacing w:after="0"/>
        <w:rPr>
          <w:rFonts w:ascii="Arial Nova" w:eastAsia="Arial Nova" w:hAnsi="Arial Nova" w:cs="Arial Nova"/>
          <w:sz w:val="20"/>
          <w:szCs w:val="20"/>
        </w:rPr>
      </w:pPr>
      <w:r w:rsidRPr="2045D302">
        <w:rPr>
          <w:rFonts w:ascii="Arial Nova" w:eastAsia="Arial Nova" w:hAnsi="Arial Nova" w:cs="Arial Nova"/>
          <w:sz w:val="20"/>
          <w:szCs w:val="20"/>
        </w:rPr>
        <w:t xml:space="preserve">Sterne, J. A., </w:t>
      </w:r>
      <w:proofErr w:type="spellStart"/>
      <w:r w:rsidRPr="2045D302">
        <w:rPr>
          <w:rFonts w:ascii="Arial Nova" w:eastAsia="Arial Nova" w:hAnsi="Arial Nova" w:cs="Arial Nova"/>
          <w:sz w:val="20"/>
          <w:szCs w:val="20"/>
        </w:rPr>
        <w:t>Savović</w:t>
      </w:r>
      <w:proofErr w:type="spellEnd"/>
      <w:r w:rsidRPr="2045D302">
        <w:rPr>
          <w:rFonts w:ascii="Arial Nova" w:eastAsia="Arial Nova" w:hAnsi="Arial Nova" w:cs="Arial Nova"/>
          <w:sz w:val="20"/>
          <w:szCs w:val="20"/>
        </w:rPr>
        <w:t xml:space="preserve">, J., Page, M. J., et al. (2019). RoB 2: A revised tool for assessing risk of bias in </w:t>
      </w:r>
      <w:proofErr w:type="spellStart"/>
      <w:r w:rsidRPr="2045D302">
        <w:rPr>
          <w:rFonts w:ascii="Arial Nova" w:eastAsia="Arial Nova" w:hAnsi="Arial Nova" w:cs="Arial Nova"/>
          <w:sz w:val="20"/>
          <w:szCs w:val="20"/>
        </w:rPr>
        <w:t>randomised</w:t>
      </w:r>
      <w:proofErr w:type="spellEnd"/>
      <w:r w:rsidRPr="2045D302">
        <w:rPr>
          <w:rFonts w:ascii="Arial Nova" w:eastAsia="Arial Nova" w:hAnsi="Arial Nova" w:cs="Arial Nova"/>
          <w:sz w:val="20"/>
          <w:szCs w:val="20"/>
        </w:rPr>
        <w:t xml:space="preserve"> trials. BMJ, 366, l4898. </w:t>
      </w:r>
      <w:hyperlink r:id="rId17">
        <w:r w:rsidRPr="2045D302">
          <w:rPr>
            <w:rStyle w:val="Hyperlink"/>
            <w:rFonts w:ascii="Arial Nova" w:eastAsia="Arial Nova" w:hAnsi="Arial Nova" w:cs="Arial Nova"/>
            <w:sz w:val="20"/>
            <w:szCs w:val="20"/>
          </w:rPr>
          <w:t>https://doi.org/10.1136/bmj.l4898</w:t>
        </w:r>
      </w:hyperlink>
    </w:p>
    <w:p w14:paraId="6E7EDE04" w14:textId="7950E7D0" w:rsidR="4AE15941" w:rsidRDefault="4AE15941" w:rsidP="2045D302">
      <w:pPr>
        <w:pStyle w:val="ListParagraph"/>
        <w:numPr>
          <w:ilvl w:val="0"/>
          <w:numId w:val="1"/>
        </w:numPr>
        <w:spacing w:after="0"/>
        <w:rPr>
          <w:rFonts w:ascii="Arial Nova" w:eastAsia="Arial Nova" w:hAnsi="Arial Nova" w:cs="Arial Nova"/>
          <w:sz w:val="20"/>
          <w:szCs w:val="20"/>
        </w:rPr>
      </w:pPr>
      <w:proofErr w:type="spellStart"/>
      <w:r w:rsidRPr="2045D302">
        <w:rPr>
          <w:rFonts w:ascii="Arial Nova" w:eastAsia="Arial Nova" w:hAnsi="Arial Nova" w:cs="Arial Nova"/>
          <w:sz w:val="20"/>
          <w:szCs w:val="20"/>
        </w:rPr>
        <w:t>Stang</w:t>
      </w:r>
      <w:proofErr w:type="spellEnd"/>
      <w:r w:rsidRPr="2045D302">
        <w:rPr>
          <w:rFonts w:ascii="Arial Nova" w:eastAsia="Arial Nova" w:hAnsi="Arial Nova" w:cs="Arial Nova"/>
          <w:sz w:val="20"/>
          <w:szCs w:val="20"/>
        </w:rPr>
        <w:t xml:space="preserve">, A. (2010). Critical evaluation of the Newcastle-Ottawa scale for the assessment of the quality of nonrandomized studies in meta-analyses. European Journal of Epidemiology, 25(9), 603–605. </w:t>
      </w:r>
      <w:hyperlink r:id="rId18">
        <w:r w:rsidRPr="2045D302">
          <w:rPr>
            <w:rStyle w:val="Hyperlink"/>
            <w:rFonts w:ascii="Arial Nova" w:eastAsia="Arial Nova" w:hAnsi="Arial Nova" w:cs="Arial Nova"/>
            <w:sz w:val="20"/>
            <w:szCs w:val="20"/>
          </w:rPr>
          <w:t>https://doi.org/10.1007/s10654-010-9491-z</w:t>
        </w:r>
      </w:hyperlink>
    </w:p>
    <w:p w14:paraId="225CCCB3" w14:textId="70A29F25" w:rsidR="4AE15941" w:rsidRDefault="4AE15941" w:rsidP="2045D302">
      <w:pPr>
        <w:pStyle w:val="ListParagraph"/>
        <w:numPr>
          <w:ilvl w:val="0"/>
          <w:numId w:val="1"/>
        </w:numPr>
        <w:spacing w:after="0"/>
        <w:rPr>
          <w:rFonts w:ascii="Arial Nova" w:eastAsia="Arial Nova" w:hAnsi="Arial Nova" w:cs="Arial Nova"/>
          <w:sz w:val="20"/>
          <w:szCs w:val="20"/>
        </w:rPr>
      </w:pPr>
      <w:r w:rsidRPr="2045D302">
        <w:rPr>
          <w:rFonts w:ascii="Arial Nova" w:eastAsia="Arial Nova" w:hAnsi="Arial Nova" w:cs="Arial Nova"/>
          <w:sz w:val="20"/>
          <w:szCs w:val="20"/>
        </w:rPr>
        <w:t xml:space="preserve">International Agency for Research on Cancer. (2012). Biological agents. IARC monographs on the evaluation of carcinogenic risks to humans, Volume 100B. Lyon, France: IARC. </w:t>
      </w:r>
      <w:hyperlink r:id="rId19">
        <w:r w:rsidRPr="2045D302">
          <w:rPr>
            <w:rStyle w:val="Hyperlink"/>
            <w:rFonts w:ascii="Arial Nova" w:eastAsia="Arial Nova" w:hAnsi="Arial Nova" w:cs="Arial Nova"/>
            <w:sz w:val="20"/>
            <w:szCs w:val="20"/>
          </w:rPr>
          <w:t>http://publications.iarc.fr/123</w:t>
        </w:r>
      </w:hyperlink>
    </w:p>
    <w:p w14:paraId="7FE399A3" w14:textId="026784A0" w:rsidR="4AE15941" w:rsidRDefault="4AE15941" w:rsidP="2045D302">
      <w:pPr>
        <w:pStyle w:val="ListParagraph"/>
        <w:numPr>
          <w:ilvl w:val="0"/>
          <w:numId w:val="1"/>
        </w:numPr>
        <w:spacing w:after="0"/>
        <w:rPr>
          <w:rFonts w:ascii="Arial Nova" w:eastAsia="Arial Nova" w:hAnsi="Arial Nova" w:cs="Arial Nova"/>
          <w:sz w:val="20"/>
          <w:szCs w:val="20"/>
        </w:rPr>
      </w:pPr>
      <w:r w:rsidRPr="2045D302">
        <w:rPr>
          <w:rFonts w:ascii="Arial Nova" w:eastAsia="Arial Nova" w:hAnsi="Arial Nova" w:cs="Arial Nova"/>
          <w:sz w:val="20"/>
          <w:szCs w:val="20"/>
        </w:rPr>
        <w:lastRenderedPageBreak/>
        <w:t xml:space="preserve">Li, Y., Wang, K., Zhang, Y., et al. (2022). Long-term effect of Helicobacter pylori eradication on gastric cancer mortality: A cohort study. Gut, 71(4), 732–740. </w:t>
      </w:r>
      <w:hyperlink r:id="rId20">
        <w:r w:rsidRPr="2045D302">
          <w:rPr>
            <w:rStyle w:val="Hyperlink"/>
            <w:rFonts w:ascii="Arial Nova" w:eastAsia="Arial Nova" w:hAnsi="Arial Nova" w:cs="Arial Nova"/>
            <w:sz w:val="20"/>
            <w:szCs w:val="20"/>
          </w:rPr>
          <w:t>https://doi.org/10.1136/gutjnl-2021-324310</w:t>
        </w:r>
      </w:hyperlink>
    </w:p>
    <w:p w14:paraId="0DDA0ADE" w14:textId="7704DD14" w:rsidR="4AE15941" w:rsidRDefault="4AE15941" w:rsidP="2045D302">
      <w:pPr>
        <w:pStyle w:val="ListParagraph"/>
        <w:numPr>
          <w:ilvl w:val="0"/>
          <w:numId w:val="1"/>
        </w:numPr>
        <w:spacing w:after="0"/>
        <w:rPr>
          <w:rFonts w:ascii="Arial Nova" w:eastAsia="Arial Nova" w:hAnsi="Arial Nova" w:cs="Arial Nova"/>
          <w:sz w:val="20"/>
          <w:szCs w:val="20"/>
        </w:rPr>
      </w:pPr>
      <w:r w:rsidRPr="2045D302">
        <w:rPr>
          <w:rFonts w:ascii="Arial Nova" w:eastAsia="Arial Nova" w:hAnsi="Arial Nova" w:cs="Arial Nova"/>
          <w:sz w:val="20"/>
          <w:szCs w:val="20"/>
        </w:rPr>
        <w:t xml:space="preserve">Salvatori, S., </w:t>
      </w:r>
      <w:proofErr w:type="spellStart"/>
      <w:r w:rsidRPr="2045D302">
        <w:rPr>
          <w:rFonts w:ascii="Arial Nova" w:eastAsia="Arial Nova" w:hAnsi="Arial Nova" w:cs="Arial Nova"/>
          <w:sz w:val="20"/>
          <w:szCs w:val="20"/>
        </w:rPr>
        <w:t>Marafini</w:t>
      </w:r>
      <w:proofErr w:type="spellEnd"/>
      <w:r w:rsidRPr="2045D302">
        <w:rPr>
          <w:rFonts w:ascii="Arial Nova" w:eastAsia="Arial Nova" w:hAnsi="Arial Nova" w:cs="Arial Nova"/>
          <w:sz w:val="20"/>
          <w:szCs w:val="20"/>
        </w:rPr>
        <w:t xml:space="preserve">, I., </w:t>
      </w:r>
      <w:proofErr w:type="spellStart"/>
      <w:r w:rsidRPr="2045D302">
        <w:rPr>
          <w:rFonts w:ascii="Arial Nova" w:eastAsia="Arial Nova" w:hAnsi="Arial Nova" w:cs="Arial Nova"/>
          <w:sz w:val="20"/>
          <w:szCs w:val="20"/>
        </w:rPr>
        <w:t>Laudisi</w:t>
      </w:r>
      <w:proofErr w:type="spellEnd"/>
      <w:r w:rsidRPr="2045D302">
        <w:rPr>
          <w:rFonts w:ascii="Arial Nova" w:eastAsia="Arial Nova" w:hAnsi="Arial Nova" w:cs="Arial Nova"/>
          <w:sz w:val="20"/>
          <w:szCs w:val="20"/>
        </w:rPr>
        <w:t xml:space="preserve">, F., Monteleone, G., &amp; </w:t>
      </w:r>
      <w:proofErr w:type="spellStart"/>
      <w:r w:rsidRPr="2045D302">
        <w:rPr>
          <w:rFonts w:ascii="Arial Nova" w:eastAsia="Arial Nova" w:hAnsi="Arial Nova" w:cs="Arial Nova"/>
          <w:sz w:val="20"/>
          <w:szCs w:val="20"/>
        </w:rPr>
        <w:t>Stolfi</w:t>
      </w:r>
      <w:proofErr w:type="spellEnd"/>
      <w:r w:rsidRPr="2045D302">
        <w:rPr>
          <w:rFonts w:ascii="Arial Nova" w:eastAsia="Arial Nova" w:hAnsi="Arial Nova" w:cs="Arial Nova"/>
          <w:sz w:val="20"/>
          <w:szCs w:val="20"/>
        </w:rPr>
        <w:t xml:space="preserve">, C. (2023). Helicobacter pylori and gastric cancer: Pathogenetic mechanisms. International Journal of Molecular Sciences, 24(3), 2895. </w:t>
      </w:r>
      <w:hyperlink r:id="rId21">
        <w:r w:rsidRPr="2045D302">
          <w:rPr>
            <w:rStyle w:val="Hyperlink"/>
            <w:rFonts w:ascii="Arial Nova" w:eastAsia="Arial Nova" w:hAnsi="Arial Nova" w:cs="Arial Nova"/>
            <w:sz w:val="20"/>
            <w:szCs w:val="20"/>
          </w:rPr>
          <w:t>https://doi.org/10.3390/ijms24032895</w:t>
        </w:r>
      </w:hyperlink>
    </w:p>
    <w:p w14:paraId="63EDFF81" w14:textId="33183A30" w:rsidR="4AE15941" w:rsidRDefault="4AE15941" w:rsidP="2045D302">
      <w:pPr>
        <w:pStyle w:val="ListParagraph"/>
        <w:numPr>
          <w:ilvl w:val="0"/>
          <w:numId w:val="1"/>
        </w:numPr>
        <w:spacing w:after="0"/>
        <w:rPr>
          <w:rFonts w:ascii="Arial Nova" w:eastAsia="Arial Nova" w:hAnsi="Arial Nova" w:cs="Arial Nova"/>
          <w:sz w:val="20"/>
          <w:szCs w:val="20"/>
        </w:rPr>
      </w:pPr>
      <w:r w:rsidRPr="2045D302">
        <w:rPr>
          <w:rFonts w:ascii="Arial Nova" w:eastAsia="Arial Nova" w:hAnsi="Arial Nova" w:cs="Arial Nova"/>
          <w:sz w:val="20"/>
          <w:szCs w:val="20"/>
        </w:rPr>
        <w:t xml:space="preserve">He, J., Hu, W., Ouyang, Q., et al. (2022). Helicobacter pylori infection induces stem cell-like properties in Correa cascade of gastric cancer. Cancer Letters, 542, 215764. </w:t>
      </w:r>
      <w:hyperlink r:id="rId22">
        <w:r w:rsidRPr="2045D302">
          <w:rPr>
            <w:rStyle w:val="Hyperlink"/>
            <w:rFonts w:ascii="Arial Nova" w:eastAsia="Arial Nova" w:hAnsi="Arial Nova" w:cs="Arial Nova"/>
            <w:sz w:val="20"/>
            <w:szCs w:val="20"/>
          </w:rPr>
          <w:t>https://doi.org/10.1016/j.canlet.2022.215764</w:t>
        </w:r>
      </w:hyperlink>
    </w:p>
    <w:p w14:paraId="2BA2C6B1" w14:textId="03A4C667" w:rsidR="4AE15941" w:rsidRDefault="4AE15941" w:rsidP="2045D302">
      <w:pPr>
        <w:pStyle w:val="ListParagraph"/>
        <w:numPr>
          <w:ilvl w:val="0"/>
          <w:numId w:val="1"/>
        </w:numPr>
        <w:spacing w:after="0"/>
        <w:rPr>
          <w:rFonts w:ascii="Arial Nova" w:eastAsia="Arial Nova" w:hAnsi="Arial Nova" w:cs="Arial Nova"/>
          <w:sz w:val="20"/>
          <w:szCs w:val="20"/>
        </w:rPr>
      </w:pPr>
      <w:r w:rsidRPr="2045D302">
        <w:rPr>
          <w:rFonts w:ascii="Arial Nova" w:eastAsia="Arial Nova" w:hAnsi="Arial Nova" w:cs="Arial Nova"/>
          <w:sz w:val="20"/>
          <w:szCs w:val="20"/>
        </w:rPr>
        <w:t xml:space="preserve">Tran, S. C., Bryant, K. N., &amp; Cover, T. L. (2024). The Helicobacter pylori cag pathogenicity island as a determinant of gastric cancer risk. Gut Microbes, 16(1), 2314201. </w:t>
      </w:r>
      <w:hyperlink r:id="rId23">
        <w:r w:rsidRPr="2045D302">
          <w:rPr>
            <w:rStyle w:val="Hyperlink"/>
            <w:rFonts w:ascii="Arial Nova" w:eastAsia="Arial Nova" w:hAnsi="Arial Nova" w:cs="Arial Nova"/>
            <w:sz w:val="20"/>
            <w:szCs w:val="20"/>
          </w:rPr>
          <w:t>https://doi.org/10.1080/19490976.2024.2314201</w:t>
        </w:r>
      </w:hyperlink>
    </w:p>
    <w:p w14:paraId="56133765" w14:textId="53163A1F" w:rsidR="4AE15941" w:rsidRDefault="4AE15941" w:rsidP="2045D302">
      <w:pPr>
        <w:pStyle w:val="ListParagraph"/>
        <w:numPr>
          <w:ilvl w:val="0"/>
          <w:numId w:val="1"/>
        </w:numPr>
        <w:spacing w:after="0"/>
        <w:rPr>
          <w:rFonts w:ascii="Arial Nova" w:eastAsia="Arial Nova" w:hAnsi="Arial Nova" w:cs="Arial Nova"/>
          <w:sz w:val="20"/>
          <w:szCs w:val="20"/>
        </w:rPr>
      </w:pPr>
      <w:r w:rsidRPr="2045D302">
        <w:rPr>
          <w:rFonts w:ascii="Arial Nova" w:eastAsia="Arial Nova" w:hAnsi="Arial Nova" w:cs="Arial Nova"/>
          <w:sz w:val="20"/>
          <w:szCs w:val="20"/>
        </w:rPr>
        <w:t xml:space="preserve">Hooi, J. K., Lai, W. Y., Ng, W. K., et al. (2017). Global prevalence of Helicobacter pylori infection: Systematic review and meta-analysis. Gastroenterology, 153(2), 420–429. </w:t>
      </w:r>
      <w:hyperlink r:id="rId24">
        <w:r w:rsidRPr="2045D302">
          <w:rPr>
            <w:rStyle w:val="Hyperlink"/>
            <w:rFonts w:ascii="Arial Nova" w:eastAsia="Arial Nova" w:hAnsi="Arial Nova" w:cs="Arial Nova"/>
            <w:sz w:val="20"/>
            <w:szCs w:val="20"/>
          </w:rPr>
          <w:t>https://doi.org/10.1053/j.gastro.2017.04.022</w:t>
        </w:r>
      </w:hyperlink>
    </w:p>
    <w:p w14:paraId="33DC90CA" w14:textId="4CCAEC83" w:rsidR="4AE15941" w:rsidRDefault="4AE15941" w:rsidP="2045D302">
      <w:pPr>
        <w:pStyle w:val="ListParagraph"/>
        <w:numPr>
          <w:ilvl w:val="0"/>
          <w:numId w:val="1"/>
        </w:numPr>
        <w:spacing w:after="0"/>
        <w:rPr>
          <w:rFonts w:ascii="Arial Nova" w:eastAsia="Arial Nova" w:hAnsi="Arial Nova" w:cs="Arial Nova"/>
          <w:sz w:val="20"/>
          <w:szCs w:val="20"/>
        </w:rPr>
      </w:pPr>
      <w:r w:rsidRPr="2045D302">
        <w:rPr>
          <w:rFonts w:ascii="Arial Nova" w:eastAsia="Arial Nova" w:hAnsi="Arial Nova" w:cs="Arial Nova"/>
          <w:sz w:val="20"/>
          <w:szCs w:val="20"/>
        </w:rPr>
        <w:t xml:space="preserve">Guo, Y., Zhang, Y., Gerhard, M., et al. (2020). Effect of Helicobacter pylori on gastrointestinal microbiota: A population-based study in </w:t>
      </w:r>
      <w:proofErr w:type="spellStart"/>
      <w:r w:rsidRPr="2045D302">
        <w:rPr>
          <w:rFonts w:ascii="Arial Nova" w:eastAsia="Arial Nova" w:hAnsi="Arial Nova" w:cs="Arial Nova"/>
          <w:sz w:val="20"/>
          <w:szCs w:val="20"/>
        </w:rPr>
        <w:t>Linqu</w:t>
      </w:r>
      <w:proofErr w:type="spellEnd"/>
      <w:r w:rsidRPr="2045D302">
        <w:rPr>
          <w:rFonts w:ascii="Arial Nova" w:eastAsia="Arial Nova" w:hAnsi="Arial Nova" w:cs="Arial Nova"/>
          <w:sz w:val="20"/>
          <w:szCs w:val="20"/>
        </w:rPr>
        <w:t xml:space="preserve">, a high-risk area of gastric cancer. Gut, 69(9), 1598–1607. </w:t>
      </w:r>
      <w:hyperlink r:id="rId25">
        <w:r w:rsidRPr="2045D302">
          <w:rPr>
            <w:rStyle w:val="Hyperlink"/>
            <w:rFonts w:ascii="Arial Nova" w:eastAsia="Arial Nova" w:hAnsi="Arial Nova" w:cs="Arial Nova"/>
            <w:sz w:val="20"/>
            <w:szCs w:val="20"/>
          </w:rPr>
          <w:t>https://doi.org/10.1136/gutjnl-2019-319696</w:t>
        </w:r>
      </w:hyperlink>
    </w:p>
    <w:p w14:paraId="077A5049" w14:textId="24535A97" w:rsidR="4AE15941" w:rsidRDefault="4AE15941" w:rsidP="2045D302">
      <w:pPr>
        <w:pStyle w:val="ListParagraph"/>
        <w:numPr>
          <w:ilvl w:val="0"/>
          <w:numId w:val="1"/>
        </w:numPr>
        <w:spacing w:after="0"/>
        <w:rPr>
          <w:rFonts w:ascii="Arial Nova" w:eastAsia="Arial Nova" w:hAnsi="Arial Nova" w:cs="Arial Nova"/>
          <w:sz w:val="20"/>
          <w:szCs w:val="20"/>
        </w:rPr>
      </w:pPr>
      <w:r w:rsidRPr="2045D302">
        <w:rPr>
          <w:rFonts w:ascii="Arial Nova" w:eastAsia="Arial Nova" w:hAnsi="Arial Nova" w:cs="Arial Nova"/>
          <w:sz w:val="20"/>
          <w:szCs w:val="20"/>
        </w:rPr>
        <w:t xml:space="preserve">Liatsos, C., </w:t>
      </w:r>
      <w:proofErr w:type="spellStart"/>
      <w:r w:rsidRPr="2045D302">
        <w:rPr>
          <w:rFonts w:ascii="Arial Nova" w:eastAsia="Arial Nova" w:hAnsi="Arial Nova" w:cs="Arial Nova"/>
          <w:sz w:val="20"/>
          <w:szCs w:val="20"/>
        </w:rPr>
        <w:t>Papaefthymiou</w:t>
      </w:r>
      <w:proofErr w:type="spellEnd"/>
      <w:r w:rsidRPr="2045D302">
        <w:rPr>
          <w:rFonts w:ascii="Arial Nova" w:eastAsia="Arial Nova" w:hAnsi="Arial Nova" w:cs="Arial Nova"/>
          <w:sz w:val="20"/>
          <w:szCs w:val="20"/>
        </w:rPr>
        <w:t xml:space="preserve">, A., Kyriakos, N., et al. (2022). Helicobacter pylori, gastric microbiota and gastric cancer relationship: Unrolling the tangle. World Journal of Gastrointestinal Oncology, 14(5), 959–972. </w:t>
      </w:r>
      <w:hyperlink r:id="rId26">
        <w:r w:rsidRPr="2045D302">
          <w:rPr>
            <w:rStyle w:val="Hyperlink"/>
            <w:rFonts w:ascii="Arial Nova" w:eastAsia="Arial Nova" w:hAnsi="Arial Nova" w:cs="Arial Nova"/>
            <w:sz w:val="20"/>
            <w:szCs w:val="20"/>
          </w:rPr>
          <w:t>https://doi.org/10.4251/wjgo.v14.i5.959</w:t>
        </w:r>
      </w:hyperlink>
    </w:p>
    <w:p w14:paraId="2AA8EA5C" w14:textId="409FF167" w:rsidR="4AE15941" w:rsidRDefault="4AE15941" w:rsidP="2045D302">
      <w:pPr>
        <w:pStyle w:val="ListParagraph"/>
        <w:numPr>
          <w:ilvl w:val="0"/>
          <w:numId w:val="1"/>
        </w:numPr>
        <w:spacing w:after="0"/>
        <w:rPr>
          <w:rFonts w:ascii="Arial Nova" w:eastAsia="Arial Nova" w:hAnsi="Arial Nova" w:cs="Arial Nova"/>
          <w:sz w:val="20"/>
          <w:szCs w:val="20"/>
        </w:rPr>
      </w:pPr>
      <w:r w:rsidRPr="2045D302">
        <w:rPr>
          <w:rFonts w:ascii="Arial Nova" w:eastAsia="Arial Nova" w:hAnsi="Arial Nova" w:cs="Arial Nova"/>
          <w:sz w:val="20"/>
          <w:szCs w:val="20"/>
        </w:rPr>
        <w:t xml:space="preserve">Zhou, C., </w:t>
      </w:r>
      <w:proofErr w:type="spellStart"/>
      <w:r w:rsidRPr="2045D302">
        <w:rPr>
          <w:rFonts w:ascii="Arial Nova" w:eastAsia="Arial Nova" w:hAnsi="Arial Nova" w:cs="Arial Nova"/>
          <w:sz w:val="20"/>
          <w:szCs w:val="20"/>
        </w:rPr>
        <w:t>Bisseling</w:t>
      </w:r>
      <w:proofErr w:type="spellEnd"/>
      <w:r w:rsidRPr="2045D302">
        <w:rPr>
          <w:rFonts w:ascii="Arial Nova" w:eastAsia="Arial Nova" w:hAnsi="Arial Nova" w:cs="Arial Nova"/>
          <w:sz w:val="20"/>
          <w:szCs w:val="20"/>
        </w:rPr>
        <w:t xml:space="preserve">, T. M., van der Post, R. S., &amp; </w:t>
      </w:r>
      <w:proofErr w:type="spellStart"/>
      <w:r w:rsidRPr="2045D302">
        <w:rPr>
          <w:rFonts w:ascii="Arial Nova" w:eastAsia="Arial Nova" w:hAnsi="Arial Nova" w:cs="Arial Nova"/>
          <w:sz w:val="20"/>
          <w:szCs w:val="20"/>
        </w:rPr>
        <w:t>Boleij</w:t>
      </w:r>
      <w:proofErr w:type="spellEnd"/>
      <w:r w:rsidRPr="2045D302">
        <w:rPr>
          <w:rFonts w:ascii="Arial Nova" w:eastAsia="Arial Nova" w:hAnsi="Arial Nova" w:cs="Arial Nova"/>
          <w:sz w:val="20"/>
          <w:szCs w:val="20"/>
        </w:rPr>
        <w:t xml:space="preserve">, A. (2024). The influence of Helicobacter pylori, proton pump inhibitor, and obesity on the gastric microbiome in relation to gastric cancer development. Computational and Structural Biotechnology Journal, 23, 186–198. </w:t>
      </w:r>
      <w:hyperlink r:id="rId27">
        <w:r w:rsidRPr="2045D302">
          <w:rPr>
            <w:rStyle w:val="Hyperlink"/>
            <w:rFonts w:ascii="Arial Nova" w:eastAsia="Arial Nova" w:hAnsi="Arial Nova" w:cs="Arial Nova"/>
            <w:sz w:val="20"/>
            <w:szCs w:val="20"/>
          </w:rPr>
          <w:t>https://doi.org/10.1016/j.csbj.2023.11.053</w:t>
        </w:r>
      </w:hyperlink>
    </w:p>
    <w:p w14:paraId="6FED7E06" w14:textId="54596F5B" w:rsidR="4AE15941" w:rsidRDefault="4AE15941" w:rsidP="2045D302">
      <w:pPr>
        <w:pStyle w:val="ListParagraph"/>
        <w:numPr>
          <w:ilvl w:val="0"/>
          <w:numId w:val="1"/>
        </w:numPr>
        <w:spacing w:after="0"/>
        <w:rPr>
          <w:rFonts w:ascii="Arial Nova" w:eastAsia="Arial Nova" w:hAnsi="Arial Nova" w:cs="Arial Nova"/>
          <w:sz w:val="20"/>
          <w:szCs w:val="20"/>
        </w:rPr>
      </w:pPr>
      <w:proofErr w:type="spellStart"/>
      <w:r w:rsidRPr="2045D302">
        <w:rPr>
          <w:rFonts w:ascii="Arial Nova" w:eastAsia="Arial Nova" w:hAnsi="Arial Nova" w:cs="Arial Nova"/>
          <w:sz w:val="20"/>
          <w:szCs w:val="20"/>
        </w:rPr>
        <w:t>Fiorani</w:t>
      </w:r>
      <w:proofErr w:type="spellEnd"/>
      <w:r w:rsidRPr="2045D302">
        <w:rPr>
          <w:rFonts w:ascii="Arial Nova" w:eastAsia="Arial Nova" w:hAnsi="Arial Nova" w:cs="Arial Nova"/>
          <w:sz w:val="20"/>
          <w:szCs w:val="20"/>
        </w:rPr>
        <w:t xml:space="preserve">, M., </w:t>
      </w:r>
      <w:proofErr w:type="spellStart"/>
      <w:r w:rsidRPr="2045D302">
        <w:rPr>
          <w:rFonts w:ascii="Arial Nova" w:eastAsia="Arial Nova" w:hAnsi="Arial Nova" w:cs="Arial Nova"/>
          <w:sz w:val="20"/>
          <w:szCs w:val="20"/>
        </w:rPr>
        <w:t>Tohumcu</w:t>
      </w:r>
      <w:proofErr w:type="spellEnd"/>
      <w:r w:rsidRPr="2045D302">
        <w:rPr>
          <w:rFonts w:ascii="Arial Nova" w:eastAsia="Arial Nova" w:hAnsi="Arial Nova" w:cs="Arial Nova"/>
          <w:sz w:val="20"/>
          <w:szCs w:val="20"/>
        </w:rPr>
        <w:t xml:space="preserve">, E., Del Vecchio, L. E., </w:t>
      </w:r>
      <w:proofErr w:type="spellStart"/>
      <w:r w:rsidRPr="2045D302">
        <w:rPr>
          <w:rFonts w:ascii="Arial Nova" w:eastAsia="Arial Nova" w:hAnsi="Arial Nova" w:cs="Arial Nova"/>
          <w:sz w:val="20"/>
          <w:szCs w:val="20"/>
        </w:rPr>
        <w:t>Porcari</w:t>
      </w:r>
      <w:proofErr w:type="spellEnd"/>
      <w:r w:rsidRPr="2045D302">
        <w:rPr>
          <w:rFonts w:ascii="Arial Nova" w:eastAsia="Arial Nova" w:hAnsi="Arial Nova" w:cs="Arial Nova"/>
          <w:sz w:val="20"/>
          <w:szCs w:val="20"/>
        </w:rPr>
        <w:t xml:space="preserve">, S., </w:t>
      </w:r>
      <w:proofErr w:type="spellStart"/>
      <w:r w:rsidRPr="2045D302">
        <w:rPr>
          <w:rFonts w:ascii="Arial Nova" w:eastAsia="Arial Nova" w:hAnsi="Arial Nova" w:cs="Arial Nova"/>
          <w:sz w:val="20"/>
          <w:szCs w:val="20"/>
        </w:rPr>
        <w:t>Cammarota</w:t>
      </w:r>
      <w:proofErr w:type="spellEnd"/>
      <w:r w:rsidRPr="2045D302">
        <w:rPr>
          <w:rFonts w:ascii="Arial Nova" w:eastAsia="Arial Nova" w:hAnsi="Arial Nova" w:cs="Arial Nova"/>
          <w:sz w:val="20"/>
          <w:szCs w:val="20"/>
        </w:rPr>
        <w:t xml:space="preserve">, G., </w:t>
      </w:r>
      <w:proofErr w:type="spellStart"/>
      <w:r w:rsidRPr="2045D302">
        <w:rPr>
          <w:rFonts w:ascii="Arial Nova" w:eastAsia="Arial Nova" w:hAnsi="Arial Nova" w:cs="Arial Nova"/>
          <w:sz w:val="20"/>
          <w:szCs w:val="20"/>
        </w:rPr>
        <w:t>Gasbarrini</w:t>
      </w:r>
      <w:proofErr w:type="spellEnd"/>
      <w:r w:rsidRPr="2045D302">
        <w:rPr>
          <w:rFonts w:ascii="Arial Nova" w:eastAsia="Arial Nova" w:hAnsi="Arial Nova" w:cs="Arial Nova"/>
          <w:sz w:val="20"/>
          <w:szCs w:val="20"/>
        </w:rPr>
        <w:t xml:space="preserve">, A., &amp; </w:t>
      </w:r>
      <w:proofErr w:type="spellStart"/>
      <w:r w:rsidRPr="2045D302">
        <w:rPr>
          <w:rFonts w:ascii="Arial Nova" w:eastAsia="Arial Nova" w:hAnsi="Arial Nova" w:cs="Arial Nova"/>
          <w:sz w:val="20"/>
          <w:szCs w:val="20"/>
        </w:rPr>
        <w:t>Ianiro</w:t>
      </w:r>
      <w:proofErr w:type="spellEnd"/>
      <w:r w:rsidRPr="2045D302">
        <w:rPr>
          <w:rFonts w:ascii="Arial Nova" w:eastAsia="Arial Nova" w:hAnsi="Arial Nova" w:cs="Arial Nova"/>
          <w:sz w:val="20"/>
          <w:szCs w:val="20"/>
        </w:rPr>
        <w:t xml:space="preserve">, G. (2023). The influence of Helicobacter pylori on human gastric and gut microbiota. Antibiotics, 12(4), 765. </w:t>
      </w:r>
      <w:hyperlink r:id="rId28">
        <w:r w:rsidRPr="2045D302">
          <w:rPr>
            <w:rStyle w:val="Hyperlink"/>
            <w:rFonts w:ascii="Arial Nova" w:eastAsia="Arial Nova" w:hAnsi="Arial Nova" w:cs="Arial Nova"/>
            <w:sz w:val="20"/>
            <w:szCs w:val="20"/>
          </w:rPr>
          <w:t>https://doi.org/10.3390/antibiotics12040765</w:t>
        </w:r>
      </w:hyperlink>
    </w:p>
    <w:p w14:paraId="3F08CED4" w14:textId="1CBEC62C" w:rsidR="4AE15941" w:rsidRDefault="4AE15941" w:rsidP="2045D302">
      <w:pPr>
        <w:pStyle w:val="ListParagraph"/>
        <w:numPr>
          <w:ilvl w:val="0"/>
          <w:numId w:val="1"/>
        </w:numPr>
        <w:spacing w:after="0"/>
        <w:rPr>
          <w:rFonts w:ascii="Arial Nova" w:eastAsia="Arial Nova" w:hAnsi="Arial Nova" w:cs="Arial Nova"/>
          <w:sz w:val="20"/>
          <w:szCs w:val="20"/>
        </w:rPr>
      </w:pPr>
      <w:proofErr w:type="spellStart"/>
      <w:r w:rsidRPr="2045D302">
        <w:rPr>
          <w:rFonts w:ascii="Arial Nova" w:eastAsia="Arial Nova" w:hAnsi="Arial Nova" w:cs="Arial Nova"/>
          <w:sz w:val="20"/>
          <w:szCs w:val="20"/>
        </w:rPr>
        <w:t>Engelsberger</w:t>
      </w:r>
      <w:proofErr w:type="spellEnd"/>
      <w:r w:rsidRPr="2045D302">
        <w:rPr>
          <w:rFonts w:ascii="Arial Nova" w:eastAsia="Arial Nova" w:hAnsi="Arial Nova" w:cs="Arial Nova"/>
          <w:sz w:val="20"/>
          <w:szCs w:val="20"/>
        </w:rPr>
        <w:t xml:space="preserve">, V., Gerhard, M., &amp; </w:t>
      </w:r>
      <w:proofErr w:type="spellStart"/>
      <w:r w:rsidRPr="2045D302">
        <w:rPr>
          <w:rFonts w:ascii="Arial Nova" w:eastAsia="Arial Nova" w:hAnsi="Arial Nova" w:cs="Arial Nova"/>
          <w:sz w:val="20"/>
          <w:szCs w:val="20"/>
        </w:rPr>
        <w:t>Mejías-Luque</w:t>
      </w:r>
      <w:proofErr w:type="spellEnd"/>
      <w:r w:rsidRPr="2045D302">
        <w:rPr>
          <w:rFonts w:ascii="Arial Nova" w:eastAsia="Arial Nova" w:hAnsi="Arial Nova" w:cs="Arial Nova"/>
          <w:sz w:val="20"/>
          <w:szCs w:val="20"/>
        </w:rPr>
        <w:t xml:space="preserve">, R. (2024). Effects of Helicobacter pylori infection on intestinal microbiota, immunity and colorectal cancer risk. Frontiers in Cellular and Infection Microbiology, 14, </w:t>
      </w:r>
      <w:hyperlink r:id="rId29">
        <w:r w:rsidRPr="2045D302">
          <w:rPr>
            <w:rStyle w:val="Hyperlink"/>
            <w:rFonts w:ascii="Arial Nova" w:eastAsia="Arial Nova" w:hAnsi="Arial Nova" w:cs="Arial Nova"/>
            <w:sz w:val="20"/>
            <w:szCs w:val="20"/>
          </w:rPr>
          <w:t>1339750</w:t>
        </w:r>
      </w:hyperlink>
      <w:r w:rsidRPr="2045D302">
        <w:rPr>
          <w:rFonts w:ascii="Arial Nova" w:eastAsia="Arial Nova" w:hAnsi="Arial Nova" w:cs="Arial Nova"/>
          <w:sz w:val="20"/>
          <w:szCs w:val="20"/>
        </w:rPr>
        <w:t xml:space="preserve">. </w:t>
      </w:r>
      <w:hyperlink r:id="rId30">
        <w:r w:rsidRPr="2045D302">
          <w:rPr>
            <w:rStyle w:val="Hyperlink"/>
            <w:rFonts w:ascii="Arial Nova" w:eastAsia="Arial Nova" w:hAnsi="Arial Nova" w:cs="Arial Nova"/>
            <w:sz w:val="20"/>
            <w:szCs w:val="20"/>
          </w:rPr>
          <w:t>https://doi.org/10.3389/fcimb.2024.1339750</w:t>
        </w:r>
      </w:hyperlink>
    </w:p>
    <w:p w14:paraId="204F012E" w14:textId="119723C7" w:rsidR="4AE15941" w:rsidRDefault="4AE15941" w:rsidP="2045D302">
      <w:pPr>
        <w:pStyle w:val="ListParagraph"/>
        <w:numPr>
          <w:ilvl w:val="0"/>
          <w:numId w:val="1"/>
        </w:numPr>
        <w:spacing w:after="0"/>
        <w:rPr>
          <w:rFonts w:ascii="Arial Nova" w:eastAsia="Arial Nova" w:hAnsi="Arial Nova" w:cs="Arial Nova"/>
          <w:sz w:val="20"/>
          <w:szCs w:val="20"/>
        </w:rPr>
      </w:pPr>
      <w:r w:rsidRPr="2045D302">
        <w:rPr>
          <w:rFonts w:ascii="Arial Nova" w:eastAsia="Arial Nova" w:hAnsi="Arial Nova" w:cs="Arial Nova"/>
          <w:sz w:val="20"/>
          <w:szCs w:val="20"/>
        </w:rPr>
        <w:t xml:space="preserve">Hua, Z., Xu, L., Zhu, J., et al. (2023). Helicobacter pylori infection altered gastric microbiota in patients with chronic gastritis. Frontiers in Cellular and Infection Microbiology, 13, </w:t>
      </w:r>
      <w:hyperlink r:id="rId31">
        <w:r w:rsidRPr="2045D302">
          <w:rPr>
            <w:rStyle w:val="Hyperlink"/>
            <w:rFonts w:ascii="Arial Nova" w:eastAsia="Arial Nova" w:hAnsi="Arial Nova" w:cs="Arial Nova"/>
            <w:sz w:val="20"/>
            <w:szCs w:val="20"/>
          </w:rPr>
          <w:t>1221433</w:t>
        </w:r>
      </w:hyperlink>
      <w:r w:rsidRPr="2045D302">
        <w:rPr>
          <w:rFonts w:ascii="Arial Nova" w:eastAsia="Arial Nova" w:hAnsi="Arial Nova" w:cs="Arial Nova"/>
          <w:sz w:val="20"/>
          <w:szCs w:val="20"/>
        </w:rPr>
        <w:t xml:space="preserve">. </w:t>
      </w:r>
      <w:hyperlink r:id="rId32">
        <w:r w:rsidRPr="2045D302">
          <w:rPr>
            <w:rStyle w:val="Hyperlink"/>
            <w:rFonts w:ascii="Arial Nova" w:eastAsia="Arial Nova" w:hAnsi="Arial Nova" w:cs="Arial Nova"/>
            <w:sz w:val="20"/>
            <w:szCs w:val="20"/>
          </w:rPr>
          <w:t>https://doi.org/10.3389/fcimb.2023.1221433</w:t>
        </w:r>
      </w:hyperlink>
    </w:p>
    <w:p w14:paraId="42899D05" w14:textId="4A56AAE7" w:rsidR="4AE15941" w:rsidRDefault="4AE15941" w:rsidP="2045D302">
      <w:pPr>
        <w:pStyle w:val="ListParagraph"/>
        <w:numPr>
          <w:ilvl w:val="0"/>
          <w:numId w:val="1"/>
        </w:numPr>
        <w:spacing w:after="0"/>
        <w:rPr>
          <w:rFonts w:ascii="Arial Nova" w:eastAsia="Arial Nova" w:hAnsi="Arial Nova" w:cs="Arial Nova"/>
          <w:sz w:val="20"/>
          <w:szCs w:val="20"/>
        </w:rPr>
      </w:pPr>
      <w:proofErr w:type="spellStart"/>
      <w:r w:rsidRPr="2045D302">
        <w:rPr>
          <w:rFonts w:ascii="Arial Nova" w:eastAsia="Arial Nova" w:hAnsi="Arial Nova" w:cs="Arial Nova"/>
          <w:sz w:val="20"/>
          <w:szCs w:val="20"/>
        </w:rPr>
        <w:t>Fukase</w:t>
      </w:r>
      <w:proofErr w:type="spellEnd"/>
      <w:r w:rsidRPr="2045D302">
        <w:rPr>
          <w:rFonts w:ascii="Arial Nova" w:eastAsia="Arial Nova" w:hAnsi="Arial Nova" w:cs="Arial Nova"/>
          <w:sz w:val="20"/>
          <w:szCs w:val="20"/>
        </w:rPr>
        <w:t xml:space="preserve">, K., Kato, M., Kikuchi, S., et al. (2008). Helicobacter pylori eradication to prevent gastric cancer in patients with peptic ulcer disease. New England Journal of Medicine, 359(6), 592–603. </w:t>
      </w:r>
      <w:hyperlink r:id="rId33">
        <w:r w:rsidRPr="2045D302">
          <w:rPr>
            <w:rStyle w:val="Hyperlink"/>
            <w:rFonts w:ascii="Arial Nova" w:eastAsia="Arial Nova" w:hAnsi="Arial Nova" w:cs="Arial Nova"/>
            <w:sz w:val="20"/>
            <w:szCs w:val="20"/>
          </w:rPr>
          <w:t>https://doi.org/10.1056/NEJMoa072703</w:t>
        </w:r>
      </w:hyperlink>
    </w:p>
    <w:p w14:paraId="53B670C0" w14:textId="0BBCA9AC" w:rsidR="4AE15941" w:rsidRDefault="4AE15941" w:rsidP="2045D302">
      <w:pPr>
        <w:pStyle w:val="ListParagraph"/>
        <w:numPr>
          <w:ilvl w:val="0"/>
          <w:numId w:val="1"/>
        </w:numPr>
        <w:spacing w:after="0"/>
        <w:rPr>
          <w:rFonts w:ascii="Arial Nova" w:eastAsia="Arial Nova" w:hAnsi="Arial Nova" w:cs="Arial Nova"/>
          <w:sz w:val="20"/>
          <w:szCs w:val="20"/>
        </w:rPr>
      </w:pPr>
      <w:r w:rsidRPr="2045D302">
        <w:rPr>
          <w:rFonts w:ascii="Arial Nova" w:eastAsia="Arial Nova" w:hAnsi="Arial Nova" w:cs="Arial Nova"/>
          <w:sz w:val="20"/>
          <w:szCs w:val="20"/>
        </w:rPr>
        <w:t xml:space="preserve">Choi, I. J., Kook, M. C., Kim, Y. I., et al. (2018). Helicobacter pylori therapy for the prevention of metachronous gastric cancer. New England Journal of Medicine, 378(12), 1085–1095. </w:t>
      </w:r>
      <w:hyperlink r:id="rId34">
        <w:r w:rsidRPr="2045D302">
          <w:rPr>
            <w:rStyle w:val="Hyperlink"/>
            <w:rFonts w:ascii="Arial Nova" w:eastAsia="Arial Nova" w:hAnsi="Arial Nova" w:cs="Arial Nova"/>
            <w:sz w:val="20"/>
            <w:szCs w:val="20"/>
          </w:rPr>
          <w:t>https://doi.org/10.1056/NEJMoa1708423</w:t>
        </w:r>
      </w:hyperlink>
    </w:p>
    <w:p w14:paraId="4425BBBC" w14:textId="6BEC602C" w:rsidR="4AE15941" w:rsidRDefault="4AE15941" w:rsidP="2045D302">
      <w:pPr>
        <w:pStyle w:val="ListParagraph"/>
        <w:numPr>
          <w:ilvl w:val="0"/>
          <w:numId w:val="1"/>
        </w:numPr>
        <w:spacing w:after="0"/>
        <w:rPr>
          <w:rFonts w:ascii="Arial Nova" w:eastAsia="Arial Nova" w:hAnsi="Arial Nova" w:cs="Arial Nova"/>
          <w:sz w:val="20"/>
          <w:szCs w:val="20"/>
        </w:rPr>
      </w:pPr>
      <w:r w:rsidRPr="2045D302">
        <w:rPr>
          <w:rFonts w:ascii="Arial Nova" w:eastAsia="Arial Nova" w:hAnsi="Arial Nova" w:cs="Arial Nova"/>
          <w:sz w:val="20"/>
          <w:szCs w:val="20"/>
        </w:rPr>
        <w:t xml:space="preserve">Choi, I. J., Kim, C. G., Lee, J. Y., Kim, Y. I., Kook, M. C., Park, B., &amp; </w:t>
      </w:r>
      <w:proofErr w:type="spellStart"/>
      <w:r w:rsidRPr="2045D302">
        <w:rPr>
          <w:rFonts w:ascii="Arial Nova" w:eastAsia="Arial Nova" w:hAnsi="Arial Nova" w:cs="Arial Nova"/>
          <w:sz w:val="20"/>
          <w:szCs w:val="20"/>
        </w:rPr>
        <w:t>Joo</w:t>
      </w:r>
      <w:proofErr w:type="spellEnd"/>
      <w:r w:rsidRPr="2045D302">
        <w:rPr>
          <w:rFonts w:ascii="Arial Nova" w:eastAsia="Arial Nova" w:hAnsi="Arial Nova" w:cs="Arial Nova"/>
          <w:sz w:val="20"/>
          <w:szCs w:val="20"/>
        </w:rPr>
        <w:t xml:space="preserve">, J. (2020). Family history of gastric cancer and Helicobacter pylori treatment. New England Journal of Medicine, 382(5), 427–436. </w:t>
      </w:r>
      <w:hyperlink r:id="rId35">
        <w:r w:rsidRPr="2045D302">
          <w:rPr>
            <w:rStyle w:val="Hyperlink"/>
            <w:rFonts w:ascii="Arial Nova" w:eastAsia="Arial Nova" w:hAnsi="Arial Nova" w:cs="Arial Nova"/>
            <w:sz w:val="20"/>
            <w:szCs w:val="20"/>
          </w:rPr>
          <w:t>https://doi.org/10.1056/NEJMoa1909666</w:t>
        </w:r>
      </w:hyperlink>
    </w:p>
    <w:p w14:paraId="5D74D757" w14:textId="0552C033" w:rsidR="4AE15941" w:rsidRDefault="4AE15941" w:rsidP="2045D302">
      <w:pPr>
        <w:pStyle w:val="ListParagraph"/>
        <w:numPr>
          <w:ilvl w:val="0"/>
          <w:numId w:val="1"/>
        </w:numPr>
        <w:spacing w:after="0"/>
        <w:rPr>
          <w:rFonts w:ascii="Arial Nova" w:eastAsia="Arial Nova" w:hAnsi="Arial Nova" w:cs="Arial Nova"/>
          <w:sz w:val="20"/>
          <w:szCs w:val="20"/>
        </w:rPr>
      </w:pPr>
      <w:r w:rsidRPr="2045D302">
        <w:rPr>
          <w:rFonts w:ascii="Arial Nova" w:eastAsia="Arial Nova" w:hAnsi="Arial Nova" w:cs="Arial Nova"/>
          <w:sz w:val="20"/>
          <w:szCs w:val="20"/>
        </w:rPr>
        <w:t xml:space="preserve">Ford, A. C., Yuan, Y., Forman, D., Hunt, R., &amp; </w:t>
      </w:r>
      <w:proofErr w:type="spellStart"/>
      <w:r w:rsidRPr="2045D302">
        <w:rPr>
          <w:rFonts w:ascii="Arial Nova" w:eastAsia="Arial Nova" w:hAnsi="Arial Nova" w:cs="Arial Nova"/>
          <w:sz w:val="20"/>
          <w:szCs w:val="20"/>
        </w:rPr>
        <w:t>Moayyedi</w:t>
      </w:r>
      <w:proofErr w:type="spellEnd"/>
      <w:r w:rsidRPr="2045D302">
        <w:rPr>
          <w:rFonts w:ascii="Arial Nova" w:eastAsia="Arial Nova" w:hAnsi="Arial Nova" w:cs="Arial Nova"/>
          <w:sz w:val="20"/>
          <w:szCs w:val="20"/>
        </w:rPr>
        <w:t xml:space="preserve">, P. (2020). Helicobacter pylori eradication for the prevention of gastric neoplasia. Cochrane Database of Systematic Reviews, 2020(7), CD005583. </w:t>
      </w:r>
      <w:hyperlink r:id="rId36">
        <w:r w:rsidRPr="2045D302">
          <w:rPr>
            <w:rStyle w:val="Hyperlink"/>
            <w:rFonts w:ascii="Arial Nova" w:eastAsia="Arial Nova" w:hAnsi="Arial Nova" w:cs="Arial Nova"/>
            <w:sz w:val="20"/>
            <w:szCs w:val="20"/>
          </w:rPr>
          <w:t>https://doi.org/10.1002/14651858.CD005583.pub3</w:t>
        </w:r>
      </w:hyperlink>
    </w:p>
    <w:p w14:paraId="37DFE3FF" w14:textId="31A3A4E8" w:rsidR="4AE15941" w:rsidRDefault="4AE15941" w:rsidP="2045D302">
      <w:pPr>
        <w:pStyle w:val="ListParagraph"/>
        <w:numPr>
          <w:ilvl w:val="0"/>
          <w:numId w:val="1"/>
        </w:numPr>
        <w:spacing w:after="0"/>
        <w:rPr>
          <w:rFonts w:ascii="Arial Nova" w:eastAsia="Arial Nova" w:hAnsi="Arial Nova" w:cs="Arial Nova"/>
          <w:sz w:val="20"/>
          <w:szCs w:val="20"/>
        </w:rPr>
      </w:pPr>
      <w:r w:rsidRPr="2045D302">
        <w:rPr>
          <w:rFonts w:ascii="Arial Nova" w:eastAsia="Arial Nova" w:hAnsi="Arial Nova" w:cs="Arial Nova"/>
          <w:sz w:val="20"/>
          <w:szCs w:val="20"/>
        </w:rPr>
        <w:lastRenderedPageBreak/>
        <w:t xml:space="preserve">Jung, D. H., Kim, J. H., Chung, H. S., Park, J. C., Shin, S. K., Lee, S. K., &amp; Lee, Y. C. (2015). Helicobacter pylori eradication on the prevention of metachronous lesions after endoscopic resection of gastric neoplasm: A meta-analysis. PLoS One, 10(4), e0124725. </w:t>
      </w:r>
      <w:hyperlink r:id="rId37">
        <w:r w:rsidRPr="2045D302">
          <w:rPr>
            <w:rStyle w:val="Hyperlink"/>
            <w:rFonts w:ascii="Arial Nova" w:eastAsia="Arial Nova" w:hAnsi="Arial Nova" w:cs="Arial Nova"/>
            <w:sz w:val="20"/>
            <w:szCs w:val="20"/>
          </w:rPr>
          <w:t>https://doi.org/10.1371/journal.pone.0124725</w:t>
        </w:r>
      </w:hyperlink>
    </w:p>
    <w:p w14:paraId="3D48F95D" w14:textId="14A672AD" w:rsidR="4AE15941" w:rsidRDefault="4AE15941" w:rsidP="2045D302">
      <w:pPr>
        <w:pStyle w:val="ListParagraph"/>
        <w:numPr>
          <w:ilvl w:val="0"/>
          <w:numId w:val="1"/>
        </w:numPr>
        <w:spacing w:after="0"/>
        <w:rPr>
          <w:rFonts w:ascii="Arial Nova" w:eastAsia="Arial Nova" w:hAnsi="Arial Nova" w:cs="Arial Nova"/>
          <w:sz w:val="20"/>
          <w:szCs w:val="20"/>
        </w:rPr>
      </w:pPr>
      <w:r w:rsidRPr="2045D302">
        <w:rPr>
          <w:rFonts w:ascii="Arial Nova" w:eastAsia="Arial Nova" w:hAnsi="Arial Nova" w:cs="Arial Nova"/>
          <w:sz w:val="20"/>
          <w:szCs w:val="20"/>
        </w:rPr>
        <w:t xml:space="preserve">Zhou, L. Y., et al. (2024). </w:t>
      </w:r>
      <w:proofErr w:type="spellStart"/>
      <w:r w:rsidRPr="2045D302">
        <w:rPr>
          <w:rFonts w:ascii="Arial Nova" w:eastAsia="Arial Nova" w:hAnsi="Arial Nova" w:cs="Arial Nova"/>
          <w:sz w:val="20"/>
          <w:szCs w:val="20"/>
        </w:rPr>
        <w:t>Pyroptosis</w:t>
      </w:r>
      <w:proofErr w:type="spellEnd"/>
      <w:r w:rsidRPr="2045D302">
        <w:rPr>
          <w:rFonts w:ascii="Arial Nova" w:eastAsia="Arial Nova" w:hAnsi="Arial Nova" w:cs="Arial Nova"/>
          <w:sz w:val="20"/>
          <w:szCs w:val="20"/>
        </w:rPr>
        <w:t xml:space="preserve"> and gastric carcinogenesis: Mechanisms of Helicobacter pylori–induced mucosal damage. Frontiers in Cellular and Infection Microbiology, 14, </w:t>
      </w:r>
      <w:hyperlink r:id="rId38">
        <w:r w:rsidRPr="2045D302">
          <w:rPr>
            <w:rStyle w:val="Hyperlink"/>
            <w:rFonts w:ascii="Arial Nova" w:eastAsia="Arial Nova" w:hAnsi="Arial Nova" w:cs="Arial Nova"/>
            <w:sz w:val="20"/>
            <w:szCs w:val="20"/>
          </w:rPr>
          <w:t>1339750</w:t>
        </w:r>
      </w:hyperlink>
      <w:r w:rsidRPr="2045D302">
        <w:rPr>
          <w:rFonts w:ascii="Arial Nova" w:eastAsia="Arial Nova" w:hAnsi="Arial Nova" w:cs="Arial Nova"/>
          <w:sz w:val="20"/>
          <w:szCs w:val="20"/>
        </w:rPr>
        <w:t xml:space="preserve">. </w:t>
      </w:r>
      <w:hyperlink r:id="rId39">
        <w:r w:rsidRPr="2045D302">
          <w:rPr>
            <w:rStyle w:val="Hyperlink"/>
            <w:rFonts w:ascii="Arial Nova" w:eastAsia="Arial Nova" w:hAnsi="Arial Nova" w:cs="Arial Nova"/>
            <w:sz w:val="20"/>
            <w:szCs w:val="20"/>
          </w:rPr>
          <w:t>https://doi.org/10.3389/fcimb.2024.1339750</w:t>
        </w:r>
      </w:hyperlink>
    </w:p>
    <w:p w14:paraId="7F25790B" w14:textId="54598662" w:rsidR="4AE15941" w:rsidRDefault="4AE15941" w:rsidP="2045D302">
      <w:pPr>
        <w:pStyle w:val="ListParagraph"/>
        <w:numPr>
          <w:ilvl w:val="0"/>
          <w:numId w:val="1"/>
        </w:numPr>
        <w:spacing w:after="0"/>
        <w:rPr>
          <w:rFonts w:ascii="Arial Nova" w:eastAsia="Arial Nova" w:hAnsi="Arial Nova" w:cs="Arial Nova"/>
          <w:sz w:val="20"/>
          <w:szCs w:val="20"/>
        </w:rPr>
      </w:pPr>
      <w:proofErr w:type="spellStart"/>
      <w:r w:rsidRPr="2045D302">
        <w:rPr>
          <w:rFonts w:ascii="Arial Nova" w:eastAsia="Arial Nova" w:hAnsi="Arial Nova" w:cs="Arial Nova"/>
          <w:sz w:val="20"/>
          <w:szCs w:val="20"/>
        </w:rPr>
        <w:t>Alipour</w:t>
      </w:r>
      <w:proofErr w:type="spellEnd"/>
      <w:r w:rsidRPr="2045D302">
        <w:rPr>
          <w:rFonts w:ascii="Arial Nova" w:eastAsia="Arial Nova" w:hAnsi="Arial Nova" w:cs="Arial Nova"/>
          <w:sz w:val="20"/>
          <w:szCs w:val="20"/>
        </w:rPr>
        <w:t xml:space="preserve">, M. (2021). Helicobacter pylori and gastric cancer: Pathogenic pathways and risk stratification in an Iranian cohort. World Journal of Gastrointestinal Oncology, 13(5), 121–131. </w:t>
      </w:r>
      <w:hyperlink r:id="rId40">
        <w:r w:rsidRPr="2045D302">
          <w:rPr>
            <w:rStyle w:val="Hyperlink"/>
            <w:rFonts w:ascii="Arial Nova" w:eastAsia="Arial Nova" w:hAnsi="Arial Nova" w:cs="Arial Nova"/>
            <w:sz w:val="20"/>
            <w:szCs w:val="20"/>
          </w:rPr>
          <w:t>https://doi.org/10.4251/wjgo.v13.i5.959</w:t>
        </w:r>
      </w:hyperlink>
    </w:p>
    <w:p w14:paraId="6C43B092" w14:textId="6D098993" w:rsidR="4AE15941" w:rsidRDefault="4AE15941" w:rsidP="2045D302">
      <w:pPr>
        <w:pStyle w:val="ListParagraph"/>
        <w:numPr>
          <w:ilvl w:val="0"/>
          <w:numId w:val="1"/>
        </w:numPr>
        <w:spacing w:after="0"/>
        <w:rPr>
          <w:rFonts w:ascii="Arial Nova" w:eastAsia="Arial Nova" w:hAnsi="Arial Nova" w:cs="Arial Nova"/>
          <w:sz w:val="20"/>
          <w:szCs w:val="20"/>
        </w:rPr>
      </w:pPr>
      <w:r w:rsidRPr="2045D302">
        <w:rPr>
          <w:rFonts w:ascii="Arial Nova" w:eastAsia="Arial Nova" w:hAnsi="Arial Nova" w:cs="Arial Nova"/>
          <w:sz w:val="20"/>
          <w:szCs w:val="20"/>
        </w:rPr>
        <w:t xml:space="preserve">Reyes, V. E., et al. (2023). Immune modulation by Helicobacter pylori antigens: Implications for gastric carcinogenesis. Frontiers in Immunology, 14, 120987. </w:t>
      </w:r>
      <w:hyperlink r:id="rId41">
        <w:r w:rsidRPr="2045D302">
          <w:rPr>
            <w:rStyle w:val="Hyperlink"/>
            <w:rFonts w:ascii="Arial Nova" w:eastAsia="Arial Nova" w:hAnsi="Arial Nova" w:cs="Arial Nova"/>
            <w:sz w:val="20"/>
            <w:szCs w:val="20"/>
          </w:rPr>
          <w:t>https://doi.org/10.3389/fimmu.2023.120987</w:t>
        </w:r>
      </w:hyperlink>
    </w:p>
    <w:p w14:paraId="597BA0D6" w14:textId="0D0FC5E9" w:rsidR="4AE15941" w:rsidRDefault="4AE15941" w:rsidP="2045D302">
      <w:pPr>
        <w:pStyle w:val="ListParagraph"/>
        <w:numPr>
          <w:ilvl w:val="0"/>
          <w:numId w:val="1"/>
        </w:numPr>
        <w:spacing w:after="0"/>
        <w:rPr>
          <w:rFonts w:ascii="Arial Nova" w:eastAsia="Arial Nova" w:hAnsi="Arial Nova" w:cs="Arial Nova"/>
          <w:sz w:val="20"/>
          <w:szCs w:val="20"/>
        </w:rPr>
      </w:pPr>
      <w:r w:rsidRPr="2045D302">
        <w:rPr>
          <w:rFonts w:ascii="Arial Nova" w:eastAsia="Arial Nova" w:hAnsi="Arial Nova" w:cs="Arial Nova"/>
          <w:sz w:val="20"/>
          <w:szCs w:val="20"/>
        </w:rPr>
        <w:t xml:space="preserve">Gu, Y., et al. (2024). Oxidative stress pathways in Helicobacter pylori–associated gastric epithelial transformation. Gut Microbes, 16(1), 2314201. </w:t>
      </w:r>
      <w:hyperlink r:id="rId42">
        <w:r w:rsidRPr="2045D302">
          <w:rPr>
            <w:rStyle w:val="Hyperlink"/>
            <w:rFonts w:ascii="Arial Nova" w:eastAsia="Arial Nova" w:hAnsi="Arial Nova" w:cs="Arial Nova"/>
            <w:sz w:val="20"/>
            <w:szCs w:val="20"/>
          </w:rPr>
          <w:t>https://doi.org/10.1080/19490976.2024.2314201</w:t>
        </w:r>
      </w:hyperlink>
    </w:p>
    <w:p w14:paraId="7F9A5252" w14:textId="66F7E8C3" w:rsidR="4AE15941" w:rsidRDefault="4AE15941" w:rsidP="2045D302">
      <w:pPr>
        <w:pStyle w:val="ListParagraph"/>
        <w:numPr>
          <w:ilvl w:val="0"/>
          <w:numId w:val="1"/>
        </w:numPr>
        <w:spacing w:after="0"/>
        <w:rPr>
          <w:rFonts w:ascii="Arial Nova" w:eastAsia="Arial Nova" w:hAnsi="Arial Nova" w:cs="Arial Nova"/>
          <w:sz w:val="20"/>
          <w:szCs w:val="20"/>
        </w:rPr>
      </w:pPr>
      <w:r w:rsidRPr="2045D302">
        <w:rPr>
          <w:rFonts w:ascii="Arial Nova" w:eastAsia="Arial Nova" w:hAnsi="Arial Nova" w:cs="Arial Nova"/>
          <w:sz w:val="20"/>
          <w:szCs w:val="20"/>
        </w:rPr>
        <w:t xml:space="preserve">Chen, Y. C., et al. (2023). Risk modifiers of gastric cancer in Helicobacter pylori–infected adults: An observational study in Taiwan. Cancer Letters, 542, 215764. </w:t>
      </w:r>
      <w:hyperlink r:id="rId43">
        <w:r w:rsidRPr="2045D302">
          <w:rPr>
            <w:rStyle w:val="Hyperlink"/>
            <w:rFonts w:ascii="Arial Nova" w:eastAsia="Arial Nova" w:hAnsi="Arial Nova" w:cs="Arial Nova"/>
            <w:sz w:val="20"/>
            <w:szCs w:val="20"/>
          </w:rPr>
          <w:t>https://doi.org/10.1016/j.canlet.2022.215764</w:t>
        </w:r>
      </w:hyperlink>
    </w:p>
    <w:p w14:paraId="69CFADEB" w14:textId="6F2DB283" w:rsidR="4AE15941" w:rsidRDefault="4AE15941" w:rsidP="2045D302">
      <w:pPr>
        <w:pStyle w:val="ListParagraph"/>
        <w:numPr>
          <w:ilvl w:val="0"/>
          <w:numId w:val="1"/>
        </w:numPr>
        <w:spacing w:after="0"/>
        <w:rPr>
          <w:rFonts w:ascii="Arial Nova" w:eastAsia="Arial Nova" w:hAnsi="Arial Nova" w:cs="Arial Nova"/>
          <w:sz w:val="20"/>
          <w:szCs w:val="20"/>
        </w:rPr>
      </w:pPr>
      <w:proofErr w:type="spellStart"/>
      <w:r w:rsidRPr="2045D302">
        <w:rPr>
          <w:rFonts w:ascii="Arial Nova" w:eastAsia="Arial Nova" w:hAnsi="Arial Nova" w:cs="Arial Nova"/>
          <w:sz w:val="20"/>
          <w:szCs w:val="20"/>
        </w:rPr>
        <w:t>Xie</w:t>
      </w:r>
      <w:proofErr w:type="spellEnd"/>
      <w:r w:rsidRPr="2045D302">
        <w:rPr>
          <w:rFonts w:ascii="Arial Nova" w:eastAsia="Arial Nova" w:hAnsi="Arial Nova" w:cs="Arial Nova"/>
          <w:sz w:val="20"/>
          <w:szCs w:val="20"/>
        </w:rPr>
        <w:t xml:space="preserve">, F. J., et al. (2024). Global Helicobacter pylori prevalence and gastric cancer incidence: A review of recent epidemiological evidence. Gastroenterology, 166(2), 445–453. </w:t>
      </w:r>
      <w:hyperlink r:id="rId44">
        <w:r w:rsidRPr="2045D302">
          <w:rPr>
            <w:rStyle w:val="Hyperlink"/>
            <w:rFonts w:ascii="Arial Nova" w:eastAsia="Arial Nova" w:hAnsi="Arial Nova" w:cs="Arial Nova"/>
            <w:sz w:val="20"/>
            <w:szCs w:val="20"/>
          </w:rPr>
          <w:t>https://doi.org/10.1053/j.gastro.2024.01.010</w:t>
        </w:r>
      </w:hyperlink>
    </w:p>
    <w:p w14:paraId="2E179165" w14:textId="3016F2DA" w:rsidR="4AE15941" w:rsidRDefault="4AE15941" w:rsidP="2045D302">
      <w:pPr>
        <w:pStyle w:val="ListParagraph"/>
        <w:numPr>
          <w:ilvl w:val="0"/>
          <w:numId w:val="1"/>
        </w:numPr>
        <w:spacing w:after="0"/>
        <w:rPr>
          <w:rFonts w:ascii="Arial Nova" w:eastAsia="Arial Nova" w:hAnsi="Arial Nova" w:cs="Arial Nova"/>
          <w:sz w:val="20"/>
          <w:szCs w:val="20"/>
        </w:rPr>
      </w:pPr>
      <w:r w:rsidRPr="2045D302">
        <w:rPr>
          <w:rFonts w:ascii="Arial Nova" w:eastAsia="Arial Nova" w:hAnsi="Arial Nova" w:cs="Arial Nova"/>
          <w:sz w:val="20"/>
          <w:szCs w:val="20"/>
        </w:rPr>
        <w:t xml:space="preserve">Ali, A., &amp; </w:t>
      </w:r>
      <w:proofErr w:type="spellStart"/>
      <w:r w:rsidRPr="2045D302">
        <w:rPr>
          <w:rFonts w:ascii="Arial Nova" w:eastAsia="Arial Nova" w:hAnsi="Arial Nova" w:cs="Arial Nova"/>
          <w:sz w:val="20"/>
          <w:szCs w:val="20"/>
        </w:rPr>
        <w:t>AlHussaini</w:t>
      </w:r>
      <w:proofErr w:type="spellEnd"/>
      <w:r w:rsidRPr="2045D302">
        <w:rPr>
          <w:rFonts w:ascii="Arial Nova" w:eastAsia="Arial Nova" w:hAnsi="Arial Nova" w:cs="Arial Nova"/>
          <w:sz w:val="20"/>
          <w:szCs w:val="20"/>
        </w:rPr>
        <w:t xml:space="preserve">, K. I. (2024). Helicobacter pylori: A contemporary perspective on pathogenesis, diagnosis and treatment strategies. Microorganisms, 12(1), 22. </w:t>
      </w:r>
      <w:hyperlink r:id="rId45">
        <w:r w:rsidRPr="2045D302">
          <w:rPr>
            <w:rStyle w:val="Hyperlink"/>
            <w:rFonts w:ascii="Arial Nova" w:eastAsia="Arial Nova" w:hAnsi="Arial Nova" w:cs="Arial Nova"/>
            <w:sz w:val="20"/>
            <w:szCs w:val="20"/>
          </w:rPr>
          <w:t>https://doi.org/10.3390/microorganisms12010222</w:t>
        </w:r>
      </w:hyperlink>
    </w:p>
    <w:p w14:paraId="7C30A8A0" w14:textId="117CD823" w:rsidR="4AE15941" w:rsidRDefault="4AE15941" w:rsidP="2045D302">
      <w:pPr>
        <w:pStyle w:val="ListParagraph"/>
        <w:numPr>
          <w:ilvl w:val="0"/>
          <w:numId w:val="1"/>
        </w:numPr>
        <w:spacing w:after="0"/>
        <w:rPr>
          <w:rFonts w:ascii="Arial Nova" w:eastAsia="Arial Nova" w:hAnsi="Arial Nova" w:cs="Arial Nova"/>
          <w:sz w:val="20"/>
          <w:szCs w:val="20"/>
        </w:rPr>
      </w:pPr>
      <w:proofErr w:type="spellStart"/>
      <w:r w:rsidRPr="2045D302">
        <w:rPr>
          <w:rFonts w:ascii="Arial Nova" w:eastAsia="Arial Nova" w:hAnsi="Arial Nova" w:cs="Arial Nova"/>
          <w:sz w:val="20"/>
          <w:szCs w:val="20"/>
        </w:rPr>
        <w:t>Booka</w:t>
      </w:r>
      <w:proofErr w:type="spellEnd"/>
      <w:r w:rsidRPr="2045D302">
        <w:rPr>
          <w:rFonts w:ascii="Arial Nova" w:eastAsia="Arial Nova" w:hAnsi="Arial Nova" w:cs="Arial Nova"/>
          <w:sz w:val="20"/>
          <w:szCs w:val="20"/>
        </w:rPr>
        <w:t xml:space="preserve">, E., &amp; Takeuchi, H. (2023). Recent advances in sentinel node navigation surgery for early gastric cancer. Journal of Gastric Cancer, 23(3), 159–170. </w:t>
      </w:r>
      <w:hyperlink r:id="rId46">
        <w:r w:rsidRPr="2045D302">
          <w:rPr>
            <w:rStyle w:val="Hyperlink"/>
            <w:rFonts w:ascii="Arial Nova" w:eastAsia="Arial Nova" w:hAnsi="Arial Nova" w:cs="Arial Nova"/>
            <w:sz w:val="20"/>
            <w:szCs w:val="20"/>
          </w:rPr>
          <w:t>https://doi.org/10.5230/jgc.2023.23.e4</w:t>
        </w:r>
      </w:hyperlink>
    </w:p>
    <w:p w14:paraId="67A76AC2" w14:textId="387B5719" w:rsidR="2045D302" w:rsidRDefault="2045D302" w:rsidP="2045D302">
      <w:pPr>
        <w:spacing w:before="240" w:after="180"/>
        <w:rPr>
          <w:rFonts w:ascii="Arial Nova" w:eastAsia="Arial Nova" w:hAnsi="Arial Nova" w:cs="Arial Nova"/>
          <w:sz w:val="20"/>
          <w:szCs w:val="20"/>
        </w:rPr>
      </w:pPr>
    </w:p>
    <w:p w14:paraId="20CE23AC" w14:textId="23613EE7" w:rsidR="2045D302" w:rsidRDefault="2045D302" w:rsidP="2045D302">
      <w:pPr>
        <w:rPr>
          <w:rFonts w:ascii="Arial Nova" w:eastAsia="Arial Nova" w:hAnsi="Arial Nova" w:cs="Arial Nova"/>
          <w:sz w:val="20"/>
          <w:szCs w:val="20"/>
        </w:rPr>
      </w:pPr>
    </w:p>
    <w:sectPr w:rsidR="2045D302">
      <w:headerReference w:type="even" r:id="rId47"/>
      <w:headerReference w:type="default" r:id="rId48"/>
      <w:footerReference w:type="even" r:id="rId49"/>
      <w:footerReference w:type="default" r:id="rId50"/>
      <w:headerReference w:type="first" r:id="rId51"/>
      <w:footerReference w:type="first" r:id="rId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03AB28" w14:textId="77777777" w:rsidR="00FB1E4A" w:rsidRDefault="00FB1E4A" w:rsidP="001D6716">
      <w:pPr>
        <w:spacing w:after="0" w:line="240" w:lineRule="auto"/>
      </w:pPr>
      <w:r>
        <w:separator/>
      </w:r>
    </w:p>
  </w:endnote>
  <w:endnote w:type="continuationSeparator" w:id="0">
    <w:p w14:paraId="39C59B7E" w14:textId="77777777" w:rsidR="00FB1E4A" w:rsidRDefault="00FB1E4A" w:rsidP="001D6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ova">
    <w:charset w:val="00"/>
    <w:family w:val="swiss"/>
    <w:pitch w:val="variable"/>
    <w:sig w:usb0="0000028F" w:usb1="00000002"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59EAE" w14:textId="79C5975E" w:rsidR="001D6716" w:rsidRDefault="001D6716">
    <w:pPr>
      <w:pStyle w:val="Footer"/>
    </w:pPr>
    <w:r>
      <w:rPr>
        <w:noProof/>
      </w:rPr>
      <mc:AlternateContent>
        <mc:Choice Requires="wps">
          <w:drawing>
            <wp:anchor distT="0" distB="0" distL="0" distR="0" simplePos="0" relativeHeight="251658241" behindDoc="0" locked="0" layoutInCell="1" allowOverlap="1" wp14:anchorId="2C4CDB40" wp14:editId="592A63EC">
              <wp:simplePos x="635" y="635"/>
              <wp:positionH relativeFrom="page">
                <wp:align>left</wp:align>
              </wp:positionH>
              <wp:positionV relativeFrom="page">
                <wp:align>bottom</wp:align>
              </wp:positionV>
              <wp:extent cx="1282700" cy="371475"/>
              <wp:effectExtent l="0" t="0" r="12700" b="0"/>
              <wp:wrapNone/>
              <wp:docPr id="532081053" name="Text Box 2" descr="SMU - Internal Data">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2700" cy="371475"/>
                      </a:xfrm>
                      <a:prstGeom prst="rect">
                        <a:avLst/>
                      </a:prstGeom>
                      <a:noFill/>
                      <a:ln>
                        <a:noFill/>
                      </a:ln>
                    </wps:spPr>
                    <wps:txbx>
                      <w:txbxContent>
                        <w:p w14:paraId="2879D68B" w14:textId="65286152" w:rsidR="001D6716" w:rsidRPr="001D6716" w:rsidRDefault="001D6716" w:rsidP="001D6716">
                          <w:pPr>
                            <w:spacing w:after="0"/>
                            <w:rPr>
                              <w:rFonts w:ascii="Aptos" w:eastAsia="Aptos" w:hAnsi="Aptos" w:cs="Aptos"/>
                              <w:noProof/>
                              <w:color w:val="000000"/>
                              <w:sz w:val="20"/>
                              <w:szCs w:val="20"/>
                            </w:rPr>
                          </w:pPr>
                          <w:r w:rsidRPr="001D6716">
                            <w:rPr>
                              <w:rFonts w:ascii="Aptos" w:eastAsia="Aptos" w:hAnsi="Aptos" w:cs="Aptos"/>
                              <w:noProof/>
                              <w:color w:val="000000"/>
                              <w:sz w:val="20"/>
                              <w:szCs w:val="20"/>
                            </w:rPr>
                            <w:t>SMU - Internal Data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xmlns:a="http://schemas.openxmlformats.org/drawingml/2006/main">
          <w:pict>
            <v:shapetype id="_x0000_t202" coordsize="21600,21600" o:spt="202" path="m,l,21600r21600,l21600,xe" w14:anchorId="2C4CDB40">
              <v:stroke joinstyle="miter"/>
              <v:path gradientshapeok="t" o:connecttype="rect"/>
            </v:shapetype>
            <v:shape id="Text Box 2" style="position:absolute;margin-left:0;margin-top:0;width:101pt;height:29.25pt;z-index:251659264;visibility:visible;mso-wrap-style:none;mso-wrap-distance-left:0;mso-wrap-distance-top:0;mso-wrap-distance-right:0;mso-wrap-distance-bottom:0;mso-position-horizontal:left;mso-position-horizontal-relative:page;mso-position-vertical:bottom;mso-position-vertical-relative:page;v-text-anchor:bottom" alt="SMU - Internal Data"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">
              <v:fill o:detectmouseclick="t"/>
              <v:textbox style="mso-fit-shape-to-text:t" inset="20pt,0,0,15pt">
                <w:txbxContent>
                  <w:p w:rsidRPr="001D6716" w:rsidR="001D6716" w:rsidP="001D6716" w:rsidRDefault="001D6716" w14:paraId="2879D68B" w14:textId="65286152">
                    <w:pPr>
                      <w:spacing w:after="0"/>
                      <w:rPr>
                        <w:rFonts w:ascii="Aptos" w:hAnsi="Aptos" w:eastAsia="Aptos" w:cs="Aptos"/>
                        <w:noProof/>
                        <w:color w:val="000000"/>
                        <w:sz w:val="20"/>
                        <w:szCs w:val="20"/>
                      </w:rPr>
                    </w:pPr>
                    <w:r w:rsidRPr="001D6716">
                      <w:rPr>
                        <w:rFonts w:ascii="Aptos" w:hAnsi="Aptos" w:eastAsia="Aptos" w:cs="Aptos"/>
                        <w:noProof/>
                        <w:color w:val="000000"/>
                        <w:sz w:val="20"/>
                        <w:szCs w:val="20"/>
                      </w:rPr>
                      <w:t>SMU - Internal Data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87460" w14:textId="52AA7B79" w:rsidR="001D6716" w:rsidRDefault="001D6716">
    <w:pPr>
      <w:pStyle w:val="Footer"/>
    </w:pPr>
    <w:r>
      <w:rPr>
        <w:noProof/>
      </w:rPr>
      <mc:AlternateContent>
        <mc:Choice Requires="wps">
          <w:drawing>
            <wp:anchor distT="0" distB="0" distL="0" distR="0" simplePos="0" relativeHeight="251658242" behindDoc="0" locked="0" layoutInCell="1" allowOverlap="1" wp14:anchorId="714FAFAA" wp14:editId="0D763110">
              <wp:simplePos x="635" y="635"/>
              <wp:positionH relativeFrom="page">
                <wp:align>left</wp:align>
              </wp:positionH>
              <wp:positionV relativeFrom="page">
                <wp:align>bottom</wp:align>
              </wp:positionV>
              <wp:extent cx="1282700" cy="371475"/>
              <wp:effectExtent l="0" t="0" r="12700" b="0"/>
              <wp:wrapNone/>
              <wp:docPr id="717428625" name="Text Box 3" descr="SMU - Internal Data">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2700" cy="371475"/>
                      </a:xfrm>
                      <a:prstGeom prst="rect">
                        <a:avLst/>
                      </a:prstGeom>
                      <a:noFill/>
                      <a:ln>
                        <a:noFill/>
                      </a:ln>
                    </wps:spPr>
                    <wps:txbx>
                      <w:txbxContent>
                        <w:p w14:paraId="76B22EA2" w14:textId="2CB3EC1F" w:rsidR="001D6716" w:rsidRPr="001D6716" w:rsidRDefault="001D6716" w:rsidP="001D6716">
                          <w:pPr>
                            <w:spacing w:after="0"/>
                            <w:rPr>
                              <w:rFonts w:ascii="Aptos" w:eastAsia="Aptos" w:hAnsi="Aptos" w:cs="Aptos"/>
                              <w:noProof/>
                              <w:color w:val="000000"/>
                              <w:sz w:val="20"/>
                              <w:szCs w:val="20"/>
                            </w:rPr>
                          </w:pPr>
                          <w:r w:rsidRPr="001D6716">
                            <w:rPr>
                              <w:rFonts w:ascii="Aptos" w:eastAsia="Aptos" w:hAnsi="Aptos" w:cs="Aptos"/>
                              <w:noProof/>
                              <w:color w:val="000000"/>
                              <w:sz w:val="20"/>
                              <w:szCs w:val="20"/>
                            </w:rPr>
                            <w:t>SMU - Internal Data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xmlns:a="http://schemas.openxmlformats.org/drawingml/2006/main">
          <w:pict>
            <v:shapetype id="_x0000_t202" coordsize="21600,21600" o:spt="202" path="m,l,21600r21600,l21600,xe" w14:anchorId="714FAFAA">
              <v:stroke joinstyle="miter"/>
              <v:path gradientshapeok="t" o:connecttype="rect"/>
            </v:shapetype>
            <v:shape id="Text Box 3" style="position:absolute;margin-left:0;margin-top:0;width:101pt;height:29.25pt;z-index:251660288;visibility:visible;mso-wrap-style:none;mso-wrap-distance-left:0;mso-wrap-distance-top:0;mso-wrap-distance-right:0;mso-wrap-distance-bottom:0;mso-position-horizontal:left;mso-position-horizontal-relative:page;mso-position-vertical:bottom;mso-position-vertical-relative:page;v-text-anchor:bottom" alt="SMU - Internal Data"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">
              <v:fill o:detectmouseclick="t"/>
              <v:textbox style="mso-fit-shape-to-text:t" inset="20pt,0,0,15pt">
                <w:txbxContent>
                  <w:p w:rsidRPr="001D6716" w:rsidR="001D6716" w:rsidP="001D6716" w:rsidRDefault="001D6716" w14:paraId="76B22EA2" w14:textId="2CB3EC1F">
                    <w:pPr>
                      <w:spacing w:after="0"/>
                      <w:rPr>
                        <w:rFonts w:ascii="Aptos" w:hAnsi="Aptos" w:eastAsia="Aptos" w:cs="Aptos"/>
                        <w:noProof/>
                        <w:color w:val="000000"/>
                        <w:sz w:val="20"/>
                        <w:szCs w:val="20"/>
                      </w:rPr>
                    </w:pPr>
                    <w:r w:rsidRPr="001D6716">
                      <w:rPr>
                        <w:rFonts w:ascii="Aptos" w:hAnsi="Aptos" w:eastAsia="Aptos" w:cs="Aptos"/>
                        <w:noProof/>
                        <w:color w:val="000000"/>
                        <w:sz w:val="20"/>
                        <w:szCs w:val="20"/>
                      </w:rPr>
                      <w:t>SMU - Internal Data</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75FB5" w14:textId="17507499" w:rsidR="001D6716" w:rsidRDefault="001D6716">
    <w:pPr>
      <w:pStyle w:val="Footer"/>
    </w:pPr>
    <w:r>
      <w:rPr>
        <w:noProof/>
      </w:rPr>
      <mc:AlternateContent>
        <mc:Choice Requires="wps">
          <w:drawing>
            <wp:anchor distT="0" distB="0" distL="0" distR="0" simplePos="0" relativeHeight="251658240" behindDoc="0" locked="0" layoutInCell="1" allowOverlap="1" wp14:anchorId="0495E1D6" wp14:editId="7150C3F7">
              <wp:simplePos x="635" y="635"/>
              <wp:positionH relativeFrom="page">
                <wp:align>left</wp:align>
              </wp:positionH>
              <wp:positionV relativeFrom="page">
                <wp:align>bottom</wp:align>
              </wp:positionV>
              <wp:extent cx="1282700" cy="371475"/>
              <wp:effectExtent l="0" t="0" r="12700" b="0"/>
              <wp:wrapNone/>
              <wp:docPr id="860682010" name="Text Box 1" descr="SMU - Internal Data">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2700" cy="371475"/>
                      </a:xfrm>
                      <a:prstGeom prst="rect">
                        <a:avLst/>
                      </a:prstGeom>
                      <a:noFill/>
                      <a:ln>
                        <a:noFill/>
                      </a:ln>
                    </wps:spPr>
                    <wps:txbx>
                      <w:txbxContent>
                        <w:p w14:paraId="00E31AC2" w14:textId="238646A4" w:rsidR="001D6716" w:rsidRPr="001D6716" w:rsidRDefault="001D6716" w:rsidP="001D6716">
                          <w:pPr>
                            <w:spacing w:after="0"/>
                            <w:rPr>
                              <w:rFonts w:ascii="Aptos" w:eastAsia="Aptos" w:hAnsi="Aptos" w:cs="Aptos"/>
                              <w:noProof/>
                              <w:color w:val="000000"/>
                              <w:sz w:val="20"/>
                              <w:szCs w:val="20"/>
                            </w:rPr>
                          </w:pPr>
                          <w:r w:rsidRPr="001D6716">
                            <w:rPr>
                              <w:rFonts w:ascii="Aptos" w:eastAsia="Aptos" w:hAnsi="Aptos" w:cs="Aptos"/>
                              <w:noProof/>
                              <w:color w:val="000000"/>
                              <w:sz w:val="20"/>
                              <w:szCs w:val="20"/>
                            </w:rPr>
                            <w:t>SMU - Internal Data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xmlns:a="http://schemas.openxmlformats.org/drawingml/2006/main">
          <w:pict>
            <v:shapetype id="_x0000_t202" coordsize="21600,21600" o:spt="202" path="m,l,21600r21600,l21600,xe" w14:anchorId="0495E1D6">
              <v:stroke joinstyle="miter"/>
              <v:path gradientshapeok="t" o:connecttype="rect"/>
            </v:shapetype>
            <v:shape id="Text Box 1" style="position:absolute;margin-left:0;margin-top:0;width:101pt;height:29.25pt;z-index:251658240;visibility:visible;mso-wrap-style:none;mso-wrap-distance-left:0;mso-wrap-distance-top:0;mso-wrap-distance-right:0;mso-wrap-distance-bottom:0;mso-position-horizontal:left;mso-position-horizontal-relative:page;mso-position-vertical:bottom;mso-position-vertical-relative:page;v-text-anchor:bottom" alt="SMU - Internal Data"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">
              <v:fill o:detectmouseclick="t"/>
              <v:textbox style="mso-fit-shape-to-text:t" inset="20pt,0,0,15pt">
                <w:txbxContent>
                  <w:p w:rsidRPr="001D6716" w:rsidR="001D6716" w:rsidP="001D6716" w:rsidRDefault="001D6716" w14:paraId="00E31AC2" w14:textId="238646A4">
                    <w:pPr>
                      <w:spacing w:after="0"/>
                      <w:rPr>
                        <w:rFonts w:ascii="Aptos" w:hAnsi="Aptos" w:eastAsia="Aptos" w:cs="Aptos"/>
                        <w:noProof/>
                        <w:color w:val="000000"/>
                        <w:sz w:val="20"/>
                        <w:szCs w:val="20"/>
                      </w:rPr>
                    </w:pPr>
                    <w:r w:rsidRPr="001D6716">
                      <w:rPr>
                        <w:rFonts w:ascii="Aptos" w:hAnsi="Aptos" w:eastAsia="Aptos" w:cs="Aptos"/>
                        <w:noProof/>
                        <w:color w:val="000000"/>
                        <w:sz w:val="20"/>
                        <w:szCs w:val="20"/>
                      </w:rPr>
                      <w:t>SMU - Internal Data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9650C" w14:textId="77777777" w:rsidR="00FB1E4A" w:rsidRDefault="00FB1E4A" w:rsidP="001D6716">
      <w:pPr>
        <w:spacing w:after="0" w:line="240" w:lineRule="auto"/>
      </w:pPr>
      <w:r>
        <w:separator/>
      </w:r>
    </w:p>
  </w:footnote>
  <w:footnote w:type="continuationSeparator" w:id="0">
    <w:p w14:paraId="148061F5" w14:textId="77777777" w:rsidR="00FB1E4A" w:rsidRDefault="00FB1E4A" w:rsidP="001D67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5E416" w14:textId="66FAD632" w:rsidR="005D4A0E" w:rsidRDefault="00FB1E4A">
    <w:pPr>
      <w:pStyle w:val="Header"/>
    </w:pPr>
    <w:r>
      <w:rPr>
        <w:noProof/>
      </w:rPr>
      <w:pict w14:anchorId="4C940E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980047" o:spid="_x0000_s2050" type="#_x0000_t136" style="position:absolute;margin-left:0;margin-top:0;width:593.85pt;height:65.95pt;rotation:315;z-index:-251654142;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31C36" w14:textId="6D0D3144" w:rsidR="005D4A0E" w:rsidRDefault="00FB1E4A">
    <w:pPr>
      <w:pStyle w:val="Header"/>
    </w:pPr>
    <w:r>
      <w:rPr>
        <w:noProof/>
      </w:rPr>
      <w:pict w14:anchorId="2A3277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980048" o:spid="_x0000_s2051" type="#_x0000_t136" style="position:absolute;margin-left:0;margin-top:0;width:593.85pt;height:65.95pt;rotation:315;z-index:-251652094;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862A8" w14:textId="59BB7A4B" w:rsidR="005D4A0E" w:rsidRDefault="00FB1E4A">
    <w:pPr>
      <w:pStyle w:val="Header"/>
    </w:pPr>
    <w:r>
      <w:rPr>
        <w:noProof/>
      </w:rPr>
      <w:pict w14:anchorId="1A701A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980046" o:spid="_x0000_s2049" type="#_x0000_t136" style="position:absolute;margin-left:0;margin-top:0;width:593.85pt;height:65.95pt;rotation:315;z-index:-25165619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intelligence2.xml><?xml version="1.0" encoding="utf-8"?>
<int2:intelligence xmlns:int2="http://schemas.microsoft.com/office/intelligence/2020/intelligence" xmlns:oel="http://schemas.microsoft.com/office/2019/extlst">
  <int2:observations>
    <int2:textHash int2:hashCode="5kKoOoiV69gYBq" int2:id="zIScRx5D">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4BF65C"/>
    <w:multiLevelType w:val="hybridMultilevel"/>
    <w:tmpl w:val="FFFFFFFF"/>
    <w:lvl w:ilvl="0" w:tplc="A4083074">
      <w:start w:val="1"/>
      <w:numFmt w:val="bullet"/>
      <w:lvlText w:val=""/>
      <w:lvlJc w:val="left"/>
      <w:pPr>
        <w:ind w:left="720" w:hanging="360"/>
      </w:pPr>
      <w:rPr>
        <w:rFonts w:ascii="Symbol" w:hAnsi="Symbol" w:hint="default"/>
      </w:rPr>
    </w:lvl>
    <w:lvl w:ilvl="1" w:tplc="1B2EFD92">
      <w:start w:val="1"/>
      <w:numFmt w:val="bullet"/>
      <w:lvlText w:val="o"/>
      <w:lvlJc w:val="left"/>
      <w:pPr>
        <w:ind w:left="1440" w:hanging="360"/>
      </w:pPr>
      <w:rPr>
        <w:rFonts w:ascii="Courier New" w:hAnsi="Courier New" w:hint="default"/>
      </w:rPr>
    </w:lvl>
    <w:lvl w:ilvl="2" w:tplc="84E8418C">
      <w:start w:val="1"/>
      <w:numFmt w:val="bullet"/>
      <w:lvlText w:val=""/>
      <w:lvlJc w:val="left"/>
      <w:pPr>
        <w:ind w:left="2160" w:hanging="360"/>
      </w:pPr>
      <w:rPr>
        <w:rFonts w:ascii="Wingdings" w:hAnsi="Wingdings" w:hint="default"/>
      </w:rPr>
    </w:lvl>
    <w:lvl w:ilvl="3" w:tplc="E52C550C">
      <w:start w:val="1"/>
      <w:numFmt w:val="bullet"/>
      <w:lvlText w:val=""/>
      <w:lvlJc w:val="left"/>
      <w:pPr>
        <w:ind w:left="2880" w:hanging="360"/>
      </w:pPr>
      <w:rPr>
        <w:rFonts w:ascii="Symbol" w:hAnsi="Symbol" w:hint="default"/>
      </w:rPr>
    </w:lvl>
    <w:lvl w:ilvl="4" w:tplc="132E2182">
      <w:start w:val="1"/>
      <w:numFmt w:val="bullet"/>
      <w:lvlText w:val="o"/>
      <w:lvlJc w:val="left"/>
      <w:pPr>
        <w:ind w:left="3600" w:hanging="360"/>
      </w:pPr>
      <w:rPr>
        <w:rFonts w:ascii="Courier New" w:hAnsi="Courier New" w:hint="default"/>
      </w:rPr>
    </w:lvl>
    <w:lvl w:ilvl="5" w:tplc="FC9A51DE">
      <w:start w:val="1"/>
      <w:numFmt w:val="bullet"/>
      <w:lvlText w:val=""/>
      <w:lvlJc w:val="left"/>
      <w:pPr>
        <w:ind w:left="4320" w:hanging="360"/>
      </w:pPr>
      <w:rPr>
        <w:rFonts w:ascii="Wingdings" w:hAnsi="Wingdings" w:hint="default"/>
      </w:rPr>
    </w:lvl>
    <w:lvl w:ilvl="6" w:tplc="01185B3A">
      <w:start w:val="1"/>
      <w:numFmt w:val="bullet"/>
      <w:lvlText w:val=""/>
      <w:lvlJc w:val="left"/>
      <w:pPr>
        <w:ind w:left="5040" w:hanging="360"/>
      </w:pPr>
      <w:rPr>
        <w:rFonts w:ascii="Symbol" w:hAnsi="Symbol" w:hint="default"/>
      </w:rPr>
    </w:lvl>
    <w:lvl w:ilvl="7" w:tplc="16365956">
      <w:start w:val="1"/>
      <w:numFmt w:val="bullet"/>
      <w:lvlText w:val="o"/>
      <w:lvlJc w:val="left"/>
      <w:pPr>
        <w:ind w:left="5760" w:hanging="360"/>
      </w:pPr>
      <w:rPr>
        <w:rFonts w:ascii="Courier New" w:hAnsi="Courier New" w:hint="default"/>
      </w:rPr>
    </w:lvl>
    <w:lvl w:ilvl="8" w:tplc="AB4C2D44">
      <w:start w:val="1"/>
      <w:numFmt w:val="bullet"/>
      <w:lvlText w:val=""/>
      <w:lvlJc w:val="left"/>
      <w:pPr>
        <w:ind w:left="6480" w:hanging="360"/>
      </w:pPr>
      <w:rPr>
        <w:rFonts w:ascii="Wingdings" w:hAnsi="Wingdings" w:hint="default"/>
      </w:rPr>
    </w:lvl>
  </w:abstractNum>
  <w:abstractNum w:abstractNumId="1" w15:restartNumberingAfterBreak="0">
    <w:nsid w:val="27711C19"/>
    <w:multiLevelType w:val="hybridMultilevel"/>
    <w:tmpl w:val="FFFFFFFF"/>
    <w:lvl w:ilvl="0" w:tplc="CF9E8A7A">
      <w:start w:val="1"/>
      <w:numFmt w:val="decimal"/>
      <w:lvlText w:val="%1."/>
      <w:lvlJc w:val="left"/>
      <w:pPr>
        <w:ind w:left="720" w:hanging="360"/>
      </w:pPr>
    </w:lvl>
    <w:lvl w:ilvl="1" w:tplc="DE06255A">
      <w:start w:val="1"/>
      <w:numFmt w:val="lowerLetter"/>
      <w:lvlText w:val="%2."/>
      <w:lvlJc w:val="left"/>
      <w:pPr>
        <w:ind w:left="1440" w:hanging="360"/>
      </w:pPr>
    </w:lvl>
    <w:lvl w:ilvl="2" w:tplc="7348FF22">
      <w:start w:val="1"/>
      <w:numFmt w:val="lowerRoman"/>
      <w:lvlText w:val="%3."/>
      <w:lvlJc w:val="right"/>
      <w:pPr>
        <w:ind w:left="2160" w:hanging="180"/>
      </w:pPr>
    </w:lvl>
    <w:lvl w:ilvl="3" w:tplc="7DCEA538">
      <w:start w:val="1"/>
      <w:numFmt w:val="decimal"/>
      <w:lvlText w:val="%4."/>
      <w:lvlJc w:val="left"/>
      <w:pPr>
        <w:ind w:left="2880" w:hanging="360"/>
      </w:pPr>
    </w:lvl>
    <w:lvl w:ilvl="4" w:tplc="C2F49208">
      <w:start w:val="1"/>
      <w:numFmt w:val="lowerLetter"/>
      <w:lvlText w:val="%5."/>
      <w:lvlJc w:val="left"/>
      <w:pPr>
        <w:ind w:left="3600" w:hanging="360"/>
      </w:pPr>
    </w:lvl>
    <w:lvl w:ilvl="5" w:tplc="D004C276">
      <w:start w:val="1"/>
      <w:numFmt w:val="lowerRoman"/>
      <w:lvlText w:val="%6."/>
      <w:lvlJc w:val="right"/>
      <w:pPr>
        <w:ind w:left="4320" w:hanging="180"/>
      </w:pPr>
    </w:lvl>
    <w:lvl w:ilvl="6" w:tplc="9B78B2A4">
      <w:start w:val="1"/>
      <w:numFmt w:val="decimal"/>
      <w:lvlText w:val="%7."/>
      <w:lvlJc w:val="left"/>
      <w:pPr>
        <w:ind w:left="5040" w:hanging="360"/>
      </w:pPr>
    </w:lvl>
    <w:lvl w:ilvl="7" w:tplc="E7400326">
      <w:start w:val="1"/>
      <w:numFmt w:val="lowerLetter"/>
      <w:lvlText w:val="%8."/>
      <w:lvlJc w:val="left"/>
      <w:pPr>
        <w:ind w:left="5760" w:hanging="360"/>
      </w:pPr>
    </w:lvl>
    <w:lvl w:ilvl="8" w:tplc="0AEA1C0A">
      <w:start w:val="1"/>
      <w:numFmt w:val="lowerRoman"/>
      <w:lvlText w:val="%9."/>
      <w:lvlJc w:val="right"/>
      <w:pPr>
        <w:ind w:left="6480" w:hanging="180"/>
      </w:pPr>
    </w:lvl>
  </w:abstractNum>
  <w:abstractNum w:abstractNumId="2" w15:restartNumberingAfterBreak="0">
    <w:nsid w:val="2B6FCBA7"/>
    <w:multiLevelType w:val="hybridMultilevel"/>
    <w:tmpl w:val="FFFFFFFF"/>
    <w:lvl w:ilvl="0" w:tplc="ACC223E8">
      <w:start w:val="1"/>
      <w:numFmt w:val="decimal"/>
      <w:lvlText w:val="%1."/>
      <w:lvlJc w:val="left"/>
      <w:pPr>
        <w:ind w:left="720" w:hanging="360"/>
      </w:pPr>
    </w:lvl>
    <w:lvl w:ilvl="1" w:tplc="E3DC18AC">
      <w:start w:val="1"/>
      <w:numFmt w:val="lowerLetter"/>
      <w:lvlText w:val="%2."/>
      <w:lvlJc w:val="left"/>
      <w:pPr>
        <w:ind w:left="1440" w:hanging="360"/>
      </w:pPr>
    </w:lvl>
    <w:lvl w:ilvl="2" w:tplc="BCAEDA20">
      <w:start w:val="1"/>
      <w:numFmt w:val="lowerRoman"/>
      <w:lvlText w:val="%3."/>
      <w:lvlJc w:val="right"/>
      <w:pPr>
        <w:ind w:left="2160" w:hanging="180"/>
      </w:pPr>
    </w:lvl>
    <w:lvl w:ilvl="3" w:tplc="A1B62EAE">
      <w:start w:val="1"/>
      <w:numFmt w:val="decimal"/>
      <w:lvlText w:val="%4."/>
      <w:lvlJc w:val="left"/>
      <w:pPr>
        <w:ind w:left="2880" w:hanging="360"/>
      </w:pPr>
    </w:lvl>
    <w:lvl w:ilvl="4" w:tplc="5394AFC8">
      <w:start w:val="1"/>
      <w:numFmt w:val="lowerLetter"/>
      <w:lvlText w:val="%5."/>
      <w:lvlJc w:val="left"/>
      <w:pPr>
        <w:ind w:left="3600" w:hanging="360"/>
      </w:pPr>
    </w:lvl>
    <w:lvl w:ilvl="5" w:tplc="3A58CA54">
      <w:start w:val="1"/>
      <w:numFmt w:val="lowerRoman"/>
      <w:lvlText w:val="%6."/>
      <w:lvlJc w:val="right"/>
      <w:pPr>
        <w:ind w:left="4320" w:hanging="180"/>
      </w:pPr>
    </w:lvl>
    <w:lvl w:ilvl="6" w:tplc="86D052B8">
      <w:start w:val="1"/>
      <w:numFmt w:val="decimal"/>
      <w:lvlText w:val="%7."/>
      <w:lvlJc w:val="left"/>
      <w:pPr>
        <w:ind w:left="5040" w:hanging="360"/>
      </w:pPr>
    </w:lvl>
    <w:lvl w:ilvl="7" w:tplc="F0661254">
      <w:start w:val="1"/>
      <w:numFmt w:val="lowerLetter"/>
      <w:lvlText w:val="%8."/>
      <w:lvlJc w:val="left"/>
      <w:pPr>
        <w:ind w:left="5760" w:hanging="360"/>
      </w:pPr>
    </w:lvl>
    <w:lvl w:ilvl="8" w:tplc="888C089C">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EC4468D"/>
    <w:rsid w:val="001733A0"/>
    <w:rsid w:val="001D6716"/>
    <w:rsid w:val="002C7F4A"/>
    <w:rsid w:val="003437C4"/>
    <w:rsid w:val="004267E5"/>
    <w:rsid w:val="005D4A0E"/>
    <w:rsid w:val="006268CD"/>
    <w:rsid w:val="00821BDD"/>
    <w:rsid w:val="00950F5D"/>
    <w:rsid w:val="00AD4E1F"/>
    <w:rsid w:val="00CC472F"/>
    <w:rsid w:val="00CE4152"/>
    <w:rsid w:val="00F55730"/>
    <w:rsid w:val="00FB1E4A"/>
    <w:rsid w:val="02876B97"/>
    <w:rsid w:val="0541FAE8"/>
    <w:rsid w:val="06C37D35"/>
    <w:rsid w:val="08F21FDE"/>
    <w:rsid w:val="0B2DD2E8"/>
    <w:rsid w:val="0BE23CBE"/>
    <w:rsid w:val="0CC5621B"/>
    <w:rsid w:val="0DD1379F"/>
    <w:rsid w:val="10FBDABE"/>
    <w:rsid w:val="13350094"/>
    <w:rsid w:val="13A8588D"/>
    <w:rsid w:val="13C2B856"/>
    <w:rsid w:val="14214A8B"/>
    <w:rsid w:val="14C75D04"/>
    <w:rsid w:val="168A64B5"/>
    <w:rsid w:val="168FD587"/>
    <w:rsid w:val="18174298"/>
    <w:rsid w:val="18D1A280"/>
    <w:rsid w:val="18FC7D09"/>
    <w:rsid w:val="190A703B"/>
    <w:rsid w:val="1A449754"/>
    <w:rsid w:val="1B2E6B43"/>
    <w:rsid w:val="1B7CBF30"/>
    <w:rsid w:val="2045D302"/>
    <w:rsid w:val="209EBC6A"/>
    <w:rsid w:val="21EBDB51"/>
    <w:rsid w:val="22C2CAD2"/>
    <w:rsid w:val="23812B05"/>
    <w:rsid w:val="24699817"/>
    <w:rsid w:val="24C6104F"/>
    <w:rsid w:val="269C4781"/>
    <w:rsid w:val="288EC37A"/>
    <w:rsid w:val="2ABB52B5"/>
    <w:rsid w:val="2C392EFB"/>
    <w:rsid w:val="2C5BC1C0"/>
    <w:rsid w:val="2F0C2CF2"/>
    <w:rsid w:val="2F28E964"/>
    <w:rsid w:val="377DD0A8"/>
    <w:rsid w:val="378B9D2F"/>
    <w:rsid w:val="3872C57A"/>
    <w:rsid w:val="38C1BBD7"/>
    <w:rsid w:val="3901A6F6"/>
    <w:rsid w:val="39995DF3"/>
    <w:rsid w:val="3BAD2327"/>
    <w:rsid w:val="3D6F3456"/>
    <w:rsid w:val="3EC4468D"/>
    <w:rsid w:val="3ED98683"/>
    <w:rsid w:val="3F4ECF49"/>
    <w:rsid w:val="4066C1E9"/>
    <w:rsid w:val="41C98819"/>
    <w:rsid w:val="433CE17C"/>
    <w:rsid w:val="45D866D5"/>
    <w:rsid w:val="46E530EF"/>
    <w:rsid w:val="4797BC8C"/>
    <w:rsid w:val="487A2810"/>
    <w:rsid w:val="49214A4D"/>
    <w:rsid w:val="49B087C2"/>
    <w:rsid w:val="4AE15941"/>
    <w:rsid w:val="4D04137F"/>
    <w:rsid w:val="4D73AA48"/>
    <w:rsid w:val="4F3CFEBE"/>
    <w:rsid w:val="52DB1C1E"/>
    <w:rsid w:val="53A60A08"/>
    <w:rsid w:val="584F7E11"/>
    <w:rsid w:val="59618D4F"/>
    <w:rsid w:val="5B2B6AF0"/>
    <w:rsid w:val="5B3E91D5"/>
    <w:rsid w:val="5CE8EA42"/>
    <w:rsid w:val="5ED7032A"/>
    <w:rsid w:val="5FB61DD0"/>
    <w:rsid w:val="61981FE6"/>
    <w:rsid w:val="63CD8567"/>
    <w:rsid w:val="641518EE"/>
    <w:rsid w:val="65408959"/>
    <w:rsid w:val="662015ED"/>
    <w:rsid w:val="69E00157"/>
    <w:rsid w:val="6B833B98"/>
    <w:rsid w:val="6BD5A4AC"/>
    <w:rsid w:val="6E09D2A7"/>
    <w:rsid w:val="6ED4692F"/>
    <w:rsid w:val="73B6D58A"/>
    <w:rsid w:val="73F3476F"/>
    <w:rsid w:val="75F7A62A"/>
    <w:rsid w:val="7605693A"/>
    <w:rsid w:val="76C7818A"/>
    <w:rsid w:val="7757F48A"/>
    <w:rsid w:val="794D6C4A"/>
    <w:rsid w:val="7B30C9E7"/>
    <w:rsid w:val="7C394897"/>
    <w:rsid w:val="7CC703B8"/>
    <w:rsid w:val="7DC78173"/>
    <w:rsid w:val="7E138675"/>
    <w:rsid w:val="7E4CD398"/>
    <w:rsid w:val="7EB2036C"/>
    <w:rsid w:val="7F541C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C4468D"/>
  <w15:chartTrackingRefBased/>
  <w15:docId w15:val="{A04ACA15-8452-4438-A645-F7C8321A2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uiPriority w:val="9"/>
    <w:unhideWhenUsed/>
    <w:qFormat/>
    <w:rsid w:val="2045D302"/>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D67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6716"/>
  </w:style>
  <w:style w:type="character" w:styleId="Hyperlink">
    <w:name w:val="Hyperlink"/>
    <w:basedOn w:val="DefaultParagraphFont"/>
    <w:uiPriority w:val="99"/>
    <w:unhideWhenUsed/>
    <w:rsid w:val="2045D302"/>
    <w:rPr>
      <w:color w:val="467886"/>
      <w:u w:val="single"/>
    </w:rPr>
  </w:style>
  <w:style w:type="paragraph" w:styleId="ListParagraph">
    <w:name w:val="List Paragraph"/>
    <w:basedOn w:val="Normal"/>
    <w:uiPriority w:val="34"/>
    <w:qFormat/>
    <w:rsid w:val="2045D302"/>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CE41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1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S0140-6736(20)31288-5" TargetMode="External"/><Relationship Id="rId18" Type="http://schemas.openxmlformats.org/officeDocument/2006/relationships/hyperlink" Target="https://doi.org/10.1007/s10654-010-9491-z" TargetMode="External"/><Relationship Id="rId26" Type="http://schemas.openxmlformats.org/officeDocument/2006/relationships/hyperlink" Target="https://doi.org/10.4251/wjgo.v14.i5.959" TargetMode="External"/><Relationship Id="rId39" Type="http://schemas.openxmlformats.org/officeDocument/2006/relationships/hyperlink" Target="https://doi.org/10.3389/fcimb.2024.1339750" TargetMode="External"/><Relationship Id="rId21" Type="http://schemas.openxmlformats.org/officeDocument/2006/relationships/hyperlink" Target="https://doi.org/10.3390/ijms24032895" TargetMode="External"/><Relationship Id="rId34" Type="http://schemas.openxmlformats.org/officeDocument/2006/relationships/hyperlink" Target="https://doi.org/10.1056/NEJMoa1708423" TargetMode="External"/><Relationship Id="rId42" Type="http://schemas.openxmlformats.org/officeDocument/2006/relationships/hyperlink" Target="https://doi.org/10.1080/19490976.2024.2314201"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136/bmj.j4008" TargetMode="External"/><Relationship Id="rId29" Type="http://schemas.openxmlformats.org/officeDocument/2006/relationships/hyperlink" Target="tel:1339750" TargetMode="External"/><Relationship Id="rId11" Type="http://schemas.openxmlformats.org/officeDocument/2006/relationships/image" Target="media/image5.jpeg"/><Relationship Id="rId24" Type="http://schemas.openxmlformats.org/officeDocument/2006/relationships/hyperlink" Target="https://doi.org/10.1053/j.gastro.2017.04.022" TargetMode="External"/><Relationship Id="rId32" Type="http://schemas.openxmlformats.org/officeDocument/2006/relationships/hyperlink" Target="https://doi.org/10.3389/fcimb.2023.1221433" TargetMode="External"/><Relationship Id="rId37" Type="http://schemas.openxmlformats.org/officeDocument/2006/relationships/hyperlink" Target="https://doi.org/10.1371/journal.pone.0124725" TargetMode="External"/><Relationship Id="rId40" Type="http://schemas.openxmlformats.org/officeDocument/2006/relationships/hyperlink" Target="https://doi.org/10.4251/wjgo.v13.i5.959" TargetMode="External"/><Relationship Id="rId45" Type="http://schemas.openxmlformats.org/officeDocument/2006/relationships/hyperlink" Target="https://doi.org/10.3390/microorganisms12010222"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19" Type="http://schemas.openxmlformats.org/officeDocument/2006/relationships/hyperlink" Target="http://publications.iarc.fr/123" TargetMode="External"/><Relationship Id="rId31" Type="http://schemas.openxmlformats.org/officeDocument/2006/relationships/hyperlink" Target="tel:1221433" TargetMode="External"/><Relationship Id="rId44" Type="http://schemas.openxmlformats.org/officeDocument/2006/relationships/hyperlink" Target="https://doi.org/10.1053/j.gastro.2024.01.010" TargetMode="External"/><Relationship Id="rId52" Type="http://schemas.openxmlformats.org/officeDocument/2006/relationships/footer" Target="footer3.xml"/><Relationship Id="rId60"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1016/j.annonc.2022.05.009" TargetMode="External"/><Relationship Id="rId22" Type="http://schemas.openxmlformats.org/officeDocument/2006/relationships/hyperlink" Target="https://doi.org/10.1016/j.canlet.2022.215764" TargetMode="External"/><Relationship Id="rId27" Type="http://schemas.openxmlformats.org/officeDocument/2006/relationships/hyperlink" Target="https://doi.org/10.1016/j.csbj.2023.11.053" TargetMode="External"/><Relationship Id="rId30" Type="http://schemas.openxmlformats.org/officeDocument/2006/relationships/hyperlink" Target="https://doi.org/10.3389/fcimb.2024.1339750" TargetMode="External"/><Relationship Id="rId35" Type="http://schemas.openxmlformats.org/officeDocument/2006/relationships/hyperlink" Target="https://doi.org/10.1056/NEJMoa1909666" TargetMode="External"/><Relationship Id="rId43" Type="http://schemas.openxmlformats.org/officeDocument/2006/relationships/hyperlink" Target="https://doi.org/10.1016/j.canlet.2022.215764" TargetMode="External"/><Relationship Id="rId48" Type="http://schemas.openxmlformats.org/officeDocument/2006/relationships/header" Target="header2.xml"/><Relationship Id="rId8" Type="http://schemas.openxmlformats.org/officeDocument/2006/relationships/image" Target="media/image2.jpeg"/><Relationship Id="rId51" Type="http://schemas.openxmlformats.org/officeDocument/2006/relationships/header" Target="header3.xml"/><Relationship Id="rId3" Type="http://schemas.openxmlformats.org/officeDocument/2006/relationships/settings" Target="settings.xml"/><Relationship Id="rId12" Type="http://schemas.openxmlformats.org/officeDocument/2006/relationships/hyperlink" Target="https://doi.org/10.3322/caac.21660" TargetMode="External"/><Relationship Id="rId17" Type="http://schemas.openxmlformats.org/officeDocument/2006/relationships/hyperlink" Target="https://doi.org/10.1136/bmj.l4898" TargetMode="External"/><Relationship Id="rId25" Type="http://schemas.openxmlformats.org/officeDocument/2006/relationships/hyperlink" Target="https://doi.org/10.1136/gutjnl-2019-319696" TargetMode="External"/><Relationship Id="rId33" Type="http://schemas.openxmlformats.org/officeDocument/2006/relationships/hyperlink" Target="https://doi.org/10.1056/NEJMoa072703" TargetMode="External"/><Relationship Id="rId38" Type="http://schemas.openxmlformats.org/officeDocument/2006/relationships/hyperlink" Target="tel:1339750" TargetMode="External"/><Relationship Id="rId46" Type="http://schemas.openxmlformats.org/officeDocument/2006/relationships/hyperlink" Target="https://doi.org/10.5230/jgc.2023.23.e4" TargetMode="External"/><Relationship Id="rId20" Type="http://schemas.openxmlformats.org/officeDocument/2006/relationships/hyperlink" Target="https://doi.org/10.1136/gutjnl-2021-324310" TargetMode="External"/><Relationship Id="rId41" Type="http://schemas.openxmlformats.org/officeDocument/2006/relationships/hyperlink" Target="https://doi.org/10.3389/fimmu.2023.120987"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136/bmj.n71" TargetMode="External"/><Relationship Id="rId23" Type="http://schemas.openxmlformats.org/officeDocument/2006/relationships/hyperlink" Target="https://doi.org/10.1080/19490976.2024.2314201" TargetMode="External"/><Relationship Id="rId28" Type="http://schemas.openxmlformats.org/officeDocument/2006/relationships/hyperlink" Target="https://doi.org/10.3390/antibiotics12040765" TargetMode="External"/><Relationship Id="rId36" Type="http://schemas.openxmlformats.org/officeDocument/2006/relationships/hyperlink" Target="https://doi.org/10.1002/14651858.CD005583.pub3"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7154</Words>
  <Characters>40781</Characters>
  <Application>Microsoft Office Word</Application>
  <DocSecurity>0</DocSecurity>
  <Lines>339</Lines>
  <Paragraphs>95</Paragraphs>
  <ScaleCrop>false</ScaleCrop>
  <Company/>
  <LinksUpToDate>false</LinksUpToDate>
  <CharactersWithSpaces>47840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Aayam Sapkota</dc:creator>
  <cp:keywords/>
  <dc:description/>
  <cp:lastModifiedBy>SDI 1067</cp:lastModifiedBy>
  <cp:revision>6</cp:revision>
  <dcterms:created xsi:type="dcterms:W3CDTF">2025-09-13T05:07:00Z</dcterms:created>
  <dcterms:modified xsi:type="dcterms:W3CDTF">2025-09-13T08:11:00Z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334cf71a,1fb6e99d,2ac31791</vt:lpwstr>
  </property>
  <property fmtid="{D5CDD505-2E9C-101B-9397-08002B2CF9AE}" pid="3" name="ClassificationContentMarkingFooterFontProps">
    <vt:lpwstr>#000000,10,Aptos</vt:lpwstr>
  </property>
  <property fmtid="{D5CDD505-2E9C-101B-9397-08002B2CF9AE}" pid="4" name="ClassificationContentMarkingFooterText">
    <vt:lpwstr>SMU - Internal Data</vt:lpwstr>
  </property>
  <property fmtid="{D5CDD505-2E9C-101B-9397-08002B2CF9AE}" pid="5" name="MSIP_Label_2e3f9de4-6963-4a1d-973a-f04fd9ba7d6b_Enabled">
    <vt:lpwstr>true</vt:lpwstr>
  </property>
  <property fmtid="{D5CDD505-2E9C-101B-9397-08002B2CF9AE}" pid="6" name="MSIP_Label_2e3f9de4-6963-4a1d-973a-f04fd9ba7d6b_SetDate">
    <vt:lpwstr>2025-09-10T04:04:16Z</vt:lpwstr>
  </property>
  <property fmtid="{D5CDD505-2E9C-101B-9397-08002B2CF9AE}" pid="7" name="MSIP_Label_2e3f9de4-6963-4a1d-973a-f04fd9ba7d6b_Method">
    <vt:lpwstr>Standard</vt:lpwstr>
  </property>
  <property fmtid="{D5CDD505-2E9C-101B-9397-08002B2CF9AE}" pid="8" name="MSIP_Label_2e3f9de4-6963-4a1d-973a-f04fd9ba7d6b_Name">
    <vt:lpwstr>SMU - Internal Data</vt:lpwstr>
  </property>
  <property fmtid="{D5CDD505-2E9C-101B-9397-08002B2CF9AE}" pid="9" name="MSIP_Label_2e3f9de4-6963-4a1d-973a-f04fd9ba7d6b_SiteId">
    <vt:lpwstr>284028c3-fc2c-4fb4-8aaf-3c3174d2edbc</vt:lpwstr>
  </property>
  <property fmtid="{D5CDD505-2E9C-101B-9397-08002B2CF9AE}" pid="10" name="MSIP_Label_2e3f9de4-6963-4a1d-973a-f04fd9ba7d6b_ActionId">
    <vt:lpwstr>50e767c6-b8f5-4853-8907-6a9f4af3ed1a</vt:lpwstr>
  </property>
  <property fmtid="{D5CDD505-2E9C-101B-9397-08002B2CF9AE}" pid="11" name="MSIP_Label_2e3f9de4-6963-4a1d-973a-f04fd9ba7d6b_ContentBits">
    <vt:lpwstr>2</vt:lpwstr>
  </property>
  <property fmtid="{D5CDD505-2E9C-101B-9397-08002B2CF9AE}" pid="12" name="MSIP_Label_2e3f9de4-6963-4a1d-973a-f04fd9ba7d6b_Tag">
    <vt:lpwstr>10, 3, 0, 2</vt:lpwstr>
  </property>
</Properties>
</file>