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2C640" w14:textId="77777777" w:rsidR="00FF275E" w:rsidRDefault="00FF275E" w:rsidP="00FF275E">
      <w:pPr>
        <w:jc w:val="center"/>
        <w:rPr>
          <w:rFonts w:ascii="Times New Roman" w:hAnsi="Times New Roman" w:cs="Times New Roman"/>
          <w:b/>
          <w:sz w:val="24"/>
          <w:szCs w:val="24"/>
        </w:rPr>
      </w:pPr>
      <w:r>
        <w:rPr>
          <w:rFonts w:ascii="Times New Roman" w:hAnsi="Times New Roman" w:cs="Times New Roman"/>
          <w:b/>
          <w:sz w:val="24"/>
          <w:szCs w:val="24"/>
        </w:rPr>
        <w:t>A STUDY ON THE THERMOGRAVIETRIC AND DIFFERENTIAL THERMAL ANALYSIS OF A BIO BASED SILICA NANO COMPOSITE MATERIAL</w:t>
      </w:r>
    </w:p>
    <w:p w14:paraId="50350B40" w14:textId="77777777" w:rsidR="00B77196" w:rsidRDefault="00B77196" w:rsidP="001507BB">
      <w:pPr>
        <w:jc w:val="both"/>
        <w:rPr>
          <w:rFonts w:ascii="Arial" w:hAnsi="Arial" w:cs="Arial"/>
        </w:rPr>
      </w:pPr>
    </w:p>
    <w:p w14:paraId="72712CBE" w14:textId="4557B12E" w:rsidR="001507BB" w:rsidRPr="0023554D" w:rsidRDefault="001507BB" w:rsidP="001507BB">
      <w:pPr>
        <w:jc w:val="both"/>
        <w:rPr>
          <w:rFonts w:ascii="Arial" w:hAnsi="Arial" w:cs="Arial"/>
        </w:rPr>
      </w:pPr>
      <w:r w:rsidRPr="0023554D">
        <w:rPr>
          <w:rFonts w:ascii="Arial" w:hAnsi="Arial" w:cs="Arial"/>
        </w:rPr>
        <w:t>Abstract</w:t>
      </w:r>
    </w:p>
    <w:p w14:paraId="7ACE7333" w14:textId="77777777" w:rsidR="001507BB" w:rsidRPr="0023554D" w:rsidRDefault="001507BB" w:rsidP="001507BB">
      <w:pPr>
        <w:jc w:val="both"/>
        <w:rPr>
          <w:rFonts w:ascii="Arial" w:hAnsi="Arial" w:cs="Arial"/>
        </w:rPr>
      </w:pPr>
      <w:r w:rsidRPr="0023554D">
        <w:rPr>
          <w:rFonts w:ascii="Arial" w:hAnsi="Arial" w:cs="Arial"/>
        </w:rPr>
        <w:t xml:space="preserve">The thermal response of ethanol extract of </w:t>
      </w:r>
      <w:proofErr w:type="spellStart"/>
      <w:r w:rsidRPr="0023554D">
        <w:rPr>
          <w:rStyle w:val="Emphasis"/>
          <w:rFonts w:ascii="Arial" w:hAnsi="Arial" w:cs="Arial"/>
        </w:rPr>
        <w:t>Dacryodes</w:t>
      </w:r>
      <w:proofErr w:type="spellEnd"/>
      <w:r w:rsidRPr="0023554D">
        <w:rPr>
          <w:rStyle w:val="Emphasis"/>
          <w:rFonts w:ascii="Arial" w:hAnsi="Arial" w:cs="Arial"/>
        </w:rPr>
        <w:t xml:space="preserve"> edulis</w:t>
      </w:r>
      <w:r w:rsidRPr="0023554D">
        <w:rPr>
          <w:rFonts w:ascii="Arial" w:hAnsi="Arial" w:cs="Arial"/>
        </w:rPr>
        <w:t xml:space="preserve"> (DE), precipitated amorphous silica (PAS), and their hybrid (DE/PAS) was evaluated by thermogravimetric/differential thermal analysis (TGA/DTA) between 0–950 °C. Three major thermal events were observed: initial weight loss at ~30–200 °C (physically adsorbed water/volatiles), major decomposition at 300–500 °C (polymer chain degradation, silanol condensation, endothermic peaks), and residual stability beyond 500 °C. Residual mass values were ~15% (DE), ~12% (PAS), and ~10% (DE/PAS). Major weight loss occurred at 350–450 °C (DE), 370–480 °C (PAS), and 380–500 °C (DE/PAS), with peak decomposition temperatures at 400 °C, 420 °C, and 430 °C respectively. The weakest DTA peak intensity in DE/PAS indicated a more controlled degradation process and superior thermal stability. FTIR analysis revealed functional groups (aromatic ester, alkyl aryl ether, O–H, C=C, C=O, anhydride, N=C=S, C≡C, C–H), while TEM confirmed spherical nanoparticles (~20–50 nm) before and after hybridization. The enhanced stability of DE/PAS is attributed to strong covalent interactions between electron-rich groups in DE and Si–O–Si bonds in PAS, conferring improved mechanical strength and thermal resistance.</w:t>
      </w:r>
    </w:p>
    <w:p w14:paraId="5D26673C" w14:textId="77777777" w:rsidR="001507BB" w:rsidRPr="0023554D" w:rsidRDefault="001507BB" w:rsidP="001507BB">
      <w:pPr>
        <w:pStyle w:val="NormalWeb"/>
        <w:jc w:val="both"/>
        <w:rPr>
          <w:rFonts w:ascii="Arial" w:hAnsi="Arial" w:cs="Arial"/>
          <w:sz w:val="22"/>
          <w:szCs w:val="22"/>
        </w:rPr>
      </w:pPr>
      <w:r w:rsidRPr="0023554D">
        <w:rPr>
          <w:rStyle w:val="Strong"/>
          <w:rFonts w:ascii="Arial" w:hAnsi="Arial" w:cs="Arial"/>
          <w:sz w:val="22"/>
          <w:szCs w:val="22"/>
        </w:rPr>
        <w:t>Keywords:</w:t>
      </w:r>
      <w:r w:rsidRPr="0023554D">
        <w:rPr>
          <w:rFonts w:ascii="Arial" w:hAnsi="Arial" w:cs="Arial"/>
          <w:sz w:val="22"/>
          <w:szCs w:val="22"/>
        </w:rPr>
        <w:t xml:space="preserve"> organic/inorganic hybrids, nanocomposites, TGA/DTA, </w:t>
      </w:r>
      <w:proofErr w:type="spellStart"/>
      <w:r w:rsidRPr="0023554D">
        <w:rPr>
          <w:rStyle w:val="Emphasis"/>
          <w:rFonts w:ascii="Arial" w:hAnsi="Arial" w:cs="Arial"/>
          <w:sz w:val="22"/>
          <w:szCs w:val="22"/>
        </w:rPr>
        <w:t>Dacryodes</w:t>
      </w:r>
      <w:proofErr w:type="spellEnd"/>
      <w:r w:rsidRPr="0023554D">
        <w:rPr>
          <w:rStyle w:val="Emphasis"/>
          <w:rFonts w:ascii="Arial" w:hAnsi="Arial" w:cs="Arial"/>
          <w:sz w:val="22"/>
          <w:szCs w:val="22"/>
        </w:rPr>
        <w:t xml:space="preserve"> edulis</w:t>
      </w:r>
      <w:r w:rsidRPr="0023554D">
        <w:rPr>
          <w:rFonts w:ascii="Arial" w:hAnsi="Arial" w:cs="Arial"/>
          <w:sz w:val="22"/>
          <w:szCs w:val="22"/>
        </w:rPr>
        <w:t>, precipitated amorphous silica, thermal stability</w:t>
      </w:r>
    </w:p>
    <w:p w14:paraId="25533E71" w14:textId="77777777" w:rsidR="001507BB" w:rsidRPr="0023554D" w:rsidRDefault="001507BB" w:rsidP="001507BB">
      <w:pPr>
        <w:spacing w:before="100" w:beforeAutospacing="1" w:after="100" w:afterAutospacing="1" w:line="240" w:lineRule="auto"/>
        <w:jc w:val="both"/>
        <w:outlineLvl w:val="0"/>
        <w:rPr>
          <w:rFonts w:ascii="Arial" w:eastAsia="Times New Roman" w:hAnsi="Arial" w:cs="Arial"/>
          <w:b/>
          <w:bCs/>
          <w:kern w:val="36"/>
          <w:lang w:eastAsia="en-GB"/>
        </w:rPr>
      </w:pPr>
      <w:r w:rsidRPr="0023554D">
        <w:rPr>
          <w:rFonts w:ascii="Arial" w:eastAsia="Times New Roman" w:hAnsi="Arial" w:cs="Arial"/>
          <w:b/>
          <w:bCs/>
          <w:kern w:val="36"/>
          <w:lang w:eastAsia="en-GB"/>
        </w:rPr>
        <w:t>Introduction</w:t>
      </w:r>
    </w:p>
    <w:p w14:paraId="058F4022" w14:textId="77777777" w:rsidR="001507BB" w:rsidRPr="0023554D" w:rsidRDefault="001507BB" w:rsidP="001507BB">
      <w:pPr>
        <w:spacing w:before="100" w:beforeAutospacing="1" w:after="100" w:afterAutospacing="1" w:line="240" w:lineRule="auto"/>
        <w:jc w:val="both"/>
        <w:outlineLvl w:val="1"/>
        <w:rPr>
          <w:rFonts w:ascii="Arial" w:eastAsia="Times New Roman" w:hAnsi="Arial" w:cs="Arial"/>
          <w:bCs/>
          <w:lang w:eastAsia="en-GB"/>
        </w:rPr>
      </w:pPr>
      <w:r w:rsidRPr="0023554D">
        <w:rPr>
          <w:rFonts w:ascii="Arial" w:eastAsia="Times New Roman" w:hAnsi="Arial" w:cs="Arial"/>
          <w:bCs/>
          <w:lang w:eastAsia="en-GB"/>
        </w:rPr>
        <w:t>Background</w:t>
      </w:r>
    </w:p>
    <w:p w14:paraId="639C0BFA" w14:textId="77777777" w:rsidR="001507BB" w:rsidRPr="0023554D" w:rsidRDefault="001507BB" w:rsidP="001507BB">
      <w:pPr>
        <w:spacing w:before="100" w:beforeAutospacing="1" w:after="100" w:afterAutospacing="1" w:line="240" w:lineRule="auto"/>
        <w:jc w:val="both"/>
        <w:rPr>
          <w:rFonts w:ascii="Arial" w:eastAsia="Times New Roman" w:hAnsi="Arial" w:cs="Arial"/>
          <w:lang w:eastAsia="en-GB"/>
        </w:rPr>
      </w:pPr>
      <w:r w:rsidRPr="0023554D">
        <w:rPr>
          <w:rFonts w:ascii="Arial" w:eastAsia="Times New Roman" w:hAnsi="Arial" w:cs="Arial"/>
          <w:lang w:eastAsia="en-GB"/>
        </w:rPr>
        <w:t>Organic/inorganic nanocomposites are increasingly employed across diverse fields including optoelectronics, energy storage, catalysis, biomedical applications, sensors, coatings, and membranes. Their unique properties arise from the synergistic combination of organic and inorganic phases, resulting in enhanced performance, multifunctionality, and superior thermal and mechanical stability [1,2].</w:t>
      </w:r>
    </w:p>
    <w:p w14:paraId="7484556D" w14:textId="77777777" w:rsidR="001507BB" w:rsidRPr="0023554D" w:rsidRDefault="001507BB" w:rsidP="001507BB">
      <w:pPr>
        <w:spacing w:before="100" w:beforeAutospacing="1" w:after="100" w:afterAutospacing="1" w:line="240" w:lineRule="auto"/>
        <w:jc w:val="both"/>
        <w:rPr>
          <w:rFonts w:ascii="Arial" w:eastAsia="Times New Roman" w:hAnsi="Arial" w:cs="Arial"/>
          <w:lang w:eastAsia="en-GB"/>
        </w:rPr>
      </w:pPr>
      <w:r w:rsidRPr="0023554D">
        <w:rPr>
          <w:rFonts w:ascii="Arial" w:eastAsia="Times New Roman" w:hAnsi="Arial" w:cs="Arial"/>
          <w:lang w:eastAsia="en-GB"/>
        </w:rPr>
        <w:t>Precipitated amorphous silica (PAS) is a versatile inorganic material characterized by its high surface area, fine particle size, and hygroscopic nature. These attributes make PAS suitable as a filler, reinforcement agent, and additive in coatings, plastics, rubber, pharmaceu</w:t>
      </w:r>
      <w:r w:rsidR="00BD6A74" w:rsidRPr="0023554D">
        <w:rPr>
          <w:rFonts w:ascii="Arial" w:eastAsia="Times New Roman" w:hAnsi="Arial" w:cs="Arial"/>
          <w:lang w:eastAsia="en-GB"/>
        </w:rPr>
        <w:t>ticals, food, and beverages [3-4</w:t>
      </w:r>
      <w:r w:rsidRPr="0023554D">
        <w:rPr>
          <w:rFonts w:ascii="Arial" w:eastAsia="Times New Roman" w:hAnsi="Arial" w:cs="Arial"/>
          <w:lang w:eastAsia="en-GB"/>
        </w:rPr>
        <w:t>,</w:t>
      </w:r>
      <w:r w:rsidR="00BD6A74" w:rsidRPr="0023554D">
        <w:rPr>
          <w:rFonts w:ascii="Arial" w:eastAsia="Times New Roman" w:hAnsi="Arial" w:cs="Arial"/>
          <w:lang w:eastAsia="en-GB"/>
        </w:rPr>
        <w:t xml:space="preserve"> </w:t>
      </w:r>
      <w:r w:rsidRPr="0023554D">
        <w:rPr>
          <w:rFonts w:ascii="Arial" w:eastAsia="Times New Roman" w:hAnsi="Arial" w:cs="Arial"/>
          <w:lang w:eastAsia="en-GB"/>
        </w:rPr>
        <w:t>21].</w:t>
      </w:r>
    </w:p>
    <w:p w14:paraId="13CE2E1C" w14:textId="77777777" w:rsidR="001507BB" w:rsidRPr="0023554D" w:rsidRDefault="001507BB" w:rsidP="001507BB">
      <w:pPr>
        <w:spacing w:before="100" w:beforeAutospacing="1" w:after="100" w:afterAutospacing="1" w:line="240" w:lineRule="auto"/>
        <w:jc w:val="both"/>
        <w:rPr>
          <w:rFonts w:ascii="Arial" w:eastAsia="Times New Roman" w:hAnsi="Arial" w:cs="Arial"/>
          <w:lang w:eastAsia="en-GB"/>
        </w:rPr>
      </w:pPr>
      <w:r w:rsidRPr="0023554D">
        <w:rPr>
          <w:rFonts w:ascii="Arial" w:eastAsia="Times New Roman" w:hAnsi="Arial" w:cs="Arial"/>
          <w:lang w:eastAsia="en-GB"/>
        </w:rPr>
        <w:t xml:space="preserve">Conversely, plant-derived materials such as extracts from leaves and bark have shown promise as eco-friendly corrosion inhibitors. Their protective effect is attributed to the presence of electron-rich functional groups (e.g., O–H, C=O, C=C) that form covalent bonds with metallic substrates, creating protective layers against corrosion [5,6]. However, the use of plant materials alone is limited by poor thermal stability, mechanical weakness, and void formation due to </w:t>
      </w:r>
      <w:proofErr w:type="gramStart"/>
      <w:r w:rsidRPr="0023554D">
        <w:rPr>
          <w:rFonts w:ascii="Arial" w:eastAsia="Times New Roman" w:hAnsi="Arial" w:cs="Arial"/>
          <w:lang w:eastAsia="en-GB"/>
        </w:rPr>
        <w:t>swelling.</w:t>
      </w:r>
      <w:r w:rsidR="00BD6A74" w:rsidRPr="0023554D">
        <w:rPr>
          <w:rFonts w:ascii="Arial" w:eastAsia="Times New Roman" w:hAnsi="Arial" w:cs="Arial"/>
          <w:lang w:eastAsia="en-GB"/>
        </w:rPr>
        <w:t>[</w:t>
      </w:r>
      <w:proofErr w:type="gramEnd"/>
      <w:r w:rsidR="00BD6A74" w:rsidRPr="0023554D">
        <w:rPr>
          <w:rFonts w:ascii="Arial" w:eastAsia="Times New Roman" w:hAnsi="Arial" w:cs="Arial"/>
          <w:lang w:eastAsia="en-GB"/>
        </w:rPr>
        <w:t>6-</w:t>
      </w:r>
      <w:r w:rsidR="00395EE8" w:rsidRPr="0023554D">
        <w:rPr>
          <w:rFonts w:ascii="Arial" w:eastAsia="Times New Roman" w:hAnsi="Arial" w:cs="Arial"/>
          <w:lang w:eastAsia="en-GB"/>
        </w:rPr>
        <w:t>7]</w:t>
      </w:r>
    </w:p>
    <w:p w14:paraId="67CBB738" w14:textId="77777777" w:rsidR="001507BB" w:rsidRPr="0023554D" w:rsidRDefault="001507BB" w:rsidP="001507BB">
      <w:pPr>
        <w:spacing w:before="100" w:beforeAutospacing="1" w:after="100" w:afterAutospacing="1" w:line="240" w:lineRule="auto"/>
        <w:jc w:val="both"/>
        <w:rPr>
          <w:rFonts w:ascii="Arial" w:eastAsia="Times New Roman" w:hAnsi="Arial" w:cs="Arial"/>
          <w:lang w:eastAsia="en-GB"/>
        </w:rPr>
      </w:pPr>
      <w:proofErr w:type="spellStart"/>
      <w:r w:rsidRPr="0023554D">
        <w:rPr>
          <w:rFonts w:ascii="Arial" w:eastAsia="Times New Roman" w:hAnsi="Arial" w:cs="Arial"/>
          <w:i/>
          <w:iCs/>
          <w:lang w:eastAsia="en-GB"/>
        </w:rPr>
        <w:t>Dacryodes</w:t>
      </w:r>
      <w:proofErr w:type="spellEnd"/>
      <w:r w:rsidRPr="0023554D">
        <w:rPr>
          <w:rFonts w:ascii="Arial" w:eastAsia="Times New Roman" w:hAnsi="Arial" w:cs="Arial"/>
          <w:i/>
          <w:iCs/>
          <w:lang w:eastAsia="en-GB"/>
        </w:rPr>
        <w:t xml:space="preserve"> edulis</w:t>
      </w:r>
      <w:r w:rsidRPr="0023554D">
        <w:rPr>
          <w:rFonts w:ascii="Arial" w:eastAsia="Times New Roman" w:hAnsi="Arial" w:cs="Arial"/>
          <w:lang w:eastAsia="en-GB"/>
        </w:rPr>
        <w:t xml:space="preserve"> (African/bush pear), an indigenous fruit tree from West and Central Africa, is rich in phytochemicals such as flavonoids, alkaloids, and tannins. FTIR studies of its ethanol extract confirm the presence of aromatic esters, alkyl aryl ethers, O–H, C=C, C=O, </w:t>
      </w:r>
      <w:r w:rsidRPr="0023554D">
        <w:rPr>
          <w:rFonts w:ascii="Arial" w:eastAsia="Times New Roman" w:hAnsi="Arial" w:cs="Arial"/>
          <w:lang w:eastAsia="en-GB"/>
        </w:rPr>
        <w:lastRenderedPageBreak/>
        <w:t>anhydrides</w:t>
      </w:r>
      <w:r w:rsidR="00BD6A74" w:rsidRPr="0023554D">
        <w:rPr>
          <w:rFonts w:ascii="Arial" w:eastAsia="Times New Roman" w:hAnsi="Arial" w:cs="Arial"/>
          <w:lang w:eastAsia="en-GB"/>
        </w:rPr>
        <w:t>, N=C=S, C≡C, and C–H groups [7-</w:t>
      </w:r>
      <w:r w:rsidRPr="0023554D">
        <w:rPr>
          <w:rFonts w:ascii="Arial" w:eastAsia="Times New Roman" w:hAnsi="Arial" w:cs="Arial"/>
          <w:lang w:eastAsia="en-GB"/>
        </w:rPr>
        <w:t>8]. These functional groups can form strong covalent interactions with Si–O–Si networks in PAS, potentially improving the stability and mechan</w:t>
      </w:r>
      <w:r w:rsidR="007B15EC" w:rsidRPr="0023554D">
        <w:rPr>
          <w:rFonts w:ascii="Arial" w:eastAsia="Times New Roman" w:hAnsi="Arial" w:cs="Arial"/>
          <w:lang w:eastAsia="en-GB"/>
        </w:rPr>
        <w:t>ical performance of composites [34-</w:t>
      </w:r>
      <w:proofErr w:type="gramStart"/>
      <w:r w:rsidR="007B15EC" w:rsidRPr="0023554D">
        <w:rPr>
          <w:rFonts w:ascii="Arial" w:eastAsia="Times New Roman" w:hAnsi="Arial" w:cs="Arial"/>
          <w:lang w:eastAsia="en-GB"/>
        </w:rPr>
        <w:t>35,  37</w:t>
      </w:r>
      <w:proofErr w:type="gramEnd"/>
      <w:r w:rsidR="007B15EC" w:rsidRPr="0023554D">
        <w:rPr>
          <w:rFonts w:ascii="Arial" w:eastAsia="Times New Roman" w:hAnsi="Arial" w:cs="Arial"/>
          <w:lang w:eastAsia="en-GB"/>
        </w:rPr>
        <w:t>]</w:t>
      </w:r>
    </w:p>
    <w:p w14:paraId="0D40D163" w14:textId="77777777" w:rsidR="001507BB" w:rsidRPr="0023554D" w:rsidRDefault="001507BB" w:rsidP="001507BB">
      <w:pPr>
        <w:spacing w:before="100" w:beforeAutospacing="1" w:after="100" w:afterAutospacing="1" w:line="240" w:lineRule="auto"/>
        <w:jc w:val="both"/>
        <w:rPr>
          <w:rFonts w:ascii="Arial" w:eastAsia="Times New Roman" w:hAnsi="Arial" w:cs="Arial"/>
          <w:lang w:eastAsia="en-GB"/>
        </w:rPr>
      </w:pPr>
      <w:r w:rsidRPr="0023554D">
        <w:rPr>
          <w:rFonts w:ascii="Arial" w:eastAsia="Times New Roman" w:hAnsi="Arial" w:cs="Arial"/>
          <w:lang w:eastAsia="en-GB"/>
        </w:rPr>
        <w:t xml:space="preserve">The synthesis of organic/inorganic hybrids enables the integration of plant extracts with PAS, addressing limitations of organic systems while enhancing coating performance. Such hybrids are especially important as environmentally friendly alternatives to toxic anticorrosive additives such as hexavalent chromium, which pose significant health hazards. Beyond environmental safety, these hybrids improve adhesion, mechanical strength, and anti-sagging </w:t>
      </w:r>
      <w:r w:rsidR="00625E9B" w:rsidRPr="0023554D">
        <w:rPr>
          <w:rFonts w:ascii="Arial" w:eastAsia="Times New Roman" w:hAnsi="Arial" w:cs="Arial"/>
          <w:lang w:eastAsia="en-GB"/>
        </w:rPr>
        <w:t>behaviour in coatings [9–12</w:t>
      </w:r>
      <w:r w:rsidRPr="0023554D">
        <w:rPr>
          <w:rFonts w:ascii="Arial" w:eastAsia="Times New Roman" w:hAnsi="Arial" w:cs="Arial"/>
          <w:lang w:eastAsia="en-GB"/>
        </w:rPr>
        <w:t>,20].</w:t>
      </w:r>
    </w:p>
    <w:p w14:paraId="0AAD87FA" w14:textId="77777777" w:rsidR="001507BB" w:rsidRPr="0023554D" w:rsidRDefault="001507BB" w:rsidP="001507BB">
      <w:pPr>
        <w:spacing w:before="100" w:beforeAutospacing="1" w:after="100" w:afterAutospacing="1" w:line="240" w:lineRule="auto"/>
        <w:jc w:val="both"/>
        <w:rPr>
          <w:rFonts w:ascii="Arial" w:eastAsia="Times New Roman" w:hAnsi="Arial" w:cs="Arial"/>
          <w:lang w:eastAsia="en-GB"/>
        </w:rPr>
      </w:pPr>
      <w:r w:rsidRPr="0023554D">
        <w:rPr>
          <w:rFonts w:ascii="Arial" w:eastAsia="Times New Roman" w:hAnsi="Arial" w:cs="Arial"/>
          <w:lang w:eastAsia="en-GB"/>
        </w:rPr>
        <w:t>Thermal characterization techniques such as thermogravimetric analysis (TGA) and differential thermal analysis (DTA) are vital for assessing the stability of organic/inorganic composites. TGA measures weight loss as a function of temperature, while DTA identifies endothermic and exothermic transitions, providing insights into phase changes, degradation, and chemical reactions [13–17</w:t>
      </w:r>
      <w:r w:rsidR="007B15EC" w:rsidRPr="0023554D">
        <w:rPr>
          <w:rFonts w:ascii="Arial" w:eastAsia="Times New Roman" w:hAnsi="Arial" w:cs="Arial"/>
          <w:lang w:eastAsia="en-GB"/>
        </w:rPr>
        <w:t>, 38</w:t>
      </w:r>
      <w:r w:rsidRPr="0023554D">
        <w:rPr>
          <w:rFonts w:ascii="Arial" w:eastAsia="Times New Roman" w:hAnsi="Arial" w:cs="Arial"/>
          <w:lang w:eastAsia="en-GB"/>
        </w:rPr>
        <w:t>]. These tools are crucial for optimizing processing conditions (e.g., curing, drying) and predicting coating performance and durability</w:t>
      </w:r>
    </w:p>
    <w:p w14:paraId="3E464076" w14:textId="77777777" w:rsidR="001507BB" w:rsidRPr="0023554D" w:rsidRDefault="001507BB" w:rsidP="001507BB">
      <w:pPr>
        <w:spacing w:before="100" w:beforeAutospacing="1" w:after="100" w:afterAutospacing="1" w:line="240" w:lineRule="auto"/>
        <w:jc w:val="both"/>
        <w:rPr>
          <w:rFonts w:ascii="Arial" w:eastAsia="Times New Roman" w:hAnsi="Arial" w:cs="Arial"/>
          <w:lang w:eastAsia="en-GB"/>
        </w:rPr>
      </w:pPr>
      <w:r w:rsidRPr="0023554D">
        <w:rPr>
          <w:rFonts w:ascii="Arial" w:eastAsia="Times New Roman" w:hAnsi="Arial" w:cs="Arial"/>
          <w:lang w:eastAsia="en-GB"/>
        </w:rPr>
        <w:t xml:space="preserve">Previous research demonstrates the stabilizing effect of nanoparticles in hybrid matrices. Nicolás </w:t>
      </w:r>
      <w:r w:rsidRPr="0023554D">
        <w:rPr>
          <w:rFonts w:ascii="Arial" w:eastAsia="Times New Roman" w:hAnsi="Arial" w:cs="Arial"/>
          <w:i/>
          <w:lang w:eastAsia="en-GB"/>
        </w:rPr>
        <w:t>et al.</w:t>
      </w:r>
      <w:r w:rsidRPr="0023554D">
        <w:rPr>
          <w:rFonts w:ascii="Arial" w:eastAsia="Times New Roman" w:hAnsi="Arial" w:cs="Arial"/>
          <w:lang w:eastAsia="en-GB"/>
        </w:rPr>
        <w:t xml:space="preserve"> (2024) reported enhanced stability in </w:t>
      </w:r>
      <w:proofErr w:type="spellStart"/>
      <w:r w:rsidRPr="0023554D">
        <w:rPr>
          <w:rFonts w:ascii="Arial" w:eastAsia="Times New Roman" w:hAnsi="Arial" w:cs="Arial"/>
          <w:lang w:eastAsia="en-GB"/>
        </w:rPr>
        <w:t>nano</w:t>
      </w:r>
      <w:proofErr w:type="spellEnd"/>
      <w:r w:rsidRPr="0023554D">
        <w:rPr>
          <w:rFonts w:ascii="Arial" w:eastAsia="Times New Roman" w:hAnsi="Arial" w:cs="Arial"/>
          <w:lang w:eastAsia="en-GB"/>
        </w:rPr>
        <w:t>-bioactive glass (</w:t>
      </w:r>
      <w:proofErr w:type="spellStart"/>
      <w:r w:rsidRPr="0023554D">
        <w:rPr>
          <w:rFonts w:ascii="Arial" w:eastAsia="Times New Roman" w:hAnsi="Arial" w:cs="Arial"/>
          <w:lang w:eastAsia="en-GB"/>
        </w:rPr>
        <w:t>nBG</w:t>
      </w:r>
      <w:proofErr w:type="spellEnd"/>
      <w:r w:rsidRPr="0023554D">
        <w:rPr>
          <w:rFonts w:ascii="Arial" w:eastAsia="Times New Roman" w:hAnsi="Arial" w:cs="Arial"/>
          <w:lang w:eastAsia="en-GB"/>
        </w:rPr>
        <w:t xml:space="preserve">) loaded hybrids compared to TEOS-based systems, with degradation peaks shifting to higher temperatures [18]. Chen </w:t>
      </w:r>
      <w:r w:rsidRPr="0023554D">
        <w:rPr>
          <w:rFonts w:ascii="Arial" w:eastAsia="Times New Roman" w:hAnsi="Arial" w:cs="Arial"/>
          <w:i/>
          <w:lang w:eastAsia="en-GB"/>
        </w:rPr>
        <w:t>et al.</w:t>
      </w:r>
      <w:r w:rsidRPr="0023554D">
        <w:rPr>
          <w:rFonts w:ascii="Arial" w:eastAsia="Times New Roman" w:hAnsi="Arial" w:cs="Arial"/>
          <w:lang w:eastAsia="en-GB"/>
        </w:rPr>
        <w:t xml:space="preserve"> (2019) observed a 20% increase in thermal stability for </w:t>
      </w:r>
      <w:proofErr w:type="spellStart"/>
      <w:r w:rsidRPr="0023554D">
        <w:rPr>
          <w:rFonts w:ascii="Arial" w:eastAsia="Times New Roman" w:hAnsi="Arial" w:cs="Arial"/>
          <w:lang w:eastAsia="en-GB"/>
        </w:rPr>
        <w:t>hydrolyzed</w:t>
      </w:r>
      <w:proofErr w:type="spellEnd"/>
      <w:r w:rsidRPr="0023554D">
        <w:rPr>
          <w:rFonts w:ascii="Arial" w:eastAsia="Times New Roman" w:hAnsi="Arial" w:cs="Arial"/>
          <w:lang w:eastAsia="en-GB"/>
        </w:rPr>
        <w:t xml:space="preserve"> </w:t>
      </w:r>
      <w:proofErr w:type="spellStart"/>
      <w:r w:rsidRPr="0023554D">
        <w:rPr>
          <w:rFonts w:ascii="Arial" w:eastAsia="Times New Roman" w:hAnsi="Arial" w:cs="Arial"/>
          <w:lang w:eastAsia="en-GB"/>
        </w:rPr>
        <w:t>tetraethoxy</w:t>
      </w:r>
      <w:proofErr w:type="spellEnd"/>
      <w:r w:rsidRPr="0023554D">
        <w:rPr>
          <w:rFonts w:ascii="Arial" w:eastAsia="Times New Roman" w:hAnsi="Arial" w:cs="Arial"/>
          <w:lang w:eastAsia="en-GB"/>
        </w:rPr>
        <w:t xml:space="preserve"> silane (HTEOS) hybrid coatings compared to pure SE coatings [19]. Similarly, Sharif et al. (2012) showed improved stability in polyurethane–</w:t>
      </w:r>
      <w:proofErr w:type="spellStart"/>
      <w:r w:rsidRPr="0023554D">
        <w:rPr>
          <w:rFonts w:ascii="Arial" w:eastAsia="Times New Roman" w:hAnsi="Arial" w:cs="Arial"/>
          <w:lang w:eastAsia="en-GB"/>
        </w:rPr>
        <w:t>fattyamide</w:t>
      </w:r>
      <w:proofErr w:type="spellEnd"/>
      <w:r w:rsidRPr="0023554D">
        <w:rPr>
          <w:rFonts w:ascii="Arial" w:eastAsia="Times New Roman" w:hAnsi="Arial" w:cs="Arial"/>
          <w:lang w:eastAsia="en-GB"/>
        </w:rPr>
        <w:t>/TEOS hybrids, with higher O–Si–O content directly correlated with greater resistance to thermal degradation</w:t>
      </w:r>
    </w:p>
    <w:p w14:paraId="2823C303" w14:textId="77777777" w:rsidR="001507BB" w:rsidRPr="0023554D" w:rsidRDefault="001507BB" w:rsidP="001507BB">
      <w:pPr>
        <w:spacing w:before="100" w:beforeAutospacing="1" w:after="100" w:afterAutospacing="1" w:line="240" w:lineRule="auto"/>
        <w:jc w:val="both"/>
        <w:rPr>
          <w:rFonts w:ascii="Arial" w:eastAsia="Times New Roman" w:hAnsi="Arial" w:cs="Arial"/>
          <w:lang w:eastAsia="en-GB"/>
        </w:rPr>
      </w:pPr>
      <w:r w:rsidRPr="0023554D">
        <w:rPr>
          <w:rFonts w:ascii="Arial" w:eastAsia="Times New Roman" w:hAnsi="Arial" w:cs="Arial"/>
          <w:lang w:eastAsia="en-GB"/>
        </w:rPr>
        <w:t xml:space="preserve">This study investigates the thermal behaviour of ethanol extract of </w:t>
      </w:r>
      <w:r w:rsidRPr="0023554D">
        <w:rPr>
          <w:rFonts w:ascii="Arial" w:eastAsia="Times New Roman" w:hAnsi="Arial" w:cs="Arial"/>
          <w:i/>
          <w:iCs/>
          <w:lang w:eastAsia="en-GB"/>
        </w:rPr>
        <w:t>D. edulis</w:t>
      </w:r>
      <w:r w:rsidRPr="0023554D">
        <w:rPr>
          <w:rFonts w:ascii="Arial" w:eastAsia="Times New Roman" w:hAnsi="Arial" w:cs="Arial"/>
          <w:lang w:eastAsia="en-GB"/>
        </w:rPr>
        <w:t xml:space="preserve"> (DE), PAS, and their hybrid (DE/PAS) using TGA/DTA in nitrogen atmosphere. FTIR was employed to identify functional groups, while TEM and SEM were used to confirm particle size (20–50 nm) and morphology before and after hybridization. The analysis highlights the enhanced thermal stability of the hybrid material, attributed to covalent bonding between the electron-rich organic groups of DE </w:t>
      </w:r>
      <w:r w:rsidR="00AD2020" w:rsidRPr="0023554D">
        <w:rPr>
          <w:rFonts w:ascii="Arial" w:eastAsia="Times New Roman" w:hAnsi="Arial" w:cs="Arial"/>
          <w:lang w:eastAsia="en-GB"/>
        </w:rPr>
        <w:t>and the Si–O–Si network of PAS. It also</w:t>
      </w:r>
      <w:r w:rsidRPr="0023554D">
        <w:rPr>
          <w:rFonts w:ascii="Arial" w:eastAsia="Times New Roman" w:hAnsi="Arial" w:cs="Arial"/>
          <w:lang w:eastAsia="en-GB"/>
        </w:rPr>
        <w:t xml:space="preserve"> demonstrates the potential of DE/PAS hybrids as sustainable, thermally stable alternatives in coating technology, combining renewable bio-sources with inorganic reinforcement to achieve superior performance.</w:t>
      </w:r>
    </w:p>
    <w:p w14:paraId="7EFD2340" w14:textId="77777777" w:rsidR="001507BB" w:rsidRPr="0023554D" w:rsidRDefault="001507BB" w:rsidP="001507BB">
      <w:pPr>
        <w:pStyle w:val="Heading2"/>
        <w:jc w:val="both"/>
        <w:rPr>
          <w:rFonts w:ascii="Arial" w:hAnsi="Arial" w:cs="Arial"/>
          <w:sz w:val="22"/>
          <w:szCs w:val="22"/>
        </w:rPr>
      </w:pPr>
      <w:r w:rsidRPr="0023554D">
        <w:rPr>
          <w:rStyle w:val="Strong"/>
          <w:rFonts w:ascii="Arial" w:hAnsi="Arial" w:cs="Arial"/>
          <w:b/>
          <w:bCs/>
          <w:sz w:val="22"/>
          <w:szCs w:val="22"/>
        </w:rPr>
        <w:t>Materials and Methods</w:t>
      </w:r>
    </w:p>
    <w:p w14:paraId="503E544C" w14:textId="77777777" w:rsidR="001507BB" w:rsidRPr="0023554D" w:rsidRDefault="001507BB" w:rsidP="001507BB">
      <w:pPr>
        <w:pStyle w:val="Heading3"/>
        <w:jc w:val="both"/>
        <w:rPr>
          <w:rFonts w:ascii="Arial" w:hAnsi="Arial" w:cs="Arial"/>
          <w:sz w:val="22"/>
          <w:szCs w:val="22"/>
        </w:rPr>
      </w:pPr>
      <w:r w:rsidRPr="0023554D">
        <w:rPr>
          <w:rStyle w:val="Strong"/>
          <w:rFonts w:ascii="Arial" w:hAnsi="Arial" w:cs="Arial"/>
          <w:bCs/>
          <w:sz w:val="22"/>
          <w:szCs w:val="22"/>
        </w:rPr>
        <w:t>Preparation of Plant Extract</w:t>
      </w:r>
    </w:p>
    <w:p w14:paraId="0234BFCE" w14:textId="77777777" w:rsidR="001507BB" w:rsidRPr="0023554D" w:rsidRDefault="001507BB" w:rsidP="001507BB">
      <w:pPr>
        <w:pStyle w:val="NormalWeb"/>
        <w:jc w:val="both"/>
        <w:rPr>
          <w:rFonts w:ascii="Arial" w:hAnsi="Arial" w:cs="Arial"/>
          <w:sz w:val="22"/>
          <w:szCs w:val="22"/>
        </w:rPr>
      </w:pPr>
      <w:r w:rsidRPr="0023554D">
        <w:rPr>
          <w:rFonts w:ascii="Arial" w:hAnsi="Arial" w:cs="Arial"/>
          <w:sz w:val="22"/>
          <w:szCs w:val="22"/>
        </w:rPr>
        <w:t xml:space="preserve">Fresh leaves of </w:t>
      </w:r>
      <w:proofErr w:type="spellStart"/>
      <w:r w:rsidRPr="0023554D">
        <w:rPr>
          <w:rStyle w:val="Emphasis"/>
          <w:rFonts w:ascii="Arial" w:hAnsi="Arial" w:cs="Arial"/>
          <w:sz w:val="22"/>
          <w:szCs w:val="22"/>
        </w:rPr>
        <w:t>Dacryodes</w:t>
      </w:r>
      <w:proofErr w:type="spellEnd"/>
      <w:r w:rsidRPr="0023554D">
        <w:rPr>
          <w:rStyle w:val="Emphasis"/>
          <w:rFonts w:ascii="Arial" w:hAnsi="Arial" w:cs="Arial"/>
          <w:sz w:val="22"/>
          <w:szCs w:val="22"/>
        </w:rPr>
        <w:t xml:space="preserve"> edulis</w:t>
      </w:r>
      <w:r w:rsidRPr="0023554D">
        <w:rPr>
          <w:rFonts w:ascii="Arial" w:hAnsi="Arial" w:cs="Arial"/>
          <w:sz w:val="22"/>
          <w:szCs w:val="22"/>
        </w:rPr>
        <w:t xml:space="preserve"> were collected from </w:t>
      </w:r>
      <w:proofErr w:type="spellStart"/>
      <w:r w:rsidRPr="0023554D">
        <w:rPr>
          <w:rFonts w:ascii="Arial" w:hAnsi="Arial" w:cs="Arial"/>
          <w:sz w:val="22"/>
          <w:szCs w:val="22"/>
        </w:rPr>
        <w:t>Ubomiri</w:t>
      </w:r>
      <w:proofErr w:type="spellEnd"/>
      <w:r w:rsidRPr="0023554D">
        <w:rPr>
          <w:rFonts w:ascii="Arial" w:hAnsi="Arial" w:cs="Arial"/>
          <w:sz w:val="22"/>
          <w:szCs w:val="22"/>
        </w:rPr>
        <w:t xml:space="preserve">, </w:t>
      </w:r>
      <w:proofErr w:type="spellStart"/>
      <w:r w:rsidRPr="0023554D">
        <w:rPr>
          <w:rFonts w:ascii="Arial" w:hAnsi="Arial" w:cs="Arial"/>
          <w:sz w:val="22"/>
          <w:szCs w:val="22"/>
        </w:rPr>
        <w:t>Mbaitoli</w:t>
      </w:r>
      <w:proofErr w:type="spellEnd"/>
      <w:r w:rsidRPr="0023554D">
        <w:rPr>
          <w:rFonts w:ascii="Arial" w:hAnsi="Arial" w:cs="Arial"/>
          <w:sz w:val="22"/>
          <w:szCs w:val="22"/>
        </w:rPr>
        <w:t xml:space="preserve"> Local Government Area, Imo State, Nigeria (Latitude 5.6500° N, Longitude 7.0333° E). The leaves were thoroughly washed with distilled water, air-dried at room temperature, and ground into fine powder. Approximately 100 g of the powdered sample was soaked in 1000 mL of 99% ethanol in an airtight container and allowed to stand for 48 h. The mixture was then filtered, and the solvent was removed under reduced pressure using a rotary evaporator, yielding the concentrated e</w:t>
      </w:r>
      <w:r w:rsidR="00B76581" w:rsidRPr="0023554D">
        <w:rPr>
          <w:rFonts w:ascii="Arial" w:hAnsi="Arial" w:cs="Arial"/>
          <w:sz w:val="22"/>
          <w:szCs w:val="22"/>
        </w:rPr>
        <w:t>thanolic extract [23-27</w:t>
      </w:r>
      <w:r w:rsidRPr="0023554D">
        <w:rPr>
          <w:rFonts w:ascii="Arial" w:hAnsi="Arial" w:cs="Arial"/>
          <w:sz w:val="22"/>
          <w:szCs w:val="22"/>
        </w:rPr>
        <w:t>].</w:t>
      </w:r>
    </w:p>
    <w:p w14:paraId="3CAEED4B" w14:textId="77777777" w:rsidR="001507BB" w:rsidRPr="0023554D" w:rsidRDefault="001507BB" w:rsidP="001507BB">
      <w:pPr>
        <w:pStyle w:val="Heading3"/>
        <w:jc w:val="both"/>
        <w:rPr>
          <w:rFonts w:ascii="Arial" w:hAnsi="Arial" w:cs="Arial"/>
          <w:sz w:val="22"/>
          <w:szCs w:val="22"/>
        </w:rPr>
      </w:pPr>
      <w:r w:rsidRPr="0023554D">
        <w:rPr>
          <w:rStyle w:val="Strong"/>
          <w:rFonts w:ascii="Arial" w:hAnsi="Arial" w:cs="Arial"/>
          <w:b/>
          <w:bCs/>
          <w:sz w:val="22"/>
          <w:szCs w:val="22"/>
        </w:rPr>
        <w:t>Synthesis of Precipitated Amorphous Silica (PAS)</w:t>
      </w:r>
    </w:p>
    <w:p w14:paraId="1DD23D94" w14:textId="77777777" w:rsidR="001507BB" w:rsidRPr="0023554D" w:rsidRDefault="001507BB" w:rsidP="001507BB">
      <w:pPr>
        <w:pStyle w:val="NormalWeb"/>
        <w:jc w:val="both"/>
        <w:rPr>
          <w:rFonts w:ascii="Arial" w:hAnsi="Arial" w:cs="Arial"/>
          <w:sz w:val="22"/>
          <w:szCs w:val="22"/>
        </w:rPr>
      </w:pPr>
      <w:r w:rsidRPr="0023554D">
        <w:rPr>
          <w:rFonts w:ascii="Arial" w:hAnsi="Arial" w:cs="Arial"/>
          <w:sz w:val="22"/>
          <w:szCs w:val="22"/>
        </w:rPr>
        <w:t>PAS was synthesized via acid neutralization of sodium silicate solution. Briefly, 250 g of analytical grade sodium silicate (</w:t>
      </w:r>
      <w:proofErr w:type="spellStart"/>
      <w:r w:rsidRPr="0023554D">
        <w:rPr>
          <w:rFonts w:ascii="Arial" w:hAnsi="Arial" w:cs="Arial"/>
          <w:sz w:val="22"/>
          <w:szCs w:val="22"/>
        </w:rPr>
        <w:t>Na</w:t>
      </w:r>
      <w:r w:rsidRPr="0023554D">
        <w:rPr>
          <w:rFonts w:ascii="Cambria Math" w:hAnsi="Cambria Math" w:cs="Cambria Math"/>
          <w:sz w:val="22"/>
          <w:szCs w:val="22"/>
        </w:rPr>
        <w:t>₂</w:t>
      </w:r>
      <w:r w:rsidRPr="0023554D">
        <w:rPr>
          <w:rFonts w:ascii="Arial" w:hAnsi="Arial" w:cs="Arial"/>
          <w:sz w:val="22"/>
          <w:szCs w:val="22"/>
        </w:rPr>
        <w:t>SiO</w:t>
      </w:r>
      <w:proofErr w:type="spellEnd"/>
      <w:r w:rsidRPr="0023554D">
        <w:rPr>
          <w:rFonts w:ascii="Cambria Math" w:hAnsi="Cambria Math" w:cs="Cambria Math"/>
          <w:sz w:val="22"/>
          <w:szCs w:val="22"/>
        </w:rPr>
        <w:t>₃</w:t>
      </w:r>
      <w:r w:rsidRPr="0023554D">
        <w:rPr>
          <w:rFonts w:ascii="Arial" w:hAnsi="Arial" w:cs="Arial"/>
          <w:sz w:val="22"/>
          <w:szCs w:val="22"/>
        </w:rPr>
        <w:t xml:space="preserve">) was dissolved in 750 mL of distilled water to obtain a 25% solution, followed by moderate heating until a homogeneous solution was </w:t>
      </w:r>
      <w:r w:rsidRPr="0023554D">
        <w:rPr>
          <w:rFonts w:ascii="Arial" w:hAnsi="Arial" w:cs="Arial"/>
          <w:sz w:val="22"/>
          <w:szCs w:val="22"/>
        </w:rPr>
        <w:lastRenderedPageBreak/>
        <w:t xml:space="preserve">achieved. A dilute solution of </w:t>
      </w:r>
      <w:proofErr w:type="spellStart"/>
      <w:r w:rsidRPr="0023554D">
        <w:rPr>
          <w:rFonts w:ascii="Arial" w:hAnsi="Arial" w:cs="Arial"/>
          <w:sz w:val="22"/>
          <w:szCs w:val="22"/>
        </w:rPr>
        <w:t>tetraoxosulphate</w:t>
      </w:r>
      <w:proofErr w:type="spellEnd"/>
      <w:r w:rsidRPr="0023554D">
        <w:rPr>
          <w:rFonts w:ascii="Arial" w:hAnsi="Arial" w:cs="Arial"/>
          <w:sz w:val="22"/>
          <w:szCs w:val="22"/>
        </w:rPr>
        <w:t xml:space="preserve"> (VI) acid (H</w:t>
      </w:r>
      <w:r w:rsidRPr="0023554D">
        <w:rPr>
          <w:rFonts w:ascii="Cambria Math" w:hAnsi="Cambria Math" w:cs="Cambria Math"/>
          <w:sz w:val="22"/>
          <w:szCs w:val="22"/>
        </w:rPr>
        <w:t>₂</w:t>
      </w:r>
      <w:r w:rsidRPr="0023554D">
        <w:rPr>
          <w:rFonts w:ascii="Arial" w:hAnsi="Arial" w:cs="Arial"/>
          <w:sz w:val="22"/>
          <w:szCs w:val="22"/>
        </w:rPr>
        <w:t>SO</w:t>
      </w:r>
      <w:r w:rsidRPr="0023554D">
        <w:rPr>
          <w:rFonts w:ascii="Cambria Math" w:hAnsi="Cambria Math" w:cs="Cambria Math"/>
          <w:sz w:val="22"/>
          <w:szCs w:val="22"/>
        </w:rPr>
        <w:t>₄</w:t>
      </w:r>
      <w:r w:rsidRPr="0023554D">
        <w:rPr>
          <w:rFonts w:ascii="Arial" w:hAnsi="Arial" w:cs="Arial"/>
          <w:sz w:val="22"/>
          <w:szCs w:val="22"/>
        </w:rPr>
        <w:t>; 1:10 with water) was prepared separately. The acid was added gradually to the sodium silicate solution containing 0.1 g of polyvinylpyrrolidone (PVP) while stirring with a high-energy disperser. The rate of acid addition was controlled by temperature: faster addition at 40–60 °C and slower addition at 60–80 °C.</w:t>
      </w:r>
    </w:p>
    <w:p w14:paraId="25910D64" w14:textId="77777777" w:rsidR="001507BB" w:rsidRPr="0023554D" w:rsidRDefault="001507BB" w:rsidP="001507BB">
      <w:pPr>
        <w:pStyle w:val="NormalWeb"/>
        <w:jc w:val="both"/>
        <w:rPr>
          <w:rFonts w:ascii="Arial" w:hAnsi="Arial" w:cs="Arial"/>
          <w:sz w:val="22"/>
          <w:szCs w:val="22"/>
        </w:rPr>
      </w:pPr>
      <w:r w:rsidRPr="0023554D">
        <w:rPr>
          <w:rFonts w:ascii="Arial" w:hAnsi="Arial" w:cs="Arial"/>
          <w:sz w:val="22"/>
          <w:szCs w:val="22"/>
        </w:rPr>
        <w:t xml:space="preserve">The pH was monitored throughout, decreasing from ~11 to 7.5 as precipitation occurred. The reaction mixture was maintained at ~80 °C with vigorous stirring to prevent coagulation. The precipitate was aged for 1 h, cooled to room temperature, and separated by vacuum filtration. The silica cake was washed repeatedly with distilled water until the filtrate pH matched that of distilled water (6.5). The recovered material was oven-dried at 40 °C and ground to obtain </w:t>
      </w:r>
      <w:proofErr w:type="spellStart"/>
      <w:r w:rsidRPr="0023554D">
        <w:rPr>
          <w:rFonts w:ascii="Arial" w:hAnsi="Arial" w:cs="Arial"/>
          <w:sz w:val="22"/>
          <w:szCs w:val="22"/>
        </w:rPr>
        <w:t>nano</w:t>
      </w:r>
      <w:proofErr w:type="spellEnd"/>
      <w:r w:rsidRPr="0023554D">
        <w:rPr>
          <w:rFonts w:ascii="Arial" w:hAnsi="Arial" w:cs="Arial"/>
          <w:sz w:val="22"/>
          <w:szCs w:val="22"/>
        </w:rPr>
        <w:t xml:space="preserve">-sized PAS </w:t>
      </w:r>
      <w:proofErr w:type="gramStart"/>
      <w:r w:rsidRPr="0023554D">
        <w:rPr>
          <w:rFonts w:ascii="Arial" w:hAnsi="Arial" w:cs="Arial"/>
          <w:sz w:val="22"/>
          <w:szCs w:val="22"/>
        </w:rPr>
        <w:t>powder.</w:t>
      </w:r>
      <w:r w:rsidR="00AD2020" w:rsidRPr="0023554D">
        <w:rPr>
          <w:rFonts w:ascii="Arial" w:hAnsi="Arial" w:cs="Arial"/>
          <w:sz w:val="22"/>
          <w:szCs w:val="22"/>
        </w:rPr>
        <w:t>[</w:t>
      </w:r>
      <w:proofErr w:type="gramEnd"/>
      <w:r w:rsidR="00AD2020" w:rsidRPr="0023554D">
        <w:rPr>
          <w:rFonts w:ascii="Arial" w:hAnsi="Arial" w:cs="Arial"/>
          <w:sz w:val="22"/>
          <w:szCs w:val="22"/>
        </w:rPr>
        <w:t>3, 22]</w:t>
      </w:r>
    </w:p>
    <w:p w14:paraId="48BB78C3" w14:textId="77777777" w:rsidR="001507BB" w:rsidRPr="0023554D" w:rsidRDefault="001507BB" w:rsidP="001507BB">
      <w:pPr>
        <w:pStyle w:val="Heading3"/>
        <w:jc w:val="both"/>
        <w:rPr>
          <w:rFonts w:ascii="Arial" w:hAnsi="Arial" w:cs="Arial"/>
          <w:sz w:val="22"/>
          <w:szCs w:val="22"/>
        </w:rPr>
      </w:pPr>
      <w:r w:rsidRPr="0023554D">
        <w:rPr>
          <w:rStyle w:val="Strong"/>
          <w:rFonts w:ascii="Arial" w:hAnsi="Arial" w:cs="Arial"/>
          <w:b/>
          <w:bCs/>
          <w:sz w:val="22"/>
          <w:szCs w:val="22"/>
        </w:rPr>
        <w:t>Hybridization of Organic and Inorganic Components</w:t>
      </w:r>
    </w:p>
    <w:p w14:paraId="5B14BCF6" w14:textId="39BD0049" w:rsidR="001507BB" w:rsidRDefault="001507BB" w:rsidP="001507BB">
      <w:pPr>
        <w:pStyle w:val="NormalWeb"/>
        <w:jc w:val="both"/>
        <w:rPr>
          <w:rFonts w:ascii="Arial" w:hAnsi="Arial" w:cs="Arial"/>
          <w:sz w:val="22"/>
          <w:szCs w:val="22"/>
        </w:rPr>
      </w:pPr>
      <w:r w:rsidRPr="0023554D">
        <w:rPr>
          <w:rFonts w:ascii="Arial" w:hAnsi="Arial" w:cs="Arial"/>
          <w:sz w:val="22"/>
          <w:szCs w:val="22"/>
        </w:rPr>
        <w:t xml:space="preserve">The hybrid material was prepared by incorporating the ethanolic extract of </w:t>
      </w:r>
      <w:r w:rsidRPr="0023554D">
        <w:rPr>
          <w:rStyle w:val="Emphasis"/>
          <w:rFonts w:ascii="Arial" w:hAnsi="Arial" w:cs="Arial"/>
          <w:sz w:val="22"/>
          <w:szCs w:val="22"/>
        </w:rPr>
        <w:t>D. edulis</w:t>
      </w:r>
      <w:r w:rsidRPr="0023554D">
        <w:rPr>
          <w:rFonts w:ascii="Arial" w:hAnsi="Arial" w:cs="Arial"/>
          <w:sz w:val="22"/>
          <w:szCs w:val="22"/>
        </w:rPr>
        <w:t xml:space="preserve"> onto PAS via ultrasonication, followed by thorough mixing to ensure uniform dispersion. The resulting bio-based organic/inorganic hybrid was stored in airtight containers for subsequent </w:t>
      </w:r>
      <w:proofErr w:type="gramStart"/>
      <w:r w:rsidRPr="0023554D">
        <w:rPr>
          <w:rFonts w:ascii="Arial" w:hAnsi="Arial" w:cs="Arial"/>
          <w:sz w:val="22"/>
          <w:szCs w:val="22"/>
        </w:rPr>
        <w:t>analyses.</w:t>
      </w:r>
      <w:r w:rsidR="00B76581" w:rsidRPr="0023554D">
        <w:rPr>
          <w:rFonts w:ascii="Arial" w:hAnsi="Arial" w:cs="Arial"/>
          <w:sz w:val="22"/>
          <w:szCs w:val="22"/>
        </w:rPr>
        <w:t>[</w:t>
      </w:r>
      <w:proofErr w:type="gramEnd"/>
      <w:r w:rsidR="00B76581" w:rsidRPr="0023554D">
        <w:rPr>
          <w:rFonts w:ascii="Arial" w:hAnsi="Arial" w:cs="Arial"/>
          <w:sz w:val="22"/>
          <w:szCs w:val="22"/>
        </w:rPr>
        <w:t>9]</w:t>
      </w:r>
    </w:p>
    <w:p w14:paraId="22C0D5E6" w14:textId="127EF36F" w:rsidR="002002B6" w:rsidRPr="002002B6" w:rsidRDefault="002002B6" w:rsidP="001507BB">
      <w:pPr>
        <w:pStyle w:val="NormalWeb"/>
        <w:jc w:val="both"/>
        <w:rPr>
          <w:rFonts w:ascii="Arial" w:hAnsi="Arial" w:cs="Arial"/>
          <w:b/>
          <w:sz w:val="28"/>
          <w:szCs w:val="22"/>
        </w:rPr>
      </w:pPr>
      <w:r w:rsidRPr="002002B6">
        <w:rPr>
          <w:rFonts w:ascii="Arial" w:hAnsi="Arial" w:cs="Arial"/>
          <w:b/>
          <w:sz w:val="28"/>
          <w:szCs w:val="22"/>
        </w:rPr>
        <w:t>Results and discussion</w:t>
      </w:r>
    </w:p>
    <w:p w14:paraId="45A20754" w14:textId="77777777" w:rsidR="001507BB" w:rsidRPr="0023554D" w:rsidRDefault="004C5FD5" w:rsidP="001507BB">
      <w:pPr>
        <w:spacing w:before="100" w:beforeAutospacing="1" w:after="100" w:afterAutospacing="1" w:line="240" w:lineRule="auto"/>
        <w:jc w:val="both"/>
        <w:outlineLvl w:val="2"/>
        <w:rPr>
          <w:rFonts w:ascii="Arial" w:eastAsia="Times New Roman" w:hAnsi="Arial" w:cs="Arial"/>
          <w:b/>
          <w:bCs/>
          <w:lang w:eastAsia="en-GB"/>
        </w:rPr>
      </w:pPr>
      <w:r w:rsidRPr="0023554D">
        <w:rPr>
          <w:rFonts w:ascii="Arial" w:eastAsia="Times New Roman" w:hAnsi="Arial" w:cs="Arial"/>
          <w:b/>
          <w:bCs/>
          <w:lang w:eastAsia="en-GB"/>
        </w:rPr>
        <w:t>FTIR Examination</w:t>
      </w:r>
      <w:r w:rsidR="00B76581" w:rsidRPr="0023554D">
        <w:rPr>
          <w:rFonts w:ascii="Arial" w:eastAsia="Times New Roman" w:hAnsi="Arial" w:cs="Arial"/>
          <w:b/>
          <w:bCs/>
          <w:lang w:eastAsia="en-GB"/>
        </w:rPr>
        <w:t xml:space="preserve"> [28-31]</w:t>
      </w:r>
    </w:p>
    <w:p w14:paraId="73FFF2CF" w14:textId="77777777" w:rsidR="001507BB" w:rsidRPr="0023554D" w:rsidRDefault="001507BB" w:rsidP="001507BB">
      <w:pPr>
        <w:spacing w:before="100" w:beforeAutospacing="1" w:after="100" w:afterAutospacing="1" w:line="240" w:lineRule="auto"/>
        <w:jc w:val="both"/>
        <w:rPr>
          <w:rFonts w:ascii="Arial" w:eastAsia="Times New Roman" w:hAnsi="Arial" w:cs="Arial"/>
          <w:lang w:eastAsia="en-GB"/>
        </w:rPr>
      </w:pPr>
      <w:r w:rsidRPr="0023554D">
        <w:rPr>
          <w:rFonts w:ascii="Arial" w:eastAsia="Times New Roman" w:hAnsi="Arial" w:cs="Arial"/>
          <w:lang w:eastAsia="en-GB"/>
        </w:rPr>
        <w:t xml:space="preserve">The FTIR spectrum of the ethanol extract of </w:t>
      </w:r>
      <w:proofErr w:type="spellStart"/>
      <w:r w:rsidRPr="0023554D">
        <w:rPr>
          <w:rFonts w:ascii="Arial" w:eastAsia="Times New Roman" w:hAnsi="Arial" w:cs="Arial"/>
          <w:i/>
          <w:iCs/>
          <w:lang w:eastAsia="en-GB"/>
        </w:rPr>
        <w:t>Dacryodes</w:t>
      </w:r>
      <w:proofErr w:type="spellEnd"/>
      <w:r w:rsidRPr="0023554D">
        <w:rPr>
          <w:rFonts w:ascii="Arial" w:eastAsia="Times New Roman" w:hAnsi="Arial" w:cs="Arial"/>
          <w:i/>
          <w:iCs/>
          <w:lang w:eastAsia="en-GB"/>
        </w:rPr>
        <w:t xml:space="preserve"> edulis</w:t>
      </w:r>
      <w:r w:rsidRPr="0023554D">
        <w:rPr>
          <w:rFonts w:ascii="Arial" w:eastAsia="Times New Roman" w:hAnsi="Arial" w:cs="Arial"/>
          <w:lang w:eastAsia="en-GB"/>
        </w:rPr>
        <w:t xml:space="preserve"> leaves (Fig. 1) displayed several absorption bands corresponding to characteristic functional groups. Peaks at 757.2 cm</w:t>
      </w:r>
      <w:r w:rsidRPr="0023554D">
        <w:rPr>
          <w:rFonts w:ascii="Cambria Math" w:eastAsia="Times New Roman" w:hAnsi="Cambria Math" w:cs="Cambria Math"/>
          <w:lang w:eastAsia="en-GB"/>
        </w:rPr>
        <w:t>⁻</w:t>
      </w:r>
      <w:r w:rsidRPr="0023554D">
        <w:rPr>
          <w:rFonts w:ascii="Arial" w:eastAsia="Times New Roman" w:hAnsi="Arial" w:cs="Arial"/>
          <w:lang w:eastAsia="en-GB"/>
        </w:rPr>
        <w:t>¹ and 855.1 cm</w:t>
      </w:r>
      <w:r w:rsidRPr="0023554D">
        <w:rPr>
          <w:rFonts w:ascii="Cambria Math" w:eastAsia="Times New Roman" w:hAnsi="Cambria Math" w:cs="Cambria Math"/>
          <w:lang w:eastAsia="en-GB"/>
        </w:rPr>
        <w:t>⁻</w:t>
      </w:r>
      <w:r w:rsidRPr="0023554D">
        <w:rPr>
          <w:rFonts w:ascii="Arial" w:eastAsia="Times New Roman" w:hAnsi="Arial" w:cs="Arial"/>
          <w:lang w:eastAsia="en-GB"/>
        </w:rPr>
        <w:t>¹ were attributed to cis- and ortho-disubstituted alkenes and benzene rings, while the band at 2687.7 cm</w:t>
      </w:r>
      <w:r w:rsidRPr="0023554D">
        <w:rPr>
          <w:rFonts w:ascii="Cambria Math" w:eastAsia="Times New Roman" w:hAnsi="Cambria Math" w:cs="Cambria Math"/>
          <w:lang w:eastAsia="en-GB"/>
        </w:rPr>
        <w:t>⁻</w:t>
      </w:r>
      <w:r w:rsidRPr="0023554D">
        <w:rPr>
          <w:rFonts w:ascii="Arial" w:eastAsia="Times New Roman" w:hAnsi="Arial" w:cs="Arial"/>
          <w:lang w:eastAsia="en-GB"/>
        </w:rPr>
        <w:t>¹ indicated O–H stretching typical of carboxylic acids. A strong peak at 1281.1 cm</w:t>
      </w:r>
      <w:r w:rsidRPr="0023554D">
        <w:rPr>
          <w:rFonts w:ascii="Cambria Math" w:eastAsia="Times New Roman" w:hAnsi="Cambria Math" w:cs="Cambria Math"/>
          <w:lang w:eastAsia="en-GB"/>
        </w:rPr>
        <w:t>⁻</w:t>
      </w:r>
      <w:r w:rsidRPr="0023554D">
        <w:rPr>
          <w:rFonts w:ascii="Arial" w:eastAsia="Times New Roman" w:hAnsi="Arial" w:cs="Arial"/>
          <w:lang w:eastAsia="en-GB"/>
        </w:rPr>
        <w:t>¹ corresponded to aromatic esters and alkyl aryl ethers, whereas the band at 1606.7 cm</w:t>
      </w:r>
      <w:r w:rsidRPr="0023554D">
        <w:rPr>
          <w:rFonts w:ascii="Cambria Math" w:eastAsia="Times New Roman" w:hAnsi="Cambria Math" w:cs="Cambria Math"/>
          <w:lang w:eastAsia="en-GB"/>
        </w:rPr>
        <w:t>⁻</w:t>
      </w:r>
      <w:r w:rsidRPr="0023554D">
        <w:rPr>
          <w:rFonts w:ascii="Arial" w:eastAsia="Times New Roman" w:hAnsi="Arial" w:cs="Arial"/>
          <w:lang w:eastAsia="en-GB"/>
        </w:rPr>
        <w:t xml:space="preserve">¹ was assigned to C=C stretching, consistent with </w:t>
      </w:r>
      <w:proofErr w:type="gramStart"/>
      <w:r w:rsidRPr="0023554D">
        <w:rPr>
          <w:rFonts w:ascii="Arial" w:eastAsia="Times New Roman" w:hAnsi="Arial" w:cs="Arial"/>
          <w:lang w:eastAsia="en-GB"/>
        </w:rPr>
        <w:t>α,β</w:t>
      </w:r>
      <w:proofErr w:type="gramEnd"/>
      <w:r w:rsidRPr="0023554D">
        <w:rPr>
          <w:rFonts w:ascii="Arial" w:eastAsia="Times New Roman" w:hAnsi="Arial" w:cs="Arial"/>
          <w:lang w:eastAsia="en-GB"/>
        </w:rPr>
        <w:t>-unsaturated ketones and β-lactams, and also overlapping with anhydride C=O stretching. Additional anhydride-related bands were observed at 1882.2 cm</w:t>
      </w:r>
      <w:r w:rsidRPr="0023554D">
        <w:rPr>
          <w:rFonts w:ascii="Cambria Math" w:eastAsia="Times New Roman" w:hAnsi="Cambria Math" w:cs="Cambria Math"/>
          <w:lang w:eastAsia="en-GB"/>
        </w:rPr>
        <w:t>⁻</w:t>
      </w:r>
      <w:r w:rsidRPr="0023554D">
        <w:rPr>
          <w:rFonts w:ascii="Arial" w:eastAsia="Times New Roman" w:hAnsi="Arial" w:cs="Arial"/>
          <w:lang w:eastAsia="en-GB"/>
        </w:rPr>
        <w:t>¹ and 2037.5 cm</w:t>
      </w:r>
      <w:r w:rsidRPr="0023554D">
        <w:rPr>
          <w:rFonts w:ascii="Cambria Math" w:eastAsia="Times New Roman" w:hAnsi="Cambria Math" w:cs="Cambria Math"/>
          <w:lang w:eastAsia="en-GB"/>
        </w:rPr>
        <w:t>⁻</w:t>
      </w:r>
      <w:r w:rsidRPr="0023554D">
        <w:rPr>
          <w:rFonts w:ascii="Arial" w:eastAsia="Times New Roman" w:hAnsi="Arial" w:cs="Arial"/>
          <w:lang w:eastAsia="en-GB"/>
        </w:rPr>
        <w:t>¹. The sharp peak at 2144.5 cm</w:t>
      </w:r>
      <w:r w:rsidRPr="0023554D">
        <w:rPr>
          <w:rFonts w:ascii="Cambria Math" w:eastAsia="Times New Roman" w:hAnsi="Cambria Math" w:cs="Cambria Math"/>
          <w:lang w:eastAsia="en-GB"/>
        </w:rPr>
        <w:t>⁻</w:t>
      </w:r>
      <w:r w:rsidRPr="0023554D">
        <w:rPr>
          <w:rFonts w:ascii="Arial" w:eastAsia="Times New Roman" w:hAnsi="Arial" w:cs="Arial"/>
          <w:lang w:eastAsia="en-GB"/>
        </w:rPr>
        <w:t>¹ was ascribed to N=C=S stretching of isothiocyanates, while the absorption at 2532.7 cm</w:t>
      </w:r>
      <w:r w:rsidRPr="0023554D">
        <w:rPr>
          <w:rFonts w:ascii="Cambria Math" w:eastAsia="Times New Roman" w:hAnsi="Cambria Math" w:cs="Cambria Math"/>
          <w:lang w:eastAsia="en-GB"/>
        </w:rPr>
        <w:t>⁻</w:t>
      </w:r>
      <w:r w:rsidRPr="0023554D">
        <w:rPr>
          <w:rFonts w:ascii="Arial" w:eastAsia="Times New Roman" w:hAnsi="Arial" w:cs="Arial"/>
          <w:lang w:eastAsia="en-GB"/>
        </w:rPr>
        <w:t>¹ suggested C≡C stretching of alkynes. A broad band at 3069.6 cm</w:t>
      </w:r>
      <w:r w:rsidRPr="0023554D">
        <w:rPr>
          <w:rFonts w:ascii="Cambria Math" w:eastAsia="Times New Roman" w:hAnsi="Cambria Math" w:cs="Cambria Math"/>
          <w:lang w:eastAsia="en-GB"/>
        </w:rPr>
        <w:t>⁻</w:t>
      </w:r>
      <w:r w:rsidRPr="0023554D">
        <w:rPr>
          <w:rFonts w:ascii="Arial" w:eastAsia="Times New Roman" w:hAnsi="Arial" w:cs="Arial"/>
          <w:lang w:eastAsia="en-GB"/>
        </w:rPr>
        <w:t>¹ indicated C–H stretching of alkanes.</w:t>
      </w:r>
    </w:p>
    <w:p w14:paraId="3D12F279" w14:textId="77777777" w:rsidR="001507BB" w:rsidRPr="0023554D" w:rsidRDefault="001507BB" w:rsidP="001507BB">
      <w:pPr>
        <w:spacing w:before="100" w:beforeAutospacing="1" w:after="100" w:afterAutospacing="1" w:line="240" w:lineRule="auto"/>
        <w:jc w:val="both"/>
        <w:rPr>
          <w:rFonts w:ascii="Arial" w:eastAsia="Times New Roman" w:hAnsi="Arial" w:cs="Arial"/>
          <w:lang w:eastAsia="en-GB"/>
        </w:rPr>
      </w:pPr>
      <w:r w:rsidRPr="0023554D">
        <w:rPr>
          <w:rFonts w:ascii="Arial" w:eastAsia="Times New Roman" w:hAnsi="Arial" w:cs="Arial"/>
          <w:lang w:eastAsia="en-GB"/>
        </w:rPr>
        <w:t xml:space="preserve">These findings reveal the presence of aromatic esters, alkyl aryl ethers, hydroxyl, carbonyl, anhydride, isothiocyanate, alkyne, and alkane groups, suggesting that the extract is rich in carboxylic acids, phenols, and carbonyl compounds. This aligns with previous phytochemical studies on </w:t>
      </w:r>
      <w:proofErr w:type="spellStart"/>
      <w:r w:rsidRPr="0023554D">
        <w:rPr>
          <w:rFonts w:ascii="Arial" w:eastAsia="Times New Roman" w:hAnsi="Arial" w:cs="Arial"/>
          <w:i/>
          <w:iCs/>
          <w:lang w:eastAsia="en-GB"/>
        </w:rPr>
        <w:t>Dacryodes</w:t>
      </w:r>
      <w:proofErr w:type="spellEnd"/>
      <w:r w:rsidRPr="0023554D">
        <w:rPr>
          <w:rFonts w:ascii="Arial" w:eastAsia="Times New Roman" w:hAnsi="Arial" w:cs="Arial"/>
          <w:i/>
          <w:iCs/>
          <w:lang w:eastAsia="en-GB"/>
        </w:rPr>
        <w:t xml:space="preserve"> edulis</w:t>
      </w:r>
      <w:r w:rsidRPr="0023554D">
        <w:rPr>
          <w:rFonts w:ascii="Arial" w:eastAsia="Times New Roman" w:hAnsi="Arial" w:cs="Arial"/>
          <w:lang w:eastAsia="en-GB"/>
        </w:rPr>
        <w:t>, which reported abundant flavonoids, alkaloids, tannins, phenols, and carboxylic acids (</w:t>
      </w:r>
      <w:proofErr w:type="spellStart"/>
      <w:r w:rsidRPr="0023554D">
        <w:rPr>
          <w:rFonts w:ascii="Arial" w:eastAsia="Times New Roman" w:hAnsi="Arial" w:cs="Arial"/>
          <w:lang w:eastAsia="en-GB"/>
        </w:rPr>
        <w:t>Agiriga</w:t>
      </w:r>
      <w:proofErr w:type="spellEnd"/>
      <w:r w:rsidRPr="0023554D">
        <w:rPr>
          <w:rFonts w:ascii="Arial" w:eastAsia="Times New Roman" w:hAnsi="Arial" w:cs="Arial"/>
          <w:i/>
          <w:lang w:eastAsia="en-GB"/>
        </w:rPr>
        <w:t xml:space="preserve"> et al</w:t>
      </w:r>
      <w:r w:rsidRPr="0023554D">
        <w:rPr>
          <w:rFonts w:ascii="Arial" w:eastAsia="Times New Roman" w:hAnsi="Arial" w:cs="Arial"/>
          <w:lang w:eastAsia="en-GB"/>
        </w:rPr>
        <w:t xml:space="preserve">., 2019; Udo </w:t>
      </w:r>
      <w:r w:rsidRPr="0023554D">
        <w:rPr>
          <w:rFonts w:ascii="Arial" w:eastAsia="Times New Roman" w:hAnsi="Arial" w:cs="Arial"/>
          <w:i/>
          <w:lang w:eastAsia="en-GB"/>
        </w:rPr>
        <w:t>et al.,</w:t>
      </w:r>
      <w:r w:rsidRPr="0023554D">
        <w:rPr>
          <w:rFonts w:ascii="Arial" w:eastAsia="Times New Roman" w:hAnsi="Arial" w:cs="Arial"/>
          <w:lang w:eastAsia="en-GB"/>
        </w:rPr>
        <w:t xml:space="preserve"> 2016). Such functional groups are known to act as electron-donating or electron-deficient moieties, enabling strong interactions with inorganic phases (e.g., Si–O–Si bonds) in hybrid nanocomposites, thereby contributing to improved thermal and mechanical stability.</w:t>
      </w:r>
    </w:p>
    <w:p w14:paraId="1AECEECA" w14:textId="77777777" w:rsidR="00F23EB8" w:rsidRPr="0023554D" w:rsidRDefault="00F23EB8" w:rsidP="001507BB">
      <w:pPr>
        <w:spacing w:before="100" w:beforeAutospacing="1" w:after="100" w:afterAutospacing="1" w:line="240" w:lineRule="auto"/>
        <w:jc w:val="both"/>
        <w:rPr>
          <w:rFonts w:ascii="Arial" w:hAnsi="Arial" w:cs="Arial"/>
        </w:rPr>
      </w:pPr>
      <w:r w:rsidRPr="0023554D">
        <w:rPr>
          <w:rFonts w:ascii="Arial" w:hAnsi="Arial" w:cs="Arial"/>
        </w:rPr>
        <w:object w:dxaOrig="8055" w:dyaOrig="5970" w14:anchorId="15283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95pt;height:297.7pt" o:ole="">
            <v:imagedata r:id="rId7" o:title=""/>
          </v:shape>
          <o:OLEObject Type="Embed" ProgID="Word.Document.12" ShapeID="_x0000_i1025" DrawAspect="Content" ObjectID="_1818410266" r:id="rId8"/>
        </w:object>
      </w:r>
    </w:p>
    <w:p w14:paraId="0E918544" w14:textId="77777777" w:rsidR="00F23EB8" w:rsidRPr="0023554D" w:rsidRDefault="00105988" w:rsidP="001507BB">
      <w:pPr>
        <w:spacing w:before="100" w:beforeAutospacing="1" w:after="100" w:afterAutospacing="1" w:line="240" w:lineRule="auto"/>
        <w:jc w:val="both"/>
        <w:rPr>
          <w:rFonts w:ascii="Arial" w:eastAsia="Times New Roman" w:hAnsi="Arial" w:cs="Arial"/>
          <w:lang w:eastAsia="en-GB"/>
        </w:rPr>
      </w:pPr>
      <w:r w:rsidRPr="0023554D">
        <w:rPr>
          <w:rFonts w:ascii="Arial" w:hAnsi="Arial" w:cs="Arial"/>
          <w:b/>
        </w:rPr>
        <w:t>Fig 1:</w:t>
      </w:r>
      <w:r w:rsidR="00F23EB8" w:rsidRPr="0023554D">
        <w:rPr>
          <w:rFonts w:ascii="Arial" w:hAnsi="Arial" w:cs="Arial"/>
          <w:b/>
        </w:rPr>
        <w:t xml:space="preserve"> FTIR spectra on the ethanol extract of </w:t>
      </w:r>
      <w:proofErr w:type="spellStart"/>
      <w:r w:rsidR="00F23EB8" w:rsidRPr="0023554D">
        <w:rPr>
          <w:rFonts w:ascii="Arial" w:hAnsi="Arial" w:cs="Arial"/>
          <w:b/>
          <w:i/>
        </w:rPr>
        <w:t>Dacryodes</w:t>
      </w:r>
      <w:proofErr w:type="spellEnd"/>
      <w:r w:rsidR="00F23EB8" w:rsidRPr="0023554D">
        <w:rPr>
          <w:rFonts w:ascii="Arial" w:hAnsi="Arial" w:cs="Arial"/>
          <w:b/>
          <w:i/>
        </w:rPr>
        <w:t xml:space="preserve"> edulis</w:t>
      </w:r>
      <w:r w:rsidR="00F23EB8" w:rsidRPr="0023554D">
        <w:rPr>
          <w:rFonts w:ascii="Arial" w:hAnsi="Arial" w:cs="Arial"/>
          <w:b/>
        </w:rPr>
        <w:t xml:space="preserve"> (DE</w:t>
      </w:r>
    </w:p>
    <w:p w14:paraId="7FB238EC" w14:textId="77777777" w:rsidR="001507BB" w:rsidRPr="0023554D" w:rsidRDefault="001507BB" w:rsidP="001507BB">
      <w:pPr>
        <w:pStyle w:val="Heading3"/>
        <w:rPr>
          <w:rFonts w:ascii="Arial" w:hAnsi="Arial" w:cs="Arial"/>
          <w:sz w:val="22"/>
          <w:szCs w:val="22"/>
        </w:rPr>
      </w:pPr>
      <w:r w:rsidRPr="0023554D">
        <w:rPr>
          <w:rFonts w:ascii="Arial" w:hAnsi="Arial" w:cs="Arial"/>
          <w:sz w:val="22"/>
          <w:szCs w:val="22"/>
        </w:rPr>
        <w:t>TEM Analysis</w:t>
      </w:r>
    </w:p>
    <w:p w14:paraId="733EB0EA" w14:textId="77777777" w:rsidR="001507BB" w:rsidRPr="0023554D" w:rsidRDefault="001507BB" w:rsidP="001507BB">
      <w:pPr>
        <w:pStyle w:val="NormalWeb"/>
        <w:jc w:val="both"/>
        <w:rPr>
          <w:rFonts w:ascii="Arial" w:hAnsi="Arial" w:cs="Arial"/>
          <w:sz w:val="22"/>
          <w:szCs w:val="22"/>
        </w:rPr>
      </w:pPr>
      <w:r w:rsidRPr="0023554D">
        <w:rPr>
          <w:rFonts w:ascii="Arial" w:hAnsi="Arial" w:cs="Arial"/>
          <w:sz w:val="22"/>
          <w:szCs w:val="22"/>
        </w:rPr>
        <w:t>Transmission electron microscopy (TEM) micrographs of PAS and the hybrid DE/PAS (Figs. 2–3) revealed predominantly spherical, smooth-surfaced nanoparticles with average particle sizes of ~20 nm and ~50 nm at higher (×1000) and lower (×500) magnifications, respectively, confirming nanoscale dimensions. In PAS (Figs. 2a–b), localized dark patches were observed, which can be attributed to regions of higher electron density, possibly due to the presence of heavy elements or grain boundaries with disordered atomic arrangements.</w:t>
      </w:r>
      <w:r w:rsidR="00FA6D33" w:rsidRPr="0023554D">
        <w:rPr>
          <w:rFonts w:ascii="Arial" w:hAnsi="Arial" w:cs="Arial"/>
          <w:sz w:val="22"/>
          <w:szCs w:val="22"/>
        </w:rPr>
        <w:t xml:space="preserve"> </w:t>
      </w:r>
      <w:r w:rsidRPr="0023554D">
        <w:rPr>
          <w:rFonts w:ascii="Arial" w:hAnsi="Arial" w:cs="Arial"/>
          <w:sz w:val="22"/>
          <w:szCs w:val="22"/>
        </w:rPr>
        <w:t xml:space="preserve">In contrast, the DE/PAS hybrid (Figs. 3a–b) exhibited relatively lighter regions, consistent with a predominance of low electron density organic phases (carbon-rich matrix). The reduced contrast and more homogeneous morphology in the hybrid material suggest successful grafting of PAS onto the organic extract. This hybridization is likely facilitated by strong covalent interactions between electron-rich functional groups in </w:t>
      </w:r>
      <w:proofErr w:type="spellStart"/>
      <w:r w:rsidRPr="0023554D">
        <w:rPr>
          <w:rStyle w:val="Emphasis"/>
          <w:rFonts w:ascii="Arial" w:hAnsi="Arial" w:cs="Arial"/>
          <w:sz w:val="22"/>
          <w:szCs w:val="22"/>
        </w:rPr>
        <w:t>Dacryodes</w:t>
      </w:r>
      <w:proofErr w:type="spellEnd"/>
      <w:r w:rsidRPr="0023554D">
        <w:rPr>
          <w:rStyle w:val="Emphasis"/>
          <w:rFonts w:ascii="Arial" w:hAnsi="Arial" w:cs="Arial"/>
          <w:sz w:val="22"/>
          <w:szCs w:val="22"/>
        </w:rPr>
        <w:t xml:space="preserve"> edulis</w:t>
      </w:r>
      <w:r w:rsidRPr="0023554D">
        <w:rPr>
          <w:rFonts w:ascii="Arial" w:hAnsi="Arial" w:cs="Arial"/>
          <w:sz w:val="22"/>
          <w:szCs w:val="22"/>
        </w:rPr>
        <w:t xml:space="preserve"> extract (e.g., –OH, –C=O) and Si–O–Si bonds in PAS, resulting in a more integrated organic–inorganic nanocomposite.</w:t>
      </w:r>
    </w:p>
    <w:p w14:paraId="4715F286" w14:textId="77777777" w:rsidR="00F23EB8" w:rsidRPr="0023554D" w:rsidRDefault="00F23EB8" w:rsidP="00F23EB8">
      <w:pPr>
        <w:spacing w:after="0"/>
        <w:jc w:val="both"/>
        <w:rPr>
          <w:rFonts w:ascii="Arial" w:hAnsi="Arial" w:cs="Arial"/>
        </w:rPr>
      </w:pPr>
      <w:r w:rsidRPr="0023554D">
        <w:rPr>
          <w:rFonts w:ascii="Arial" w:hAnsi="Arial" w:cs="Arial"/>
          <w:noProof/>
          <w:lang w:eastAsia="en-GB"/>
        </w:rPr>
        <w:drawing>
          <wp:inline distT="0" distB="0" distL="0" distR="0" wp14:anchorId="42ACA1E0" wp14:editId="73CADC39">
            <wp:extent cx="1916430" cy="1302385"/>
            <wp:effectExtent l="0" t="0" r="7620" b="0"/>
            <wp:docPr id="2" name="Picture 2" descr="Description: C:\Users\user\AppData\Local\Tem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ser\AppData\Local\Temp\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6430" cy="1302385"/>
                    </a:xfrm>
                    <a:prstGeom prst="rect">
                      <a:avLst/>
                    </a:prstGeom>
                    <a:noFill/>
                    <a:ln>
                      <a:noFill/>
                    </a:ln>
                  </pic:spPr>
                </pic:pic>
              </a:graphicData>
            </a:graphic>
          </wp:inline>
        </w:drawing>
      </w:r>
      <w:r w:rsidRPr="0023554D">
        <w:rPr>
          <w:rFonts w:ascii="Arial" w:hAnsi="Arial" w:cs="Arial"/>
        </w:rPr>
        <w:t xml:space="preserve">            </w:t>
      </w:r>
      <w:r w:rsidRPr="0023554D">
        <w:rPr>
          <w:rFonts w:ascii="Arial" w:hAnsi="Arial" w:cs="Arial"/>
          <w:noProof/>
          <w:lang w:eastAsia="en-GB"/>
        </w:rPr>
        <w:drawing>
          <wp:inline distT="0" distB="0" distL="0" distR="0" wp14:anchorId="486F6C58" wp14:editId="759C4CB3">
            <wp:extent cx="2019300" cy="1346200"/>
            <wp:effectExtent l="0" t="0" r="0" b="6350"/>
            <wp:docPr id="1" name="Picture 1" descr="Description: C:\Users\user\Download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Downloads\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noFill/>
                    <a:ln>
                      <a:noFill/>
                    </a:ln>
                  </pic:spPr>
                </pic:pic>
              </a:graphicData>
            </a:graphic>
          </wp:inline>
        </w:drawing>
      </w:r>
    </w:p>
    <w:p w14:paraId="3005DFB7" w14:textId="77777777" w:rsidR="00F23EB8" w:rsidRPr="0023554D" w:rsidRDefault="00F23EB8" w:rsidP="00F23EB8">
      <w:pPr>
        <w:spacing w:after="0"/>
        <w:jc w:val="both"/>
        <w:rPr>
          <w:rFonts w:ascii="Arial" w:hAnsi="Arial" w:cs="Arial"/>
        </w:rPr>
      </w:pPr>
      <w:r w:rsidRPr="0023554D">
        <w:rPr>
          <w:rFonts w:ascii="Arial" w:hAnsi="Arial" w:cs="Arial"/>
        </w:rPr>
        <w:t>Fig 2</w:t>
      </w:r>
      <w:proofErr w:type="gramStart"/>
      <w:r w:rsidRPr="0023554D">
        <w:rPr>
          <w:rFonts w:ascii="Arial" w:hAnsi="Arial" w:cs="Arial"/>
        </w:rPr>
        <w:t>a:TEM</w:t>
      </w:r>
      <w:proofErr w:type="gramEnd"/>
      <w:r w:rsidRPr="0023554D">
        <w:rPr>
          <w:rFonts w:ascii="Arial" w:hAnsi="Arial" w:cs="Arial"/>
        </w:rPr>
        <w:t xml:space="preserve"> image on PAS         </w:t>
      </w:r>
      <w:r w:rsidRPr="0023554D">
        <w:rPr>
          <w:rFonts w:ascii="Arial" w:hAnsi="Arial" w:cs="Arial"/>
        </w:rPr>
        <w:tab/>
      </w:r>
      <w:r w:rsidRPr="0023554D">
        <w:rPr>
          <w:rFonts w:ascii="Arial" w:hAnsi="Arial" w:cs="Arial"/>
        </w:rPr>
        <w:tab/>
        <w:t xml:space="preserve">  Fig. 2b TEM image on PAS</w:t>
      </w:r>
    </w:p>
    <w:p w14:paraId="6C642B92" w14:textId="77777777" w:rsidR="00F23EB8" w:rsidRPr="0023554D" w:rsidRDefault="00F23EB8" w:rsidP="00F23EB8">
      <w:pPr>
        <w:spacing w:after="0"/>
        <w:jc w:val="both"/>
        <w:rPr>
          <w:rFonts w:ascii="Arial" w:hAnsi="Arial" w:cs="Arial"/>
        </w:rPr>
      </w:pPr>
      <w:r w:rsidRPr="0023554D">
        <w:rPr>
          <w:rFonts w:ascii="Arial" w:hAnsi="Arial" w:cs="Arial"/>
          <w:noProof/>
          <w:lang w:eastAsia="en-GB"/>
        </w:rPr>
        <w:lastRenderedPageBreak/>
        <w:drawing>
          <wp:inline distT="0" distB="0" distL="0" distR="0" wp14:anchorId="08375BFA" wp14:editId="4ED03D7E">
            <wp:extent cx="1858010" cy="1228725"/>
            <wp:effectExtent l="0" t="0" r="8890" b="9525"/>
            <wp:docPr id="4" name="Picture 4" descr="Description: C:\Users\user\AppData\Local\Temp\C 20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user\AppData\Local\Temp\C 20n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8010" cy="1228725"/>
                    </a:xfrm>
                    <a:prstGeom prst="rect">
                      <a:avLst/>
                    </a:prstGeom>
                    <a:noFill/>
                    <a:ln>
                      <a:noFill/>
                    </a:ln>
                  </pic:spPr>
                </pic:pic>
              </a:graphicData>
            </a:graphic>
          </wp:inline>
        </w:drawing>
      </w:r>
      <w:r w:rsidRPr="0023554D">
        <w:rPr>
          <w:rFonts w:ascii="Arial" w:hAnsi="Arial" w:cs="Arial"/>
        </w:rPr>
        <w:t xml:space="preserve">                </w:t>
      </w:r>
      <w:r w:rsidRPr="0023554D">
        <w:rPr>
          <w:rFonts w:ascii="Arial" w:hAnsi="Arial" w:cs="Arial"/>
          <w:noProof/>
          <w:lang w:eastAsia="en-GB"/>
        </w:rPr>
        <w:drawing>
          <wp:inline distT="0" distB="0" distL="0" distR="0" wp14:anchorId="25D3E30A" wp14:editId="4CB9CF6C">
            <wp:extent cx="1997075" cy="1192530"/>
            <wp:effectExtent l="0" t="0" r="3175" b="7620"/>
            <wp:docPr id="3" name="Picture 3" descr="Description: C:\Users\user\Downloads\C 50n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user\Downloads\C 50nm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7075" cy="1192530"/>
                    </a:xfrm>
                    <a:prstGeom prst="rect">
                      <a:avLst/>
                    </a:prstGeom>
                    <a:noFill/>
                    <a:ln>
                      <a:noFill/>
                    </a:ln>
                  </pic:spPr>
                </pic:pic>
              </a:graphicData>
            </a:graphic>
          </wp:inline>
        </w:drawing>
      </w:r>
    </w:p>
    <w:p w14:paraId="59E873CD" w14:textId="77777777" w:rsidR="00F23EB8" w:rsidRPr="0023554D" w:rsidRDefault="00F23EB8" w:rsidP="00F23EB8">
      <w:pPr>
        <w:spacing w:after="0"/>
        <w:jc w:val="both"/>
        <w:rPr>
          <w:rFonts w:ascii="Arial" w:hAnsi="Arial" w:cs="Arial"/>
        </w:rPr>
      </w:pPr>
      <w:r w:rsidRPr="0023554D">
        <w:rPr>
          <w:rFonts w:ascii="Arial" w:hAnsi="Arial" w:cs="Arial"/>
        </w:rPr>
        <w:t>Fig 3a TEM image on DE/PAS                           Fig 3b TEM image on</w:t>
      </w:r>
    </w:p>
    <w:p w14:paraId="45AF71BD" w14:textId="77777777" w:rsidR="001507BB" w:rsidRPr="0023554D" w:rsidRDefault="001507BB" w:rsidP="001507BB">
      <w:pPr>
        <w:pStyle w:val="Heading3"/>
        <w:jc w:val="both"/>
        <w:rPr>
          <w:rFonts w:ascii="Arial" w:hAnsi="Arial" w:cs="Arial"/>
          <w:sz w:val="22"/>
          <w:szCs w:val="22"/>
        </w:rPr>
      </w:pPr>
      <w:r w:rsidRPr="0023554D">
        <w:rPr>
          <w:rFonts w:ascii="Arial" w:hAnsi="Arial" w:cs="Arial"/>
          <w:sz w:val="22"/>
          <w:szCs w:val="22"/>
        </w:rPr>
        <w:t>Thermal Analysis (TGA/DTA)</w:t>
      </w:r>
      <w:r w:rsidR="007B15EC" w:rsidRPr="0023554D">
        <w:rPr>
          <w:rFonts w:ascii="Arial" w:hAnsi="Arial" w:cs="Arial"/>
          <w:sz w:val="22"/>
          <w:szCs w:val="22"/>
        </w:rPr>
        <w:t xml:space="preserve"> [36]</w:t>
      </w:r>
    </w:p>
    <w:p w14:paraId="76AB3992" w14:textId="77777777" w:rsidR="001507BB" w:rsidRPr="0023554D" w:rsidRDefault="001507BB" w:rsidP="001507BB">
      <w:pPr>
        <w:pStyle w:val="NormalWeb"/>
        <w:jc w:val="both"/>
        <w:rPr>
          <w:rFonts w:ascii="Arial" w:hAnsi="Arial" w:cs="Arial"/>
          <w:sz w:val="22"/>
          <w:szCs w:val="22"/>
        </w:rPr>
      </w:pPr>
      <w:r w:rsidRPr="0023554D">
        <w:rPr>
          <w:rFonts w:ascii="Arial" w:hAnsi="Arial" w:cs="Arial"/>
          <w:sz w:val="22"/>
          <w:szCs w:val="22"/>
        </w:rPr>
        <w:t>The TGA/DTA profile of DE (Fig. 4) shows three distinct thermal events. An initial weight loss (~5–10%) between 100–300 °C corresponds to evaporation of residual moisture and low-molecular-weight volatiles. A major decomposition (~70%) occurred between 300–500 °C, accompanied by a strong endothermic peak in the DTA curve, attributable to polymer chain degradation, organic component breakdown, and phase transitions. Above 500 °C, the curve plateaued, leaving a residual mass of ~10%, likely due to char or thermally stable inorganic fractions.</w:t>
      </w:r>
    </w:p>
    <w:p w14:paraId="21CC950B" w14:textId="77777777" w:rsidR="001507BB" w:rsidRPr="0023554D" w:rsidRDefault="001507BB" w:rsidP="001507BB">
      <w:pPr>
        <w:pStyle w:val="NormalWeb"/>
        <w:jc w:val="both"/>
        <w:rPr>
          <w:rFonts w:ascii="Arial" w:hAnsi="Arial" w:cs="Arial"/>
          <w:sz w:val="22"/>
          <w:szCs w:val="22"/>
        </w:rPr>
      </w:pPr>
      <w:r w:rsidRPr="0023554D">
        <w:rPr>
          <w:rFonts w:ascii="Arial" w:hAnsi="Arial" w:cs="Arial"/>
          <w:sz w:val="22"/>
          <w:szCs w:val="22"/>
        </w:rPr>
        <w:t>Similarly, the PAS sample (Fig. 5) displayed an initial moderate mass loss (~5–10%) at 30–150 °C, attributed to physically adsorbed water and volatile species. The major weight loss (~70–80%) occurred at 150–500 °C with a corresponding DTA endothermic peak, associated with the removal of strongly bound water and condensation of silanol groups (dehydration/</w:t>
      </w:r>
      <w:proofErr w:type="spellStart"/>
      <w:r w:rsidRPr="0023554D">
        <w:rPr>
          <w:rFonts w:ascii="Arial" w:hAnsi="Arial" w:cs="Arial"/>
          <w:sz w:val="22"/>
          <w:szCs w:val="22"/>
        </w:rPr>
        <w:t>dehydroxylation</w:t>
      </w:r>
      <w:proofErr w:type="spellEnd"/>
      <w:r w:rsidRPr="0023554D">
        <w:rPr>
          <w:rFonts w:ascii="Arial" w:hAnsi="Arial" w:cs="Arial"/>
          <w:sz w:val="22"/>
          <w:szCs w:val="22"/>
        </w:rPr>
        <w:t>). Beyond 500 °C, the mass loss slowed, with a final residue of ~10–20% up to 950 °C, representing the thermally stable silica framework.</w:t>
      </w:r>
    </w:p>
    <w:p w14:paraId="407E9C57" w14:textId="77777777" w:rsidR="004E06AA" w:rsidRPr="0023554D" w:rsidRDefault="001507BB" w:rsidP="00BD6A74">
      <w:pPr>
        <w:pStyle w:val="NormalWeb"/>
        <w:jc w:val="both"/>
        <w:rPr>
          <w:rFonts w:ascii="Arial" w:hAnsi="Arial" w:cs="Arial"/>
          <w:sz w:val="22"/>
          <w:szCs w:val="22"/>
        </w:rPr>
      </w:pPr>
      <w:r w:rsidRPr="0023554D">
        <w:rPr>
          <w:rFonts w:ascii="Arial" w:hAnsi="Arial" w:cs="Arial"/>
          <w:sz w:val="22"/>
          <w:szCs w:val="22"/>
        </w:rPr>
        <w:t>The TGA/DTA profile of DE/PAS (Fig. 6) exhibited an initial weight loss (~5–10%) between 30–200 °C, attributed to the evaporation of physically adsorbed water and low molecular weight volatiles. A major decomposition occurred at 300–500 °C, with ~70–80% mass loss and a corresponding endothermic peak (~430 °C), reflecting polymer degradation and removal of chemically bound water from silanol groups. Beyond 500 °C, a stable residue of ~10–20% was recorded, associated with inorganic reinforcement such as the silica framework.</w:t>
      </w:r>
    </w:p>
    <w:p w14:paraId="54408B2C" w14:textId="77777777" w:rsidR="004E06AA" w:rsidRPr="0023554D" w:rsidRDefault="004E06AA" w:rsidP="00BD6A74">
      <w:pPr>
        <w:pStyle w:val="NormalWeb"/>
        <w:jc w:val="both"/>
        <w:rPr>
          <w:rFonts w:ascii="Arial" w:hAnsi="Arial" w:cs="Arial"/>
          <w:sz w:val="22"/>
          <w:szCs w:val="22"/>
        </w:rPr>
      </w:pPr>
      <w:r w:rsidRPr="0023554D">
        <w:rPr>
          <w:rFonts w:ascii="Arial" w:hAnsi="Arial" w:cs="Arial"/>
          <w:noProof/>
          <w:sz w:val="22"/>
          <w:szCs w:val="22"/>
        </w:rPr>
        <w:drawing>
          <wp:inline distT="0" distB="0" distL="0" distR="0" wp14:anchorId="0F574571" wp14:editId="220FC669">
            <wp:extent cx="1565453" cy="1228954"/>
            <wp:effectExtent l="0" t="0" r="0" b="9525"/>
            <wp:docPr id="9" name="Picture 9" descr="C:\Users\ADMINI~1\AppData\Local\Temp\msohtmlclip1\01\clip_image001.jpg"/>
            <wp:cNvGraphicFramePr/>
            <a:graphic xmlns:a="http://schemas.openxmlformats.org/drawingml/2006/main">
              <a:graphicData uri="http://schemas.openxmlformats.org/drawingml/2006/picture">
                <pic:pic xmlns:pic="http://schemas.openxmlformats.org/drawingml/2006/picture">
                  <pic:nvPicPr>
                    <pic:cNvPr id="1" name="Picture 1" descr="C:\Users\ADMINI~1\AppData\Local\Temp\msohtmlclip1\01\clip_image001.jpg"/>
                    <pic:cNvPicPr/>
                  </pic:nvPicPr>
                  <pic:blipFill>
                    <a:blip r:embed="rId13"/>
                    <a:srcRect/>
                    <a:stretch>
                      <a:fillRect/>
                    </a:stretch>
                  </pic:blipFill>
                  <pic:spPr bwMode="auto">
                    <a:xfrm>
                      <a:off x="0" y="0"/>
                      <a:ext cx="1632081" cy="1281260"/>
                    </a:xfrm>
                    <a:prstGeom prst="rect">
                      <a:avLst/>
                    </a:prstGeom>
                    <a:noFill/>
                    <a:ln w="9525">
                      <a:noFill/>
                      <a:miter lim="800000"/>
                      <a:headEnd/>
                      <a:tailEnd/>
                    </a:ln>
                  </pic:spPr>
                </pic:pic>
              </a:graphicData>
            </a:graphic>
          </wp:inline>
        </w:drawing>
      </w:r>
      <w:r w:rsidRPr="0023554D">
        <w:rPr>
          <w:rFonts w:ascii="Arial" w:hAnsi="Arial" w:cs="Arial"/>
          <w:noProof/>
          <w:sz w:val="22"/>
          <w:szCs w:val="22"/>
        </w:rPr>
        <w:t xml:space="preserve">              </w:t>
      </w:r>
      <w:r w:rsidR="00897479" w:rsidRPr="0023554D">
        <w:rPr>
          <w:rFonts w:ascii="Arial" w:hAnsi="Arial" w:cs="Arial"/>
          <w:noProof/>
          <w:sz w:val="22"/>
          <w:szCs w:val="22"/>
        </w:rPr>
        <w:t xml:space="preserve">          </w:t>
      </w:r>
      <w:r w:rsidRPr="0023554D">
        <w:rPr>
          <w:rFonts w:ascii="Arial" w:hAnsi="Arial" w:cs="Arial"/>
          <w:noProof/>
          <w:sz w:val="22"/>
          <w:szCs w:val="22"/>
        </w:rPr>
        <w:t xml:space="preserve"> </w:t>
      </w:r>
      <w:r w:rsidRPr="0023554D">
        <w:rPr>
          <w:rFonts w:ascii="Arial" w:hAnsi="Arial" w:cs="Arial"/>
          <w:noProof/>
          <w:sz w:val="22"/>
          <w:szCs w:val="22"/>
        </w:rPr>
        <w:drawing>
          <wp:inline distT="0" distB="0" distL="0" distR="0" wp14:anchorId="523B7320" wp14:editId="4DBC6951">
            <wp:extent cx="2194558" cy="1294790"/>
            <wp:effectExtent l="0" t="0" r="0" b="635"/>
            <wp:docPr id="5" name="Picture 4" descr="C:\Users\ADMINI~1\AppData\Local\Temp\msohtmlclip1\01\clip_image001.jpg"/>
            <wp:cNvGraphicFramePr/>
            <a:graphic xmlns:a="http://schemas.openxmlformats.org/drawingml/2006/main">
              <a:graphicData uri="http://schemas.openxmlformats.org/drawingml/2006/picture">
                <pic:pic xmlns:pic="http://schemas.openxmlformats.org/drawingml/2006/picture">
                  <pic:nvPicPr>
                    <pic:cNvPr id="61" name="Picture 4" descr="C:\Users\ADMINI~1\AppData\Local\Temp\msohtmlclip1\01\clip_image001.jpg"/>
                    <pic:cNvPicPr/>
                  </pic:nvPicPr>
                  <pic:blipFill>
                    <a:blip r:embed="rId14"/>
                    <a:srcRect/>
                    <a:stretch>
                      <a:fillRect/>
                    </a:stretch>
                  </pic:blipFill>
                  <pic:spPr bwMode="auto">
                    <a:xfrm>
                      <a:off x="0" y="0"/>
                      <a:ext cx="2192947" cy="1293840"/>
                    </a:xfrm>
                    <a:prstGeom prst="rect">
                      <a:avLst/>
                    </a:prstGeom>
                    <a:noFill/>
                    <a:ln w="9525">
                      <a:noFill/>
                      <a:miter lim="800000"/>
                      <a:headEnd/>
                      <a:tailEnd/>
                    </a:ln>
                  </pic:spPr>
                </pic:pic>
              </a:graphicData>
            </a:graphic>
          </wp:inline>
        </w:drawing>
      </w:r>
    </w:p>
    <w:p w14:paraId="4B280175" w14:textId="77777777" w:rsidR="004E06AA" w:rsidRPr="0023554D" w:rsidRDefault="00EB08B0" w:rsidP="004E06AA">
      <w:pPr>
        <w:jc w:val="both"/>
        <w:rPr>
          <w:rFonts w:ascii="Arial" w:hAnsi="Arial" w:cs="Arial"/>
        </w:rPr>
      </w:pPr>
      <w:r w:rsidRPr="0023554D">
        <w:rPr>
          <w:rFonts w:ascii="Arial" w:hAnsi="Arial" w:cs="Arial"/>
        </w:rPr>
        <w:t>Fig 4a TGA plot on DE</w:t>
      </w:r>
      <w:r w:rsidR="004E06AA" w:rsidRPr="0023554D">
        <w:rPr>
          <w:rFonts w:ascii="Arial" w:hAnsi="Arial" w:cs="Arial"/>
        </w:rPr>
        <w:t xml:space="preserve">                         </w:t>
      </w:r>
      <w:r w:rsidR="00897479" w:rsidRPr="0023554D">
        <w:rPr>
          <w:rFonts w:ascii="Arial" w:hAnsi="Arial" w:cs="Arial"/>
        </w:rPr>
        <w:t xml:space="preserve">           </w:t>
      </w:r>
      <w:r w:rsidR="004E06AA" w:rsidRPr="0023554D">
        <w:rPr>
          <w:rFonts w:ascii="Arial" w:hAnsi="Arial" w:cs="Arial"/>
        </w:rPr>
        <w:t xml:space="preserve"> </w:t>
      </w:r>
      <w:r w:rsidR="00897479" w:rsidRPr="0023554D">
        <w:rPr>
          <w:rFonts w:ascii="Arial" w:hAnsi="Arial" w:cs="Arial"/>
        </w:rPr>
        <w:t xml:space="preserve">           </w:t>
      </w:r>
      <w:r w:rsidR="004E06AA" w:rsidRPr="0023554D">
        <w:rPr>
          <w:rFonts w:ascii="Arial" w:hAnsi="Arial" w:cs="Arial"/>
        </w:rPr>
        <w:t>Fig 4b TGA/DTA plot on DE</w:t>
      </w:r>
    </w:p>
    <w:p w14:paraId="58CCC39D" w14:textId="77777777" w:rsidR="004E06AA" w:rsidRPr="0023554D" w:rsidRDefault="004E06AA" w:rsidP="004E06AA">
      <w:pPr>
        <w:jc w:val="both"/>
        <w:rPr>
          <w:rFonts w:ascii="Arial" w:hAnsi="Arial" w:cs="Arial"/>
        </w:rPr>
      </w:pPr>
      <w:r w:rsidRPr="0023554D">
        <w:rPr>
          <w:rFonts w:ascii="Arial" w:hAnsi="Arial" w:cs="Arial"/>
          <w:noProof/>
          <w:lang w:eastAsia="en-GB"/>
        </w:rPr>
        <w:lastRenderedPageBreak/>
        <w:drawing>
          <wp:inline distT="0" distB="0" distL="0" distR="0" wp14:anchorId="50212855" wp14:editId="231531E7">
            <wp:extent cx="1953158" cy="1726387"/>
            <wp:effectExtent l="0" t="0" r="9525" b="7620"/>
            <wp:docPr id="7" name="Picture 7" descr="C:\Users\ADMINI~1\AppData\Local\Temp\msohtmlclip1\01\clip_image001.jpg"/>
            <wp:cNvGraphicFramePr/>
            <a:graphic xmlns:a="http://schemas.openxmlformats.org/drawingml/2006/main">
              <a:graphicData uri="http://schemas.openxmlformats.org/drawingml/2006/picture">
                <pic:pic xmlns:pic="http://schemas.openxmlformats.org/drawingml/2006/picture">
                  <pic:nvPicPr>
                    <pic:cNvPr id="7" name="Picture 7" descr="C:\Users\ADMINI~1\AppData\Local\Temp\msohtmlclip1\01\clip_image001.jpg"/>
                    <pic:cNvPicPr/>
                  </pic:nvPicPr>
                  <pic:blipFill>
                    <a:blip r:embed="rId15"/>
                    <a:srcRect/>
                    <a:stretch>
                      <a:fillRect/>
                    </a:stretch>
                  </pic:blipFill>
                  <pic:spPr bwMode="auto">
                    <a:xfrm>
                      <a:off x="0" y="0"/>
                      <a:ext cx="1955366" cy="1728339"/>
                    </a:xfrm>
                    <a:prstGeom prst="rect">
                      <a:avLst/>
                    </a:prstGeom>
                    <a:noFill/>
                    <a:ln w="9525">
                      <a:noFill/>
                      <a:miter lim="800000"/>
                      <a:headEnd/>
                      <a:tailEnd/>
                    </a:ln>
                  </pic:spPr>
                </pic:pic>
              </a:graphicData>
            </a:graphic>
          </wp:inline>
        </w:drawing>
      </w:r>
      <w:r w:rsidRPr="0023554D">
        <w:rPr>
          <w:rFonts w:ascii="Arial" w:hAnsi="Arial" w:cs="Arial"/>
        </w:rPr>
        <w:t xml:space="preserve">    </w:t>
      </w:r>
      <w:r w:rsidR="00897479" w:rsidRPr="0023554D">
        <w:rPr>
          <w:rFonts w:ascii="Arial" w:hAnsi="Arial" w:cs="Arial"/>
        </w:rPr>
        <w:t xml:space="preserve">        </w:t>
      </w:r>
      <w:r w:rsidRPr="0023554D">
        <w:rPr>
          <w:rFonts w:ascii="Arial" w:hAnsi="Arial" w:cs="Arial"/>
        </w:rPr>
        <w:t xml:space="preserve">    </w:t>
      </w:r>
      <w:r w:rsidR="00897479" w:rsidRPr="0023554D">
        <w:rPr>
          <w:rFonts w:ascii="Arial" w:hAnsi="Arial" w:cs="Arial"/>
        </w:rPr>
        <w:t xml:space="preserve">           </w:t>
      </w:r>
      <w:r w:rsidRPr="0023554D">
        <w:rPr>
          <w:rFonts w:ascii="Arial" w:hAnsi="Arial" w:cs="Arial"/>
        </w:rPr>
        <w:t xml:space="preserve"> </w:t>
      </w:r>
      <w:r w:rsidRPr="0023554D">
        <w:rPr>
          <w:rFonts w:ascii="Arial" w:hAnsi="Arial" w:cs="Arial"/>
          <w:noProof/>
          <w:lang w:eastAsia="en-GB"/>
        </w:rPr>
        <w:drawing>
          <wp:inline distT="0" distB="0" distL="0" distR="0" wp14:anchorId="7F282968" wp14:editId="42C9675A">
            <wp:extent cx="2267712" cy="1777594"/>
            <wp:effectExtent l="0" t="0" r="0" b="0"/>
            <wp:docPr id="62" name="Picture 10" descr="C:\Users\ADMINI~1\AppData\Local\Temp\msohtmlclip1\01\clip_image001.jpg"/>
            <wp:cNvGraphicFramePr/>
            <a:graphic xmlns:a="http://schemas.openxmlformats.org/drawingml/2006/main">
              <a:graphicData uri="http://schemas.openxmlformats.org/drawingml/2006/picture">
                <pic:pic xmlns:pic="http://schemas.openxmlformats.org/drawingml/2006/picture">
                  <pic:nvPicPr>
                    <pic:cNvPr id="62" name="Picture 10" descr="C:\Users\ADMINI~1\AppData\Local\Temp\msohtmlclip1\01\clip_image001.jpg"/>
                    <pic:cNvPicPr/>
                  </pic:nvPicPr>
                  <pic:blipFill>
                    <a:blip r:embed="rId16"/>
                    <a:srcRect/>
                    <a:stretch>
                      <a:fillRect/>
                    </a:stretch>
                  </pic:blipFill>
                  <pic:spPr bwMode="auto">
                    <a:xfrm>
                      <a:off x="0" y="0"/>
                      <a:ext cx="2275398" cy="1783619"/>
                    </a:xfrm>
                    <a:prstGeom prst="rect">
                      <a:avLst/>
                    </a:prstGeom>
                    <a:noFill/>
                    <a:ln w="9525">
                      <a:noFill/>
                      <a:miter lim="800000"/>
                      <a:headEnd/>
                      <a:tailEnd/>
                    </a:ln>
                  </pic:spPr>
                </pic:pic>
              </a:graphicData>
            </a:graphic>
          </wp:inline>
        </w:drawing>
      </w:r>
    </w:p>
    <w:p w14:paraId="42793D45" w14:textId="77777777" w:rsidR="004E06AA" w:rsidRPr="0023554D" w:rsidRDefault="004E06AA" w:rsidP="00897479">
      <w:pPr>
        <w:rPr>
          <w:rFonts w:ascii="Arial" w:hAnsi="Arial" w:cs="Arial"/>
        </w:rPr>
      </w:pPr>
      <w:r w:rsidRPr="0023554D">
        <w:rPr>
          <w:rFonts w:ascii="Arial" w:hAnsi="Arial" w:cs="Arial"/>
        </w:rPr>
        <w:t xml:space="preserve">Fig 5a:TGA plot on PAS                             </w:t>
      </w:r>
      <w:r w:rsidR="00897479" w:rsidRPr="0023554D">
        <w:rPr>
          <w:rFonts w:ascii="Arial" w:hAnsi="Arial" w:cs="Arial"/>
        </w:rPr>
        <w:t xml:space="preserve"> </w:t>
      </w:r>
      <w:r w:rsidRPr="0023554D">
        <w:rPr>
          <w:rFonts w:ascii="Arial" w:hAnsi="Arial" w:cs="Arial"/>
        </w:rPr>
        <w:t xml:space="preserve">         </w:t>
      </w:r>
      <w:r w:rsidR="0023554D">
        <w:rPr>
          <w:rFonts w:ascii="Arial" w:hAnsi="Arial" w:cs="Arial"/>
        </w:rPr>
        <w:t xml:space="preserve">    </w:t>
      </w:r>
      <w:r w:rsidR="00897479" w:rsidRPr="0023554D">
        <w:rPr>
          <w:rFonts w:ascii="Arial" w:hAnsi="Arial" w:cs="Arial"/>
        </w:rPr>
        <w:t xml:space="preserve"> </w:t>
      </w:r>
      <w:r w:rsidRPr="0023554D">
        <w:rPr>
          <w:rFonts w:ascii="Arial" w:hAnsi="Arial" w:cs="Arial"/>
        </w:rPr>
        <w:t>Fig 5b: TGA/DTA plot on PAS</w:t>
      </w:r>
    </w:p>
    <w:p w14:paraId="403054BC" w14:textId="77777777" w:rsidR="004E06AA" w:rsidRPr="0023554D" w:rsidRDefault="00897479" w:rsidP="004E06AA">
      <w:pPr>
        <w:jc w:val="both"/>
        <w:rPr>
          <w:rFonts w:ascii="Arial" w:hAnsi="Arial" w:cs="Arial"/>
        </w:rPr>
      </w:pPr>
      <w:r w:rsidRPr="0023554D">
        <w:rPr>
          <w:rFonts w:ascii="Arial" w:hAnsi="Arial" w:cs="Arial"/>
          <w:noProof/>
          <w:lang w:eastAsia="en-GB"/>
        </w:rPr>
        <w:drawing>
          <wp:inline distT="0" distB="0" distL="0" distR="0" wp14:anchorId="438EC92D" wp14:editId="57C8A940">
            <wp:extent cx="2209190" cy="2223821"/>
            <wp:effectExtent l="0" t="0" r="635" b="5080"/>
            <wp:docPr id="13" name="Picture 13" descr="C:\Users\ADMINI~1\AppData\Local\Temp\msohtmlclip1\01\clip_image001.jpg"/>
            <wp:cNvGraphicFramePr/>
            <a:graphic xmlns:a="http://schemas.openxmlformats.org/drawingml/2006/main">
              <a:graphicData uri="http://schemas.openxmlformats.org/drawingml/2006/picture">
                <pic:pic xmlns:pic="http://schemas.openxmlformats.org/drawingml/2006/picture">
                  <pic:nvPicPr>
                    <pic:cNvPr id="13" name="Picture 13" descr="C:\Users\ADMINI~1\AppData\Local\Temp\msohtmlclip1\01\clip_image001.jpg"/>
                    <pic:cNvPicPr/>
                  </pic:nvPicPr>
                  <pic:blipFill>
                    <a:blip r:embed="rId17"/>
                    <a:srcRect/>
                    <a:stretch>
                      <a:fillRect/>
                    </a:stretch>
                  </pic:blipFill>
                  <pic:spPr bwMode="auto">
                    <a:xfrm>
                      <a:off x="0" y="0"/>
                      <a:ext cx="2208101" cy="2222725"/>
                    </a:xfrm>
                    <a:prstGeom prst="rect">
                      <a:avLst/>
                    </a:prstGeom>
                    <a:noFill/>
                    <a:ln w="9525">
                      <a:noFill/>
                      <a:miter lim="800000"/>
                      <a:headEnd/>
                      <a:tailEnd/>
                    </a:ln>
                  </pic:spPr>
                </pic:pic>
              </a:graphicData>
            </a:graphic>
          </wp:inline>
        </w:drawing>
      </w:r>
      <w:r w:rsidRPr="0023554D">
        <w:rPr>
          <w:rFonts w:ascii="Arial" w:hAnsi="Arial" w:cs="Arial"/>
        </w:rPr>
        <w:t xml:space="preserve">                    </w:t>
      </w:r>
      <w:r w:rsidRPr="0023554D">
        <w:rPr>
          <w:rFonts w:ascii="Arial" w:hAnsi="Arial" w:cs="Arial"/>
          <w:noProof/>
          <w:lang w:eastAsia="en-GB"/>
        </w:rPr>
        <w:drawing>
          <wp:inline distT="0" distB="0" distL="0" distR="0" wp14:anchorId="4811D74A" wp14:editId="6F7CFFF5">
            <wp:extent cx="2626157" cy="2165299"/>
            <wp:effectExtent l="0" t="0" r="3175" b="6985"/>
            <wp:docPr id="63" name="Picture 16" descr="C:\Users\ADMINI~1\AppData\Local\Temp\msohtmlclip1\01\clip_image001.jpg"/>
            <wp:cNvGraphicFramePr/>
            <a:graphic xmlns:a="http://schemas.openxmlformats.org/drawingml/2006/main">
              <a:graphicData uri="http://schemas.openxmlformats.org/drawingml/2006/picture">
                <pic:pic xmlns:pic="http://schemas.openxmlformats.org/drawingml/2006/picture">
                  <pic:nvPicPr>
                    <pic:cNvPr id="63" name="Picture 16" descr="C:\Users\ADMINI~1\AppData\Local\Temp\msohtmlclip1\01\clip_image001.jpg"/>
                    <pic:cNvPicPr/>
                  </pic:nvPicPr>
                  <pic:blipFill>
                    <a:blip r:embed="rId18"/>
                    <a:srcRect/>
                    <a:stretch>
                      <a:fillRect/>
                    </a:stretch>
                  </pic:blipFill>
                  <pic:spPr bwMode="auto">
                    <a:xfrm>
                      <a:off x="0" y="0"/>
                      <a:ext cx="2635418" cy="2172935"/>
                    </a:xfrm>
                    <a:prstGeom prst="rect">
                      <a:avLst/>
                    </a:prstGeom>
                    <a:noFill/>
                    <a:ln w="9525">
                      <a:noFill/>
                      <a:miter lim="800000"/>
                      <a:headEnd/>
                      <a:tailEnd/>
                    </a:ln>
                  </pic:spPr>
                </pic:pic>
              </a:graphicData>
            </a:graphic>
          </wp:inline>
        </w:drawing>
      </w:r>
      <w:r w:rsidRPr="0023554D">
        <w:rPr>
          <w:rFonts w:ascii="Arial" w:hAnsi="Arial" w:cs="Arial"/>
        </w:rPr>
        <w:t xml:space="preserve"> </w:t>
      </w:r>
    </w:p>
    <w:p w14:paraId="192F93E1" w14:textId="77777777" w:rsidR="00761850" w:rsidRPr="0023554D" w:rsidRDefault="00E623B7" w:rsidP="00897479">
      <w:pPr>
        <w:rPr>
          <w:rFonts w:ascii="Arial" w:hAnsi="Arial" w:cs="Arial"/>
        </w:rPr>
      </w:pPr>
      <w:r w:rsidRPr="0023554D">
        <w:rPr>
          <w:rFonts w:ascii="Arial" w:hAnsi="Arial" w:cs="Arial"/>
        </w:rPr>
        <w:t xml:space="preserve">   </w:t>
      </w:r>
      <w:r w:rsidR="00761850" w:rsidRPr="0023554D">
        <w:rPr>
          <w:rFonts w:ascii="Arial" w:hAnsi="Arial" w:cs="Arial"/>
        </w:rPr>
        <w:t>Fig 6a: TGA plot on DE/PAS</w:t>
      </w:r>
      <w:r w:rsidR="00897479" w:rsidRPr="0023554D">
        <w:rPr>
          <w:rFonts w:ascii="Arial" w:hAnsi="Arial" w:cs="Arial"/>
        </w:rPr>
        <w:t xml:space="preserve">                          </w:t>
      </w:r>
      <w:r w:rsidR="0023554D">
        <w:rPr>
          <w:rFonts w:ascii="Arial" w:hAnsi="Arial" w:cs="Arial"/>
        </w:rPr>
        <w:t xml:space="preserve">        </w:t>
      </w:r>
      <w:r w:rsidRPr="0023554D">
        <w:rPr>
          <w:rFonts w:ascii="Arial" w:hAnsi="Arial" w:cs="Arial"/>
        </w:rPr>
        <w:t xml:space="preserve"> </w:t>
      </w:r>
      <w:r w:rsidR="00897479" w:rsidRPr="0023554D">
        <w:rPr>
          <w:rFonts w:ascii="Arial" w:hAnsi="Arial" w:cs="Arial"/>
        </w:rPr>
        <w:t>Fig 6b: TGA/DTA plot on DE/PAS</w:t>
      </w:r>
    </w:p>
    <w:p w14:paraId="5148E193" w14:textId="77777777" w:rsidR="001507BB" w:rsidRPr="0023554D" w:rsidRDefault="001507BB" w:rsidP="001507BB">
      <w:pPr>
        <w:pStyle w:val="NormalWeb"/>
        <w:jc w:val="both"/>
        <w:rPr>
          <w:rFonts w:ascii="Arial" w:hAnsi="Arial" w:cs="Arial"/>
          <w:sz w:val="22"/>
          <w:szCs w:val="22"/>
        </w:rPr>
      </w:pPr>
      <w:r w:rsidRPr="0023554D">
        <w:rPr>
          <w:rFonts w:ascii="Arial" w:hAnsi="Arial" w:cs="Arial"/>
          <w:sz w:val="22"/>
          <w:szCs w:val="22"/>
        </w:rPr>
        <w:t>Comparison of DE, PAS, and DE/PAS showed all materials were thermally stable up to ~300 °C, with major weight loss (~70–80%) occurring between 300–500 °C and final residues of 10–20% above 600 °C. DE degraded most rapidly (350–450 °C) with the strongest DTA peak, while PAS showed decomposition at 370–480 °C. The hybrid DE/PAS demonstrated the highest thermal stability, with delayed decomposition (~350–500 °C), weakest DTA peak, and controlled degradation behavio</w:t>
      </w:r>
      <w:r w:rsidR="004C5FD5" w:rsidRPr="0023554D">
        <w:rPr>
          <w:rFonts w:ascii="Arial" w:hAnsi="Arial" w:cs="Arial"/>
          <w:sz w:val="22"/>
          <w:szCs w:val="22"/>
        </w:rPr>
        <w:t>u</w:t>
      </w:r>
      <w:r w:rsidRPr="0023554D">
        <w:rPr>
          <w:rFonts w:ascii="Arial" w:hAnsi="Arial" w:cs="Arial"/>
          <w:sz w:val="22"/>
          <w:szCs w:val="22"/>
        </w:rPr>
        <w:t>r.</w:t>
      </w:r>
    </w:p>
    <w:p w14:paraId="74029F23" w14:textId="77777777" w:rsidR="00761850" w:rsidRPr="0023554D" w:rsidRDefault="00761850" w:rsidP="00761850">
      <w:pPr>
        <w:spacing w:after="0"/>
        <w:jc w:val="both"/>
        <w:rPr>
          <w:rStyle w:val="Strong"/>
          <w:rFonts w:ascii="Arial" w:hAnsi="Arial" w:cs="Arial"/>
        </w:rPr>
      </w:pPr>
      <w:r w:rsidRPr="0023554D">
        <w:rPr>
          <w:rStyle w:val="Strong"/>
          <w:rFonts w:ascii="Arial" w:hAnsi="Arial" w:cs="Arial"/>
        </w:rPr>
        <w:t>Table 1   Comparison of the three plots</w:t>
      </w:r>
    </w:p>
    <w:tbl>
      <w:tblPr>
        <w:tblW w:w="9194" w:type="dxa"/>
        <w:tblCellSpacing w:w="15" w:type="dxa"/>
        <w:tblLook w:val="04A0" w:firstRow="1" w:lastRow="0" w:firstColumn="1" w:lastColumn="0" w:noHBand="0" w:noVBand="1"/>
      </w:tblPr>
      <w:tblGrid>
        <w:gridCol w:w="3967"/>
        <w:gridCol w:w="1748"/>
        <w:gridCol w:w="1985"/>
        <w:gridCol w:w="1494"/>
      </w:tblGrid>
      <w:tr w:rsidR="00761850" w:rsidRPr="0023554D" w14:paraId="6785BFAF" w14:textId="77777777" w:rsidTr="00761850">
        <w:trPr>
          <w:tblHeader/>
          <w:tblCellSpacing w:w="15" w:type="dxa"/>
        </w:trPr>
        <w:tc>
          <w:tcPr>
            <w:tcW w:w="3922" w:type="dxa"/>
            <w:tcMar>
              <w:top w:w="15" w:type="dxa"/>
              <w:left w:w="15" w:type="dxa"/>
              <w:bottom w:w="15" w:type="dxa"/>
              <w:right w:w="15" w:type="dxa"/>
            </w:tcMar>
            <w:vAlign w:val="center"/>
            <w:hideMark/>
          </w:tcPr>
          <w:p w14:paraId="23A000A5" w14:textId="77777777" w:rsidR="00761850" w:rsidRPr="0023554D" w:rsidRDefault="00761850" w:rsidP="00BD6A74">
            <w:pPr>
              <w:spacing w:after="0" w:line="240" w:lineRule="auto"/>
              <w:jc w:val="both"/>
              <w:rPr>
                <w:rFonts w:ascii="Arial" w:hAnsi="Arial" w:cs="Arial"/>
                <w:bCs/>
                <w:kern w:val="2"/>
                <w14:ligatures w14:val="standardContextual"/>
              </w:rPr>
            </w:pPr>
            <w:r w:rsidRPr="0023554D">
              <w:rPr>
                <w:rFonts w:ascii="Arial" w:hAnsi="Arial" w:cs="Arial"/>
                <w:bCs/>
                <w:kern w:val="2"/>
                <w14:ligatures w14:val="standardContextual"/>
              </w:rPr>
              <w:t>Features</w:t>
            </w:r>
          </w:p>
        </w:tc>
        <w:tc>
          <w:tcPr>
            <w:tcW w:w="1718" w:type="dxa"/>
            <w:tcMar>
              <w:top w:w="15" w:type="dxa"/>
              <w:left w:w="15" w:type="dxa"/>
              <w:bottom w:w="15" w:type="dxa"/>
              <w:right w:w="15" w:type="dxa"/>
            </w:tcMar>
            <w:vAlign w:val="center"/>
            <w:hideMark/>
          </w:tcPr>
          <w:p w14:paraId="4C458864" w14:textId="77777777" w:rsidR="00761850" w:rsidRPr="0023554D" w:rsidRDefault="00761850" w:rsidP="00BD6A74">
            <w:pPr>
              <w:spacing w:after="0" w:line="240" w:lineRule="auto"/>
              <w:jc w:val="both"/>
              <w:rPr>
                <w:rFonts w:ascii="Arial" w:hAnsi="Arial" w:cs="Arial"/>
                <w:bCs/>
                <w:kern w:val="2"/>
                <w14:ligatures w14:val="standardContextual"/>
              </w:rPr>
            </w:pPr>
            <w:r w:rsidRPr="0023554D">
              <w:rPr>
                <w:rStyle w:val="Strong"/>
                <w:rFonts w:ascii="Arial" w:hAnsi="Arial" w:cs="Arial"/>
                <w:kern w:val="2"/>
                <w14:ligatures w14:val="standardContextual"/>
              </w:rPr>
              <w:t>DE</w:t>
            </w:r>
          </w:p>
        </w:tc>
        <w:tc>
          <w:tcPr>
            <w:tcW w:w="1955" w:type="dxa"/>
            <w:tcMar>
              <w:top w:w="15" w:type="dxa"/>
              <w:left w:w="15" w:type="dxa"/>
              <w:bottom w:w="15" w:type="dxa"/>
              <w:right w:w="15" w:type="dxa"/>
            </w:tcMar>
            <w:vAlign w:val="center"/>
            <w:hideMark/>
          </w:tcPr>
          <w:p w14:paraId="228E44FD" w14:textId="77777777" w:rsidR="00761850" w:rsidRPr="0023554D" w:rsidRDefault="00761850" w:rsidP="00BD6A74">
            <w:pPr>
              <w:spacing w:after="0" w:line="240" w:lineRule="auto"/>
              <w:jc w:val="both"/>
              <w:rPr>
                <w:rFonts w:ascii="Arial" w:hAnsi="Arial" w:cs="Arial"/>
                <w:bCs/>
                <w:kern w:val="2"/>
                <w14:ligatures w14:val="standardContextual"/>
              </w:rPr>
            </w:pPr>
            <w:r w:rsidRPr="0023554D">
              <w:rPr>
                <w:rStyle w:val="Strong"/>
                <w:rFonts w:ascii="Arial" w:hAnsi="Arial" w:cs="Arial"/>
                <w:kern w:val="2"/>
                <w14:ligatures w14:val="standardContextual"/>
              </w:rPr>
              <w:t>PAS</w:t>
            </w:r>
          </w:p>
        </w:tc>
        <w:tc>
          <w:tcPr>
            <w:tcW w:w="1449" w:type="dxa"/>
            <w:tcMar>
              <w:top w:w="15" w:type="dxa"/>
              <w:left w:w="15" w:type="dxa"/>
              <w:bottom w:w="15" w:type="dxa"/>
              <w:right w:w="15" w:type="dxa"/>
            </w:tcMar>
            <w:vAlign w:val="center"/>
            <w:hideMark/>
          </w:tcPr>
          <w:p w14:paraId="46F95D86" w14:textId="77777777" w:rsidR="00761850" w:rsidRPr="0023554D" w:rsidRDefault="00761850" w:rsidP="00BD6A74">
            <w:pPr>
              <w:spacing w:after="0" w:line="240" w:lineRule="auto"/>
              <w:jc w:val="both"/>
              <w:rPr>
                <w:rFonts w:ascii="Arial" w:hAnsi="Arial" w:cs="Arial"/>
                <w:bCs/>
                <w:kern w:val="2"/>
                <w14:ligatures w14:val="standardContextual"/>
              </w:rPr>
            </w:pPr>
            <w:r w:rsidRPr="0023554D">
              <w:rPr>
                <w:rStyle w:val="Strong"/>
                <w:rFonts w:ascii="Arial" w:hAnsi="Arial" w:cs="Arial"/>
                <w:kern w:val="2"/>
                <w14:ligatures w14:val="standardContextual"/>
              </w:rPr>
              <w:t>DE /PAS</w:t>
            </w:r>
          </w:p>
        </w:tc>
      </w:tr>
      <w:tr w:rsidR="00761850" w:rsidRPr="0023554D" w14:paraId="3BDD03F0" w14:textId="77777777" w:rsidTr="00761850">
        <w:trPr>
          <w:trHeight w:val="573"/>
          <w:tblCellSpacing w:w="15" w:type="dxa"/>
        </w:trPr>
        <w:tc>
          <w:tcPr>
            <w:tcW w:w="3922" w:type="dxa"/>
            <w:tcMar>
              <w:top w:w="15" w:type="dxa"/>
              <w:left w:w="15" w:type="dxa"/>
              <w:bottom w:w="15" w:type="dxa"/>
              <w:right w:w="15" w:type="dxa"/>
            </w:tcMar>
            <w:vAlign w:val="center"/>
            <w:hideMark/>
          </w:tcPr>
          <w:p w14:paraId="11178CE5" w14:textId="77777777" w:rsidR="00761850" w:rsidRPr="0023554D" w:rsidRDefault="00761850" w:rsidP="00BD6A74">
            <w:pPr>
              <w:spacing w:after="0" w:line="240" w:lineRule="auto"/>
              <w:jc w:val="both"/>
              <w:rPr>
                <w:rFonts w:ascii="Arial" w:hAnsi="Arial" w:cs="Arial"/>
                <w:b/>
                <w:kern w:val="2"/>
                <w14:ligatures w14:val="standardContextual"/>
              </w:rPr>
            </w:pPr>
            <w:r w:rsidRPr="0023554D">
              <w:rPr>
                <w:rStyle w:val="Strong"/>
                <w:rFonts w:ascii="Arial" w:hAnsi="Arial" w:cs="Arial"/>
                <w:b w:val="0"/>
                <w:kern w:val="2"/>
                <w14:ligatures w14:val="standardContextual"/>
              </w:rPr>
              <w:t>Initial decomposition temperature</w:t>
            </w:r>
          </w:p>
        </w:tc>
        <w:tc>
          <w:tcPr>
            <w:tcW w:w="1718" w:type="dxa"/>
            <w:tcMar>
              <w:top w:w="15" w:type="dxa"/>
              <w:left w:w="15" w:type="dxa"/>
              <w:bottom w:w="15" w:type="dxa"/>
              <w:right w:w="15" w:type="dxa"/>
            </w:tcMar>
            <w:vAlign w:val="center"/>
            <w:hideMark/>
          </w:tcPr>
          <w:p w14:paraId="4F84EB62" w14:textId="77777777" w:rsidR="00761850" w:rsidRPr="0023554D" w:rsidRDefault="00761850" w:rsidP="00BD6A74">
            <w:pPr>
              <w:spacing w:after="0" w:line="240" w:lineRule="auto"/>
              <w:jc w:val="both"/>
              <w:rPr>
                <w:rFonts w:ascii="Arial" w:hAnsi="Arial" w:cs="Arial"/>
                <w:kern w:val="2"/>
                <w14:ligatures w14:val="standardContextual"/>
              </w:rPr>
            </w:pPr>
            <w:r w:rsidRPr="0023554D">
              <w:rPr>
                <w:rFonts w:ascii="Arial" w:hAnsi="Arial" w:cs="Arial"/>
                <w:kern w:val="2"/>
                <w14:ligatures w14:val="standardContextual"/>
              </w:rPr>
              <w:t>~320°C</w:t>
            </w:r>
          </w:p>
        </w:tc>
        <w:tc>
          <w:tcPr>
            <w:tcW w:w="1955" w:type="dxa"/>
            <w:tcMar>
              <w:top w:w="15" w:type="dxa"/>
              <w:left w:w="15" w:type="dxa"/>
              <w:bottom w:w="15" w:type="dxa"/>
              <w:right w:w="15" w:type="dxa"/>
            </w:tcMar>
            <w:vAlign w:val="center"/>
            <w:hideMark/>
          </w:tcPr>
          <w:p w14:paraId="3946DF4D" w14:textId="77777777" w:rsidR="00761850" w:rsidRPr="0023554D" w:rsidRDefault="00761850" w:rsidP="00BD6A74">
            <w:pPr>
              <w:spacing w:after="0" w:line="240" w:lineRule="auto"/>
              <w:jc w:val="both"/>
              <w:rPr>
                <w:rFonts w:ascii="Arial" w:hAnsi="Arial" w:cs="Arial"/>
                <w:kern w:val="2"/>
                <w14:ligatures w14:val="standardContextual"/>
              </w:rPr>
            </w:pPr>
            <w:r w:rsidRPr="0023554D">
              <w:rPr>
                <w:rFonts w:ascii="Arial" w:hAnsi="Arial" w:cs="Arial"/>
                <w:kern w:val="2"/>
                <w14:ligatures w14:val="standardContextual"/>
              </w:rPr>
              <w:t>~340°C</w:t>
            </w:r>
          </w:p>
        </w:tc>
        <w:tc>
          <w:tcPr>
            <w:tcW w:w="1449" w:type="dxa"/>
            <w:tcMar>
              <w:top w:w="15" w:type="dxa"/>
              <w:left w:w="15" w:type="dxa"/>
              <w:bottom w:w="15" w:type="dxa"/>
              <w:right w:w="15" w:type="dxa"/>
            </w:tcMar>
            <w:vAlign w:val="center"/>
            <w:hideMark/>
          </w:tcPr>
          <w:p w14:paraId="6EF1587F" w14:textId="77777777" w:rsidR="00761850" w:rsidRPr="0023554D" w:rsidRDefault="00761850" w:rsidP="00BD6A74">
            <w:pPr>
              <w:spacing w:after="0" w:line="240" w:lineRule="auto"/>
              <w:jc w:val="both"/>
              <w:rPr>
                <w:rFonts w:ascii="Arial" w:hAnsi="Arial" w:cs="Arial"/>
                <w:kern w:val="2"/>
                <w14:ligatures w14:val="standardContextual"/>
              </w:rPr>
            </w:pPr>
            <w:r w:rsidRPr="0023554D">
              <w:rPr>
                <w:rFonts w:ascii="Arial" w:hAnsi="Arial" w:cs="Arial"/>
                <w:kern w:val="2"/>
                <w14:ligatures w14:val="standardContextual"/>
              </w:rPr>
              <w:t>~350°C</w:t>
            </w:r>
          </w:p>
        </w:tc>
      </w:tr>
      <w:tr w:rsidR="00761850" w:rsidRPr="0023554D" w14:paraId="01248C6E" w14:textId="77777777" w:rsidTr="00761850">
        <w:trPr>
          <w:trHeight w:val="570"/>
          <w:tblCellSpacing w:w="15" w:type="dxa"/>
        </w:trPr>
        <w:tc>
          <w:tcPr>
            <w:tcW w:w="3922" w:type="dxa"/>
            <w:tcMar>
              <w:top w:w="15" w:type="dxa"/>
              <w:left w:w="15" w:type="dxa"/>
              <w:bottom w:w="15" w:type="dxa"/>
              <w:right w:w="15" w:type="dxa"/>
            </w:tcMar>
            <w:vAlign w:val="center"/>
            <w:hideMark/>
          </w:tcPr>
          <w:p w14:paraId="28ECD525" w14:textId="77777777" w:rsidR="00761850" w:rsidRPr="0023554D" w:rsidRDefault="00761850" w:rsidP="00BD6A74">
            <w:pPr>
              <w:spacing w:after="0" w:line="240" w:lineRule="auto"/>
              <w:jc w:val="both"/>
              <w:rPr>
                <w:rFonts w:ascii="Arial" w:hAnsi="Arial" w:cs="Arial"/>
                <w:b/>
                <w:kern w:val="2"/>
                <w14:ligatures w14:val="standardContextual"/>
              </w:rPr>
            </w:pPr>
            <w:r w:rsidRPr="0023554D">
              <w:rPr>
                <w:rStyle w:val="Strong"/>
                <w:rFonts w:ascii="Arial" w:hAnsi="Arial" w:cs="Arial"/>
                <w:b w:val="0"/>
                <w:kern w:val="2"/>
                <w14:ligatures w14:val="standardContextual"/>
              </w:rPr>
              <w:t>Major weight loss range</w:t>
            </w:r>
          </w:p>
        </w:tc>
        <w:tc>
          <w:tcPr>
            <w:tcW w:w="1718" w:type="dxa"/>
            <w:tcMar>
              <w:top w:w="15" w:type="dxa"/>
              <w:left w:w="15" w:type="dxa"/>
              <w:bottom w:w="15" w:type="dxa"/>
              <w:right w:w="15" w:type="dxa"/>
            </w:tcMar>
            <w:vAlign w:val="center"/>
            <w:hideMark/>
          </w:tcPr>
          <w:p w14:paraId="20B9C6CF" w14:textId="77777777" w:rsidR="00761850" w:rsidRPr="0023554D" w:rsidRDefault="00761850" w:rsidP="00BD6A74">
            <w:pPr>
              <w:spacing w:after="0" w:line="240" w:lineRule="auto"/>
              <w:jc w:val="both"/>
              <w:rPr>
                <w:rFonts w:ascii="Arial" w:hAnsi="Arial" w:cs="Arial"/>
                <w:kern w:val="2"/>
                <w14:ligatures w14:val="standardContextual"/>
              </w:rPr>
            </w:pPr>
            <w:r w:rsidRPr="0023554D">
              <w:rPr>
                <w:rFonts w:ascii="Arial" w:hAnsi="Arial" w:cs="Arial"/>
                <w:kern w:val="2"/>
                <w14:ligatures w14:val="standardContextual"/>
              </w:rPr>
              <w:t>350-450°C</w:t>
            </w:r>
          </w:p>
        </w:tc>
        <w:tc>
          <w:tcPr>
            <w:tcW w:w="1955" w:type="dxa"/>
            <w:tcMar>
              <w:top w:w="15" w:type="dxa"/>
              <w:left w:w="15" w:type="dxa"/>
              <w:bottom w:w="15" w:type="dxa"/>
              <w:right w:w="15" w:type="dxa"/>
            </w:tcMar>
            <w:vAlign w:val="center"/>
            <w:hideMark/>
          </w:tcPr>
          <w:p w14:paraId="120CA8ED" w14:textId="77777777" w:rsidR="00761850" w:rsidRPr="0023554D" w:rsidRDefault="00761850" w:rsidP="00BD6A74">
            <w:pPr>
              <w:spacing w:after="0" w:line="240" w:lineRule="auto"/>
              <w:jc w:val="both"/>
              <w:rPr>
                <w:rFonts w:ascii="Arial" w:hAnsi="Arial" w:cs="Arial"/>
                <w:kern w:val="2"/>
                <w14:ligatures w14:val="standardContextual"/>
              </w:rPr>
            </w:pPr>
            <w:r w:rsidRPr="0023554D">
              <w:rPr>
                <w:rFonts w:ascii="Arial" w:hAnsi="Arial" w:cs="Arial"/>
                <w:kern w:val="2"/>
                <w14:ligatures w14:val="standardContextual"/>
              </w:rPr>
              <w:t>370-480°C</w:t>
            </w:r>
          </w:p>
        </w:tc>
        <w:tc>
          <w:tcPr>
            <w:tcW w:w="1449" w:type="dxa"/>
            <w:tcMar>
              <w:top w:w="15" w:type="dxa"/>
              <w:left w:w="15" w:type="dxa"/>
              <w:bottom w:w="15" w:type="dxa"/>
              <w:right w:w="15" w:type="dxa"/>
            </w:tcMar>
            <w:vAlign w:val="center"/>
            <w:hideMark/>
          </w:tcPr>
          <w:p w14:paraId="0AB948A5" w14:textId="77777777" w:rsidR="00761850" w:rsidRPr="0023554D" w:rsidRDefault="00761850" w:rsidP="00BD6A74">
            <w:pPr>
              <w:spacing w:after="0" w:line="240" w:lineRule="auto"/>
              <w:jc w:val="both"/>
              <w:rPr>
                <w:rFonts w:ascii="Arial" w:hAnsi="Arial" w:cs="Arial"/>
                <w:kern w:val="2"/>
                <w14:ligatures w14:val="standardContextual"/>
              </w:rPr>
            </w:pPr>
            <w:r w:rsidRPr="0023554D">
              <w:rPr>
                <w:rFonts w:ascii="Arial" w:hAnsi="Arial" w:cs="Arial"/>
                <w:kern w:val="2"/>
                <w14:ligatures w14:val="standardContextual"/>
              </w:rPr>
              <w:t>380-500°C</w:t>
            </w:r>
          </w:p>
        </w:tc>
      </w:tr>
      <w:tr w:rsidR="00761850" w:rsidRPr="0023554D" w14:paraId="58619D58" w14:textId="77777777" w:rsidTr="00761850">
        <w:trPr>
          <w:tblCellSpacing w:w="15" w:type="dxa"/>
        </w:trPr>
        <w:tc>
          <w:tcPr>
            <w:tcW w:w="3922" w:type="dxa"/>
            <w:tcMar>
              <w:top w:w="15" w:type="dxa"/>
              <w:left w:w="15" w:type="dxa"/>
              <w:bottom w:w="15" w:type="dxa"/>
              <w:right w:w="15" w:type="dxa"/>
            </w:tcMar>
            <w:vAlign w:val="center"/>
            <w:hideMark/>
          </w:tcPr>
          <w:p w14:paraId="722C0B0F" w14:textId="77777777" w:rsidR="00761850" w:rsidRPr="0023554D" w:rsidRDefault="00761850" w:rsidP="00BD6A74">
            <w:pPr>
              <w:spacing w:after="0" w:line="240" w:lineRule="auto"/>
              <w:jc w:val="both"/>
              <w:rPr>
                <w:rFonts w:ascii="Arial" w:hAnsi="Arial" w:cs="Arial"/>
                <w:b/>
                <w:kern w:val="2"/>
                <w14:ligatures w14:val="standardContextual"/>
              </w:rPr>
            </w:pPr>
            <w:r w:rsidRPr="0023554D">
              <w:rPr>
                <w:rStyle w:val="Strong"/>
                <w:rFonts w:ascii="Arial" w:hAnsi="Arial" w:cs="Arial"/>
                <w:b w:val="0"/>
                <w:kern w:val="2"/>
                <w14:ligatures w14:val="standardContextual"/>
              </w:rPr>
              <w:t>Residual mass (~950°C)</w:t>
            </w:r>
          </w:p>
        </w:tc>
        <w:tc>
          <w:tcPr>
            <w:tcW w:w="1718" w:type="dxa"/>
            <w:tcMar>
              <w:top w:w="15" w:type="dxa"/>
              <w:left w:w="15" w:type="dxa"/>
              <w:bottom w:w="15" w:type="dxa"/>
              <w:right w:w="15" w:type="dxa"/>
            </w:tcMar>
            <w:vAlign w:val="center"/>
            <w:hideMark/>
          </w:tcPr>
          <w:p w14:paraId="1EB13A02" w14:textId="77777777" w:rsidR="00761850" w:rsidRPr="0023554D" w:rsidRDefault="00761850" w:rsidP="00BD6A74">
            <w:pPr>
              <w:spacing w:after="0" w:line="240" w:lineRule="auto"/>
              <w:jc w:val="both"/>
              <w:rPr>
                <w:rFonts w:ascii="Arial" w:hAnsi="Arial" w:cs="Arial"/>
                <w:kern w:val="2"/>
                <w14:ligatures w14:val="standardContextual"/>
              </w:rPr>
            </w:pPr>
            <w:r w:rsidRPr="0023554D">
              <w:rPr>
                <w:rFonts w:ascii="Arial" w:hAnsi="Arial" w:cs="Arial"/>
                <w:kern w:val="2"/>
                <w14:ligatures w14:val="standardContextual"/>
              </w:rPr>
              <w:t>~15%</w:t>
            </w:r>
          </w:p>
        </w:tc>
        <w:tc>
          <w:tcPr>
            <w:tcW w:w="1955" w:type="dxa"/>
            <w:tcMar>
              <w:top w:w="15" w:type="dxa"/>
              <w:left w:w="15" w:type="dxa"/>
              <w:bottom w:w="15" w:type="dxa"/>
              <w:right w:w="15" w:type="dxa"/>
            </w:tcMar>
            <w:vAlign w:val="center"/>
            <w:hideMark/>
          </w:tcPr>
          <w:p w14:paraId="100B31FA" w14:textId="77777777" w:rsidR="00761850" w:rsidRPr="0023554D" w:rsidRDefault="00761850" w:rsidP="00BD6A74">
            <w:pPr>
              <w:spacing w:after="0" w:line="240" w:lineRule="auto"/>
              <w:jc w:val="both"/>
              <w:rPr>
                <w:rFonts w:ascii="Arial" w:hAnsi="Arial" w:cs="Arial"/>
                <w:kern w:val="2"/>
                <w14:ligatures w14:val="standardContextual"/>
              </w:rPr>
            </w:pPr>
            <w:r w:rsidRPr="0023554D">
              <w:rPr>
                <w:rFonts w:ascii="Arial" w:hAnsi="Arial" w:cs="Arial"/>
                <w:kern w:val="2"/>
                <w14:ligatures w14:val="standardContextual"/>
              </w:rPr>
              <w:t>~12%</w:t>
            </w:r>
          </w:p>
        </w:tc>
        <w:tc>
          <w:tcPr>
            <w:tcW w:w="1449" w:type="dxa"/>
            <w:tcMar>
              <w:top w:w="15" w:type="dxa"/>
              <w:left w:w="15" w:type="dxa"/>
              <w:bottom w:w="15" w:type="dxa"/>
              <w:right w:w="15" w:type="dxa"/>
            </w:tcMar>
            <w:vAlign w:val="center"/>
            <w:hideMark/>
          </w:tcPr>
          <w:p w14:paraId="1888EFBB" w14:textId="77777777" w:rsidR="00761850" w:rsidRPr="0023554D" w:rsidRDefault="00761850" w:rsidP="00BD6A74">
            <w:pPr>
              <w:spacing w:after="0" w:line="240" w:lineRule="auto"/>
              <w:jc w:val="both"/>
              <w:rPr>
                <w:rFonts w:ascii="Arial" w:hAnsi="Arial" w:cs="Arial"/>
                <w:kern w:val="2"/>
                <w14:ligatures w14:val="standardContextual"/>
              </w:rPr>
            </w:pPr>
            <w:r w:rsidRPr="0023554D">
              <w:rPr>
                <w:rFonts w:ascii="Arial" w:hAnsi="Arial" w:cs="Arial"/>
                <w:kern w:val="2"/>
                <w14:ligatures w14:val="standardContextual"/>
              </w:rPr>
              <w:t>~10%</w:t>
            </w:r>
          </w:p>
        </w:tc>
      </w:tr>
      <w:tr w:rsidR="00761850" w:rsidRPr="0023554D" w14:paraId="556D1F11" w14:textId="77777777" w:rsidTr="00761850">
        <w:trPr>
          <w:tblCellSpacing w:w="15" w:type="dxa"/>
        </w:trPr>
        <w:tc>
          <w:tcPr>
            <w:tcW w:w="3922" w:type="dxa"/>
            <w:tcMar>
              <w:top w:w="15" w:type="dxa"/>
              <w:left w:w="15" w:type="dxa"/>
              <w:bottom w:w="15" w:type="dxa"/>
              <w:right w:w="15" w:type="dxa"/>
            </w:tcMar>
            <w:vAlign w:val="center"/>
            <w:hideMark/>
          </w:tcPr>
          <w:p w14:paraId="33DE0C97" w14:textId="77777777" w:rsidR="00761850" w:rsidRPr="0023554D" w:rsidRDefault="00761850" w:rsidP="00BD6A74">
            <w:pPr>
              <w:spacing w:after="0" w:line="240" w:lineRule="auto"/>
              <w:jc w:val="both"/>
              <w:rPr>
                <w:rFonts w:ascii="Arial" w:hAnsi="Arial" w:cs="Arial"/>
                <w:b/>
                <w:kern w:val="2"/>
                <w14:ligatures w14:val="standardContextual"/>
              </w:rPr>
            </w:pPr>
            <w:r w:rsidRPr="0023554D">
              <w:rPr>
                <w:rStyle w:val="Strong"/>
                <w:rFonts w:ascii="Arial" w:hAnsi="Arial" w:cs="Arial"/>
                <w:b w:val="0"/>
                <w:kern w:val="2"/>
                <w14:ligatures w14:val="standardContextual"/>
              </w:rPr>
              <w:t>DTA peak temperature</w:t>
            </w:r>
          </w:p>
        </w:tc>
        <w:tc>
          <w:tcPr>
            <w:tcW w:w="1718" w:type="dxa"/>
            <w:tcMar>
              <w:top w:w="15" w:type="dxa"/>
              <w:left w:w="15" w:type="dxa"/>
              <w:bottom w:w="15" w:type="dxa"/>
              <w:right w:w="15" w:type="dxa"/>
            </w:tcMar>
            <w:vAlign w:val="center"/>
            <w:hideMark/>
          </w:tcPr>
          <w:p w14:paraId="6895CB9A" w14:textId="77777777" w:rsidR="00761850" w:rsidRPr="0023554D" w:rsidRDefault="00761850" w:rsidP="00BD6A74">
            <w:pPr>
              <w:spacing w:after="0" w:line="240" w:lineRule="auto"/>
              <w:jc w:val="both"/>
              <w:rPr>
                <w:rFonts w:ascii="Arial" w:hAnsi="Arial" w:cs="Arial"/>
                <w:kern w:val="2"/>
                <w14:ligatures w14:val="standardContextual"/>
              </w:rPr>
            </w:pPr>
            <w:r w:rsidRPr="0023554D">
              <w:rPr>
                <w:rFonts w:ascii="Arial" w:hAnsi="Arial" w:cs="Arial"/>
                <w:kern w:val="2"/>
                <w14:ligatures w14:val="standardContextual"/>
              </w:rPr>
              <w:t>~400°C</w:t>
            </w:r>
          </w:p>
        </w:tc>
        <w:tc>
          <w:tcPr>
            <w:tcW w:w="1955" w:type="dxa"/>
            <w:tcMar>
              <w:top w:w="15" w:type="dxa"/>
              <w:left w:w="15" w:type="dxa"/>
              <w:bottom w:w="15" w:type="dxa"/>
              <w:right w:w="15" w:type="dxa"/>
            </w:tcMar>
            <w:vAlign w:val="center"/>
            <w:hideMark/>
          </w:tcPr>
          <w:p w14:paraId="55B0CF7A" w14:textId="77777777" w:rsidR="00761850" w:rsidRPr="0023554D" w:rsidRDefault="00761850" w:rsidP="00BD6A74">
            <w:pPr>
              <w:spacing w:after="0" w:line="240" w:lineRule="auto"/>
              <w:jc w:val="both"/>
              <w:rPr>
                <w:rFonts w:ascii="Arial" w:hAnsi="Arial" w:cs="Arial"/>
                <w:kern w:val="2"/>
                <w14:ligatures w14:val="standardContextual"/>
              </w:rPr>
            </w:pPr>
            <w:r w:rsidRPr="0023554D">
              <w:rPr>
                <w:rFonts w:ascii="Arial" w:hAnsi="Arial" w:cs="Arial"/>
                <w:kern w:val="2"/>
                <w14:ligatures w14:val="standardContextual"/>
              </w:rPr>
              <w:t>~420°C</w:t>
            </w:r>
          </w:p>
        </w:tc>
        <w:tc>
          <w:tcPr>
            <w:tcW w:w="1449" w:type="dxa"/>
            <w:tcMar>
              <w:top w:w="15" w:type="dxa"/>
              <w:left w:w="15" w:type="dxa"/>
              <w:bottom w:w="15" w:type="dxa"/>
              <w:right w:w="15" w:type="dxa"/>
            </w:tcMar>
            <w:vAlign w:val="center"/>
            <w:hideMark/>
          </w:tcPr>
          <w:p w14:paraId="7B1450CF" w14:textId="77777777" w:rsidR="00761850" w:rsidRPr="0023554D" w:rsidRDefault="00761850" w:rsidP="00BD6A74">
            <w:pPr>
              <w:spacing w:after="0" w:line="240" w:lineRule="auto"/>
              <w:jc w:val="both"/>
              <w:rPr>
                <w:rFonts w:ascii="Arial" w:hAnsi="Arial" w:cs="Arial"/>
                <w:kern w:val="2"/>
                <w14:ligatures w14:val="standardContextual"/>
              </w:rPr>
            </w:pPr>
            <w:r w:rsidRPr="0023554D">
              <w:rPr>
                <w:rFonts w:ascii="Arial" w:hAnsi="Arial" w:cs="Arial"/>
                <w:kern w:val="2"/>
                <w14:ligatures w14:val="standardContextual"/>
              </w:rPr>
              <w:t>~430°C</w:t>
            </w:r>
          </w:p>
        </w:tc>
      </w:tr>
      <w:tr w:rsidR="00761850" w:rsidRPr="0023554D" w14:paraId="3D9D0029" w14:textId="77777777" w:rsidTr="00761850">
        <w:trPr>
          <w:tblCellSpacing w:w="15" w:type="dxa"/>
        </w:trPr>
        <w:tc>
          <w:tcPr>
            <w:tcW w:w="3922" w:type="dxa"/>
            <w:tcMar>
              <w:top w:w="15" w:type="dxa"/>
              <w:left w:w="15" w:type="dxa"/>
              <w:bottom w:w="15" w:type="dxa"/>
              <w:right w:w="15" w:type="dxa"/>
            </w:tcMar>
            <w:vAlign w:val="center"/>
            <w:hideMark/>
          </w:tcPr>
          <w:p w14:paraId="564DB168" w14:textId="77777777" w:rsidR="00761850" w:rsidRPr="0023554D" w:rsidRDefault="00761850" w:rsidP="00BD6A74">
            <w:pPr>
              <w:spacing w:after="0" w:line="240" w:lineRule="auto"/>
              <w:jc w:val="both"/>
              <w:rPr>
                <w:rFonts w:ascii="Arial" w:hAnsi="Arial" w:cs="Arial"/>
                <w:b/>
                <w:kern w:val="2"/>
                <w14:ligatures w14:val="standardContextual"/>
              </w:rPr>
            </w:pPr>
            <w:r w:rsidRPr="0023554D">
              <w:rPr>
                <w:rStyle w:val="Strong"/>
                <w:rFonts w:ascii="Arial" w:hAnsi="Arial" w:cs="Arial"/>
                <w:b w:val="0"/>
                <w:kern w:val="2"/>
                <w14:ligatures w14:val="standardContextual"/>
              </w:rPr>
              <w:t>Peak intensity (DTA Curve)</w:t>
            </w:r>
          </w:p>
        </w:tc>
        <w:tc>
          <w:tcPr>
            <w:tcW w:w="1718" w:type="dxa"/>
            <w:tcMar>
              <w:top w:w="15" w:type="dxa"/>
              <w:left w:w="15" w:type="dxa"/>
              <w:bottom w:w="15" w:type="dxa"/>
              <w:right w:w="15" w:type="dxa"/>
            </w:tcMar>
            <w:vAlign w:val="center"/>
            <w:hideMark/>
          </w:tcPr>
          <w:p w14:paraId="7D9BC1A3" w14:textId="77777777" w:rsidR="00761850" w:rsidRPr="0023554D" w:rsidRDefault="00761850" w:rsidP="00BD6A74">
            <w:pPr>
              <w:spacing w:after="0" w:line="240" w:lineRule="auto"/>
              <w:jc w:val="both"/>
              <w:rPr>
                <w:rFonts w:ascii="Arial" w:hAnsi="Arial" w:cs="Arial"/>
                <w:kern w:val="2"/>
                <w14:ligatures w14:val="standardContextual"/>
              </w:rPr>
            </w:pPr>
            <w:r w:rsidRPr="0023554D">
              <w:rPr>
                <w:rFonts w:ascii="Arial" w:hAnsi="Arial" w:cs="Arial"/>
                <w:kern w:val="2"/>
                <w14:ligatures w14:val="standardContextual"/>
              </w:rPr>
              <w:t>Strongest</w:t>
            </w:r>
          </w:p>
        </w:tc>
        <w:tc>
          <w:tcPr>
            <w:tcW w:w="1955" w:type="dxa"/>
            <w:tcMar>
              <w:top w:w="15" w:type="dxa"/>
              <w:left w:w="15" w:type="dxa"/>
              <w:bottom w:w="15" w:type="dxa"/>
              <w:right w:w="15" w:type="dxa"/>
            </w:tcMar>
            <w:vAlign w:val="center"/>
            <w:hideMark/>
          </w:tcPr>
          <w:p w14:paraId="5B6088C4" w14:textId="77777777" w:rsidR="00761850" w:rsidRPr="0023554D" w:rsidRDefault="00761850" w:rsidP="00BD6A74">
            <w:pPr>
              <w:spacing w:after="0" w:line="240" w:lineRule="auto"/>
              <w:jc w:val="both"/>
              <w:rPr>
                <w:rFonts w:ascii="Arial" w:hAnsi="Arial" w:cs="Arial"/>
                <w:kern w:val="2"/>
                <w14:ligatures w14:val="standardContextual"/>
              </w:rPr>
            </w:pPr>
            <w:r w:rsidRPr="0023554D">
              <w:rPr>
                <w:rFonts w:ascii="Arial" w:hAnsi="Arial" w:cs="Arial"/>
                <w:kern w:val="2"/>
                <w14:ligatures w14:val="standardContextual"/>
              </w:rPr>
              <w:t>Moderate</w:t>
            </w:r>
          </w:p>
        </w:tc>
        <w:tc>
          <w:tcPr>
            <w:tcW w:w="1449" w:type="dxa"/>
            <w:tcMar>
              <w:top w:w="15" w:type="dxa"/>
              <w:left w:w="15" w:type="dxa"/>
              <w:bottom w:w="15" w:type="dxa"/>
              <w:right w:w="15" w:type="dxa"/>
            </w:tcMar>
            <w:vAlign w:val="center"/>
            <w:hideMark/>
          </w:tcPr>
          <w:p w14:paraId="216BBF77" w14:textId="77777777" w:rsidR="00761850" w:rsidRPr="0023554D" w:rsidRDefault="00761850" w:rsidP="00BD6A74">
            <w:pPr>
              <w:spacing w:after="0" w:line="240" w:lineRule="auto"/>
              <w:jc w:val="both"/>
              <w:rPr>
                <w:rFonts w:ascii="Arial" w:hAnsi="Arial" w:cs="Arial"/>
                <w:kern w:val="2"/>
                <w14:ligatures w14:val="standardContextual"/>
              </w:rPr>
            </w:pPr>
            <w:r w:rsidRPr="0023554D">
              <w:rPr>
                <w:rFonts w:ascii="Arial" w:hAnsi="Arial" w:cs="Arial"/>
                <w:kern w:val="2"/>
                <w14:ligatures w14:val="standardContextual"/>
              </w:rPr>
              <w:t>Weakest</w:t>
            </w:r>
          </w:p>
        </w:tc>
      </w:tr>
    </w:tbl>
    <w:p w14:paraId="4B1C0D1F" w14:textId="77777777" w:rsidR="001507BB" w:rsidRPr="0023554D" w:rsidRDefault="001507BB" w:rsidP="001507BB">
      <w:pPr>
        <w:pStyle w:val="NormalWeb"/>
        <w:jc w:val="both"/>
        <w:rPr>
          <w:rFonts w:ascii="Arial" w:hAnsi="Arial" w:cs="Arial"/>
          <w:sz w:val="22"/>
          <w:szCs w:val="22"/>
        </w:rPr>
      </w:pPr>
      <w:r w:rsidRPr="0023554D">
        <w:rPr>
          <w:rFonts w:ascii="Arial" w:hAnsi="Arial" w:cs="Arial"/>
          <w:sz w:val="22"/>
          <w:szCs w:val="22"/>
        </w:rPr>
        <w:t xml:space="preserve">The enhanced stability of DE/PAS is attributed to crosslinking between functional groups in DE (aromatic esters, ethers, O–H, C=O, C=C, etc.) and silanol (Si–OH) groups on PAS, forming strong covalent Si–O–Si linkages. This crosslinking improves mechanical integrity and thermal resistance. SEM micrographs further confirmed surface modification and </w:t>
      </w:r>
      <w:r w:rsidRPr="0023554D">
        <w:rPr>
          <w:rFonts w:ascii="Arial" w:hAnsi="Arial" w:cs="Arial"/>
          <w:sz w:val="22"/>
          <w:szCs w:val="22"/>
        </w:rPr>
        <w:lastRenderedPageBreak/>
        <w:t xml:space="preserve">grafting of DE onto PAS. Similar improvements in hybrid systems have been reported in previous studies (Sharma et al., 2017; Zhang et al., 2009; </w:t>
      </w:r>
      <w:proofErr w:type="spellStart"/>
      <w:r w:rsidRPr="0023554D">
        <w:rPr>
          <w:rFonts w:ascii="Arial" w:hAnsi="Arial" w:cs="Arial"/>
          <w:sz w:val="22"/>
          <w:szCs w:val="22"/>
        </w:rPr>
        <w:t>Krispyna</w:t>
      </w:r>
      <w:proofErr w:type="spellEnd"/>
      <w:r w:rsidRPr="0023554D">
        <w:rPr>
          <w:rFonts w:ascii="Arial" w:hAnsi="Arial" w:cs="Arial"/>
          <w:sz w:val="22"/>
          <w:szCs w:val="22"/>
        </w:rPr>
        <w:t xml:space="preserve"> et al., 2017; Subramanian et al., 2017).</w:t>
      </w:r>
    </w:p>
    <w:p w14:paraId="0E302B24" w14:textId="77777777" w:rsidR="001507BB" w:rsidRPr="0023554D" w:rsidRDefault="001507BB" w:rsidP="001507BB">
      <w:pPr>
        <w:pStyle w:val="Heading3"/>
        <w:jc w:val="both"/>
        <w:rPr>
          <w:rFonts w:ascii="Arial" w:hAnsi="Arial" w:cs="Arial"/>
          <w:sz w:val="22"/>
          <w:szCs w:val="22"/>
        </w:rPr>
      </w:pPr>
      <w:r w:rsidRPr="0023554D">
        <w:rPr>
          <w:rFonts w:ascii="Arial" w:hAnsi="Arial" w:cs="Arial"/>
          <w:sz w:val="22"/>
          <w:szCs w:val="22"/>
        </w:rPr>
        <w:t>Conclusion</w:t>
      </w:r>
    </w:p>
    <w:p w14:paraId="68F3C57D" w14:textId="77777777" w:rsidR="001507BB" w:rsidRPr="0023554D" w:rsidRDefault="001507BB" w:rsidP="001507BB">
      <w:pPr>
        <w:pStyle w:val="NormalWeb"/>
        <w:jc w:val="both"/>
        <w:rPr>
          <w:rFonts w:ascii="Arial" w:hAnsi="Arial" w:cs="Arial"/>
          <w:sz w:val="22"/>
          <w:szCs w:val="22"/>
        </w:rPr>
      </w:pPr>
      <w:r w:rsidRPr="0023554D">
        <w:rPr>
          <w:rFonts w:ascii="Arial" w:hAnsi="Arial" w:cs="Arial"/>
          <w:sz w:val="22"/>
          <w:szCs w:val="22"/>
        </w:rPr>
        <w:t xml:space="preserve">The thermal performance of bio-based silica nanocomposites combining </w:t>
      </w:r>
      <w:proofErr w:type="spellStart"/>
      <w:r w:rsidRPr="0023554D">
        <w:rPr>
          <w:rStyle w:val="Emphasis"/>
          <w:rFonts w:ascii="Arial" w:hAnsi="Arial" w:cs="Arial"/>
          <w:sz w:val="22"/>
          <w:szCs w:val="22"/>
        </w:rPr>
        <w:t>Dacryodes</w:t>
      </w:r>
      <w:proofErr w:type="spellEnd"/>
      <w:r w:rsidRPr="0023554D">
        <w:rPr>
          <w:rStyle w:val="Emphasis"/>
          <w:rFonts w:ascii="Arial" w:hAnsi="Arial" w:cs="Arial"/>
          <w:sz w:val="22"/>
          <w:szCs w:val="22"/>
        </w:rPr>
        <w:t xml:space="preserve"> edulis</w:t>
      </w:r>
      <w:r w:rsidRPr="0023554D">
        <w:rPr>
          <w:rFonts w:ascii="Arial" w:hAnsi="Arial" w:cs="Arial"/>
          <w:sz w:val="22"/>
          <w:szCs w:val="22"/>
        </w:rPr>
        <w:t xml:space="preserve"> extract (DE) and precipitated amorphous silica (PAS) demonstrated that the DE/PAS hybrid offers substantially enhanced thermal stability. The hybrid’s degradation onset (~350 °C) occurs at higher temperatures compared to PAS (~340 °C) and DE (~320 °C), with a delayed and more controlled weight loss within 300–500 °C, and a subdued DTA peak (~430 °C). In contrast, DE exhibited the most abrupt decomposition and strongest DTA response, </w:t>
      </w:r>
      <w:proofErr w:type="spellStart"/>
      <w:r w:rsidRPr="0023554D">
        <w:rPr>
          <w:rFonts w:ascii="Arial" w:hAnsi="Arial" w:cs="Arial"/>
          <w:sz w:val="22"/>
          <w:szCs w:val="22"/>
        </w:rPr>
        <w:t>signaling</w:t>
      </w:r>
      <w:proofErr w:type="spellEnd"/>
      <w:r w:rsidRPr="0023554D">
        <w:rPr>
          <w:rFonts w:ascii="Arial" w:hAnsi="Arial" w:cs="Arial"/>
          <w:sz w:val="22"/>
          <w:szCs w:val="22"/>
        </w:rPr>
        <w:t xml:space="preserve"> rapid organic breakdown. These observations align with findings from organic–inorganic hybrid coatings, where covalent linkage between phases (as in Class II systems) markedly improves thermal resistance and modulus through enhanced interfacial </w:t>
      </w:r>
      <w:proofErr w:type="gramStart"/>
      <w:r w:rsidRPr="0023554D">
        <w:rPr>
          <w:rFonts w:ascii="Arial" w:hAnsi="Arial" w:cs="Arial"/>
          <w:sz w:val="22"/>
          <w:szCs w:val="22"/>
        </w:rPr>
        <w:t>bonding</w:t>
      </w:r>
      <w:r w:rsidR="004C5FD5" w:rsidRPr="0023554D">
        <w:rPr>
          <w:rStyle w:val="max-w-full"/>
          <w:rFonts w:ascii="Arial" w:hAnsi="Arial" w:cs="Arial"/>
          <w:sz w:val="22"/>
          <w:szCs w:val="22"/>
          <w:u w:val="single"/>
        </w:rPr>
        <w:t>.</w:t>
      </w:r>
      <w:r w:rsidR="00167D3F" w:rsidRPr="0023554D">
        <w:rPr>
          <w:rStyle w:val="max-w-full"/>
          <w:rFonts w:ascii="Arial" w:hAnsi="Arial" w:cs="Arial"/>
          <w:sz w:val="22"/>
          <w:szCs w:val="22"/>
          <w:u w:val="single"/>
        </w:rPr>
        <w:t>[</w:t>
      </w:r>
      <w:proofErr w:type="gramEnd"/>
      <w:r w:rsidR="00167D3F" w:rsidRPr="0023554D">
        <w:rPr>
          <w:rStyle w:val="max-w-full"/>
          <w:rFonts w:ascii="Arial" w:hAnsi="Arial" w:cs="Arial"/>
          <w:sz w:val="22"/>
          <w:szCs w:val="22"/>
          <w:u w:val="single"/>
        </w:rPr>
        <w:t>45]</w:t>
      </w:r>
    </w:p>
    <w:p w14:paraId="6AEC3C33" w14:textId="77777777" w:rsidR="001507BB" w:rsidRPr="0023554D" w:rsidRDefault="001507BB" w:rsidP="001507BB">
      <w:pPr>
        <w:pStyle w:val="NormalWeb"/>
        <w:jc w:val="both"/>
        <w:rPr>
          <w:rFonts w:ascii="Arial" w:hAnsi="Arial" w:cs="Arial"/>
          <w:sz w:val="22"/>
          <w:szCs w:val="22"/>
        </w:rPr>
      </w:pPr>
      <w:r w:rsidRPr="0023554D">
        <w:rPr>
          <w:rFonts w:ascii="Arial" w:hAnsi="Arial" w:cs="Arial"/>
          <w:sz w:val="22"/>
          <w:szCs w:val="22"/>
        </w:rPr>
        <w:t xml:space="preserve">SEM analysis confirmed a rough, grafted surface indicating robust interfacial bonding—consistent with improved mechanical strength and adhesion reported in other functional hybrid coating systems </w:t>
      </w:r>
    </w:p>
    <w:p w14:paraId="03CE7109" w14:textId="77777777" w:rsidR="001507BB" w:rsidRPr="0023554D" w:rsidRDefault="001507BB" w:rsidP="001507BB">
      <w:pPr>
        <w:pStyle w:val="NormalWeb"/>
        <w:jc w:val="both"/>
        <w:rPr>
          <w:rFonts w:ascii="Arial" w:hAnsi="Arial" w:cs="Arial"/>
          <w:b/>
          <w:sz w:val="22"/>
          <w:szCs w:val="22"/>
        </w:rPr>
      </w:pPr>
      <w:r w:rsidRPr="0023554D">
        <w:rPr>
          <w:rFonts w:ascii="Arial" w:hAnsi="Arial" w:cs="Arial"/>
          <w:sz w:val="22"/>
          <w:szCs w:val="22"/>
        </w:rPr>
        <w:t xml:space="preserve">Because of its elevated thermal resistance and controlled degradation, the DE/PAS hybrid holds strong potential as an eco-friendly additive in high-performance coatings—offering anti-sagging, scratch resistance, and corrosion protection, while avoiding hazardous additives like chromium. This aligns with growing literature emphasizing the need for </w:t>
      </w:r>
      <w:r w:rsidRPr="0023554D">
        <w:rPr>
          <w:rStyle w:val="Strong"/>
          <w:rFonts w:ascii="Arial" w:hAnsi="Arial" w:cs="Arial"/>
          <w:b w:val="0"/>
          <w:sz w:val="22"/>
          <w:szCs w:val="22"/>
        </w:rPr>
        <w:t>sustainable bio-based functional additives</w:t>
      </w:r>
      <w:r w:rsidRPr="0023554D">
        <w:rPr>
          <w:rFonts w:ascii="Arial" w:hAnsi="Arial" w:cs="Arial"/>
          <w:b/>
          <w:sz w:val="22"/>
          <w:szCs w:val="22"/>
        </w:rPr>
        <w:t xml:space="preserve"> </w:t>
      </w:r>
      <w:r w:rsidRPr="0023554D">
        <w:rPr>
          <w:rFonts w:ascii="Arial" w:hAnsi="Arial" w:cs="Arial"/>
          <w:sz w:val="22"/>
          <w:szCs w:val="22"/>
        </w:rPr>
        <w:t xml:space="preserve">in coatings with multifunctional </w:t>
      </w:r>
      <w:proofErr w:type="gramStart"/>
      <w:r w:rsidRPr="0023554D">
        <w:rPr>
          <w:rFonts w:ascii="Arial" w:hAnsi="Arial" w:cs="Arial"/>
          <w:sz w:val="22"/>
          <w:szCs w:val="22"/>
        </w:rPr>
        <w:t>properties</w:t>
      </w:r>
      <w:r w:rsidR="004C5FD5" w:rsidRPr="0023554D">
        <w:rPr>
          <w:rFonts w:ascii="Arial" w:hAnsi="Arial" w:cs="Arial"/>
          <w:sz w:val="22"/>
          <w:szCs w:val="22"/>
        </w:rPr>
        <w:t>[</w:t>
      </w:r>
      <w:proofErr w:type="gramEnd"/>
      <w:r w:rsidR="004C5FD5" w:rsidRPr="0023554D">
        <w:rPr>
          <w:rFonts w:ascii="Arial" w:hAnsi="Arial" w:cs="Arial"/>
          <w:sz w:val="22"/>
          <w:szCs w:val="22"/>
        </w:rPr>
        <w:t>43-45].</w:t>
      </w:r>
    </w:p>
    <w:p w14:paraId="21D3072A" w14:textId="77777777" w:rsidR="004C5FD5" w:rsidRPr="0023554D" w:rsidRDefault="001507BB" w:rsidP="002F57F6">
      <w:pPr>
        <w:pStyle w:val="NormalWeb"/>
        <w:jc w:val="both"/>
        <w:rPr>
          <w:rStyle w:val="max-w-full"/>
          <w:rFonts w:ascii="Arial" w:hAnsi="Arial" w:cs="Arial"/>
          <w:sz w:val="22"/>
          <w:szCs w:val="22"/>
          <w:u w:val="single"/>
        </w:rPr>
      </w:pPr>
      <w:r w:rsidRPr="0023554D">
        <w:rPr>
          <w:rFonts w:ascii="Arial" w:hAnsi="Arial" w:cs="Arial"/>
          <w:sz w:val="22"/>
          <w:szCs w:val="22"/>
        </w:rPr>
        <w:t>Beyond coatings, these findings pave the way for broader applications of bio-based hybrids in fields such as water purification, heavy metal sequestration, energy storage, and biomedical systems—areas increasingly explored in recent research on sustainable hybrid nanocomposites</w:t>
      </w:r>
      <w:r w:rsidR="004C5FD5" w:rsidRPr="0023554D">
        <w:rPr>
          <w:rStyle w:val="max-w-full"/>
          <w:rFonts w:ascii="Arial" w:hAnsi="Arial" w:cs="Arial"/>
          <w:sz w:val="22"/>
          <w:szCs w:val="22"/>
          <w:u w:val="single"/>
        </w:rPr>
        <w:t xml:space="preserve"> [42-43]</w:t>
      </w:r>
    </w:p>
    <w:p w14:paraId="65E9420B" w14:textId="77777777" w:rsidR="00731840" w:rsidRPr="0023554D" w:rsidRDefault="00731840" w:rsidP="002F57F6">
      <w:pPr>
        <w:pStyle w:val="NormalWeb"/>
        <w:jc w:val="both"/>
        <w:rPr>
          <w:rStyle w:val="max-w-full"/>
          <w:rFonts w:ascii="Arial" w:hAnsi="Arial" w:cs="Arial"/>
          <w:b/>
          <w:sz w:val="22"/>
          <w:szCs w:val="22"/>
        </w:rPr>
      </w:pPr>
      <w:bookmarkStart w:id="0" w:name="_GoBack"/>
      <w:bookmarkEnd w:id="0"/>
      <w:r w:rsidRPr="0023554D">
        <w:rPr>
          <w:rStyle w:val="max-w-full"/>
          <w:rFonts w:ascii="Arial" w:hAnsi="Arial" w:cs="Arial"/>
          <w:b/>
          <w:sz w:val="22"/>
          <w:szCs w:val="22"/>
        </w:rPr>
        <w:t xml:space="preserve">Conflict of interest </w:t>
      </w:r>
    </w:p>
    <w:p w14:paraId="4097891F" w14:textId="77777777" w:rsidR="00731840" w:rsidRPr="0023554D" w:rsidRDefault="00731840" w:rsidP="002F57F6">
      <w:pPr>
        <w:pStyle w:val="NormalWeb"/>
        <w:jc w:val="both"/>
        <w:rPr>
          <w:rStyle w:val="max-w-full"/>
          <w:rFonts w:ascii="Arial" w:hAnsi="Arial" w:cs="Arial"/>
          <w:sz w:val="22"/>
          <w:szCs w:val="22"/>
        </w:rPr>
      </w:pPr>
      <w:proofErr w:type="gramStart"/>
      <w:r w:rsidRPr="0023554D">
        <w:rPr>
          <w:rStyle w:val="max-w-full"/>
          <w:rFonts w:ascii="Arial" w:hAnsi="Arial" w:cs="Arial"/>
          <w:sz w:val="22"/>
          <w:szCs w:val="22"/>
        </w:rPr>
        <w:t>Non applicable</w:t>
      </w:r>
      <w:proofErr w:type="gramEnd"/>
    </w:p>
    <w:p w14:paraId="10743E09" w14:textId="77777777" w:rsidR="00731840" w:rsidRPr="0023554D" w:rsidRDefault="00731840" w:rsidP="002F57F6">
      <w:pPr>
        <w:pStyle w:val="NormalWeb"/>
        <w:jc w:val="both"/>
        <w:rPr>
          <w:rStyle w:val="max-w-full"/>
          <w:rFonts w:ascii="Arial" w:hAnsi="Arial" w:cs="Arial"/>
          <w:b/>
          <w:sz w:val="22"/>
          <w:szCs w:val="22"/>
        </w:rPr>
      </w:pPr>
      <w:r w:rsidRPr="0023554D">
        <w:rPr>
          <w:rStyle w:val="max-w-full"/>
          <w:rFonts w:ascii="Arial" w:hAnsi="Arial" w:cs="Arial"/>
          <w:b/>
          <w:sz w:val="22"/>
          <w:szCs w:val="22"/>
        </w:rPr>
        <w:t>Ethical guidelines</w:t>
      </w:r>
    </w:p>
    <w:p w14:paraId="567C9597" w14:textId="77777777" w:rsidR="00731840" w:rsidRPr="0023554D" w:rsidRDefault="00731840" w:rsidP="002F57F6">
      <w:pPr>
        <w:pStyle w:val="NormalWeb"/>
        <w:jc w:val="both"/>
        <w:rPr>
          <w:rStyle w:val="max-w-full"/>
          <w:rFonts w:ascii="Arial" w:hAnsi="Arial" w:cs="Arial"/>
          <w:sz w:val="22"/>
          <w:szCs w:val="22"/>
        </w:rPr>
      </w:pPr>
      <w:proofErr w:type="gramStart"/>
      <w:r w:rsidRPr="0023554D">
        <w:rPr>
          <w:rStyle w:val="max-w-full"/>
          <w:rFonts w:ascii="Arial" w:hAnsi="Arial" w:cs="Arial"/>
          <w:sz w:val="22"/>
          <w:szCs w:val="22"/>
        </w:rPr>
        <w:t>Non applicable</w:t>
      </w:r>
      <w:proofErr w:type="gramEnd"/>
    </w:p>
    <w:p w14:paraId="3E023909" w14:textId="77777777" w:rsidR="009802C9" w:rsidRPr="0023554D" w:rsidRDefault="004C5FD5" w:rsidP="004C5FD5">
      <w:pPr>
        <w:spacing w:before="100" w:beforeAutospacing="1" w:after="100" w:afterAutospacing="1" w:line="240" w:lineRule="auto"/>
        <w:jc w:val="both"/>
        <w:rPr>
          <w:rFonts w:ascii="Arial" w:eastAsia="Times New Roman" w:hAnsi="Arial" w:cs="Arial"/>
          <w:lang w:eastAsia="en-GB"/>
        </w:rPr>
      </w:pPr>
      <w:r w:rsidRPr="0023554D">
        <w:rPr>
          <w:rFonts w:ascii="Arial" w:eastAsia="Times New Roman" w:hAnsi="Arial" w:cs="Arial"/>
          <w:lang w:eastAsia="en-GB"/>
        </w:rPr>
        <w:t>References</w:t>
      </w:r>
    </w:p>
    <w:p w14:paraId="7652EDA6" w14:textId="77777777" w:rsidR="009802C9" w:rsidRPr="0023554D" w:rsidRDefault="004C5FD5" w:rsidP="00353AB1">
      <w:pPr>
        <w:pStyle w:val="ListParagraph"/>
        <w:numPr>
          <w:ilvl w:val="0"/>
          <w:numId w:val="2"/>
        </w:numPr>
        <w:spacing w:after="0"/>
        <w:jc w:val="both"/>
        <w:rPr>
          <w:rFonts w:ascii="Arial" w:eastAsia="Times New Roman" w:hAnsi="Arial" w:cs="Arial"/>
          <w:lang w:eastAsia="en-GB"/>
        </w:rPr>
      </w:pPr>
      <w:r w:rsidRPr="0023554D">
        <w:rPr>
          <w:rFonts w:ascii="Arial" w:eastAsia="Times New Roman" w:hAnsi="Arial" w:cs="Arial"/>
          <w:lang w:eastAsia="en-GB"/>
        </w:rPr>
        <w:t xml:space="preserve">Sánchez, C., Julián, B., Belleville, P., &amp; </w:t>
      </w:r>
      <w:proofErr w:type="spellStart"/>
      <w:r w:rsidRPr="0023554D">
        <w:rPr>
          <w:rFonts w:ascii="Arial" w:eastAsia="Times New Roman" w:hAnsi="Arial" w:cs="Arial"/>
          <w:lang w:eastAsia="en-GB"/>
        </w:rPr>
        <w:t>Popall</w:t>
      </w:r>
      <w:proofErr w:type="spellEnd"/>
      <w:r w:rsidRPr="0023554D">
        <w:rPr>
          <w:rFonts w:ascii="Arial" w:eastAsia="Times New Roman" w:hAnsi="Arial" w:cs="Arial"/>
          <w:lang w:eastAsia="en-GB"/>
        </w:rPr>
        <w:t>, M. (2005). Applicati</w:t>
      </w:r>
      <w:r w:rsidR="009802C9" w:rsidRPr="0023554D">
        <w:rPr>
          <w:rFonts w:ascii="Arial" w:eastAsia="Times New Roman" w:hAnsi="Arial" w:cs="Arial"/>
          <w:lang w:eastAsia="en-GB"/>
        </w:rPr>
        <w:t>ons of hybrid organic–inorganic</w:t>
      </w:r>
    </w:p>
    <w:p w14:paraId="66740246" w14:textId="77777777" w:rsidR="004C5FD5" w:rsidRPr="0023554D" w:rsidRDefault="004C5FD5" w:rsidP="00353AB1">
      <w:pPr>
        <w:spacing w:after="0"/>
        <w:ind w:left="720"/>
        <w:jc w:val="both"/>
        <w:rPr>
          <w:rFonts w:ascii="Arial" w:eastAsia="Times New Roman" w:hAnsi="Arial" w:cs="Arial"/>
          <w:lang w:eastAsia="en-GB"/>
        </w:rPr>
      </w:pPr>
      <w:r w:rsidRPr="0023554D">
        <w:rPr>
          <w:rFonts w:ascii="Arial" w:eastAsia="Times New Roman" w:hAnsi="Arial" w:cs="Arial"/>
          <w:lang w:eastAsia="en-GB"/>
        </w:rPr>
        <w:t xml:space="preserve">nanocomposites. </w:t>
      </w:r>
      <w:r w:rsidRPr="0023554D">
        <w:rPr>
          <w:rFonts w:ascii="Arial" w:eastAsia="Times New Roman" w:hAnsi="Arial" w:cs="Arial"/>
          <w:i/>
          <w:iCs/>
          <w:lang w:eastAsia="en-GB"/>
        </w:rPr>
        <w:t>Journal of Materials Chemistry, 15</w:t>
      </w:r>
      <w:r w:rsidRPr="0023554D">
        <w:rPr>
          <w:rFonts w:ascii="Arial" w:eastAsia="Times New Roman" w:hAnsi="Arial" w:cs="Arial"/>
          <w:lang w:eastAsia="en-GB"/>
        </w:rPr>
        <w:t>(35–36), 3559–3592. https://doi.org/10.1039/B509097K</w:t>
      </w:r>
    </w:p>
    <w:p w14:paraId="0B8812C5"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proofErr w:type="spellStart"/>
      <w:r w:rsidRPr="0023554D">
        <w:rPr>
          <w:rFonts w:ascii="Arial" w:eastAsia="Times New Roman" w:hAnsi="Arial" w:cs="Arial"/>
          <w:lang w:eastAsia="en-GB"/>
        </w:rPr>
        <w:t>Kickelbick</w:t>
      </w:r>
      <w:proofErr w:type="spellEnd"/>
      <w:r w:rsidRPr="0023554D">
        <w:rPr>
          <w:rFonts w:ascii="Arial" w:eastAsia="Times New Roman" w:hAnsi="Arial" w:cs="Arial"/>
          <w:lang w:eastAsia="en-GB"/>
        </w:rPr>
        <w:t xml:space="preserve">, G. (2007). </w:t>
      </w:r>
      <w:r w:rsidRPr="0023554D">
        <w:rPr>
          <w:rFonts w:ascii="Arial" w:eastAsia="Times New Roman" w:hAnsi="Arial" w:cs="Arial"/>
          <w:i/>
          <w:iCs/>
          <w:lang w:eastAsia="en-GB"/>
        </w:rPr>
        <w:t>Hybrid Materials: Synthesis, Characterization, and Applications</w:t>
      </w:r>
      <w:r w:rsidRPr="0023554D">
        <w:rPr>
          <w:rFonts w:ascii="Arial" w:eastAsia="Times New Roman" w:hAnsi="Arial" w:cs="Arial"/>
          <w:lang w:eastAsia="en-GB"/>
        </w:rPr>
        <w:t>. Wiley-VCH. https://doi.org/10.1002/9783527610485</w:t>
      </w:r>
    </w:p>
    <w:p w14:paraId="7E44D326"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proofErr w:type="spellStart"/>
      <w:r w:rsidRPr="0023554D">
        <w:rPr>
          <w:rFonts w:ascii="Arial" w:eastAsia="Times New Roman" w:hAnsi="Arial" w:cs="Arial"/>
          <w:lang w:eastAsia="en-GB"/>
        </w:rPr>
        <w:t>Barkalow</w:t>
      </w:r>
      <w:proofErr w:type="spellEnd"/>
      <w:r w:rsidRPr="0023554D">
        <w:rPr>
          <w:rFonts w:ascii="Arial" w:eastAsia="Times New Roman" w:hAnsi="Arial" w:cs="Arial"/>
          <w:lang w:eastAsia="en-GB"/>
        </w:rPr>
        <w:t xml:space="preserve">, R.H. (1990). Precipitated silica: properties and applications. </w:t>
      </w:r>
      <w:r w:rsidRPr="0023554D">
        <w:rPr>
          <w:rFonts w:ascii="Arial" w:eastAsia="Times New Roman" w:hAnsi="Arial" w:cs="Arial"/>
          <w:i/>
          <w:iCs/>
          <w:lang w:eastAsia="en-GB"/>
        </w:rPr>
        <w:t>Journal of Coatings Technology, 62</w:t>
      </w:r>
      <w:r w:rsidRPr="0023554D">
        <w:rPr>
          <w:rFonts w:ascii="Arial" w:eastAsia="Times New Roman" w:hAnsi="Arial" w:cs="Arial"/>
          <w:lang w:eastAsia="en-GB"/>
        </w:rPr>
        <w:t>(785), 63–72. https://doi.org/10.1007/BF02695813</w:t>
      </w:r>
    </w:p>
    <w:p w14:paraId="316552DD"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r w:rsidRPr="0023554D">
        <w:rPr>
          <w:rFonts w:ascii="Arial" w:eastAsia="Times New Roman" w:hAnsi="Arial" w:cs="Arial"/>
          <w:lang w:eastAsia="en-GB"/>
        </w:rPr>
        <w:t xml:space="preserve">Braun, D., </w:t>
      </w:r>
      <w:proofErr w:type="spellStart"/>
      <w:r w:rsidRPr="0023554D">
        <w:rPr>
          <w:rFonts w:ascii="Arial" w:eastAsia="Times New Roman" w:hAnsi="Arial" w:cs="Arial"/>
          <w:lang w:eastAsia="en-GB"/>
        </w:rPr>
        <w:t>Cherdron</w:t>
      </w:r>
      <w:proofErr w:type="spellEnd"/>
      <w:r w:rsidRPr="0023554D">
        <w:rPr>
          <w:rFonts w:ascii="Arial" w:eastAsia="Times New Roman" w:hAnsi="Arial" w:cs="Arial"/>
          <w:lang w:eastAsia="en-GB"/>
        </w:rPr>
        <w:t xml:space="preserve">, H., &amp; Kern, W. (2013). </w:t>
      </w:r>
      <w:r w:rsidRPr="0023554D">
        <w:rPr>
          <w:rFonts w:ascii="Arial" w:eastAsia="Times New Roman" w:hAnsi="Arial" w:cs="Arial"/>
          <w:i/>
          <w:iCs/>
          <w:lang w:eastAsia="en-GB"/>
        </w:rPr>
        <w:t>Polymer Synthesis: Theory and Practice</w:t>
      </w:r>
      <w:r w:rsidRPr="0023554D">
        <w:rPr>
          <w:rFonts w:ascii="Arial" w:eastAsia="Times New Roman" w:hAnsi="Arial" w:cs="Arial"/>
          <w:lang w:eastAsia="en-GB"/>
        </w:rPr>
        <w:t>. Springer. https://doi.org/10.1007/978-3-642-38557-3</w:t>
      </w:r>
    </w:p>
    <w:p w14:paraId="1728BE15"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r w:rsidRPr="0023554D">
        <w:rPr>
          <w:rFonts w:ascii="Arial" w:eastAsia="Times New Roman" w:hAnsi="Arial" w:cs="Arial"/>
          <w:lang w:eastAsia="en-GB"/>
        </w:rPr>
        <w:lastRenderedPageBreak/>
        <w:t xml:space="preserve">Raja, P.B., &amp; </w:t>
      </w:r>
      <w:proofErr w:type="spellStart"/>
      <w:r w:rsidRPr="0023554D">
        <w:rPr>
          <w:rFonts w:ascii="Arial" w:eastAsia="Times New Roman" w:hAnsi="Arial" w:cs="Arial"/>
          <w:lang w:eastAsia="en-GB"/>
        </w:rPr>
        <w:t>Sethuraman</w:t>
      </w:r>
      <w:proofErr w:type="spellEnd"/>
      <w:r w:rsidRPr="0023554D">
        <w:rPr>
          <w:rFonts w:ascii="Arial" w:eastAsia="Times New Roman" w:hAnsi="Arial" w:cs="Arial"/>
          <w:lang w:eastAsia="en-GB"/>
        </w:rPr>
        <w:t xml:space="preserve">, M.G. (2008). Natural products as corrosion inhibitors for metals in corrosive media – A review. </w:t>
      </w:r>
      <w:r w:rsidRPr="0023554D">
        <w:rPr>
          <w:rFonts w:ascii="Arial" w:eastAsia="Times New Roman" w:hAnsi="Arial" w:cs="Arial"/>
          <w:i/>
          <w:iCs/>
          <w:lang w:eastAsia="en-GB"/>
        </w:rPr>
        <w:t>Materials Letters, 62</w:t>
      </w:r>
      <w:r w:rsidRPr="0023554D">
        <w:rPr>
          <w:rFonts w:ascii="Arial" w:eastAsia="Times New Roman" w:hAnsi="Arial" w:cs="Arial"/>
          <w:lang w:eastAsia="en-GB"/>
        </w:rPr>
        <w:t>(1), 113–116. https://doi.org/10.1016/j.matlet.2007.04.079</w:t>
      </w:r>
    </w:p>
    <w:p w14:paraId="1110DE49"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r w:rsidRPr="0023554D">
        <w:rPr>
          <w:rFonts w:ascii="Arial" w:eastAsia="Times New Roman" w:hAnsi="Arial" w:cs="Arial"/>
          <w:lang w:eastAsia="en-GB"/>
        </w:rPr>
        <w:t xml:space="preserve">Rani, B.E.A., &amp; </w:t>
      </w:r>
      <w:proofErr w:type="spellStart"/>
      <w:r w:rsidRPr="0023554D">
        <w:rPr>
          <w:rFonts w:ascii="Arial" w:eastAsia="Times New Roman" w:hAnsi="Arial" w:cs="Arial"/>
          <w:lang w:eastAsia="en-GB"/>
        </w:rPr>
        <w:t>Basu</w:t>
      </w:r>
      <w:proofErr w:type="spellEnd"/>
      <w:r w:rsidRPr="0023554D">
        <w:rPr>
          <w:rFonts w:ascii="Arial" w:eastAsia="Times New Roman" w:hAnsi="Arial" w:cs="Arial"/>
          <w:lang w:eastAsia="en-GB"/>
        </w:rPr>
        <w:t xml:space="preserve">, B.B.J. (2012). Green inhibitors for corrosion protection of metals and alloys: An overview. </w:t>
      </w:r>
      <w:r w:rsidRPr="0023554D">
        <w:rPr>
          <w:rFonts w:ascii="Arial" w:eastAsia="Times New Roman" w:hAnsi="Arial" w:cs="Arial"/>
          <w:i/>
          <w:iCs/>
          <w:lang w:eastAsia="en-GB"/>
        </w:rPr>
        <w:t>International Journal of Corrosion, 2012</w:t>
      </w:r>
      <w:r w:rsidRPr="0023554D">
        <w:rPr>
          <w:rFonts w:ascii="Arial" w:eastAsia="Times New Roman" w:hAnsi="Arial" w:cs="Arial"/>
          <w:lang w:eastAsia="en-GB"/>
        </w:rPr>
        <w:t>, 1–15. https://doi.org/10.1155/2012/380217</w:t>
      </w:r>
    </w:p>
    <w:p w14:paraId="4F2C41E7"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proofErr w:type="spellStart"/>
      <w:r w:rsidRPr="0023554D">
        <w:rPr>
          <w:rFonts w:ascii="Arial" w:eastAsia="Times New Roman" w:hAnsi="Arial" w:cs="Arial"/>
          <w:lang w:eastAsia="en-GB"/>
        </w:rPr>
        <w:t>Agiriga</w:t>
      </w:r>
      <w:proofErr w:type="spellEnd"/>
      <w:r w:rsidRPr="0023554D">
        <w:rPr>
          <w:rFonts w:ascii="Arial" w:eastAsia="Times New Roman" w:hAnsi="Arial" w:cs="Arial"/>
          <w:lang w:eastAsia="en-GB"/>
        </w:rPr>
        <w:t xml:space="preserve">, A.N., </w:t>
      </w:r>
      <w:proofErr w:type="spellStart"/>
      <w:r w:rsidRPr="0023554D">
        <w:rPr>
          <w:rFonts w:ascii="Arial" w:eastAsia="Times New Roman" w:hAnsi="Arial" w:cs="Arial"/>
          <w:lang w:eastAsia="en-GB"/>
        </w:rPr>
        <w:t>Umerie</w:t>
      </w:r>
      <w:proofErr w:type="spellEnd"/>
      <w:r w:rsidRPr="0023554D">
        <w:rPr>
          <w:rFonts w:ascii="Arial" w:eastAsia="Times New Roman" w:hAnsi="Arial" w:cs="Arial"/>
          <w:lang w:eastAsia="en-GB"/>
        </w:rPr>
        <w:t xml:space="preserve">, S.C., &amp; </w:t>
      </w:r>
      <w:proofErr w:type="spellStart"/>
      <w:r w:rsidRPr="0023554D">
        <w:rPr>
          <w:rFonts w:ascii="Arial" w:eastAsia="Times New Roman" w:hAnsi="Arial" w:cs="Arial"/>
          <w:lang w:eastAsia="en-GB"/>
        </w:rPr>
        <w:t>Onwuka</w:t>
      </w:r>
      <w:proofErr w:type="spellEnd"/>
      <w:r w:rsidRPr="0023554D">
        <w:rPr>
          <w:rFonts w:ascii="Arial" w:eastAsia="Times New Roman" w:hAnsi="Arial" w:cs="Arial"/>
          <w:lang w:eastAsia="en-GB"/>
        </w:rPr>
        <w:t xml:space="preserve">, G.I. (2019). Phytochemical and nutritional composition of </w:t>
      </w:r>
      <w:proofErr w:type="spellStart"/>
      <w:r w:rsidRPr="0023554D">
        <w:rPr>
          <w:rFonts w:ascii="Arial" w:eastAsia="Times New Roman" w:hAnsi="Arial" w:cs="Arial"/>
          <w:i/>
          <w:iCs/>
          <w:lang w:eastAsia="en-GB"/>
        </w:rPr>
        <w:t>Dacryodes</w:t>
      </w:r>
      <w:proofErr w:type="spellEnd"/>
      <w:r w:rsidRPr="0023554D">
        <w:rPr>
          <w:rFonts w:ascii="Arial" w:eastAsia="Times New Roman" w:hAnsi="Arial" w:cs="Arial"/>
          <w:i/>
          <w:iCs/>
          <w:lang w:eastAsia="en-GB"/>
        </w:rPr>
        <w:t xml:space="preserve"> edulis</w:t>
      </w:r>
      <w:r w:rsidRPr="0023554D">
        <w:rPr>
          <w:rFonts w:ascii="Arial" w:eastAsia="Times New Roman" w:hAnsi="Arial" w:cs="Arial"/>
          <w:lang w:eastAsia="en-GB"/>
        </w:rPr>
        <w:t xml:space="preserve">. </w:t>
      </w:r>
      <w:r w:rsidRPr="0023554D">
        <w:rPr>
          <w:rFonts w:ascii="Arial" w:eastAsia="Times New Roman" w:hAnsi="Arial" w:cs="Arial"/>
          <w:i/>
          <w:iCs/>
          <w:lang w:eastAsia="en-GB"/>
        </w:rPr>
        <w:t>Journal of Food Science and Nutrition, 7</w:t>
      </w:r>
      <w:r w:rsidRPr="0023554D">
        <w:rPr>
          <w:rFonts w:ascii="Arial" w:eastAsia="Times New Roman" w:hAnsi="Arial" w:cs="Arial"/>
          <w:lang w:eastAsia="en-GB"/>
        </w:rPr>
        <w:t>(2), 456–463. https://doi.org/10.1002/fsn3.932</w:t>
      </w:r>
    </w:p>
    <w:p w14:paraId="6FE91B46"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r w:rsidRPr="0023554D">
        <w:rPr>
          <w:rFonts w:ascii="Arial" w:eastAsia="Times New Roman" w:hAnsi="Arial" w:cs="Arial"/>
          <w:lang w:eastAsia="en-GB"/>
        </w:rPr>
        <w:t xml:space="preserve">Udo, I.U., &amp; </w:t>
      </w:r>
      <w:proofErr w:type="spellStart"/>
      <w:r w:rsidRPr="0023554D">
        <w:rPr>
          <w:rFonts w:ascii="Arial" w:eastAsia="Times New Roman" w:hAnsi="Arial" w:cs="Arial"/>
          <w:lang w:eastAsia="en-GB"/>
        </w:rPr>
        <w:t>Udofia</w:t>
      </w:r>
      <w:proofErr w:type="spellEnd"/>
      <w:r w:rsidRPr="0023554D">
        <w:rPr>
          <w:rFonts w:ascii="Arial" w:eastAsia="Times New Roman" w:hAnsi="Arial" w:cs="Arial"/>
          <w:lang w:eastAsia="en-GB"/>
        </w:rPr>
        <w:t xml:space="preserve">, U.S. (2016). Characterization of </w:t>
      </w:r>
      <w:proofErr w:type="spellStart"/>
      <w:r w:rsidRPr="0023554D">
        <w:rPr>
          <w:rFonts w:ascii="Arial" w:eastAsia="Times New Roman" w:hAnsi="Arial" w:cs="Arial"/>
          <w:i/>
          <w:iCs/>
          <w:lang w:eastAsia="en-GB"/>
        </w:rPr>
        <w:t>Dacryodes</w:t>
      </w:r>
      <w:proofErr w:type="spellEnd"/>
      <w:r w:rsidRPr="0023554D">
        <w:rPr>
          <w:rFonts w:ascii="Arial" w:eastAsia="Times New Roman" w:hAnsi="Arial" w:cs="Arial"/>
          <w:i/>
          <w:iCs/>
          <w:lang w:eastAsia="en-GB"/>
        </w:rPr>
        <w:t xml:space="preserve"> edulis</w:t>
      </w:r>
      <w:r w:rsidRPr="0023554D">
        <w:rPr>
          <w:rFonts w:ascii="Arial" w:eastAsia="Times New Roman" w:hAnsi="Arial" w:cs="Arial"/>
          <w:lang w:eastAsia="en-GB"/>
        </w:rPr>
        <w:t xml:space="preserve"> extracts: potential industrial and medicinal applications. </w:t>
      </w:r>
      <w:r w:rsidRPr="0023554D">
        <w:rPr>
          <w:rFonts w:ascii="Arial" w:eastAsia="Times New Roman" w:hAnsi="Arial" w:cs="Arial"/>
          <w:i/>
          <w:iCs/>
          <w:lang w:eastAsia="en-GB"/>
        </w:rPr>
        <w:t>International Journal of Current Research in Biosciences and Plant Biology, 3</w:t>
      </w:r>
      <w:r w:rsidRPr="0023554D">
        <w:rPr>
          <w:rFonts w:ascii="Arial" w:eastAsia="Times New Roman" w:hAnsi="Arial" w:cs="Arial"/>
          <w:lang w:eastAsia="en-GB"/>
        </w:rPr>
        <w:t>(5), 56–64. https://doi.org/10.20546/ijcrbp.2016.305.007</w:t>
      </w:r>
    </w:p>
    <w:p w14:paraId="5CC83CE5"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r w:rsidRPr="0023554D">
        <w:rPr>
          <w:rFonts w:ascii="Arial" w:eastAsia="Times New Roman" w:hAnsi="Arial" w:cs="Arial"/>
          <w:lang w:eastAsia="en-GB"/>
        </w:rPr>
        <w:t xml:space="preserve">Sharif, M., et al. (2012). Organic–inorganic hybrid materials based on polyurethane fatty amide and TEOS: Improved thermal stability. </w:t>
      </w:r>
      <w:r w:rsidRPr="0023554D">
        <w:rPr>
          <w:rFonts w:ascii="Arial" w:eastAsia="Times New Roman" w:hAnsi="Arial" w:cs="Arial"/>
          <w:i/>
          <w:iCs/>
          <w:lang w:eastAsia="en-GB"/>
        </w:rPr>
        <w:t>Progress in Organic Coatings, 75</w:t>
      </w:r>
      <w:r w:rsidRPr="0023554D">
        <w:rPr>
          <w:rFonts w:ascii="Arial" w:eastAsia="Times New Roman" w:hAnsi="Arial" w:cs="Arial"/>
          <w:lang w:eastAsia="en-GB"/>
        </w:rPr>
        <w:t>(1–2), 45–52. https://doi.org/10.1016/j.porgcoat.2012.03.017</w:t>
      </w:r>
    </w:p>
    <w:p w14:paraId="08D50FC3"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proofErr w:type="spellStart"/>
      <w:r w:rsidRPr="0023554D">
        <w:rPr>
          <w:rFonts w:ascii="Arial" w:eastAsia="Times New Roman" w:hAnsi="Arial" w:cs="Arial"/>
          <w:lang w:eastAsia="en-GB"/>
        </w:rPr>
        <w:t>Rohanizadeh</w:t>
      </w:r>
      <w:proofErr w:type="spellEnd"/>
      <w:r w:rsidRPr="0023554D">
        <w:rPr>
          <w:rFonts w:ascii="Arial" w:eastAsia="Times New Roman" w:hAnsi="Arial" w:cs="Arial"/>
          <w:lang w:eastAsia="en-GB"/>
        </w:rPr>
        <w:t xml:space="preserve">, R., et al. (2008). Bioactive hybrid coatings for metals. </w:t>
      </w:r>
      <w:r w:rsidRPr="0023554D">
        <w:rPr>
          <w:rFonts w:ascii="Arial" w:eastAsia="Times New Roman" w:hAnsi="Arial" w:cs="Arial"/>
          <w:i/>
          <w:iCs/>
          <w:lang w:eastAsia="en-GB"/>
        </w:rPr>
        <w:t>Journal of Materials Science: Materials in Medicine, 19</w:t>
      </w:r>
      <w:r w:rsidRPr="0023554D">
        <w:rPr>
          <w:rFonts w:ascii="Arial" w:eastAsia="Times New Roman" w:hAnsi="Arial" w:cs="Arial"/>
          <w:lang w:eastAsia="en-GB"/>
        </w:rPr>
        <w:t>(10), 3385–3393. https://doi.org/10.1007/s10856-008-3490-8</w:t>
      </w:r>
    </w:p>
    <w:p w14:paraId="70CA54E6"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proofErr w:type="spellStart"/>
      <w:r w:rsidRPr="0023554D">
        <w:rPr>
          <w:rFonts w:ascii="Arial" w:eastAsia="Times New Roman" w:hAnsi="Arial" w:cs="Arial"/>
          <w:lang w:eastAsia="en-GB"/>
        </w:rPr>
        <w:t>Zheludkevich</w:t>
      </w:r>
      <w:proofErr w:type="spellEnd"/>
      <w:r w:rsidRPr="0023554D">
        <w:rPr>
          <w:rFonts w:ascii="Arial" w:eastAsia="Times New Roman" w:hAnsi="Arial" w:cs="Arial"/>
          <w:lang w:eastAsia="en-GB"/>
        </w:rPr>
        <w:t xml:space="preserve">, M.L., et al. (2005). Sol–gel coatings for corrosion protection of metals. </w:t>
      </w:r>
      <w:r w:rsidRPr="0023554D">
        <w:rPr>
          <w:rFonts w:ascii="Arial" w:eastAsia="Times New Roman" w:hAnsi="Arial" w:cs="Arial"/>
          <w:i/>
          <w:iCs/>
          <w:lang w:eastAsia="en-GB"/>
        </w:rPr>
        <w:t>Journal of Materials Chemistry, 15</w:t>
      </w:r>
      <w:r w:rsidRPr="0023554D">
        <w:rPr>
          <w:rFonts w:ascii="Arial" w:eastAsia="Times New Roman" w:hAnsi="Arial" w:cs="Arial"/>
          <w:lang w:eastAsia="en-GB"/>
        </w:rPr>
        <w:t>(48), 5099–5111. https://doi.org/10.1039/B510313B</w:t>
      </w:r>
    </w:p>
    <w:p w14:paraId="1D27EA14"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r w:rsidRPr="0023554D">
        <w:rPr>
          <w:rFonts w:ascii="Arial" w:eastAsia="Times New Roman" w:hAnsi="Arial" w:cs="Arial"/>
          <w:lang w:eastAsia="en-GB"/>
        </w:rPr>
        <w:t xml:space="preserve">Soliman, Y.S., et al. (2013). Organic–inorganic hybrid coatings as corrosion protective layers. </w:t>
      </w:r>
      <w:r w:rsidRPr="0023554D">
        <w:rPr>
          <w:rFonts w:ascii="Arial" w:eastAsia="Times New Roman" w:hAnsi="Arial" w:cs="Arial"/>
          <w:i/>
          <w:iCs/>
          <w:lang w:eastAsia="en-GB"/>
        </w:rPr>
        <w:t>Surface and Coatings Technology, 235</w:t>
      </w:r>
      <w:r w:rsidRPr="0023554D">
        <w:rPr>
          <w:rFonts w:ascii="Arial" w:eastAsia="Times New Roman" w:hAnsi="Arial" w:cs="Arial"/>
          <w:lang w:eastAsia="en-GB"/>
        </w:rPr>
        <w:t>, 449–456. https://doi.org/10.1016/j.surfcoat.2013.07.007</w:t>
      </w:r>
    </w:p>
    <w:p w14:paraId="1F4BB1BF"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proofErr w:type="spellStart"/>
      <w:r w:rsidRPr="0023554D">
        <w:rPr>
          <w:rFonts w:ascii="Arial" w:eastAsia="Times New Roman" w:hAnsi="Arial" w:cs="Arial"/>
          <w:lang w:eastAsia="en-GB"/>
        </w:rPr>
        <w:t>Vyazovkin</w:t>
      </w:r>
      <w:proofErr w:type="spellEnd"/>
      <w:r w:rsidRPr="0023554D">
        <w:rPr>
          <w:rFonts w:ascii="Arial" w:eastAsia="Times New Roman" w:hAnsi="Arial" w:cs="Arial"/>
          <w:lang w:eastAsia="en-GB"/>
        </w:rPr>
        <w:t xml:space="preserve">, S., et al. (2011). ICTAC Kinetics Committee recommendations for performing kinetic computations on thermal analysis data. </w:t>
      </w:r>
      <w:proofErr w:type="spellStart"/>
      <w:r w:rsidRPr="0023554D">
        <w:rPr>
          <w:rFonts w:ascii="Arial" w:eastAsia="Times New Roman" w:hAnsi="Arial" w:cs="Arial"/>
          <w:i/>
          <w:iCs/>
          <w:lang w:eastAsia="en-GB"/>
        </w:rPr>
        <w:t>Thermochimica</w:t>
      </w:r>
      <w:proofErr w:type="spellEnd"/>
      <w:r w:rsidRPr="0023554D">
        <w:rPr>
          <w:rFonts w:ascii="Arial" w:eastAsia="Times New Roman" w:hAnsi="Arial" w:cs="Arial"/>
          <w:i/>
          <w:iCs/>
          <w:lang w:eastAsia="en-GB"/>
        </w:rPr>
        <w:t xml:space="preserve"> Acta, 520</w:t>
      </w:r>
      <w:r w:rsidRPr="0023554D">
        <w:rPr>
          <w:rFonts w:ascii="Arial" w:eastAsia="Times New Roman" w:hAnsi="Arial" w:cs="Arial"/>
          <w:lang w:eastAsia="en-GB"/>
        </w:rPr>
        <w:t>(1–2), 1–19. https://doi.org/10.1016/j.tca.2011.03.034</w:t>
      </w:r>
    </w:p>
    <w:p w14:paraId="35EEB3DF"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r w:rsidRPr="0023554D">
        <w:rPr>
          <w:rFonts w:ascii="Arial" w:eastAsia="Times New Roman" w:hAnsi="Arial" w:cs="Arial"/>
          <w:lang w:eastAsia="en-GB"/>
        </w:rPr>
        <w:t xml:space="preserve">Wendlandt, W.W. (1986). </w:t>
      </w:r>
      <w:r w:rsidRPr="0023554D">
        <w:rPr>
          <w:rFonts w:ascii="Arial" w:eastAsia="Times New Roman" w:hAnsi="Arial" w:cs="Arial"/>
          <w:i/>
          <w:iCs/>
          <w:lang w:eastAsia="en-GB"/>
        </w:rPr>
        <w:t>Thermal Analysis</w:t>
      </w:r>
      <w:r w:rsidRPr="0023554D">
        <w:rPr>
          <w:rFonts w:ascii="Arial" w:eastAsia="Times New Roman" w:hAnsi="Arial" w:cs="Arial"/>
          <w:lang w:eastAsia="en-GB"/>
        </w:rPr>
        <w:t>. Wiley-</w:t>
      </w:r>
      <w:proofErr w:type="spellStart"/>
      <w:r w:rsidRPr="0023554D">
        <w:rPr>
          <w:rFonts w:ascii="Arial" w:eastAsia="Times New Roman" w:hAnsi="Arial" w:cs="Arial"/>
          <w:lang w:eastAsia="en-GB"/>
        </w:rPr>
        <w:t>Interscience</w:t>
      </w:r>
      <w:proofErr w:type="spellEnd"/>
      <w:r w:rsidRPr="0023554D">
        <w:rPr>
          <w:rFonts w:ascii="Arial" w:eastAsia="Times New Roman" w:hAnsi="Arial" w:cs="Arial"/>
          <w:lang w:eastAsia="en-GB"/>
        </w:rPr>
        <w:t>.</w:t>
      </w:r>
    </w:p>
    <w:p w14:paraId="2177306E"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r w:rsidRPr="0023554D">
        <w:rPr>
          <w:rFonts w:ascii="Arial" w:eastAsia="Times New Roman" w:hAnsi="Arial" w:cs="Arial"/>
          <w:lang w:eastAsia="en-GB"/>
        </w:rPr>
        <w:t xml:space="preserve">Chen, X., et al. (2019). Enhanced thermal stability of organic/inorganic hybrid coatings. </w:t>
      </w:r>
      <w:r w:rsidRPr="0023554D">
        <w:rPr>
          <w:rFonts w:ascii="Arial" w:eastAsia="Times New Roman" w:hAnsi="Arial" w:cs="Arial"/>
          <w:i/>
          <w:iCs/>
          <w:lang w:eastAsia="en-GB"/>
        </w:rPr>
        <w:t>Progress in Organic Coatings, 132</w:t>
      </w:r>
      <w:r w:rsidRPr="0023554D">
        <w:rPr>
          <w:rFonts w:ascii="Arial" w:eastAsia="Times New Roman" w:hAnsi="Arial" w:cs="Arial"/>
          <w:lang w:eastAsia="en-GB"/>
        </w:rPr>
        <w:t>, 465–472. https://doi.org/10.1016/j.porgcoat.2019.04.030</w:t>
      </w:r>
    </w:p>
    <w:p w14:paraId="7489AB33"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r w:rsidRPr="0023554D">
        <w:rPr>
          <w:rFonts w:ascii="Arial" w:eastAsia="Times New Roman" w:hAnsi="Arial" w:cs="Arial"/>
          <w:lang w:eastAsia="en-GB"/>
        </w:rPr>
        <w:t>Sánchez, C. &amp; Soler-</w:t>
      </w:r>
      <w:proofErr w:type="spellStart"/>
      <w:r w:rsidRPr="0023554D">
        <w:rPr>
          <w:rFonts w:ascii="Arial" w:eastAsia="Times New Roman" w:hAnsi="Arial" w:cs="Arial"/>
          <w:lang w:eastAsia="en-GB"/>
        </w:rPr>
        <w:t>Illia</w:t>
      </w:r>
      <w:proofErr w:type="spellEnd"/>
      <w:r w:rsidRPr="0023554D">
        <w:rPr>
          <w:rFonts w:ascii="Arial" w:eastAsia="Times New Roman" w:hAnsi="Arial" w:cs="Arial"/>
          <w:lang w:eastAsia="en-GB"/>
        </w:rPr>
        <w:t xml:space="preserve">, G. (2000). Designed hybrid organic-inorganic nanocomposites: strategies, synthesis, and applications. </w:t>
      </w:r>
      <w:r w:rsidRPr="0023554D">
        <w:rPr>
          <w:rFonts w:ascii="Arial" w:eastAsia="Times New Roman" w:hAnsi="Arial" w:cs="Arial"/>
          <w:i/>
          <w:iCs/>
          <w:lang w:eastAsia="en-GB"/>
        </w:rPr>
        <w:t>Chemistry of Materials, 12</w:t>
      </w:r>
      <w:r w:rsidRPr="0023554D">
        <w:rPr>
          <w:rFonts w:ascii="Arial" w:eastAsia="Times New Roman" w:hAnsi="Arial" w:cs="Arial"/>
          <w:lang w:eastAsia="en-GB"/>
        </w:rPr>
        <w:t>(11), 3050–3053. https://doi.org/10.1021/cm000757h</w:t>
      </w:r>
    </w:p>
    <w:p w14:paraId="6079A90E"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proofErr w:type="spellStart"/>
      <w:r w:rsidRPr="0023554D">
        <w:rPr>
          <w:rFonts w:ascii="Arial" w:eastAsia="Times New Roman" w:hAnsi="Arial" w:cs="Arial"/>
          <w:lang w:eastAsia="en-GB"/>
        </w:rPr>
        <w:t>Khabaz</w:t>
      </w:r>
      <w:proofErr w:type="spellEnd"/>
      <w:r w:rsidRPr="0023554D">
        <w:rPr>
          <w:rFonts w:ascii="Arial" w:eastAsia="Times New Roman" w:hAnsi="Arial" w:cs="Arial"/>
          <w:lang w:eastAsia="en-GB"/>
        </w:rPr>
        <w:t xml:space="preserve">, F., et al. (2018). Application of TGA/DTA in nanocomposite coatings characterization. </w:t>
      </w:r>
      <w:r w:rsidRPr="0023554D">
        <w:rPr>
          <w:rFonts w:ascii="Arial" w:eastAsia="Times New Roman" w:hAnsi="Arial" w:cs="Arial"/>
          <w:i/>
          <w:iCs/>
          <w:lang w:eastAsia="en-GB"/>
        </w:rPr>
        <w:t>Thermal Analysis and Calorimetry, 133</w:t>
      </w:r>
      <w:r w:rsidRPr="0023554D">
        <w:rPr>
          <w:rFonts w:ascii="Arial" w:eastAsia="Times New Roman" w:hAnsi="Arial" w:cs="Arial"/>
          <w:lang w:eastAsia="en-GB"/>
        </w:rPr>
        <w:t>(2), 759–772. https://doi.org/10.1007/s10973-018-7391-7</w:t>
      </w:r>
    </w:p>
    <w:p w14:paraId="36575CB9"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r w:rsidRPr="0023554D">
        <w:rPr>
          <w:rFonts w:ascii="Arial" w:eastAsia="Times New Roman" w:hAnsi="Arial" w:cs="Arial"/>
          <w:lang w:eastAsia="en-GB"/>
        </w:rPr>
        <w:t xml:space="preserve">Nicolás, E., et al. (2024). Enhanced thermal stability of </w:t>
      </w:r>
      <w:proofErr w:type="spellStart"/>
      <w:r w:rsidRPr="0023554D">
        <w:rPr>
          <w:rFonts w:ascii="Arial" w:eastAsia="Times New Roman" w:hAnsi="Arial" w:cs="Arial"/>
          <w:lang w:eastAsia="en-GB"/>
        </w:rPr>
        <w:t>nBG</w:t>
      </w:r>
      <w:proofErr w:type="spellEnd"/>
      <w:r w:rsidRPr="0023554D">
        <w:rPr>
          <w:rFonts w:ascii="Arial" w:eastAsia="Times New Roman" w:hAnsi="Arial" w:cs="Arial"/>
          <w:lang w:eastAsia="en-GB"/>
        </w:rPr>
        <w:t xml:space="preserve">-loaded hybrid matrices. </w:t>
      </w:r>
      <w:r w:rsidRPr="0023554D">
        <w:rPr>
          <w:rFonts w:ascii="Arial" w:eastAsia="Times New Roman" w:hAnsi="Arial" w:cs="Arial"/>
          <w:i/>
          <w:iCs/>
          <w:lang w:eastAsia="en-GB"/>
        </w:rPr>
        <w:t>Materials Today Communications, 38</w:t>
      </w:r>
      <w:r w:rsidRPr="0023554D">
        <w:rPr>
          <w:rFonts w:ascii="Arial" w:eastAsia="Times New Roman" w:hAnsi="Arial" w:cs="Arial"/>
          <w:lang w:eastAsia="en-GB"/>
        </w:rPr>
        <w:t>, 107232. https://doi.org/10.1016/j.mtcomm.2024.107232</w:t>
      </w:r>
    </w:p>
    <w:p w14:paraId="508CE87E"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r w:rsidRPr="0023554D">
        <w:rPr>
          <w:rFonts w:ascii="Arial" w:eastAsia="Times New Roman" w:hAnsi="Arial" w:cs="Arial"/>
          <w:lang w:eastAsia="en-GB"/>
        </w:rPr>
        <w:t xml:space="preserve">Chen, X., et al. (2019). Thermal stability improvement of hybrid coatings with </w:t>
      </w:r>
      <w:proofErr w:type="spellStart"/>
      <w:r w:rsidRPr="0023554D">
        <w:rPr>
          <w:rFonts w:ascii="Arial" w:eastAsia="Times New Roman" w:hAnsi="Arial" w:cs="Arial"/>
          <w:lang w:eastAsia="en-GB"/>
        </w:rPr>
        <w:t>hydrolyzed</w:t>
      </w:r>
      <w:proofErr w:type="spellEnd"/>
      <w:r w:rsidRPr="0023554D">
        <w:rPr>
          <w:rFonts w:ascii="Arial" w:eastAsia="Times New Roman" w:hAnsi="Arial" w:cs="Arial"/>
          <w:lang w:eastAsia="en-GB"/>
        </w:rPr>
        <w:t xml:space="preserve"> TEOS. </w:t>
      </w:r>
      <w:r w:rsidRPr="0023554D">
        <w:rPr>
          <w:rFonts w:ascii="Arial" w:eastAsia="Times New Roman" w:hAnsi="Arial" w:cs="Arial"/>
          <w:i/>
          <w:iCs/>
          <w:lang w:eastAsia="en-GB"/>
        </w:rPr>
        <w:t>ACS Applied Materials &amp; Interfaces, 11</w:t>
      </w:r>
      <w:r w:rsidRPr="0023554D">
        <w:rPr>
          <w:rFonts w:ascii="Arial" w:eastAsia="Times New Roman" w:hAnsi="Arial" w:cs="Arial"/>
          <w:lang w:eastAsia="en-GB"/>
        </w:rPr>
        <w:t>(34), 30912–30922. https://doi.org/10.1021/acsami.9b09441</w:t>
      </w:r>
    </w:p>
    <w:p w14:paraId="48C007F5"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proofErr w:type="spellStart"/>
      <w:r w:rsidRPr="0023554D">
        <w:rPr>
          <w:rFonts w:ascii="Arial" w:eastAsia="Times New Roman" w:hAnsi="Arial" w:cs="Arial"/>
          <w:lang w:eastAsia="en-GB"/>
        </w:rPr>
        <w:t>Kickelbick</w:t>
      </w:r>
      <w:proofErr w:type="spellEnd"/>
      <w:r w:rsidRPr="0023554D">
        <w:rPr>
          <w:rFonts w:ascii="Arial" w:eastAsia="Times New Roman" w:hAnsi="Arial" w:cs="Arial"/>
          <w:lang w:eastAsia="en-GB"/>
        </w:rPr>
        <w:t xml:space="preserve">, G. (2015). </w:t>
      </w:r>
      <w:r w:rsidRPr="0023554D">
        <w:rPr>
          <w:rFonts w:ascii="Arial" w:eastAsia="Times New Roman" w:hAnsi="Arial" w:cs="Arial"/>
          <w:i/>
          <w:iCs/>
          <w:lang w:eastAsia="en-GB"/>
        </w:rPr>
        <w:t>Introduction to Hybrid Materials</w:t>
      </w:r>
      <w:r w:rsidRPr="0023554D">
        <w:rPr>
          <w:rFonts w:ascii="Arial" w:eastAsia="Times New Roman" w:hAnsi="Arial" w:cs="Arial"/>
          <w:lang w:eastAsia="en-GB"/>
        </w:rPr>
        <w:t>. Wiley-VCH. https://doi.org/10.1002/9783527684479</w:t>
      </w:r>
    </w:p>
    <w:p w14:paraId="09FE2836" w14:textId="77777777" w:rsidR="004C5FD5" w:rsidRPr="0023554D" w:rsidRDefault="004C5FD5" w:rsidP="00353AB1">
      <w:pPr>
        <w:pStyle w:val="ListParagraph"/>
        <w:numPr>
          <w:ilvl w:val="0"/>
          <w:numId w:val="2"/>
        </w:numPr>
        <w:spacing w:after="0"/>
        <w:jc w:val="both"/>
        <w:rPr>
          <w:rFonts w:ascii="Arial" w:eastAsia="Times New Roman" w:hAnsi="Arial" w:cs="Arial"/>
          <w:lang w:eastAsia="en-GB"/>
        </w:rPr>
      </w:pPr>
      <w:r w:rsidRPr="0023554D">
        <w:rPr>
          <w:rFonts w:ascii="Arial" w:eastAsia="Times New Roman" w:hAnsi="Arial" w:cs="Arial"/>
          <w:lang w:eastAsia="en-GB"/>
        </w:rPr>
        <w:t xml:space="preserve">Degussa AG. (1993). </w:t>
      </w:r>
      <w:r w:rsidRPr="0023554D">
        <w:rPr>
          <w:rFonts w:ascii="Arial" w:eastAsia="Times New Roman" w:hAnsi="Arial" w:cs="Arial"/>
          <w:i/>
          <w:iCs/>
          <w:lang w:eastAsia="en-GB"/>
        </w:rPr>
        <w:t>Precipitated Silica: Properties and Applications</w:t>
      </w:r>
      <w:r w:rsidRPr="0023554D">
        <w:rPr>
          <w:rFonts w:ascii="Arial" w:eastAsia="Times New Roman" w:hAnsi="Arial" w:cs="Arial"/>
          <w:lang w:eastAsia="en-GB"/>
        </w:rPr>
        <w:t>. Technical Bulletin Pigments.</w:t>
      </w:r>
    </w:p>
    <w:p w14:paraId="765949CD" w14:textId="77777777" w:rsidR="004C5FD5" w:rsidRPr="0023554D" w:rsidRDefault="004C5FD5" w:rsidP="00353AB1">
      <w:pPr>
        <w:pStyle w:val="ListParagraph"/>
        <w:numPr>
          <w:ilvl w:val="0"/>
          <w:numId w:val="2"/>
        </w:numPr>
        <w:spacing w:after="0"/>
        <w:jc w:val="both"/>
        <w:rPr>
          <w:rStyle w:val="Hyperlink"/>
          <w:rFonts w:ascii="Arial" w:hAnsi="Arial" w:cs="Arial"/>
        </w:rPr>
      </w:pPr>
      <w:proofErr w:type="spellStart"/>
      <w:r w:rsidRPr="0023554D">
        <w:rPr>
          <w:rFonts w:ascii="Arial" w:eastAsia="MinionPro-Regular2" w:hAnsi="Arial" w:cs="Arial"/>
          <w:iCs/>
        </w:rPr>
        <w:lastRenderedPageBreak/>
        <w:t>Musić</w:t>
      </w:r>
      <w:proofErr w:type="spellEnd"/>
      <w:r w:rsidRPr="0023554D">
        <w:rPr>
          <w:rFonts w:ascii="Arial" w:eastAsia="MinionPro-Regular2" w:hAnsi="Arial" w:cs="Arial"/>
          <w:iCs/>
        </w:rPr>
        <w:t xml:space="preserve"> S., </w:t>
      </w:r>
      <w:proofErr w:type="spellStart"/>
      <w:r w:rsidRPr="0023554D">
        <w:rPr>
          <w:rFonts w:ascii="Arial" w:eastAsia="MinionPro-Regular2" w:hAnsi="Arial" w:cs="Arial"/>
          <w:iCs/>
        </w:rPr>
        <w:t>Filipović-Vinceković</w:t>
      </w:r>
      <w:proofErr w:type="spellEnd"/>
      <w:r w:rsidRPr="0023554D">
        <w:rPr>
          <w:rFonts w:ascii="Arial" w:eastAsia="MinionPro-Regular2" w:hAnsi="Arial" w:cs="Arial"/>
          <w:iCs/>
        </w:rPr>
        <w:t xml:space="preserve">, N. </w:t>
      </w:r>
      <w:proofErr w:type="gramStart"/>
      <w:r w:rsidRPr="0023554D">
        <w:rPr>
          <w:rFonts w:ascii="Arial" w:eastAsia="MinionPro-Regular2" w:hAnsi="Arial" w:cs="Arial"/>
          <w:iCs/>
        </w:rPr>
        <w:t xml:space="preserve">&amp;  </w:t>
      </w:r>
      <w:proofErr w:type="spellStart"/>
      <w:r w:rsidRPr="0023554D">
        <w:rPr>
          <w:rFonts w:ascii="Arial" w:eastAsia="MinionPro-Regular2" w:hAnsi="Arial" w:cs="Arial"/>
          <w:iCs/>
        </w:rPr>
        <w:t>Sekovanić</w:t>
      </w:r>
      <w:proofErr w:type="spellEnd"/>
      <w:proofErr w:type="gramEnd"/>
      <w:r w:rsidRPr="0023554D">
        <w:rPr>
          <w:rFonts w:ascii="Arial" w:eastAsia="MinionPro-Regular2" w:hAnsi="Arial" w:cs="Arial"/>
          <w:iCs/>
        </w:rPr>
        <w:t xml:space="preserve"> L. (2011) .  Precipitation of amorphous sio</w:t>
      </w:r>
      <w:r w:rsidRPr="0023554D">
        <w:rPr>
          <w:rFonts w:ascii="Arial" w:eastAsia="MinionPro-Regular2" w:hAnsi="Arial" w:cs="Arial"/>
          <w:iCs/>
          <w:vertAlign w:val="subscript"/>
        </w:rPr>
        <w:t>2</w:t>
      </w:r>
      <w:r w:rsidRPr="0023554D">
        <w:rPr>
          <w:rFonts w:ascii="Arial" w:eastAsia="MinionPro-Regular2" w:hAnsi="Arial" w:cs="Arial"/>
          <w:iCs/>
        </w:rPr>
        <w:t xml:space="preserve"> particles and their properties Brazilian </w:t>
      </w:r>
      <w:r w:rsidRPr="0023554D">
        <w:rPr>
          <w:rFonts w:ascii="Arial" w:eastAsia="MinionPro-Regular2" w:hAnsi="Arial" w:cs="Arial"/>
          <w:i/>
          <w:iCs/>
        </w:rPr>
        <w:t xml:space="preserve">Journal of Chemical </w:t>
      </w:r>
      <w:proofErr w:type="gramStart"/>
      <w:r w:rsidRPr="0023554D">
        <w:rPr>
          <w:rFonts w:ascii="Arial" w:eastAsia="MinionPro-Regular2" w:hAnsi="Arial" w:cs="Arial"/>
          <w:i/>
          <w:iCs/>
        </w:rPr>
        <w:t>Engineering,</w:t>
      </w:r>
      <w:r w:rsidRPr="0023554D">
        <w:rPr>
          <w:rFonts w:ascii="Arial" w:eastAsia="MinionPro-Regular2" w:hAnsi="Arial" w:cs="Arial"/>
          <w:iCs/>
        </w:rPr>
        <w:t xml:space="preserve">  </w:t>
      </w:r>
      <w:r w:rsidRPr="0023554D">
        <w:rPr>
          <w:rFonts w:ascii="Arial" w:eastAsia="MinionPro-Regular2" w:hAnsi="Arial" w:cs="Arial"/>
          <w:b/>
          <w:iCs/>
        </w:rPr>
        <w:t>1</w:t>
      </w:r>
      <w:proofErr w:type="gramEnd"/>
      <w:r w:rsidRPr="0023554D">
        <w:rPr>
          <w:rFonts w:ascii="Arial" w:eastAsia="MinionPro-Regular2" w:hAnsi="Arial" w:cs="Arial"/>
          <w:b/>
          <w:iCs/>
        </w:rPr>
        <w:t xml:space="preserve">(28),   </w:t>
      </w:r>
      <w:r w:rsidRPr="0023554D">
        <w:rPr>
          <w:rFonts w:ascii="Arial" w:eastAsia="MinionPro-Regular2" w:hAnsi="Arial" w:cs="Arial"/>
          <w:iCs/>
        </w:rPr>
        <w:t xml:space="preserve">89 – 94.  </w:t>
      </w:r>
      <w:r w:rsidRPr="0023554D">
        <w:rPr>
          <w:rFonts w:ascii="Arial" w:hAnsi="Arial" w:cs="Arial"/>
        </w:rPr>
        <w:t>https://doi.org/</w:t>
      </w:r>
      <w:hyperlink r:id="rId19" w:tgtFrame="_blank" w:history="1">
        <w:r w:rsidRPr="0023554D">
          <w:rPr>
            <w:rStyle w:val="Hyperlink"/>
            <w:rFonts w:ascii="Arial" w:hAnsi="Arial" w:cs="Arial"/>
          </w:rPr>
          <w:t>10.1590/S0104-66322011000100011</w:t>
        </w:r>
      </w:hyperlink>
    </w:p>
    <w:p w14:paraId="5A71216D" w14:textId="77777777" w:rsidR="004C5FD5" w:rsidRPr="0023554D" w:rsidRDefault="004C5FD5" w:rsidP="00353AB1">
      <w:pPr>
        <w:pStyle w:val="ListParagraph"/>
        <w:numPr>
          <w:ilvl w:val="0"/>
          <w:numId w:val="2"/>
        </w:numPr>
        <w:spacing w:after="0"/>
        <w:jc w:val="both"/>
        <w:rPr>
          <w:rFonts w:ascii="Arial" w:hAnsi="Arial" w:cs="Arial"/>
        </w:rPr>
      </w:pPr>
      <w:proofErr w:type="spellStart"/>
      <w:proofErr w:type="gramStart"/>
      <w:r w:rsidRPr="0023554D">
        <w:rPr>
          <w:rFonts w:ascii="Arial" w:eastAsia="Times New Roman" w:hAnsi="Arial" w:cs="Arial"/>
        </w:rPr>
        <w:t>Oguzie</w:t>
      </w:r>
      <w:proofErr w:type="spellEnd"/>
      <w:r w:rsidRPr="0023554D">
        <w:rPr>
          <w:rFonts w:ascii="Arial" w:eastAsia="Times New Roman" w:hAnsi="Arial" w:cs="Arial"/>
        </w:rPr>
        <w:t>,  E</w:t>
      </w:r>
      <w:proofErr w:type="gramEnd"/>
      <w:r w:rsidRPr="0023554D">
        <w:rPr>
          <w:rFonts w:ascii="Arial" w:eastAsia="Times New Roman" w:hAnsi="Arial" w:cs="Arial"/>
        </w:rPr>
        <w:t xml:space="preserve">, E., Onuoha, G. N., </w:t>
      </w:r>
      <w:proofErr w:type="spellStart"/>
      <w:r w:rsidRPr="0023554D">
        <w:rPr>
          <w:rFonts w:ascii="Arial" w:eastAsia="Times New Roman" w:hAnsi="Arial" w:cs="Arial"/>
        </w:rPr>
        <w:t>Ejike</w:t>
      </w:r>
      <w:proofErr w:type="spellEnd"/>
      <w:r w:rsidRPr="0023554D">
        <w:rPr>
          <w:rFonts w:ascii="Arial" w:eastAsia="Times New Roman" w:hAnsi="Arial" w:cs="Arial"/>
        </w:rPr>
        <w:t xml:space="preserve">  E. N. (2007).  Effect </w:t>
      </w:r>
      <w:proofErr w:type="gramStart"/>
      <w:r w:rsidRPr="0023554D">
        <w:rPr>
          <w:rFonts w:ascii="Arial" w:eastAsia="Times New Roman" w:hAnsi="Arial" w:cs="Arial"/>
        </w:rPr>
        <w:t xml:space="preserve">of  </w:t>
      </w:r>
      <w:proofErr w:type="spellStart"/>
      <w:r w:rsidRPr="0023554D">
        <w:rPr>
          <w:rFonts w:ascii="Arial" w:eastAsia="Times New Roman" w:hAnsi="Arial" w:cs="Arial"/>
          <w:i/>
        </w:rPr>
        <w:t>Gongrenema</w:t>
      </w:r>
      <w:proofErr w:type="spellEnd"/>
      <w:proofErr w:type="gramEnd"/>
      <w:r w:rsidR="002F57F6" w:rsidRPr="0023554D">
        <w:rPr>
          <w:rFonts w:ascii="Arial" w:eastAsia="Times New Roman" w:hAnsi="Arial" w:cs="Arial"/>
          <w:i/>
        </w:rPr>
        <w:t xml:space="preserve"> </w:t>
      </w:r>
      <w:r w:rsidRPr="0023554D">
        <w:rPr>
          <w:rFonts w:ascii="Arial" w:eastAsia="Times New Roman" w:hAnsi="Arial" w:cs="Arial"/>
          <w:i/>
        </w:rPr>
        <w:t xml:space="preserve"> </w:t>
      </w:r>
      <w:proofErr w:type="spellStart"/>
      <w:r w:rsidRPr="0023554D">
        <w:rPr>
          <w:rFonts w:ascii="Arial" w:eastAsia="Times New Roman" w:hAnsi="Arial" w:cs="Arial"/>
          <w:i/>
        </w:rPr>
        <w:t>latifolum</w:t>
      </w:r>
      <w:proofErr w:type="spellEnd"/>
      <w:r w:rsidRPr="0023554D">
        <w:rPr>
          <w:rFonts w:ascii="Arial" w:eastAsia="Times New Roman" w:hAnsi="Arial" w:cs="Arial"/>
        </w:rPr>
        <w:t xml:space="preserve"> extract on </w:t>
      </w:r>
      <w:r w:rsidR="002D7D36" w:rsidRPr="0023554D">
        <w:rPr>
          <w:rFonts w:ascii="Arial" w:eastAsia="Times New Roman" w:hAnsi="Arial" w:cs="Arial"/>
        </w:rPr>
        <w:t xml:space="preserve">    </w:t>
      </w:r>
      <w:r w:rsidRPr="0023554D">
        <w:rPr>
          <w:rFonts w:ascii="Arial" w:eastAsia="Times New Roman" w:hAnsi="Arial" w:cs="Arial"/>
        </w:rPr>
        <w:t xml:space="preserve">Aluminium corrosion in acidic and Alkaline media. </w:t>
      </w:r>
      <w:r w:rsidRPr="0023554D">
        <w:rPr>
          <w:rFonts w:ascii="Arial" w:eastAsia="Times New Roman" w:hAnsi="Arial" w:cs="Arial"/>
          <w:i/>
        </w:rPr>
        <w:t xml:space="preserve">Pigment </w:t>
      </w:r>
      <w:proofErr w:type="gramStart"/>
      <w:r w:rsidRPr="0023554D">
        <w:rPr>
          <w:rFonts w:ascii="Arial" w:eastAsia="Times New Roman" w:hAnsi="Arial" w:cs="Arial"/>
          <w:i/>
        </w:rPr>
        <w:t>and  Resin</w:t>
      </w:r>
      <w:proofErr w:type="gramEnd"/>
      <w:r w:rsidRPr="0023554D">
        <w:rPr>
          <w:rFonts w:ascii="Arial" w:eastAsia="Times New Roman" w:hAnsi="Arial" w:cs="Arial"/>
          <w:i/>
        </w:rPr>
        <w:t xml:space="preserve"> Technology  </w:t>
      </w:r>
      <w:r w:rsidRPr="0023554D">
        <w:rPr>
          <w:rFonts w:ascii="Arial" w:eastAsia="Times New Roman" w:hAnsi="Arial" w:cs="Arial"/>
          <w:b/>
        </w:rPr>
        <w:t>(36)</w:t>
      </w:r>
      <w:r w:rsidRPr="0023554D">
        <w:rPr>
          <w:rFonts w:ascii="Arial" w:eastAsia="Times New Roman" w:hAnsi="Arial" w:cs="Arial"/>
        </w:rPr>
        <w:t xml:space="preserve">, 44 – 49. </w:t>
      </w:r>
      <w:hyperlink r:id="rId20" w:tooltip="DOI: https://doi.org/10.1108/03699420710718751" w:history="1">
        <w:r w:rsidRPr="0023554D">
          <w:rPr>
            <w:rStyle w:val="Hyperlink"/>
            <w:rFonts w:ascii="Arial" w:hAnsi="Arial" w:cs="Arial"/>
          </w:rPr>
          <w:t>https://doi.org/10.1108/03699420710718751</w:t>
        </w:r>
      </w:hyperlink>
      <w:r w:rsidRPr="0023554D">
        <w:rPr>
          <w:rStyle w:val="Hyperlink"/>
          <w:rFonts w:ascii="Arial" w:hAnsi="Arial" w:cs="Arial"/>
        </w:rPr>
        <w:t xml:space="preserve"> </w:t>
      </w:r>
      <w:r w:rsidRPr="0023554D">
        <w:rPr>
          <w:rFonts w:ascii="Arial" w:hAnsi="Arial" w:cs="Arial"/>
        </w:rPr>
        <w:t xml:space="preserve">.24 </w:t>
      </w:r>
      <w:proofErr w:type="spellStart"/>
      <w:proofErr w:type="gramStart"/>
      <w:r w:rsidRPr="0023554D">
        <w:rPr>
          <w:rFonts w:ascii="Arial" w:hAnsi="Arial" w:cs="Arial"/>
        </w:rPr>
        <w:t>Omogbehin</w:t>
      </w:r>
      <w:proofErr w:type="spellEnd"/>
      <w:r w:rsidRPr="0023554D">
        <w:rPr>
          <w:rFonts w:ascii="Arial" w:hAnsi="Arial" w:cs="Arial"/>
        </w:rPr>
        <w:t xml:space="preserve">,   </w:t>
      </w:r>
      <w:proofErr w:type="gramEnd"/>
      <w:r w:rsidRPr="0023554D">
        <w:rPr>
          <w:rFonts w:ascii="Arial" w:hAnsi="Arial" w:cs="Arial"/>
        </w:rPr>
        <w:t>A.  S.,</w:t>
      </w:r>
    </w:p>
    <w:p w14:paraId="411C386D" w14:textId="77777777" w:rsidR="002D7D36" w:rsidRPr="0023554D" w:rsidRDefault="004C5FD5" w:rsidP="00353AB1">
      <w:pPr>
        <w:pStyle w:val="ListParagraph"/>
        <w:numPr>
          <w:ilvl w:val="0"/>
          <w:numId w:val="2"/>
        </w:numPr>
        <w:spacing w:after="0"/>
        <w:jc w:val="both"/>
        <w:rPr>
          <w:rFonts w:ascii="Arial" w:hAnsi="Arial" w:cs="Arial"/>
        </w:rPr>
      </w:pPr>
      <w:r w:rsidRPr="0023554D">
        <w:rPr>
          <w:rFonts w:ascii="Arial" w:hAnsi="Arial" w:cs="Arial"/>
        </w:rPr>
        <w:t xml:space="preserve">Momoh, S. A., &amp; </w:t>
      </w:r>
      <w:proofErr w:type="gramStart"/>
      <w:r w:rsidRPr="0023554D">
        <w:rPr>
          <w:rFonts w:ascii="Arial" w:hAnsi="Arial" w:cs="Arial"/>
        </w:rPr>
        <w:t>Yahaya  H.</w:t>
      </w:r>
      <w:proofErr w:type="gramEnd"/>
      <w:r w:rsidRPr="0023554D">
        <w:rPr>
          <w:rFonts w:ascii="Arial" w:hAnsi="Arial" w:cs="Arial"/>
        </w:rPr>
        <w:t xml:space="preserve"> (2010).  Inhibitory action of</w:t>
      </w:r>
      <w:r w:rsidRPr="0023554D">
        <w:rPr>
          <w:rFonts w:ascii="Arial" w:eastAsia="Times New Roman" w:hAnsi="Arial" w:cs="Arial"/>
        </w:rPr>
        <w:t xml:space="preserve"> </w:t>
      </w:r>
      <w:proofErr w:type="gramStart"/>
      <w:r w:rsidRPr="0023554D">
        <w:rPr>
          <w:rFonts w:ascii="Arial" w:hAnsi="Arial" w:cs="Arial"/>
        </w:rPr>
        <w:t xml:space="preserve">Nicotiana  </w:t>
      </w:r>
      <w:proofErr w:type="spellStart"/>
      <w:r w:rsidRPr="0023554D">
        <w:rPr>
          <w:rFonts w:ascii="Arial" w:hAnsi="Arial" w:cs="Arial"/>
        </w:rPr>
        <w:t>tobacum</w:t>
      </w:r>
      <w:proofErr w:type="spellEnd"/>
      <w:proofErr w:type="gramEnd"/>
      <w:r w:rsidRPr="0023554D">
        <w:rPr>
          <w:rFonts w:ascii="Arial" w:hAnsi="Arial" w:cs="Arial"/>
        </w:rPr>
        <w:t xml:space="preserve"> extract in  the  corrosion of mild steel in HCL . </w:t>
      </w:r>
      <w:r w:rsidRPr="0023554D">
        <w:rPr>
          <w:rFonts w:ascii="Arial" w:hAnsi="Arial" w:cs="Arial"/>
          <w:i/>
        </w:rPr>
        <w:t>Pacific</w:t>
      </w:r>
      <w:r w:rsidRPr="0023554D">
        <w:rPr>
          <w:rFonts w:ascii="Arial" w:eastAsia="Times New Roman" w:hAnsi="Arial" w:cs="Arial"/>
        </w:rPr>
        <w:t xml:space="preserve"> </w:t>
      </w:r>
      <w:r w:rsidRPr="0023554D">
        <w:rPr>
          <w:rFonts w:ascii="Arial" w:hAnsi="Arial" w:cs="Arial"/>
          <w:i/>
        </w:rPr>
        <w:t>Journal of science and Technology</w:t>
      </w:r>
      <w:r w:rsidRPr="0023554D">
        <w:rPr>
          <w:rFonts w:ascii="Arial" w:hAnsi="Arial" w:cs="Arial"/>
        </w:rPr>
        <w:t>,</w:t>
      </w:r>
      <w:r w:rsidRPr="0023554D">
        <w:rPr>
          <w:rFonts w:ascii="Arial" w:hAnsi="Arial" w:cs="Arial"/>
          <w:b/>
        </w:rPr>
        <w:t xml:space="preserve"> 11</w:t>
      </w:r>
      <w:r w:rsidRPr="0023554D">
        <w:rPr>
          <w:rFonts w:ascii="Arial" w:hAnsi="Arial" w:cs="Arial"/>
        </w:rPr>
        <w:t>(2), 455-462.  (ISSN: 1545-0740).</w:t>
      </w:r>
      <w:r w:rsidRPr="0023554D">
        <w:rPr>
          <w:rFonts w:ascii="Arial" w:eastAsia="Times New Roman" w:hAnsi="Arial" w:cs="Arial"/>
        </w:rPr>
        <w:t xml:space="preserve"> </w:t>
      </w:r>
      <w:hyperlink r:id="rId21" w:history="1">
        <w:r w:rsidRPr="0023554D">
          <w:rPr>
            <w:rStyle w:val="Hyperlink"/>
            <w:rFonts w:ascii="Arial" w:hAnsi="Arial" w:cs="Arial"/>
          </w:rPr>
          <w:t>http://www.sciencepub.net/nature</w:t>
        </w:r>
      </w:hyperlink>
    </w:p>
    <w:p w14:paraId="72AD81AA" w14:textId="77777777" w:rsidR="004C5FD5" w:rsidRPr="0023554D" w:rsidRDefault="004C5FD5" w:rsidP="00353AB1">
      <w:pPr>
        <w:pStyle w:val="ListParagraph"/>
        <w:numPr>
          <w:ilvl w:val="0"/>
          <w:numId w:val="5"/>
        </w:numPr>
        <w:spacing w:after="0"/>
        <w:jc w:val="both"/>
        <w:rPr>
          <w:rStyle w:val="Hyperlink"/>
          <w:rFonts w:ascii="Arial" w:hAnsi="Arial" w:cs="Arial"/>
          <w:color w:val="auto"/>
          <w:u w:val="none"/>
        </w:rPr>
      </w:pPr>
      <w:r w:rsidRPr="0023554D">
        <w:rPr>
          <w:rFonts w:ascii="Arial" w:eastAsia="MinionPro-Regular2" w:hAnsi="Arial" w:cs="Arial"/>
          <w:iCs/>
        </w:rPr>
        <w:t>Udo, I.  E.</w:t>
      </w:r>
      <w:proofErr w:type="gramStart"/>
      <w:r w:rsidRPr="0023554D">
        <w:rPr>
          <w:rFonts w:ascii="Arial" w:eastAsia="MinionPro-Regular2" w:hAnsi="Arial" w:cs="Arial"/>
          <w:iCs/>
        </w:rPr>
        <w:t>,  Gloria</w:t>
      </w:r>
      <w:proofErr w:type="gramEnd"/>
      <w:r w:rsidRPr="0023554D">
        <w:rPr>
          <w:rFonts w:ascii="Arial" w:eastAsia="MinionPro-Regular2" w:hAnsi="Arial" w:cs="Arial"/>
          <w:iCs/>
        </w:rPr>
        <w:t>, O., Michael,  H. (2016). Physiochemical characteristics of</w:t>
      </w:r>
      <w:r w:rsidRPr="0023554D">
        <w:rPr>
          <w:rFonts w:ascii="Arial" w:hAnsi="Arial" w:cs="Arial"/>
        </w:rPr>
        <w:t xml:space="preserve"> </w:t>
      </w:r>
      <w:r w:rsidRPr="0023554D">
        <w:rPr>
          <w:rFonts w:ascii="Arial" w:eastAsia="MinionPro-Regular2" w:hAnsi="Arial" w:cs="Arial"/>
          <w:iCs/>
        </w:rPr>
        <w:t xml:space="preserve">the exudate of </w:t>
      </w:r>
      <w:proofErr w:type="spellStart"/>
      <w:proofErr w:type="gramStart"/>
      <w:r w:rsidRPr="0023554D">
        <w:rPr>
          <w:rFonts w:ascii="Arial" w:eastAsia="MinionPro-Regular2" w:hAnsi="Arial" w:cs="Arial"/>
          <w:i/>
          <w:iCs/>
        </w:rPr>
        <w:t>Dacryodes</w:t>
      </w:r>
      <w:proofErr w:type="spellEnd"/>
      <w:r w:rsidRPr="0023554D">
        <w:rPr>
          <w:rFonts w:ascii="Arial" w:eastAsia="MinionPro-Regular2" w:hAnsi="Arial" w:cs="Arial"/>
          <w:i/>
          <w:iCs/>
        </w:rPr>
        <w:t xml:space="preserve">  edulis</w:t>
      </w:r>
      <w:proofErr w:type="gramEnd"/>
      <w:r w:rsidRPr="0023554D">
        <w:rPr>
          <w:rFonts w:ascii="Arial" w:eastAsia="MinionPro-Regular2" w:hAnsi="Arial" w:cs="Arial"/>
          <w:i/>
          <w:iCs/>
        </w:rPr>
        <w:t xml:space="preserve">.  J. Appl. Sci. Manage. </w:t>
      </w:r>
      <w:r w:rsidRPr="0023554D">
        <w:rPr>
          <w:rFonts w:ascii="Arial" w:eastAsia="MinionPro-Regular2" w:hAnsi="Arial" w:cs="Arial"/>
          <w:iCs/>
        </w:rPr>
        <w:t xml:space="preserve"> </w:t>
      </w:r>
      <w:r w:rsidRPr="0023554D">
        <w:rPr>
          <w:rFonts w:ascii="Arial" w:eastAsia="MinionPro-Regular2" w:hAnsi="Arial" w:cs="Arial"/>
          <w:b/>
          <w:iCs/>
        </w:rPr>
        <w:t>20</w:t>
      </w:r>
      <w:r w:rsidRPr="0023554D">
        <w:rPr>
          <w:rFonts w:ascii="Arial" w:eastAsia="MinionPro-Regular2" w:hAnsi="Arial" w:cs="Arial"/>
          <w:iCs/>
        </w:rPr>
        <w:t xml:space="preserve"> (1), 209 – 201. </w:t>
      </w:r>
      <w:hyperlink r:id="rId22" w:history="1">
        <w:r w:rsidRPr="0023554D">
          <w:rPr>
            <w:rStyle w:val="Hyperlink"/>
            <w:rFonts w:ascii="Arial" w:hAnsi="Arial" w:cs="Arial"/>
          </w:rPr>
          <w:t>https://doi.org/10.4314/jasem.v20i1.25</w:t>
        </w:r>
      </w:hyperlink>
    </w:p>
    <w:p w14:paraId="05544F52" w14:textId="77777777" w:rsidR="00B508D4" w:rsidRPr="0023554D" w:rsidRDefault="004C5FD5" w:rsidP="00B508D4">
      <w:pPr>
        <w:pStyle w:val="ListParagraph"/>
        <w:numPr>
          <w:ilvl w:val="0"/>
          <w:numId w:val="5"/>
        </w:numPr>
        <w:spacing w:after="0"/>
        <w:jc w:val="both"/>
        <w:rPr>
          <w:rFonts w:ascii="Arial" w:hAnsi="Arial" w:cs="Arial"/>
        </w:rPr>
      </w:pPr>
      <w:proofErr w:type="spellStart"/>
      <w:proofErr w:type="gramStart"/>
      <w:r w:rsidRPr="0023554D">
        <w:rPr>
          <w:rFonts w:ascii="Arial" w:hAnsi="Arial" w:cs="Arial"/>
        </w:rPr>
        <w:t>Omogbehin</w:t>
      </w:r>
      <w:proofErr w:type="spellEnd"/>
      <w:r w:rsidRPr="0023554D">
        <w:rPr>
          <w:rFonts w:ascii="Arial" w:hAnsi="Arial" w:cs="Arial"/>
        </w:rPr>
        <w:t xml:space="preserve">,   </w:t>
      </w:r>
      <w:proofErr w:type="gramEnd"/>
      <w:r w:rsidRPr="0023554D">
        <w:rPr>
          <w:rFonts w:ascii="Arial" w:hAnsi="Arial" w:cs="Arial"/>
        </w:rPr>
        <w:t>A.  S.</w:t>
      </w:r>
      <w:proofErr w:type="gramStart"/>
      <w:r w:rsidRPr="0023554D">
        <w:rPr>
          <w:rFonts w:ascii="Arial" w:hAnsi="Arial" w:cs="Arial"/>
        </w:rPr>
        <w:t>,  Momoh</w:t>
      </w:r>
      <w:proofErr w:type="gramEnd"/>
      <w:r w:rsidRPr="0023554D">
        <w:rPr>
          <w:rFonts w:ascii="Arial" w:hAnsi="Arial" w:cs="Arial"/>
        </w:rPr>
        <w:t>, S. A., &amp; Yahaya  H. (2010).  Inhibitory action of</w:t>
      </w:r>
      <w:r w:rsidR="002F57F6" w:rsidRPr="0023554D">
        <w:rPr>
          <w:rFonts w:ascii="Arial" w:hAnsi="Arial" w:cs="Arial"/>
        </w:rPr>
        <w:t xml:space="preserve"> </w:t>
      </w:r>
      <w:proofErr w:type="gramStart"/>
      <w:r w:rsidR="002D7D36" w:rsidRPr="0023554D">
        <w:rPr>
          <w:rFonts w:ascii="Arial" w:hAnsi="Arial" w:cs="Arial"/>
        </w:rPr>
        <w:t xml:space="preserve">Nicotiana  </w:t>
      </w:r>
      <w:proofErr w:type="spellStart"/>
      <w:r w:rsidR="002D7D36" w:rsidRPr="0023554D">
        <w:rPr>
          <w:rFonts w:ascii="Arial" w:hAnsi="Arial" w:cs="Arial"/>
        </w:rPr>
        <w:t>tobacum</w:t>
      </w:r>
      <w:proofErr w:type="spellEnd"/>
      <w:proofErr w:type="gramEnd"/>
      <w:r w:rsidR="002D7D36" w:rsidRPr="0023554D">
        <w:rPr>
          <w:rFonts w:ascii="Arial" w:hAnsi="Arial" w:cs="Arial"/>
        </w:rPr>
        <w:t xml:space="preserve"> extract in </w:t>
      </w:r>
      <w:r w:rsidRPr="0023554D">
        <w:rPr>
          <w:rFonts w:ascii="Arial" w:hAnsi="Arial" w:cs="Arial"/>
        </w:rPr>
        <w:t xml:space="preserve">the  corrosion of mild steel in HCL . </w:t>
      </w:r>
      <w:r w:rsidRPr="0023554D">
        <w:rPr>
          <w:rFonts w:ascii="Arial" w:hAnsi="Arial" w:cs="Arial"/>
          <w:i/>
        </w:rPr>
        <w:t>Pacific</w:t>
      </w:r>
      <w:r w:rsidR="002F57F6" w:rsidRPr="0023554D">
        <w:rPr>
          <w:rFonts w:ascii="Arial" w:hAnsi="Arial" w:cs="Arial"/>
        </w:rPr>
        <w:t xml:space="preserve"> </w:t>
      </w:r>
      <w:r w:rsidRPr="0023554D">
        <w:rPr>
          <w:rFonts w:ascii="Arial" w:hAnsi="Arial" w:cs="Arial"/>
          <w:i/>
        </w:rPr>
        <w:t>Journal of science and Technology</w:t>
      </w:r>
      <w:r w:rsidRPr="0023554D">
        <w:rPr>
          <w:rFonts w:ascii="Arial" w:hAnsi="Arial" w:cs="Arial"/>
        </w:rPr>
        <w:t>,</w:t>
      </w:r>
      <w:r w:rsidRPr="0023554D">
        <w:rPr>
          <w:rFonts w:ascii="Arial" w:hAnsi="Arial" w:cs="Arial"/>
          <w:b/>
        </w:rPr>
        <w:t xml:space="preserve"> 11</w:t>
      </w:r>
      <w:r w:rsidRPr="0023554D">
        <w:rPr>
          <w:rFonts w:ascii="Arial" w:hAnsi="Arial" w:cs="Arial"/>
        </w:rPr>
        <w:t>(2), 455-462.  (ISSN: 1545-0740).</w:t>
      </w:r>
      <w:r w:rsidR="002F57F6" w:rsidRPr="0023554D">
        <w:rPr>
          <w:rFonts w:ascii="Arial" w:hAnsi="Arial" w:cs="Arial"/>
        </w:rPr>
        <w:t xml:space="preserve"> </w:t>
      </w:r>
      <w:hyperlink r:id="rId23" w:history="1">
        <w:r w:rsidR="00B508D4" w:rsidRPr="0023554D">
          <w:rPr>
            <w:rStyle w:val="Hyperlink"/>
            <w:rFonts w:ascii="Arial" w:hAnsi="Arial" w:cs="Arial"/>
          </w:rPr>
          <w:t>http://www.sciencepub.net/nature27</w:t>
        </w:r>
      </w:hyperlink>
    </w:p>
    <w:p w14:paraId="0E73BA4F" w14:textId="77777777" w:rsidR="002F57F6" w:rsidRPr="0023554D" w:rsidRDefault="004C5FD5" w:rsidP="00B508D4">
      <w:pPr>
        <w:pStyle w:val="ListParagraph"/>
        <w:numPr>
          <w:ilvl w:val="0"/>
          <w:numId w:val="5"/>
        </w:numPr>
        <w:spacing w:after="0"/>
        <w:jc w:val="both"/>
        <w:rPr>
          <w:rStyle w:val="Hyperlink"/>
          <w:rFonts w:ascii="Arial" w:hAnsi="Arial" w:cs="Arial"/>
          <w:color w:val="auto"/>
          <w:u w:val="none"/>
        </w:rPr>
      </w:pPr>
      <w:proofErr w:type="spellStart"/>
      <w:proofErr w:type="gramStart"/>
      <w:r w:rsidRPr="0023554D">
        <w:rPr>
          <w:rFonts w:ascii="Arial" w:eastAsia="Times New Roman" w:hAnsi="Arial" w:cs="Arial"/>
        </w:rPr>
        <w:t>Oguzie</w:t>
      </w:r>
      <w:proofErr w:type="spellEnd"/>
      <w:r w:rsidRPr="0023554D">
        <w:rPr>
          <w:rFonts w:ascii="Arial" w:eastAsia="Times New Roman" w:hAnsi="Arial" w:cs="Arial"/>
        </w:rPr>
        <w:t>,  E</w:t>
      </w:r>
      <w:proofErr w:type="gramEnd"/>
      <w:r w:rsidRPr="0023554D">
        <w:rPr>
          <w:rFonts w:ascii="Arial" w:eastAsia="Times New Roman" w:hAnsi="Arial" w:cs="Arial"/>
        </w:rPr>
        <w:t xml:space="preserve">, E., 27] Onuoha, G. N., </w:t>
      </w:r>
      <w:proofErr w:type="spellStart"/>
      <w:r w:rsidRPr="0023554D">
        <w:rPr>
          <w:rFonts w:ascii="Arial" w:eastAsia="Times New Roman" w:hAnsi="Arial" w:cs="Arial"/>
        </w:rPr>
        <w:t>Ejike</w:t>
      </w:r>
      <w:proofErr w:type="spellEnd"/>
      <w:r w:rsidRPr="0023554D">
        <w:rPr>
          <w:rFonts w:ascii="Arial" w:eastAsia="Times New Roman" w:hAnsi="Arial" w:cs="Arial"/>
        </w:rPr>
        <w:t xml:space="preserve">  E. N. (2007).  Effect </w:t>
      </w:r>
      <w:proofErr w:type="gramStart"/>
      <w:r w:rsidRPr="0023554D">
        <w:rPr>
          <w:rFonts w:ascii="Arial" w:eastAsia="Times New Roman" w:hAnsi="Arial" w:cs="Arial"/>
        </w:rPr>
        <w:t xml:space="preserve">of  </w:t>
      </w:r>
      <w:proofErr w:type="spellStart"/>
      <w:r w:rsidRPr="0023554D">
        <w:rPr>
          <w:rFonts w:ascii="Arial" w:eastAsia="Times New Roman" w:hAnsi="Arial" w:cs="Arial"/>
          <w:i/>
        </w:rPr>
        <w:t>Gongrenema</w:t>
      </w:r>
      <w:proofErr w:type="spellEnd"/>
      <w:proofErr w:type="gramEnd"/>
      <w:r w:rsidRPr="0023554D">
        <w:rPr>
          <w:rFonts w:ascii="Arial" w:eastAsia="Times New Roman" w:hAnsi="Arial" w:cs="Arial"/>
          <w:i/>
        </w:rPr>
        <w:t xml:space="preserve"> </w:t>
      </w:r>
      <w:proofErr w:type="spellStart"/>
      <w:r w:rsidRPr="0023554D">
        <w:rPr>
          <w:rFonts w:ascii="Arial" w:eastAsia="Times New Roman" w:hAnsi="Arial" w:cs="Arial"/>
          <w:i/>
        </w:rPr>
        <w:t>latifolum</w:t>
      </w:r>
      <w:proofErr w:type="spellEnd"/>
      <w:r w:rsidRPr="0023554D">
        <w:rPr>
          <w:rFonts w:ascii="Arial" w:eastAsia="Times New Roman" w:hAnsi="Arial" w:cs="Arial"/>
        </w:rPr>
        <w:t xml:space="preserve"> extract on </w:t>
      </w:r>
      <w:r w:rsidR="002F57F6" w:rsidRPr="0023554D">
        <w:rPr>
          <w:rFonts w:ascii="Arial" w:eastAsia="Times New Roman" w:hAnsi="Arial" w:cs="Arial"/>
        </w:rPr>
        <w:t xml:space="preserve">  </w:t>
      </w:r>
      <w:r w:rsidRPr="0023554D">
        <w:rPr>
          <w:rFonts w:ascii="Arial" w:eastAsia="Times New Roman" w:hAnsi="Arial" w:cs="Arial"/>
        </w:rPr>
        <w:t>Aluminium corrosion in acidic and Alkaline media.</w:t>
      </w:r>
      <w:r w:rsidRPr="0023554D">
        <w:rPr>
          <w:rFonts w:ascii="Arial" w:hAnsi="Arial" w:cs="Arial"/>
        </w:rPr>
        <w:t xml:space="preserve"> </w:t>
      </w:r>
      <w:r w:rsidRPr="0023554D">
        <w:rPr>
          <w:rFonts w:ascii="Arial" w:eastAsia="Times New Roman" w:hAnsi="Arial" w:cs="Arial"/>
          <w:i/>
        </w:rPr>
        <w:t xml:space="preserve">Pigment </w:t>
      </w:r>
      <w:proofErr w:type="gramStart"/>
      <w:r w:rsidRPr="0023554D">
        <w:rPr>
          <w:rFonts w:ascii="Arial" w:eastAsia="Times New Roman" w:hAnsi="Arial" w:cs="Arial"/>
          <w:i/>
        </w:rPr>
        <w:t>and  Resin</w:t>
      </w:r>
      <w:proofErr w:type="gramEnd"/>
      <w:r w:rsidRPr="0023554D">
        <w:rPr>
          <w:rFonts w:ascii="Arial" w:eastAsia="Times New Roman" w:hAnsi="Arial" w:cs="Arial"/>
          <w:i/>
        </w:rPr>
        <w:t xml:space="preserve"> Technology  </w:t>
      </w:r>
      <w:r w:rsidRPr="0023554D">
        <w:rPr>
          <w:rFonts w:ascii="Arial" w:eastAsia="Times New Roman" w:hAnsi="Arial" w:cs="Arial"/>
          <w:b/>
        </w:rPr>
        <w:t>(36)</w:t>
      </w:r>
      <w:r w:rsidRPr="0023554D">
        <w:rPr>
          <w:rFonts w:ascii="Arial" w:eastAsia="Times New Roman" w:hAnsi="Arial" w:cs="Arial"/>
        </w:rPr>
        <w:t xml:space="preserve">, 44 – 49. </w:t>
      </w:r>
      <w:hyperlink r:id="rId24" w:history="1">
        <w:r w:rsidR="002F57F6" w:rsidRPr="0023554D">
          <w:rPr>
            <w:rStyle w:val="Hyperlink"/>
            <w:rFonts w:ascii="Arial" w:hAnsi="Arial" w:cs="Arial"/>
          </w:rPr>
          <w:t>https://doi.org/10.1108/03699420710718751</w:t>
        </w:r>
      </w:hyperlink>
    </w:p>
    <w:p w14:paraId="08BF210D" w14:textId="77777777" w:rsidR="002F57F6" w:rsidRPr="0023554D" w:rsidRDefault="00353AB1" w:rsidP="00353AB1">
      <w:pPr>
        <w:spacing w:after="0"/>
        <w:ind w:left="720" w:hanging="360"/>
        <w:jc w:val="both"/>
        <w:rPr>
          <w:rFonts w:ascii="Arial" w:eastAsia="Times New Roman" w:hAnsi="Arial" w:cs="Arial"/>
          <w:lang w:eastAsia="en-GB"/>
        </w:rPr>
      </w:pPr>
      <w:r w:rsidRPr="0023554D">
        <w:rPr>
          <w:rStyle w:val="Hyperlink"/>
          <w:rFonts w:ascii="Arial" w:hAnsi="Arial" w:cs="Arial"/>
          <w:color w:val="auto"/>
        </w:rPr>
        <w:t>28</w:t>
      </w:r>
      <w:r w:rsidR="00B508D4" w:rsidRPr="0023554D">
        <w:rPr>
          <w:rStyle w:val="Hyperlink"/>
          <w:rFonts w:ascii="Arial" w:hAnsi="Arial" w:cs="Arial"/>
          <w:color w:val="auto"/>
        </w:rPr>
        <w:t>.</w:t>
      </w:r>
      <w:r w:rsidRPr="0023554D">
        <w:rPr>
          <w:rStyle w:val="Hyperlink"/>
          <w:rFonts w:ascii="Arial" w:hAnsi="Arial" w:cs="Arial"/>
          <w:color w:val="auto"/>
        </w:rPr>
        <w:tab/>
      </w:r>
      <w:proofErr w:type="spellStart"/>
      <w:proofErr w:type="gramStart"/>
      <w:r w:rsidR="004C5FD5" w:rsidRPr="0023554D">
        <w:rPr>
          <w:rFonts w:ascii="Arial" w:hAnsi="Arial" w:cs="Arial"/>
        </w:rPr>
        <w:t>Omogbehin</w:t>
      </w:r>
      <w:proofErr w:type="spellEnd"/>
      <w:r w:rsidR="004C5FD5" w:rsidRPr="0023554D">
        <w:rPr>
          <w:rFonts w:ascii="Arial" w:hAnsi="Arial" w:cs="Arial"/>
        </w:rPr>
        <w:t xml:space="preserve">,   </w:t>
      </w:r>
      <w:proofErr w:type="gramEnd"/>
      <w:r w:rsidR="004C5FD5" w:rsidRPr="0023554D">
        <w:rPr>
          <w:rFonts w:ascii="Arial" w:hAnsi="Arial" w:cs="Arial"/>
        </w:rPr>
        <w:t>A.  S.</w:t>
      </w:r>
      <w:proofErr w:type="gramStart"/>
      <w:r w:rsidR="004C5FD5" w:rsidRPr="0023554D">
        <w:rPr>
          <w:rFonts w:ascii="Arial" w:hAnsi="Arial" w:cs="Arial"/>
        </w:rPr>
        <w:t>,  Momoh</w:t>
      </w:r>
      <w:proofErr w:type="gramEnd"/>
      <w:r w:rsidR="004C5FD5" w:rsidRPr="0023554D">
        <w:rPr>
          <w:rFonts w:ascii="Arial" w:hAnsi="Arial" w:cs="Arial"/>
        </w:rPr>
        <w:t>, S. A., &amp; Yahaya  H. (2010).  Inhibito</w:t>
      </w:r>
      <w:r w:rsidR="002F57F6" w:rsidRPr="0023554D">
        <w:rPr>
          <w:rFonts w:ascii="Arial" w:hAnsi="Arial" w:cs="Arial"/>
        </w:rPr>
        <w:t xml:space="preserve">ry action of </w:t>
      </w:r>
      <w:proofErr w:type="gramStart"/>
      <w:r w:rsidR="002F57F6" w:rsidRPr="0023554D">
        <w:rPr>
          <w:rFonts w:ascii="Arial" w:hAnsi="Arial" w:cs="Arial"/>
        </w:rPr>
        <w:t xml:space="preserve">Nicotiana  </w:t>
      </w:r>
      <w:proofErr w:type="spellStart"/>
      <w:r w:rsidR="002F57F6" w:rsidRPr="0023554D">
        <w:rPr>
          <w:rFonts w:ascii="Arial" w:hAnsi="Arial" w:cs="Arial"/>
        </w:rPr>
        <w:t>tobacum</w:t>
      </w:r>
      <w:proofErr w:type="spellEnd"/>
      <w:proofErr w:type="gramEnd"/>
      <w:r w:rsidR="002F57F6" w:rsidRPr="0023554D">
        <w:rPr>
          <w:rFonts w:ascii="Arial" w:hAnsi="Arial" w:cs="Arial"/>
        </w:rPr>
        <w:t xml:space="preserve"> </w:t>
      </w:r>
      <w:r w:rsidRPr="0023554D">
        <w:rPr>
          <w:rFonts w:ascii="Arial" w:hAnsi="Arial" w:cs="Arial"/>
        </w:rPr>
        <w:t xml:space="preserve">   </w:t>
      </w:r>
      <w:r w:rsidR="004C5FD5" w:rsidRPr="0023554D">
        <w:rPr>
          <w:rFonts w:ascii="Arial" w:hAnsi="Arial" w:cs="Arial"/>
        </w:rPr>
        <w:t xml:space="preserve">extract in  the  corrosion of mild steel in HCL . </w:t>
      </w:r>
      <w:r w:rsidR="004C5FD5" w:rsidRPr="0023554D">
        <w:rPr>
          <w:rFonts w:ascii="Arial" w:hAnsi="Arial" w:cs="Arial"/>
          <w:i/>
        </w:rPr>
        <w:t>Pacific</w:t>
      </w:r>
      <w:r w:rsidR="004C5FD5" w:rsidRPr="0023554D">
        <w:rPr>
          <w:rFonts w:ascii="Arial" w:hAnsi="Arial" w:cs="Arial"/>
        </w:rPr>
        <w:t xml:space="preserve"> </w:t>
      </w:r>
      <w:r w:rsidR="004C5FD5" w:rsidRPr="0023554D">
        <w:rPr>
          <w:rFonts w:ascii="Arial" w:hAnsi="Arial" w:cs="Arial"/>
          <w:i/>
        </w:rPr>
        <w:t>Journal of science and Technology</w:t>
      </w:r>
      <w:r w:rsidR="004C5FD5" w:rsidRPr="0023554D">
        <w:rPr>
          <w:rFonts w:ascii="Arial" w:hAnsi="Arial" w:cs="Arial"/>
        </w:rPr>
        <w:t>,</w:t>
      </w:r>
      <w:r w:rsidR="004C5FD5" w:rsidRPr="0023554D">
        <w:rPr>
          <w:rFonts w:ascii="Arial" w:hAnsi="Arial" w:cs="Arial"/>
          <w:b/>
        </w:rPr>
        <w:t xml:space="preserve"> 11</w:t>
      </w:r>
      <w:r w:rsidR="004C5FD5" w:rsidRPr="0023554D">
        <w:rPr>
          <w:rFonts w:ascii="Arial" w:hAnsi="Arial" w:cs="Arial"/>
        </w:rPr>
        <w:t xml:space="preserve">(2), 455-462.  (ISSN: 1545-0740). </w:t>
      </w:r>
      <w:hyperlink r:id="rId25" w:history="1">
        <w:r w:rsidR="002F57F6" w:rsidRPr="0023554D">
          <w:rPr>
            <w:rStyle w:val="Hyperlink"/>
            <w:rFonts w:ascii="Arial" w:hAnsi="Arial" w:cs="Arial"/>
          </w:rPr>
          <w:t>http://www.sciencepub.net/nature</w:t>
        </w:r>
      </w:hyperlink>
    </w:p>
    <w:p w14:paraId="2763939D" w14:textId="77777777" w:rsidR="002F57F6" w:rsidRPr="0023554D" w:rsidRDefault="00353AB1" w:rsidP="00353AB1">
      <w:pPr>
        <w:spacing w:after="0"/>
        <w:ind w:left="720" w:hanging="360"/>
        <w:jc w:val="both"/>
        <w:rPr>
          <w:rFonts w:ascii="Arial" w:hAnsi="Arial" w:cs="Arial"/>
        </w:rPr>
      </w:pPr>
      <w:r w:rsidRPr="0023554D">
        <w:rPr>
          <w:rFonts w:ascii="Arial" w:eastAsia="Times New Roman" w:hAnsi="Arial" w:cs="Arial"/>
          <w:lang w:eastAsia="en-GB"/>
        </w:rPr>
        <w:t>29</w:t>
      </w:r>
      <w:r w:rsidR="00B508D4" w:rsidRPr="0023554D">
        <w:rPr>
          <w:rFonts w:ascii="Arial" w:eastAsia="Times New Roman" w:hAnsi="Arial" w:cs="Arial"/>
          <w:lang w:eastAsia="en-GB"/>
        </w:rPr>
        <w:t>.</w:t>
      </w:r>
      <w:r w:rsidRPr="0023554D">
        <w:rPr>
          <w:rFonts w:ascii="Arial" w:eastAsia="Times New Roman" w:hAnsi="Arial" w:cs="Arial"/>
          <w:lang w:eastAsia="en-GB"/>
        </w:rPr>
        <w:tab/>
      </w:r>
      <w:r w:rsidR="004C5FD5" w:rsidRPr="0023554D">
        <w:rPr>
          <w:rFonts w:ascii="Arial" w:eastAsia="Times New Roman" w:hAnsi="Arial" w:cs="Arial"/>
          <w:lang w:eastAsia="en-GB"/>
        </w:rPr>
        <w:t xml:space="preserve">Stuart, B. (2004). </w:t>
      </w:r>
      <w:r w:rsidR="004C5FD5" w:rsidRPr="0023554D">
        <w:rPr>
          <w:rFonts w:ascii="Arial" w:eastAsia="Times New Roman" w:hAnsi="Arial" w:cs="Arial"/>
          <w:i/>
          <w:iCs/>
          <w:lang w:eastAsia="en-GB"/>
        </w:rPr>
        <w:t>Infrared Spectroscopy: Fundamentals and Applications</w:t>
      </w:r>
      <w:r w:rsidR="004C5FD5" w:rsidRPr="0023554D">
        <w:rPr>
          <w:rFonts w:ascii="Arial" w:eastAsia="Times New Roman" w:hAnsi="Arial" w:cs="Arial"/>
          <w:lang w:eastAsia="en-GB"/>
        </w:rPr>
        <w:t xml:space="preserve">. Wiley. </w:t>
      </w:r>
      <w:hyperlink r:id="rId26" w:history="1">
        <w:r w:rsidR="004C5FD5" w:rsidRPr="0023554D">
          <w:rPr>
            <w:rStyle w:val="Hyperlink"/>
            <w:rFonts w:ascii="Arial" w:hAnsi="Arial" w:cs="Arial"/>
          </w:rPr>
          <w:t>https://doi.org/10.1002/0470011149</w:t>
        </w:r>
      </w:hyperlink>
    </w:p>
    <w:p w14:paraId="3222C81A" w14:textId="77777777" w:rsidR="00B508D4" w:rsidRPr="0023554D" w:rsidRDefault="00B508D4" w:rsidP="0023554D">
      <w:pPr>
        <w:spacing w:after="0"/>
        <w:ind w:left="720" w:hanging="360"/>
        <w:jc w:val="both"/>
        <w:rPr>
          <w:rFonts w:ascii="Arial" w:eastAsia="Times New Roman" w:hAnsi="Arial" w:cs="Arial"/>
          <w:lang w:eastAsia="en-GB"/>
        </w:rPr>
      </w:pPr>
      <w:r w:rsidRPr="0023554D">
        <w:rPr>
          <w:rFonts w:ascii="Arial" w:eastAsia="Times New Roman" w:hAnsi="Arial" w:cs="Arial"/>
          <w:lang w:eastAsia="en-GB"/>
        </w:rPr>
        <w:t>30.</w:t>
      </w:r>
      <w:r w:rsidRPr="0023554D">
        <w:rPr>
          <w:rFonts w:ascii="Arial" w:eastAsia="Times New Roman" w:hAnsi="Arial" w:cs="Arial"/>
          <w:lang w:eastAsia="en-GB"/>
        </w:rPr>
        <w:tab/>
      </w:r>
      <w:r w:rsidR="004C5FD5" w:rsidRPr="0023554D">
        <w:rPr>
          <w:rFonts w:ascii="Arial" w:eastAsia="Times New Roman" w:hAnsi="Arial" w:cs="Arial"/>
          <w:lang w:eastAsia="en-GB"/>
        </w:rPr>
        <w:t xml:space="preserve">Coates, J. (2006). </w:t>
      </w:r>
      <w:r w:rsidR="004C5FD5" w:rsidRPr="0023554D">
        <w:rPr>
          <w:rFonts w:ascii="Arial" w:eastAsia="Times New Roman" w:hAnsi="Arial" w:cs="Arial"/>
          <w:i/>
          <w:iCs/>
          <w:lang w:eastAsia="en-GB"/>
        </w:rPr>
        <w:t>Interpretation of Infrared Spectra: A Practical Approach</w:t>
      </w:r>
      <w:r w:rsidR="004C5FD5" w:rsidRPr="0023554D">
        <w:rPr>
          <w:rFonts w:ascii="Arial" w:eastAsia="Times New Roman" w:hAnsi="Arial" w:cs="Arial"/>
          <w:lang w:eastAsia="en-GB"/>
        </w:rPr>
        <w:t>. In Meyers, R.A. (Ed.),</w:t>
      </w:r>
    </w:p>
    <w:p w14:paraId="7B634DA8" w14:textId="77777777" w:rsidR="002F57F6" w:rsidRPr="0023554D" w:rsidRDefault="0023554D" w:rsidP="0023554D">
      <w:pPr>
        <w:spacing w:after="0"/>
        <w:ind w:left="720" w:hanging="300"/>
        <w:jc w:val="both"/>
        <w:rPr>
          <w:rFonts w:ascii="Arial" w:hAnsi="Arial" w:cs="Arial"/>
        </w:rPr>
      </w:pPr>
      <w:r>
        <w:rPr>
          <w:rFonts w:ascii="Arial" w:eastAsia="Times New Roman" w:hAnsi="Arial" w:cs="Arial"/>
          <w:lang w:eastAsia="en-GB"/>
        </w:rPr>
        <w:t>31</w:t>
      </w:r>
      <w:r>
        <w:rPr>
          <w:rFonts w:ascii="Arial" w:eastAsia="Times New Roman" w:hAnsi="Arial" w:cs="Arial"/>
          <w:lang w:eastAsia="en-GB"/>
        </w:rPr>
        <w:tab/>
      </w:r>
      <w:proofErr w:type="spellStart"/>
      <w:r w:rsidR="004C5FD5" w:rsidRPr="0023554D">
        <w:rPr>
          <w:rFonts w:ascii="Arial" w:eastAsia="Times New Roman" w:hAnsi="Arial" w:cs="Arial"/>
          <w:i/>
          <w:iCs/>
          <w:lang w:eastAsia="en-GB"/>
        </w:rPr>
        <w:t>Encyclopedia</w:t>
      </w:r>
      <w:proofErr w:type="spellEnd"/>
      <w:r w:rsidR="004C5FD5" w:rsidRPr="0023554D">
        <w:rPr>
          <w:rFonts w:ascii="Arial" w:eastAsia="Times New Roman" w:hAnsi="Arial" w:cs="Arial"/>
          <w:i/>
          <w:iCs/>
          <w:lang w:eastAsia="en-GB"/>
        </w:rPr>
        <w:t xml:space="preserve"> of Analytical Chemistry</w:t>
      </w:r>
      <w:r w:rsidR="004C5FD5" w:rsidRPr="0023554D">
        <w:rPr>
          <w:rFonts w:ascii="Arial" w:eastAsia="Times New Roman" w:hAnsi="Arial" w:cs="Arial"/>
          <w:lang w:eastAsia="en-GB"/>
        </w:rPr>
        <w:t xml:space="preserve">. Wiley. </w:t>
      </w:r>
      <w:hyperlink r:id="rId27" w:history="1">
        <w:r w:rsidR="004C5FD5" w:rsidRPr="0023554D">
          <w:rPr>
            <w:rStyle w:val="Hyperlink"/>
            <w:rFonts w:ascii="Arial" w:hAnsi="Arial" w:cs="Arial"/>
          </w:rPr>
          <w:t>https://doi.org/10.1002/9780470027318.a5606</w:t>
        </w:r>
      </w:hyperlink>
    </w:p>
    <w:p w14:paraId="2BA7196C" w14:textId="77777777" w:rsidR="002F57F6" w:rsidRPr="0023554D" w:rsidRDefault="00B508D4" w:rsidP="00B508D4">
      <w:pPr>
        <w:spacing w:after="0"/>
        <w:ind w:left="720" w:hanging="360"/>
        <w:jc w:val="both"/>
        <w:rPr>
          <w:rFonts w:ascii="Arial" w:hAnsi="Arial" w:cs="Arial"/>
        </w:rPr>
      </w:pPr>
      <w:r w:rsidRPr="0023554D">
        <w:rPr>
          <w:rFonts w:ascii="Arial" w:eastAsia="Times New Roman" w:hAnsi="Arial" w:cs="Arial"/>
          <w:lang w:eastAsia="en-GB"/>
        </w:rPr>
        <w:t>32.</w:t>
      </w:r>
      <w:r w:rsidRPr="0023554D">
        <w:rPr>
          <w:rFonts w:ascii="Arial" w:eastAsia="Times New Roman" w:hAnsi="Arial" w:cs="Arial"/>
          <w:lang w:eastAsia="en-GB"/>
        </w:rPr>
        <w:tab/>
      </w:r>
      <w:r w:rsidR="004C5FD5" w:rsidRPr="0023554D">
        <w:rPr>
          <w:rFonts w:ascii="Arial" w:eastAsia="Times New Roman" w:hAnsi="Arial" w:cs="Arial"/>
          <w:lang w:eastAsia="en-GB"/>
        </w:rPr>
        <w:t xml:space="preserve">Silverstein, R.M., Webster, F.X., </w:t>
      </w:r>
      <w:proofErr w:type="spellStart"/>
      <w:r w:rsidR="004C5FD5" w:rsidRPr="0023554D">
        <w:rPr>
          <w:rFonts w:ascii="Arial" w:eastAsia="Times New Roman" w:hAnsi="Arial" w:cs="Arial"/>
          <w:lang w:eastAsia="en-GB"/>
        </w:rPr>
        <w:t>Kiemle</w:t>
      </w:r>
      <w:proofErr w:type="spellEnd"/>
      <w:r w:rsidR="004C5FD5" w:rsidRPr="0023554D">
        <w:rPr>
          <w:rFonts w:ascii="Arial" w:eastAsia="Times New Roman" w:hAnsi="Arial" w:cs="Arial"/>
          <w:lang w:eastAsia="en-GB"/>
        </w:rPr>
        <w:t xml:space="preserve">, D.J., &amp; Bryce, D.L. (2014). </w:t>
      </w:r>
      <w:r w:rsidR="002F57F6" w:rsidRPr="0023554D">
        <w:rPr>
          <w:rFonts w:ascii="Arial" w:eastAsia="Times New Roman" w:hAnsi="Arial" w:cs="Arial"/>
          <w:i/>
          <w:iCs/>
          <w:lang w:eastAsia="en-GB"/>
        </w:rPr>
        <w:t>Spectrometric Identification of</w:t>
      </w:r>
      <w:r w:rsidR="002D7D36" w:rsidRPr="0023554D">
        <w:rPr>
          <w:rFonts w:ascii="Arial" w:eastAsia="Times New Roman" w:hAnsi="Arial" w:cs="Arial"/>
          <w:i/>
          <w:iCs/>
          <w:lang w:eastAsia="en-GB"/>
        </w:rPr>
        <w:t xml:space="preserve"> </w:t>
      </w:r>
      <w:r w:rsidR="002F57F6" w:rsidRPr="0023554D">
        <w:rPr>
          <w:rFonts w:ascii="Arial" w:eastAsia="Times New Roman" w:hAnsi="Arial" w:cs="Arial"/>
          <w:i/>
          <w:iCs/>
          <w:lang w:eastAsia="en-GB"/>
        </w:rPr>
        <w:t xml:space="preserve">Organic </w:t>
      </w:r>
      <w:r w:rsidR="004C5FD5" w:rsidRPr="0023554D">
        <w:rPr>
          <w:rFonts w:ascii="Arial" w:eastAsia="Times New Roman" w:hAnsi="Arial" w:cs="Arial"/>
          <w:i/>
          <w:iCs/>
          <w:lang w:eastAsia="en-GB"/>
        </w:rPr>
        <w:t>Compounds</w:t>
      </w:r>
      <w:r w:rsidR="004C5FD5" w:rsidRPr="0023554D">
        <w:rPr>
          <w:rFonts w:ascii="Arial" w:eastAsia="Times New Roman" w:hAnsi="Arial" w:cs="Arial"/>
          <w:lang w:eastAsia="en-GB"/>
        </w:rPr>
        <w:t xml:space="preserve"> (8th ed.). Wiley.</w:t>
      </w:r>
    </w:p>
    <w:p w14:paraId="44871395" w14:textId="77777777" w:rsidR="002F57F6" w:rsidRPr="0023554D" w:rsidRDefault="00B508D4" w:rsidP="00B508D4">
      <w:pPr>
        <w:spacing w:after="0"/>
        <w:ind w:left="720" w:hanging="360"/>
        <w:jc w:val="both"/>
        <w:rPr>
          <w:rFonts w:ascii="Arial" w:eastAsia="Times New Roman" w:hAnsi="Arial" w:cs="Arial"/>
          <w:lang w:eastAsia="en-GB"/>
        </w:rPr>
      </w:pPr>
      <w:r w:rsidRPr="0023554D">
        <w:rPr>
          <w:rFonts w:ascii="Arial" w:eastAsia="Times New Roman" w:hAnsi="Arial" w:cs="Arial"/>
          <w:lang w:eastAsia="en-GB"/>
        </w:rPr>
        <w:t>33.</w:t>
      </w:r>
      <w:r w:rsidRPr="0023554D">
        <w:rPr>
          <w:rFonts w:ascii="Arial" w:eastAsia="Times New Roman" w:hAnsi="Arial" w:cs="Arial"/>
          <w:lang w:eastAsia="en-GB"/>
        </w:rPr>
        <w:tab/>
      </w:r>
      <w:r w:rsidR="004C5FD5" w:rsidRPr="0023554D">
        <w:rPr>
          <w:rFonts w:ascii="Arial" w:eastAsia="Times New Roman" w:hAnsi="Arial" w:cs="Arial"/>
          <w:lang w:eastAsia="en-GB"/>
        </w:rPr>
        <w:t xml:space="preserve">Pavia, D.L., Lampman, G.M., </w:t>
      </w:r>
      <w:proofErr w:type="spellStart"/>
      <w:r w:rsidR="004C5FD5" w:rsidRPr="0023554D">
        <w:rPr>
          <w:rFonts w:ascii="Arial" w:eastAsia="Times New Roman" w:hAnsi="Arial" w:cs="Arial"/>
          <w:lang w:eastAsia="en-GB"/>
        </w:rPr>
        <w:t>Kriz</w:t>
      </w:r>
      <w:proofErr w:type="spellEnd"/>
      <w:r w:rsidR="004C5FD5" w:rsidRPr="0023554D">
        <w:rPr>
          <w:rFonts w:ascii="Arial" w:eastAsia="Times New Roman" w:hAnsi="Arial" w:cs="Arial"/>
          <w:lang w:eastAsia="en-GB"/>
        </w:rPr>
        <w:t xml:space="preserve">, G.S., &amp; Vyvyan, J.A. (2015). </w:t>
      </w:r>
      <w:r w:rsidR="004C5FD5" w:rsidRPr="0023554D">
        <w:rPr>
          <w:rFonts w:ascii="Arial" w:eastAsia="Times New Roman" w:hAnsi="Arial" w:cs="Arial"/>
          <w:i/>
          <w:iCs/>
          <w:lang w:eastAsia="en-GB"/>
        </w:rPr>
        <w:t>Introduction to Spectroscopy</w:t>
      </w:r>
      <w:r w:rsidR="002F57F6" w:rsidRPr="0023554D">
        <w:rPr>
          <w:rFonts w:ascii="Arial" w:eastAsia="Times New Roman" w:hAnsi="Arial" w:cs="Arial"/>
          <w:lang w:eastAsia="en-GB"/>
        </w:rPr>
        <w:t xml:space="preserve"> (5th ed.). Cengage Learning</w:t>
      </w:r>
    </w:p>
    <w:p w14:paraId="0D0722AF" w14:textId="77777777" w:rsidR="002F57F6" w:rsidRPr="0023554D" w:rsidRDefault="00B508D4" w:rsidP="00B508D4">
      <w:pPr>
        <w:spacing w:after="0"/>
        <w:ind w:left="720" w:hanging="360"/>
        <w:jc w:val="both"/>
        <w:rPr>
          <w:rFonts w:ascii="Arial" w:hAnsi="Arial" w:cs="Arial"/>
        </w:rPr>
      </w:pPr>
      <w:r w:rsidRPr="0023554D">
        <w:rPr>
          <w:rFonts w:ascii="Arial" w:eastAsia="Times New Roman" w:hAnsi="Arial" w:cs="Arial"/>
          <w:lang w:eastAsia="en-GB"/>
        </w:rPr>
        <w:t>34.</w:t>
      </w:r>
      <w:r w:rsidRPr="0023554D">
        <w:rPr>
          <w:rFonts w:ascii="Arial" w:eastAsia="Times New Roman" w:hAnsi="Arial" w:cs="Arial"/>
          <w:lang w:eastAsia="en-GB"/>
        </w:rPr>
        <w:tab/>
      </w:r>
      <w:proofErr w:type="spellStart"/>
      <w:r w:rsidR="004C5FD5" w:rsidRPr="0023554D">
        <w:rPr>
          <w:rFonts w:ascii="Arial" w:eastAsia="Times New Roman" w:hAnsi="Arial" w:cs="Arial"/>
          <w:lang w:eastAsia="en-GB"/>
        </w:rPr>
        <w:t>Agiriga</w:t>
      </w:r>
      <w:proofErr w:type="spellEnd"/>
      <w:r w:rsidR="004C5FD5" w:rsidRPr="0023554D">
        <w:rPr>
          <w:rFonts w:ascii="Arial" w:eastAsia="Times New Roman" w:hAnsi="Arial" w:cs="Arial"/>
          <w:lang w:eastAsia="en-GB"/>
        </w:rPr>
        <w:t xml:space="preserve">, A.N., </w:t>
      </w:r>
      <w:proofErr w:type="spellStart"/>
      <w:r w:rsidR="004C5FD5" w:rsidRPr="0023554D">
        <w:rPr>
          <w:rFonts w:ascii="Arial" w:eastAsia="Times New Roman" w:hAnsi="Arial" w:cs="Arial"/>
          <w:lang w:eastAsia="en-GB"/>
        </w:rPr>
        <w:t>Edori</w:t>
      </w:r>
      <w:proofErr w:type="spellEnd"/>
      <w:r w:rsidR="004C5FD5" w:rsidRPr="0023554D">
        <w:rPr>
          <w:rFonts w:ascii="Arial" w:eastAsia="Times New Roman" w:hAnsi="Arial" w:cs="Arial"/>
          <w:lang w:eastAsia="en-GB"/>
        </w:rPr>
        <w:t xml:space="preserve">, O.S., &amp; </w:t>
      </w:r>
      <w:proofErr w:type="spellStart"/>
      <w:r w:rsidR="004C5FD5" w:rsidRPr="0023554D">
        <w:rPr>
          <w:rFonts w:ascii="Arial" w:eastAsia="Times New Roman" w:hAnsi="Arial" w:cs="Arial"/>
          <w:lang w:eastAsia="en-GB"/>
        </w:rPr>
        <w:t>Ujowundu</w:t>
      </w:r>
      <w:proofErr w:type="spellEnd"/>
      <w:r w:rsidR="004C5FD5" w:rsidRPr="0023554D">
        <w:rPr>
          <w:rFonts w:ascii="Arial" w:eastAsia="Times New Roman" w:hAnsi="Arial" w:cs="Arial"/>
          <w:lang w:eastAsia="en-GB"/>
        </w:rPr>
        <w:t xml:space="preserve">, F.N. (2019). Phytochemical screening and antioxidant properties of </w:t>
      </w:r>
      <w:proofErr w:type="spellStart"/>
      <w:r w:rsidR="004C5FD5" w:rsidRPr="0023554D">
        <w:rPr>
          <w:rFonts w:ascii="Arial" w:eastAsia="Times New Roman" w:hAnsi="Arial" w:cs="Arial"/>
          <w:i/>
          <w:iCs/>
          <w:lang w:eastAsia="en-GB"/>
        </w:rPr>
        <w:t>Dacryodes</w:t>
      </w:r>
      <w:proofErr w:type="spellEnd"/>
      <w:r w:rsidR="004C5FD5" w:rsidRPr="0023554D">
        <w:rPr>
          <w:rFonts w:ascii="Arial" w:eastAsia="Times New Roman" w:hAnsi="Arial" w:cs="Arial"/>
          <w:i/>
          <w:iCs/>
          <w:lang w:eastAsia="en-GB"/>
        </w:rPr>
        <w:t xml:space="preserve"> edulis</w:t>
      </w:r>
      <w:r w:rsidR="004C5FD5" w:rsidRPr="0023554D">
        <w:rPr>
          <w:rFonts w:ascii="Arial" w:eastAsia="Times New Roman" w:hAnsi="Arial" w:cs="Arial"/>
          <w:lang w:eastAsia="en-GB"/>
        </w:rPr>
        <w:t xml:space="preserve"> leaves. </w:t>
      </w:r>
      <w:r w:rsidR="004C5FD5" w:rsidRPr="0023554D">
        <w:rPr>
          <w:rFonts w:ascii="Arial" w:eastAsia="Times New Roman" w:hAnsi="Arial" w:cs="Arial"/>
          <w:i/>
          <w:iCs/>
          <w:lang w:eastAsia="en-GB"/>
        </w:rPr>
        <w:t>International Journal of Biochemistry Research &amp; Review, 28</w:t>
      </w:r>
      <w:r w:rsidR="004C5FD5" w:rsidRPr="0023554D">
        <w:rPr>
          <w:rFonts w:ascii="Arial" w:eastAsia="Times New Roman" w:hAnsi="Arial" w:cs="Arial"/>
          <w:lang w:eastAsia="en-GB"/>
        </w:rPr>
        <w:t xml:space="preserve">(3), 1–8. </w:t>
      </w:r>
      <w:hyperlink r:id="rId28" w:history="1">
        <w:r w:rsidR="002F57F6" w:rsidRPr="0023554D">
          <w:rPr>
            <w:rStyle w:val="Hyperlink"/>
            <w:rFonts w:ascii="Arial" w:eastAsia="Times New Roman" w:hAnsi="Arial" w:cs="Arial"/>
            <w:lang w:eastAsia="en-GB"/>
          </w:rPr>
          <w:t>https://doi.org/10.9734/ijbcrr/2019/v28i330142</w:t>
        </w:r>
      </w:hyperlink>
    </w:p>
    <w:p w14:paraId="65CA4819" w14:textId="77777777" w:rsidR="002F57F6" w:rsidRPr="0023554D" w:rsidRDefault="00B508D4" w:rsidP="00B508D4">
      <w:pPr>
        <w:spacing w:after="0"/>
        <w:ind w:left="720" w:hanging="360"/>
        <w:jc w:val="both"/>
        <w:rPr>
          <w:rFonts w:ascii="Arial" w:hAnsi="Arial" w:cs="Arial"/>
        </w:rPr>
      </w:pPr>
      <w:r w:rsidRPr="0023554D">
        <w:rPr>
          <w:rFonts w:ascii="Arial" w:eastAsia="Times New Roman" w:hAnsi="Arial" w:cs="Arial"/>
          <w:lang w:eastAsia="en-GB"/>
        </w:rPr>
        <w:t>35.</w:t>
      </w:r>
      <w:r w:rsidRPr="0023554D">
        <w:rPr>
          <w:rFonts w:ascii="Arial" w:eastAsia="Times New Roman" w:hAnsi="Arial" w:cs="Arial"/>
          <w:lang w:eastAsia="en-GB"/>
        </w:rPr>
        <w:tab/>
      </w:r>
      <w:r w:rsidR="004C5FD5" w:rsidRPr="0023554D">
        <w:rPr>
          <w:rFonts w:ascii="Arial" w:eastAsia="Times New Roman" w:hAnsi="Arial" w:cs="Arial"/>
          <w:lang w:eastAsia="en-GB"/>
        </w:rPr>
        <w:t xml:space="preserve">Udo, I.F., </w:t>
      </w:r>
      <w:proofErr w:type="spellStart"/>
      <w:r w:rsidR="004C5FD5" w:rsidRPr="0023554D">
        <w:rPr>
          <w:rFonts w:ascii="Arial" w:eastAsia="Times New Roman" w:hAnsi="Arial" w:cs="Arial"/>
          <w:lang w:eastAsia="en-GB"/>
        </w:rPr>
        <w:t>Etim</w:t>
      </w:r>
      <w:proofErr w:type="spellEnd"/>
      <w:r w:rsidR="004C5FD5" w:rsidRPr="0023554D">
        <w:rPr>
          <w:rFonts w:ascii="Arial" w:eastAsia="Times New Roman" w:hAnsi="Arial" w:cs="Arial"/>
          <w:lang w:eastAsia="en-GB"/>
        </w:rPr>
        <w:t xml:space="preserve">, E.I., &amp; </w:t>
      </w:r>
      <w:proofErr w:type="spellStart"/>
      <w:r w:rsidR="004C5FD5" w:rsidRPr="0023554D">
        <w:rPr>
          <w:rFonts w:ascii="Arial" w:eastAsia="Times New Roman" w:hAnsi="Arial" w:cs="Arial"/>
          <w:lang w:eastAsia="en-GB"/>
        </w:rPr>
        <w:t>Nta</w:t>
      </w:r>
      <w:proofErr w:type="spellEnd"/>
      <w:r w:rsidR="004C5FD5" w:rsidRPr="0023554D">
        <w:rPr>
          <w:rFonts w:ascii="Arial" w:eastAsia="Times New Roman" w:hAnsi="Arial" w:cs="Arial"/>
          <w:lang w:eastAsia="en-GB"/>
        </w:rPr>
        <w:t xml:space="preserve">, A.I. (2016). Phytochemical and proximate composition of </w:t>
      </w:r>
      <w:proofErr w:type="spellStart"/>
      <w:r w:rsidR="004C5FD5" w:rsidRPr="0023554D">
        <w:rPr>
          <w:rFonts w:ascii="Arial" w:eastAsia="Times New Roman" w:hAnsi="Arial" w:cs="Arial"/>
          <w:i/>
          <w:iCs/>
          <w:lang w:eastAsia="en-GB"/>
        </w:rPr>
        <w:t>Dacryodes</w:t>
      </w:r>
      <w:proofErr w:type="spellEnd"/>
      <w:r w:rsidR="004C5FD5" w:rsidRPr="0023554D">
        <w:rPr>
          <w:rFonts w:ascii="Arial" w:eastAsia="Times New Roman" w:hAnsi="Arial" w:cs="Arial"/>
          <w:i/>
          <w:iCs/>
          <w:lang w:eastAsia="en-GB"/>
        </w:rPr>
        <w:t xml:space="preserve"> edulis</w:t>
      </w:r>
      <w:r w:rsidR="004C5FD5" w:rsidRPr="0023554D">
        <w:rPr>
          <w:rFonts w:ascii="Arial" w:eastAsia="Times New Roman" w:hAnsi="Arial" w:cs="Arial"/>
          <w:lang w:eastAsia="en-GB"/>
        </w:rPr>
        <w:t xml:space="preserve"> leaves. </w:t>
      </w:r>
      <w:r w:rsidR="004C5FD5" w:rsidRPr="0023554D">
        <w:rPr>
          <w:rFonts w:ascii="Arial" w:eastAsia="Times New Roman" w:hAnsi="Arial" w:cs="Arial"/>
          <w:i/>
          <w:iCs/>
          <w:lang w:eastAsia="en-GB"/>
        </w:rPr>
        <w:t>International Journal of Scientific and Research Publications, 6</w:t>
      </w:r>
      <w:r w:rsidR="004C5FD5" w:rsidRPr="0023554D">
        <w:rPr>
          <w:rFonts w:ascii="Arial" w:eastAsia="Times New Roman" w:hAnsi="Arial" w:cs="Arial"/>
          <w:lang w:eastAsia="en-GB"/>
        </w:rPr>
        <w:t>(9), 204–209.</w:t>
      </w:r>
    </w:p>
    <w:p w14:paraId="1C3CCD96" w14:textId="77777777" w:rsidR="002F57F6" w:rsidRPr="0023554D" w:rsidRDefault="00B508D4" w:rsidP="00B508D4">
      <w:pPr>
        <w:spacing w:after="0"/>
        <w:ind w:left="720" w:hanging="360"/>
        <w:jc w:val="both"/>
        <w:rPr>
          <w:rFonts w:ascii="Arial" w:hAnsi="Arial" w:cs="Arial"/>
        </w:rPr>
      </w:pPr>
      <w:r w:rsidRPr="0023554D">
        <w:rPr>
          <w:rFonts w:ascii="Arial" w:eastAsia="Times New Roman" w:hAnsi="Arial" w:cs="Arial"/>
          <w:lang w:eastAsia="en-GB"/>
        </w:rPr>
        <w:t>36.</w:t>
      </w:r>
      <w:r w:rsidRPr="0023554D">
        <w:rPr>
          <w:rFonts w:ascii="Arial" w:eastAsia="Times New Roman" w:hAnsi="Arial" w:cs="Arial"/>
          <w:lang w:eastAsia="en-GB"/>
        </w:rPr>
        <w:tab/>
      </w:r>
      <w:proofErr w:type="spellStart"/>
      <w:r w:rsidR="004C5FD5" w:rsidRPr="0023554D">
        <w:rPr>
          <w:rFonts w:ascii="Arial" w:eastAsia="Times New Roman" w:hAnsi="Arial" w:cs="Arial"/>
          <w:lang w:eastAsia="en-GB"/>
        </w:rPr>
        <w:t>Oguzie</w:t>
      </w:r>
      <w:proofErr w:type="spellEnd"/>
      <w:r w:rsidR="004C5FD5" w:rsidRPr="0023554D">
        <w:rPr>
          <w:rFonts w:ascii="Arial" w:eastAsia="Times New Roman" w:hAnsi="Arial" w:cs="Arial"/>
          <w:lang w:eastAsia="en-GB"/>
        </w:rPr>
        <w:t xml:space="preserve">, E. E., </w:t>
      </w:r>
      <w:proofErr w:type="spellStart"/>
      <w:r w:rsidR="004C5FD5" w:rsidRPr="0023554D">
        <w:rPr>
          <w:rFonts w:ascii="Arial" w:eastAsia="Times New Roman" w:hAnsi="Arial" w:cs="Arial"/>
          <w:lang w:eastAsia="en-GB"/>
        </w:rPr>
        <w:t>Enenebeaku</w:t>
      </w:r>
      <w:proofErr w:type="spellEnd"/>
      <w:r w:rsidR="004C5FD5" w:rsidRPr="0023554D">
        <w:rPr>
          <w:rFonts w:ascii="Arial" w:eastAsia="Times New Roman" w:hAnsi="Arial" w:cs="Arial"/>
          <w:lang w:eastAsia="en-GB"/>
        </w:rPr>
        <w:t xml:space="preserve">, C. K., </w:t>
      </w:r>
      <w:proofErr w:type="spellStart"/>
      <w:r w:rsidR="004C5FD5" w:rsidRPr="0023554D">
        <w:rPr>
          <w:rFonts w:ascii="Arial" w:eastAsia="Times New Roman" w:hAnsi="Arial" w:cs="Arial"/>
          <w:lang w:eastAsia="en-GB"/>
        </w:rPr>
        <w:t>Akalezi</w:t>
      </w:r>
      <w:proofErr w:type="spellEnd"/>
      <w:r w:rsidR="004C5FD5" w:rsidRPr="0023554D">
        <w:rPr>
          <w:rFonts w:ascii="Arial" w:eastAsia="Times New Roman" w:hAnsi="Arial" w:cs="Arial"/>
          <w:lang w:eastAsia="en-GB"/>
        </w:rPr>
        <w:t xml:space="preserve">, C. O., Okoro, S. C., </w:t>
      </w:r>
      <w:proofErr w:type="spellStart"/>
      <w:r w:rsidR="004C5FD5" w:rsidRPr="0023554D">
        <w:rPr>
          <w:rFonts w:ascii="Arial" w:eastAsia="Times New Roman" w:hAnsi="Arial" w:cs="Arial"/>
          <w:lang w:eastAsia="en-GB"/>
        </w:rPr>
        <w:t>Ayuk</w:t>
      </w:r>
      <w:proofErr w:type="spellEnd"/>
      <w:r w:rsidR="004C5FD5" w:rsidRPr="0023554D">
        <w:rPr>
          <w:rFonts w:ascii="Arial" w:eastAsia="Times New Roman" w:hAnsi="Arial" w:cs="Arial"/>
          <w:lang w:eastAsia="en-GB"/>
        </w:rPr>
        <w:t xml:space="preserve">, A. A., &amp; </w:t>
      </w:r>
      <w:proofErr w:type="spellStart"/>
      <w:r w:rsidR="004C5FD5" w:rsidRPr="0023554D">
        <w:rPr>
          <w:rFonts w:ascii="Arial" w:eastAsia="Times New Roman" w:hAnsi="Arial" w:cs="Arial"/>
          <w:lang w:eastAsia="en-GB"/>
        </w:rPr>
        <w:t>Ejike</w:t>
      </w:r>
      <w:proofErr w:type="spellEnd"/>
      <w:r w:rsidR="004C5FD5" w:rsidRPr="0023554D">
        <w:rPr>
          <w:rFonts w:ascii="Arial" w:eastAsia="Times New Roman" w:hAnsi="Arial" w:cs="Arial"/>
          <w:lang w:eastAsia="en-GB"/>
        </w:rPr>
        <w:t xml:space="preserve">, E. N. (2010). Adsorption and corrosion-inhibiting effect of </w:t>
      </w:r>
      <w:proofErr w:type="spellStart"/>
      <w:r w:rsidR="004C5FD5" w:rsidRPr="0023554D">
        <w:rPr>
          <w:rFonts w:ascii="Arial" w:eastAsia="Times New Roman" w:hAnsi="Arial" w:cs="Arial"/>
          <w:i/>
          <w:iCs/>
          <w:lang w:eastAsia="en-GB"/>
        </w:rPr>
        <w:t>Dacryodes</w:t>
      </w:r>
      <w:proofErr w:type="spellEnd"/>
      <w:r w:rsidR="004C5FD5" w:rsidRPr="0023554D">
        <w:rPr>
          <w:rFonts w:ascii="Arial" w:eastAsia="Times New Roman" w:hAnsi="Arial" w:cs="Arial"/>
          <w:i/>
          <w:iCs/>
          <w:lang w:eastAsia="en-GB"/>
        </w:rPr>
        <w:t xml:space="preserve"> edulis</w:t>
      </w:r>
      <w:r w:rsidR="004C5FD5" w:rsidRPr="0023554D">
        <w:rPr>
          <w:rFonts w:ascii="Arial" w:eastAsia="Times New Roman" w:hAnsi="Arial" w:cs="Arial"/>
          <w:lang w:eastAsia="en-GB"/>
        </w:rPr>
        <w:t xml:space="preserve"> extract on low-carbon-steel corrosion in acidic media. </w:t>
      </w:r>
      <w:r w:rsidR="004C5FD5" w:rsidRPr="0023554D">
        <w:rPr>
          <w:rFonts w:ascii="Arial" w:eastAsia="Times New Roman" w:hAnsi="Arial" w:cs="Arial"/>
          <w:i/>
          <w:iCs/>
          <w:lang w:eastAsia="en-GB"/>
        </w:rPr>
        <w:t>Journal of Colloid and Interface Science, 349</w:t>
      </w:r>
      <w:r w:rsidR="004C5FD5" w:rsidRPr="0023554D">
        <w:rPr>
          <w:rFonts w:ascii="Arial" w:eastAsia="Times New Roman" w:hAnsi="Arial" w:cs="Arial"/>
          <w:lang w:eastAsia="en-GB"/>
        </w:rPr>
        <w:t xml:space="preserve">(1), 283–292. </w:t>
      </w:r>
      <w:hyperlink r:id="rId29" w:history="1">
        <w:r w:rsidR="004C5FD5" w:rsidRPr="0023554D">
          <w:rPr>
            <w:rStyle w:val="Hyperlink"/>
            <w:rFonts w:ascii="Arial" w:hAnsi="Arial" w:cs="Arial"/>
          </w:rPr>
          <w:t>https://doi.org/10.1016/j.jcis.2010.05.027</w:t>
        </w:r>
      </w:hyperlink>
    </w:p>
    <w:p w14:paraId="63A7B98C" w14:textId="77777777" w:rsidR="002F57F6" w:rsidRPr="0023554D" w:rsidRDefault="00B508D4" w:rsidP="00B508D4">
      <w:pPr>
        <w:spacing w:after="0"/>
        <w:ind w:left="720" w:hanging="360"/>
        <w:jc w:val="both"/>
        <w:rPr>
          <w:rFonts w:ascii="Arial" w:hAnsi="Arial" w:cs="Arial"/>
        </w:rPr>
      </w:pPr>
      <w:r w:rsidRPr="0023554D">
        <w:rPr>
          <w:rFonts w:ascii="Arial" w:eastAsia="Times New Roman" w:hAnsi="Arial" w:cs="Arial"/>
          <w:lang w:eastAsia="en-GB"/>
        </w:rPr>
        <w:t>37.</w:t>
      </w:r>
      <w:r w:rsidRPr="0023554D">
        <w:rPr>
          <w:rFonts w:ascii="Arial" w:eastAsia="Times New Roman" w:hAnsi="Arial" w:cs="Arial"/>
          <w:lang w:eastAsia="en-GB"/>
        </w:rPr>
        <w:tab/>
      </w:r>
      <w:r w:rsidR="004C5FD5" w:rsidRPr="0023554D">
        <w:rPr>
          <w:rFonts w:ascii="Arial" w:eastAsia="Times New Roman" w:hAnsi="Arial" w:cs="Arial"/>
          <w:lang w:eastAsia="en-GB"/>
        </w:rPr>
        <w:t xml:space="preserve">Reader, C. J., &amp; </w:t>
      </w:r>
      <w:proofErr w:type="spellStart"/>
      <w:r w:rsidR="004C5FD5" w:rsidRPr="0023554D">
        <w:rPr>
          <w:rFonts w:ascii="Arial" w:eastAsia="Times New Roman" w:hAnsi="Arial" w:cs="Arial"/>
          <w:lang w:eastAsia="en-GB"/>
        </w:rPr>
        <w:t>Nargiello</w:t>
      </w:r>
      <w:proofErr w:type="spellEnd"/>
      <w:r w:rsidR="004C5FD5" w:rsidRPr="0023554D">
        <w:rPr>
          <w:rFonts w:ascii="Arial" w:eastAsia="Times New Roman" w:hAnsi="Arial" w:cs="Arial"/>
          <w:lang w:eastAsia="en-GB"/>
        </w:rPr>
        <w:t xml:space="preserve">, M. (2021). The use of engineered silica to enhance coatings. </w:t>
      </w:r>
      <w:proofErr w:type="spellStart"/>
      <w:r w:rsidR="004C5FD5" w:rsidRPr="0023554D">
        <w:rPr>
          <w:rFonts w:ascii="Arial" w:eastAsia="Times New Roman" w:hAnsi="Arial" w:cs="Arial"/>
          <w:i/>
          <w:iCs/>
          <w:lang w:eastAsia="en-GB"/>
        </w:rPr>
        <w:t>CoatingsTech</w:t>
      </w:r>
      <w:proofErr w:type="spellEnd"/>
      <w:r w:rsidR="004C5FD5" w:rsidRPr="0023554D">
        <w:rPr>
          <w:rFonts w:ascii="Arial" w:eastAsia="Times New Roman" w:hAnsi="Arial" w:cs="Arial"/>
          <w:i/>
          <w:iCs/>
          <w:lang w:eastAsia="en-GB"/>
        </w:rPr>
        <w:t xml:space="preserve"> Magazine</w:t>
      </w:r>
      <w:r w:rsidR="004C5FD5" w:rsidRPr="0023554D">
        <w:rPr>
          <w:rFonts w:ascii="Arial" w:eastAsia="Times New Roman" w:hAnsi="Arial" w:cs="Arial"/>
          <w:lang w:eastAsia="en-GB"/>
        </w:rPr>
        <w:t>.</w:t>
      </w:r>
    </w:p>
    <w:p w14:paraId="348629B2" w14:textId="77777777" w:rsidR="002D7D36" w:rsidRPr="0023554D" w:rsidRDefault="00B508D4" w:rsidP="00B508D4">
      <w:pPr>
        <w:spacing w:after="0"/>
        <w:ind w:left="720" w:hanging="360"/>
        <w:jc w:val="both"/>
        <w:rPr>
          <w:rFonts w:ascii="Arial" w:eastAsia="Times New Roman" w:hAnsi="Arial" w:cs="Arial"/>
          <w:lang w:eastAsia="en-GB"/>
        </w:rPr>
      </w:pPr>
      <w:r w:rsidRPr="0023554D">
        <w:rPr>
          <w:rFonts w:ascii="Arial" w:eastAsia="Times New Roman" w:hAnsi="Arial" w:cs="Arial"/>
          <w:lang w:eastAsia="en-GB"/>
        </w:rPr>
        <w:lastRenderedPageBreak/>
        <w:t>38.</w:t>
      </w:r>
      <w:r w:rsidRPr="0023554D">
        <w:rPr>
          <w:rFonts w:ascii="Arial" w:eastAsia="Times New Roman" w:hAnsi="Arial" w:cs="Arial"/>
          <w:lang w:eastAsia="en-GB"/>
        </w:rPr>
        <w:tab/>
      </w:r>
      <w:r w:rsidR="004C5FD5" w:rsidRPr="0023554D">
        <w:rPr>
          <w:rFonts w:ascii="Arial" w:eastAsia="Times New Roman" w:hAnsi="Arial" w:cs="Arial"/>
          <w:lang w:eastAsia="en-GB"/>
        </w:rPr>
        <w:t>[Anonymous]. (2013). Thermal stability and abrasion resistance of polyacrylate/</w:t>
      </w:r>
      <w:proofErr w:type="spellStart"/>
      <w:r w:rsidR="004C5FD5" w:rsidRPr="0023554D">
        <w:rPr>
          <w:rFonts w:ascii="Arial" w:eastAsia="Times New Roman" w:hAnsi="Arial" w:cs="Arial"/>
          <w:lang w:eastAsia="en-GB"/>
        </w:rPr>
        <w:t>nano</w:t>
      </w:r>
      <w:proofErr w:type="spellEnd"/>
      <w:r w:rsidR="004C5FD5" w:rsidRPr="0023554D">
        <w:rPr>
          <w:rFonts w:ascii="Arial" w:eastAsia="Times New Roman" w:hAnsi="Arial" w:cs="Arial"/>
          <w:lang w:eastAsia="en-GB"/>
        </w:rPr>
        <w:t xml:space="preserve">-silica hybrid coatings. </w:t>
      </w:r>
      <w:proofErr w:type="gramStart"/>
      <w:r w:rsidR="004C5FD5" w:rsidRPr="0023554D">
        <w:rPr>
          <w:rFonts w:ascii="Arial" w:eastAsia="Times New Roman" w:hAnsi="Arial" w:cs="Arial"/>
          <w:i/>
          <w:iCs/>
          <w:lang w:eastAsia="en-GB"/>
        </w:rPr>
        <w:t xml:space="preserve">Iranian </w:t>
      </w:r>
      <w:r w:rsidRPr="0023554D">
        <w:rPr>
          <w:rFonts w:ascii="Arial" w:eastAsia="Times New Roman" w:hAnsi="Arial" w:cs="Arial"/>
          <w:i/>
          <w:iCs/>
          <w:lang w:eastAsia="en-GB"/>
        </w:rPr>
        <w:t>.</w:t>
      </w:r>
      <w:r w:rsidR="004C5FD5" w:rsidRPr="0023554D">
        <w:rPr>
          <w:rFonts w:ascii="Arial" w:eastAsia="Times New Roman" w:hAnsi="Arial" w:cs="Arial"/>
          <w:i/>
          <w:iCs/>
          <w:lang w:eastAsia="en-GB"/>
        </w:rPr>
        <w:t>Polymer</w:t>
      </w:r>
      <w:proofErr w:type="gramEnd"/>
      <w:r w:rsidR="004C5FD5" w:rsidRPr="0023554D">
        <w:rPr>
          <w:rFonts w:ascii="Arial" w:eastAsia="Times New Roman" w:hAnsi="Arial" w:cs="Arial"/>
          <w:i/>
          <w:iCs/>
          <w:lang w:eastAsia="en-GB"/>
        </w:rPr>
        <w:t xml:space="preserve"> Journal, 22</w:t>
      </w:r>
      <w:r w:rsidR="004C5FD5" w:rsidRPr="0023554D">
        <w:rPr>
          <w:rFonts w:ascii="Arial" w:eastAsia="Times New Roman" w:hAnsi="Arial" w:cs="Arial"/>
          <w:lang w:eastAsia="en-GB"/>
        </w:rPr>
        <w:t xml:space="preserve">, 465–471. </w:t>
      </w:r>
      <w:hyperlink r:id="rId30" w:history="1">
        <w:r w:rsidR="002F57F6" w:rsidRPr="0023554D">
          <w:rPr>
            <w:rStyle w:val="Hyperlink"/>
            <w:rFonts w:ascii="Arial" w:hAnsi="Arial" w:cs="Arial"/>
            <w:color w:val="auto"/>
          </w:rPr>
          <w:t>https://doi.org/10.1007/s13726-013-0146-2</w:t>
        </w:r>
        <w:r w:rsidR="002F57F6" w:rsidRPr="0023554D">
          <w:rPr>
            <w:rStyle w:val="Hyperlink"/>
            <w:rFonts w:ascii="Arial" w:eastAsia="Times New Roman" w:hAnsi="Arial" w:cs="Arial"/>
            <w:color w:val="auto"/>
            <w:lang w:eastAsia="en-GB"/>
          </w:rPr>
          <w:t xml:space="preserve"> 38</w:t>
        </w:r>
      </w:hyperlink>
      <w:r w:rsidR="002F57F6" w:rsidRPr="0023554D">
        <w:rPr>
          <w:rFonts w:ascii="Arial" w:eastAsia="Times New Roman" w:hAnsi="Arial" w:cs="Arial"/>
          <w:lang w:eastAsia="en-GB"/>
        </w:rPr>
        <w:t>]</w:t>
      </w:r>
    </w:p>
    <w:p w14:paraId="19FA527B" w14:textId="77777777" w:rsidR="002D7D36" w:rsidRPr="0023554D" w:rsidRDefault="00B508D4" w:rsidP="00B508D4">
      <w:pPr>
        <w:spacing w:after="0"/>
        <w:ind w:left="720" w:hanging="375"/>
        <w:jc w:val="both"/>
        <w:rPr>
          <w:rFonts w:ascii="Arial" w:eastAsia="Times New Roman" w:hAnsi="Arial" w:cs="Arial"/>
          <w:lang w:eastAsia="en-GB"/>
        </w:rPr>
      </w:pPr>
      <w:r w:rsidRPr="0023554D">
        <w:rPr>
          <w:rFonts w:ascii="Arial" w:eastAsia="Times New Roman" w:hAnsi="Arial" w:cs="Arial"/>
          <w:lang w:eastAsia="en-GB"/>
        </w:rPr>
        <w:t>39.</w:t>
      </w:r>
      <w:r w:rsidRPr="0023554D">
        <w:rPr>
          <w:rFonts w:ascii="Arial" w:eastAsia="Times New Roman" w:hAnsi="Arial" w:cs="Arial"/>
          <w:lang w:eastAsia="en-GB"/>
        </w:rPr>
        <w:tab/>
      </w:r>
      <w:r w:rsidR="004C5FD5" w:rsidRPr="0023554D">
        <w:rPr>
          <w:rFonts w:ascii="Arial" w:eastAsia="Times New Roman" w:hAnsi="Arial" w:cs="Arial"/>
          <w:lang w:eastAsia="en-GB"/>
        </w:rPr>
        <w:t xml:space="preserve">Musa, M. A., et al. (2015). Use of natural gums as green corrosion inhibitors: an overview. </w:t>
      </w:r>
      <w:r w:rsidR="004C5FD5" w:rsidRPr="0023554D">
        <w:rPr>
          <w:rFonts w:ascii="Arial" w:eastAsia="Times New Roman" w:hAnsi="Arial" w:cs="Arial"/>
          <w:i/>
          <w:iCs/>
          <w:lang w:eastAsia="en-GB"/>
        </w:rPr>
        <w:t>International Journal of Industrial Chemistry, 6</w:t>
      </w:r>
      <w:r w:rsidR="004C5FD5" w:rsidRPr="0023554D">
        <w:rPr>
          <w:rFonts w:ascii="Arial" w:eastAsia="Times New Roman" w:hAnsi="Arial" w:cs="Arial"/>
          <w:lang w:eastAsia="en-GB"/>
        </w:rPr>
        <w:t xml:space="preserve">, 29–41. </w:t>
      </w:r>
      <w:hyperlink r:id="rId31" w:history="1">
        <w:r w:rsidR="004C5FD5" w:rsidRPr="0023554D">
          <w:rPr>
            <w:rStyle w:val="Hyperlink"/>
            <w:rFonts w:ascii="Arial" w:hAnsi="Arial" w:cs="Arial"/>
          </w:rPr>
          <w:t>https://doi.org/10.1007/s40090-015-0040-1</w:t>
        </w:r>
      </w:hyperlink>
      <w:r w:rsidR="004C5FD5" w:rsidRPr="0023554D">
        <w:rPr>
          <w:rFonts w:ascii="Arial" w:eastAsia="Times New Roman" w:hAnsi="Arial" w:cs="Arial"/>
          <w:lang w:eastAsia="en-GB"/>
        </w:rPr>
        <w:t xml:space="preserve"> </w:t>
      </w:r>
      <w:r w:rsidR="00F23EB8" w:rsidRPr="0023554D">
        <w:rPr>
          <w:rFonts w:ascii="Arial" w:eastAsia="Times New Roman" w:hAnsi="Arial" w:cs="Arial"/>
          <w:lang w:eastAsia="en-GB"/>
        </w:rPr>
        <w:t xml:space="preserve">39] </w:t>
      </w:r>
    </w:p>
    <w:p w14:paraId="333AF0BB" w14:textId="77777777" w:rsidR="00F23EB8" w:rsidRPr="0023554D" w:rsidRDefault="00B508D4" w:rsidP="00B508D4">
      <w:pPr>
        <w:spacing w:after="0"/>
        <w:ind w:firstLine="345"/>
        <w:jc w:val="both"/>
        <w:rPr>
          <w:rFonts w:ascii="Arial" w:hAnsi="Arial" w:cs="Arial"/>
        </w:rPr>
      </w:pPr>
      <w:r w:rsidRPr="0023554D">
        <w:rPr>
          <w:rFonts w:ascii="Arial" w:eastAsia="Times New Roman" w:hAnsi="Arial" w:cs="Arial"/>
          <w:lang w:eastAsia="en-GB"/>
        </w:rPr>
        <w:t>40.</w:t>
      </w:r>
      <w:r w:rsidRPr="0023554D">
        <w:rPr>
          <w:rFonts w:ascii="Arial" w:eastAsia="Times New Roman" w:hAnsi="Arial" w:cs="Arial"/>
          <w:lang w:eastAsia="en-GB"/>
        </w:rPr>
        <w:tab/>
      </w:r>
      <w:proofErr w:type="spellStart"/>
      <w:r w:rsidR="004C5FD5" w:rsidRPr="0023554D">
        <w:rPr>
          <w:rFonts w:ascii="Arial" w:eastAsia="Times New Roman" w:hAnsi="Arial" w:cs="Arial"/>
          <w:lang w:eastAsia="en-GB"/>
        </w:rPr>
        <w:t>Encyclopedia</w:t>
      </w:r>
      <w:proofErr w:type="spellEnd"/>
      <w:r w:rsidR="004C5FD5" w:rsidRPr="0023554D">
        <w:rPr>
          <w:rFonts w:ascii="Arial" w:eastAsia="Times New Roman" w:hAnsi="Arial" w:cs="Arial"/>
          <w:lang w:eastAsia="en-GB"/>
        </w:rPr>
        <w:t xml:space="preserve"> reference: </w:t>
      </w:r>
      <w:r w:rsidR="004C5FD5" w:rsidRPr="0023554D">
        <w:rPr>
          <w:rFonts w:ascii="Arial" w:eastAsia="Times New Roman" w:hAnsi="Arial" w:cs="Arial"/>
          <w:i/>
          <w:iCs/>
          <w:lang w:eastAsia="en-GB"/>
        </w:rPr>
        <w:t>Thermogravimetric analysis</w:t>
      </w:r>
      <w:r w:rsidR="004C5FD5" w:rsidRPr="0023554D">
        <w:rPr>
          <w:rFonts w:ascii="Arial" w:eastAsia="Times New Roman" w:hAnsi="Arial" w:cs="Arial"/>
          <w:lang w:eastAsia="en-GB"/>
        </w:rPr>
        <w:t xml:space="preserve"> overview. Wikipedia. </w:t>
      </w:r>
      <w:hyperlink r:id="rId32" w:tgtFrame="_blank" w:history="1">
        <w:r w:rsidR="004C5FD5" w:rsidRPr="0023554D">
          <w:rPr>
            <w:rStyle w:val="Hyperlink"/>
            <w:rFonts w:ascii="Arial" w:hAnsi="Arial" w:cs="Arial"/>
          </w:rPr>
          <w:t>Wikipedia</w:t>
        </w:r>
      </w:hyperlink>
    </w:p>
    <w:p w14:paraId="77320AAD" w14:textId="77777777" w:rsidR="00F23EB8" w:rsidRPr="0023554D" w:rsidRDefault="004C5FD5" w:rsidP="00B508D4">
      <w:pPr>
        <w:spacing w:after="0"/>
        <w:ind w:left="720"/>
        <w:jc w:val="both"/>
        <w:rPr>
          <w:rFonts w:ascii="Arial" w:hAnsi="Arial" w:cs="Arial"/>
        </w:rPr>
      </w:pPr>
      <w:r w:rsidRPr="0023554D">
        <w:rPr>
          <w:rFonts w:ascii="Arial" w:eastAsia="Times New Roman" w:hAnsi="Arial" w:cs="Arial"/>
          <w:lang w:eastAsia="en-GB"/>
        </w:rPr>
        <w:t xml:space="preserve">Nicolás, E., et al. (2024). Enhanced thermal stability of </w:t>
      </w:r>
      <w:proofErr w:type="spellStart"/>
      <w:r w:rsidRPr="0023554D">
        <w:rPr>
          <w:rFonts w:ascii="Arial" w:eastAsia="Times New Roman" w:hAnsi="Arial" w:cs="Arial"/>
          <w:lang w:eastAsia="en-GB"/>
        </w:rPr>
        <w:t>nBG</w:t>
      </w:r>
      <w:proofErr w:type="spellEnd"/>
      <w:r w:rsidRPr="0023554D">
        <w:rPr>
          <w:rFonts w:ascii="Arial" w:eastAsia="Times New Roman" w:hAnsi="Arial" w:cs="Arial"/>
          <w:lang w:eastAsia="en-GB"/>
        </w:rPr>
        <w:t xml:space="preserve">-loaded hybrid matrices. </w:t>
      </w:r>
      <w:r w:rsidRPr="0023554D">
        <w:rPr>
          <w:rFonts w:ascii="Arial" w:eastAsia="Times New Roman" w:hAnsi="Arial" w:cs="Arial"/>
          <w:i/>
          <w:iCs/>
          <w:lang w:eastAsia="en-GB"/>
        </w:rPr>
        <w:t>Materials Today Communications, 38</w:t>
      </w:r>
      <w:r w:rsidRPr="0023554D">
        <w:rPr>
          <w:rFonts w:ascii="Arial" w:eastAsia="Times New Roman" w:hAnsi="Arial" w:cs="Arial"/>
          <w:lang w:eastAsia="en-GB"/>
        </w:rPr>
        <w:t xml:space="preserve">, 107232. </w:t>
      </w:r>
      <w:hyperlink r:id="rId33" w:history="1">
        <w:r w:rsidR="00F23EB8" w:rsidRPr="0023554D">
          <w:rPr>
            <w:rStyle w:val="Hyperlink"/>
            <w:rFonts w:ascii="Arial" w:eastAsia="Times New Roman" w:hAnsi="Arial" w:cs="Arial"/>
            <w:lang w:eastAsia="en-GB"/>
          </w:rPr>
          <w:t>https://doi.org/10.1016/j.mtcomm.2024.107232</w:t>
        </w:r>
      </w:hyperlink>
    </w:p>
    <w:p w14:paraId="55D07965" w14:textId="77777777" w:rsidR="00F23EB8" w:rsidRPr="0023554D" w:rsidRDefault="00B508D4" w:rsidP="00B508D4">
      <w:pPr>
        <w:spacing w:after="0"/>
        <w:ind w:left="720" w:hanging="420"/>
        <w:jc w:val="both"/>
        <w:rPr>
          <w:rFonts w:ascii="Arial" w:eastAsia="Times New Roman" w:hAnsi="Arial" w:cs="Arial"/>
          <w:lang w:eastAsia="en-GB"/>
        </w:rPr>
      </w:pPr>
      <w:r w:rsidRPr="0023554D">
        <w:rPr>
          <w:rFonts w:ascii="Arial" w:eastAsia="Times New Roman" w:hAnsi="Arial" w:cs="Arial"/>
          <w:lang w:eastAsia="en-GB"/>
        </w:rPr>
        <w:t>41.</w:t>
      </w:r>
      <w:r w:rsidRPr="0023554D">
        <w:rPr>
          <w:rFonts w:ascii="Arial" w:eastAsia="Times New Roman" w:hAnsi="Arial" w:cs="Arial"/>
          <w:lang w:eastAsia="en-GB"/>
        </w:rPr>
        <w:tab/>
      </w:r>
      <w:r w:rsidR="004C5FD5" w:rsidRPr="0023554D">
        <w:rPr>
          <w:rFonts w:ascii="Arial" w:eastAsia="Times New Roman" w:hAnsi="Arial" w:cs="Arial"/>
          <w:lang w:eastAsia="en-GB"/>
        </w:rPr>
        <w:t xml:space="preserve">Sharif, M., et al. (2012). Organic–inorganic hybrid materials based on polyurethane fatty amide and TEOS: Improved thermal stability. </w:t>
      </w:r>
      <w:r w:rsidR="004C5FD5" w:rsidRPr="0023554D">
        <w:rPr>
          <w:rFonts w:ascii="Arial" w:eastAsia="Times New Roman" w:hAnsi="Arial" w:cs="Arial"/>
          <w:i/>
          <w:iCs/>
          <w:lang w:eastAsia="en-GB"/>
        </w:rPr>
        <w:t>Progress in Organic Coatings, 75</w:t>
      </w:r>
      <w:r w:rsidR="004C5FD5" w:rsidRPr="0023554D">
        <w:rPr>
          <w:rFonts w:ascii="Arial" w:eastAsia="Times New Roman" w:hAnsi="Arial" w:cs="Arial"/>
          <w:lang w:eastAsia="en-GB"/>
        </w:rPr>
        <w:t xml:space="preserve">(1–2), 45–52. </w:t>
      </w:r>
      <w:hyperlink r:id="rId34" w:history="1">
        <w:r w:rsidR="00F23EB8" w:rsidRPr="0023554D">
          <w:rPr>
            <w:rStyle w:val="Hyperlink"/>
            <w:rFonts w:ascii="Arial" w:eastAsia="Times New Roman" w:hAnsi="Arial" w:cs="Arial"/>
            <w:lang w:eastAsia="en-GB"/>
          </w:rPr>
          <w:t>https://doi.org/10.1016/j.porgcoat.2012.03.017</w:t>
        </w:r>
      </w:hyperlink>
    </w:p>
    <w:p w14:paraId="39CDFCEC" w14:textId="77777777" w:rsidR="00F23EB8" w:rsidRPr="0023554D" w:rsidRDefault="00B508D4" w:rsidP="00B508D4">
      <w:pPr>
        <w:spacing w:after="0"/>
        <w:ind w:left="720" w:hanging="420"/>
        <w:jc w:val="both"/>
        <w:rPr>
          <w:rFonts w:ascii="Arial" w:hAnsi="Arial" w:cs="Arial"/>
        </w:rPr>
      </w:pPr>
      <w:r w:rsidRPr="0023554D">
        <w:rPr>
          <w:rFonts w:ascii="Arial" w:eastAsia="Times New Roman" w:hAnsi="Arial" w:cs="Arial"/>
          <w:lang w:eastAsia="en-GB"/>
        </w:rPr>
        <w:t>42.</w:t>
      </w:r>
      <w:r w:rsidRPr="0023554D">
        <w:rPr>
          <w:rFonts w:ascii="Arial" w:eastAsia="Times New Roman" w:hAnsi="Arial" w:cs="Arial"/>
          <w:lang w:eastAsia="en-GB"/>
        </w:rPr>
        <w:tab/>
      </w:r>
      <w:r w:rsidR="004C5FD5" w:rsidRPr="0023554D">
        <w:rPr>
          <w:rFonts w:ascii="Arial" w:eastAsia="Times New Roman" w:hAnsi="Arial" w:cs="Arial"/>
          <w:lang w:eastAsia="en-GB"/>
        </w:rPr>
        <w:t xml:space="preserve">Khalid, S., Chaudhary, M. N., Nazir, R., Ahmad, S. R., Hussain, N., </w:t>
      </w:r>
      <w:proofErr w:type="spellStart"/>
      <w:r w:rsidR="004C5FD5" w:rsidRPr="0023554D">
        <w:rPr>
          <w:rFonts w:ascii="Arial" w:eastAsia="Times New Roman" w:hAnsi="Arial" w:cs="Arial"/>
          <w:lang w:eastAsia="en-GB"/>
        </w:rPr>
        <w:t>Ayub</w:t>
      </w:r>
      <w:proofErr w:type="spellEnd"/>
      <w:r w:rsidR="004C5FD5" w:rsidRPr="0023554D">
        <w:rPr>
          <w:rFonts w:ascii="Arial" w:eastAsia="Times New Roman" w:hAnsi="Arial" w:cs="Arial"/>
          <w:lang w:eastAsia="en-GB"/>
        </w:rPr>
        <w:t xml:space="preserve">, Y., &amp; </w:t>
      </w:r>
      <w:proofErr w:type="spellStart"/>
      <w:r w:rsidR="004C5FD5" w:rsidRPr="0023554D">
        <w:rPr>
          <w:rFonts w:ascii="Arial" w:eastAsia="Times New Roman" w:hAnsi="Arial" w:cs="Arial"/>
          <w:lang w:eastAsia="en-GB"/>
        </w:rPr>
        <w:t>Ibrar</w:t>
      </w:r>
      <w:proofErr w:type="spellEnd"/>
      <w:r w:rsidR="004C5FD5" w:rsidRPr="0023554D">
        <w:rPr>
          <w:rFonts w:ascii="Arial" w:eastAsia="Times New Roman" w:hAnsi="Arial" w:cs="Arial"/>
          <w:lang w:eastAsia="en-GB"/>
        </w:rPr>
        <w:t xml:space="preserve">, M. (2023). Biochar supported </w:t>
      </w:r>
      <w:proofErr w:type="spellStart"/>
      <w:r w:rsidR="004C5FD5" w:rsidRPr="0023554D">
        <w:rPr>
          <w:rFonts w:ascii="Arial" w:eastAsia="Times New Roman" w:hAnsi="Arial" w:cs="Arial"/>
          <w:lang w:eastAsia="en-GB"/>
        </w:rPr>
        <w:t>metallo</w:t>
      </w:r>
      <w:proofErr w:type="spellEnd"/>
      <w:r w:rsidR="004C5FD5" w:rsidRPr="0023554D">
        <w:rPr>
          <w:rFonts w:ascii="Arial" w:eastAsia="Times New Roman" w:hAnsi="Arial" w:cs="Arial"/>
          <w:lang w:eastAsia="en-GB"/>
        </w:rPr>
        <w:t xml:space="preserve">-inorganic nanocomposite: A green approach for decontamination of heavy metals from water. </w:t>
      </w:r>
      <w:proofErr w:type="spellStart"/>
      <w:r w:rsidR="004C5FD5" w:rsidRPr="0023554D">
        <w:rPr>
          <w:rFonts w:ascii="Arial" w:eastAsia="Times New Roman" w:hAnsi="Arial" w:cs="Arial"/>
          <w:i/>
          <w:iCs/>
          <w:lang w:eastAsia="en-GB"/>
        </w:rPr>
        <w:t>PLoS</w:t>
      </w:r>
      <w:proofErr w:type="spellEnd"/>
      <w:r w:rsidR="004C5FD5" w:rsidRPr="0023554D">
        <w:rPr>
          <w:rFonts w:ascii="Arial" w:eastAsia="Times New Roman" w:hAnsi="Arial" w:cs="Arial"/>
          <w:i/>
          <w:iCs/>
          <w:lang w:eastAsia="en-GB"/>
        </w:rPr>
        <w:t xml:space="preserve"> ONE</w:t>
      </w:r>
      <w:r w:rsidR="004C5FD5" w:rsidRPr="0023554D">
        <w:rPr>
          <w:rFonts w:ascii="Arial" w:eastAsia="Times New Roman" w:hAnsi="Arial" w:cs="Arial"/>
          <w:lang w:eastAsia="en-GB"/>
        </w:rPr>
        <w:t xml:space="preserve">, 18(9), e0289069. </w:t>
      </w:r>
      <w:hyperlink r:id="rId35" w:history="1">
        <w:r w:rsidR="004C5FD5" w:rsidRPr="0023554D">
          <w:rPr>
            <w:rStyle w:val="Hyperlink"/>
            <w:rFonts w:ascii="Arial" w:hAnsi="Arial" w:cs="Arial"/>
          </w:rPr>
          <w:t>https://doi.org/10.1371/journal.pone.0289069</w:t>
        </w:r>
      </w:hyperlink>
    </w:p>
    <w:p w14:paraId="2E6CAC6C" w14:textId="77777777" w:rsidR="00F23EB8" w:rsidRPr="0023554D" w:rsidRDefault="00B508D4" w:rsidP="00B508D4">
      <w:pPr>
        <w:spacing w:after="0"/>
        <w:ind w:left="720" w:hanging="420"/>
        <w:jc w:val="both"/>
        <w:rPr>
          <w:rFonts w:ascii="Arial" w:hAnsi="Arial" w:cs="Arial"/>
        </w:rPr>
      </w:pPr>
      <w:r w:rsidRPr="0023554D">
        <w:rPr>
          <w:rFonts w:ascii="Arial" w:eastAsia="Times New Roman" w:hAnsi="Arial" w:cs="Arial"/>
          <w:lang w:eastAsia="en-GB"/>
        </w:rPr>
        <w:t>43.</w:t>
      </w:r>
      <w:r w:rsidRPr="0023554D">
        <w:rPr>
          <w:rFonts w:ascii="Arial" w:eastAsia="Times New Roman" w:hAnsi="Arial" w:cs="Arial"/>
          <w:lang w:eastAsia="en-GB"/>
        </w:rPr>
        <w:tab/>
      </w:r>
      <w:proofErr w:type="spellStart"/>
      <w:r w:rsidR="004C5FD5" w:rsidRPr="0023554D">
        <w:rPr>
          <w:rFonts w:ascii="Arial" w:eastAsia="Times New Roman" w:hAnsi="Arial" w:cs="Arial"/>
          <w:lang w:eastAsia="en-GB"/>
        </w:rPr>
        <w:t>Damiri</w:t>
      </w:r>
      <w:proofErr w:type="spellEnd"/>
      <w:r w:rsidR="004C5FD5" w:rsidRPr="0023554D">
        <w:rPr>
          <w:rFonts w:ascii="Arial" w:eastAsia="Times New Roman" w:hAnsi="Arial" w:cs="Arial"/>
          <w:lang w:eastAsia="en-GB"/>
        </w:rPr>
        <w:t xml:space="preserve">, F., </w:t>
      </w:r>
      <w:proofErr w:type="spellStart"/>
      <w:r w:rsidR="004C5FD5" w:rsidRPr="0023554D">
        <w:rPr>
          <w:rFonts w:ascii="Arial" w:eastAsia="Times New Roman" w:hAnsi="Arial" w:cs="Arial"/>
          <w:lang w:eastAsia="en-GB"/>
        </w:rPr>
        <w:t>Andra</w:t>
      </w:r>
      <w:proofErr w:type="spellEnd"/>
      <w:r w:rsidR="004C5FD5" w:rsidRPr="0023554D">
        <w:rPr>
          <w:rFonts w:ascii="Arial" w:eastAsia="Times New Roman" w:hAnsi="Arial" w:cs="Arial"/>
          <w:lang w:eastAsia="en-GB"/>
        </w:rPr>
        <w:t xml:space="preserve">, S., </w:t>
      </w:r>
      <w:proofErr w:type="spellStart"/>
      <w:r w:rsidR="004C5FD5" w:rsidRPr="0023554D">
        <w:rPr>
          <w:rFonts w:ascii="Arial" w:eastAsia="Times New Roman" w:hAnsi="Arial" w:cs="Arial"/>
          <w:lang w:eastAsia="en-GB"/>
        </w:rPr>
        <w:t>Kommineni</w:t>
      </w:r>
      <w:proofErr w:type="spellEnd"/>
      <w:r w:rsidR="004C5FD5" w:rsidRPr="0023554D">
        <w:rPr>
          <w:rFonts w:ascii="Arial" w:eastAsia="Times New Roman" w:hAnsi="Arial" w:cs="Arial"/>
          <w:lang w:eastAsia="en-GB"/>
        </w:rPr>
        <w:t xml:space="preserve">, N., </w:t>
      </w:r>
      <w:proofErr w:type="spellStart"/>
      <w:r w:rsidR="004C5FD5" w:rsidRPr="0023554D">
        <w:rPr>
          <w:rFonts w:ascii="Arial" w:eastAsia="Times New Roman" w:hAnsi="Arial" w:cs="Arial"/>
          <w:lang w:eastAsia="en-GB"/>
        </w:rPr>
        <w:t>Balu</w:t>
      </w:r>
      <w:proofErr w:type="spellEnd"/>
      <w:r w:rsidR="004C5FD5" w:rsidRPr="0023554D">
        <w:rPr>
          <w:rFonts w:ascii="Arial" w:eastAsia="Times New Roman" w:hAnsi="Arial" w:cs="Arial"/>
          <w:lang w:eastAsia="en-GB"/>
        </w:rPr>
        <w:t xml:space="preserve">, S. K., </w:t>
      </w:r>
      <w:proofErr w:type="spellStart"/>
      <w:r w:rsidR="004C5FD5" w:rsidRPr="0023554D">
        <w:rPr>
          <w:rFonts w:ascii="Arial" w:eastAsia="Times New Roman" w:hAnsi="Arial" w:cs="Arial"/>
          <w:lang w:eastAsia="en-GB"/>
        </w:rPr>
        <w:t>Bulusu</w:t>
      </w:r>
      <w:proofErr w:type="spellEnd"/>
      <w:r w:rsidR="004C5FD5" w:rsidRPr="0023554D">
        <w:rPr>
          <w:rFonts w:ascii="Arial" w:eastAsia="Times New Roman" w:hAnsi="Arial" w:cs="Arial"/>
          <w:lang w:eastAsia="en-GB"/>
        </w:rPr>
        <w:t xml:space="preserve">, R., </w:t>
      </w:r>
      <w:proofErr w:type="spellStart"/>
      <w:r w:rsidR="004C5FD5" w:rsidRPr="0023554D">
        <w:rPr>
          <w:rFonts w:ascii="Arial" w:eastAsia="Times New Roman" w:hAnsi="Arial" w:cs="Arial"/>
          <w:lang w:eastAsia="en-GB"/>
        </w:rPr>
        <w:t>Boseila</w:t>
      </w:r>
      <w:proofErr w:type="spellEnd"/>
      <w:r w:rsidR="004C5FD5" w:rsidRPr="0023554D">
        <w:rPr>
          <w:rFonts w:ascii="Arial" w:eastAsia="Times New Roman" w:hAnsi="Arial" w:cs="Arial"/>
          <w:lang w:eastAsia="en-GB"/>
        </w:rPr>
        <w:t xml:space="preserve">, A. A., ... &amp; </w:t>
      </w:r>
      <w:proofErr w:type="spellStart"/>
      <w:r w:rsidR="004C5FD5" w:rsidRPr="0023554D">
        <w:rPr>
          <w:rFonts w:ascii="Arial" w:eastAsia="Times New Roman" w:hAnsi="Arial" w:cs="Arial"/>
          <w:lang w:eastAsia="en-GB"/>
        </w:rPr>
        <w:t>Cavalu</w:t>
      </w:r>
      <w:proofErr w:type="spellEnd"/>
      <w:r w:rsidR="004C5FD5" w:rsidRPr="0023554D">
        <w:rPr>
          <w:rFonts w:ascii="Arial" w:eastAsia="Times New Roman" w:hAnsi="Arial" w:cs="Arial"/>
          <w:lang w:eastAsia="en-GB"/>
        </w:rPr>
        <w:t xml:space="preserve">, S. (2022). Recent advances in adsorptive nanocomposite membranes for heavy metal ion removal from contaminated water: A comprehensive review. </w:t>
      </w:r>
      <w:r w:rsidR="004C5FD5" w:rsidRPr="0023554D">
        <w:rPr>
          <w:rFonts w:ascii="Arial" w:eastAsia="Times New Roman" w:hAnsi="Arial" w:cs="Arial"/>
          <w:i/>
          <w:iCs/>
          <w:lang w:eastAsia="en-GB"/>
        </w:rPr>
        <w:t>Materials</w:t>
      </w:r>
      <w:r w:rsidR="004C5FD5" w:rsidRPr="0023554D">
        <w:rPr>
          <w:rFonts w:ascii="Arial" w:eastAsia="Times New Roman" w:hAnsi="Arial" w:cs="Arial"/>
          <w:lang w:eastAsia="en-GB"/>
        </w:rPr>
        <w:t xml:space="preserve">, 15(15), 5392. </w:t>
      </w:r>
      <w:hyperlink r:id="rId36" w:history="1">
        <w:r w:rsidR="004C5FD5" w:rsidRPr="0023554D">
          <w:rPr>
            <w:rStyle w:val="Hyperlink"/>
            <w:rFonts w:ascii="Arial" w:hAnsi="Arial" w:cs="Arial"/>
          </w:rPr>
          <w:t>https://doi.org/10.3390/ma15155392</w:t>
        </w:r>
      </w:hyperlink>
    </w:p>
    <w:p w14:paraId="1A1F780A" w14:textId="77777777" w:rsidR="00F23EB8" w:rsidRPr="0023554D" w:rsidRDefault="00B508D4" w:rsidP="00B508D4">
      <w:pPr>
        <w:spacing w:after="0"/>
        <w:ind w:left="720" w:hanging="375"/>
        <w:jc w:val="both"/>
        <w:rPr>
          <w:rFonts w:ascii="Arial" w:eastAsia="Times New Roman" w:hAnsi="Arial" w:cs="Arial"/>
          <w:lang w:eastAsia="en-GB"/>
        </w:rPr>
      </w:pPr>
      <w:r w:rsidRPr="0023554D">
        <w:rPr>
          <w:rFonts w:ascii="Arial" w:eastAsia="Times New Roman" w:hAnsi="Arial" w:cs="Arial"/>
          <w:lang w:eastAsia="en-GB"/>
        </w:rPr>
        <w:t>44.</w:t>
      </w:r>
      <w:r w:rsidRPr="0023554D">
        <w:rPr>
          <w:rFonts w:ascii="Arial" w:eastAsia="Times New Roman" w:hAnsi="Arial" w:cs="Arial"/>
          <w:lang w:eastAsia="en-GB"/>
        </w:rPr>
        <w:tab/>
      </w:r>
      <w:r w:rsidR="004C5FD5" w:rsidRPr="0023554D">
        <w:rPr>
          <w:rFonts w:ascii="Arial" w:eastAsia="Times New Roman" w:hAnsi="Arial" w:cs="Arial"/>
          <w:lang w:eastAsia="en-GB"/>
        </w:rPr>
        <w:t xml:space="preserve">Kundu, P. P., &amp; De, P. (1998). Influence of organic–inorganic interaction on thermal </w:t>
      </w:r>
      <w:proofErr w:type="spellStart"/>
      <w:r w:rsidR="004C5FD5" w:rsidRPr="0023554D">
        <w:rPr>
          <w:rFonts w:ascii="Arial" w:eastAsia="Times New Roman" w:hAnsi="Arial" w:cs="Arial"/>
          <w:lang w:eastAsia="en-GB"/>
        </w:rPr>
        <w:t>behavior</w:t>
      </w:r>
      <w:proofErr w:type="spellEnd"/>
      <w:r w:rsidR="004C5FD5" w:rsidRPr="0023554D">
        <w:rPr>
          <w:rFonts w:ascii="Arial" w:eastAsia="Times New Roman" w:hAnsi="Arial" w:cs="Arial"/>
          <w:lang w:eastAsia="en-GB"/>
        </w:rPr>
        <w:t xml:space="preserve"> of epoxy–silica composites. </w:t>
      </w:r>
      <w:r w:rsidR="004C5FD5" w:rsidRPr="0023554D">
        <w:rPr>
          <w:rFonts w:ascii="Arial" w:eastAsia="Times New Roman" w:hAnsi="Arial" w:cs="Arial"/>
          <w:i/>
          <w:iCs/>
          <w:lang w:eastAsia="en-GB"/>
        </w:rPr>
        <w:t>Journal of Applied Polymer Science</w:t>
      </w:r>
      <w:r w:rsidR="004C5FD5" w:rsidRPr="0023554D">
        <w:rPr>
          <w:rFonts w:ascii="Arial" w:eastAsia="Times New Roman" w:hAnsi="Arial" w:cs="Arial"/>
          <w:lang w:eastAsia="en-GB"/>
        </w:rPr>
        <w:t xml:space="preserve">, 70(13), 2639–2647. </w:t>
      </w:r>
      <w:hyperlink r:id="rId37" w:history="1">
        <w:r w:rsidR="004C5FD5" w:rsidRPr="0023554D">
          <w:rPr>
            <w:rStyle w:val="Hyperlink"/>
            <w:rFonts w:ascii="Arial" w:hAnsi="Arial" w:cs="Arial"/>
          </w:rPr>
          <w:t>https://doi.org/10.1002/(SICI)1097-4628(19981014)70:13&lt;2639::AID-APP15&gt;3.0.CO;2-H</w:t>
        </w:r>
      </w:hyperlink>
    </w:p>
    <w:p w14:paraId="444CD214" w14:textId="77777777" w:rsidR="004C5FD5" w:rsidRPr="0023554D" w:rsidRDefault="00B508D4" w:rsidP="00B508D4">
      <w:pPr>
        <w:spacing w:after="0"/>
        <w:ind w:left="720" w:hanging="375"/>
        <w:jc w:val="both"/>
        <w:rPr>
          <w:rFonts w:ascii="Arial" w:hAnsi="Arial" w:cs="Arial"/>
        </w:rPr>
      </w:pPr>
      <w:r w:rsidRPr="0023554D">
        <w:rPr>
          <w:rFonts w:ascii="Arial" w:eastAsia="Times New Roman" w:hAnsi="Arial" w:cs="Arial"/>
          <w:lang w:eastAsia="en-GB"/>
        </w:rPr>
        <w:t>45.</w:t>
      </w:r>
      <w:r w:rsidRPr="0023554D">
        <w:rPr>
          <w:rFonts w:ascii="Arial" w:eastAsia="Times New Roman" w:hAnsi="Arial" w:cs="Arial"/>
          <w:lang w:eastAsia="en-GB"/>
        </w:rPr>
        <w:tab/>
      </w:r>
      <w:r w:rsidR="004C5FD5" w:rsidRPr="0023554D">
        <w:rPr>
          <w:rFonts w:ascii="Arial" w:eastAsia="Times New Roman" w:hAnsi="Arial" w:cs="Arial"/>
          <w:lang w:eastAsia="en-GB"/>
        </w:rPr>
        <w:t xml:space="preserve">Korhonen, J. T., &amp; </w:t>
      </w:r>
      <w:proofErr w:type="spellStart"/>
      <w:r w:rsidR="004C5FD5" w:rsidRPr="0023554D">
        <w:rPr>
          <w:rFonts w:ascii="Arial" w:eastAsia="Times New Roman" w:hAnsi="Arial" w:cs="Arial"/>
          <w:lang w:eastAsia="en-GB"/>
        </w:rPr>
        <w:t>Argyropoulos</w:t>
      </w:r>
      <w:proofErr w:type="spellEnd"/>
      <w:r w:rsidR="004C5FD5" w:rsidRPr="0023554D">
        <w:rPr>
          <w:rFonts w:ascii="Arial" w:eastAsia="Times New Roman" w:hAnsi="Arial" w:cs="Arial"/>
          <w:lang w:eastAsia="en-GB"/>
        </w:rPr>
        <w:t xml:space="preserve">, D. S. (2023). Recent advances in bio-based functional additives for </w:t>
      </w:r>
      <w:r w:rsidRPr="0023554D">
        <w:rPr>
          <w:rFonts w:ascii="Arial" w:eastAsia="Times New Roman" w:hAnsi="Arial" w:cs="Arial"/>
          <w:lang w:eastAsia="en-GB"/>
        </w:rPr>
        <w:t xml:space="preserve">   </w:t>
      </w:r>
      <w:r w:rsidR="004C5FD5" w:rsidRPr="0023554D">
        <w:rPr>
          <w:rFonts w:ascii="Arial" w:eastAsia="Times New Roman" w:hAnsi="Arial" w:cs="Arial"/>
          <w:lang w:eastAsia="en-GB"/>
        </w:rPr>
        <w:t xml:space="preserve">polymers. </w:t>
      </w:r>
      <w:r w:rsidR="004C5FD5" w:rsidRPr="0023554D">
        <w:rPr>
          <w:rFonts w:ascii="Arial" w:eastAsia="Times New Roman" w:hAnsi="Arial" w:cs="Arial"/>
          <w:i/>
          <w:iCs/>
          <w:lang w:eastAsia="en-GB"/>
        </w:rPr>
        <w:t>Progress in Materials Science</w:t>
      </w:r>
      <w:r w:rsidR="004C5FD5" w:rsidRPr="0023554D">
        <w:rPr>
          <w:rFonts w:ascii="Arial" w:eastAsia="Times New Roman" w:hAnsi="Arial" w:cs="Arial"/>
          <w:lang w:eastAsia="en-GB"/>
        </w:rPr>
        <w:t>, 139, 101186. https://doi.org/10.1016/j.pmatsci.2023.101186</w:t>
      </w:r>
    </w:p>
    <w:p w14:paraId="522416D1" w14:textId="77777777" w:rsidR="001507BB" w:rsidRPr="0023554D" w:rsidRDefault="001507BB" w:rsidP="00F23EB8">
      <w:pPr>
        <w:spacing w:after="0"/>
        <w:jc w:val="both"/>
        <w:rPr>
          <w:rFonts w:ascii="Arial" w:hAnsi="Arial" w:cs="Arial"/>
        </w:rPr>
      </w:pPr>
    </w:p>
    <w:p w14:paraId="4D8C29B0" w14:textId="77777777" w:rsidR="005E5BA1" w:rsidRPr="0023554D" w:rsidRDefault="005E5BA1" w:rsidP="00F23EB8">
      <w:pPr>
        <w:spacing w:after="0"/>
        <w:rPr>
          <w:rFonts w:ascii="Arial" w:hAnsi="Arial" w:cs="Arial"/>
        </w:rPr>
      </w:pPr>
    </w:p>
    <w:sectPr w:rsidR="005E5BA1" w:rsidRPr="0023554D">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D1F3B" w14:textId="77777777" w:rsidR="00684D21" w:rsidRDefault="00684D21" w:rsidP="00B77196">
      <w:pPr>
        <w:spacing w:after="0" w:line="240" w:lineRule="auto"/>
      </w:pPr>
      <w:r>
        <w:separator/>
      </w:r>
    </w:p>
  </w:endnote>
  <w:endnote w:type="continuationSeparator" w:id="0">
    <w:p w14:paraId="49DECBFE" w14:textId="77777777" w:rsidR="00684D21" w:rsidRDefault="00684D21" w:rsidP="00B77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inionPro-Regular2">
    <w:altName w:val="Arial Unicode MS"/>
    <w:panose1 w:val="00000000000000000000"/>
    <w:charset w:val="81"/>
    <w:family w:val="auto"/>
    <w:notTrueType/>
    <w:pitch w:val="default"/>
    <w:sig w:usb0="00000001" w:usb1="09060000" w:usb2="00000010" w:usb3="00000000" w:csb0="0008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08B8D" w14:textId="77777777" w:rsidR="00B77196" w:rsidRDefault="00B77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AE9B3" w14:textId="77777777" w:rsidR="00B77196" w:rsidRDefault="00B771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E777B" w14:textId="77777777" w:rsidR="00B77196" w:rsidRDefault="00B77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995DC" w14:textId="77777777" w:rsidR="00684D21" w:rsidRDefault="00684D21" w:rsidP="00B77196">
      <w:pPr>
        <w:spacing w:after="0" w:line="240" w:lineRule="auto"/>
      </w:pPr>
      <w:r>
        <w:separator/>
      </w:r>
    </w:p>
  </w:footnote>
  <w:footnote w:type="continuationSeparator" w:id="0">
    <w:p w14:paraId="7F894026" w14:textId="77777777" w:rsidR="00684D21" w:rsidRDefault="00684D21" w:rsidP="00B771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7F31F" w14:textId="09BFB898" w:rsidR="00B77196" w:rsidRDefault="00B77196">
    <w:pPr>
      <w:pStyle w:val="Header"/>
    </w:pPr>
    <w:r>
      <w:rPr>
        <w:noProof/>
      </w:rPr>
      <w:pict w14:anchorId="5B2DD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7027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862BB" w14:textId="0FF94BE1" w:rsidR="00B77196" w:rsidRDefault="00B77196">
    <w:pPr>
      <w:pStyle w:val="Header"/>
    </w:pPr>
    <w:r>
      <w:rPr>
        <w:noProof/>
      </w:rPr>
      <w:pict w14:anchorId="72966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7027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112AB" w14:textId="3CBA5101" w:rsidR="00B77196" w:rsidRDefault="00B77196">
    <w:pPr>
      <w:pStyle w:val="Header"/>
    </w:pPr>
    <w:r>
      <w:rPr>
        <w:noProof/>
      </w:rPr>
      <w:pict w14:anchorId="725B8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7027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4ED1"/>
    <w:multiLevelType w:val="hybridMultilevel"/>
    <w:tmpl w:val="89389056"/>
    <w:lvl w:ilvl="0" w:tplc="172EB9B2">
      <w:start w:val="25"/>
      <w:numFmt w:val="decimal"/>
      <w:lvlText w:val="%1"/>
      <w:lvlJc w:val="left"/>
      <w:pPr>
        <w:ind w:left="720" w:hanging="360"/>
      </w:pPr>
      <w:rPr>
        <w:rFonts w:eastAsia="MinionPro-Regular2"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B81260"/>
    <w:multiLevelType w:val="multilevel"/>
    <w:tmpl w:val="24F898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6220DCD"/>
    <w:multiLevelType w:val="multilevel"/>
    <w:tmpl w:val="24F898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BB402A9"/>
    <w:multiLevelType w:val="multilevel"/>
    <w:tmpl w:val="24F898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872625F"/>
    <w:multiLevelType w:val="multilevel"/>
    <w:tmpl w:val="5F4691E6"/>
    <w:lvl w:ilvl="0">
      <w:start w:val="1"/>
      <w:numFmt w:val="decimal"/>
      <w:lvlText w:val="%1."/>
      <w:lvlJc w:val="left"/>
      <w:pPr>
        <w:tabs>
          <w:tab w:val="num" w:pos="644"/>
        </w:tabs>
        <w:ind w:left="644"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292535C"/>
    <w:multiLevelType w:val="multilevel"/>
    <w:tmpl w:val="24F898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07BB"/>
    <w:rsid w:val="0004025D"/>
    <w:rsid w:val="00105988"/>
    <w:rsid w:val="001507BB"/>
    <w:rsid w:val="00167B34"/>
    <w:rsid w:val="00167D3F"/>
    <w:rsid w:val="002002B6"/>
    <w:rsid w:val="002229EF"/>
    <w:rsid w:val="0023554D"/>
    <w:rsid w:val="00271D4E"/>
    <w:rsid w:val="002D7D36"/>
    <w:rsid w:val="002F57F6"/>
    <w:rsid w:val="00350894"/>
    <w:rsid w:val="00353AB1"/>
    <w:rsid w:val="00395EE8"/>
    <w:rsid w:val="00446F2B"/>
    <w:rsid w:val="004A47A8"/>
    <w:rsid w:val="004C5FD5"/>
    <w:rsid w:val="004E06AA"/>
    <w:rsid w:val="005E5BA1"/>
    <w:rsid w:val="00625E9B"/>
    <w:rsid w:val="00661C0E"/>
    <w:rsid w:val="00684D21"/>
    <w:rsid w:val="00684D4C"/>
    <w:rsid w:val="00731840"/>
    <w:rsid w:val="00761850"/>
    <w:rsid w:val="007B15EC"/>
    <w:rsid w:val="00897479"/>
    <w:rsid w:val="009802C9"/>
    <w:rsid w:val="009A32FE"/>
    <w:rsid w:val="00A637E1"/>
    <w:rsid w:val="00A83BAA"/>
    <w:rsid w:val="00AD2020"/>
    <w:rsid w:val="00B508D4"/>
    <w:rsid w:val="00B75050"/>
    <w:rsid w:val="00B76581"/>
    <w:rsid w:val="00B77196"/>
    <w:rsid w:val="00BD6A74"/>
    <w:rsid w:val="00C1545C"/>
    <w:rsid w:val="00E623B7"/>
    <w:rsid w:val="00EB08B0"/>
    <w:rsid w:val="00F23EB8"/>
    <w:rsid w:val="00F73614"/>
    <w:rsid w:val="00F95BAC"/>
    <w:rsid w:val="00FA6D33"/>
    <w:rsid w:val="00FF27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64A4B0"/>
  <w15:docId w15:val="{74E1AB3F-C29D-404E-B08C-744D9B7B1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07BB"/>
  </w:style>
  <w:style w:type="paragraph" w:styleId="Heading2">
    <w:name w:val="heading 2"/>
    <w:basedOn w:val="Normal"/>
    <w:link w:val="Heading2Char"/>
    <w:uiPriority w:val="9"/>
    <w:qFormat/>
    <w:rsid w:val="001507B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1507B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07B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507BB"/>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1507BB"/>
    <w:rPr>
      <w:b/>
      <w:bCs/>
    </w:rPr>
  </w:style>
  <w:style w:type="paragraph" w:styleId="NormalWeb">
    <w:name w:val="Normal (Web)"/>
    <w:basedOn w:val="Normal"/>
    <w:uiPriority w:val="99"/>
    <w:unhideWhenUsed/>
    <w:rsid w:val="001507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507BB"/>
    <w:rPr>
      <w:i/>
      <w:iCs/>
    </w:rPr>
  </w:style>
  <w:style w:type="character" w:customStyle="1" w:styleId="ms-1">
    <w:name w:val="ms-1"/>
    <w:basedOn w:val="DefaultParagraphFont"/>
    <w:rsid w:val="001507BB"/>
  </w:style>
  <w:style w:type="character" w:customStyle="1" w:styleId="max-w-full">
    <w:name w:val="max-w-full"/>
    <w:basedOn w:val="DefaultParagraphFont"/>
    <w:rsid w:val="001507BB"/>
  </w:style>
  <w:style w:type="character" w:styleId="Hyperlink">
    <w:name w:val="Hyperlink"/>
    <w:basedOn w:val="DefaultParagraphFont"/>
    <w:uiPriority w:val="99"/>
    <w:unhideWhenUsed/>
    <w:rsid w:val="004C5FD5"/>
    <w:rPr>
      <w:color w:val="0000FF"/>
      <w:u w:val="single"/>
    </w:rPr>
  </w:style>
  <w:style w:type="paragraph" w:styleId="ListParagraph">
    <w:name w:val="List Paragraph"/>
    <w:basedOn w:val="Normal"/>
    <w:uiPriority w:val="34"/>
    <w:qFormat/>
    <w:rsid w:val="004C5FD5"/>
    <w:pPr>
      <w:ind w:left="720"/>
      <w:contextualSpacing/>
    </w:pPr>
  </w:style>
  <w:style w:type="paragraph" w:styleId="BalloonText">
    <w:name w:val="Balloon Text"/>
    <w:basedOn w:val="Normal"/>
    <w:link w:val="BalloonTextChar"/>
    <w:uiPriority w:val="99"/>
    <w:semiHidden/>
    <w:unhideWhenUsed/>
    <w:rsid w:val="00F23E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EB8"/>
    <w:rPr>
      <w:rFonts w:ascii="Tahoma" w:hAnsi="Tahoma" w:cs="Tahoma"/>
      <w:sz w:val="16"/>
      <w:szCs w:val="16"/>
    </w:rPr>
  </w:style>
  <w:style w:type="character" w:styleId="UnresolvedMention">
    <w:name w:val="Unresolved Mention"/>
    <w:basedOn w:val="DefaultParagraphFont"/>
    <w:uiPriority w:val="99"/>
    <w:semiHidden/>
    <w:unhideWhenUsed/>
    <w:rsid w:val="004A47A8"/>
    <w:rPr>
      <w:color w:val="605E5C"/>
      <w:shd w:val="clear" w:color="auto" w:fill="E1DFDD"/>
    </w:rPr>
  </w:style>
  <w:style w:type="paragraph" w:styleId="Header">
    <w:name w:val="header"/>
    <w:basedOn w:val="Normal"/>
    <w:link w:val="HeaderChar"/>
    <w:uiPriority w:val="99"/>
    <w:unhideWhenUsed/>
    <w:rsid w:val="00B771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196"/>
  </w:style>
  <w:style w:type="paragraph" w:styleId="Footer">
    <w:name w:val="footer"/>
    <w:basedOn w:val="Normal"/>
    <w:link w:val="FooterChar"/>
    <w:uiPriority w:val="99"/>
    <w:unhideWhenUsed/>
    <w:rsid w:val="00B771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67973">
      <w:bodyDiv w:val="1"/>
      <w:marLeft w:val="0"/>
      <w:marRight w:val="0"/>
      <w:marTop w:val="0"/>
      <w:marBottom w:val="0"/>
      <w:divBdr>
        <w:top w:val="none" w:sz="0" w:space="0" w:color="auto"/>
        <w:left w:val="none" w:sz="0" w:space="0" w:color="auto"/>
        <w:bottom w:val="none" w:sz="0" w:space="0" w:color="auto"/>
        <w:right w:val="none" w:sz="0" w:space="0" w:color="auto"/>
      </w:divBdr>
    </w:div>
    <w:div w:id="275909542">
      <w:bodyDiv w:val="1"/>
      <w:marLeft w:val="0"/>
      <w:marRight w:val="0"/>
      <w:marTop w:val="0"/>
      <w:marBottom w:val="0"/>
      <w:divBdr>
        <w:top w:val="none" w:sz="0" w:space="0" w:color="auto"/>
        <w:left w:val="none" w:sz="0" w:space="0" w:color="auto"/>
        <w:bottom w:val="none" w:sz="0" w:space="0" w:color="auto"/>
        <w:right w:val="none" w:sz="0" w:space="0" w:color="auto"/>
      </w:divBdr>
    </w:div>
    <w:div w:id="802622439">
      <w:bodyDiv w:val="1"/>
      <w:marLeft w:val="0"/>
      <w:marRight w:val="0"/>
      <w:marTop w:val="0"/>
      <w:marBottom w:val="0"/>
      <w:divBdr>
        <w:top w:val="none" w:sz="0" w:space="0" w:color="auto"/>
        <w:left w:val="none" w:sz="0" w:space="0" w:color="auto"/>
        <w:bottom w:val="none" w:sz="0" w:space="0" w:color="auto"/>
        <w:right w:val="none" w:sz="0" w:space="0" w:color="auto"/>
      </w:divBdr>
    </w:div>
    <w:div w:id="993143859">
      <w:bodyDiv w:val="1"/>
      <w:marLeft w:val="0"/>
      <w:marRight w:val="0"/>
      <w:marTop w:val="0"/>
      <w:marBottom w:val="0"/>
      <w:divBdr>
        <w:top w:val="none" w:sz="0" w:space="0" w:color="auto"/>
        <w:left w:val="none" w:sz="0" w:space="0" w:color="auto"/>
        <w:bottom w:val="none" w:sz="0" w:space="0" w:color="auto"/>
        <w:right w:val="none" w:sz="0" w:space="0" w:color="auto"/>
      </w:divBdr>
    </w:div>
    <w:div w:id="1747796875">
      <w:bodyDiv w:val="1"/>
      <w:marLeft w:val="0"/>
      <w:marRight w:val="0"/>
      <w:marTop w:val="0"/>
      <w:marBottom w:val="0"/>
      <w:divBdr>
        <w:top w:val="none" w:sz="0" w:space="0" w:color="auto"/>
        <w:left w:val="none" w:sz="0" w:space="0" w:color="auto"/>
        <w:bottom w:val="none" w:sz="0" w:space="0" w:color="auto"/>
        <w:right w:val="none" w:sz="0" w:space="0" w:color="auto"/>
      </w:divBdr>
    </w:div>
    <w:div w:id="176476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1002/0470011149" TargetMode="External"/><Relationship Id="rId39" Type="http://schemas.openxmlformats.org/officeDocument/2006/relationships/header" Target="header2.xml"/><Relationship Id="rId21" Type="http://schemas.openxmlformats.org/officeDocument/2006/relationships/hyperlink" Target="http://www.sciencepub.net/nature" TargetMode="External"/><Relationship Id="rId34" Type="http://schemas.openxmlformats.org/officeDocument/2006/relationships/hyperlink" Target="https://doi.org/10.1016/j.porgcoat.2012.03.017" TargetMode="External"/><Relationship Id="rId42" Type="http://schemas.openxmlformats.org/officeDocument/2006/relationships/header" Target="header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doi.org/10.1016/j.jcis.2010.05.02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1108/03699420710718751" TargetMode="External"/><Relationship Id="rId32" Type="http://schemas.openxmlformats.org/officeDocument/2006/relationships/hyperlink" Target="https://en.wikipedia.org/wiki/Thermogravimetric_analysis?utm_source=chatgpt.com" TargetMode="External"/><Relationship Id="rId37" Type="http://schemas.openxmlformats.org/officeDocument/2006/relationships/hyperlink" Target="https://doi.org/10.1002/(SICI)1097-4628(19981014)70:13%3c2639::AID-APP15%3e3.0.CO;2-H"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sciencepub.net/nature27" TargetMode="External"/><Relationship Id="rId28" Type="http://schemas.openxmlformats.org/officeDocument/2006/relationships/hyperlink" Target="https://doi.org/10.9734/ijbcrr/2019/v28i330142" TargetMode="External"/><Relationship Id="rId36" Type="http://schemas.openxmlformats.org/officeDocument/2006/relationships/hyperlink" Target="https://doi.org/10.3390/ma15155392" TargetMode="External"/><Relationship Id="rId10" Type="http://schemas.openxmlformats.org/officeDocument/2006/relationships/image" Target="media/image3.jpeg"/><Relationship Id="rId19" Type="http://schemas.openxmlformats.org/officeDocument/2006/relationships/hyperlink" Target="http://dx.doi.org/10.1590/S0104-66322011000100011" TargetMode="External"/><Relationship Id="rId31" Type="http://schemas.openxmlformats.org/officeDocument/2006/relationships/hyperlink" Target="https://doi.org/10.1007/s40090-015-0040-1"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4314/jasem.v20i1.25" TargetMode="External"/><Relationship Id="rId27" Type="http://schemas.openxmlformats.org/officeDocument/2006/relationships/hyperlink" Target="https://doi.org/10.1002/9780470027318.a5606" TargetMode="External"/><Relationship Id="rId30" Type="http://schemas.openxmlformats.org/officeDocument/2006/relationships/hyperlink" Target="https://doi.org/10.1007/s13726-013-0146-2%2038" TargetMode="External"/><Relationship Id="rId35" Type="http://schemas.openxmlformats.org/officeDocument/2006/relationships/hyperlink" Target="https://doi.org/10.1371/journal.pone.0289069" TargetMode="External"/><Relationship Id="rId43" Type="http://schemas.openxmlformats.org/officeDocument/2006/relationships/footer" Target="footer3.xml"/><Relationship Id="rId8" Type="http://schemas.openxmlformats.org/officeDocument/2006/relationships/package" Target="embeddings/Microsoft_Word_Document.docx"/><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ciencepub.net/nature" TargetMode="External"/><Relationship Id="rId33" Type="http://schemas.openxmlformats.org/officeDocument/2006/relationships/hyperlink" Target="https://doi.org/10.1016/j.mtcomm.2024.107232" TargetMode="External"/><Relationship Id="rId38" Type="http://schemas.openxmlformats.org/officeDocument/2006/relationships/header" Target="header1.xml"/><Relationship Id="rId20" Type="http://schemas.openxmlformats.org/officeDocument/2006/relationships/hyperlink" Target="https://doi.org/10.1108/03699420710718751"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1199</TotalTime>
  <Pages>10</Pages>
  <Words>3871</Words>
  <Characters>22070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9</cp:revision>
  <dcterms:created xsi:type="dcterms:W3CDTF">2025-09-01T03:12:00Z</dcterms:created>
  <dcterms:modified xsi:type="dcterms:W3CDTF">2025-09-03T07:41:00Z</dcterms:modified>
</cp:coreProperties>
</file>