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8C6EB" w14:textId="3EDA5630" w:rsidR="00583757" w:rsidRPr="00583757" w:rsidRDefault="00583757" w:rsidP="00A258E9">
      <w:pPr>
        <w:pStyle w:val="Title"/>
        <w:ind w:right="-874" w:firstLineChars="0" w:firstLine="0"/>
        <w:jc w:val="left"/>
        <w:rPr>
          <w:rFonts w:ascii="Times New Roman" w:hAnsi="Times New Roman" w:cs="Times New Roman"/>
          <w:sz w:val="36"/>
          <w:szCs w:val="36"/>
          <w:u w:val="single"/>
        </w:rPr>
      </w:pPr>
      <w:bookmarkStart w:id="0" w:name="_Hlk209093919"/>
      <w:r w:rsidRPr="00583757">
        <w:rPr>
          <w:rFonts w:ascii="Times New Roman" w:hAnsi="Times New Roman" w:cs="Times New Roman"/>
          <w:sz w:val="36"/>
          <w:szCs w:val="36"/>
          <w:u w:val="single"/>
        </w:rPr>
        <w:t>Review Article</w:t>
      </w:r>
    </w:p>
    <w:p w14:paraId="33A124DC" w14:textId="284C6704" w:rsidR="00790155" w:rsidRPr="00A258E9" w:rsidRDefault="00DB3F2B" w:rsidP="00A258E9">
      <w:pPr>
        <w:pStyle w:val="Title"/>
        <w:ind w:right="-874" w:firstLineChars="0" w:firstLine="0"/>
        <w:jc w:val="left"/>
        <w:rPr>
          <w:rFonts w:ascii="Times New Roman" w:hAnsi="Times New Roman" w:cs="Times New Roman"/>
        </w:rPr>
      </w:pPr>
      <w:r w:rsidRPr="00A258E9">
        <w:rPr>
          <w:rFonts w:ascii="Times New Roman" w:hAnsi="Times New Roman" w:cs="Times New Roman"/>
        </w:rPr>
        <w:t>Research on the principle and application of vortex-induced vibration control based on nonlinear energy sink</w:t>
      </w:r>
    </w:p>
    <w:bookmarkEnd w:id="0"/>
    <w:p w14:paraId="284E7C11" w14:textId="77777777" w:rsidR="008B19E2" w:rsidRDefault="008B19E2" w:rsidP="00A258E9">
      <w:pPr>
        <w:pStyle w:val="Heading1"/>
        <w:ind w:firstLine="440"/>
        <w:jc w:val="left"/>
        <w:rPr>
          <w:rFonts w:ascii="Times New Roman" w:hAnsi="Times New Roman" w:cs="Times New Roman"/>
          <w:sz w:val="22"/>
          <w:szCs w:val="22"/>
        </w:rPr>
      </w:pPr>
    </w:p>
    <w:p w14:paraId="4C1038B5" w14:textId="33B455DB" w:rsidR="00A258E9" w:rsidRDefault="0029755F" w:rsidP="00A258E9">
      <w:pPr>
        <w:pStyle w:val="Heading1"/>
        <w:ind w:firstLine="440"/>
        <w:jc w:val="left"/>
        <w:rPr>
          <w:rFonts w:ascii="Times New Roman" w:hAnsi="Times New Roman" w:cs="Times New Roman"/>
          <w:sz w:val="22"/>
          <w:szCs w:val="22"/>
        </w:rPr>
      </w:pPr>
      <w:bookmarkStart w:id="1" w:name="_GoBack"/>
      <w:bookmarkEnd w:id="1"/>
      <w:r>
        <w:rPr>
          <w:rFonts w:ascii="Times New Roman" w:hAnsi="Times New Roman" w:cs="Times New Roman"/>
          <w:sz w:val="22"/>
          <w:szCs w:val="22"/>
        </w:rPr>
        <w:t>Abstract:</w:t>
      </w:r>
    </w:p>
    <w:p w14:paraId="5C66661C" w14:textId="3988BF5F" w:rsidR="0029755F" w:rsidRPr="0029755F" w:rsidRDefault="0029755F" w:rsidP="0029755F">
      <w:pPr>
        <w:ind w:firstLine="420"/>
      </w:pPr>
      <w:r w:rsidRPr="0029755F">
        <w:t xml:space="preserve">Traditional vortex-induced vibration control methods such as linear dampers, active control devices, etc., or cannot respond to vibration in a wider frequency range due to limited broadband control capabilities, or the system is complex and costly, and it is difficult to meet the engineering requirements under complex conditions. Vortex-induced vibration, as a typical problem in the field of fluid-solid coupling, widely exists in engineering structures such as marine risers, bridge piers, and industrial pipelines. </w:t>
      </w:r>
      <w:r>
        <w:t>The review aims to r</w:t>
      </w:r>
      <w:r w:rsidRPr="0029755F">
        <w:t xml:space="preserve">esearch the principle and application of vortex-induced vibration control based on </w:t>
      </w:r>
      <w:r>
        <w:t xml:space="preserve">a </w:t>
      </w:r>
      <w:r w:rsidRPr="0029755F">
        <w:t>nonlinear energy sink</w:t>
      </w:r>
      <w:r>
        <w:t xml:space="preserve">. The fluid-solid coupling effect can be seen as a two-way coupling relationship, that is, the two-way coupling relationship between fluid-structure and structure-fluid.  The specific components of the R-NES system are a rigid platform and a mass ball mounted on a cylinder. When the natural frequency of the main structure is further reduced to 0.8Hz and below </w:t>
      </w:r>
      <w:proofErr w:type="gramStart"/>
      <w:r>
        <w:t>( such</w:t>
      </w:r>
      <w:proofErr w:type="gramEnd"/>
      <w:r>
        <w:t xml:space="preserve"> as 0.8Hz, 0.1Hz ), the static displacement of the NES under the action of self-weight increases sharply ( 74.51m at 0.1Hz ), and the displacement-recovery force curve completely deviates from the cubic stiffness characteristic. Multi-degree-of-freedom NES </w:t>
      </w:r>
      <w:proofErr w:type="gramStart"/>
      <w:r>
        <w:t>( MDOF</w:t>
      </w:r>
      <w:proofErr w:type="gramEnd"/>
      <w:r>
        <w:t xml:space="preserve">-NES ) is composed of three series oscillators, which are coupled with the cylinder through linear springs, cubic springs and dampers. By constructing a three-dimensional two-way coupled fluid-structure interaction </w:t>
      </w:r>
      <w:proofErr w:type="gramStart"/>
      <w:r>
        <w:t>( FSI</w:t>
      </w:r>
      <w:proofErr w:type="gramEnd"/>
      <w:r>
        <w:t xml:space="preserve"> ) framework and combining computational fluid dynamics ( CFD ) simulation to analyze the lateral oscillation of the system, it is confirmed that the optimized PIP structure can effectively suppress VIV. Further parameter optimization, the intelligent design based on machine learning breaks through the bottleneck of multi-parameter coupling optimization with the help of machine learning algorithm, and realizes the personalized and accurate design of NES and PIP. For the PIP structure, it is necessary to deeply analyze the flow field interference and wave-current coupling mechanism of the multi-tube array, quantify the correlation between the gap flow field and the vortex shedding, and provide a theoretical basis for structural optimization.</w:t>
      </w:r>
    </w:p>
    <w:p w14:paraId="60AC01AF" w14:textId="77777777" w:rsidR="00A258E9" w:rsidRDefault="00A258E9" w:rsidP="00A258E9">
      <w:pPr>
        <w:pStyle w:val="Heading1"/>
        <w:ind w:firstLine="440"/>
        <w:jc w:val="left"/>
        <w:rPr>
          <w:rFonts w:ascii="Times New Roman" w:hAnsi="Times New Roman" w:cs="Times New Roman"/>
          <w:sz w:val="22"/>
          <w:szCs w:val="22"/>
        </w:rPr>
      </w:pPr>
    </w:p>
    <w:p w14:paraId="1B190CC3" w14:textId="255C4ABD" w:rsidR="00DB3F2B" w:rsidRPr="00A258E9" w:rsidRDefault="00DB3F2B" w:rsidP="00A258E9">
      <w:pPr>
        <w:pStyle w:val="Heading1"/>
        <w:ind w:firstLine="440"/>
        <w:jc w:val="left"/>
        <w:rPr>
          <w:rFonts w:ascii="Times New Roman" w:hAnsi="Times New Roman" w:cs="Times New Roman"/>
          <w:sz w:val="22"/>
          <w:szCs w:val="22"/>
        </w:rPr>
      </w:pPr>
      <w:r w:rsidRPr="00A258E9">
        <w:rPr>
          <w:rFonts w:ascii="Times New Roman" w:hAnsi="Times New Roman" w:cs="Times New Roman"/>
          <w:sz w:val="22"/>
          <w:szCs w:val="22"/>
        </w:rPr>
        <w:t xml:space="preserve">1. Introduction </w:t>
      </w:r>
    </w:p>
    <w:p w14:paraId="2B0B5654" w14:textId="77777777" w:rsidR="00DB3F2B" w:rsidRPr="00A258E9" w:rsidRDefault="00DB3F2B"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( 1</w:t>
      </w:r>
      <w:proofErr w:type="gramEnd"/>
      <w:r w:rsidRPr="00A258E9">
        <w:rPr>
          <w:rFonts w:ascii="Times New Roman" w:hAnsi="Times New Roman" w:cs="Times New Roman"/>
        </w:rPr>
        <w:t xml:space="preserve"> ) Research background and significance </w:t>
      </w:r>
    </w:p>
    <w:p w14:paraId="6B924320" w14:textId="7B91FF17"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Vortex-induced vibration, as a typical problem in the field of fluid-solid coupling, widely exists in engineering structures such as marine risers, bridge piers, and industrial pipelines</w:t>
      </w:r>
      <w:r w:rsidR="00A87969">
        <w:rPr>
          <w:rFonts w:ascii="Times New Roman" w:hAnsi="Times New Roman" w:cs="Times New Roman"/>
        </w:rPr>
        <w:t xml:space="preserve"> </w:t>
      </w:r>
      <w:r w:rsidR="00A87969" w:rsidRPr="00A87969">
        <w:rPr>
          <w:rFonts w:ascii="Times New Roman" w:hAnsi="Times New Roman" w:cs="Times New Roman"/>
        </w:rPr>
        <w:t>(</w:t>
      </w:r>
      <w:proofErr w:type="spellStart"/>
      <w:r w:rsidR="00A87969" w:rsidRPr="00A87969">
        <w:rPr>
          <w:rFonts w:ascii="Times New Roman" w:hAnsi="Times New Roman" w:cs="Times New Roman"/>
        </w:rPr>
        <w:t>Huera-Huarte</w:t>
      </w:r>
      <w:proofErr w:type="spellEnd"/>
      <w:r w:rsidR="00A87969" w:rsidRPr="00A87969">
        <w:rPr>
          <w:rFonts w:ascii="Times New Roman" w:hAnsi="Times New Roman" w:cs="Times New Roman"/>
        </w:rPr>
        <w:t>, 2024</w:t>
      </w:r>
      <w:r w:rsidR="00A87969">
        <w:rPr>
          <w:rFonts w:ascii="Times New Roman" w:hAnsi="Times New Roman" w:cs="Times New Roman"/>
        </w:rPr>
        <w:t xml:space="preserve">; </w:t>
      </w:r>
      <w:r w:rsidR="00A87969" w:rsidRPr="00A87969">
        <w:rPr>
          <w:rFonts w:ascii="Times New Roman" w:hAnsi="Times New Roman" w:cs="Times New Roman"/>
        </w:rPr>
        <w:t>Li et al., 2022</w:t>
      </w:r>
      <w:r w:rsidR="00A0590D">
        <w:rPr>
          <w:rFonts w:ascii="Times New Roman" w:hAnsi="Times New Roman" w:cs="Times New Roman"/>
        </w:rPr>
        <w:t xml:space="preserve">; </w:t>
      </w:r>
      <w:proofErr w:type="spellStart"/>
      <w:r w:rsidR="00A0590D" w:rsidRPr="00A0590D">
        <w:rPr>
          <w:rFonts w:ascii="Times New Roman" w:hAnsi="Times New Roman" w:cs="Times New Roman"/>
        </w:rPr>
        <w:t>Duranay</w:t>
      </w:r>
      <w:proofErr w:type="spellEnd"/>
      <w:r w:rsidR="00A0590D" w:rsidRPr="00A0590D">
        <w:rPr>
          <w:rFonts w:ascii="Times New Roman" w:hAnsi="Times New Roman" w:cs="Times New Roman"/>
        </w:rPr>
        <w:t xml:space="preserve"> et al., 2023</w:t>
      </w:r>
      <w:r w:rsidR="00A87969" w:rsidRPr="00A87969">
        <w:rPr>
          <w:rFonts w:ascii="Times New Roman" w:hAnsi="Times New Roman" w:cs="Times New Roman"/>
        </w:rPr>
        <w:t>)</w:t>
      </w:r>
      <w:r w:rsidRPr="00A258E9">
        <w:rPr>
          <w:rFonts w:ascii="Times New Roman" w:hAnsi="Times New Roman" w:cs="Times New Roman"/>
        </w:rPr>
        <w:t>. The core hazard is that the periodic fluid force caused by vortex shedding is coupled with structural resonance, which can easily lead to structural fatigue damage, shortened service life, and even safety accidents, such as excessive vortex-induced amplitude of bridges, fracture of marine risers, and pipeline leakage, which brings severe challenges to engineering safety and economic costs</w:t>
      </w:r>
      <w:r w:rsidR="00A0590D">
        <w:rPr>
          <w:rFonts w:ascii="Times New Roman" w:hAnsi="Times New Roman" w:cs="Times New Roman"/>
        </w:rPr>
        <w:t xml:space="preserve"> </w:t>
      </w:r>
      <w:r w:rsidR="00A0590D" w:rsidRPr="00A0590D">
        <w:rPr>
          <w:rFonts w:ascii="Times New Roman" w:hAnsi="Times New Roman" w:cs="Times New Roman"/>
        </w:rPr>
        <w:t>(</w:t>
      </w:r>
      <w:proofErr w:type="spellStart"/>
      <w:r w:rsidR="00A0590D" w:rsidRPr="00A0590D">
        <w:rPr>
          <w:rFonts w:ascii="Times New Roman" w:hAnsi="Times New Roman" w:cs="Times New Roman"/>
        </w:rPr>
        <w:t>Teimourian</w:t>
      </w:r>
      <w:proofErr w:type="spellEnd"/>
      <w:r w:rsidR="00A0590D" w:rsidRPr="00A0590D">
        <w:rPr>
          <w:rFonts w:ascii="Times New Roman" w:hAnsi="Times New Roman" w:cs="Times New Roman"/>
        </w:rPr>
        <w:t xml:space="preserve"> &amp; </w:t>
      </w:r>
      <w:proofErr w:type="spellStart"/>
      <w:r w:rsidR="00A0590D" w:rsidRPr="00A0590D">
        <w:rPr>
          <w:rFonts w:ascii="Times New Roman" w:hAnsi="Times New Roman" w:cs="Times New Roman"/>
        </w:rPr>
        <w:t>Teimourian</w:t>
      </w:r>
      <w:proofErr w:type="spellEnd"/>
      <w:r w:rsidR="00A0590D" w:rsidRPr="00A0590D">
        <w:rPr>
          <w:rFonts w:ascii="Times New Roman" w:hAnsi="Times New Roman" w:cs="Times New Roman"/>
        </w:rPr>
        <w:t>, 2021</w:t>
      </w:r>
      <w:r w:rsidR="00A0590D">
        <w:rPr>
          <w:rFonts w:ascii="Times New Roman" w:hAnsi="Times New Roman" w:cs="Times New Roman"/>
        </w:rPr>
        <w:t xml:space="preserve">; </w:t>
      </w:r>
      <w:r w:rsidR="00A0590D" w:rsidRPr="00A0590D">
        <w:rPr>
          <w:rFonts w:ascii="Times New Roman" w:hAnsi="Times New Roman" w:cs="Times New Roman"/>
        </w:rPr>
        <w:t>Zhao et al., 2023)</w:t>
      </w:r>
      <w:r w:rsidRPr="00A258E9">
        <w:rPr>
          <w:rFonts w:ascii="Times New Roman" w:hAnsi="Times New Roman" w:cs="Times New Roman"/>
        </w:rPr>
        <w:t>. Traditional vortex-induced vibration control methods such as linear dampers, active control devices, etc., or cannot respond to vibration in a wider frequency range due to limited broadband control capabilities, or the system is complex and costly, and it is difficult to meet the engineering requirements under complex conditions</w:t>
      </w:r>
      <w:r w:rsidR="00A0590D">
        <w:rPr>
          <w:rFonts w:ascii="Times New Roman" w:hAnsi="Times New Roman" w:cs="Times New Roman"/>
        </w:rPr>
        <w:t xml:space="preserve"> (</w:t>
      </w:r>
      <w:r w:rsidR="00A0590D" w:rsidRPr="00A0590D">
        <w:rPr>
          <w:rFonts w:ascii="Times New Roman" w:hAnsi="Times New Roman" w:cs="Times New Roman"/>
        </w:rPr>
        <w:t>Yan et al., 2025</w:t>
      </w:r>
      <w:r w:rsidR="00A0590D">
        <w:rPr>
          <w:rFonts w:ascii="Times New Roman" w:hAnsi="Times New Roman" w:cs="Times New Roman"/>
        </w:rPr>
        <w:t xml:space="preserve">; </w:t>
      </w:r>
      <w:r w:rsidR="00A0590D" w:rsidRPr="00A0590D">
        <w:rPr>
          <w:rFonts w:ascii="Times New Roman" w:hAnsi="Times New Roman" w:cs="Times New Roman"/>
        </w:rPr>
        <w:t>Zheng et al., 2021</w:t>
      </w:r>
      <w:r w:rsidR="00A0590D">
        <w:rPr>
          <w:rFonts w:ascii="Times New Roman" w:hAnsi="Times New Roman" w:cs="Times New Roman"/>
        </w:rPr>
        <w:t>)</w:t>
      </w:r>
      <w:r w:rsidRPr="00A258E9">
        <w:rPr>
          <w:rFonts w:ascii="Times New Roman" w:hAnsi="Times New Roman" w:cs="Times New Roman"/>
        </w:rPr>
        <w:t xml:space="preserve">. Efficient and stable passive control technology breakthroughs are urgently needed. With the characteristics of targeted energy transfer </w:t>
      </w:r>
      <w:proofErr w:type="gramStart"/>
      <w:r w:rsidRPr="00A258E9">
        <w:rPr>
          <w:rFonts w:ascii="Times New Roman" w:hAnsi="Times New Roman" w:cs="Times New Roman"/>
        </w:rPr>
        <w:t>( TET</w:t>
      </w:r>
      <w:proofErr w:type="gramEnd"/>
      <w:r w:rsidRPr="00A258E9">
        <w:rPr>
          <w:rFonts w:ascii="Times New Roman" w:hAnsi="Times New Roman" w:cs="Times New Roman"/>
        </w:rPr>
        <w:t xml:space="preserve"> ), linear energy sink ( NES ) can actively absorb and dissipate vortex-induced vibration energy through the coupling of nonlinear stiffness, damping element and main structure</w:t>
      </w:r>
      <w:r w:rsidR="00A0590D">
        <w:rPr>
          <w:rFonts w:ascii="Times New Roman" w:hAnsi="Times New Roman" w:cs="Times New Roman"/>
        </w:rPr>
        <w:t xml:space="preserve"> </w:t>
      </w:r>
      <w:r w:rsidR="00A0590D" w:rsidRPr="00A0590D">
        <w:rPr>
          <w:rFonts w:ascii="Times New Roman" w:hAnsi="Times New Roman" w:cs="Times New Roman"/>
        </w:rPr>
        <w:t>(</w:t>
      </w:r>
      <w:proofErr w:type="spellStart"/>
      <w:r w:rsidR="00A0590D" w:rsidRPr="00A0590D">
        <w:rPr>
          <w:rFonts w:ascii="Times New Roman" w:hAnsi="Times New Roman" w:cs="Times New Roman"/>
        </w:rPr>
        <w:t>Almazova</w:t>
      </w:r>
      <w:proofErr w:type="spellEnd"/>
      <w:r w:rsidR="00A0590D" w:rsidRPr="00A0590D">
        <w:rPr>
          <w:rFonts w:ascii="Times New Roman" w:hAnsi="Times New Roman" w:cs="Times New Roman"/>
        </w:rPr>
        <w:t xml:space="preserve"> et al., 2024</w:t>
      </w:r>
      <w:r w:rsidR="00A0590D">
        <w:rPr>
          <w:rFonts w:ascii="Times New Roman" w:hAnsi="Times New Roman" w:cs="Times New Roman"/>
        </w:rPr>
        <w:t xml:space="preserve">; </w:t>
      </w:r>
      <w:proofErr w:type="spellStart"/>
      <w:r w:rsidR="00A0590D" w:rsidRPr="00A0590D">
        <w:rPr>
          <w:rFonts w:ascii="Times New Roman" w:hAnsi="Times New Roman" w:cs="Times New Roman"/>
        </w:rPr>
        <w:t>Gzal</w:t>
      </w:r>
      <w:proofErr w:type="spellEnd"/>
      <w:r w:rsidR="00A0590D" w:rsidRPr="00A0590D">
        <w:rPr>
          <w:rFonts w:ascii="Times New Roman" w:hAnsi="Times New Roman" w:cs="Times New Roman"/>
        </w:rPr>
        <w:t xml:space="preserve"> et al., 2023</w:t>
      </w:r>
      <w:r w:rsidR="00A0590D">
        <w:rPr>
          <w:rFonts w:ascii="Times New Roman" w:hAnsi="Times New Roman" w:cs="Times New Roman"/>
        </w:rPr>
        <w:t xml:space="preserve">; </w:t>
      </w:r>
      <w:r w:rsidR="00562B08" w:rsidRPr="00562B08">
        <w:rPr>
          <w:rFonts w:ascii="Times New Roman" w:hAnsi="Times New Roman" w:cs="Times New Roman"/>
        </w:rPr>
        <w:t>Dutta et al., 2024</w:t>
      </w:r>
      <w:r w:rsidR="00A0590D" w:rsidRPr="00A0590D">
        <w:rPr>
          <w:rFonts w:ascii="Times New Roman" w:hAnsi="Times New Roman" w:cs="Times New Roman"/>
        </w:rPr>
        <w:t>)</w:t>
      </w:r>
      <w:r w:rsidRPr="00A258E9">
        <w:rPr>
          <w:rFonts w:ascii="Times New Roman" w:hAnsi="Times New Roman" w:cs="Times New Roman"/>
        </w:rPr>
        <w:t xml:space="preserve">. It has the advantages of simple structure, no external energy and wide frequency vibration, and has become the core research direction of vortex-induced vibration control. At present, the research on multi-degree-of-freedom NES, rotary NES, combined nonlinear damping NES and other configurations not only reveals the key laws of low linear stiffness coupling to improve the limit cycle vibration </w:t>
      </w:r>
      <w:proofErr w:type="gramStart"/>
      <w:r w:rsidRPr="00A258E9">
        <w:rPr>
          <w:rFonts w:ascii="Times New Roman" w:hAnsi="Times New Roman" w:cs="Times New Roman"/>
        </w:rPr>
        <w:t>( LCO</w:t>
      </w:r>
      <w:proofErr w:type="gramEnd"/>
      <w:r w:rsidRPr="00A258E9">
        <w:rPr>
          <w:rFonts w:ascii="Times New Roman" w:hAnsi="Times New Roman" w:cs="Times New Roman"/>
        </w:rPr>
        <w:t xml:space="preserve"> ) suppression effect, but also emphasizes the control response ( SMR ) to strengthen energy transfer</w:t>
      </w:r>
      <w:r w:rsidR="00A0590D">
        <w:rPr>
          <w:rFonts w:ascii="Times New Roman" w:hAnsi="Times New Roman" w:cs="Times New Roman"/>
        </w:rPr>
        <w:t xml:space="preserve"> (</w:t>
      </w:r>
      <w:r w:rsidR="00A0590D" w:rsidRPr="00A0590D">
        <w:rPr>
          <w:rFonts w:ascii="Times New Roman" w:hAnsi="Times New Roman" w:cs="Times New Roman"/>
        </w:rPr>
        <w:t>Wang et al., 2024</w:t>
      </w:r>
      <w:r w:rsidR="00A0590D">
        <w:rPr>
          <w:rFonts w:ascii="Times New Roman" w:hAnsi="Times New Roman" w:cs="Times New Roman"/>
        </w:rPr>
        <w:t>;</w:t>
      </w:r>
      <w:r w:rsidR="00A0590D" w:rsidRPr="00A0590D">
        <w:rPr>
          <w:rFonts w:ascii="Times New Roman" w:hAnsi="Times New Roman" w:cs="Times New Roman"/>
        </w:rPr>
        <w:t>Cui et al., 2024</w:t>
      </w:r>
      <w:r w:rsidR="00A0590D">
        <w:rPr>
          <w:rFonts w:ascii="Times New Roman" w:hAnsi="Times New Roman" w:cs="Times New Roman"/>
        </w:rPr>
        <w:t>)</w:t>
      </w:r>
      <w:r w:rsidRPr="00A258E9">
        <w:rPr>
          <w:rFonts w:ascii="Times New Roman" w:hAnsi="Times New Roman" w:cs="Times New Roman"/>
        </w:rPr>
        <w:t xml:space="preserve">. It also breaks through the limitations of traditional linear control and provides a new path for vortex-induced vibration control under complex working conditions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multi-degree-of-freedom coupling vibration and high Reynolds number flow field). </w:t>
      </w:r>
    </w:p>
    <w:p w14:paraId="3034810D" w14:textId="77777777" w:rsidR="00DB3F2B" w:rsidRPr="00A258E9" w:rsidRDefault="00DB3F2B"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( 2</w:t>
      </w:r>
      <w:proofErr w:type="gramEnd"/>
      <w:r w:rsidRPr="00A258E9">
        <w:rPr>
          <w:rFonts w:ascii="Times New Roman" w:hAnsi="Times New Roman" w:cs="Times New Roman"/>
        </w:rPr>
        <w:t xml:space="preserve"> ) Overview of research status </w:t>
      </w:r>
    </w:p>
    <w:p w14:paraId="0D540A46" w14:textId="06985DDB"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Many scholars have carried out research on vortex-induced vibration </w:t>
      </w:r>
      <w:proofErr w:type="gramStart"/>
      <w:r w:rsidRPr="00A258E9">
        <w:rPr>
          <w:rFonts w:ascii="Times New Roman" w:hAnsi="Times New Roman" w:cs="Times New Roman"/>
        </w:rPr>
        <w:t>( VIV</w:t>
      </w:r>
      <w:proofErr w:type="gramEnd"/>
      <w:r w:rsidRPr="00A258E9">
        <w:rPr>
          <w:rFonts w:ascii="Times New Roman" w:hAnsi="Times New Roman" w:cs="Times New Roman"/>
        </w:rPr>
        <w:t xml:space="preserve"> ) and structural vibration control for nonlinear energy sink ( NES ). Hamid </w:t>
      </w:r>
      <w:proofErr w:type="spellStart"/>
      <w:r w:rsidRPr="00A258E9">
        <w:rPr>
          <w:rFonts w:ascii="Times New Roman" w:hAnsi="Times New Roman" w:cs="Times New Roman"/>
        </w:rPr>
        <w:t>Matin</w:t>
      </w:r>
      <w:proofErr w:type="spellEnd"/>
      <w:r w:rsidRPr="00A258E9">
        <w:rPr>
          <w:rFonts w:ascii="Times New Roman" w:hAnsi="Times New Roman" w:cs="Times New Roman"/>
        </w:rPr>
        <w:t xml:space="preserve"> </w:t>
      </w:r>
      <w:proofErr w:type="spellStart"/>
      <w:r w:rsidRPr="00A258E9">
        <w:rPr>
          <w:rFonts w:ascii="Times New Roman" w:hAnsi="Times New Roman" w:cs="Times New Roman"/>
        </w:rPr>
        <w:t>Nikoo</w:t>
      </w:r>
      <w:proofErr w:type="spellEnd"/>
      <w:r w:rsidRPr="00A258E9">
        <w:rPr>
          <w:rFonts w:ascii="Times New Roman" w:hAnsi="Times New Roman" w:cs="Times New Roman"/>
        </w:rPr>
        <w:t xml:space="preserve"> and </w:t>
      </w:r>
      <w:proofErr w:type="spellStart"/>
      <w:r w:rsidRPr="00A258E9">
        <w:rPr>
          <w:rFonts w:ascii="Times New Roman" w:hAnsi="Times New Roman" w:cs="Times New Roman"/>
        </w:rPr>
        <w:t>Kaiming</w:t>
      </w:r>
      <w:proofErr w:type="spellEnd"/>
      <w:r w:rsidRPr="00A258E9">
        <w:rPr>
          <w:rFonts w:ascii="Times New Roman" w:hAnsi="Times New Roman" w:cs="Times New Roman"/>
        </w:rPr>
        <w:t xml:space="preserve"> Bi constructed a three-dimensional two-way coupling fluid-solid coupling framework. Through CFD simulation, it was confirmed that the optimized pipe-in-pipe system can significantly suppress VIV and provide an integrated scheme of thermal insulation and vibration reduction for marine engineering. </w:t>
      </w:r>
      <w:proofErr w:type="spellStart"/>
      <w:r w:rsidRPr="00A258E9">
        <w:rPr>
          <w:rFonts w:ascii="Times New Roman" w:hAnsi="Times New Roman" w:cs="Times New Roman"/>
        </w:rPr>
        <w:t>Flávio</w:t>
      </w:r>
      <w:proofErr w:type="spellEnd"/>
      <w:r w:rsidRPr="00A258E9">
        <w:rPr>
          <w:rFonts w:ascii="Times New Roman" w:hAnsi="Times New Roman" w:cs="Times New Roman"/>
        </w:rPr>
        <w:t xml:space="preserve"> D. Marques et </w:t>
      </w:r>
      <w:proofErr w:type="spellStart"/>
      <w:proofErr w:type="gramStart"/>
      <w:r w:rsidRPr="00A258E9">
        <w:rPr>
          <w:rFonts w:ascii="Times New Roman" w:hAnsi="Times New Roman" w:cs="Times New Roman"/>
        </w:rPr>
        <w:t>al.analyzed</w:t>
      </w:r>
      <w:proofErr w:type="spellEnd"/>
      <w:proofErr w:type="gramEnd"/>
      <w:r w:rsidRPr="00A258E9">
        <w:rPr>
          <w:rFonts w:ascii="Times New Roman" w:hAnsi="Times New Roman" w:cs="Times New Roman"/>
        </w:rPr>
        <w:t xml:space="preserve"> the multi-degree-of-freedom NES model under different stiffness coupling scenarios. Through numerical simulation and comparison, it is shown that the reasonable design of multi-degree-of-freedom NES parameters can effectively control the amplitude, and the low linear stiffness coupling effect is better, and its performance is better than the classical I-type NES. In order to explore the necessary and sufficient conditions of the stressing system response, Chai and Li et </w:t>
      </w:r>
      <w:proofErr w:type="spellStart"/>
      <w:proofErr w:type="gramStart"/>
      <w:r w:rsidRPr="00A258E9">
        <w:rPr>
          <w:rFonts w:ascii="Times New Roman" w:hAnsi="Times New Roman" w:cs="Times New Roman"/>
        </w:rPr>
        <w:t>al.derived</w:t>
      </w:r>
      <w:proofErr w:type="spellEnd"/>
      <w:proofErr w:type="gramEnd"/>
      <w:r w:rsidRPr="00A258E9">
        <w:rPr>
          <w:rFonts w:ascii="Times New Roman" w:hAnsi="Times New Roman" w:cs="Times New Roman"/>
        </w:rPr>
        <w:t xml:space="preserve"> the slow-varying dynamic flow equation. </w:t>
      </w:r>
      <w:r w:rsidRPr="00A258E9">
        <w:rPr>
          <w:rFonts w:ascii="Times New Roman" w:hAnsi="Times New Roman" w:cs="Times New Roman"/>
        </w:rPr>
        <w:lastRenderedPageBreak/>
        <w:t xml:space="preserve">Combined with the multi-scale method and experiment, it is revealed that the stressing system response is caused by the saddle-node bifurcation of the limit cycle, and the two conditions for the stable stressing system response of the system are clarified. For the NES system with combined nonlinear damping, the slow-varying equation is derived by Zhang Yun and Kong </w:t>
      </w:r>
      <w:proofErr w:type="spellStart"/>
      <w:r w:rsidRPr="00A258E9">
        <w:rPr>
          <w:rFonts w:ascii="Times New Roman" w:hAnsi="Times New Roman" w:cs="Times New Roman"/>
        </w:rPr>
        <w:t>Xianren</w:t>
      </w:r>
      <w:proofErr w:type="spellEnd"/>
      <w:r w:rsidRPr="00A258E9">
        <w:rPr>
          <w:rFonts w:ascii="Times New Roman" w:hAnsi="Times New Roman" w:cs="Times New Roman"/>
        </w:rPr>
        <w:t xml:space="preserve">. By using the multi-scale method and one-dimensional mapping analysis, the influence of the system response condition and the amplitude of the external excitation is clearly emphasized. Zhang </w:t>
      </w:r>
      <w:proofErr w:type="spellStart"/>
      <w:r w:rsidRPr="00A258E9">
        <w:rPr>
          <w:rFonts w:ascii="Times New Roman" w:hAnsi="Times New Roman" w:cs="Times New Roman"/>
        </w:rPr>
        <w:t>Mingjie</w:t>
      </w:r>
      <w:proofErr w:type="spellEnd"/>
      <w:r w:rsidRPr="00A258E9">
        <w:rPr>
          <w:rFonts w:ascii="Times New Roman" w:hAnsi="Times New Roman" w:cs="Times New Roman"/>
        </w:rPr>
        <w:t xml:space="preserve"> and Dong </w:t>
      </w:r>
      <w:proofErr w:type="spellStart"/>
      <w:r w:rsidRPr="00A258E9">
        <w:rPr>
          <w:rFonts w:ascii="Times New Roman" w:hAnsi="Times New Roman" w:cs="Times New Roman"/>
        </w:rPr>
        <w:t>Wenxiao</w:t>
      </w:r>
      <w:proofErr w:type="spellEnd"/>
      <w:r w:rsidRPr="00A258E9">
        <w:rPr>
          <w:rFonts w:ascii="Times New Roman" w:hAnsi="Times New Roman" w:cs="Times New Roman"/>
        </w:rPr>
        <w:t xml:space="preserve"> explored the control of vertical vibration by cubic stiffness NES. The coupling model was constructed and the nonlinear Newmark method was used. It was found that the influence of NES weight on the control performance was related to the natural frequency of the main structure, and showed different characteristics at different frequencies. Dong Yang Chen and Chao </w:t>
      </w:r>
      <w:proofErr w:type="spellStart"/>
      <w:r w:rsidRPr="00A258E9">
        <w:rPr>
          <w:rFonts w:ascii="Times New Roman" w:hAnsi="Times New Roman" w:cs="Times New Roman"/>
        </w:rPr>
        <w:t>Jie</w:t>
      </w:r>
      <w:proofErr w:type="spellEnd"/>
      <w:r w:rsidRPr="00A258E9">
        <w:rPr>
          <w:rFonts w:ascii="Times New Roman" w:hAnsi="Times New Roman" w:cs="Times New Roman"/>
        </w:rPr>
        <w:t xml:space="preserve"> Gu used the two-degree-of-freedom wake oscillator model to study the rotating NES. The results show that it has better VIV suppression effect on large mass ratio cylinders, and higher mass ratio and rotation radius can improve performance. The influence of damping parameters is related to the mass ratio of the cylinder.</w:t>
      </w:r>
    </w:p>
    <w:p w14:paraId="74867C8E" w14:textId="77777777" w:rsidR="00DB3F2B" w:rsidRPr="00A258E9" w:rsidRDefault="00DB3F2B" w:rsidP="00A258E9">
      <w:pPr>
        <w:pStyle w:val="Heading1"/>
        <w:ind w:firstLine="960"/>
        <w:jc w:val="left"/>
        <w:rPr>
          <w:rFonts w:ascii="Times New Roman" w:hAnsi="Times New Roman" w:cs="Times New Roman"/>
        </w:rPr>
      </w:pPr>
      <w:r w:rsidRPr="00A258E9">
        <w:rPr>
          <w:rFonts w:ascii="Times New Roman" w:hAnsi="Times New Roman" w:cs="Times New Roman"/>
        </w:rPr>
        <w:t xml:space="preserve">2.Vortex-induced vibration and control basic theory </w:t>
      </w:r>
    </w:p>
    <w:p w14:paraId="66655296" w14:textId="77777777" w:rsidR="00DB3F2B" w:rsidRPr="00A258E9" w:rsidRDefault="00DB3F2B"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( 1</w:t>
      </w:r>
      <w:proofErr w:type="gramEnd"/>
      <w:r w:rsidRPr="00A258E9">
        <w:rPr>
          <w:rFonts w:ascii="Times New Roman" w:hAnsi="Times New Roman" w:cs="Times New Roman"/>
        </w:rPr>
        <w:t xml:space="preserve"> ) Core characteristics of vortex-induced vibration </w:t>
      </w:r>
    </w:p>
    <w:p w14:paraId="581E4033" w14:textId="0942E1A0"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Vortex-induced vibration is a typical fluid-solid coupling phenomenon caused by the interaction between fluid and elastic structure. It is widely found in marine engineering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risers and jackets ), bridge engineering ( such as stay cables ) and aerospace fields</w:t>
      </w:r>
      <w:r w:rsidR="00562B08">
        <w:rPr>
          <w:rFonts w:ascii="Times New Roman" w:hAnsi="Times New Roman" w:cs="Times New Roman"/>
        </w:rPr>
        <w:t xml:space="preserve"> </w:t>
      </w:r>
      <w:r w:rsidR="00562B08" w:rsidRPr="00562B08">
        <w:rPr>
          <w:rFonts w:ascii="Times New Roman" w:hAnsi="Times New Roman" w:cs="Times New Roman"/>
        </w:rPr>
        <w:t>(</w:t>
      </w:r>
      <w:proofErr w:type="spellStart"/>
      <w:r w:rsidR="00562B08" w:rsidRPr="00562B08">
        <w:rPr>
          <w:rFonts w:ascii="Times New Roman" w:hAnsi="Times New Roman" w:cs="Times New Roman"/>
        </w:rPr>
        <w:t>Filabi</w:t>
      </w:r>
      <w:proofErr w:type="spellEnd"/>
      <w:r w:rsidR="00562B08" w:rsidRPr="00562B08">
        <w:rPr>
          <w:rFonts w:ascii="Times New Roman" w:hAnsi="Times New Roman" w:cs="Times New Roman"/>
        </w:rPr>
        <w:t xml:space="preserve"> et al., 2024</w:t>
      </w:r>
      <w:r w:rsidR="00562B08">
        <w:rPr>
          <w:rFonts w:ascii="Times New Roman" w:hAnsi="Times New Roman" w:cs="Times New Roman"/>
        </w:rPr>
        <w:t xml:space="preserve">; </w:t>
      </w:r>
      <w:r w:rsidR="00562B08" w:rsidRPr="00562B08">
        <w:rPr>
          <w:rFonts w:ascii="Times New Roman" w:hAnsi="Times New Roman" w:cs="Times New Roman"/>
        </w:rPr>
        <w:t>Guo &amp; Liu, 2023)</w:t>
      </w:r>
      <w:r w:rsidRPr="00A258E9">
        <w:rPr>
          <w:rFonts w:ascii="Times New Roman" w:hAnsi="Times New Roman" w:cs="Times New Roman"/>
        </w:rPr>
        <w:t xml:space="preserve">. Its characteristics include vortex shedding mechanism, fluid-solid coupling effect, vibration response evaluation index and so on. </w:t>
      </w:r>
    </w:p>
    <w:p w14:paraId="4D0C49EE" w14:textId="1B91BA19"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Vortex shedding is a physical process in which alternating vortices are formed due to boundary layer separation and fall off from both sides of the structure when the fluid bypasses a bluff body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a cylinder or a square cylinder ). Its shape and frequency characteristics are directly controlled by Reynolds number, which is the root cause of structural vibration. The Reynolds number is a dimensionless number </w:t>
      </w:r>
      <w:proofErr w:type="gramStart"/>
      <w:r w:rsidRPr="00A258E9">
        <w:rPr>
          <w:rFonts w:ascii="Times New Roman" w:hAnsi="Times New Roman" w:cs="Times New Roman"/>
        </w:rPr>
        <w:t>( Re</w:t>
      </w:r>
      <w:proofErr w:type="gramEnd"/>
      <w:r w:rsidRPr="00A258E9">
        <w:rPr>
          <w:rFonts w:ascii="Times New Roman" w:hAnsi="Times New Roman" w:cs="Times New Roman"/>
        </w:rPr>
        <w:t xml:space="preserve"> = </w:t>
      </w:r>
      <w:proofErr w:type="spellStart"/>
      <w:r w:rsidRPr="00A258E9">
        <w:rPr>
          <w:rFonts w:ascii="Times New Roman" w:hAnsi="Times New Roman" w:cs="Times New Roman"/>
        </w:rPr>
        <w:t>ρvD</w:t>
      </w:r>
      <w:proofErr w:type="spellEnd"/>
      <w:r w:rsidRPr="00A258E9">
        <w:rPr>
          <w:rFonts w:ascii="Times New Roman" w:hAnsi="Times New Roman" w:cs="Times New Roman"/>
        </w:rPr>
        <w:t xml:space="preserve"> / μ ) that characterizes the ratio of fluid inertia force to viscous force, and its value determines the mode and stability of vortex shedding.</w:t>
      </w:r>
    </w:p>
    <w:p w14:paraId="4BEFA161" w14:textId="77777777"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The fluid-solid coupling effect can be seen as a two-way coupling relationship, that is, the two-way coupling relationship between fluid-structure and structure-fluid. </w:t>
      </w:r>
    </w:p>
    <w:p w14:paraId="16D89769" w14:textId="430EED7D"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The fluid-structure coupling refers to the periodic lateral lift </w:t>
      </w:r>
      <w:proofErr w:type="gramStart"/>
      <w:r w:rsidRPr="00A258E9">
        <w:rPr>
          <w:rFonts w:ascii="Times New Roman" w:hAnsi="Times New Roman" w:cs="Times New Roman"/>
        </w:rPr>
        <w:t>( perpendicular</w:t>
      </w:r>
      <w:proofErr w:type="gramEnd"/>
      <w:r w:rsidRPr="00A258E9">
        <w:rPr>
          <w:rFonts w:ascii="Times New Roman" w:hAnsi="Times New Roman" w:cs="Times New Roman"/>
        </w:rPr>
        <w:t xml:space="preserve"> to the incoming flow direction ) and longitudinal resistance ( parallel to the incoming flow direction ) applied to the structure by the alternately shedding vortex. The lift is the main load driving the lateral vibration of the structure, and the resistance mainly causes the longitudinal vibration or additional damping of the structure. Structure-fluid coupling refers to the vibration of the structure under the action of vortex-induced force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the lateral oscillation of the cylinder ), which will change the fluid velocity distribution on the surface and the separation position of the boundary layer, and </w:t>
      </w:r>
      <w:r w:rsidRPr="00A258E9">
        <w:rPr>
          <w:rFonts w:ascii="Times New Roman" w:hAnsi="Times New Roman" w:cs="Times New Roman"/>
        </w:rPr>
        <w:lastRenderedPageBreak/>
        <w:t>then adjust the shedding frequency, strength and phase of the vortex. This ' reaction of structural vibration to flow field ' is the key to distinguish vortex-induced vibration from pure fluid motion.</w:t>
      </w:r>
    </w:p>
    <w:p w14:paraId="720BF499" w14:textId="77777777"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In order to evaluate the damage degree and control effect of vortex-induced vibration on the structure, it is necessary to quantify the vibration response through a series of key parameters. The core indicators can be divided into two </w:t>
      </w:r>
      <w:proofErr w:type="gramStart"/>
      <w:r w:rsidRPr="00A258E9">
        <w:rPr>
          <w:rFonts w:ascii="Times New Roman" w:hAnsi="Times New Roman" w:cs="Times New Roman"/>
        </w:rPr>
        <w:t>categories :</w:t>
      </w:r>
      <w:proofErr w:type="gramEnd"/>
      <w:r w:rsidRPr="00A258E9">
        <w:rPr>
          <w:rFonts w:ascii="Times New Roman" w:hAnsi="Times New Roman" w:cs="Times New Roman"/>
        </w:rPr>
        <w:t xml:space="preserve"> ' direct response indicator ' and ' indirect hazard indicator '. The most intuitive indicator usually focuses on the lateral amplitude </w:t>
      </w:r>
      <w:proofErr w:type="gramStart"/>
      <w:r w:rsidRPr="00A258E9">
        <w:rPr>
          <w:rFonts w:ascii="Times New Roman" w:hAnsi="Times New Roman" w:cs="Times New Roman"/>
        </w:rPr>
        <w:t>( perpendicular</w:t>
      </w:r>
      <w:proofErr w:type="gramEnd"/>
      <w:r w:rsidRPr="00A258E9">
        <w:rPr>
          <w:rFonts w:ascii="Times New Roman" w:hAnsi="Times New Roman" w:cs="Times New Roman"/>
        </w:rPr>
        <w:t xml:space="preserve"> to the direction of the incoming flow, because the lateral vibration is more intense ), and is commonly expressed as the ratio of the amplitude to the structural feature size ( A / D ) ' ( dimensionless, easy to compare different size structures ). For example, if the A / D value of the marine riser exceeds 0.1, it is necessary to be alert to the risk of fatigue. </w:t>
      </w:r>
    </w:p>
    <w:p w14:paraId="4FB37649" w14:textId="77777777" w:rsidR="00DB3F2B" w:rsidRPr="00A258E9" w:rsidRDefault="00DB3F2B"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( 2</w:t>
      </w:r>
      <w:proofErr w:type="gramEnd"/>
      <w:r w:rsidRPr="00A258E9">
        <w:rPr>
          <w:rFonts w:ascii="Times New Roman" w:hAnsi="Times New Roman" w:cs="Times New Roman"/>
        </w:rPr>
        <w:t xml:space="preserve"> ) Nonlinear energy well control principle </w:t>
      </w:r>
    </w:p>
    <w:p w14:paraId="3772F9CB" w14:textId="32CDAD28"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The nonlinear energy sink is mainly composed of a mass block, a nonlinear stiffness element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a spring with cubic stiffness characteristics, whose elastic force is related to the third power of the deformation ) and a damping element ( such as a combination of nonlinear damping, combined with viscous damping, Coulomb damping and other damping forms ). These components cooperate with each other and are coupled with the main vibration structure to provide a basis for subsequent energy transfer and dissipation.</w:t>
      </w:r>
    </w:p>
    <w:tbl>
      <w:tblPr>
        <w:tblW w:w="5000" w:type="pct"/>
        <w:tblLook w:val="04A0" w:firstRow="1" w:lastRow="0" w:firstColumn="1" w:lastColumn="0" w:noHBand="0" w:noVBand="1"/>
      </w:tblPr>
      <w:tblGrid>
        <w:gridCol w:w="3068"/>
        <w:gridCol w:w="2634"/>
        <w:gridCol w:w="2604"/>
      </w:tblGrid>
      <w:tr w:rsidR="006E3B29" w:rsidRPr="00A258E9" w14:paraId="12F0656F" w14:textId="77777777" w:rsidTr="006E3B29">
        <w:trPr>
          <w:trHeight w:val="2660"/>
        </w:trPr>
        <w:tc>
          <w:tcPr>
            <w:tcW w:w="1908" w:type="pct"/>
          </w:tcPr>
          <w:p w14:paraId="504795A9" w14:textId="7CF2116C"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fldChar w:fldCharType="begin"/>
            </w:r>
            <w:r w:rsidRPr="00A258E9">
              <w:rPr>
                <w:rFonts w:ascii="Times New Roman" w:hAnsi="Times New Roman" w:cs="Times New Roman"/>
              </w:rPr>
              <w:instrText xml:space="preserve"> INCLUDEPICTURE "https://lxxb.cstam.org.cn/fileLXXB/journal/article/lxxb/2022/9/lxxb2022-193-1_mini.jpg" \* MERGEFORMATINET </w:instrText>
            </w:r>
            <w:r w:rsidRPr="00A258E9">
              <w:rPr>
                <w:rFonts w:ascii="Times New Roman" w:hAnsi="Times New Roman" w:cs="Times New Roman"/>
              </w:rPr>
              <w:fldChar w:fldCharType="separate"/>
            </w:r>
            <w:r w:rsidRPr="00A258E9">
              <w:rPr>
                <w:rFonts w:ascii="Times New Roman" w:hAnsi="Times New Roman" w:cs="Times New Roman"/>
              </w:rPr>
              <w:fldChar w:fldCharType="begin"/>
            </w:r>
            <w:r w:rsidRPr="00A258E9">
              <w:rPr>
                <w:rFonts w:ascii="Times New Roman" w:hAnsi="Times New Roman" w:cs="Times New Roman"/>
              </w:rPr>
              <w:instrText xml:space="preserve"> INCLUDEPICTURE  "https://lxxb.cstam.org.cn/fileLXXB/journal/article/lxxb/2022/9/lxxb2022-193-1_mini.jpg" \* MERGEFORMATINET </w:instrText>
            </w:r>
            <w:r w:rsidRPr="00A258E9">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"https://lxxb.cstam.org.cn/fileLXXB/journal/article/lxxb/2022/9/lxxb2022-193-1_mini.jpg" \* MERGEFORMATINET </w:instrText>
            </w:r>
            <w:r>
              <w:rPr>
                <w:rFonts w:ascii="Times New Roman" w:hAnsi="Times New Roman" w:cs="Times New Roman"/>
              </w:rPr>
              <w:fldChar w:fldCharType="separate"/>
            </w:r>
            <w:r w:rsidR="00B904EE">
              <w:rPr>
                <w:rFonts w:ascii="Times New Roman" w:hAnsi="Times New Roman" w:cs="Times New Roman"/>
              </w:rPr>
              <w:fldChar w:fldCharType="begin"/>
            </w:r>
            <w:r w:rsidR="00B904EE">
              <w:rPr>
                <w:rFonts w:ascii="Times New Roman" w:hAnsi="Times New Roman" w:cs="Times New Roman"/>
              </w:rPr>
              <w:instrText xml:space="preserve"> </w:instrText>
            </w:r>
            <w:r w:rsidR="00B904EE">
              <w:rPr>
                <w:rFonts w:ascii="Times New Roman" w:hAnsi="Times New Roman" w:cs="Times New Roman"/>
              </w:rPr>
              <w:instrText>INCLUDEPICTURE  "https://lxxb.cstam.org.cn/fileLXXB/journal/article/lxxb/2022/9/lx</w:instrText>
            </w:r>
            <w:r w:rsidR="00B904EE">
              <w:rPr>
                <w:rFonts w:ascii="Times New Roman" w:hAnsi="Times New Roman" w:cs="Times New Roman"/>
              </w:rPr>
              <w:instrText>xb2022-193-1_mini.jpg" \* MERGEFORMATINET</w:instrText>
            </w:r>
            <w:r w:rsidR="00B904EE">
              <w:rPr>
                <w:rFonts w:ascii="Times New Roman" w:hAnsi="Times New Roman" w:cs="Times New Roman"/>
              </w:rPr>
              <w:instrText xml:space="preserve"> </w:instrText>
            </w:r>
            <w:r w:rsidR="00B904EE">
              <w:rPr>
                <w:rFonts w:ascii="Times New Roman" w:hAnsi="Times New Roman" w:cs="Times New Roman"/>
              </w:rPr>
              <w:fldChar w:fldCharType="separate"/>
            </w:r>
            <w:r w:rsidR="008B19E2">
              <w:rPr>
                <w:rFonts w:ascii="Times New Roman" w:hAnsi="Times New Roman" w:cs="Times New Roman"/>
              </w:rPr>
              <w:pict w14:anchorId="2F52F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简谐激励下黏弹性非线性能量阱的研究" style="width:123.9pt;height:137.75pt">
                  <v:imagedata r:id="rId6" r:href="rId7" cropleft="11305f" cropright="7419f"/>
                </v:shape>
              </w:pict>
            </w:r>
            <w:r w:rsidR="00B904EE">
              <w:rPr>
                <w:rFonts w:ascii="Times New Roman" w:hAnsi="Times New Roman" w:cs="Times New Roman"/>
              </w:rPr>
              <w:fldChar w:fldCharType="end"/>
            </w:r>
            <w:r>
              <w:rPr>
                <w:rFonts w:ascii="Times New Roman" w:hAnsi="Times New Roman" w:cs="Times New Roman"/>
              </w:rPr>
              <w:fldChar w:fldCharType="end"/>
            </w:r>
            <w:r w:rsidRPr="00A258E9">
              <w:rPr>
                <w:rFonts w:ascii="Times New Roman" w:hAnsi="Times New Roman" w:cs="Times New Roman"/>
              </w:rPr>
              <w:fldChar w:fldCharType="end"/>
            </w:r>
            <w:r w:rsidRPr="00A258E9">
              <w:rPr>
                <w:rFonts w:ascii="Times New Roman" w:hAnsi="Times New Roman" w:cs="Times New Roman"/>
              </w:rPr>
              <w:fldChar w:fldCharType="end"/>
            </w:r>
          </w:p>
        </w:tc>
        <w:tc>
          <w:tcPr>
            <w:tcW w:w="1555" w:type="pct"/>
          </w:tcPr>
          <w:p w14:paraId="65454504" w14:textId="42C0328F" w:rsidR="00DB3F2B" w:rsidRPr="00A258E9" w:rsidRDefault="00DB3F2B" w:rsidP="00A258E9">
            <w:pPr>
              <w:ind w:firstLineChars="0" w:firstLine="0"/>
              <w:jc w:val="left"/>
              <w:rPr>
                <w:rFonts w:ascii="Times New Roman" w:hAnsi="Times New Roman" w:cs="Times New Roman"/>
              </w:rPr>
            </w:pPr>
            <w:r w:rsidRPr="00A258E9">
              <w:rPr>
                <w:rFonts w:ascii="Times New Roman" w:hAnsi="Times New Roman" w:cs="Times New Roman"/>
                <w:noProof/>
              </w:rPr>
              <w:drawing>
                <wp:inline distT="0" distB="0" distL="0" distR="0" wp14:anchorId="46A9947A" wp14:editId="099BC4B4">
                  <wp:extent cx="1552575" cy="1609090"/>
                  <wp:effectExtent l="0" t="0" r="9525" b="0"/>
                  <wp:docPr id="14694349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r="13519"/>
                          <a:stretch>
                            <a:fillRect/>
                          </a:stretch>
                        </pic:blipFill>
                        <pic:spPr bwMode="auto">
                          <a:xfrm>
                            <a:off x="0" y="0"/>
                            <a:ext cx="1552575" cy="1609090"/>
                          </a:xfrm>
                          <a:prstGeom prst="rect">
                            <a:avLst/>
                          </a:prstGeom>
                          <a:noFill/>
                        </pic:spPr>
                      </pic:pic>
                    </a:graphicData>
                  </a:graphic>
                </wp:inline>
              </w:drawing>
            </w:r>
          </w:p>
        </w:tc>
        <w:tc>
          <w:tcPr>
            <w:tcW w:w="1537" w:type="pct"/>
          </w:tcPr>
          <w:p w14:paraId="2D759561" w14:textId="21AD0427"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noProof/>
              </w:rPr>
              <w:drawing>
                <wp:anchor distT="0" distB="0" distL="114300" distR="114300" simplePos="0" relativeHeight="251658240" behindDoc="0" locked="0" layoutInCell="1" allowOverlap="1" wp14:anchorId="72B1F00C" wp14:editId="507CD4C3">
                  <wp:simplePos x="0" y="0"/>
                  <wp:positionH relativeFrom="column">
                    <wp:posOffset>10160</wp:posOffset>
                  </wp:positionH>
                  <wp:positionV relativeFrom="paragraph">
                    <wp:posOffset>76200</wp:posOffset>
                  </wp:positionV>
                  <wp:extent cx="1540800" cy="1627200"/>
                  <wp:effectExtent l="0" t="0" r="2540" b="0"/>
                  <wp:wrapTopAndBottom/>
                  <wp:docPr id="10263407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0800" cy="1627200"/>
                          </a:xfrm>
                          <a:prstGeom prst="rect">
                            <a:avLst/>
                          </a:prstGeom>
                          <a:noFill/>
                        </pic:spPr>
                      </pic:pic>
                    </a:graphicData>
                  </a:graphic>
                  <wp14:sizeRelH relativeFrom="margin">
                    <wp14:pctWidth>0</wp14:pctWidth>
                  </wp14:sizeRelH>
                  <wp14:sizeRelV relativeFrom="margin">
                    <wp14:pctHeight>0</wp14:pctHeight>
                  </wp14:sizeRelV>
                </wp:anchor>
              </w:drawing>
            </w:r>
          </w:p>
        </w:tc>
      </w:tr>
      <w:tr w:rsidR="006E3B29" w:rsidRPr="00A258E9" w14:paraId="315C191C" w14:textId="77777777" w:rsidTr="006E3B29">
        <w:trPr>
          <w:trHeight w:val="273"/>
        </w:trPr>
        <w:tc>
          <w:tcPr>
            <w:tcW w:w="1908" w:type="pct"/>
          </w:tcPr>
          <w:p w14:paraId="2B7019D5" w14:textId="4EFC075B"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Fig.1 Viscoelastic NES diagram</w:t>
            </w:r>
          </w:p>
        </w:tc>
        <w:tc>
          <w:tcPr>
            <w:tcW w:w="1555" w:type="pct"/>
          </w:tcPr>
          <w:p w14:paraId="069BD74D" w14:textId="3AC9427E"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Fig 2 Double-ring NES schematic diagram</w:t>
            </w:r>
          </w:p>
        </w:tc>
        <w:tc>
          <w:tcPr>
            <w:tcW w:w="1537" w:type="pct"/>
          </w:tcPr>
          <w:p w14:paraId="239F4D10" w14:textId="260F6D27"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Fig 3 Eccentric NES schematic diagram</w:t>
            </w:r>
          </w:p>
        </w:tc>
      </w:tr>
    </w:tbl>
    <w:p w14:paraId="14290CB9" w14:textId="554B97CE"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When the main structure vibrates, NES forms a nonlinear coupling relationship with the main structure by means of its own nonlinear stiffness and damping elements. In this process, NES can accurately obtain vibration energy from the main structure. Specifically, the nonlinear stiffness enables NES to generate energy interaction with the main structure in a wide frequency range, while the damping element is responsible for dissipating the absorbed energy in the form of heat energy, so as to suppress the vibration of the main structure. Its energy response mode can be divided into emphasis response and quasi-periodic response. When the system meets certain conditions, there will be an emphasis response. At this time, NES can absorb a large amount of vibration energy from the main structure in a short time. This characteristic greatly improves the efficiency of energy dissipation and can quickly reduce the vibration amplitude of the main structure. When the parameter matching between the NES and the main structure is in a specific range, a quasi-periodic response will be generated. In the quasi-periodic response state, the energy transfer process is more continuous and stable, which can continuously absorb and dissipate energy from the main structure, further enhance the suppression effect on the vibration of the main </w:t>
      </w:r>
      <w:r w:rsidRPr="00A258E9">
        <w:rPr>
          <w:rFonts w:ascii="Times New Roman" w:hAnsi="Times New Roman" w:cs="Times New Roman"/>
        </w:rPr>
        <w:lastRenderedPageBreak/>
        <w:t>structure, and keep the vibration of the main structure at a low level.</w:t>
      </w:r>
    </w:p>
    <w:p w14:paraId="7B4979A6" w14:textId="77777777" w:rsidR="00DB3F2B" w:rsidRPr="00A258E9" w:rsidRDefault="00DB3F2B" w:rsidP="00A258E9">
      <w:pPr>
        <w:pStyle w:val="Heading1"/>
        <w:ind w:firstLine="960"/>
        <w:jc w:val="left"/>
        <w:rPr>
          <w:rFonts w:ascii="Times New Roman" w:hAnsi="Times New Roman" w:cs="Times New Roman"/>
        </w:rPr>
      </w:pPr>
      <w:r w:rsidRPr="00A258E9">
        <w:rPr>
          <w:rFonts w:ascii="Times New Roman" w:hAnsi="Times New Roman" w:cs="Times New Roman"/>
        </w:rPr>
        <w:t xml:space="preserve">3.Research progress of nonlinear energy sink in vortex-induced vibration control </w:t>
      </w:r>
    </w:p>
    <w:p w14:paraId="4CCCC266" w14:textId="77777777" w:rsidR="00DB3F2B" w:rsidRPr="00A258E9" w:rsidRDefault="00DB3F2B"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( 1</w:t>
      </w:r>
      <w:proofErr w:type="gramEnd"/>
      <w:r w:rsidRPr="00A258E9">
        <w:rPr>
          <w:rFonts w:ascii="Times New Roman" w:hAnsi="Times New Roman" w:cs="Times New Roman"/>
        </w:rPr>
        <w:t xml:space="preserve"> ) VIV control of multi-degree-of-freedom nonlinear energy sink ( MDOF-NES ) </w:t>
      </w:r>
    </w:p>
    <w:p w14:paraId="5608A7C0" w14:textId="664AAEE0" w:rsidR="00DB3F2B" w:rsidRPr="00A258E9" w:rsidRDefault="00DB3F2B" w:rsidP="00A258E9">
      <w:pPr>
        <w:ind w:firstLine="420"/>
        <w:jc w:val="left"/>
        <w:rPr>
          <w:rFonts w:ascii="Times New Roman" w:hAnsi="Times New Roman" w:cs="Times New Roman"/>
        </w:rPr>
      </w:pPr>
      <w:proofErr w:type="spellStart"/>
      <w:r w:rsidRPr="00A258E9">
        <w:rPr>
          <w:rFonts w:ascii="Times New Roman" w:hAnsi="Times New Roman" w:cs="Times New Roman"/>
        </w:rPr>
        <w:t>Flávio</w:t>
      </w:r>
      <w:proofErr w:type="spellEnd"/>
      <w:r w:rsidRPr="00A258E9">
        <w:rPr>
          <w:rFonts w:ascii="Times New Roman" w:hAnsi="Times New Roman" w:cs="Times New Roman"/>
        </w:rPr>
        <w:t xml:space="preserve"> D. Marques et </w:t>
      </w:r>
      <w:proofErr w:type="spellStart"/>
      <w:proofErr w:type="gramStart"/>
      <w:r w:rsidRPr="00A258E9">
        <w:rPr>
          <w:rFonts w:ascii="Times New Roman" w:hAnsi="Times New Roman" w:cs="Times New Roman"/>
        </w:rPr>
        <w:t>al.analyzed</w:t>
      </w:r>
      <w:proofErr w:type="spellEnd"/>
      <w:proofErr w:type="gramEnd"/>
      <w:r w:rsidRPr="00A258E9">
        <w:rPr>
          <w:rFonts w:ascii="Times New Roman" w:hAnsi="Times New Roman" w:cs="Times New Roman"/>
        </w:rPr>
        <w:t xml:space="preserve"> the model performance in two linear stiffness coupling scenarios of low and strong, and explored the influence of parameter changes on bifurcation and limit cycle oscillation ( LCO ) through numerical simulation, and compared it with the classical type I NES. It is found that the reasonable design of the multi-degree-of-freedom nonlinear energy sink composed of three series oscillators, which are coupled with the cylinder by linear springs, cubic springs and dampers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three mass blocks in series, the first mass linear spring connecting the main structure, and the rear mass cubic spring coupling ) can effectively control the amplitude.</w:t>
      </w:r>
    </w:p>
    <w:p w14:paraId="261D1370" w14:textId="6A6C6A8C"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The main structure of the multi-degree-of-freedom nonlinear energy sink consists of a single-degree-of-freedom cylinder supported by a linear suspension. The vortex shedding phenomenon is described by the van der Pol wake model and coupled with the displacement of the cylinder in the direction perpendicular to the flow direction. The passive control is realized by coupling the multi-degree-of-freedom nonlinear energy sink with the cylindrical structure. The nonlinear absorber consists of three oscillators in series, in which the first mass block is directly connected to the surface of the cylinder by a linear spring. The second mass block is connected by a pure cubic spring and an equivalent linear viscous damper to connect the first and third mass blocks. Two scenarios involving lower and stronger linear coupling stiffness are studied, and their ability to suppress persistent oscillations in a locked state is investigated. Bifurcation analysis is performed on the direct time integral of the model in each scenario. The parameters of multi-degree-of-freedom nonlinear energy sink </w:t>
      </w:r>
      <w:proofErr w:type="gramStart"/>
      <w:r w:rsidRPr="00A258E9">
        <w:rPr>
          <w:rFonts w:ascii="Times New Roman" w:hAnsi="Times New Roman" w:cs="Times New Roman"/>
        </w:rPr>
        <w:t>( MDOF</w:t>
      </w:r>
      <w:proofErr w:type="gramEnd"/>
      <w:r w:rsidRPr="00A258E9">
        <w:rPr>
          <w:rFonts w:ascii="Times New Roman" w:hAnsi="Times New Roman" w:cs="Times New Roman"/>
        </w:rPr>
        <w:t xml:space="preserve">-NES ) are also studied. In fact, the simulation results and bifurcation diagrams show that the appropriate multi-degree-of-freedom nonlinear energy sink </w:t>
      </w:r>
      <w:proofErr w:type="gramStart"/>
      <w:r w:rsidRPr="00A258E9">
        <w:rPr>
          <w:rFonts w:ascii="Times New Roman" w:hAnsi="Times New Roman" w:cs="Times New Roman"/>
        </w:rPr>
        <w:t>( MDOF</w:t>
      </w:r>
      <w:proofErr w:type="gramEnd"/>
      <w:r w:rsidRPr="00A258E9">
        <w:rPr>
          <w:rFonts w:ascii="Times New Roman" w:hAnsi="Times New Roman" w:cs="Times New Roman"/>
        </w:rPr>
        <w:t>-NES ) design can eliminate the subcritical behavior and reduce the amplitude of the limit cycle oscillation ( LCO ).</w:t>
      </w:r>
    </w:p>
    <w:p w14:paraId="55DBE8E4" w14:textId="431AA4D3" w:rsidR="00DB3F2B" w:rsidRPr="00A258E9" w:rsidRDefault="00DB3F2B" w:rsidP="00A258E9">
      <w:pPr>
        <w:ind w:firstLine="420"/>
        <w:jc w:val="left"/>
        <w:rPr>
          <w:rFonts w:ascii="Times New Roman" w:hAnsi="Times New Roman" w:cs="Times New Roman"/>
        </w:rPr>
      </w:pPr>
      <w:r w:rsidRPr="00A258E9">
        <w:rPr>
          <w:rFonts w:ascii="Times New Roman" w:hAnsi="Times New Roman" w:cs="Times New Roman"/>
        </w:rPr>
        <w:t xml:space="preserve">For the nonlinear stiffness, for the multi-degree-of-freedom nonlinear energy sink </w:t>
      </w:r>
      <w:proofErr w:type="gramStart"/>
      <w:r w:rsidRPr="00A258E9">
        <w:rPr>
          <w:rFonts w:ascii="Times New Roman" w:hAnsi="Times New Roman" w:cs="Times New Roman"/>
        </w:rPr>
        <w:t>( MDOF</w:t>
      </w:r>
      <w:proofErr w:type="gramEnd"/>
      <w:r w:rsidRPr="00A258E9">
        <w:rPr>
          <w:rFonts w:ascii="Times New Roman" w:hAnsi="Times New Roman" w:cs="Times New Roman"/>
        </w:rPr>
        <w:t xml:space="preserve">-NES ) with low linear stiffness coupling, the increase of this parameter always has a positive effect on the limit cycle oscillation ( LCO ) amplitude of the damped cylinder. However, for the strong coupling configuration, this phenomenon is not observed because the ability of the multi-degree-of-freedom nonlinear energy sink to control the oscillation of the cylindrical limit cycle will deteriorate after reaching the critical value. It is also observed that the nonlinear stiffness has no significant effect on the stability and synchronization frequency of the cylindrical limit cycle oscillation. </w:t>
      </w:r>
      <w:r w:rsidR="00C71CE2" w:rsidRPr="00A258E9">
        <w:rPr>
          <w:rFonts w:ascii="Times New Roman" w:hAnsi="Times New Roman" w:cs="Times New Roman"/>
        </w:rPr>
        <w:t xml:space="preserve">Nevertheless, the use of weak stiffness coupling seems to be more effective. The </w:t>
      </w:r>
      <w:r w:rsidR="00C71CE2" w:rsidRPr="00A258E9">
        <w:rPr>
          <w:rFonts w:ascii="Times New Roman" w:hAnsi="Times New Roman" w:cs="Times New Roman"/>
        </w:rPr>
        <w:lastRenderedPageBreak/>
        <w:t xml:space="preserve">multi-degree-of-freedom nonlinear energy sink </w:t>
      </w:r>
      <w:proofErr w:type="gramStart"/>
      <w:r w:rsidR="00C71CE2" w:rsidRPr="00A258E9">
        <w:rPr>
          <w:rFonts w:ascii="Times New Roman" w:hAnsi="Times New Roman" w:cs="Times New Roman"/>
        </w:rPr>
        <w:t>( MDOF</w:t>
      </w:r>
      <w:proofErr w:type="gramEnd"/>
      <w:r w:rsidR="00C71CE2" w:rsidRPr="00A258E9">
        <w:rPr>
          <w:rFonts w:ascii="Times New Roman" w:hAnsi="Times New Roman" w:cs="Times New Roman"/>
        </w:rPr>
        <w:t xml:space="preserve">-NES ) synthesized by weak stiffness coupling configuration has better attenuation performance of limit cycle oscillation ( LCO ) in the initial stage of locking. </w:t>
      </w:r>
    </w:p>
    <w:p w14:paraId="30422E9A" w14:textId="77777777" w:rsidR="00C71CE2" w:rsidRPr="00A258E9" w:rsidRDefault="00C71CE2"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( 2</w:t>
      </w:r>
      <w:proofErr w:type="gramEnd"/>
      <w:r w:rsidRPr="00A258E9">
        <w:rPr>
          <w:rFonts w:ascii="Times New Roman" w:hAnsi="Times New Roman" w:cs="Times New Roman"/>
        </w:rPr>
        <w:t xml:space="preserve"> ) Research on VIV control of rotational nonlinear energy sink ( Rotational NES ) </w:t>
      </w:r>
    </w:p>
    <w:p w14:paraId="760295A8"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In order to study how to control vortex-induced vibration, </w:t>
      </w:r>
      <w:proofErr w:type="spellStart"/>
      <w:r w:rsidRPr="00A258E9">
        <w:rPr>
          <w:rFonts w:ascii="Times New Roman" w:hAnsi="Times New Roman" w:cs="Times New Roman"/>
        </w:rPr>
        <w:t>DongYangChen</w:t>
      </w:r>
      <w:proofErr w:type="spellEnd"/>
      <w:r w:rsidRPr="00A258E9">
        <w:rPr>
          <w:rFonts w:ascii="Times New Roman" w:hAnsi="Times New Roman" w:cs="Times New Roman"/>
        </w:rPr>
        <w:t xml:space="preserve"> and </w:t>
      </w:r>
      <w:proofErr w:type="spellStart"/>
      <w:r w:rsidRPr="00A258E9">
        <w:rPr>
          <w:rFonts w:ascii="Times New Roman" w:hAnsi="Times New Roman" w:cs="Times New Roman"/>
        </w:rPr>
        <w:t>ChaoJieGu</w:t>
      </w:r>
      <w:proofErr w:type="spellEnd"/>
      <w:r w:rsidRPr="00A258E9">
        <w:rPr>
          <w:rFonts w:ascii="Times New Roman" w:hAnsi="Times New Roman" w:cs="Times New Roman"/>
        </w:rPr>
        <w:t xml:space="preserve"> et </w:t>
      </w:r>
      <w:proofErr w:type="spellStart"/>
      <w:proofErr w:type="gramStart"/>
      <w:r w:rsidRPr="00A258E9">
        <w:rPr>
          <w:rFonts w:ascii="Times New Roman" w:hAnsi="Times New Roman" w:cs="Times New Roman"/>
        </w:rPr>
        <w:t>al.used</w:t>
      </w:r>
      <w:proofErr w:type="spellEnd"/>
      <w:proofErr w:type="gramEnd"/>
      <w:r w:rsidRPr="00A258E9">
        <w:rPr>
          <w:rFonts w:ascii="Times New Roman" w:hAnsi="Times New Roman" w:cs="Times New Roman"/>
        </w:rPr>
        <w:t xml:space="preserve"> a two-degree-of-freedom van der Pol wake oscillator model to study the dynamic characteristics of a rigid cylinder connected to a rotating nonlinear energy sink. The model is used to consider the coupled transverse and longitudinal flow vibrations. Therefore, the wake oscillator coupling equation is established, and then the fluid-cylinder-NES coupling system is established. </w:t>
      </w:r>
    </w:p>
    <w:p w14:paraId="249E3B2F" w14:textId="5C345011"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The specific components of the R-NES system are a rigid platform and a mass ball mounted on a cylinder. The mass ball can rotate around the cylindrical axis with a constant radius r, and the energy is dissipated by a linear viscous damper. The total mass of the NES-cylinder system is M. Although the fluid is not in direct contact with the R-NES, the energy in the flow can be transferred to the NES through the cylinder. According to the physical model, the structural control equation of R-NES is established. According to the control equation, the mathematical model of vortex-induced vibration with NES can be obtained. The parameters related to R-NES </w:t>
      </w:r>
      <w:proofErr w:type="gramStart"/>
      <w:r w:rsidRPr="00A258E9">
        <w:rPr>
          <w:rFonts w:ascii="Times New Roman" w:hAnsi="Times New Roman" w:cs="Times New Roman"/>
        </w:rPr>
        <w:t>are :</w:t>
      </w:r>
      <w:proofErr w:type="gramEnd"/>
      <w:r w:rsidRPr="00A258E9">
        <w:rPr>
          <w:rFonts w:ascii="Times New Roman" w:hAnsi="Times New Roman" w:cs="Times New Roman"/>
        </w:rPr>
        <w:t xml:space="preserve"> rotation angle θ, dimensionless mass parameter β, dimensionless damping parameter ξ and dimensionless rotation radius parameter r.</w:t>
      </w:r>
    </w:p>
    <w:p w14:paraId="5A5611C7" w14:textId="3E64A912"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When exploring the dynamic characteristics of cylinders with different mass ratios under the action of R-NES, it is found that the suppression effect of R-NES on the vortex-induced vibration of large mass ratio cylinders is better than that of low mass ratio cylinders. The effects of different parameters of R-NES on vortex-induced vibration response were also systematically studied. The results show that the VIV inhibition effect of R-NES on large mass ratio cylinder is significantly better than that of small mass ratio cylinder. Increasing the mass parameters </w:t>
      </w:r>
      <w:proofErr w:type="gramStart"/>
      <w:r w:rsidRPr="00A258E9">
        <w:rPr>
          <w:rFonts w:ascii="Times New Roman" w:hAnsi="Times New Roman" w:cs="Times New Roman"/>
        </w:rPr>
        <w:t>( 0.05</w:t>
      </w:r>
      <w:proofErr w:type="gramEnd"/>
      <w:r w:rsidRPr="00A258E9">
        <w:rPr>
          <w:rFonts w:ascii="Times New Roman" w:hAnsi="Times New Roman" w:cs="Times New Roman"/>
        </w:rPr>
        <w:t xml:space="preserve">-0.2 ) and rotation radius parameters ( 0.1-0.5 ) of R-NES can improve the suppression performance, while the influence of damping parameters is complex and related to the mass ratio of the cylinder. Finally, the optimal damping parameters are 0.001-0.002 and the optimal mass ratio is 0.008. In addition, R-NES achieves energy redistribution </w:t>
      </w:r>
      <w:proofErr w:type="gramStart"/>
      <w:r w:rsidRPr="00A258E9">
        <w:rPr>
          <w:rFonts w:ascii="Times New Roman" w:hAnsi="Times New Roman" w:cs="Times New Roman"/>
        </w:rPr>
        <w:t>( from</w:t>
      </w:r>
      <w:proofErr w:type="gramEnd"/>
      <w:r w:rsidRPr="00A258E9">
        <w:rPr>
          <w:rFonts w:ascii="Times New Roman" w:hAnsi="Times New Roman" w:cs="Times New Roman"/>
        </w:rPr>
        <w:t xml:space="preserve"> cross-flow to longitudinal flow ) through targeted energy transfer ( TET ), and reduces the column resistance under excitation, which provides an optimization direction for VIV control of columnar structures with different mass ratios.</w:t>
      </w:r>
    </w:p>
    <w:p w14:paraId="3CCECF90" w14:textId="77777777" w:rsidR="00C71CE2" w:rsidRPr="00A258E9" w:rsidRDefault="00C71CE2"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( 3</w:t>
      </w:r>
      <w:proofErr w:type="gramEnd"/>
      <w:r w:rsidRPr="00A258E9">
        <w:rPr>
          <w:rFonts w:ascii="Times New Roman" w:hAnsi="Times New Roman" w:cs="Times New Roman"/>
        </w:rPr>
        <w:t xml:space="preserve"> ) Research on VIV control of combined nonlinear damping and cubic stiffness NES </w:t>
      </w:r>
    </w:p>
    <w:p w14:paraId="64FD8D12"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In order to explore the control performance of cubic stiffness nonlinear energy sink </w:t>
      </w:r>
      <w:proofErr w:type="gramStart"/>
      <w:r w:rsidRPr="00A258E9">
        <w:rPr>
          <w:rFonts w:ascii="Times New Roman" w:hAnsi="Times New Roman" w:cs="Times New Roman"/>
        </w:rPr>
        <w:t>( NES</w:t>
      </w:r>
      <w:proofErr w:type="gramEnd"/>
      <w:r w:rsidRPr="00A258E9">
        <w:rPr>
          <w:rFonts w:ascii="Times New Roman" w:hAnsi="Times New Roman" w:cs="Times New Roman"/>
        </w:rPr>
        <w:t xml:space="preserve"> ) on vertical vibration of structures, Zhang </w:t>
      </w:r>
      <w:proofErr w:type="spellStart"/>
      <w:r w:rsidRPr="00A258E9">
        <w:rPr>
          <w:rFonts w:ascii="Times New Roman" w:hAnsi="Times New Roman" w:cs="Times New Roman"/>
        </w:rPr>
        <w:t>Mingjie</w:t>
      </w:r>
      <w:proofErr w:type="spellEnd"/>
      <w:r w:rsidRPr="00A258E9">
        <w:rPr>
          <w:rFonts w:ascii="Times New Roman" w:hAnsi="Times New Roman" w:cs="Times New Roman"/>
        </w:rPr>
        <w:t xml:space="preserve"> and Dong </w:t>
      </w:r>
      <w:proofErr w:type="spellStart"/>
      <w:r w:rsidRPr="00A258E9">
        <w:rPr>
          <w:rFonts w:ascii="Times New Roman" w:hAnsi="Times New Roman" w:cs="Times New Roman"/>
        </w:rPr>
        <w:t>Wenxiao</w:t>
      </w:r>
      <w:proofErr w:type="spellEnd"/>
      <w:r w:rsidRPr="00A258E9">
        <w:rPr>
          <w:rFonts w:ascii="Times New Roman" w:hAnsi="Times New Roman" w:cs="Times New Roman"/>
        </w:rPr>
        <w:t xml:space="preserve"> constructed a dynamic model of single-degree-of-freedom oscillator coupled with NES. The nonlinear Newmark numerical integration method is used to study the performance difference of NES in vertical vibration and horizontal vibration control under different natural frequencies and external </w:t>
      </w:r>
      <w:r w:rsidRPr="00A258E9">
        <w:rPr>
          <w:rFonts w:ascii="Times New Roman" w:hAnsi="Times New Roman" w:cs="Times New Roman"/>
        </w:rPr>
        <w:lastRenderedPageBreak/>
        <w:t xml:space="preserve">excitation frequencies of the main structure. </w:t>
      </w:r>
    </w:p>
    <w:p w14:paraId="2A1F84EE" w14:textId="6E19C97F"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When the natural frequency of the main structure is in the high frequency range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5Hz, 3Hz ), the static displacement of NES under the action of self-weight is very small ( such as the static displacement is only 0.08m at 5Hz ), and the displacement-restoring force curve near the static equilibrium position still approximately maintains the cubic stiffness characteristic, and the change of the dynamic characteristics of NES caused by self-weight can be neglected.</w:t>
      </w:r>
    </w:p>
    <w:p w14:paraId="7C2FDF32" w14:textId="72CB7E0B"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As the natural frequency of the main structure decreases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from 3Hz to 1Hz ), the static displacement caused by the self-weight of NES increases significantly ( the static displacement reaches 0.61m at 1Hz ). The static equilibrium position deviates from the initial cubic stiffness assumption, and the displacement-stiffness curve shows obvious asymmetric characteristics, which leads to the differentiation between the dynamic response of NES in vertical vibration control and the horizontal vibration scene. Taking the natural frequency of 1Hz as an example, the relative difference of the displacement calculation results of the main structure under the two working conditions increases sharply to 68.5 %. The core reason for this difference is that the static displacement in the vertical scene changes the nonlinear coupling relationship between NES and the main structure, and the energy transfer efficiency decreases, while the horizontal scene has no such effect. This conclusion suggests that for low-frequency structures with natural frequencies in this interval, such as railway viaducts and steel structure corridors, it is necessary to optimize NES parameters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adjusting stiffness and damping ), and horizontal vibration control schemes cannot be directly applied.</w:t>
      </w:r>
    </w:p>
    <w:p w14:paraId="29C5062F" w14:textId="1A3D63A8"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When the natural frequency of the main structure is further reduced to 0.8Hz and below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0.8Hz, 0.1Hz ), the static displacement of the NES under the action of self-weight increases sharply ( 74.51m at 0.1Hz ), and the displacement-recovery force curve completely deviates from the cubic stiffness characteristic. In turn, it exhibits a linear characteristic similar to a tuned mass damper </w:t>
      </w:r>
      <w:proofErr w:type="gramStart"/>
      <w:r w:rsidRPr="00A258E9">
        <w:rPr>
          <w:rFonts w:ascii="Times New Roman" w:hAnsi="Times New Roman" w:cs="Times New Roman"/>
        </w:rPr>
        <w:t>( TMD</w:t>
      </w:r>
      <w:proofErr w:type="gramEnd"/>
      <w:r w:rsidRPr="00A258E9">
        <w:rPr>
          <w:rFonts w:ascii="Times New Roman" w:hAnsi="Times New Roman" w:cs="Times New Roman"/>
        </w:rPr>
        <w:t xml:space="preserve"> ). At this time, the NES achieves vibration control through linear stiffness and damping, rather than relying on nonlinear targeted energy transfer. The data show that when the natural frequency is 0.8 Hz, the relative displacement difference between the main structure of NES and TMD under condition 1 </w:t>
      </w:r>
      <w:proofErr w:type="gramStart"/>
      <w:r w:rsidRPr="00A258E9">
        <w:rPr>
          <w:rFonts w:ascii="Times New Roman" w:hAnsi="Times New Roman" w:cs="Times New Roman"/>
        </w:rPr>
        <w:t>( vertical</w:t>
      </w:r>
      <w:proofErr w:type="gramEnd"/>
      <w:r w:rsidRPr="00A258E9">
        <w:rPr>
          <w:rFonts w:ascii="Times New Roman" w:hAnsi="Times New Roman" w:cs="Times New Roman"/>
        </w:rPr>
        <w:t xml:space="preserve"> control ) does not exceed 4.1 %, indicating that the control effects of the two are highly similar. This law is applicable to ultra-low frequency structures such as long-span bridges and offshore platforms, which means that in such scenarios, cubic stiffness NES can be used as an alternative to TMD, but it is necessary to pay attention to the problem that its static displacement is much larger than that of TMD </w:t>
      </w:r>
      <w:proofErr w:type="gramStart"/>
      <w:r w:rsidRPr="00A258E9">
        <w:rPr>
          <w:rFonts w:ascii="Times New Roman" w:hAnsi="Times New Roman" w:cs="Times New Roman"/>
        </w:rPr>
        <w:t>( e.g.</w:t>
      </w:r>
      <w:proofErr w:type="gramEnd"/>
      <w:r w:rsidRPr="00A258E9">
        <w:rPr>
          <w:rFonts w:ascii="Times New Roman" w:hAnsi="Times New Roman" w:cs="Times New Roman"/>
        </w:rPr>
        <w:t>, the static displacement of NES is 4.59 m at 0.4 Hz ).</w:t>
      </w:r>
    </w:p>
    <w:p w14:paraId="5D21D25D" w14:textId="77777777" w:rsidR="00C71CE2" w:rsidRPr="00A258E9" w:rsidRDefault="00C71CE2"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( 4</w:t>
      </w:r>
      <w:proofErr w:type="gramEnd"/>
      <w:r w:rsidRPr="00A258E9">
        <w:rPr>
          <w:rFonts w:ascii="Times New Roman" w:hAnsi="Times New Roman" w:cs="Times New Roman"/>
        </w:rPr>
        <w:t xml:space="preserve"> ) Study on the stressed response ( SMR ) of nonlinear energy sinks </w:t>
      </w:r>
    </w:p>
    <w:p w14:paraId="75901FAF"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It is emphasized that the control response means that when the NES and the excited main structure meet the specific parameter matching conditions, the NES no longer absorbs the energy of the main structure only through the ' smooth small amplitude vibration ', but enters the ' large amplitude and intermittent vibration ' state. The vibration energy of the main structure is transferred to the NES quickly, unidirectionally and irreversibly, and then dissipated efficiently through the damping element of the NES, so that the vibration amplitude of the main structure is significantly reduced in a short time, and this control effect is far more than the conventional </w:t>
      </w:r>
      <w:r w:rsidRPr="00A258E9">
        <w:rPr>
          <w:rFonts w:ascii="Times New Roman" w:hAnsi="Times New Roman" w:cs="Times New Roman"/>
        </w:rPr>
        <w:lastRenderedPageBreak/>
        <w:t xml:space="preserve">response of the NES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small amplitude periodic vibration ). </w:t>
      </w:r>
    </w:p>
    <w:p w14:paraId="7133EE3D" w14:textId="037F41E6"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In order to explore the necessary and sufficient conditions for the appearance of the emphasis response in the essential nonlinear energy well system under harmonic excitation, Chai Kai and Li Shuang carried out relevant research. The slow-varying dynamic flow equation of the system under primary resonance is derived by using the complex variable averaging method, and the separation of fast flow and slow-varying manifold is realized by combining the multi-scale method. The slow-varying manifold and global bifurcation characteristics of the system under different parameters are obtained, and then the necessary and sufficient conditions for the nonlinear energy well system to show the emphasis response are revealed. By building an analog circuit and conducting experiments, the simulation and experimental results show that the emphasis control response is caused by the saddle-node bifurcation of the limit cycle in the slow-varying dynamic flow of the coupled system.</w:t>
      </w:r>
    </w:p>
    <w:p w14:paraId="316D3C0A"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The stability of the system needs to meet two </w:t>
      </w:r>
      <w:proofErr w:type="gramStart"/>
      <w:r w:rsidRPr="00A258E9">
        <w:rPr>
          <w:rFonts w:ascii="Times New Roman" w:hAnsi="Times New Roman" w:cs="Times New Roman"/>
        </w:rPr>
        <w:t>conditions :</w:t>
      </w:r>
      <w:proofErr w:type="gramEnd"/>
      <w:r w:rsidRPr="00A258E9">
        <w:rPr>
          <w:rFonts w:ascii="Times New Roman" w:hAnsi="Times New Roman" w:cs="Times New Roman"/>
        </w:rPr>
        <w:t xml:space="preserve"> one is that the response of the nonlinear energy well system exceeds the extreme point on the slow invariant manifold and is not attracted by a branch of the slow invariant manifold ; the second is to form a continuous jump loop without falling into a local loop. </w:t>
      </w:r>
    </w:p>
    <w:p w14:paraId="29D34B1A" w14:textId="46A50674"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Zhang </w:t>
      </w:r>
      <w:proofErr w:type="spellStart"/>
      <w:r w:rsidRPr="00A258E9">
        <w:rPr>
          <w:rFonts w:ascii="Times New Roman" w:hAnsi="Times New Roman" w:cs="Times New Roman"/>
        </w:rPr>
        <w:t>Yunfa</w:t>
      </w:r>
      <w:proofErr w:type="spellEnd"/>
      <w:r w:rsidRPr="00A258E9">
        <w:rPr>
          <w:rFonts w:ascii="Times New Roman" w:hAnsi="Times New Roman" w:cs="Times New Roman"/>
        </w:rPr>
        <w:t xml:space="preserve"> and Kong </w:t>
      </w:r>
      <w:proofErr w:type="spellStart"/>
      <w:r w:rsidRPr="00A258E9">
        <w:rPr>
          <w:rFonts w:ascii="Times New Roman" w:hAnsi="Times New Roman" w:cs="Times New Roman"/>
        </w:rPr>
        <w:t>Xianren</w:t>
      </w:r>
      <w:proofErr w:type="spellEnd"/>
      <w:r w:rsidRPr="00A258E9">
        <w:rPr>
          <w:rFonts w:ascii="Times New Roman" w:hAnsi="Times New Roman" w:cs="Times New Roman"/>
        </w:rPr>
        <w:t xml:space="preserve"> et </w:t>
      </w:r>
      <w:proofErr w:type="spellStart"/>
      <w:proofErr w:type="gramStart"/>
      <w:r w:rsidRPr="00A258E9">
        <w:rPr>
          <w:rFonts w:ascii="Times New Roman" w:hAnsi="Times New Roman" w:cs="Times New Roman"/>
        </w:rPr>
        <w:t>al.describe</w:t>
      </w:r>
      <w:proofErr w:type="spellEnd"/>
      <w:proofErr w:type="gramEnd"/>
      <w:r w:rsidRPr="00A258E9">
        <w:rPr>
          <w:rFonts w:ascii="Times New Roman" w:hAnsi="Times New Roman" w:cs="Times New Roman"/>
        </w:rPr>
        <w:t xml:space="preserve"> the theoretical model of the nonlinear energy sink system with combined nonlinear damping, and use the complex variable averaging method to derive the system motion equation to obtain the slow-varying equation. Then, the multi-scale method is used to expand the stress response analysis of the slow-varying equation, and the slow invariant manifold and phase trajectory of the system are studied to clearly emphasize the condition basis for the occurrence of the stress response. With the help of one-dimensional mapping analysis system, the influence of external excitation amplitude on the value interval of frequency detuning coefficient in the presence of emphasis response is revealed.</w:t>
      </w:r>
    </w:p>
    <w:p w14:paraId="099A51B6" w14:textId="77777777" w:rsidR="00C71CE2" w:rsidRPr="00A258E9" w:rsidRDefault="00C71CE2"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( 5</w:t>
      </w:r>
      <w:proofErr w:type="gramEnd"/>
      <w:r w:rsidRPr="00A258E9">
        <w:rPr>
          <w:rFonts w:ascii="Times New Roman" w:hAnsi="Times New Roman" w:cs="Times New Roman"/>
        </w:rPr>
        <w:t xml:space="preserve"> ) Research progress of pipe-in-pipe ( PIP ) structure in vortex-induced vibration control </w:t>
      </w:r>
    </w:p>
    <w:p w14:paraId="003D5B5C"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Hamid </w:t>
      </w:r>
      <w:proofErr w:type="spellStart"/>
      <w:r w:rsidRPr="00A258E9">
        <w:rPr>
          <w:rFonts w:ascii="Times New Roman" w:hAnsi="Times New Roman" w:cs="Times New Roman"/>
        </w:rPr>
        <w:t>Matin</w:t>
      </w:r>
      <w:proofErr w:type="spellEnd"/>
      <w:r w:rsidRPr="00A258E9">
        <w:rPr>
          <w:rFonts w:ascii="Times New Roman" w:hAnsi="Times New Roman" w:cs="Times New Roman"/>
        </w:rPr>
        <w:t xml:space="preserve"> </w:t>
      </w:r>
      <w:proofErr w:type="spellStart"/>
      <w:r w:rsidRPr="00A258E9">
        <w:rPr>
          <w:rFonts w:ascii="Times New Roman" w:hAnsi="Times New Roman" w:cs="Times New Roman"/>
        </w:rPr>
        <w:t>Nikoo</w:t>
      </w:r>
      <w:proofErr w:type="spellEnd"/>
      <w:r w:rsidRPr="00A258E9">
        <w:rPr>
          <w:rFonts w:ascii="Times New Roman" w:hAnsi="Times New Roman" w:cs="Times New Roman"/>
        </w:rPr>
        <w:t xml:space="preserve"> and </w:t>
      </w:r>
      <w:proofErr w:type="spellStart"/>
      <w:r w:rsidRPr="00A258E9">
        <w:rPr>
          <w:rFonts w:ascii="Times New Roman" w:hAnsi="Times New Roman" w:cs="Times New Roman"/>
        </w:rPr>
        <w:t>Kaiming</w:t>
      </w:r>
      <w:proofErr w:type="spellEnd"/>
      <w:r w:rsidRPr="00A258E9">
        <w:rPr>
          <w:rFonts w:ascii="Times New Roman" w:hAnsi="Times New Roman" w:cs="Times New Roman"/>
        </w:rPr>
        <w:t xml:space="preserve"> Bi constructed a three-dimensional two-way coupled fluid-solid coupling </w:t>
      </w:r>
      <w:proofErr w:type="gramStart"/>
      <w:r w:rsidRPr="00A258E9">
        <w:rPr>
          <w:rFonts w:ascii="Times New Roman" w:hAnsi="Times New Roman" w:cs="Times New Roman"/>
        </w:rPr>
        <w:t>( FSI</w:t>
      </w:r>
      <w:proofErr w:type="gramEnd"/>
      <w:r w:rsidRPr="00A258E9">
        <w:rPr>
          <w:rFonts w:ascii="Times New Roman" w:hAnsi="Times New Roman" w:cs="Times New Roman"/>
        </w:rPr>
        <w:t xml:space="preserve"> ) framework, and simulated and analyzed the lateral oscillation of the system by computational fluid dynamics ( CFD ). It is concluded that the optimized pipe-in-pipe system can significantly suppress vortex-induced vibration </w:t>
      </w:r>
      <w:proofErr w:type="gramStart"/>
      <w:r w:rsidRPr="00A258E9">
        <w:rPr>
          <w:rFonts w:ascii="Times New Roman" w:hAnsi="Times New Roman" w:cs="Times New Roman"/>
        </w:rPr>
        <w:t>( VIV</w:t>
      </w:r>
      <w:proofErr w:type="gramEnd"/>
      <w:r w:rsidRPr="00A258E9">
        <w:rPr>
          <w:rFonts w:ascii="Times New Roman" w:hAnsi="Times New Roman" w:cs="Times New Roman"/>
        </w:rPr>
        <w:t xml:space="preserve"> ), which provides an integrated scheme with both thermal insulation and vibration reduction functions for vibration control of marine engineering structures. </w:t>
      </w:r>
    </w:p>
    <w:p w14:paraId="36910F25" w14:textId="4CE67A4A"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In order to verify that the vibration amplitude of the cylinder under the action of vortex-induced vibration </w:t>
      </w:r>
      <w:proofErr w:type="gramStart"/>
      <w:r w:rsidRPr="00A258E9">
        <w:rPr>
          <w:rFonts w:ascii="Times New Roman" w:hAnsi="Times New Roman" w:cs="Times New Roman"/>
        </w:rPr>
        <w:t>( VIV</w:t>
      </w:r>
      <w:proofErr w:type="gramEnd"/>
      <w:r w:rsidRPr="00A258E9">
        <w:rPr>
          <w:rFonts w:ascii="Times New Roman" w:hAnsi="Times New Roman" w:cs="Times New Roman"/>
        </w:rPr>
        <w:t xml:space="preserve"> ) will increase significantly in a specific reduced velocity range. Hamid </w:t>
      </w:r>
      <w:proofErr w:type="spellStart"/>
      <w:r w:rsidRPr="00A258E9">
        <w:rPr>
          <w:rFonts w:ascii="Times New Roman" w:hAnsi="Times New Roman" w:cs="Times New Roman"/>
        </w:rPr>
        <w:t>Matin</w:t>
      </w:r>
      <w:proofErr w:type="spellEnd"/>
      <w:r w:rsidRPr="00A258E9">
        <w:rPr>
          <w:rFonts w:ascii="Times New Roman" w:hAnsi="Times New Roman" w:cs="Times New Roman"/>
        </w:rPr>
        <w:t xml:space="preserve"> </w:t>
      </w:r>
      <w:proofErr w:type="spellStart"/>
      <w:r w:rsidRPr="00A258E9">
        <w:rPr>
          <w:rFonts w:ascii="Times New Roman" w:hAnsi="Times New Roman" w:cs="Times New Roman"/>
        </w:rPr>
        <w:t>Nikoo</w:t>
      </w:r>
      <w:proofErr w:type="spellEnd"/>
      <w:r w:rsidRPr="00A258E9">
        <w:rPr>
          <w:rFonts w:ascii="Times New Roman" w:hAnsi="Times New Roman" w:cs="Times New Roman"/>
        </w:rPr>
        <w:t xml:space="preserve"> and </w:t>
      </w:r>
      <w:proofErr w:type="spellStart"/>
      <w:r w:rsidRPr="00A258E9">
        <w:rPr>
          <w:rFonts w:ascii="Times New Roman" w:hAnsi="Times New Roman" w:cs="Times New Roman"/>
        </w:rPr>
        <w:t>Kaiming</w:t>
      </w:r>
      <w:proofErr w:type="spellEnd"/>
      <w:r w:rsidRPr="00A258E9">
        <w:rPr>
          <w:rFonts w:ascii="Times New Roman" w:hAnsi="Times New Roman" w:cs="Times New Roman"/>
        </w:rPr>
        <w:t xml:space="preserve"> Bi performed numerical simulations in the velocity range of 4 to 7 only near the synchronous region, </w:t>
      </w:r>
      <w:proofErr w:type="gramStart"/>
      <w:r w:rsidRPr="00A258E9">
        <w:rPr>
          <w:rFonts w:ascii="Times New Roman" w:hAnsi="Times New Roman" w:cs="Times New Roman"/>
        </w:rPr>
        <w:t>taking into account</w:t>
      </w:r>
      <w:proofErr w:type="gramEnd"/>
      <w:r w:rsidRPr="00A258E9">
        <w:rPr>
          <w:rFonts w:ascii="Times New Roman" w:hAnsi="Times New Roman" w:cs="Times New Roman"/>
        </w:rPr>
        <w:t xml:space="preserve"> four reduced velocities, which are 3.7,4.2,4.9 and 6.8, respectively. The response of the improved PIP system under vortex-induced vibration is calculated. For comparison, the corresponding results of a single tube are also calculated. It should be noted that for the traditional PIP design, the inner tube and the outer tube vibrate almost synchronously, which means that the response of the single tube is almost the same as that of the traditional PIP system.</w:t>
      </w:r>
    </w:p>
    <w:p w14:paraId="10180C8B" w14:textId="03A3D874"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With the help of the three-dimensional numerical model, the three-dimensional vortex shape </w:t>
      </w:r>
      <w:r w:rsidRPr="00A258E9">
        <w:rPr>
          <w:rFonts w:ascii="Times New Roman" w:hAnsi="Times New Roman" w:cs="Times New Roman"/>
        </w:rPr>
        <w:lastRenderedPageBreak/>
        <w:t xml:space="preserve">around the cylinder can be clearly captured, and then the three-dimensional wave flow field characteristics of the single-tube PIP system and the optimized PIP system can be obtained. It can be seen that compared with the single-tube structure, the optimized PIP system can change the distribution state of the wake vortex </w:t>
      </w:r>
      <w:proofErr w:type="gramStart"/>
      <w:r w:rsidRPr="00A258E9">
        <w:rPr>
          <w:rFonts w:ascii="Times New Roman" w:hAnsi="Times New Roman" w:cs="Times New Roman"/>
        </w:rPr>
        <w:t>street :</w:t>
      </w:r>
      <w:proofErr w:type="gramEnd"/>
      <w:r w:rsidRPr="00A258E9">
        <w:rPr>
          <w:rFonts w:ascii="Times New Roman" w:hAnsi="Times New Roman" w:cs="Times New Roman"/>
        </w:rPr>
        <w:t xml:space="preserve"> at the initial stage, the wake topology of the traditional PIP system and the optimized PIP system is not much different, but over time, the difference between the two wake modes gradually becomes significant. </w:t>
      </w:r>
    </w:p>
    <w:p w14:paraId="45D831E4" w14:textId="77777777" w:rsidR="00C71CE2" w:rsidRPr="00A258E9" w:rsidRDefault="00C71CE2" w:rsidP="00A258E9">
      <w:pPr>
        <w:pStyle w:val="Heading1"/>
        <w:ind w:firstLine="960"/>
        <w:jc w:val="left"/>
        <w:rPr>
          <w:rFonts w:ascii="Times New Roman" w:hAnsi="Times New Roman" w:cs="Times New Roman"/>
        </w:rPr>
      </w:pPr>
      <w:r w:rsidRPr="00A258E9">
        <w:rPr>
          <w:rFonts w:ascii="Times New Roman" w:hAnsi="Times New Roman" w:cs="Times New Roman"/>
        </w:rPr>
        <w:t xml:space="preserve">5.Summarization of research status and future prospects </w:t>
      </w:r>
    </w:p>
    <w:p w14:paraId="11FEC47C" w14:textId="77777777" w:rsidR="00C71CE2" w:rsidRPr="00A258E9" w:rsidRDefault="00C71CE2"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( 1</w:t>
      </w:r>
      <w:proofErr w:type="gramEnd"/>
      <w:r w:rsidRPr="00A258E9">
        <w:rPr>
          <w:rFonts w:ascii="Times New Roman" w:hAnsi="Times New Roman" w:cs="Times New Roman"/>
        </w:rPr>
        <w:t xml:space="preserve"> ) Comparison and analysis of different vortex-induced vibration control technologies </w:t>
      </w:r>
    </w:p>
    <w:p w14:paraId="60BA3906" w14:textId="75C4758D"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Multi-degree-of-freedom NES </w:t>
      </w:r>
      <w:proofErr w:type="gramStart"/>
      <w:r w:rsidRPr="00A258E9">
        <w:rPr>
          <w:rFonts w:ascii="Times New Roman" w:hAnsi="Times New Roman" w:cs="Times New Roman"/>
        </w:rPr>
        <w:t>( MDOF</w:t>
      </w:r>
      <w:proofErr w:type="gramEnd"/>
      <w:r w:rsidRPr="00A258E9">
        <w:rPr>
          <w:rFonts w:ascii="Times New Roman" w:hAnsi="Times New Roman" w:cs="Times New Roman"/>
        </w:rPr>
        <w:t xml:space="preserve">-NES ) is composed of three series oscillators, which are coupled with the cylinder through linear springs, cubic springs and dampers. The research shows that the reasonable design of its parameters can effectively control the amplitude, and the control effect of the low linear stiffness coupling scheme is better, and the mass block has a significant effect on the stability, amplitude and synchronization frequency range of the limit cycle vibration </w:t>
      </w:r>
      <w:proofErr w:type="gramStart"/>
      <w:r w:rsidRPr="00A258E9">
        <w:rPr>
          <w:rFonts w:ascii="Times New Roman" w:hAnsi="Times New Roman" w:cs="Times New Roman"/>
        </w:rPr>
        <w:t>( LCO</w:t>
      </w:r>
      <w:proofErr w:type="gramEnd"/>
      <w:r w:rsidRPr="00A258E9">
        <w:rPr>
          <w:rFonts w:ascii="Times New Roman" w:hAnsi="Times New Roman" w:cs="Times New Roman"/>
        </w:rPr>
        <w:t xml:space="preserve"> ), and the performance is better than that of the classical type I NES.</w:t>
      </w:r>
    </w:p>
    <w:p w14:paraId="009BDA45"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Rotary NES </w:t>
      </w:r>
      <w:proofErr w:type="gramStart"/>
      <w:r w:rsidRPr="00A258E9">
        <w:rPr>
          <w:rFonts w:ascii="Times New Roman" w:hAnsi="Times New Roman" w:cs="Times New Roman"/>
        </w:rPr>
        <w:t>( R</w:t>
      </w:r>
      <w:proofErr w:type="gramEnd"/>
      <w:r w:rsidRPr="00A258E9">
        <w:rPr>
          <w:rFonts w:ascii="Times New Roman" w:hAnsi="Times New Roman" w:cs="Times New Roman"/>
        </w:rPr>
        <w:t xml:space="preserve">-NES ) : For VIV control of rigid cylinders, the suppression effect of large mass ratio cylinders is better than that of low mass ratio cylinders ; higher mass ratio and rotation radius can improve its control performance, and the influence of damping parameters needs to be considered in combination with the mass ratio of the cylinder. </w:t>
      </w:r>
    </w:p>
    <w:p w14:paraId="4577F771" w14:textId="761129A8"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NES with combined nonlinear </w:t>
      </w:r>
      <w:proofErr w:type="gramStart"/>
      <w:r w:rsidRPr="00A258E9">
        <w:rPr>
          <w:rFonts w:ascii="Times New Roman" w:hAnsi="Times New Roman" w:cs="Times New Roman"/>
        </w:rPr>
        <w:t>damping :</w:t>
      </w:r>
      <w:proofErr w:type="gramEnd"/>
      <w:r w:rsidRPr="00A258E9">
        <w:rPr>
          <w:rFonts w:ascii="Times New Roman" w:hAnsi="Times New Roman" w:cs="Times New Roman"/>
        </w:rPr>
        <w:t xml:space="preserve"> The equation of motion of the system is derived by the complex variable averaging method and combined with the multi-scale analysis. The condition basis of the occurrence of the emphasis response is clarified, and the influence of the external excitation amplitude on the value interval of the frequency detuning coefficient in the presence of the emphasis response is revealed.</w:t>
      </w:r>
    </w:p>
    <w:p w14:paraId="5262DB0F"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Cubic stiffness </w:t>
      </w:r>
      <w:proofErr w:type="gramStart"/>
      <w:r w:rsidRPr="00A258E9">
        <w:rPr>
          <w:rFonts w:ascii="Times New Roman" w:hAnsi="Times New Roman" w:cs="Times New Roman"/>
        </w:rPr>
        <w:t>NES :</w:t>
      </w:r>
      <w:proofErr w:type="gramEnd"/>
      <w:r w:rsidRPr="00A258E9">
        <w:rPr>
          <w:rFonts w:ascii="Times New Roman" w:hAnsi="Times New Roman" w:cs="Times New Roman"/>
        </w:rPr>
        <w:t xml:space="preserve"> Vertical vibration control of focused structures, whose control performance is closely related to the natural frequency of the main structure. When the natural frequency of the main structure is ≥ 3Hz, the influence of self-weight can be neglected, and the control effect of vertical and horizontal vibration is consistent. When the natural frequency is less than 0.8Hz, it shows the characteristics similar to the tuned mass damper </w:t>
      </w:r>
      <w:proofErr w:type="gramStart"/>
      <w:r w:rsidRPr="00A258E9">
        <w:rPr>
          <w:rFonts w:ascii="Times New Roman" w:hAnsi="Times New Roman" w:cs="Times New Roman"/>
        </w:rPr>
        <w:t>( TMD</w:t>
      </w:r>
      <w:proofErr w:type="gramEnd"/>
      <w:r w:rsidRPr="00A258E9">
        <w:rPr>
          <w:rFonts w:ascii="Times New Roman" w:hAnsi="Times New Roman" w:cs="Times New Roman"/>
        </w:rPr>
        <w:t xml:space="preserve"> ) near the static equilibrium position, and the static vertical displacement caused by its own weight is greater than that of TMD under different natural frequencies. </w:t>
      </w:r>
    </w:p>
    <w:p w14:paraId="1874841B" w14:textId="357AC13E"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In addition, the study also clarifies the necessary and sufficient conditions for the stable emphasis response of the NES system : caused by the saddle-node bifurcation of the limit cycle in the slow-varying dynamic flow of the coupled system, it is necessary to meet the two conditions of ' the response exceeds the extreme point of the slow invariant manifold and is not attracted by a branch ' and ' the formation of a continuous jump loop does not fall into a local cycle ', and the emphasis response can further strengthen the energy transfer and improve the vibration </w:t>
      </w:r>
      <w:r w:rsidRPr="00A258E9">
        <w:rPr>
          <w:rFonts w:ascii="Times New Roman" w:hAnsi="Times New Roman" w:cs="Times New Roman"/>
        </w:rPr>
        <w:lastRenderedPageBreak/>
        <w:t>suppression efficiency.</w:t>
      </w:r>
    </w:p>
    <w:p w14:paraId="370800BA" w14:textId="7777777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By constructing a three-dimensional two-way coupled fluid-structure interaction </w:t>
      </w:r>
      <w:proofErr w:type="gramStart"/>
      <w:r w:rsidRPr="00A258E9">
        <w:rPr>
          <w:rFonts w:ascii="Times New Roman" w:hAnsi="Times New Roman" w:cs="Times New Roman"/>
        </w:rPr>
        <w:t>( FSI</w:t>
      </w:r>
      <w:proofErr w:type="gramEnd"/>
      <w:r w:rsidRPr="00A258E9">
        <w:rPr>
          <w:rFonts w:ascii="Times New Roman" w:hAnsi="Times New Roman" w:cs="Times New Roman"/>
        </w:rPr>
        <w:t xml:space="preserve"> ) framework and combining computational fluid dynamics ( CFD ) simulation to analyze the lateral oscillation of the system, it is confirmed that the optimized PIP structure can effectively suppress VIV. Its core advantage is to reduce the VIV amplitude by optimizing the flow field distribution, while retaining excellent thermal insulation performance. It provides an integrated solution of " thermal insulation + vibration reduction " for the vibration control of marine engineering structures, </w:t>
      </w:r>
      <w:proofErr w:type="gramStart"/>
      <w:r w:rsidRPr="00A258E9">
        <w:rPr>
          <w:rFonts w:ascii="Times New Roman" w:hAnsi="Times New Roman" w:cs="Times New Roman"/>
        </w:rPr>
        <w:t>taking into account</w:t>
      </w:r>
      <w:proofErr w:type="gramEnd"/>
      <w:r w:rsidRPr="00A258E9">
        <w:rPr>
          <w:rFonts w:ascii="Times New Roman" w:hAnsi="Times New Roman" w:cs="Times New Roman"/>
        </w:rPr>
        <w:t xml:space="preserve"> functional requirements and safety assurance. </w:t>
      </w:r>
    </w:p>
    <w:p w14:paraId="542F0E91" w14:textId="4910B2C7"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The key conclusion is that the multi-degree-of-freedom NES with low linear stiffness coupling </w:t>
      </w:r>
      <w:proofErr w:type="gramStart"/>
      <w:r w:rsidRPr="00A258E9">
        <w:rPr>
          <w:rFonts w:ascii="Times New Roman" w:hAnsi="Times New Roman" w:cs="Times New Roman"/>
        </w:rPr>
        <w:t>( MDOF</w:t>
      </w:r>
      <w:proofErr w:type="gramEnd"/>
      <w:r w:rsidRPr="00A258E9">
        <w:rPr>
          <w:rFonts w:ascii="Times New Roman" w:hAnsi="Times New Roman" w:cs="Times New Roman"/>
        </w:rPr>
        <w:t>-NES ), with its precise control of amplitude and LCO stability and better performance than the classical type I NES, is effective in the scene where vortex-induced vibration needs to be suppressed through nonlinear energy transfer. The PIP structure with reasonable parameters, relying on the advantages of flow field optimization mechanism and integrated function, has become the preferred scheme for both thermal insulation and vibration reduction in the field of marine engineering.</w:t>
      </w:r>
    </w:p>
    <w:p w14:paraId="34AF1CCB" w14:textId="77777777" w:rsidR="00C71CE2" w:rsidRPr="00A258E9" w:rsidRDefault="00C71CE2"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( 2</w:t>
      </w:r>
      <w:proofErr w:type="gramEnd"/>
      <w:r w:rsidRPr="00A258E9">
        <w:rPr>
          <w:rFonts w:ascii="Times New Roman" w:hAnsi="Times New Roman" w:cs="Times New Roman"/>
        </w:rPr>
        <w:t xml:space="preserve"> ) Existing problems and challenges </w:t>
      </w:r>
    </w:p>
    <w:p w14:paraId="4FD979ED" w14:textId="3CF07003" w:rsidR="00C71CE2" w:rsidRPr="00A258E9" w:rsidRDefault="00C71CE2" w:rsidP="00A258E9">
      <w:pPr>
        <w:ind w:firstLine="420"/>
        <w:jc w:val="left"/>
        <w:rPr>
          <w:rFonts w:ascii="Times New Roman" w:hAnsi="Times New Roman" w:cs="Times New Roman"/>
        </w:rPr>
      </w:pPr>
      <w:r w:rsidRPr="00A258E9">
        <w:rPr>
          <w:rFonts w:ascii="Times New Roman" w:hAnsi="Times New Roman" w:cs="Times New Roman"/>
        </w:rPr>
        <w:t xml:space="preserve">The technical bottleneck of nonlinear energy sink ( NES ) Although NES shows multi-configuration adaptability in vortex-induced vibration ( VIV ) control, it still faces the dual challenges of control stability and synergy in complex engineering scenarios : insufficient control stability in complex flow fields : The effectiveness of current NES is mostly based on the ideal scenario verification of low Reynolds number and steady inflow, while in practical engineering, the structure is often in high Reynolds number turbulence ( such as when the marine riser encounters strong ocean current ) or unsteady flow field ( such as the bridge pier is disturbed by fluctuating wind and ship wake ). At high Reynolds number, the fluid boundary layer transitions to turbulence, and the vortex shedding mode is disordered, resulting in a nonlinear coupling ' mismatch ' between the NES and the main structure, the targeted energy transfer </w:t>
      </w:r>
      <w:proofErr w:type="gramStart"/>
      <w:r w:rsidRPr="00A258E9">
        <w:rPr>
          <w:rFonts w:ascii="Times New Roman" w:hAnsi="Times New Roman" w:cs="Times New Roman"/>
        </w:rPr>
        <w:t>( TET</w:t>
      </w:r>
      <w:proofErr w:type="gramEnd"/>
      <w:r w:rsidRPr="00A258E9">
        <w:rPr>
          <w:rFonts w:ascii="Times New Roman" w:hAnsi="Times New Roman" w:cs="Times New Roman"/>
        </w:rPr>
        <w:t xml:space="preserve"> ) path is interrupted, and even ' energy feedback ' may occur to aggravate the vibration.</w:t>
      </w:r>
    </w:p>
    <w:p w14:paraId="50A174F1" w14:textId="77777777"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The cooperative control problem of multi-structure coupled </w:t>
      </w:r>
      <w:proofErr w:type="gramStart"/>
      <w:r w:rsidRPr="00A258E9">
        <w:rPr>
          <w:rFonts w:ascii="Times New Roman" w:hAnsi="Times New Roman" w:cs="Times New Roman"/>
        </w:rPr>
        <w:t>VIV :</w:t>
      </w:r>
      <w:proofErr w:type="gramEnd"/>
      <w:r w:rsidRPr="00A258E9">
        <w:rPr>
          <w:rFonts w:ascii="Times New Roman" w:hAnsi="Times New Roman" w:cs="Times New Roman"/>
        </w:rPr>
        <w:t xml:space="preserve"> In practical engineering, structures often exist in the form of arrays ( such as multi-risers of offshore platforms and heat exchanger bundles ). The ' vortex-induced interference effect ' of adjacent structures will change the flow conditions of downstream structures, while the existing NES studies multi-focus single-structure control. If the NES is independently configured for each structure, the downstream structure may enter the frequency locking range due to inconsistent parameters, causing the overall vibration amplification. </w:t>
      </w:r>
    </w:p>
    <w:p w14:paraId="09936EE5" w14:textId="77777777" w:rsidR="00FA414D" w:rsidRPr="00A258E9" w:rsidRDefault="00FA414D" w:rsidP="00A258E9">
      <w:pPr>
        <w:pStyle w:val="Heading2"/>
        <w:ind w:firstLine="800"/>
        <w:jc w:val="left"/>
        <w:rPr>
          <w:rFonts w:ascii="Times New Roman" w:hAnsi="Times New Roman" w:cs="Times New Roman"/>
        </w:rPr>
      </w:pPr>
      <w:proofErr w:type="gramStart"/>
      <w:r w:rsidRPr="00A258E9">
        <w:rPr>
          <w:rFonts w:ascii="Times New Roman" w:hAnsi="Times New Roman" w:cs="Times New Roman"/>
        </w:rPr>
        <w:t>( 3</w:t>
      </w:r>
      <w:proofErr w:type="gramEnd"/>
      <w:r w:rsidRPr="00A258E9">
        <w:rPr>
          <w:rFonts w:ascii="Times New Roman" w:hAnsi="Times New Roman" w:cs="Times New Roman"/>
        </w:rPr>
        <w:t xml:space="preserve"> ) Future research directions </w:t>
      </w:r>
    </w:p>
    <w:p w14:paraId="78120BD3" w14:textId="77777777"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Focus on technology integration. In the future, it is necessary to promote the collaborative integration of NES and PIP structures and build a composite control system of ' broadband vibration reduction + functional integration '. The PIP structure is used to optimize the characteristics of the flow field, weaken the excitation intensity of the vortex to the main structure, and create a more stable energy transfer environment for the NES. At the same time, through the broadband vibration reduction ability of NES, the control effect attenuation of PIP in complex </w:t>
      </w:r>
      <w:r w:rsidRPr="00A258E9">
        <w:rPr>
          <w:rFonts w:ascii="Times New Roman" w:hAnsi="Times New Roman" w:cs="Times New Roman"/>
        </w:rPr>
        <w:lastRenderedPageBreak/>
        <w:t xml:space="preserve">flow field is compensated, and the dual mechanism of ' flow field optimization-energy absorption ' is formed. </w:t>
      </w:r>
    </w:p>
    <w:p w14:paraId="56327F6A" w14:textId="675C862D"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Further parameter optimization, the intelligent design based on machine learning breaks through the bottleneck of multi-parameter coupling optimization with the help of machine learning algorithm, and realizes the personalized and accurate design of NES and PIP. Using neural network, reinforcement learning and other algorithms, a parameter optimization model is established, which can output the optimal parameter combination under different working conditions </w:t>
      </w:r>
      <w:proofErr w:type="gramStart"/>
      <w:r w:rsidRPr="00A258E9">
        <w:rPr>
          <w:rFonts w:ascii="Times New Roman" w:hAnsi="Times New Roman" w:cs="Times New Roman"/>
        </w:rPr>
        <w:t>( such</w:t>
      </w:r>
      <w:proofErr w:type="gramEnd"/>
      <w:r w:rsidRPr="00A258E9">
        <w:rPr>
          <w:rFonts w:ascii="Times New Roman" w:hAnsi="Times New Roman" w:cs="Times New Roman"/>
        </w:rPr>
        <w:t xml:space="preserve"> as the natural frequency of the main structure, the incoming flow velocity, and the structure array form ) in real time.</w:t>
      </w:r>
    </w:p>
    <w:p w14:paraId="65B074BA" w14:textId="2AED6596" w:rsidR="00FA414D"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Deepen the exploration of the mechanism of NES. Focusing on the core mechanism of unsteady flow and fluid-solid coupling, we strive to break through from the basic theoretical level and reveal the control mechanism in complex scenarios. For NES, we focus on the dynamic evolution of targeted energy transfer </w:t>
      </w:r>
      <w:proofErr w:type="gramStart"/>
      <w:r w:rsidRPr="00A258E9">
        <w:rPr>
          <w:rFonts w:ascii="Times New Roman" w:hAnsi="Times New Roman" w:cs="Times New Roman"/>
        </w:rPr>
        <w:t>( TET</w:t>
      </w:r>
      <w:proofErr w:type="gramEnd"/>
      <w:r w:rsidRPr="00A258E9">
        <w:rPr>
          <w:rFonts w:ascii="Times New Roman" w:hAnsi="Times New Roman" w:cs="Times New Roman"/>
        </w:rPr>
        <w:t xml:space="preserve"> ) in unsteady flow field, clarify the influence of non-periodicity of flow field on SMR trigger conditions, and establish an energy interaction model. For the PIP structure, it is necessary to deeply analyze the flow field interference and wave-current coupling mechanism of the multi-tube array, quantify the correlation between the gap flow field and the vortex shedding, and provide a theoretical basis for structural optimization.</w:t>
      </w:r>
    </w:p>
    <w:p w14:paraId="5DD71702" w14:textId="77777777" w:rsidR="00F676A8" w:rsidRDefault="00F676A8" w:rsidP="00A258E9">
      <w:pPr>
        <w:ind w:firstLine="420"/>
        <w:jc w:val="left"/>
        <w:rPr>
          <w:rFonts w:ascii="Times New Roman" w:hAnsi="Times New Roman" w:cs="Times New Roman"/>
        </w:rPr>
      </w:pPr>
    </w:p>
    <w:p w14:paraId="071E55B2" w14:textId="77777777" w:rsidR="00F676A8" w:rsidRDefault="00F676A8" w:rsidP="00A258E9">
      <w:pPr>
        <w:ind w:firstLine="420"/>
        <w:jc w:val="left"/>
        <w:rPr>
          <w:rFonts w:ascii="Times New Roman" w:hAnsi="Times New Roman" w:cs="Times New Roman"/>
        </w:rPr>
      </w:pPr>
    </w:p>
    <w:p w14:paraId="353DAA41" w14:textId="77777777" w:rsidR="00F676A8" w:rsidRDefault="00F676A8" w:rsidP="00A258E9">
      <w:pPr>
        <w:ind w:firstLine="420"/>
        <w:jc w:val="left"/>
        <w:rPr>
          <w:rFonts w:ascii="Times New Roman" w:hAnsi="Times New Roman" w:cs="Times New Roman"/>
        </w:rPr>
      </w:pPr>
    </w:p>
    <w:p w14:paraId="78E65383" w14:textId="77777777" w:rsidR="00F676A8" w:rsidRPr="00F676A8" w:rsidRDefault="00F676A8" w:rsidP="00F676A8">
      <w:pPr>
        <w:ind w:firstLine="420"/>
        <w:jc w:val="left"/>
        <w:rPr>
          <w:rFonts w:ascii="Times New Roman" w:hAnsi="Times New Roman" w:cs="Times New Roman"/>
        </w:rPr>
      </w:pPr>
      <w:r w:rsidRPr="00F676A8">
        <w:rPr>
          <w:rFonts w:ascii="Times New Roman" w:hAnsi="Times New Roman" w:cs="Times New Roman"/>
        </w:rPr>
        <w:t>COMPETING INTERESTS DISCLAIMER:</w:t>
      </w:r>
    </w:p>
    <w:p w14:paraId="74D21E05" w14:textId="371EBD2E" w:rsidR="00F676A8" w:rsidRPr="00A258E9" w:rsidRDefault="00F676A8" w:rsidP="00F676A8">
      <w:pPr>
        <w:ind w:firstLine="420"/>
        <w:jc w:val="left"/>
        <w:rPr>
          <w:rFonts w:ascii="Times New Roman" w:hAnsi="Times New Roman" w:cs="Times New Roman"/>
        </w:rPr>
      </w:pPr>
      <w:r w:rsidRPr="00F676A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146BB31" w14:textId="77777777" w:rsidR="00FA414D" w:rsidRPr="00A258E9" w:rsidRDefault="00FA414D" w:rsidP="00A258E9">
      <w:pPr>
        <w:pStyle w:val="Heading1"/>
        <w:ind w:firstLine="960"/>
        <w:jc w:val="left"/>
        <w:rPr>
          <w:rFonts w:ascii="Times New Roman" w:hAnsi="Times New Roman" w:cs="Times New Roman"/>
        </w:rPr>
      </w:pPr>
      <w:r w:rsidRPr="00A258E9">
        <w:rPr>
          <w:rFonts w:ascii="Times New Roman" w:hAnsi="Times New Roman" w:cs="Times New Roman"/>
        </w:rPr>
        <w:t xml:space="preserve">References </w:t>
      </w:r>
    </w:p>
    <w:p w14:paraId="6187FF85" w14:textId="77777777"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 </w:t>
      </w:r>
      <w:proofErr w:type="gramStart"/>
      <w:r w:rsidRPr="00A258E9">
        <w:rPr>
          <w:rFonts w:ascii="Times New Roman" w:hAnsi="Times New Roman" w:cs="Times New Roman"/>
        </w:rPr>
        <w:t>1 ]</w:t>
      </w:r>
      <w:proofErr w:type="gramEnd"/>
      <w:r w:rsidRPr="00A258E9">
        <w:rPr>
          <w:rFonts w:ascii="Times New Roman" w:hAnsi="Times New Roman" w:cs="Times New Roman"/>
        </w:rPr>
        <w:t xml:space="preserve"> Chai Kai, Li Shuang, Lou </w:t>
      </w:r>
      <w:proofErr w:type="spellStart"/>
      <w:r w:rsidRPr="00A258E9">
        <w:rPr>
          <w:rFonts w:ascii="Times New Roman" w:hAnsi="Times New Roman" w:cs="Times New Roman"/>
        </w:rPr>
        <w:t>Jingjun</w:t>
      </w:r>
      <w:proofErr w:type="spellEnd"/>
      <w:r w:rsidRPr="00A258E9">
        <w:rPr>
          <w:rFonts w:ascii="Times New Roman" w:hAnsi="Times New Roman" w:cs="Times New Roman"/>
        </w:rPr>
        <w:t xml:space="preserve">, et al. Research on the accentuation response of nonlinear energy sink systems [ J ]. Journal of Hunan University </w:t>
      </w:r>
      <w:proofErr w:type="gramStart"/>
      <w:r w:rsidRPr="00A258E9">
        <w:rPr>
          <w:rFonts w:ascii="Times New Roman" w:hAnsi="Times New Roman" w:cs="Times New Roman"/>
        </w:rPr>
        <w:t>( Natural</w:t>
      </w:r>
      <w:proofErr w:type="gramEnd"/>
      <w:r w:rsidRPr="00A258E9">
        <w:rPr>
          <w:rFonts w:ascii="Times New Roman" w:hAnsi="Times New Roman" w:cs="Times New Roman"/>
        </w:rPr>
        <w:t xml:space="preserve"> Science Edition ), 2022,49 ( 08 ) : 82-92.DOI : 10.16339 / j.cnki.hdxbzkb.2022175. </w:t>
      </w:r>
    </w:p>
    <w:p w14:paraId="256EE28F" w14:textId="39627E6A"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 </w:t>
      </w:r>
      <w:proofErr w:type="gramStart"/>
      <w:r w:rsidRPr="00A258E9">
        <w:rPr>
          <w:rFonts w:ascii="Times New Roman" w:hAnsi="Times New Roman" w:cs="Times New Roman"/>
        </w:rPr>
        <w:t>2 ]</w:t>
      </w:r>
      <w:proofErr w:type="gramEnd"/>
      <w:r w:rsidRPr="00A258E9">
        <w:rPr>
          <w:rFonts w:ascii="Times New Roman" w:hAnsi="Times New Roman" w:cs="Times New Roman"/>
        </w:rPr>
        <w:t xml:space="preserve"> Hamid </w:t>
      </w:r>
      <w:proofErr w:type="spellStart"/>
      <w:r w:rsidRPr="00A258E9">
        <w:rPr>
          <w:rFonts w:ascii="Times New Roman" w:hAnsi="Times New Roman" w:cs="Times New Roman"/>
        </w:rPr>
        <w:t>Matin</w:t>
      </w:r>
      <w:proofErr w:type="spellEnd"/>
      <w:r w:rsidRPr="00A258E9">
        <w:rPr>
          <w:rFonts w:ascii="Times New Roman" w:hAnsi="Times New Roman" w:cs="Times New Roman"/>
        </w:rPr>
        <w:t xml:space="preserve"> </w:t>
      </w:r>
      <w:proofErr w:type="spellStart"/>
      <w:r w:rsidRPr="00A258E9">
        <w:rPr>
          <w:rFonts w:ascii="Times New Roman" w:hAnsi="Times New Roman" w:cs="Times New Roman"/>
        </w:rPr>
        <w:t>Nikoo</w:t>
      </w:r>
      <w:proofErr w:type="spellEnd"/>
      <w:r w:rsidRPr="00A258E9">
        <w:rPr>
          <w:rFonts w:ascii="Times New Roman" w:hAnsi="Times New Roman" w:cs="Times New Roman"/>
        </w:rPr>
        <w:t xml:space="preserve">, </w:t>
      </w:r>
      <w:proofErr w:type="spellStart"/>
      <w:r w:rsidRPr="00A258E9">
        <w:rPr>
          <w:rFonts w:ascii="Times New Roman" w:hAnsi="Times New Roman" w:cs="Times New Roman"/>
        </w:rPr>
        <w:t>Kaiming</w:t>
      </w:r>
      <w:proofErr w:type="spellEnd"/>
      <w:r w:rsidRPr="00A258E9">
        <w:rPr>
          <w:rFonts w:ascii="Times New Roman" w:hAnsi="Times New Roman" w:cs="Times New Roman"/>
        </w:rPr>
        <w:t xml:space="preserve"> Bi, Hong Hao, Effectiveness of using pipe-in-pipe ( PIP ) concept to reduce vortex-induced vibrations ( VIV ) : Three-dimensional two-way FSI analysis, Ocean Engineering. Volume 148,2018, Pages 263-276, ISSN 0029-8018.</w:t>
      </w:r>
    </w:p>
    <w:p w14:paraId="1F08A142" w14:textId="77777777"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w:t>
      </w:r>
      <w:proofErr w:type="gramStart"/>
      <w:r w:rsidRPr="00A258E9">
        <w:rPr>
          <w:rFonts w:ascii="Times New Roman" w:hAnsi="Times New Roman" w:cs="Times New Roman"/>
        </w:rPr>
        <w:t>3]Passive</w:t>
      </w:r>
      <w:proofErr w:type="gramEnd"/>
      <w:r w:rsidRPr="00A258E9">
        <w:rPr>
          <w:rFonts w:ascii="Times New Roman" w:hAnsi="Times New Roman" w:cs="Times New Roman"/>
        </w:rPr>
        <w:t xml:space="preserve"> vibration control of pipe-in-pipe (PIP) Systems subjected to vortex induced vibration (VIV). / </w:t>
      </w:r>
      <w:proofErr w:type="spellStart"/>
      <w:r w:rsidRPr="00A258E9">
        <w:rPr>
          <w:rFonts w:ascii="Times New Roman" w:hAnsi="Times New Roman" w:cs="Times New Roman"/>
        </w:rPr>
        <w:t>Nikoo</w:t>
      </w:r>
      <w:proofErr w:type="spellEnd"/>
      <w:r w:rsidRPr="00A258E9">
        <w:rPr>
          <w:rFonts w:ascii="Times New Roman" w:hAnsi="Times New Roman" w:cs="Times New Roman"/>
        </w:rPr>
        <w:t xml:space="preserve">, Hamid </w:t>
      </w:r>
      <w:proofErr w:type="spellStart"/>
      <w:r w:rsidRPr="00A258E9">
        <w:rPr>
          <w:rFonts w:ascii="Times New Roman" w:hAnsi="Times New Roman" w:cs="Times New Roman"/>
        </w:rPr>
        <w:t>Matin</w:t>
      </w:r>
      <w:proofErr w:type="spellEnd"/>
      <w:r w:rsidRPr="00A258E9">
        <w:rPr>
          <w:rFonts w:ascii="Times New Roman" w:hAnsi="Times New Roman" w:cs="Times New Roman"/>
        </w:rPr>
        <w:t xml:space="preserve">; Bi, </w:t>
      </w:r>
      <w:proofErr w:type="spellStart"/>
      <w:r w:rsidRPr="00A258E9">
        <w:rPr>
          <w:rFonts w:ascii="Times New Roman" w:hAnsi="Times New Roman" w:cs="Times New Roman"/>
        </w:rPr>
        <w:t>Kaiming</w:t>
      </w:r>
      <w:proofErr w:type="spellEnd"/>
      <w:r w:rsidRPr="00A258E9">
        <w:rPr>
          <w:rFonts w:ascii="Times New Roman" w:hAnsi="Times New Roman" w:cs="Times New Roman"/>
        </w:rPr>
        <w:t xml:space="preserve">; Hao, </w:t>
      </w:r>
      <w:proofErr w:type="spellStart"/>
      <w:r w:rsidRPr="00A258E9">
        <w:rPr>
          <w:rFonts w:ascii="Times New Roman" w:hAnsi="Times New Roman" w:cs="Times New Roman"/>
        </w:rPr>
        <w:t>Hong.Proceedings</w:t>
      </w:r>
      <w:proofErr w:type="spellEnd"/>
      <w:r w:rsidRPr="00A258E9">
        <w:rPr>
          <w:rFonts w:ascii="Times New Roman" w:hAnsi="Times New Roman" w:cs="Times New Roman"/>
        </w:rPr>
        <w:t xml:space="preserve"> of the 27th International Ocean and Polar Engineering Conference, ISOPE 2017. Society of Petroleum Engineers, 2017. p. 1271-1276 (Proceedings of the International Offshore and Polar Engineering Conference).</w:t>
      </w:r>
    </w:p>
    <w:p w14:paraId="4B12EEE9" w14:textId="77777777"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 </w:t>
      </w:r>
      <w:proofErr w:type="gramStart"/>
      <w:r w:rsidRPr="00A258E9">
        <w:rPr>
          <w:rFonts w:ascii="Times New Roman" w:hAnsi="Times New Roman" w:cs="Times New Roman"/>
        </w:rPr>
        <w:t>4 ]</w:t>
      </w:r>
      <w:proofErr w:type="gramEnd"/>
      <w:r w:rsidRPr="00A258E9">
        <w:rPr>
          <w:rFonts w:ascii="Times New Roman" w:hAnsi="Times New Roman" w:cs="Times New Roman"/>
        </w:rPr>
        <w:t xml:space="preserve"> Zhang </w:t>
      </w:r>
      <w:proofErr w:type="spellStart"/>
      <w:r w:rsidRPr="00A258E9">
        <w:rPr>
          <w:rFonts w:ascii="Times New Roman" w:hAnsi="Times New Roman" w:cs="Times New Roman"/>
        </w:rPr>
        <w:t>Yunfa</w:t>
      </w:r>
      <w:proofErr w:type="spellEnd"/>
      <w:r w:rsidRPr="00A258E9">
        <w:rPr>
          <w:rFonts w:ascii="Times New Roman" w:hAnsi="Times New Roman" w:cs="Times New Roman"/>
        </w:rPr>
        <w:t xml:space="preserve">, Kong </w:t>
      </w:r>
      <w:proofErr w:type="spellStart"/>
      <w:r w:rsidRPr="00A258E9">
        <w:rPr>
          <w:rFonts w:ascii="Times New Roman" w:hAnsi="Times New Roman" w:cs="Times New Roman"/>
        </w:rPr>
        <w:t>Xianren</w:t>
      </w:r>
      <w:proofErr w:type="spellEnd"/>
      <w:r w:rsidRPr="00A258E9">
        <w:rPr>
          <w:rFonts w:ascii="Times New Roman" w:hAnsi="Times New Roman" w:cs="Times New Roman"/>
        </w:rPr>
        <w:t xml:space="preserve">. Vibration Suppression Response Analysis of Nonlinear Energy Sink with Combined Nonlinear Damping. Journal of Mechanics, 2023, 55 </w:t>
      </w:r>
      <w:proofErr w:type="gramStart"/>
      <w:r w:rsidRPr="00A258E9">
        <w:rPr>
          <w:rFonts w:ascii="Times New Roman" w:hAnsi="Times New Roman" w:cs="Times New Roman"/>
        </w:rPr>
        <w:t>( 4</w:t>
      </w:r>
      <w:proofErr w:type="gramEnd"/>
      <w:r w:rsidRPr="00A258E9">
        <w:rPr>
          <w:rFonts w:ascii="Times New Roman" w:hAnsi="Times New Roman" w:cs="Times New Roman"/>
        </w:rPr>
        <w:t xml:space="preserve"> ) : 972-981.doi : 10.6052 / 0459-1879-22-563 </w:t>
      </w:r>
    </w:p>
    <w:p w14:paraId="6265A12D" w14:textId="30644F8A" w:rsidR="00FA414D" w:rsidRPr="00A258E9" w:rsidRDefault="00FA414D" w:rsidP="00A258E9">
      <w:pPr>
        <w:ind w:firstLine="420"/>
        <w:jc w:val="left"/>
        <w:rPr>
          <w:rFonts w:ascii="Times New Roman" w:hAnsi="Times New Roman" w:cs="Times New Roman"/>
        </w:rPr>
      </w:pPr>
      <w:r w:rsidRPr="00A258E9">
        <w:rPr>
          <w:rFonts w:ascii="Times New Roman" w:hAnsi="Times New Roman" w:cs="Times New Roman"/>
        </w:rPr>
        <w:t xml:space="preserve">[ </w:t>
      </w:r>
      <w:proofErr w:type="gramStart"/>
      <w:r w:rsidRPr="00A258E9">
        <w:rPr>
          <w:rFonts w:ascii="Times New Roman" w:hAnsi="Times New Roman" w:cs="Times New Roman"/>
        </w:rPr>
        <w:t>5 ]</w:t>
      </w:r>
      <w:proofErr w:type="gramEnd"/>
      <w:r w:rsidRPr="00A258E9">
        <w:rPr>
          <w:rFonts w:ascii="Times New Roman" w:hAnsi="Times New Roman" w:cs="Times New Roman"/>
        </w:rPr>
        <w:t xml:space="preserve"> Zhang </w:t>
      </w:r>
      <w:proofErr w:type="spellStart"/>
      <w:r w:rsidRPr="00A258E9">
        <w:rPr>
          <w:rFonts w:ascii="Times New Roman" w:hAnsi="Times New Roman" w:cs="Times New Roman"/>
        </w:rPr>
        <w:t>Mingjie</w:t>
      </w:r>
      <w:proofErr w:type="spellEnd"/>
      <w:r w:rsidRPr="00A258E9">
        <w:rPr>
          <w:rFonts w:ascii="Times New Roman" w:hAnsi="Times New Roman" w:cs="Times New Roman"/>
        </w:rPr>
        <w:t xml:space="preserve">, Dong </w:t>
      </w:r>
      <w:proofErr w:type="spellStart"/>
      <w:r w:rsidRPr="00A258E9">
        <w:rPr>
          <w:rFonts w:ascii="Times New Roman" w:hAnsi="Times New Roman" w:cs="Times New Roman"/>
        </w:rPr>
        <w:t>Wenxiao</w:t>
      </w:r>
      <w:proofErr w:type="spellEnd"/>
      <w:r w:rsidRPr="00A258E9">
        <w:rPr>
          <w:rFonts w:ascii="Times New Roman" w:hAnsi="Times New Roman" w:cs="Times New Roman"/>
        </w:rPr>
        <w:t xml:space="preserve">, Xu </w:t>
      </w:r>
      <w:proofErr w:type="spellStart"/>
      <w:r w:rsidRPr="00A258E9">
        <w:rPr>
          <w:rFonts w:ascii="Times New Roman" w:hAnsi="Times New Roman" w:cs="Times New Roman"/>
        </w:rPr>
        <w:t>Fuyou</w:t>
      </w:r>
      <w:proofErr w:type="spellEnd"/>
      <w:r w:rsidRPr="00A258E9">
        <w:rPr>
          <w:rFonts w:ascii="Times New Roman" w:hAnsi="Times New Roman" w:cs="Times New Roman"/>
        </w:rPr>
        <w:t xml:space="preserve">. Vertical vibration control performance of cubic stiffness nonlinear energy sink [ J / </w:t>
      </w:r>
      <w:proofErr w:type="gramStart"/>
      <w:r w:rsidRPr="00A258E9">
        <w:rPr>
          <w:rFonts w:ascii="Times New Roman" w:hAnsi="Times New Roman" w:cs="Times New Roman"/>
        </w:rPr>
        <w:t>OL ].Journal</w:t>
      </w:r>
      <w:proofErr w:type="gramEnd"/>
      <w:r w:rsidRPr="00A258E9">
        <w:rPr>
          <w:rFonts w:ascii="Times New Roman" w:hAnsi="Times New Roman" w:cs="Times New Roman"/>
        </w:rPr>
        <w:t xml:space="preserve"> of Southeast University ( Natural Science Edition ), 1-11 [ 2025-09-17 ].https://link.cnki.net/</w:t>
      </w:r>
      <w:proofErr w:type="spellStart"/>
      <w:r w:rsidRPr="00A258E9">
        <w:rPr>
          <w:rFonts w:ascii="Times New Roman" w:hAnsi="Times New Roman" w:cs="Times New Roman"/>
        </w:rPr>
        <w:t>urlid</w:t>
      </w:r>
      <w:proofErr w:type="spellEnd"/>
      <w:r w:rsidRPr="00A258E9">
        <w:rPr>
          <w:rFonts w:ascii="Times New Roman" w:hAnsi="Times New Roman" w:cs="Times New Roman"/>
        </w:rPr>
        <w:t>/32.1178.n.20250311.0950.002.</w:t>
      </w:r>
    </w:p>
    <w:p w14:paraId="6D823F82" w14:textId="2672DC6F" w:rsidR="00FA414D" w:rsidRDefault="00FA414D" w:rsidP="00A258E9">
      <w:pPr>
        <w:ind w:firstLine="420"/>
        <w:jc w:val="left"/>
        <w:rPr>
          <w:rFonts w:ascii="Times New Roman" w:hAnsi="Times New Roman" w:cs="Times New Roman"/>
        </w:rPr>
      </w:pPr>
      <w:r w:rsidRPr="00A258E9">
        <w:rPr>
          <w:rFonts w:ascii="Times New Roman" w:hAnsi="Times New Roman" w:cs="Times New Roman"/>
        </w:rPr>
        <w:lastRenderedPageBreak/>
        <w:t>[</w:t>
      </w:r>
      <w:proofErr w:type="gramStart"/>
      <w:r w:rsidRPr="00A258E9">
        <w:rPr>
          <w:rFonts w:ascii="Times New Roman" w:hAnsi="Times New Roman" w:cs="Times New Roman"/>
        </w:rPr>
        <w:t>6]N.</w:t>
      </w:r>
      <w:proofErr w:type="gramEnd"/>
      <w:r w:rsidRPr="00A258E9">
        <w:rPr>
          <w:rFonts w:ascii="Times New Roman" w:hAnsi="Times New Roman" w:cs="Times New Roman"/>
        </w:rPr>
        <w:t xml:space="preserve"> </w:t>
      </w:r>
      <w:proofErr w:type="spellStart"/>
      <w:r w:rsidRPr="00A258E9">
        <w:rPr>
          <w:rFonts w:ascii="Times New Roman" w:hAnsi="Times New Roman" w:cs="Times New Roman"/>
        </w:rPr>
        <w:t>Jauvtis</w:t>
      </w:r>
      <w:proofErr w:type="spellEnd"/>
      <w:r w:rsidRPr="00A258E9">
        <w:rPr>
          <w:rFonts w:ascii="Times New Roman" w:hAnsi="Times New Roman" w:cs="Times New Roman"/>
        </w:rPr>
        <w:t xml:space="preserve">, C.H.K. </w:t>
      </w:r>
      <w:proofErr w:type="spellStart"/>
      <w:r w:rsidRPr="00A258E9">
        <w:rPr>
          <w:rFonts w:ascii="Times New Roman" w:hAnsi="Times New Roman" w:cs="Times New Roman"/>
        </w:rPr>
        <w:t>Williamson,Vortex</w:t>
      </w:r>
      <w:proofErr w:type="spellEnd"/>
      <w:r w:rsidRPr="00A258E9">
        <w:rPr>
          <w:rFonts w:ascii="Times New Roman" w:hAnsi="Times New Roman" w:cs="Times New Roman"/>
        </w:rPr>
        <w:t xml:space="preserve">-induced vibration of a cylinder with two degrees of </w:t>
      </w:r>
      <w:proofErr w:type="spellStart"/>
      <w:r w:rsidRPr="00A258E9">
        <w:rPr>
          <w:rFonts w:ascii="Times New Roman" w:hAnsi="Times New Roman" w:cs="Times New Roman"/>
        </w:rPr>
        <w:t>freedom,Journal</w:t>
      </w:r>
      <w:proofErr w:type="spellEnd"/>
      <w:r w:rsidRPr="00A258E9">
        <w:rPr>
          <w:rFonts w:ascii="Times New Roman" w:hAnsi="Times New Roman" w:cs="Times New Roman"/>
        </w:rPr>
        <w:t xml:space="preserve"> of Fluids and </w:t>
      </w:r>
      <w:proofErr w:type="spellStart"/>
      <w:r w:rsidRPr="00A258E9">
        <w:rPr>
          <w:rFonts w:ascii="Times New Roman" w:hAnsi="Times New Roman" w:cs="Times New Roman"/>
        </w:rPr>
        <w:t>Structures,Volume</w:t>
      </w:r>
      <w:proofErr w:type="spellEnd"/>
      <w:r w:rsidRPr="00A258E9">
        <w:rPr>
          <w:rFonts w:ascii="Times New Roman" w:hAnsi="Times New Roman" w:cs="Times New Roman"/>
        </w:rPr>
        <w:t xml:space="preserve"> 17, Issue 7,2003,Pages 1035-1042,ISSN 0889-9746,</w:t>
      </w:r>
    </w:p>
    <w:p w14:paraId="27E1DD39" w14:textId="5D122142" w:rsidR="00A87969" w:rsidRDefault="00A87969" w:rsidP="00A258E9">
      <w:pPr>
        <w:ind w:firstLine="420"/>
        <w:jc w:val="left"/>
        <w:rPr>
          <w:rFonts w:ascii="Times New Roman" w:hAnsi="Times New Roman" w:cs="Times New Roman"/>
        </w:rPr>
      </w:pPr>
      <w:r>
        <w:rPr>
          <w:rFonts w:ascii="Times New Roman" w:hAnsi="Times New Roman" w:cs="Times New Roman"/>
        </w:rPr>
        <w:t xml:space="preserve">[7] </w:t>
      </w:r>
      <w:proofErr w:type="spellStart"/>
      <w:r w:rsidRPr="00A87969">
        <w:rPr>
          <w:rFonts w:ascii="Times New Roman" w:hAnsi="Times New Roman" w:cs="Times New Roman"/>
        </w:rPr>
        <w:t>Huera-Huarte</w:t>
      </w:r>
      <w:proofErr w:type="spellEnd"/>
      <w:r w:rsidRPr="00A87969">
        <w:rPr>
          <w:rFonts w:ascii="Times New Roman" w:hAnsi="Times New Roman" w:cs="Times New Roman"/>
        </w:rPr>
        <w:t>, F. (2024). Vortex-induced vibration of flexible cylinders in cross-flow. Annual Review of Fluid Mechanics, 57.</w:t>
      </w:r>
      <w:r>
        <w:rPr>
          <w:rFonts w:ascii="Times New Roman" w:hAnsi="Times New Roman" w:cs="Times New Roman"/>
        </w:rPr>
        <w:t xml:space="preserve">  </w:t>
      </w:r>
    </w:p>
    <w:p w14:paraId="6417FD42" w14:textId="31CDF254" w:rsidR="00A87969" w:rsidRDefault="00A87969" w:rsidP="00A258E9">
      <w:pPr>
        <w:ind w:firstLine="420"/>
        <w:jc w:val="left"/>
        <w:rPr>
          <w:rFonts w:ascii="Times New Roman" w:hAnsi="Times New Roman" w:cs="Times New Roman"/>
        </w:rPr>
      </w:pPr>
      <w:r>
        <w:rPr>
          <w:rFonts w:ascii="Times New Roman" w:hAnsi="Times New Roman" w:cs="Times New Roman"/>
        </w:rPr>
        <w:t xml:space="preserve">[8] </w:t>
      </w:r>
      <w:r w:rsidRPr="00A87969">
        <w:rPr>
          <w:rFonts w:ascii="Times New Roman" w:hAnsi="Times New Roman" w:cs="Times New Roman"/>
        </w:rPr>
        <w:t>Li, L., Yang, Y., Xu, W., Lu, B., Gu, Z., Yang, J., &amp; Tan, D. (2022). Advances in the multiphase vortex-induced vibration detection method and its vital technology for sustainable industrial production. Applied Sciences, 12(17), 8538.</w:t>
      </w:r>
      <w:r>
        <w:rPr>
          <w:rFonts w:ascii="Times New Roman" w:hAnsi="Times New Roman" w:cs="Times New Roman"/>
        </w:rPr>
        <w:t xml:space="preserve">  </w:t>
      </w:r>
    </w:p>
    <w:p w14:paraId="6DFFCCA0" w14:textId="3999BF2A" w:rsidR="00A0590D" w:rsidRDefault="00A0590D" w:rsidP="00A258E9">
      <w:pPr>
        <w:ind w:firstLine="420"/>
        <w:jc w:val="left"/>
        <w:rPr>
          <w:rFonts w:ascii="Times New Roman" w:hAnsi="Times New Roman" w:cs="Times New Roman"/>
        </w:rPr>
      </w:pPr>
      <w:r>
        <w:rPr>
          <w:rFonts w:ascii="Times New Roman" w:hAnsi="Times New Roman" w:cs="Times New Roman"/>
        </w:rPr>
        <w:t xml:space="preserve">[9] </w:t>
      </w:r>
      <w:proofErr w:type="spellStart"/>
      <w:r w:rsidRPr="00A0590D">
        <w:rPr>
          <w:rFonts w:ascii="Times New Roman" w:hAnsi="Times New Roman" w:cs="Times New Roman"/>
        </w:rPr>
        <w:t>Duranay</w:t>
      </w:r>
      <w:proofErr w:type="spellEnd"/>
      <w:r w:rsidRPr="00A0590D">
        <w:rPr>
          <w:rFonts w:ascii="Times New Roman" w:hAnsi="Times New Roman" w:cs="Times New Roman"/>
        </w:rPr>
        <w:t xml:space="preserve">, A., </w:t>
      </w:r>
      <w:proofErr w:type="spellStart"/>
      <w:r w:rsidRPr="00A0590D">
        <w:rPr>
          <w:rFonts w:ascii="Times New Roman" w:hAnsi="Times New Roman" w:cs="Times New Roman"/>
        </w:rPr>
        <w:t>Demirhan</w:t>
      </w:r>
      <w:proofErr w:type="spellEnd"/>
      <w:r w:rsidRPr="00A0590D">
        <w:rPr>
          <w:rFonts w:ascii="Times New Roman" w:hAnsi="Times New Roman" w:cs="Times New Roman"/>
        </w:rPr>
        <w:t xml:space="preserve">, A. E., </w:t>
      </w:r>
      <w:proofErr w:type="spellStart"/>
      <w:r w:rsidRPr="00A0590D">
        <w:rPr>
          <w:rFonts w:ascii="Times New Roman" w:hAnsi="Times New Roman" w:cs="Times New Roman"/>
        </w:rPr>
        <w:t>Dobrucali</w:t>
      </w:r>
      <w:proofErr w:type="spellEnd"/>
      <w:r w:rsidRPr="00A0590D">
        <w:rPr>
          <w:rFonts w:ascii="Times New Roman" w:hAnsi="Times New Roman" w:cs="Times New Roman"/>
        </w:rPr>
        <w:t xml:space="preserve">, E., &amp; </w:t>
      </w:r>
      <w:proofErr w:type="spellStart"/>
      <w:r w:rsidRPr="00A0590D">
        <w:rPr>
          <w:rFonts w:ascii="Times New Roman" w:hAnsi="Times New Roman" w:cs="Times New Roman"/>
        </w:rPr>
        <w:t>Kinaci</w:t>
      </w:r>
      <w:proofErr w:type="spellEnd"/>
      <w:r w:rsidRPr="00A0590D">
        <w:rPr>
          <w:rFonts w:ascii="Times New Roman" w:hAnsi="Times New Roman" w:cs="Times New Roman"/>
        </w:rPr>
        <w:t>, O. K. (2023). A review on vortex-induced vibrations in confined flows. Ocean Engineering, 285, 115309.</w:t>
      </w:r>
      <w:r>
        <w:rPr>
          <w:rFonts w:ascii="Times New Roman" w:hAnsi="Times New Roman" w:cs="Times New Roman"/>
        </w:rPr>
        <w:t xml:space="preserve">  </w:t>
      </w:r>
    </w:p>
    <w:p w14:paraId="5EED00E7" w14:textId="2AEB478E"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[10] </w:t>
      </w:r>
      <w:proofErr w:type="spellStart"/>
      <w:r w:rsidRPr="00A0590D">
        <w:rPr>
          <w:rFonts w:ascii="Times New Roman" w:hAnsi="Times New Roman" w:cs="Times New Roman"/>
        </w:rPr>
        <w:t>Teimourian</w:t>
      </w:r>
      <w:proofErr w:type="spellEnd"/>
      <w:r w:rsidRPr="00A0590D">
        <w:rPr>
          <w:rFonts w:ascii="Times New Roman" w:hAnsi="Times New Roman" w:cs="Times New Roman"/>
        </w:rPr>
        <w:t xml:space="preserve">, A., &amp; </w:t>
      </w:r>
      <w:proofErr w:type="spellStart"/>
      <w:r w:rsidRPr="00A0590D">
        <w:rPr>
          <w:rFonts w:ascii="Times New Roman" w:hAnsi="Times New Roman" w:cs="Times New Roman"/>
        </w:rPr>
        <w:t>Teimourian</w:t>
      </w:r>
      <w:proofErr w:type="spellEnd"/>
      <w:r w:rsidRPr="00A0590D">
        <w:rPr>
          <w:rFonts w:ascii="Times New Roman" w:hAnsi="Times New Roman" w:cs="Times New Roman"/>
        </w:rPr>
        <w:t xml:space="preserve">, H. (2021). Vortex shedding suppression: A review on modified bluff bodies. </w:t>
      </w:r>
      <w:proofErr w:type="spellStart"/>
      <w:r w:rsidRPr="00A0590D">
        <w:rPr>
          <w:rFonts w:ascii="Times New Roman" w:hAnsi="Times New Roman" w:cs="Times New Roman"/>
        </w:rPr>
        <w:t>Eng</w:t>
      </w:r>
      <w:proofErr w:type="spellEnd"/>
      <w:r w:rsidRPr="00A0590D">
        <w:rPr>
          <w:rFonts w:ascii="Times New Roman" w:hAnsi="Times New Roman" w:cs="Times New Roman"/>
        </w:rPr>
        <w:t>, 2(3), 325-339.</w:t>
      </w:r>
      <w:r>
        <w:rPr>
          <w:rFonts w:ascii="Times New Roman" w:hAnsi="Times New Roman" w:cs="Times New Roman"/>
        </w:rPr>
        <w:t xml:space="preserve">  </w:t>
      </w:r>
    </w:p>
    <w:p w14:paraId="13F2F08F" w14:textId="77E5530A"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[11] </w:t>
      </w:r>
      <w:r w:rsidRPr="00A0590D">
        <w:rPr>
          <w:rFonts w:ascii="Times New Roman" w:hAnsi="Times New Roman" w:cs="Times New Roman"/>
        </w:rPr>
        <w:t>Zhao, H., Ding, H., Wang, C., Li, K., Wang, G., &amp; Ren, B. (2023). Vortex-induced vibration at low Reynolds numbers: Vortex shedding modes transitions. Ocean Engineering, 288, 115931.</w:t>
      </w:r>
      <w:r>
        <w:rPr>
          <w:rFonts w:ascii="Times New Roman" w:hAnsi="Times New Roman" w:cs="Times New Roman"/>
        </w:rPr>
        <w:t xml:space="preserve">  </w:t>
      </w:r>
    </w:p>
    <w:p w14:paraId="6530BEEB" w14:textId="654E78F2"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[12] </w:t>
      </w:r>
      <w:r w:rsidRPr="00A0590D">
        <w:rPr>
          <w:rFonts w:ascii="Times New Roman" w:hAnsi="Times New Roman" w:cs="Times New Roman"/>
        </w:rPr>
        <w:t xml:space="preserve">Yan, C., Feng, Q., &amp; Yang, S. (2025). A review of influencing and controlling vortex-induced vibrations for </w:t>
      </w:r>
      <w:proofErr w:type="spellStart"/>
      <w:r w:rsidRPr="00A0590D">
        <w:rPr>
          <w:rFonts w:ascii="Times New Roman" w:hAnsi="Times New Roman" w:cs="Times New Roman"/>
        </w:rPr>
        <w:t>deepwater</w:t>
      </w:r>
      <w:proofErr w:type="spellEnd"/>
      <w:r w:rsidRPr="00A0590D">
        <w:rPr>
          <w:rFonts w:ascii="Times New Roman" w:hAnsi="Times New Roman" w:cs="Times New Roman"/>
        </w:rPr>
        <w:t xml:space="preserve"> risers. Processes, 13(8), 2353.</w:t>
      </w:r>
      <w:r>
        <w:rPr>
          <w:rFonts w:ascii="Times New Roman" w:hAnsi="Times New Roman" w:cs="Times New Roman"/>
        </w:rPr>
        <w:t xml:space="preserve">  </w:t>
      </w:r>
    </w:p>
    <w:p w14:paraId="72E25E6C" w14:textId="543692BB"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[13] </w:t>
      </w:r>
      <w:r w:rsidRPr="00A0590D">
        <w:rPr>
          <w:rFonts w:ascii="Times New Roman" w:hAnsi="Times New Roman" w:cs="Times New Roman"/>
        </w:rPr>
        <w:t xml:space="preserve">Zheng, C., Ji, T., </w:t>
      </w:r>
      <w:proofErr w:type="spellStart"/>
      <w:r w:rsidRPr="00A0590D">
        <w:rPr>
          <w:rFonts w:ascii="Times New Roman" w:hAnsi="Times New Roman" w:cs="Times New Roman"/>
        </w:rPr>
        <w:t>Xie</w:t>
      </w:r>
      <w:proofErr w:type="spellEnd"/>
      <w:r w:rsidRPr="00A0590D">
        <w:rPr>
          <w:rFonts w:ascii="Times New Roman" w:hAnsi="Times New Roman" w:cs="Times New Roman"/>
        </w:rPr>
        <w:t>, F., Zhang, X., Zheng, H., &amp; Zheng, Y. (2021). From active learning to deep reinforcement learning: Intelligent active flow control in suppressing vortex-induced vibration. Physics of Fluids, 33(6).</w:t>
      </w:r>
      <w:r>
        <w:rPr>
          <w:rFonts w:ascii="Times New Roman" w:hAnsi="Times New Roman" w:cs="Times New Roman"/>
        </w:rPr>
        <w:t xml:space="preserve">  </w:t>
      </w:r>
    </w:p>
    <w:p w14:paraId="64741D0C" w14:textId="543B6AB5"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[14] </w:t>
      </w:r>
      <w:r w:rsidRPr="00A0590D">
        <w:rPr>
          <w:rFonts w:ascii="Times New Roman" w:hAnsi="Times New Roman" w:cs="Times New Roman"/>
        </w:rPr>
        <w:t>Wang, Y., Li, X., &amp; Shen, Y. (2024). Study on mechanical vibration control of limit cycle oscillations in the van der pol oscillator by means of nonlinear energy sink. Journal of Vibration Engineering &amp; Technologies, 12(1), 811-819.</w:t>
      </w:r>
      <w:r>
        <w:rPr>
          <w:rFonts w:ascii="Times New Roman" w:hAnsi="Times New Roman" w:cs="Times New Roman"/>
        </w:rPr>
        <w:t xml:space="preserve">  </w:t>
      </w:r>
    </w:p>
    <w:p w14:paraId="30950ECC" w14:textId="5328F7E1"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[15] </w:t>
      </w:r>
      <w:r w:rsidRPr="00A0590D">
        <w:rPr>
          <w:rFonts w:ascii="Times New Roman" w:hAnsi="Times New Roman" w:cs="Times New Roman"/>
        </w:rPr>
        <w:t xml:space="preserve">Cui, W., Zhao, L., Ge, Y., &amp; Xu, K. (2024). A generalized van der Pol nonlinear model of vortex-induced vibrations of bridge decks with </w:t>
      </w:r>
      <w:proofErr w:type="spellStart"/>
      <w:r w:rsidRPr="00A0590D">
        <w:rPr>
          <w:rFonts w:ascii="Times New Roman" w:hAnsi="Times New Roman" w:cs="Times New Roman"/>
        </w:rPr>
        <w:t>multistability</w:t>
      </w:r>
      <w:proofErr w:type="spellEnd"/>
      <w:r w:rsidRPr="00A0590D">
        <w:rPr>
          <w:rFonts w:ascii="Times New Roman" w:hAnsi="Times New Roman" w:cs="Times New Roman"/>
        </w:rPr>
        <w:t>. Nonlinear Dynamics, 112(1), 259-272.</w:t>
      </w:r>
      <w:r>
        <w:rPr>
          <w:rFonts w:ascii="Times New Roman" w:hAnsi="Times New Roman" w:cs="Times New Roman"/>
        </w:rPr>
        <w:t xml:space="preserve">  </w:t>
      </w:r>
    </w:p>
    <w:p w14:paraId="0CAE69BE" w14:textId="4F148F15"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[16] </w:t>
      </w:r>
      <w:proofErr w:type="spellStart"/>
      <w:r w:rsidRPr="00A0590D">
        <w:rPr>
          <w:rFonts w:ascii="Times New Roman" w:hAnsi="Times New Roman" w:cs="Times New Roman"/>
        </w:rPr>
        <w:t>Almazova</w:t>
      </w:r>
      <w:proofErr w:type="spellEnd"/>
      <w:r w:rsidRPr="00A0590D">
        <w:rPr>
          <w:rFonts w:ascii="Times New Roman" w:hAnsi="Times New Roman" w:cs="Times New Roman"/>
        </w:rPr>
        <w:t xml:space="preserve">, N., </w:t>
      </w:r>
      <w:proofErr w:type="spellStart"/>
      <w:r w:rsidRPr="00A0590D">
        <w:rPr>
          <w:rFonts w:ascii="Times New Roman" w:hAnsi="Times New Roman" w:cs="Times New Roman"/>
        </w:rPr>
        <w:t>Aubry</w:t>
      </w:r>
      <w:proofErr w:type="spellEnd"/>
      <w:r w:rsidRPr="00A0590D">
        <w:rPr>
          <w:rFonts w:ascii="Times New Roman" w:hAnsi="Times New Roman" w:cs="Times New Roman"/>
        </w:rPr>
        <w:t xml:space="preserve">, S., &amp; </w:t>
      </w:r>
      <w:proofErr w:type="spellStart"/>
      <w:r w:rsidRPr="00A0590D">
        <w:rPr>
          <w:rFonts w:ascii="Times New Roman" w:hAnsi="Times New Roman" w:cs="Times New Roman"/>
        </w:rPr>
        <w:t>Tsironis</w:t>
      </w:r>
      <w:proofErr w:type="spellEnd"/>
      <w:r w:rsidRPr="00A0590D">
        <w:rPr>
          <w:rFonts w:ascii="Times New Roman" w:hAnsi="Times New Roman" w:cs="Times New Roman"/>
        </w:rPr>
        <w:t>, G. P. (2024). Targeted energy transfer dynamics and chemical reactions. Entropy, 26(9), 753.</w:t>
      </w:r>
      <w:r>
        <w:rPr>
          <w:rFonts w:ascii="Times New Roman" w:hAnsi="Times New Roman" w:cs="Times New Roman"/>
        </w:rPr>
        <w:t xml:space="preserve">  </w:t>
      </w:r>
    </w:p>
    <w:p w14:paraId="41F83F76" w14:textId="34F7BA2E" w:rsidR="00A0590D" w:rsidRDefault="00A0590D" w:rsidP="00A258E9">
      <w:pPr>
        <w:ind w:firstLine="420"/>
        <w:jc w:val="left"/>
        <w:rPr>
          <w:rFonts w:ascii="Times New Roman" w:hAnsi="Times New Roman" w:cs="Times New Roman"/>
        </w:rPr>
      </w:pPr>
      <w:r>
        <w:rPr>
          <w:rFonts w:ascii="Times New Roman" w:hAnsi="Times New Roman" w:cs="Times New Roman"/>
        </w:rPr>
        <w:t xml:space="preserve">[17] </w:t>
      </w:r>
      <w:proofErr w:type="spellStart"/>
      <w:r w:rsidRPr="00A0590D">
        <w:rPr>
          <w:rFonts w:ascii="Times New Roman" w:hAnsi="Times New Roman" w:cs="Times New Roman"/>
        </w:rPr>
        <w:t>Gzal</w:t>
      </w:r>
      <w:proofErr w:type="spellEnd"/>
      <w:r w:rsidRPr="00A0590D">
        <w:rPr>
          <w:rFonts w:ascii="Times New Roman" w:hAnsi="Times New Roman" w:cs="Times New Roman"/>
        </w:rPr>
        <w:t>, M., Carrion, J. E., AL-</w:t>
      </w:r>
      <w:proofErr w:type="spellStart"/>
      <w:r w:rsidRPr="00A0590D">
        <w:rPr>
          <w:rFonts w:ascii="Times New Roman" w:hAnsi="Times New Roman" w:cs="Times New Roman"/>
        </w:rPr>
        <w:t>Shudeifat</w:t>
      </w:r>
      <w:proofErr w:type="spellEnd"/>
      <w:r w:rsidRPr="00A0590D">
        <w:rPr>
          <w:rFonts w:ascii="Times New Roman" w:hAnsi="Times New Roman" w:cs="Times New Roman"/>
        </w:rPr>
        <w:t xml:space="preserve">, M. A., Spencer Jr, B. F., Conte, J. P., </w:t>
      </w:r>
      <w:proofErr w:type="spellStart"/>
      <w:r w:rsidRPr="00A0590D">
        <w:rPr>
          <w:rFonts w:ascii="Times New Roman" w:hAnsi="Times New Roman" w:cs="Times New Roman"/>
        </w:rPr>
        <w:t>Vakakis</w:t>
      </w:r>
      <w:proofErr w:type="spellEnd"/>
      <w:r w:rsidRPr="00A0590D">
        <w:rPr>
          <w:rFonts w:ascii="Times New Roman" w:hAnsi="Times New Roman" w:cs="Times New Roman"/>
        </w:rPr>
        <w:t>, A. F., ... &amp; Gendelman, O. V. (2023). Seismic mitigation of a benchmark twenty-story steel structure based on intermodal targeted energy transfer (IMTET). Engineering Structures, 283, 115868.</w:t>
      </w:r>
      <w:r>
        <w:rPr>
          <w:rFonts w:ascii="Times New Roman" w:hAnsi="Times New Roman" w:cs="Times New Roman"/>
        </w:rPr>
        <w:t xml:space="preserve">  </w:t>
      </w:r>
    </w:p>
    <w:p w14:paraId="116B6C06" w14:textId="3753FF02" w:rsidR="00562B08" w:rsidRDefault="00562B08" w:rsidP="00A258E9">
      <w:pPr>
        <w:ind w:firstLine="420"/>
        <w:jc w:val="left"/>
        <w:rPr>
          <w:rFonts w:ascii="Times New Roman" w:hAnsi="Times New Roman" w:cs="Times New Roman"/>
        </w:rPr>
      </w:pPr>
      <w:r>
        <w:rPr>
          <w:rFonts w:ascii="Times New Roman" w:hAnsi="Times New Roman" w:cs="Times New Roman"/>
        </w:rPr>
        <w:t xml:space="preserve">[18] </w:t>
      </w:r>
      <w:r w:rsidRPr="00562B08">
        <w:rPr>
          <w:rFonts w:ascii="Times New Roman" w:hAnsi="Times New Roman" w:cs="Times New Roman"/>
        </w:rPr>
        <w:t xml:space="preserve">Dutta, S., </w:t>
      </w:r>
      <w:proofErr w:type="spellStart"/>
      <w:r w:rsidRPr="00562B08">
        <w:rPr>
          <w:rFonts w:ascii="Times New Roman" w:hAnsi="Times New Roman" w:cs="Times New Roman"/>
        </w:rPr>
        <w:t>Erchinger</w:t>
      </w:r>
      <w:proofErr w:type="spellEnd"/>
      <w:r w:rsidRPr="00562B08">
        <w:rPr>
          <w:rFonts w:ascii="Times New Roman" w:hAnsi="Times New Roman" w:cs="Times New Roman"/>
        </w:rPr>
        <w:t xml:space="preserve">, J. E., </w:t>
      </w:r>
      <w:proofErr w:type="spellStart"/>
      <w:r w:rsidRPr="00562B08">
        <w:rPr>
          <w:rFonts w:ascii="Times New Roman" w:hAnsi="Times New Roman" w:cs="Times New Roman"/>
        </w:rPr>
        <w:t>Strieth-Kalthoff</w:t>
      </w:r>
      <w:proofErr w:type="spellEnd"/>
      <w:r w:rsidRPr="00562B08">
        <w:rPr>
          <w:rFonts w:ascii="Times New Roman" w:hAnsi="Times New Roman" w:cs="Times New Roman"/>
        </w:rPr>
        <w:t xml:space="preserve">, F., </w:t>
      </w:r>
      <w:proofErr w:type="spellStart"/>
      <w:r w:rsidRPr="00562B08">
        <w:rPr>
          <w:rFonts w:ascii="Times New Roman" w:hAnsi="Times New Roman" w:cs="Times New Roman"/>
        </w:rPr>
        <w:t>Kleinmans</w:t>
      </w:r>
      <w:proofErr w:type="spellEnd"/>
      <w:r w:rsidRPr="00562B08">
        <w:rPr>
          <w:rFonts w:ascii="Times New Roman" w:hAnsi="Times New Roman" w:cs="Times New Roman"/>
        </w:rPr>
        <w:t xml:space="preserve">, R., &amp; </w:t>
      </w:r>
      <w:proofErr w:type="spellStart"/>
      <w:r w:rsidRPr="00562B08">
        <w:rPr>
          <w:rFonts w:ascii="Times New Roman" w:hAnsi="Times New Roman" w:cs="Times New Roman"/>
        </w:rPr>
        <w:t>Glorius</w:t>
      </w:r>
      <w:proofErr w:type="spellEnd"/>
      <w:r w:rsidRPr="00562B08">
        <w:rPr>
          <w:rFonts w:ascii="Times New Roman" w:hAnsi="Times New Roman" w:cs="Times New Roman"/>
        </w:rPr>
        <w:t>, F. (2024). Energy transfer photocatalysis: exciting modes of reactivity. Chemical Society Reviews, 53(3), 1068-1089.</w:t>
      </w:r>
      <w:r>
        <w:rPr>
          <w:rFonts w:ascii="Times New Roman" w:hAnsi="Times New Roman" w:cs="Times New Roman"/>
        </w:rPr>
        <w:t xml:space="preserve">  </w:t>
      </w:r>
    </w:p>
    <w:p w14:paraId="1E5DD541" w14:textId="261F75EB" w:rsidR="00562B08" w:rsidRDefault="00562B08" w:rsidP="00A258E9">
      <w:pPr>
        <w:ind w:firstLine="420"/>
        <w:jc w:val="left"/>
        <w:rPr>
          <w:rFonts w:ascii="Times New Roman" w:hAnsi="Times New Roman" w:cs="Times New Roman"/>
        </w:rPr>
      </w:pPr>
      <w:r>
        <w:rPr>
          <w:rFonts w:ascii="Times New Roman" w:hAnsi="Times New Roman" w:cs="Times New Roman"/>
        </w:rPr>
        <w:t xml:space="preserve">[19] </w:t>
      </w:r>
      <w:proofErr w:type="spellStart"/>
      <w:r w:rsidRPr="00562B08">
        <w:rPr>
          <w:rFonts w:ascii="Times New Roman" w:hAnsi="Times New Roman" w:cs="Times New Roman"/>
        </w:rPr>
        <w:t>Filabi</w:t>
      </w:r>
      <w:proofErr w:type="spellEnd"/>
      <w:r w:rsidRPr="00562B08">
        <w:rPr>
          <w:rFonts w:ascii="Times New Roman" w:hAnsi="Times New Roman" w:cs="Times New Roman"/>
        </w:rPr>
        <w:t xml:space="preserve">, M. E., </w:t>
      </w:r>
      <w:proofErr w:type="spellStart"/>
      <w:r w:rsidRPr="00562B08">
        <w:rPr>
          <w:rFonts w:ascii="Times New Roman" w:hAnsi="Times New Roman" w:cs="Times New Roman"/>
        </w:rPr>
        <w:t>AminYazdi</w:t>
      </w:r>
      <w:proofErr w:type="spellEnd"/>
      <w:r w:rsidRPr="00562B08">
        <w:rPr>
          <w:rFonts w:ascii="Times New Roman" w:hAnsi="Times New Roman" w:cs="Times New Roman"/>
        </w:rPr>
        <w:t xml:space="preserve">, A., &amp; </w:t>
      </w:r>
      <w:proofErr w:type="spellStart"/>
      <w:r w:rsidRPr="00562B08">
        <w:rPr>
          <w:rFonts w:ascii="Times New Roman" w:hAnsi="Times New Roman" w:cs="Times New Roman"/>
        </w:rPr>
        <w:t>Salimipour</w:t>
      </w:r>
      <w:proofErr w:type="spellEnd"/>
      <w:r w:rsidRPr="00562B08">
        <w:rPr>
          <w:rFonts w:ascii="Times New Roman" w:hAnsi="Times New Roman" w:cs="Times New Roman"/>
        </w:rPr>
        <w:t>, E. (2024). Vortex-induced vibration effect on the aeroelastic stability of two composite cylindrical shells using a fluid-structure interaction method. Ocean Engineering, 305, 118020.</w:t>
      </w:r>
      <w:r>
        <w:rPr>
          <w:rFonts w:ascii="Times New Roman" w:hAnsi="Times New Roman" w:cs="Times New Roman"/>
        </w:rPr>
        <w:t xml:space="preserve">  </w:t>
      </w:r>
    </w:p>
    <w:p w14:paraId="5E8E0558" w14:textId="02CF0E0E" w:rsidR="00562B08" w:rsidRPr="00A258E9" w:rsidRDefault="00562B08" w:rsidP="00A258E9">
      <w:pPr>
        <w:ind w:firstLine="420"/>
        <w:jc w:val="left"/>
        <w:rPr>
          <w:rFonts w:ascii="Times New Roman" w:hAnsi="Times New Roman" w:cs="Times New Roman"/>
        </w:rPr>
      </w:pPr>
      <w:r>
        <w:rPr>
          <w:rFonts w:ascii="Times New Roman" w:hAnsi="Times New Roman" w:cs="Times New Roman"/>
        </w:rPr>
        <w:t xml:space="preserve">[20] </w:t>
      </w:r>
      <w:r w:rsidRPr="00562B08">
        <w:rPr>
          <w:rFonts w:ascii="Times New Roman" w:hAnsi="Times New Roman" w:cs="Times New Roman"/>
        </w:rPr>
        <w:t>Guo, J., &amp; Liu, Y. (2023). Flow-Induced Vibration of Cantilever Type Elastic Material in Straight Tricylinder. Applied Sciences, 13(23), 12724.</w:t>
      </w:r>
      <w:r>
        <w:rPr>
          <w:rFonts w:ascii="Times New Roman" w:hAnsi="Times New Roman" w:cs="Times New Roman"/>
        </w:rPr>
        <w:t xml:space="preserve">  </w:t>
      </w:r>
    </w:p>
    <w:sectPr w:rsidR="00562B08" w:rsidRPr="00A258E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1D02D" w14:textId="77777777" w:rsidR="00B904EE" w:rsidRDefault="00B904EE" w:rsidP="008B19E2">
      <w:pPr>
        <w:ind w:firstLine="420"/>
      </w:pPr>
      <w:r>
        <w:separator/>
      </w:r>
    </w:p>
  </w:endnote>
  <w:endnote w:type="continuationSeparator" w:id="0">
    <w:p w14:paraId="4331038E" w14:textId="77777777" w:rsidR="00B904EE" w:rsidRDefault="00B904EE" w:rsidP="008B19E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1019" w14:textId="77777777" w:rsidR="008B19E2" w:rsidRDefault="008B19E2">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C8BD" w14:textId="77777777" w:rsidR="008B19E2" w:rsidRDefault="008B19E2">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6207" w14:textId="77777777" w:rsidR="008B19E2" w:rsidRDefault="008B19E2">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4925F" w14:textId="77777777" w:rsidR="00B904EE" w:rsidRDefault="00B904EE" w:rsidP="008B19E2">
      <w:pPr>
        <w:ind w:firstLine="420"/>
      </w:pPr>
      <w:r>
        <w:separator/>
      </w:r>
    </w:p>
  </w:footnote>
  <w:footnote w:type="continuationSeparator" w:id="0">
    <w:p w14:paraId="5BEB16C6" w14:textId="77777777" w:rsidR="00B904EE" w:rsidRDefault="00B904EE" w:rsidP="008B19E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9D75" w14:textId="69CC7A58" w:rsidR="008B19E2" w:rsidRDefault="008B19E2">
    <w:pPr>
      <w:pStyle w:val="Header"/>
      <w:ind w:firstLine="420"/>
    </w:pPr>
    <w:r>
      <w:rPr>
        <w:noProof/>
      </w:rPr>
      <w:pict w14:anchorId="42DB1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87563"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9F2E" w14:textId="750BC10D" w:rsidR="008B19E2" w:rsidRDefault="008B19E2">
    <w:pPr>
      <w:pStyle w:val="Header"/>
      <w:ind w:firstLine="420"/>
    </w:pPr>
    <w:r>
      <w:rPr>
        <w:noProof/>
      </w:rPr>
      <w:pict w14:anchorId="195BE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87564"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AD0A" w14:textId="623606C6" w:rsidR="008B19E2" w:rsidRDefault="008B19E2">
    <w:pPr>
      <w:pStyle w:val="Header"/>
      <w:ind w:firstLine="420"/>
    </w:pPr>
    <w:r>
      <w:rPr>
        <w:noProof/>
      </w:rPr>
      <w:pict w14:anchorId="38C11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87562"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TMzMrI0MTA1tzRR0lEKTi0uzszPAykwrAUAAQXAiywAAAA="/>
  </w:docVars>
  <w:rsids>
    <w:rsidRoot w:val="00DB3F2B"/>
    <w:rsid w:val="0029755F"/>
    <w:rsid w:val="002B1500"/>
    <w:rsid w:val="003436C8"/>
    <w:rsid w:val="003971D6"/>
    <w:rsid w:val="004B5933"/>
    <w:rsid w:val="004F5A91"/>
    <w:rsid w:val="00562B08"/>
    <w:rsid w:val="00583757"/>
    <w:rsid w:val="005C45C5"/>
    <w:rsid w:val="006E3B29"/>
    <w:rsid w:val="00790155"/>
    <w:rsid w:val="008B19E2"/>
    <w:rsid w:val="00A0590D"/>
    <w:rsid w:val="00A258E9"/>
    <w:rsid w:val="00A87969"/>
    <w:rsid w:val="00B904EE"/>
    <w:rsid w:val="00C71CE2"/>
    <w:rsid w:val="00CF42AB"/>
    <w:rsid w:val="00DB3F2B"/>
    <w:rsid w:val="00E16D65"/>
    <w:rsid w:val="00F676A8"/>
    <w:rsid w:val="00FA414D"/>
    <w:rsid w:val="00FE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EDBE8D"/>
  <w15:chartTrackingRefBased/>
  <w15:docId w15:val="{6695A12D-960F-4B70-B2F1-636DD53E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B29"/>
    <w:pPr>
      <w:widowControl w:val="0"/>
      <w:ind w:firstLineChars="200" w:firstLine="200"/>
      <w:jc w:val="both"/>
    </w:pPr>
  </w:style>
  <w:style w:type="paragraph" w:styleId="Heading1">
    <w:name w:val="heading 1"/>
    <w:basedOn w:val="Normal"/>
    <w:next w:val="Normal"/>
    <w:link w:val="Heading1Char"/>
    <w:uiPriority w:val="9"/>
    <w:qFormat/>
    <w:rsid w:val="00C71CE2"/>
    <w:pPr>
      <w:keepNext/>
      <w:keepLines/>
      <w:spacing w:before="480" w:after="80"/>
      <w:outlineLvl w:val="0"/>
    </w:pPr>
    <w:rPr>
      <w:rFonts w:asciiTheme="majorHAnsi" w:eastAsiaTheme="majorEastAsia" w:hAnsiTheme="majorHAnsi" w:cstheme="majorBidi"/>
      <w:color w:val="000000" w:themeColor="text1"/>
      <w:sz w:val="48"/>
      <w:szCs w:val="48"/>
    </w:rPr>
  </w:style>
  <w:style w:type="paragraph" w:styleId="Heading2">
    <w:name w:val="heading 2"/>
    <w:basedOn w:val="Normal"/>
    <w:next w:val="Normal"/>
    <w:link w:val="Heading2Char"/>
    <w:uiPriority w:val="9"/>
    <w:unhideWhenUsed/>
    <w:qFormat/>
    <w:rsid w:val="00C71CE2"/>
    <w:pPr>
      <w:keepNext/>
      <w:keepLines/>
      <w:spacing w:before="160" w:after="80"/>
      <w:outlineLvl w:val="1"/>
    </w:pPr>
    <w:rPr>
      <w:rFonts w:asciiTheme="majorHAnsi" w:eastAsiaTheme="majorEastAsia" w:hAnsiTheme="majorHAnsi" w:cstheme="majorBidi"/>
      <w:color w:val="000000" w:themeColor="text1"/>
      <w:sz w:val="40"/>
      <w:szCs w:val="40"/>
    </w:rPr>
  </w:style>
  <w:style w:type="paragraph" w:styleId="Heading3">
    <w:name w:val="heading 3"/>
    <w:basedOn w:val="Normal"/>
    <w:next w:val="Normal"/>
    <w:link w:val="Heading3Char"/>
    <w:uiPriority w:val="9"/>
    <w:semiHidden/>
    <w:unhideWhenUsed/>
    <w:qFormat/>
    <w:rsid w:val="00DB3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DB3F2B"/>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DB3F2B"/>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B3F2B"/>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DB3F2B"/>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B3F2B"/>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B3F2B"/>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CE2"/>
    <w:rPr>
      <w:rFonts w:asciiTheme="majorHAnsi" w:eastAsiaTheme="majorEastAsia" w:hAnsiTheme="majorHAnsi" w:cstheme="majorBidi"/>
      <w:color w:val="000000" w:themeColor="text1"/>
      <w:sz w:val="48"/>
      <w:szCs w:val="48"/>
    </w:rPr>
  </w:style>
  <w:style w:type="character" w:customStyle="1" w:styleId="Heading2Char">
    <w:name w:val="Heading 2 Char"/>
    <w:basedOn w:val="DefaultParagraphFont"/>
    <w:link w:val="Heading2"/>
    <w:uiPriority w:val="9"/>
    <w:rsid w:val="00C71CE2"/>
    <w:rPr>
      <w:rFonts w:asciiTheme="majorHAnsi" w:eastAsiaTheme="majorEastAsia" w:hAnsiTheme="majorHAnsi" w:cstheme="majorBidi"/>
      <w:color w:val="000000" w:themeColor="text1"/>
      <w:sz w:val="40"/>
      <w:szCs w:val="40"/>
    </w:rPr>
  </w:style>
  <w:style w:type="character" w:customStyle="1" w:styleId="Heading3Char">
    <w:name w:val="Heading 3 Char"/>
    <w:basedOn w:val="DefaultParagraphFont"/>
    <w:link w:val="Heading3"/>
    <w:uiPriority w:val="9"/>
    <w:semiHidden/>
    <w:rsid w:val="00DB3F2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B3F2B"/>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DB3F2B"/>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DB3F2B"/>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DB3F2B"/>
    <w:rPr>
      <w:rFonts w:cstheme="majorBidi"/>
      <w:b/>
      <w:bCs/>
      <w:color w:val="595959" w:themeColor="text1" w:themeTint="A6"/>
    </w:rPr>
  </w:style>
  <w:style w:type="character" w:customStyle="1" w:styleId="Heading8Char">
    <w:name w:val="Heading 8 Char"/>
    <w:basedOn w:val="DefaultParagraphFont"/>
    <w:link w:val="Heading8"/>
    <w:uiPriority w:val="9"/>
    <w:semiHidden/>
    <w:rsid w:val="00DB3F2B"/>
    <w:rPr>
      <w:rFonts w:cstheme="majorBidi"/>
      <w:color w:val="595959" w:themeColor="text1" w:themeTint="A6"/>
    </w:rPr>
  </w:style>
  <w:style w:type="character" w:customStyle="1" w:styleId="Heading9Char">
    <w:name w:val="Heading 9 Char"/>
    <w:basedOn w:val="DefaultParagraphFont"/>
    <w:link w:val="Heading9"/>
    <w:uiPriority w:val="9"/>
    <w:semiHidden/>
    <w:rsid w:val="00DB3F2B"/>
    <w:rPr>
      <w:rFonts w:eastAsiaTheme="majorEastAsia" w:cstheme="majorBidi"/>
      <w:color w:val="595959" w:themeColor="text1" w:themeTint="A6"/>
    </w:rPr>
  </w:style>
  <w:style w:type="paragraph" w:styleId="Title">
    <w:name w:val="Title"/>
    <w:basedOn w:val="Normal"/>
    <w:next w:val="Normal"/>
    <w:link w:val="TitleChar"/>
    <w:uiPriority w:val="10"/>
    <w:qFormat/>
    <w:rsid w:val="00DB3F2B"/>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F2B"/>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F2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B3F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3F2B"/>
    <w:rPr>
      <w:i/>
      <w:iCs/>
      <w:color w:val="404040" w:themeColor="text1" w:themeTint="BF"/>
    </w:rPr>
  </w:style>
  <w:style w:type="paragraph" w:styleId="ListParagraph">
    <w:name w:val="List Paragraph"/>
    <w:basedOn w:val="Normal"/>
    <w:uiPriority w:val="34"/>
    <w:qFormat/>
    <w:rsid w:val="00DB3F2B"/>
    <w:pPr>
      <w:ind w:left="720"/>
      <w:contextualSpacing/>
    </w:pPr>
  </w:style>
  <w:style w:type="character" w:styleId="IntenseEmphasis">
    <w:name w:val="Intense Emphasis"/>
    <w:basedOn w:val="DefaultParagraphFont"/>
    <w:uiPriority w:val="21"/>
    <w:qFormat/>
    <w:rsid w:val="00DB3F2B"/>
    <w:rPr>
      <w:i/>
      <w:iCs/>
      <w:color w:val="2F5496" w:themeColor="accent1" w:themeShade="BF"/>
    </w:rPr>
  </w:style>
  <w:style w:type="paragraph" w:styleId="IntenseQuote">
    <w:name w:val="Intense Quote"/>
    <w:basedOn w:val="Normal"/>
    <w:next w:val="Normal"/>
    <w:link w:val="IntenseQuoteChar"/>
    <w:uiPriority w:val="30"/>
    <w:qFormat/>
    <w:rsid w:val="00DB3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F2B"/>
    <w:rPr>
      <w:i/>
      <w:iCs/>
      <w:color w:val="2F5496" w:themeColor="accent1" w:themeShade="BF"/>
    </w:rPr>
  </w:style>
  <w:style w:type="character" w:styleId="IntenseReference">
    <w:name w:val="Intense Reference"/>
    <w:basedOn w:val="DefaultParagraphFont"/>
    <w:uiPriority w:val="32"/>
    <w:qFormat/>
    <w:rsid w:val="00DB3F2B"/>
    <w:rPr>
      <w:b/>
      <w:bCs/>
      <w:smallCaps/>
      <w:color w:val="2F5496" w:themeColor="accent1" w:themeShade="BF"/>
      <w:spacing w:val="5"/>
    </w:rPr>
  </w:style>
  <w:style w:type="paragraph" w:styleId="Caption">
    <w:name w:val="caption"/>
    <w:basedOn w:val="Normal"/>
    <w:next w:val="Normal"/>
    <w:unhideWhenUsed/>
    <w:qFormat/>
    <w:rsid w:val="00DB3F2B"/>
    <w:rPr>
      <w:rFonts w:ascii="DengXian Light" w:eastAsia="SimHei" w:hAnsi="DengXian Light" w:cs="Times New Roman"/>
      <w:sz w:val="20"/>
      <w:szCs w:val="20"/>
    </w:rPr>
  </w:style>
  <w:style w:type="character" w:styleId="Hyperlink">
    <w:name w:val="Hyperlink"/>
    <w:basedOn w:val="DefaultParagraphFont"/>
    <w:uiPriority w:val="99"/>
    <w:unhideWhenUsed/>
    <w:rsid w:val="00A258E9"/>
    <w:rPr>
      <w:color w:val="0563C1" w:themeColor="hyperlink"/>
      <w:u w:val="single"/>
    </w:rPr>
  </w:style>
  <w:style w:type="character" w:styleId="UnresolvedMention">
    <w:name w:val="Unresolved Mention"/>
    <w:basedOn w:val="DefaultParagraphFont"/>
    <w:uiPriority w:val="99"/>
    <w:semiHidden/>
    <w:unhideWhenUsed/>
    <w:rsid w:val="00A258E9"/>
    <w:rPr>
      <w:color w:val="605E5C"/>
      <w:shd w:val="clear" w:color="auto" w:fill="E1DFDD"/>
    </w:rPr>
  </w:style>
  <w:style w:type="paragraph" w:styleId="Header">
    <w:name w:val="header"/>
    <w:basedOn w:val="Normal"/>
    <w:link w:val="HeaderChar"/>
    <w:uiPriority w:val="99"/>
    <w:unhideWhenUsed/>
    <w:rsid w:val="008B19E2"/>
    <w:pPr>
      <w:tabs>
        <w:tab w:val="center" w:pos="4680"/>
        <w:tab w:val="right" w:pos="9360"/>
      </w:tabs>
    </w:pPr>
  </w:style>
  <w:style w:type="character" w:customStyle="1" w:styleId="HeaderChar">
    <w:name w:val="Header Char"/>
    <w:basedOn w:val="DefaultParagraphFont"/>
    <w:link w:val="Header"/>
    <w:uiPriority w:val="99"/>
    <w:rsid w:val="008B19E2"/>
  </w:style>
  <w:style w:type="paragraph" w:styleId="Footer">
    <w:name w:val="footer"/>
    <w:basedOn w:val="Normal"/>
    <w:link w:val="FooterChar"/>
    <w:uiPriority w:val="99"/>
    <w:unhideWhenUsed/>
    <w:rsid w:val="008B19E2"/>
    <w:pPr>
      <w:tabs>
        <w:tab w:val="center" w:pos="4680"/>
        <w:tab w:val="right" w:pos="9360"/>
      </w:tabs>
    </w:pPr>
  </w:style>
  <w:style w:type="character" w:customStyle="1" w:styleId="FooterChar">
    <w:name w:val="Footer Char"/>
    <w:basedOn w:val="DefaultParagraphFont"/>
    <w:link w:val="Footer"/>
    <w:uiPriority w:val="99"/>
    <w:rsid w:val="008B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https://lxxb.cstam.org.cn/fileLXXB/journal/article/lxxb/2022/9/lxxb2022-193-1_mini.jp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5807</Words>
  <Characters>33104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焯贤 王</dc:creator>
  <cp:keywords/>
  <dc:description/>
  <cp:lastModifiedBy>SDI 1084</cp:lastModifiedBy>
  <cp:revision>15</cp:revision>
  <dcterms:created xsi:type="dcterms:W3CDTF">2025-09-17T12:28:00Z</dcterms:created>
  <dcterms:modified xsi:type="dcterms:W3CDTF">2025-09-18T11:51:00Z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f5afa89f-39fb-4f39-ba1e-6b14dc0cb4ac</vt:lpwstr>
  </property>
</Properties>
</file>