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1C5D5" w14:textId="0A2AB90C" w:rsidR="00F82170" w:rsidRDefault="009C0559" w:rsidP="00A71974">
      <w:pPr>
        <w:spacing w:line="240" w:lineRule="auto"/>
        <w:jc w:val="center"/>
        <w:rPr>
          <w:rFonts w:ascii="Arial" w:hAnsi="Arial" w:cs="Arial"/>
          <w:b/>
          <w:bCs/>
          <w:sz w:val="36"/>
          <w:szCs w:val="36"/>
        </w:rPr>
      </w:pPr>
      <w:r w:rsidRPr="00A71974">
        <w:rPr>
          <w:rFonts w:ascii="Arial" w:hAnsi="Arial" w:cs="Arial"/>
          <w:b/>
          <w:bCs/>
          <w:sz w:val="36"/>
          <w:szCs w:val="36"/>
        </w:rPr>
        <w:t>Statistical Modelling of Angle of Internal Friction with SPT-N Value, D50, and Effective Stress</w:t>
      </w:r>
    </w:p>
    <w:p w14:paraId="5D644E96" w14:textId="472BAF9B" w:rsidR="007F44AF" w:rsidRPr="007F44AF" w:rsidRDefault="00E779F5" w:rsidP="007F44AF">
      <w:pPr>
        <w:spacing w:line="240" w:lineRule="auto"/>
        <w:jc w:val="both"/>
        <w:rPr>
          <w:rFonts w:ascii="Arial" w:hAnsi="Arial" w:cs="Arial"/>
          <w:sz w:val="20"/>
          <w:szCs w:val="20"/>
        </w:rPr>
      </w:pPr>
      <w:r w:rsidRPr="00A71974">
        <w:rPr>
          <w:rFonts w:ascii="Arial" w:hAnsi="Arial" w:cs="Arial"/>
          <w:b/>
          <w:bCs/>
          <w:sz w:val="22"/>
          <w:szCs w:val="22"/>
        </w:rPr>
        <w:t>Abstract</w:t>
      </w:r>
      <w:r w:rsidR="00A71974" w:rsidRPr="00A71974">
        <w:rPr>
          <w:rFonts w:ascii="Arial" w:hAnsi="Arial" w:cs="Arial"/>
          <w:b/>
          <w:bCs/>
          <w:sz w:val="22"/>
          <w:szCs w:val="22"/>
        </w:rPr>
        <w:t>:</w:t>
      </w:r>
      <w:r w:rsidR="00A71974" w:rsidRPr="00A71974">
        <w:rPr>
          <w:rFonts w:ascii="Arial" w:hAnsi="Arial" w:cs="Arial"/>
          <w:b/>
          <w:bCs/>
          <w:sz w:val="20"/>
          <w:szCs w:val="20"/>
        </w:rPr>
        <w:t xml:space="preserve"> </w:t>
      </w:r>
      <w:r w:rsidR="007F44AF" w:rsidRPr="007F44AF">
        <w:rPr>
          <w:rFonts w:ascii="Arial" w:hAnsi="Arial" w:cs="Arial"/>
          <w:sz w:val="20"/>
          <w:szCs w:val="20"/>
        </w:rPr>
        <w:t>The study's objective was to create statistical models that relate the angle of internal friction to predictor factors including median grain size (D50), effective overburden stress, and Standard Penetration Test N-values for soil deposits at Rumuibekwe Bridge in the Niger Delta. To determine the SPT-N values, a total of 16 SPT tests were conducted in the subsoil between 0 and 30 meters.</w:t>
      </w:r>
      <w:r w:rsidR="007F44AF">
        <w:rPr>
          <w:rFonts w:ascii="Arial" w:hAnsi="Arial" w:cs="Arial"/>
          <w:sz w:val="20"/>
          <w:szCs w:val="20"/>
        </w:rPr>
        <w:t xml:space="preserve"> </w:t>
      </w:r>
      <w:r w:rsidR="007F44AF" w:rsidRPr="007F44AF">
        <w:rPr>
          <w:rFonts w:ascii="Arial" w:hAnsi="Arial" w:cs="Arial"/>
          <w:sz w:val="20"/>
          <w:szCs w:val="20"/>
        </w:rPr>
        <w:t>Additionally, soil samples were taken at every stratum, and laboratory analyses using the SPT test were performed. The soil's median particle size (D50) and internal friction angle were determined using the triaxial and sieve tests. Models that connected the response variable with the predictor variables were created using statistical regression modeling, both basic and multivariate. Effective overburden stress was the most important predictor, according to the simple regression analysis, which performed exceptionally well with R2 = 0.921 and RMSE = 1.091°, much surpassing conventional SPT-based methods.</w:t>
      </w:r>
      <w:r w:rsidR="007F44AF">
        <w:rPr>
          <w:rFonts w:ascii="Arial" w:hAnsi="Arial" w:cs="Arial"/>
          <w:sz w:val="20"/>
          <w:szCs w:val="20"/>
        </w:rPr>
        <w:t xml:space="preserve"> </w:t>
      </w:r>
      <w:r w:rsidR="007F44AF" w:rsidRPr="007F44AF">
        <w:rPr>
          <w:rFonts w:ascii="Arial" w:hAnsi="Arial" w:cs="Arial"/>
          <w:sz w:val="20"/>
          <w:szCs w:val="20"/>
        </w:rPr>
        <w:t>While the median grain size model had poor predictive capabilities (R2 = 0.242), the basic linear SPT-N model was able to achieve acceptable performance (R2 = 0.807). Multicollinearity effects only made effective overburden pressure statistically significant (p = 0.004), while multiple regression with all parameters (R2 = 0.929) improved the single-parameter effective stress model just somewhat. The effective stress model performed better than the others, with RMSE = 0.88° and MAPE = 2.9%, according to model validation using independent test samples.</w:t>
      </w:r>
      <w:r w:rsidR="007F44AF">
        <w:rPr>
          <w:rFonts w:ascii="Arial" w:hAnsi="Arial" w:cs="Arial"/>
          <w:sz w:val="20"/>
          <w:szCs w:val="20"/>
        </w:rPr>
        <w:t xml:space="preserve"> </w:t>
      </w:r>
      <w:r w:rsidR="007F44AF" w:rsidRPr="007F44AF">
        <w:rPr>
          <w:rFonts w:ascii="Arial" w:hAnsi="Arial" w:cs="Arial"/>
          <w:sz w:val="20"/>
          <w:szCs w:val="20"/>
        </w:rPr>
        <w:t>According to the results, effective stress must be included in order to anticipate the association between friction angle. Furthermore, as location-based friction angle prediction models perform better than global ones, they ought to be used.</w:t>
      </w:r>
    </w:p>
    <w:p w14:paraId="6A373992" w14:textId="77777777" w:rsidR="00E779F5" w:rsidRPr="00A71974" w:rsidRDefault="00E779F5" w:rsidP="00A71974">
      <w:pPr>
        <w:spacing w:line="240" w:lineRule="auto"/>
        <w:jc w:val="both"/>
        <w:rPr>
          <w:rFonts w:ascii="Arial" w:hAnsi="Arial" w:cs="Arial"/>
          <w:sz w:val="20"/>
          <w:szCs w:val="20"/>
        </w:rPr>
      </w:pPr>
      <w:r w:rsidRPr="003656A0">
        <w:rPr>
          <w:rFonts w:ascii="Arial" w:hAnsi="Arial" w:cs="Arial"/>
          <w:b/>
          <w:bCs/>
          <w:sz w:val="22"/>
          <w:szCs w:val="22"/>
        </w:rPr>
        <w:t>Keywords:</w:t>
      </w:r>
      <w:r w:rsidRPr="00A71974">
        <w:rPr>
          <w:rFonts w:ascii="Arial" w:hAnsi="Arial" w:cs="Arial"/>
          <w:sz w:val="20"/>
          <w:szCs w:val="20"/>
        </w:rPr>
        <w:t xml:space="preserve"> friction angle, SPT-N values, effective stress, median grain size, multiple regression, Niger Delta</w:t>
      </w:r>
      <w:bookmarkStart w:id="0" w:name="_GoBack"/>
      <w:bookmarkEnd w:id="0"/>
    </w:p>
    <w:p w14:paraId="63A890C5" w14:textId="79C07378" w:rsidR="00E779F5" w:rsidRPr="00A71974" w:rsidRDefault="00A71974" w:rsidP="00A71974">
      <w:pPr>
        <w:spacing w:line="240" w:lineRule="auto"/>
        <w:jc w:val="both"/>
        <w:rPr>
          <w:rFonts w:ascii="Arial" w:hAnsi="Arial" w:cs="Arial"/>
          <w:b/>
          <w:bCs/>
          <w:sz w:val="20"/>
          <w:szCs w:val="20"/>
        </w:rPr>
      </w:pPr>
      <w:r w:rsidRPr="00A71974">
        <w:rPr>
          <w:rFonts w:ascii="Arial" w:hAnsi="Arial" w:cs="Arial"/>
          <w:b/>
          <w:bCs/>
          <w:sz w:val="20"/>
          <w:szCs w:val="20"/>
        </w:rPr>
        <w:t>1</w:t>
      </w:r>
      <w:r w:rsidRPr="00A71974">
        <w:rPr>
          <w:rFonts w:ascii="Arial" w:hAnsi="Arial" w:cs="Arial"/>
          <w:b/>
          <w:bCs/>
          <w:sz w:val="22"/>
          <w:szCs w:val="22"/>
        </w:rPr>
        <w:t>. INTRODUCTION</w:t>
      </w:r>
    </w:p>
    <w:p w14:paraId="0795798F" w14:textId="1D9778F9"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A crucial design parameter for the majority of geotechnical design processes, including earth structure design, slope stability analysis, and bearing capacity calculation, is the angle of internal friction (Ullah et al., 2025). Laboratory experiments like the triaxial test or the direct shear box test are still the most accurate way to determine and estimate the angle of internal friction of soil (Brown &amp; Hettiarachchi, 2008; Ullah et al., 2025). Engineers now use empirical correlation for estimate, nevertheless, due to a number of issues, including laboratory error and maintaining the soil's condition prior to the experiment.</w:t>
      </w:r>
      <w:r>
        <w:rPr>
          <w:rFonts w:ascii="Arial" w:hAnsi="Arial" w:cs="Arial"/>
          <w:sz w:val="20"/>
          <w:szCs w:val="20"/>
        </w:rPr>
        <w:t xml:space="preserve"> </w:t>
      </w:r>
      <w:r w:rsidRPr="007F44AF">
        <w:rPr>
          <w:rFonts w:ascii="Arial" w:hAnsi="Arial" w:cs="Arial"/>
          <w:sz w:val="20"/>
          <w:szCs w:val="20"/>
        </w:rPr>
        <w:t>Additionally, the expense of the test and the number of man hours needed, particularly when doing several tests, have led engineers to search for a quicker and less costly way to estimate the angle of friction. Currently, the angle of friction is determined by comparing the friction angle to the N-values from the Standard Penetration Test. Since the beginning of the 20th century, Standard Penetration Test (SPT) N-values have been the main in-situ testing parameter for characterizing soil. Several correlations have been established to estimate shear strength parameters from penetration resistance (Peck et al., 1953; Ohsaki et al., 1959; Hatanaka &amp; Uchida, 1996; Cubrinovski &amp; Ishihara, 1999).</w:t>
      </w:r>
    </w:p>
    <w:p w14:paraId="541A299C" w14:textId="77777777"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The angle of internal friction is often modeled using just SPT-N values (Peck et al., 1957; Ohsaki et al., 1959; Hatanaka &amp; Uchida, 1996). Nevertheless, these models have not been very successful, particularly when applied to localized or regional soil (Sahab et al., 2022). In order to increase the accuracy of the angle of internal friction prediction, additional predictive factors must be included. When applied to certain geological conditions, the addition of factors beyond SPT-N values has shown notable gains in correlation accuracy and dependability (Sahab et al., 2022). Granular soils' mechanical behavior is significantly influenced by grain size features, especially median grain size (D50)</w:t>
      </w:r>
      <w:r w:rsidR="009F587D" w:rsidRPr="00A71974">
        <w:rPr>
          <w:rFonts w:ascii="Arial" w:hAnsi="Arial" w:cs="Arial"/>
          <w:sz w:val="20"/>
          <w:szCs w:val="20"/>
        </w:rPr>
        <w:t xml:space="preserve">. </w:t>
      </w:r>
      <w:r w:rsidRPr="007F44AF">
        <w:rPr>
          <w:rFonts w:ascii="Arial" w:hAnsi="Arial" w:cs="Arial"/>
          <w:sz w:val="20"/>
          <w:szCs w:val="20"/>
        </w:rPr>
        <w:t>Particle features influence friction angle mobilization in sandy soils, and laboratory investigations have shown a strong correlation between shear strength and particle size distribution (Li, 2013; Wang et al., 2013). According to Wang et al. (2013), the angle of internal friction rises as the soil's median size increases. Nevertheless, there is still little integration of grain size data into SPT-based friction angle correlations, especially for regional geological contexts. Another factor that affects the angle of internal friction is effective overburden stress (Liao &amp; Whitman, 1986).</w:t>
      </w:r>
    </w:p>
    <w:p w14:paraId="5C543177" w14:textId="77777777"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Because of its complicated geological past and varied depositional settings, the Niger Delta area poses particular difficulties for the development of geotechnical correlations. An angle of friction should be estimated using a localized model due to the variance in the soil profile in the Niger Delta area (Kennedy &amp; TrustGod, 2024). The goal of the study is to create statistical models for estimating the angle of internal friction for sandy soils in the Niger Delta by utilizing a number of predictor factors, such as SPT-N values, median particle size (D50), and effective overburden stress.</w:t>
      </w:r>
    </w:p>
    <w:p w14:paraId="1C9162D2" w14:textId="44A8F1A9" w:rsidR="00E779F5" w:rsidRPr="00A71974" w:rsidRDefault="00A71974" w:rsidP="00A71974">
      <w:pPr>
        <w:spacing w:line="240" w:lineRule="auto"/>
        <w:jc w:val="both"/>
        <w:rPr>
          <w:rFonts w:ascii="Arial" w:hAnsi="Arial" w:cs="Arial"/>
          <w:b/>
          <w:bCs/>
          <w:sz w:val="22"/>
          <w:szCs w:val="22"/>
        </w:rPr>
      </w:pPr>
      <w:r w:rsidRPr="00A71974">
        <w:rPr>
          <w:rFonts w:ascii="Arial" w:hAnsi="Arial" w:cs="Arial"/>
          <w:b/>
          <w:bCs/>
          <w:sz w:val="22"/>
          <w:szCs w:val="22"/>
        </w:rPr>
        <w:lastRenderedPageBreak/>
        <w:t>2. MATERIALS AND METHOD</w:t>
      </w:r>
    </w:p>
    <w:p w14:paraId="1088D427" w14:textId="0CAE36AB" w:rsidR="00E779F5"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2.1 Study Area</w:t>
      </w:r>
    </w:p>
    <w:p w14:paraId="4E5CF05B" w14:textId="77777777"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The site of the Rumuibekwe Bridge in the Niger Delta, as seen in Figure 1, is the study's main emphasis. The Rumuibekwe Bridge is located in Rivers State's Obio/Akpor Local Government Area. Latitude 4.843N and longitude 7.0575E are the location's geographic coordinates. The site is rather flat, with elevations typically below 15.24 meters above mean sea level. The area has a tropical monsoon climate, with typical annual temperatures of around 28.64°C and 2,000–2,900 millimeters of precipitation per year.</w:t>
      </w:r>
    </w:p>
    <w:p w14:paraId="2DDB4B43" w14:textId="5302D407" w:rsidR="0034288D" w:rsidRPr="00A71974" w:rsidRDefault="00B3312D" w:rsidP="00A71974">
      <w:pPr>
        <w:spacing w:line="240" w:lineRule="auto"/>
        <w:jc w:val="both"/>
        <w:rPr>
          <w:rFonts w:ascii="Arial" w:hAnsi="Arial" w:cs="Arial"/>
          <w:sz w:val="20"/>
          <w:szCs w:val="20"/>
        </w:rPr>
      </w:pPr>
      <w:r w:rsidRPr="00A71974">
        <w:rPr>
          <w:rFonts w:ascii="Arial" w:hAnsi="Arial" w:cs="Arial"/>
          <w:noProof/>
          <w:sz w:val="20"/>
          <w:szCs w:val="20"/>
        </w:rPr>
        <w:drawing>
          <wp:inline distT="0" distB="0" distL="0" distR="0" wp14:anchorId="2E8CF120" wp14:editId="70CD5221">
            <wp:extent cx="4933950" cy="3142984"/>
            <wp:effectExtent l="19050" t="19050" r="19050" b="19685"/>
            <wp:docPr id="2036551176" name="Picture 3" descr="A map of nigeria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51176" name="Picture 3" descr="A map of nigeria with a red lin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950647" cy="3153620"/>
                    </a:xfrm>
                    <a:prstGeom prst="rect">
                      <a:avLst/>
                    </a:prstGeom>
                    <a:ln>
                      <a:solidFill>
                        <a:schemeClr val="bg1">
                          <a:lumMod val="85000"/>
                        </a:schemeClr>
                      </a:solidFill>
                    </a:ln>
                  </pic:spPr>
                </pic:pic>
              </a:graphicData>
            </a:graphic>
          </wp:inline>
        </w:drawing>
      </w:r>
    </w:p>
    <w:p w14:paraId="2FFB24BC" w14:textId="617A6194" w:rsidR="0034288D" w:rsidRPr="00A71974" w:rsidRDefault="00B3312D" w:rsidP="00A71974">
      <w:pPr>
        <w:spacing w:line="240" w:lineRule="auto"/>
        <w:jc w:val="both"/>
        <w:rPr>
          <w:rFonts w:ascii="Arial" w:hAnsi="Arial" w:cs="Arial"/>
          <w:sz w:val="20"/>
          <w:szCs w:val="20"/>
        </w:rPr>
      </w:pPr>
      <w:r w:rsidRPr="00A71974">
        <w:rPr>
          <w:rFonts w:ascii="Arial" w:hAnsi="Arial" w:cs="Arial"/>
          <w:b/>
          <w:bCs/>
          <w:sz w:val="20"/>
          <w:szCs w:val="20"/>
        </w:rPr>
        <w:t>Figure 1</w:t>
      </w:r>
      <w:r w:rsidRPr="00A71974">
        <w:rPr>
          <w:rFonts w:ascii="Arial" w:hAnsi="Arial" w:cs="Arial"/>
          <w:sz w:val="20"/>
          <w:szCs w:val="20"/>
        </w:rPr>
        <w:t>: Map of study Area</w:t>
      </w:r>
    </w:p>
    <w:p w14:paraId="07679364" w14:textId="77777777" w:rsidR="00E779F5"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2.2 Data Collection and Laboratory Testing</w:t>
      </w:r>
    </w:p>
    <w:p w14:paraId="1AC1721D" w14:textId="77777777"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By performing the Standard Penetration Test (SPT) in accordance with ASTM D1586 guidelines, the N-values for different subsoil layers were determined. 16 subsurface strata, ranging in depth from 0 to 30 meters, were subjected to SPT, and the SPT-N values for each layer were noted. A total of sixteen samples were taken from Rumuibekwe Bridge in order to get further soil parameters at each tier. After being collected, the dirt was placed in an airtight container and brought to the lab for analysis. Programs for laboratory testing included sieve and triaxial tests. Standard sieve analytical methods were carried out in accordance with ASTM D6913 to acquire median grain size (D50) values, and consolidated drained triaxial compression tests were conducted in accordance with ASTM D4767 to determine the angle of internal friction.</w:t>
      </w:r>
    </w:p>
    <w:p w14:paraId="117FCC54" w14:textId="4CD17248" w:rsidR="00530610"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2.3 Data Analysis</w:t>
      </w:r>
    </w:p>
    <w:p w14:paraId="56D68C47" w14:textId="1B4C2C21" w:rsidR="007F44AF" w:rsidRPr="007F44AF" w:rsidRDefault="007F44AF" w:rsidP="007F44AF">
      <w:pPr>
        <w:spacing w:line="240" w:lineRule="auto"/>
        <w:jc w:val="both"/>
        <w:rPr>
          <w:rFonts w:ascii="Arial" w:hAnsi="Arial" w:cs="Arial"/>
          <w:sz w:val="20"/>
          <w:szCs w:val="20"/>
        </w:rPr>
      </w:pPr>
      <w:r w:rsidRPr="007F44AF">
        <w:rPr>
          <w:rFonts w:ascii="Arial" w:hAnsi="Arial" w:cs="Arial"/>
          <w:sz w:val="20"/>
          <w:szCs w:val="20"/>
        </w:rPr>
        <w:t>A major component of the data analysis approach was the creation of statistical models. Descriptive and correlational analyses of the soil characteristics were conducted, however. To compile the values of the soil parameters derived from the field and laboratory tests, descriptive statistics were used. Using Pearson correlation as a basis for feature selection, the connection between the soil metrics was examined. To create prediction models for the angle of internal friction, multiple linear regression analysis was utilized. The response variable for the model development was the angle of internal friction, while the predictor factors were the median grain size, effective overburden pressure, and SPT-N values. Root mean square error (RMSE), mean squared error (MSE), adjusted R2, and coefficient of determination (R2) were used to evaluate the model's performance.</w:t>
      </w:r>
      <w:r>
        <w:rPr>
          <w:rFonts w:ascii="Arial" w:hAnsi="Arial" w:cs="Arial"/>
          <w:sz w:val="20"/>
          <w:szCs w:val="20"/>
        </w:rPr>
        <w:t xml:space="preserve"> </w:t>
      </w:r>
      <w:r w:rsidRPr="007F44AF">
        <w:rPr>
          <w:rFonts w:ascii="Arial" w:hAnsi="Arial" w:cs="Arial"/>
          <w:sz w:val="20"/>
          <w:szCs w:val="20"/>
        </w:rPr>
        <w:t>Three independent data sets that weren't utilized to build the model were evaluated.</w:t>
      </w:r>
    </w:p>
    <w:p w14:paraId="3D0A7567" w14:textId="54F93660" w:rsidR="00E779F5" w:rsidRPr="00A71974" w:rsidRDefault="00A71974" w:rsidP="00A71974">
      <w:pPr>
        <w:spacing w:line="240" w:lineRule="auto"/>
        <w:jc w:val="both"/>
        <w:rPr>
          <w:rFonts w:ascii="Arial" w:hAnsi="Arial" w:cs="Arial"/>
          <w:b/>
          <w:bCs/>
          <w:sz w:val="22"/>
          <w:szCs w:val="22"/>
        </w:rPr>
      </w:pPr>
      <w:r w:rsidRPr="00A71974">
        <w:rPr>
          <w:rFonts w:ascii="Arial" w:hAnsi="Arial" w:cs="Arial"/>
          <w:b/>
          <w:bCs/>
          <w:sz w:val="22"/>
          <w:szCs w:val="22"/>
        </w:rPr>
        <w:t>3. RESULTS</w:t>
      </w:r>
    </w:p>
    <w:p w14:paraId="5546B86C" w14:textId="17E7F311" w:rsidR="00E779F5"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3.1 Geotechnical Parameters</w:t>
      </w:r>
      <w:r w:rsidR="009F63F6" w:rsidRPr="00A71974">
        <w:rPr>
          <w:rFonts w:ascii="Arial" w:hAnsi="Arial" w:cs="Arial"/>
          <w:b/>
          <w:bCs/>
          <w:sz w:val="22"/>
          <w:szCs w:val="22"/>
        </w:rPr>
        <w:t xml:space="preserve"> for </w:t>
      </w:r>
      <w:proofErr w:type="spellStart"/>
      <w:r w:rsidR="009F63F6" w:rsidRPr="00A71974">
        <w:rPr>
          <w:rFonts w:ascii="Arial" w:hAnsi="Arial" w:cs="Arial"/>
          <w:b/>
          <w:bCs/>
          <w:sz w:val="22"/>
          <w:szCs w:val="22"/>
        </w:rPr>
        <w:t>Rumuibekwe</w:t>
      </w:r>
      <w:proofErr w:type="spellEnd"/>
      <w:r w:rsidR="009F63F6" w:rsidRPr="00A71974">
        <w:rPr>
          <w:rFonts w:ascii="Arial" w:hAnsi="Arial" w:cs="Arial"/>
          <w:b/>
          <w:bCs/>
          <w:sz w:val="22"/>
          <w:szCs w:val="22"/>
        </w:rPr>
        <w:t xml:space="preserve"> Bridge</w:t>
      </w:r>
    </w:p>
    <w:p w14:paraId="25A25093" w14:textId="77777777" w:rsidR="00F43BD3" w:rsidRPr="00F43BD3" w:rsidRDefault="007F44AF" w:rsidP="00F43BD3">
      <w:pPr>
        <w:spacing w:line="240" w:lineRule="auto"/>
        <w:jc w:val="both"/>
        <w:rPr>
          <w:rFonts w:ascii="Arial" w:hAnsi="Arial" w:cs="Arial"/>
          <w:sz w:val="20"/>
          <w:szCs w:val="20"/>
        </w:rPr>
      </w:pPr>
      <w:r w:rsidRPr="007F44AF">
        <w:rPr>
          <w:rFonts w:ascii="Arial" w:hAnsi="Arial" w:cs="Arial"/>
          <w:sz w:val="20"/>
          <w:szCs w:val="20"/>
        </w:rPr>
        <w:lastRenderedPageBreak/>
        <w:t>At Rumuibekwe Bridge, Table 1 displays the findings of the descriptive statistic for the soil parameters derived from 16 samples. N-values for the standard penetration test showed a mean of 20.25±11.43, with a broad range of 4 to 36. Meyerhoff (1956) defined compact soil as having an SPT-N value between 10 and 30 and cohesionless soil with SPT values less than 4 as primarily very loose soil. Across the sampling depths, the soil at Rumuibekwe Bridge showed notable variation in soil density conditions, according to the SPT-N values. The mean angle of internal friction was 32.25±3.75°, which is normal for sandy soils and ranged from 26° to 38°.</w:t>
      </w:r>
      <w:r>
        <w:rPr>
          <w:rFonts w:ascii="Arial" w:hAnsi="Arial" w:cs="Arial"/>
          <w:sz w:val="20"/>
          <w:szCs w:val="20"/>
        </w:rPr>
        <w:t xml:space="preserve"> </w:t>
      </w:r>
      <w:r w:rsidR="00F43BD3" w:rsidRPr="00F43BD3">
        <w:rPr>
          <w:rFonts w:ascii="Arial" w:hAnsi="Arial" w:cs="Arial"/>
          <w:sz w:val="20"/>
          <w:szCs w:val="20"/>
        </w:rPr>
        <w:t>With a mean of 163.98 kPa, effective overburden stress varied from 56.00 to 276.55 kPa. Diverse particle size distributions were found within the soil layers, as evidenced by the median grain size (D50), which varied significantly from 0.002 to 2.008 mm with a mean of 0.52±0.67 mm. As per the Unified Soil Classification System (USCS), the D50 values indicate a diverse soil profile that includes medium sand (D50 = 2.008 mm) and fine-grained soils (D50 = 0.002 mm, which correspond to clay-sized particles). The conditions are primarily fine sand, as shown by the median value of 0.20mm. The subsoils at Rumuibekwe Bridge are primarily fine particles that are compacted, according to the soil conditions. This indicates that clay soils make up the majority of the subsurfaces at that site.</w:t>
      </w:r>
    </w:p>
    <w:p w14:paraId="6ABC4761" w14:textId="5EF9D943" w:rsidR="00F63CE3" w:rsidRPr="00A71974" w:rsidRDefault="00F63CE3" w:rsidP="00A71974">
      <w:pPr>
        <w:spacing w:line="240" w:lineRule="auto"/>
        <w:jc w:val="both"/>
        <w:rPr>
          <w:rFonts w:ascii="Arial" w:hAnsi="Arial" w:cs="Arial"/>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1</w:t>
      </w:r>
      <w:r w:rsidRPr="00A71974">
        <w:rPr>
          <w:rFonts w:ascii="Arial" w:hAnsi="Arial" w:cs="Arial"/>
          <w:b/>
          <w:bCs/>
          <w:sz w:val="20"/>
          <w:szCs w:val="20"/>
        </w:rPr>
        <w:t xml:space="preserve">: </w:t>
      </w:r>
      <w:r w:rsidRPr="00A71974">
        <w:rPr>
          <w:rFonts w:ascii="Arial" w:hAnsi="Arial" w:cs="Arial"/>
          <w:sz w:val="20"/>
          <w:szCs w:val="20"/>
        </w:rPr>
        <w:t>Parameter Statistics by Location</w:t>
      </w:r>
    </w:p>
    <w:tbl>
      <w:tblPr>
        <w:tblW w:w="9005" w:type="dxa"/>
        <w:tblCellSpacing w:w="15" w:type="dxa"/>
        <w:tblCellMar>
          <w:top w:w="15" w:type="dxa"/>
          <w:left w:w="15" w:type="dxa"/>
          <w:bottom w:w="15" w:type="dxa"/>
          <w:right w:w="15" w:type="dxa"/>
        </w:tblCellMar>
        <w:tblLook w:val="04A0" w:firstRow="1" w:lastRow="0" w:firstColumn="1" w:lastColumn="0" w:noHBand="0" w:noVBand="1"/>
      </w:tblPr>
      <w:tblGrid>
        <w:gridCol w:w="2959"/>
        <w:gridCol w:w="938"/>
        <w:gridCol w:w="989"/>
        <w:gridCol w:w="1104"/>
        <w:gridCol w:w="1188"/>
        <w:gridCol w:w="823"/>
        <w:gridCol w:w="1004"/>
      </w:tblGrid>
      <w:tr w:rsidR="00BB7B90" w:rsidRPr="00A71974" w14:paraId="7333CA5D" w14:textId="77777777" w:rsidTr="00BB7B90">
        <w:trPr>
          <w:trHeight w:val="302"/>
          <w:tblHeader/>
          <w:tblCellSpacing w:w="15" w:type="dxa"/>
        </w:trPr>
        <w:tc>
          <w:tcPr>
            <w:tcW w:w="0" w:type="auto"/>
            <w:tcBorders>
              <w:top w:val="single" w:sz="4" w:space="0" w:color="auto"/>
              <w:bottom w:val="single" w:sz="4" w:space="0" w:color="auto"/>
            </w:tcBorders>
            <w:vAlign w:val="center"/>
            <w:hideMark/>
          </w:tcPr>
          <w:p w14:paraId="3D3F31A0"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Parameter</w:t>
            </w:r>
          </w:p>
        </w:tc>
        <w:tc>
          <w:tcPr>
            <w:tcW w:w="0" w:type="auto"/>
            <w:tcBorders>
              <w:top w:val="single" w:sz="4" w:space="0" w:color="auto"/>
              <w:bottom w:val="single" w:sz="4" w:space="0" w:color="auto"/>
            </w:tcBorders>
            <w:vAlign w:val="center"/>
            <w:hideMark/>
          </w:tcPr>
          <w:p w14:paraId="3C5F9E1E"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Count</w:t>
            </w:r>
          </w:p>
        </w:tc>
        <w:tc>
          <w:tcPr>
            <w:tcW w:w="0" w:type="auto"/>
            <w:tcBorders>
              <w:top w:val="single" w:sz="4" w:space="0" w:color="auto"/>
              <w:bottom w:val="single" w:sz="4" w:space="0" w:color="auto"/>
            </w:tcBorders>
            <w:vAlign w:val="center"/>
            <w:hideMark/>
          </w:tcPr>
          <w:p w14:paraId="3B41BA51"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Mean</w:t>
            </w:r>
          </w:p>
        </w:tc>
        <w:tc>
          <w:tcPr>
            <w:tcW w:w="0" w:type="auto"/>
            <w:tcBorders>
              <w:top w:val="single" w:sz="4" w:space="0" w:color="auto"/>
              <w:bottom w:val="single" w:sz="4" w:space="0" w:color="auto"/>
            </w:tcBorders>
            <w:vAlign w:val="center"/>
            <w:hideMark/>
          </w:tcPr>
          <w:p w14:paraId="639591F6"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Median</w:t>
            </w:r>
          </w:p>
        </w:tc>
        <w:tc>
          <w:tcPr>
            <w:tcW w:w="0" w:type="auto"/>
            <w:tcBorders>
              <w:top w:val="single" w:sz="4" w:space="0" w:color="auto"/>
              <w:bottom w:val="single" w:sz="4" w:space="0" w:color="auto"/>
            </w:tcBorders>
            <w:vAlign w:val="center"/>
            <w:hideMark/>
          </w:tcPr>
          <w:p w14:paraId="7C0D70B7"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Std Dev</w:t>
            </w:r>
          </w:p>
        </w:tc>
        <w:tc>
          <w:tcPr>
            <w:tcW w:w="0" w:type="auto"/>
            <w:tcBorders>
              <w:top w:val="single" w:sz="4" w:space="0" w:color="auto"/>
              <w:bottom w:val="single" w:sz="4" w:space="0" w:color="auto"/>
            </w:tcBorders>
            <w:vAlign w:val="center"/>
            <w:hideMark/>
          </w:tcPr>
          <w:p w14:paraId="2AAA2154"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Min</w:t>
            </w:r>
          </w:p>
        </w:tc>
        <w:tc>
          <w:tcPr>
            <w:tcW w:w="0" w:type="auto"/>
            <w:tcBorders>
              <w:top w:val="single" w:sz="4" w:space="0" w:color="auto"/>
              <w:bottom w:val="single" w:sz="4" w:space="0" w:color="auto"/>
            </w:tcBorders>
            <w:vAlign w:val="center"/>
            <w:hideMark/>
          </w:tcPr>
          <w:p w14:paraId="5BCD6F4D" w14:textId="77777777" w:rsidR="00BB7B90" w:rsidRPr="00A71974" w:rsidRDefault="00BB7B90" w:rsidP="00A71974">
            <w:pPr>
              <w:spacing w:after="0" w:line="240" w:lineRule="auto"/>
              <w:jc w:val="both"/>
              <w:rPr>
                <w:rFonts w:ascii="Arial" w:hAnsi="Arial" w:cs="Arial"/>
                <w:b/>
                <w:bCs/>
                <w:sz w:val="20"/>
                <w:szCs w:val="20"/>
              </w:rPr>
            </w:pPr>
            <w:r w:rsidRPr="00A71974">
              <w:rPr>
                <w:rFonts w:ascii="Arial" w:hAnsi="Arial" w:cs="Arial"/>
                <w:b/>
                <w:bCs/>
                <w:sz w:val="20"/>
                <w:szCs w:val="20"/>
              </w:rPr>
              <w:t>Max</w:t>
            </w:r>
          </w:p>
        </w:tc>
      </w:tr>
      <w:tr w:rsidR="00BB7B90" w:rsidRPr="00A71974" w14:paraId="13EB46A1" w14:textId="77777777" w:rsidTr="00BB7B90">
        <w:trPr>
          <w:trHeight w:val="312"/>
          <w:tblCellSpacing w:w="15" w:type="dxa"/>
        </w:trPr>
        <w:tc>
          <w:tcPr>
            <w:tcW w:w="0" w:type="auto"/>
            <w:vAlign w:val="center"/>
            <w:hideMark/>
          </w:tcPr>
          <w:p w14:paraId="24E7597B"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SPT-N</w:t>
            </w:r>
          </w:p>
        </w:tc>
        <w:tc>
          <w:tcPr>
            <w:tcW w:w="0" w:type="auto"/>
            <w:vAlign w:val="center"/>
            <w:hideMark/>
          </w:tcPr>
          <w:p w14:paraId="5A609BB9"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w:t>
            </w:r>
          </w:p>
        </w:tc>
        <w:tc>
          <w:tcPr>
            <w:tcW w:w="0" w:type="auto"/>
            <w:vAlign w:val="center"/>
            <w:hideMark/>
          </w:tcPr>
          <w:p w14:paraId="4742F275"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20.25</w:t>
            </w:r>
          </w:p>
        </w:tc>
        <w:tc>
          <w:tcPr>
            <w:tcW w:w="0" w:type="auto"/>
            <w:vAlign w:val="center"/>
            <w:hideMark/>
          </w:tcPr>
          <w:p w14:paraId="6E5C3BB5"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23.5</w:t>
            </w:r>
          </w:p>
        </w:tc>
        <w:tc>
          <w:tcPr>
            <w:tcW w:w="0" w:type="auto"/>
            <w:vAlign w:val="center"/>
            <w:hideMark/>
          </w:tcPr>
          <w:p w14:paraId="636B7A59"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11.43</w:t>
            </w:r>
          </w:p>
        </w:tc>
        <w:tc>
          <w:tcPr>
            <w:tcW w:w="0" w:type="auto"/>
            <w:vAlign w:val="center"/>
            <w:hideMark/>
          </w:tcPr>
          <w:p w14:paraId="2D41A23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4</w:t>
            </w:r>
          </w:p>
        </w:tc>
        <w:tc>
          <w:tcPr>
            <w:tcW w:w="0" w:type="auto"/>
            <w:vAlign w:val="center"/>
            <w:hideMark/>
          </w:tcPr>
          <w:p w14:paraId="49F9EC4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36</w:t>
            </w:r>
          </w:p>
        </w:tc>
      </w:tr>
      <w:tr w:rsidR="00BB7B90" w:rsidRPr="00A71974" w14:paraId="704BF03F" w14:textId="77777777" w:rsidTr="00BB7B90">
        <w:trPr>
          <w:trHeight w:val="312"/>
          <w:tblCellSpacing w:w="15" w:type="dxa"/>
        </w:trPr>
        <w:tc>
          <w:tcPr>
            <w:tcW w:w="0" w:type="auto"/>
            <w:vAlign w:val="center"/>
            <w:hideMark/>
          </w:tcPr>
          <w:p w14:paraId="44013D3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Friction Angle (°)</w:t>
            </w:r>
          </w:p>
        </w:tc>
        <w:tc>
          <w:tcPr>
            <w:tcW w:w="0" w:type="auto"/>
            <w:vAlign w:val="center"/>
            <w:hideMark/>
          </w:tcPr>
          <w:p w14:paraId="7E975A8C"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w:t>
            </w:r>
          </w:p>
        </w:tc>
        <w:tc>
          <w:tcPr>
            <w:tcW w:w="0" w:type="auto"/>
            <w:vAlign w:val="center"/>
            <w:hideMark/>
          </w:tcPr>
          <w:p w14:paraId="0F79A3B3"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32.25</w:t>
            </w:r>
          </w:p>
        </w:tc>
        <w:tc>
          <w:tcPr>
            <w:tcW w:w="0" w:type="auto"/>
            <w:vAlign w:val="center"/>
            <w:hideMark/>
          </w:tcPr>
          <w:p w14:paraId="4889C0CD"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32.5</w:t>
            </w:r>
          </w:p>
        </w:tc>
        <w:tc>
          <w:tcPr>
            <w:tcW w:w="0" w:type="auto"/>
            <w:vAlign w:val="center"/>
            <w:hideMark/>
          </w:tcPr>
          <w:p w14:paraId="67B649D8"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3.75</w:t>
            </w:r>
          </w:p>
        </w:tc>
        <w:tc>
          <w:tcPr>
            <w:tcW w:w="0" w:type="auto"/>
            <w:vAlign w:val="center"/>
            <w:hideMark/>
          </w:tcPr>
          <w:p w14:paraId="573BC759"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26</w:t>
            </w:r>
          </w:p>
        </w:tc>
        <w:tc>
          <w:tcPr>
            <w:tcW w:w="0" w:type="auto"/>
            <w:vAlign w:val="center"/>
            <w:hideMark/>
          </w:tcPr>
          <w:p w14:paraId="2B5B800B"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38</w:t>
            </w:r>
          </w:p>
        </w:tc>
      </w:tr>
      <w:tr w:rsidR="00BB7B90" w:rsidRPr="00A71974" w14:paraId="33C8045F" w14:textId="77777777" w:rsidTr="00BB7B90">
        <w:trPr>
          <w:trHeight w:val="312"/>
          <w:tblCellSpacing w:w="15" w:type="dxa"/>
        </w:trPr>
        <w:tc>
          <w:tcPr>
            <w:tcW w:w="0" w:type="auto"/>
            <w:vAlign w:val="center"/>
            <w:hideMark/>
          </w:tcPr>
          <w:p w14:paraId="2C4CA151"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Effective Stress (kPa)</w:t>
            </w:r>
          </w:p>
        </w:tc>
        <w:tc>
          <w:tcPr>
            <w:tcW w:w="0" w:type="auto"/>
            <w:vAlign w:val="center"/>
            <w:hideMark/>
          </w:tcPr>
          <w:p w14:paraId="12D560CB"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w:t>
            </w:r>
          </w:p>
        </w:tc>
        <w:tc>
          <w:tcPr>
            <w:tcW w:w="0" w:type="auto"/>
            <w:vAlign w:val="center"/>
            <w:hideMark/>
          </w:tcPr>
          <w:p w14:paraId="1EEF0059"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163.98</w:t>
            </w:r>
          </w:p>
        </w:tc>
        <w:tc>
          <w:tcPr>
            <w:tcW w:w="0" w:type="auto"/>
            <w:vAlign w:val="center"/>
            <w:hideMark/>
          </w:tcPr>
          <w:p w14:paraId="51ED1D70"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160.77</w:t>
            </w:r>
          </w:p>
        </w:tc>
        <w:tc>
          <w:tcPr>
            <w:tcW w:w="0" w:type="auto"/>
            <w:vAlign w:val="center"/>
            <w:hideMark/>
          </w:tcPr>
          <w:p w14:paraId="108F39F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73.75</w:t>
            </w:r>
          </w:p>
        </w:tc>
        <w:tc>
          <w:tcPr>
            <w:tcW w:w="0" w:type="auto"/>
            <w:vAlign w:val="center"/>
            <w:hideMark/>
          </w:tcPr>
          <w:p w14:paraId="61B072C1"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56.00</w:t>
            </w:r>
          </w:p>
        </w:tc>
        <w:tc>
          <w:tcPr>
            <w:tcW w:w="0" w:type="auto"/>
            <w:vAlign w:val="center"/>
            <w:hideMark/>
          </w:tcPr>
          <w:p w14:paraId="492F39C5"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276.55</w:t>
            </w:r>
          </w:p>
        </w:tc>
      </w:tr>
      <w:tr w:rsidR="00BB7B90" w:rsidRPr="00A71974" w14:paraId="229A20F8" w14:textId="77777777" w:rsidTr="00BB7B90">
        <w:trPr>
          <w:trHeight w:val="302"/>
          <w:tblCellSpacing w:w="15" w:type="dxa"/>
        </w:trPr>
        <w:tc>
          <w:tcPr>
            <w:tcW w:w="0" w:type="auto"/>
            <w:tcBorders>
              <w:bottom w:val="single" w:sz="4" w:space="0" w:color="auto"/>
            </w:tcBorders>
            <w:vAlign w:val="center"/>
            <w:hideMark/>
          </w:tcPr>
          <w:p w14:paraId="1B5C8722"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D50 (mm)</w:t>
            </w:r>
          </w:p>
        </w:tc>
        <w:tc>
          <w:tcPr>
            <w:tcW w:w="0" w:type="auto"/>
            <w:tcBorders>
              <w:bottom w:val="single" w:sz="4" w:space="0" w:color="auto"/>
            </w:tcBorders>
            <w:vAlign w:val="center"/>
            <w:hideMark/>
          </w:tcPr>
          <w:p w14:paraId="47B8D5E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16</w:t>
            </w:r>
          </w:p>
        </w:tc>
        <w:tc>
          <w:tcPr>
            <w:tcW w:w="0" w:type="auto"/>
            <w:tcBorders>
              <w:bottom w:val="single" w:sz="4" w:space="0" w:color="auto"/>
            </w:tcBorders>
            <w:vAlign w:val="center"/>
            <w:hideMark/>
          </w:tcPr>
          <w:p w14:paraId="18F3D63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0.52</w:t>
            </w:r>
          </w:p>
        </w:tc>
        <w:tc>
          <w:tcPr>
            <w:tcW w:w="0" w:type="auto"/>
            <w:tcBorders>
              <w:bottom w:val="single" w:sz="4" w:space="0" w:color="auto"/>
            </w:tcBorders>
            <w:vAlign w:val="center"/>
            <w:hideMark/>
          </w:tcPr>
          <w:p w14:paraId="5D6EC6A3"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0.20</w:t>
            </w:r>
          </w:p>
        </w:tc>
        <w:tc>
          <w:tcPr>
            <w:tcW w:w="0" w:type="auto"/>
            <w:tcBorders>
              <w:bottom w:val="single" w:sz="4" w:space="0" w:color="auto"/>
            </w:tcBorders>
            <w:vAlign w:val="center"/>
            <w:hideMark/>
          </w:tcPr>
          <w:p w14:paraId="7DC74B4E"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0.67</w:t>
            </w:r>
          </w:p>
        </w:tc>
        <w:tc>
          <w:tcPr>
            <w:tcW w:w="0" w:type="auto"/>
            <w:tcBorders>
              <w:bottom w:val="single" w:sz="4" w:space="0" w:color="auto"/>
            </w:tcBorders>
            <w:vAlign w:val="center"/>
            <w:hideMark/>
          </w:tcPr>
          <w:p w14:paraId="61A0E559"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0.002</w:t>
            </w:r>
          </w:p>
        </w:tc>
        <w:tc>
          <w:tcPr>
            <w:tcW w:w="0" w:type="auto"/>
            <w:tcBorders>
              <w:bottom w:val="single" w:sz="4" w:space="0" w:color="auto"/>
            </w:tcBorders>
            <w:vAlign w:val="center"/>
            <w:hideMark/>
          </w:tcPr>
          <w:p w14:paraId="748B6477" w14:textId="77777777" w:rsidR="00BB7B90" w:rsidRPr="00A71974" w:rsidRDefault="00BB7B90" w:rsidP="00A71974">
            <w:pPr>
              <w:spacing w:after="0" w:line="240" w:lineRule="auto"/>
              <w:jc w:val="both"/>
              <w:rPr>
                <w:rFonts w:ascii="Arial" w:hAnsi="Arial" w:cs="Arial"/>
                <w:sz w:val="20"/>
                <w:szCs w:val="20"/>
              </w:rPr>
            </w:pPr>
            <w:r w:rsidRPr="00A71974">
              <w:rPr>
                <w:rFonts w:ascii="Arial" w:hAnsi="Arial" w:cs="Arial"/>
                <w:sz w:val="20"/>
                <w:szCs w:val="20"/>
              </w:rPr>
              <w:t>2.008</w:t>
            </w:r>
          </w:p>
        </w:tc>
      </w:tr>
    </w:tbl>
    <w:p w14:paraId="5B980420" w14:textId="77777777" w:rsidR="00762CEF" w:rsidRPr="00A71974" w:rsidRDefault="00762CEF" w:rsidP="00A71974">
      <w:pPr>
        <w:spacing w:line="240" w:lineRule="auto"/>
        <w:jc w:val="both"/>
        <w:rPr>
          <w:rFonts w:ascii="Arial" w:hAnsi="Arial" w:cs="Arial"/>
          <w:sz w:val="20"/>
          <w:szCs w:val="20"/>
        </w:rPr>
      </w:pPr>
    </w:p>
    <w:p w14:paraId="072C7617" w14:textId="0859A66E" w:rsidR="00E779F5"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3.</w:t>
      </w:r>
      <w:r w:rsidR="00F63CE3" w:rsidRPr="00A71974">
        <w:rPr>
          <w:rFonts w:ascii="Arial" w:hAnsi="Arial" w:cs="Arial"/>
          <w:b/>
          <w:bCs/>
          <w:sz w:val="22"/>
          <w:szCs w:val="22"/>
        </w:rPr>
        <w:t>2</w:t>
      </w:r>
      <w:r w:rsidRPr="00A71974">
        <w:rPr>
          <w:rFonts w:ascii="Arial" w:hAnsi="Arial" w:cs="Arial"/>
          <w:b/>
          <w:bCs/>
          <w:sz w:val="22"/>
          <w:szCs w:val="22"/>
        </w:rPr>
        <w:t xml:space="preserve"> Correlation Analysis</w:t>
      </w:r>
    </w:p>
    <w:p w14:paraId="2B83284C" w14:textId="77777777" w:rsidR="00F43BD3" w:rsidRPr="00F43BD3" w:rsidRDefault="00F43BD3" w:rsidP="00F43BD3">
      <w:pPr>
        <w:spacing w:line="240" w:lineRule="auto"/>
        <w:jc w:val="both"/>
        <w:rPr>
          <w:rFonts w:ascii="Arial" w:hAnsi="Arial" w:cs="Arial"/>
          <w:sz w:val="20"/>
          <w:szCs w:val="20"/>
        </w:rPr>
      </w:pPr>
      <w:r w:rsidRPr="00F43BD3">
        <w:rPr>
          <w:rFonts w:ascii="Arial" w:hAnsi="Arial" w:cs="Arial"/>
          <w:sz w:val="20"/>
          <w:szCs w:val="20"/>
        </w:rPr>
        <w:t>The association between the soil characteristics and the outcome shown in Table 2 was determined using Pearson correlation. Several of the soil characteristics and the angle of internal friction showed remarkably significant linear connections, according to the Pearson correlation study. The strongest association between friction angle and effective overburden pressure (r = 0.96, p &lt; 0.001) was found, indicating that the soils' shear strength is essentially stress-dependent. The theoretical underpinnings of employing penetration resistance as an indication of shear strength features were supported by the very significant connection between SPT-N and friction angle (r = 0.90, p &lt; 0.001). The median grain size and the angle of internal friction did, however, exhibit a somewhat favorable correlation.</w:t>
      </w:r>
    </w:p>
    <w:p w14:paraId="4FBAF6CB" w14:textId="49576A94" w:rsidR="00E779F5" w:rsidRPr="00A71974" w:rsidRDefault="00E779F5" w:rsidP="00A71974">
      <w:pPr>
        <w:spacing w:line="240" w:lineRule="auto"/>
        <w:jc w:val="both"/>
        <w:rPr>
          <w:rFonts w:ascii="Arial" w:hAnsi="Arial" w:cs="Arial"/>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2</w:t>
      </w:r>
      <w:r w:rsidRPr="00A71974">
        <w:rPr>
          <w:rFonts w:ascii="Arial" w:hAnsi="Arial" w:cs="Arial"/>
          <w:b/>
          <w:bCs/>
          <w:sz w:val="20"/>
          <w:szCs w:val="20"/>
        </w:rPr>
        <w:t xml:space="preserve">: </w:t>
      </w:r>
      <w:r w:rsidRPr="00A71974">
        <w:rPr>
          <w:rFonts w:ascii="Arial" w:hAnsi="Arial" w:cs="Arial"/>
          <w:sz w:val="20"/>
          <w:szCs w:val="20"/>
        </w:rPr>
        <w:t>Pearson Correlation Matrix</w:t>
      </w:r>
    </w:p>
    <w:tbl>
      <w:tblPr>
        <w:tblW w:w="8952" w:type="dxa"/>
        <w:tblLook w:val="04A0" w:firstRow="1" w:lastRow="0" w:firstColumn="1" w:lastColumn="0" w:noHBand="0" w:noVBand="1"/>
      </w:tblPr>
      <w:tblGrid>
        <w:gridCol w:w="3417"/>
        <w:gridCol w:w="1758"/>
        <w:gridCol w:w="1259"/>
        <w:gridCol w:w="1259"/>
        <w:gridCol w:w="1259"/>
      </w:tblGrid>
      <w:tr w:rsidR="00CE7F4E" w:rsidRPr="00A71974" w14:paraId="507EF471" w14:textId="77777777" w:rsidTr="00CE7F4E">
        <w:trPr>
          <w:trHeight w:val="260"/>
        </w:trPr>
        <w:tc>
          <w:tcPr>
            <w:tcW w:w="3417" w:type="dxa"/>
            <w:tcBorders>
              <w:top w:val="single" w:sz="8" w:space="0" w:color="auto"/>
              <w:left w:val="nil"/>
              <w:bottom w:val="nil"/>
              <w:right w:val="nil"/>
            </w:tcBorders>
            <w:noWrap/>
            <w:vAlign w:val="center"/>
            <w:hideMark/>
          </w:tcPr>
          <w:p w14:paraId="1E6601AA"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Variables</w:t>
            </w:r>
          </w:p>
        </w:tc>
        <w:tc>
          <w:tcPr>
            <w:tcW w:w="1758" w:type="dxa"/>
            <w:tcBorders>
              <w:top w:val="single" w:sz="8" w:space="0" w:color="auto"/>
              <w:left w:val="nil"/>
              <w:bottom w:val="nil"/>
              <w:right w:val="nil"/>
            </w:tcBorders>
            <w:noWrap/>
            <w:vAlign w:val="center"/>
            <w:hideMark/>
          </w:tcPr>
          <w:p w14:paraId="4A5A8D3B"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Effective Overburden pressure</w:t>
            </w:r>
          </w:p>
        </w:tc>
        <w:tc>
          <w:tcPr>
            <w:tcW w:w="1259" w:type="dxa"/>
            <w:tcBorders>
              <w:top w:val="single" w:sz="8" w:space="0" w:color="auto"/>
              <w:left w:val="nil"/>
              <w:bottom w:val="nil"/>
              <w:right w:val="nil"/>
            </w:tcBorders>
            <w:noWrap/>
            <w:vAlign w:val="center"/>
            <w:hideMark/>
          </w:tcPr>
          <w:p w14:paraId="0EE8EC4D" w14:textId="73DE37F5" w:rsidR="00CE7F4E" w:rsidRPr="00A71974" w:rsidRDefault="002743EA"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SPT-N</w:t>
            </w:r>
          </w:p>
        </w:tc>
        <w:tc>
          <w:tcPr>
            <w:tcW w:w="1259" w:type="dxa"/>
            <w:tcBorders>
              <w:top w:val="single" w:sz="8" w:space="0" w:color="auto"/>
              <w:left w:val="nil"/>
              <w:bottom w:val="nil"/>
              <w:right w:val="nil"/>
            </w:tcBorders>
            <w:noWrap/>
            <w:vAlign w:val="center"/>
            <w:hideMark/>
          </w:tcPr>
          <w:p w14:paraId="18BDED9D"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D50</w:t>
            </w:r>
          </w:p>
        </w:tc>
        <w:tc>
          <w:tcPr>
            <w:tcW w:w="1259" w:type="dxa"/>
            <w:tcBorders>
              <w:top w:val="single" w:sz="8" w:space="0" w:color="auto"/>
              <w:left w:val="nil"/>
              <w:bottom w:val="nil"/>
              <w:right w:val="nil"/>
            </w:tcBorders>
            <w:noWrap/>
            <w:vAlign w:val="center"/>
            <w:hideMark/>
          </w:tcPr>
          <w:p w14:paraId="495156E2"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Ø</w:t>
            </w:r>
          </w:p>
        </w:tc>
      </w:tr>
      <w:tr w:rsidR="00CE7F4E" w:rsidRPr="00A71974" w14:paraId="64A2D9B1" w14:textId="77777777" w:rsidTr="00CE7F4E">
        <w:trPr>
          <w:trHeight w:val="260"/>
        </w:trPr>
        <w:tc>
          <w:tcPr>
            <w:tcW w:w="3417" w:type="dxa"/>
            <w:tcBorders>
              <w:top w:val="single" w:sz="4" w:space="0" w:color="auto"/>
              <w:left w:val="nil"/>
              <w:bottom w:val="nil"/>
              <w:right w:val="nil"/>
            </w:tcBorders>
            <w:noWrap/>
            <w:vAlign w:val="center"/>
            <w:hideMark/>
          </w:tcPr>
          <w:p w14:paraId="317472CF"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Effective Overburden pressure</w:t>
            </w:r>
          </w:p>
        </w:tc>
        <w:tc>
          <w:tcPr>
            <w:tcW w:w="1758" w:type="dxa"/>
            <w:tcBorders>
              <w:top w:val="single" w:sz="4" w:space="0" w:color="auto"/>
              <w:left w:val="nil"/>
              <w:bottom w:val="nil"/>
              <w:right w:val="nil"/>
            </w:tcBorders>
            <w:noWrap/>
            <w:vAlign w:val="center"/>
            <w:hideMark/>
          </w:tcPr>
          <w:p w14:paraId="5B654E48"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1.00</w:t>
            </w:r>
          </w:p>
        </w:tc>
        <w:tc>
          <w:tcPr>
            <w:tcW w:w="1259" w:type="dxa"/>
            <w:tcBorders>
              <w:top w:val="single" w:sz="4" w:space="0" w:color="auto"/>
              <w:left w:val="nil"/>
              <w:bottom w:val="nil"/>
              <w:right w:val="nil"/>
            </w:tcBorders>
            <w:noWrap/>
            <w:vAlign w:val="center"/>
            <w:hideMark/>
          </w:tcPr>
          <w:p w14:paraId="58790D40" w14:textId="29ED6BFD"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p>
        </w:tc>
        <w:tc>
          <w:tcPr>
            <w:tcW w:w="1259" w:type="dxa"/>
            <w:tcBorders>
              <w:top w:val="single" w:sz="4" w:space="0" w:color="auto"/>
              <w:left w:val="nil"/>
              <w:bottom w:val="nil"/>
              <w:right w:val="nil"/>
            </w:tcBorders>
            <w:noWrap/>
            <w:vAlign w:val="center"/>
            <w:hideMark/>
          </w:tcPr>
          <w:p w14:paraId="36FE3C13" w14:textId="145486E1"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p>
        </w:tc>
        <w:tc>
          <w:tcPr>
            <w:tcW w:w="1259" w:type="dxa"/>
            <w:tcBorders>
              <w:top w:val="single" w:sz="4" w:space="0" w:color="auto"/>
              <w:left w:val="nil"/>
              <w:bottom w:val="nil"/>
              <w:right w:val="nil"/>
            </w:tcBorders>
            <w:noWrap/>
            <w:vAlign w:val="center"/>
            <w:hideMark/>
          </w:tcPr>
          <w:p w14:paraId="525366FD" w14:textId="09C72189"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p>
        </w:tc>
      </w:tr>
      <w:tr w:rsidR="00CE7F4E" w:rsidRPr="00A71974" w14:paraId="1609E827" w14:textId="77777777" w:rsidTr="00CE7F4E">
        <w:trPr>
          <w:trHeight w:val="260"/>
        </w:trPr>
        <w:tc>
          <w:tcPr>
            <w:tcW w:w="3417" w:type="dxa"/>
            <w:tcBorders>
              <w:top w:val="nil"/>
              <w:left w:val="nil"/>
              <w:bottom w:val="nil"/>
              <w:right w:val="nil"/>
            </w:tcBorders>
            <w:noWrap/>
            <w:vAlign w:val="center"/>
            <w:hideMark/>
          </w:tcPr>
          <w:p w14:paraId="568636B6" w14:textId="21CA1F44" w:rsidR="00CE7F4E" w:rsidRPr="00A71974" w:rsidRDefault="00DB3F91"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SPT-N</w:t>
            </w:r>
          </w:p>
        </w:tc>
        <w:tc>
          <w:tcPr>
            <w:tcW w:w="1758" w:type="dxa"/>
            <w:tcBorders>
              <w:top w:val="nil"/>
              <w:left w:val="nil"/>
              <w:bottom w:val="nil"/>
              <w:right w:val="nil"/>
            </w:tcBorders>
            <w:noWrap/>
            <w:vAlign w:val="center"/>
            <w:hideMark/>
          </w:tcPr>
          <w:p w14:paraId="75EDD508"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0.96</w:t>
            </w:r>
          </w:p>
        </w:tc>
        <w:tc>
          <w:tcPr>
            <w:tcW w:w="1259" w:type="dxa"/>
            <w:tcBorders>
              <w:top w:val="nil"/>
              <w:left w:val="nil"/>
              <w:bottom w:val="nil"/>
              <w:right w:val="nil"/>
            </w:tcBorders>
            <w:noWrap/>
            <w:vAlign w:val="center"/>
            <w:hideMark/>
          </w:tcPr>
          <w:p w14:paraId="401289D8"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1.00</w:t>
            </w:r>
          </w:p>
        </w:tc>
        <w:tc>
          <w:tcPr>
            <w:tcW w:w="1259" w:type="dxa"/>
            <w:tcBorders>
              <w:top w:val="nil"/>
              <w:left w:val="nil"/>
              <w:bottom w:val="nil"/>
              <w:right w:val="nil"/>
            </w:tcBorders>
            <w:noWrap/>
            <w:vAlign w:val="center"/>
            <w:hideMark/>
          </w:tcPr>
          <w:p w14:paraId="223EF9B7"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p>
        </w:tc>
        <w:tc>
          <w:tcPr>
            <w:tcW w:w="1259" w:type="dxa"/>
            <w:tcBorders>
              <w:top w:val="nil"/>
              <w:left w:val="nil"/>
              <w:bottom w:val="nil"/>
              <w:right w:val="nil"/>
            </w:tcBorders>
            <w:noWrap/>
            <w:vAlign w:val="center"/>
            <w:hideMark/>
          </w:tcPr>
          <w:p w14:paraId="64FE9794" w14:textId="77777777" w:rsidR="00CE7F4E" w:rsidRPr="00A71974" w:rsidRDefault="00CE7F4E" w:rsidP="00A71974">
            <w:pPr>
              <w:spacing w:after="0" w:line="240" w:lineRule="auto"/>
              <w:jc w:val="both"/>
              <w:rPr>
                <w:rFonts w:ascii="Arial" w:eastAsia="Times New Roman" w:hAnsi="Arial" w:cs="Arial"/>
                <w:kern w:val="0"/>
                <w:sz w:val="20"/>
                <w:szCs w:val="20"/>
                <w:lang w:eastAsia="en-GB"/>
                <w14:ligatures w14:val="none"/>
              </w:rPr>
            </w:pPr>
          </w:p>
        </w:tc>
      </w:tr>
      <w:tr w:rsidR="00CE7F4E" w:rsidRPr="00A71974" w14:paraId="2D7184AF" w14:textId="77777777" w:rsidTr="00CE7F4E">
        <w:trPr>
          <w:trHeight w:val="260"/>
        </w:trPr>
        <w:tc>
          <w:tcPr>
            <w:tcW w:w="3417" w:type="dxa"/>
            <w:tcBorders>
              <w:top w:val="nil"/>
              <w:left w:val="nil"/>
              <w:bottom w:val="nil"/>
              <w:right w:val="nil"/>
            </w:tcBorders>
            <w:noWrap/>
            <w:vAlign w:val="center"/>
            <w:hideMark/>
          </w:tcPr>
          <w:p w14:paraId="151BDC6A"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D50</w:t>
            </w:r>
          </w:p>
        </w:tc>
        <w:tc>
          <w:tcPr>
            <w:tcW w:w="1758" w:type="dxa"/>
            <w:tcBorders>
              <w:top w:val="nil"/>
              <w:left w:val="nil"/>
              <w:bottom w:val="nil"/>
              <w:right w:val="nil"/>
            </w:tcBorders>
            <w:noWrap/>
            <w:vAlign w:val="center"/>
            <w:hideMark/>
          </w:tcPr>
          <w:p w14:paraId="68E3837B"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0.53</w:t>
            </w:r>
          </w:p>
        </w:tc>
        <w:tc>
          <w:tcPr>
            <w:tcW w:w="1259" w:type="dxa"/>
            <w:tcBorders>
              <w:top w:val="nil"/>
              <w:left w:val="nil"/>
              <w:bottom w:val="nil"/>
              <w:right w:val="nil"/>
            </w:tcBorders>
            <w:noWrap/>
            <w:vAlign w:val="center"/>
            <w:hideMark/>
          </w:tcPr>
          <w:p w14:paraId="7B37EFA1"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0.61</w:t>
            </w:r>
          </w:p>
        </w:tc>
        <w:tc>
          <w:tcPr>
            <w:tcW w:w="1259" w:type="dxa"/>
            <w:tcBorders>
              <w:top w:val="nil"/>
              <w:left w:val="nil"/>
              <w:bottom w:val="nil"/>
              <w:right w:val="nil"/>
            </w:tcBorders>
            <w:noWrap/>
            <w:vAlign w:val="center"/>
            <w:hideMark/>
          </w:tcPr>
          <w:p w14:paraId="2BF0ED8C"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1.00</w:t>
            </w:r>
          </w:p>
        </w:tc>
        <w:tc>
          <w:tcPr>
            <w:tcW w:w="1259" w:type="dxa"/>
            <w:tcBorders>
              <w:top w:val="nil"/>
              <w:left w:val="nil"/>
              <w:bottom w:val="nil"/>
              <w:right w:val="nil"/>
            </w:tcBorders>
            <w:noWrap/>
            <w:vAlign w:val="center"/>
            <w:hideMark/>
          </w:tcPr>
          <w:p w14:paraId="54D5E9A7"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p>
        </w:tc>
      </w:tr>
      <w:tr w:rsidR="00CE7F4E" w:rsidRPr="00A71974" w14:paraId="09A110A7" w14:textId="77777777" w:rsidTr="00CE7F4E">
        <w:trPr>
          <w:trHeight w:val="273"/>
        </w:trPr>
        <w:tc>
          <w:tcPr>
            <w:tcW w:w="3417" w:type="dxa"/>
            <w:tcBorders>
              <w:top w:val="nil"/>
              <w:left w:val="nil"/>
              <w:bottom w:val="single" w:sz="8" w:space="0" w:color="auto"/>
              <w:right w:val="nil"/>
            </w:tcBorders>
            <w:noWrap/>
            <w:vAlign w:val="center"/>
            <w:hideMark/>
          </w:tcPr>
          <w:p w14:paraId="76FBFF51"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Ø</w:t>
            </w:r>
          </w:p>
        </w:tc>
        <w:tc>
          <w:tcPr>
            <w:tcW w:w="1758" w:type="dxa"/>
            <w:tcBorders>
              <w:top w:val="nil"/>
              <w:left w:val="nil"/>
              <w:bottom w:val="single" w:sz="8" w:space="0" w:color="auto"/>
              <w:right w:val="nil"/>
            </w:tcBorders>
            <w:noWrap/>
            <w:vAlign w:val="center"/>
            <w:hideMark/>
          </w:tcPr>
          <w:p w14:paraId="3C7ECD26"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0.96</w:t>
            </w:r>
          </w:p>
        </w:tc>
        <w:tc>
          <w:tcPr>
            <w:tcW w:w="1259" w:type="dxa"/>
            <w:tcBorders>
              <w:top w:val="nil"/>
              <w:left w:val="nil"/>
              <w:bottom w:val="single" w:sz="8" w:space="0" w:color="auto"/>
              <w:right w:val="nil"/>
            </w:tcBorders>
            <w:noWrap/>
            <w:vAlign w:val="center"/>
            <w:hideMark/>
          </w:tcPr>
          <w:p w14:paraId="6790F50E"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0.90</w:t>
            </w:r>
          </w:p>
        </w:tc>
        <w:tc>
          <w:tcPr>
            <w:tcW w:w="1259" w:type="dxa"/>
            <w:tcBorders>
              <w:top w:val="nil"/>
              <w:left w:val="nil"/>
              <w:bottom w:val="single" w:sz="8" w:space="0" w:color="auto"/>
              <w:right w:val="nil"/>
            </w:tcBorders>
            <w:noWrap/>
            <w:vAlign w:val="center"/>
            <w:hideMark/>
          </w:tcPr>
          <w:p w14:paraId="3F161A83" w14:textId="77777777" w:rsidR="00CE7F4E" w:rsidRPr="00A71974" w:rsidRDefault="00CE7F4E"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0.49</w:t>
            </w:r>
          </w:p>
        </w:tc>
        <w:tc>
          <w:tcPr>
            <w:tcW w:w="1259" w:type="dxa"/>
            <w:tcBorders>
              <w:top w:val="nil"/>
              <w:left w:val="nil"/>
              <w:bottom w:val="single" w:sz="8" w:space="0" w:color="auto"/>
              <w:right w:val="nil"/>
            </w:tcBorders>
            <w:noWrap/>
            <w:vAlign w:val="center"/>
            <w:hideMark/>
          </w:tcPr>
          <w:p w14:paraId="4E03FA2B" w14:textId="77777777" w:rsidR="00CE7F4E" w:rsidRPr="00A71974" w:rsidRDefault="00CE7F4E"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1.00</w:t>
            </w:r>
          </w:p>
        </w:tc>
      </w:tr>
      <w:tr w:rsidR="00CE7F4E" w:rsidRPr="00A71974" w14:paraId="78161137" w14:textId="77777777" w:rsidTr="00CE7F4E">
        <w:trPr>
          <w:trHeight w:val="260"/>
        </w:trPr>
        <w:tc>
          <w:tcPr>
            <w:tcW w:w="8952" w:type="dxa"/>
            <w:gridSpan w:val="5"/>
            <w:tcBorders>
              <w:top w:val="nil"/>
              <w:left w:val="nil"/>
              <w:bottom w:val="nil"/>
              <w:right w:val="nil"/>
            </w:tcBorders>
            <w:noWrap/>
            <w:vAlign w:val="center"/>
            <w:hideMark/>
          </w:tcPr>
          <w:p w14:paraId="03087FA8" w14:textId="77777777" w:rsidR="00CE7F4E" w:rsidRPr="00A71974" w:rsidRDefault="00CE7F4E" w:rsidP="00A71974">
            <w:pPr>
              <w:spacing w:after="0" w:line="240" w:lineRule="auto"/>
              <w:jc w:val="both"/>
              <w:rPr>
                <w:rFonts w:ascii="Arial" w:eastAsia="Times New Roman" w:hAnsi="Arial" w:cs="Arial"/>
                <w:i/>
                <w:iCs/>
                <w:color w:val="000000"/>
                <w:kern w:val="0"/>
                <w:sz w:val="20"/>
                <w:szCs w:val="20"/>
                <w:lang w:eastAsia="en-GB"/>
                <w14:ligatures w14:val="none"/>
              </w:rPr>
            </w:pPr>
            <w:r w:rsidRPr="00A71974">
              <w:rPr>
                <w:rFonts w:ascii="Arial" w:eastAsia="Times New Roman" w:hAnsi="Arial" w:cs="Arial"/>
                <w:i/>
                <w:iCs/>
                <w:color w:val="000000"/>
                <w:kern w:val="0"/>
                <w:sz w:val="20"/>
                <w:szCs w:val="20"/>
                <w:lang w:eastAsia="en-GB"/>
                <w14:ligatures w14:val="none"/>
              </w:rPr>
              <w:t>Values in bold are different from 0 with a significance level alpha=0.05</w:t>
            </w:r>
          </w:p>
        </w:tc>
      </w:tr>
    </w:tbl>
    <w:p w14:paraId="4D1A2A42" w14:textId="77777777" w:rsidR="00CE7F4E" w:rsidRPr="00A71974" w:rsidRDefault="00CE7F4E" w:rsidP="00A71974">
      <w:pPr>
        <w:spacing w:line="240" w:lineRule="auto"/>
        <w:jc w:val="both"/>
        <w:rPr>
          <w:rFonts w:ascii="Arial" w:hAnsi="Arial" w:cs="Arial"/>
          <w:sz w:val="20"/>
          <w:szCs w:val="20"/>
        </w:rPr>
      </w:pPr>
    </w:p>
    <w:p w14:paraId="5C2200E1" w14:textId="4D94179E" w:rsidR="00E779F5" w:rsidRPr="00A71974" w:rsidRDefault="00E779F5" w:rsidP="00A71974">
      <w:pPr>
        <w:spacing w:line="240" w:lineRule="auto"/>
        <w:jc w:val="both"/>
        <w:rPr>
          <w:rFonts w:ascii="Arial" w:hAnsi="Arial" w:cs="Arial"/>
          <w:b/>
          <w:bCs/>
          <w:sz w:val="22"/>
          <w:szCs w:val="22"/>
        </w:rPr>
      </w:pPr>
      <w:r w:rsidRPr="00A71974">
        <w:rPr>
          <w:rFonts w:ascii="Arial" w:hAnsi="Arial" w:cs="Arial"/>
          <w:b/>
          <w:bCs/>
          <w:sz w:val="22"/>
          <w:szCs w:val="22"/>
        </w:rPr>
        <w:t>3.</w:t>
      </w:r>
      <w:r w:rsidR="00F63CE3" w:rsidRPr="00A71974">
        <w:rPr>
          <w:rFonts w:ascii="Arial" w:hAnsi="Arial" w:cs="Arial"/>
          <w:b/>
          <w:bCs/>
          <w:sz w:val="22"/>
          <w:szCs w:val="22"/>
        </w:rPr>
        <w:t>3</w:t>
      </w:r>
      <w:r w:rsidRPr="00A71974">
        <w:rPr>
          <w:rFonts w:ascii="Arial" w:hAnsi="Arial" w:cs="Arial"/>
          <w:b/>
          <w:bCs/>
          <w:sz w:val="22"/>
          <w:szCs w:val="22"/>
        </w:rPr>
        <w:t xml:space="preserve"> </w:t>
      </w:r>
      <w:r w:rsidR="00C77559" w:rsidRPr="00A71974">
        <w:rPr>
          <w:rFonts w:ascii="Arial" w:hAnsi="Arial" w:cs="Arial"/>
          <w:b/>
          <w:bCs/>
          <w:sz w:val="22"/>
          <w:szCs w:val="22"/>
        </w:rPr>
        <w:t>Development</w:t>
      </w:r>
      <w:r w:rsidR="00121B6A" w:rsidRPr="00A71974">
        <w:rPr>
          <w:rFonts w:ascii="Arial" w:hAnsi="Arial" w:cs="Arial"/>
          <w:b/>
          <w:bCs/>
          <w:sz w:val="22"/>
          <w:szCs w:val="22"/>
        </w:rPr>
        <w:t xml:space="preserve"> of Models</w:t>
      </w:r>
    </w:p>
    <w:p w14:paraId="3899A569" w14:textId="17566260" w:rsidR="001A26C3" w:rsidRPr="001A26C3" w:rsidRDefault="001A26C3" w:rsidP="001A26C3">
      <w:pPr>
        <w:spacing w:line="240" w:lineRule="auto"/>
        <w:jc w:val="both"/>
        <w:rPr>
          <w:rFonts w:ascii="Arial" w:hAnsi="Arial" w:cs="Arial"/>
          <w:sz w:val="20"/>
          <w:szCs w:val="20"/>
        </w:rPr>
      </w:pPr>
      <w:r w:rsidRPr="001A26C3">
        <w:rPr>
          <w:rFonts w:ascii="Arial" w:hAnsi="Arial" w:cs="Arial"/>
          <w:sz w:val="20"/>
          <w:szCs w:val="20"/>
        </w:rPr>
        <w:t>The model was developed in stages. First, a straightforward linear regression model was created that connected each soil parameter to the angle of internal friction. A multiple linear regression model was created that established a relationship between the angle of internal friction and all soil characteristics. To assess each parameter's predictive power for estimating friction angle, three straightforward linear regression models were created. Table 3 displays the model's goodness of fit results. With a coefficient of determination R2 = 0.921, the effective overburden pressure model showed remarkable performance, explaining 92.1% of the variance in friction angle through effective stress alone.</w:t>
      </w:r>
      <w:r>
        <w:rPr>
          <w:rFonts w:ascii="Arial" w:hAnsi="Arial" w:cs="Arial"/>
          <w:sz w:val="20"/>
          <w:szCs w:val="20"/>
        </w:rPr>
        <w:t xml:space="preserve"> </w:t>
      </w:r>
      <w:r w:rsidRPr="001A26C3">
        <w:rPr>
          <w:rFonts w:ascii="Arial" w:hAnsi="Arial" w:cs="Arial"/>
          <w:sz w:val="20"/>
          <w:szCs w:val="20"/>
        </w:rPr>
        <w:t xml:space="preserve">The model was extremely significant (F = 128.479, p &lt; 0.0001) and had a root mean square error of 1.091°. Additionally, the model showed that the angle of internal friction increases by 0.047° for every 1KPa rise in the effective stress. At R2 = 0.807, the SPT-N model had statistically significant predictive </w:t>
      </w:r>
      <w:r w:rsidRPr="001A26C3">
        <w:rPr>
          <w:rFonts w:ascii="Arial" w:hAnsi="Arial" w:cs="Arial"/>
          <w:sz w:val="20"/>
          <w:szCs w:val="20"/>
        </w:rPr>
        <w:lastRenderedPageBreak/>
        <w:t>performance, accounting for 80.7% of the variance in the friction angle with an RMSE of 1.708°. According to the model, the angle of internal friction will rise by 0.286° for every unit change in the SPT-N value. With R2 = 0.242 and an RMSE of 3.383°, the median grain size model performed noticeably worse, accounting for just 24.2% of the variance in the friction angle.</w:t>
      </w:r>
      <w:r>
        <w:rPr>
          <w:rFonts w:ascii="Arial" w:hAnsi="Arial" w:cs="Arial"/>
          <w:sz w:val="20"/>
          <w:szCs w:val="20"/>
        </w:rPr>
        <w:t xml:space="preserve"> </w:t>
      </w:r>
      <w:r w:rsidRPr="001A26C3">
        <w:rPr>
          <w:rFonts w:ascii="Arial" w:hAnsi="Arial" w:cs="Arial"/>
          <w:sz w:val="20"/>
          <w:szCs w:val="20"/>
        </w:rPr>
        <w:t>At a significance level of 10%, this model demonstrated a significant association, but at a 5% level, it was not significant (F = 3.507, p = 0.088). The outcome demonstrated the median grain size's poor predictive power. Given the heterogeneous character of the soil profile and the large range of particle sizes (from medium sand to clay-sized particles), the poor prediction accuracy of D50 may be explained by the complex interactions that are not sufficiently reflected by median grain size alone.</w:t>
      </w:r>
    </w:p>
    <w:p w14:paraId="3F63EC01" w14:textId="796B8BA0" w:rsidR="00E779F5" w:rsidRPr="00A71974" w:rsidRDefault="00E779F5" w:rsidP="001A26C3">
      <w:pPr>
        <w:spacing w:line="240" w:lineRule="auto"/>
        <w:jc w:val="both"/>
        <w:rPr>
          <w:rFonts w:ascii="Arial" w:hAnsi="Arial" w:cs="Arial"/>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3</w:t>
      </w:r>
      <w:r w:rsidRPr="00A71974">
        <w:rPr>
          <w:rFonts w:ascii="Arial" w:hAnsi="Arial" w:cs="Arial"/>
          <w:b/>
          <w:bCs/>
          <w:sz w:val="20"/>
          <w:szCs w:val="20"/>
        </w:rPr>
        <w:t xml:space="preserve">: </w:t>
      </w:r>
      <w:r w:rsidR="008A41AB" w:rsidRPr="00A71974">
        <w:rPr>
          <w:rFonts w:ascii="Arial" w:hAnsi="Arial" w:cs="Arial"/>
          <w:sz w:val="20"/>
          <w:szCs w:val="20"/>
        </w:rPr>
        <w:t>Goodness of Fit Statistics for Simple Linear Regression Models</w:t>
      </w:r>
    </w:p>
    <w:tbl>
      <w:tblPr>
        <w:tblW w:w="9156" w:type="dxa"/>
        <w:tblLook w:val="04A0" w:firstRow="1" w:lastRow="0" w:firstColumn="1" w:lastColumn="0" w:noHBand="0" w:noVBand="1"/>
      </w:tblPr>
      <w:tblGrid>
        <w:gridCol w:w="2948"/>
        <w:gridCol w:w="2192"/>
        <w:gridCol w:w="2321"/>
        <w:gridCol w:w="1695"/>
      </w:tblGrid>
      <w:tr w:rsidR="00E3438F" w:rsidRPr="00A71974" w14:paraId="3DF642FB" w14:textId="77777777" w:rsidTr="00CB3338">
        <w:trPr>
          <w:trHeight w:val="326"/>
        </w:trPr>
        <w:tc>
          <w:tcPr>
            <w:tcW w:w="2948" w:type="dxa"/>
            <w:tcBorders>
              <w:top w:val="single" w:sz="4" w:space="0" w:color="auto"/>
              <w:bottom w:val="single" w:sz="4" w:space="0" w:color="auto"/>
            </w:tcBorders>
            <w:shd w:val="clear" w:color="000000" w:fill="F8F9FA"/>
            <w:vAlign w:val="center"/>
            <w:hideMark/>
          </w:tcPr>
          <w:p w14:paraId="37BF6852" w14:textId="77777777" w:rsidR="00E3438F" w:rsidRPr="00A71974" w:rsidRDefault="00E3438F" w:rsidP="00A71974">
            <w:pPr>
              <w:spacing w:after="0" w:line="240" w:lineRule="auto"/>
              <w:ind w:firstLineChars="100" w:firstLine="201"/>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Statistic</w:t>
            </w:r>
          </w:p>
        </w:tc>
        <w:tc>
          <w:tcPr>
            <w:tcW w:w="2192" w:type="dxa"/>
            <w:tcBorders>
              <w:top w:val="single" w:sz="4" w:space="0" w:color="auto"/>
              <w:bottom w:val="single" w:sz="4" w:space="0" w:color="auto"/>
            </w:tcBorders>
            <w:shd w:val="clear" w:color="000000" w:fill="F8F9FA"/>
            <w:vAlign w:val="center"/>
            <w:hideMark/>
          </w:tcPr>
          <w:p w14:paraId="4511E1BD" w14:textId="77777777" w:rsidR="00E3438F" w:rsidRPr="00A71974" w:rsidRDefault="00E3438F"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Effective Overburden Pressure</w:t>
            </w:r>
          </w:p>
        </w:tc>
        <w:tc>
          <w:tcPr>
            <w:tcW w:w="2321" w:type="dxa"/>
            <w:tcBorders>
              <w:top w:val="single" w:sz="4" w:space="0" w:color="auto"/>
              <w:bottom w:val="single" w:sz="4" w:space="0" w:color="auto"/>
            </w:tcBorders>
            <w:shd w:val="clear" w:color="000000" w:fill="F8F9FA"/>
            <w:vAlign w:val="center"/>
            <w:hideMark/>
          </w:tcPr>
          <w:p w14:paraId="5A0DE23B" w14:textId="052A837B" w:rsidR="00E3438F" w:rsidRPr="00A71974" w:rsidRDefault="00DB3F91"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SPT-N</w:t>
            </w:r>
          </w:p>
        </w:tc>
        <w:tc>
          <w:tcPr>
            <w:tcW w:w="1695" w:type="dxa"/>
            <w:tcBorders>
              <w:top w:val="single" w:sz="4" w:space="0" w:color="auto"/>
              <w:bottom w:val="single" w:sz="4" w:space="0" w:color="auto"/>
            </w:tcBorders>
            <w:shd w:val="clear" w:color="000000" w:fill="F8F9FA"/>
            <w:vAlign w:val="center"/>
            <w:hideMark/>
          </w:tcPr>
          <w:p w14:paraId="61ACD1B7" w14:textId="77777777" w:rsidR="00E3438F" w:rsidRPr="00A71974" w:rsidRDefault="00E3438F"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D50</w:t>
            </w:r>
          </w:p>
        </w:tc>
      </w:tr>
      <w:tr w:rsidR="00E3438F" w:rsidRPr="00A71974" w14:paraId="57324F5D" w14:textId="77777777" w:rsidTr="00CB3338">
        <w:trPr>
          <w:trHeight w:val="218"/>
        </w:trPr>
        <w:tc>
          <w:tcPr>
            <w:tcW w:w="2948" w:type="dxa"/>
            <w:tcBorders>
              <w:top w:val="single" w:sz="4" w:space="0" w:color="auto"/>
            </w:tcBorders>
            <w:shd w:val="clear" w:color="000000" w:fill="FFFFFF"/>
            <w:vAlign w:val="center"/>
            <w:hideMark/>
          </w:tcPr>
          <w:p w14:paraId="2B74676F"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Observations (n)</w:t>
            </w:r>
          </w:p>
        </w:tc>
        <w:tc>
          <w:tcPr>
            <w:tcW w:w="2192" w:type="dxa"/>
            <w:tcBorders>
              <w:top w:val="single" w:sz="4" w:space="0" w:color="auto"/>
            </w:tcBorders>
            <w:shd w:val="clear" w:color="000000" w:fill="FFFFFF"/>
            <w:vAlign w:val="center"/>
            <w:hideMark/>
          </w:tcPr>
          <w:p w14:paraId="2BB0D568"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13</w:t>
            </w:r>
          </w:p>
        </w:tc>
        <w:tc>
          <w:tcPr>
            <w:tcW w:w="2321" w:type="dxa"/>
            <w:tcBorders>
              <w:top w:val="single" w:sz="4" w:space="0" w:color="auto"/>
            </w:tcBorders>
            <w:shd w:val="clear" w:color="000000" w:fill="FFFFFF"/>
            <w:vAlign w:val="center"/>
            <w:hideMark/>
          </w:tcPr>
          <w:p w14:paraId="39F7C695"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13</w:t>
            </w:r>
          </w:p>
        </w:tc>
        <w:tc>
          <w:tcPr>
            <w:tcW w:w="1695" w:type="dxa"/>
            <w:tcBorders>
              <w:top w:val="single" w:sz="4" w:space="0" w:color="auto"/>
            </w:tcBorders>
            <w:shd w:val="clear" w:color="000000" w:fill="FFFFFF"/>
            <w:vAlign w:val="center"/>
            <w:hideMark/>
          </w:tcPr>
          <w:p w14:paraId="718A06C3"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13</w:t>
            </w:r>
          </w:p>
        </w:tc>
      </w:tr>
      <w:tr w:rsidR="00E3438F" w:rsidRPr="00A71974" w14:paraId="17948EFF" w14:textId="77777777" w:rsidTr="00CB3338">
        <w:trPr>
          <w:trHeight w:val="218"/>
        </w:trPr>
        <w:tc>
          <w:tcPr>
            <w:tcW w:w="2948" w:type="dxa"/>
            <w:shd w:val="clear" w:color="000000" w:fill="FFFFFF"/>
            <w:vAlign w:val="center"/>
            <w:hideMark/>
          </w:tcPr>
          <w:p w14:paraId="401B8B9C"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Degrees of Freedom</w:t>
            </w:r>
          </w:p>
        </w:tc>
        <w:tc>
          <w:tcPr>
            <w:tcW w:w="2192" w:type="dxa"/>
            <w:shd w:val="clear" w:color="000000" w:fill="FFFFFF"/>
            <w:vAlign w:val="center"/>
            <w:hideMark/>
          </w:tcPr>
          <w:p w14:paraId="7BC7BDEE"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w:t>
            </w:r>
          </w:p>
        </w:tc>
        <w:tc>
          <w:tcPr>
            <w:tcW w:w="2321" w:type="dxa"/>
            <w:shd w:val="clear" w:color="000000" w:fill="FFFFFF"/>
            <w:vAlign w:val="center"/>
            <w:hideMark/>
          </w:tcPr>
          <w:p w14:paraId="38CE40A2"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w:t>
            </w:r>
          </w:p>
        </w:tc>
        <w:tc>
          <w:tcPr>
            <w:tcW w:w="1695" w:type="dxa"/>
            <w:shd w:val="clear" w:color="000000" w:fill="FFFFFF"/>
            <w:vAlign w:val="center"/>
            <w:hideMark/>
          </w:tcPr>
          <w:p w14:paraId="5B92535A"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w:t>
            </w:r>
          </w:p>
        </w:tc>
      </w:tr>
      <w:tr w:rsidR="00E3438F" w:rsidRPr="00A71974" w14:paraId="3F35AE0A" w14:textId="77777777" w:rsidTr="00CB3338">
        <w:trPr>
          <w:trHeight w:val="111"/>
        </w:trPr>
        <w:tc>
          <w:tcPr>
            <w:tcW w:w="2948" w:type="dxa"/>
            <w:shd w:val="clear" w:color="000000" w:fill="FFFFFF"/>
            <w:vAlign w:val="center"/>
            <w:hideMark/>
          </w:tcPr>
          <w:p w14:paraId="393E844F"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R²</w:t>
            </w:r>
          </w:p>
        </w:tc>
        <w:tc>
          <w:tcPr>
            <w:tcW w:w="2192" w:type="dxa"/>
            <w:shd w:val="clear" w:color="000000" w:fill="FFFFFF"/>
            <w:vAlign w:val="center"/>
            <w:hideMark/>
          </w:tcPr>
          <w:p w14:paraId="2E66A2F7"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0.921</w:t>
            </w:r>
          </w:p>
        </w:tc>
        <w:tc>
          <w:tcPr>
            <w:tcW w:w="2321" w:type="dxa"/>
            <w:shd w:val="clear" w:color="000000" w:fill="FFFFFF"/>
            <w:vAlign w:val="center"/>
            <w:hideMark/>
          </w:tcPr>
          <w:p w14:paraId="3286B686"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0.807</w:t>
            </w:r>
          </w:p>
        </w:tc>
        <w:tc>
          <w:tcPr>
            <w:tcW w:w="1695" w:type="dxa"/>
            <w:shd w:val="clear" w:color="000000" w:fill="FFFFFF"/>
            <w:vAlign w:val="center"/>
            <w:hideMark/>
          </w:tcPr>
          <w:p w14:paraId="7514EF85"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0.242</w:t>
            </w:r>
          </w:p>
        </w:tc>
      </w:tr>
      <w:tr w:rsidR="00E3438F" w:rsidRPr="00A71974" w14:paraId="2868ACD4" w14:textId="77777777" w:rsidTr="00CB3338">
        <w:trPr>
          <w:trHeight w:val="111"/>
        </w:trPr>
        <w:tc>
          <w:tcPr>
            <w:tcW w:w="2948" w:type="dxa"/>
            <w:shd w:val="clear" w:color="000000" w:fill="FFFFFF"/>
            <w:vAlign w:val="center"/>
            <w:hideMark/>
          </w:tcPr>
          <w:p w14:paraId="09627EB1"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Adjusted R²</w:t>
            </w:r>
          </w:p>
        </w:tc>
        <w:tc>
          <w:tcPr>
            <w:tcW w:w="2192" w:type="dxa"/>
            <w:shd w:val="clear" w:color="000000" w:fill="FFFFFF"/>
            <w:vAlign w:val="center"/>
            <w:hideMark/>
          </w:tcPr>
          <w:p w14:paraId="22A3039A"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0.914</w:t>
            </w:r>
          </w:p>
        </w:tc>
        <w:tc>
          <w:tcPr>
            <w:tcW w:w="2321" w:type="dxa"/>
            <w:shd w:val="clear" w:color="000000" w:fill="FFFFFF"/>
            <w:vAlign w:val="center"/>
            <w:hideMark/>
          </w:tcPr>
          <w:p w14:paraId="62CDE05E"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0.789</w:t>
            </w:r>
          </w:p>
        </w:tc>
        <w:tc>
          <w:tcPr>
            <w:tcW w:w="1695" w:type="dxa"/>
            <w:shd w:val="clear" w:color="000000" w:fill="FFFFFF"/>
            <w:vAlign w:val="center"/>
            <w:hideMark/>
          </w:tcPr>
          <w:p w14:paraId="0F25638C"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0.173</w:t>
            </w:r>
          </w:p>
        </w:tc>
      </w:tr>
      <w:tr w:rsidR="00E3438F" w:rsidRPr="00A71974" w14:paraId="1E0E5058" w14:textId="77777777" w:rsidTr="00CB3338">
        <w:trPr>
          <w:trHeight w:val="111"/>
        </w:trPr>
        <w:tc>
          <w:tcPr>
            <w:tcW w:w="2948" w:type="dxa"/>
            <w:shd w:val="clear" w:color="000000" w:fill="FFFFFF"/>
            <w:vAlign w:val="center"/>
            <w:hideMark/>
          </w:tcPr>
          <w:p w14:paraId="52BB18FB"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MSE</w:t>
            </w:r>
          </w:p>
        </w:tc>
        <w:tc>
          <w:tcPr>
            <w:tcW w:w="2192" w:type="dxa"/>
            <w:shd w:val="clear" w:color="000000" w:fill="FFFFFF"/>
            <w:vAlign w:val="center"/>
            <w:hideMark/>
          </w:tcPr>
          <w:p w14:paraId="6EBA3876"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1.19</w:t>
            </w:r>
          </w:p>
        </w:tc>
        <w:tc>
          <w:tcPr>
            <w:tcW w:w="2321" w:type="dxa"/>
            <w:shd w:val="clear" w:color="000000" w:fill="FFFFFF"/>
            <w:vAlign w:val="center"/>
            <w:hideMark/>
          </w:tcPr>
          <w:p w14:paraId="7914FA8E"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2.918</w:t>
            </w:r>
          </w:p>
        </w:tc>
        <w:tc>
          <w:tcPr>
            <w:tcW w:w="1695" w:type="dxa"/>
            <w:shd w:val="clear" w:color="000000" w:fill="FFFFFF"/>
            <w:vAlign w:val="center"/>
            <w:hideMark/>
          </w:tcPr>
          <w:p w14:paraId="34DD04CF"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11.443</w:t>
            </w:r>
          </w:p>
        </w:tc>
      </w:tr>
      <w:tr w:rsidR="00E3438F" w:rsidRPr="00A71974" w14:paraId="0204C4A2" w14:textId="77777777" w:rsidTr="00CB3338">
        <w:trPr>
          <w:trHeight w:val="111"/>
        </w:trPr>
        <w:tc>
          <w:tcPr>
            <w:tcW w:w="2948" w:type="dxa"/>
            <w:shd w:val="clear" w:color="000000" w:fill="FFFFFF"/>
            <w:vAlign w:val="center"/>
            <w:hideMark/>
          </w:tcPr>
          <w:p w14:paraId="262CFCF6"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RMSE</w:t>
            </w:r>
          </w:p>
        </w:tc>
        <w:tc>
          <w:tcPr>
            <w:tcW w:w="2192" w:type="dxa"/>
            <w:shd w:val="clear" w:color="000000" w:fill="FFFFFF"/>
            <w:vAlign w:val="center"/>
            <w:hideMark/>
          </w:tcPr>
          <w:p w14:paraId="26F13DAA"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1.091</w:t>
            </w:r>
          </w:p>
        </w:tc>
        <w:tc>
          <w:tcPr>
            <w:tcW w:w="2321" w:type="dxa"/>
            <w:shd w:val="clear" w:color="000000" w:fill="FFFFFF"/>
            <w:vAlign w:val="center"/>
            <w:hideMark/>
          </w:tcPr>
          <w:p w14:paraId="0FD76380"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1.708</w:t>
            </w:r>
          </w:p>
        </w:tc>
        <w:tc>
          <w:tcPr>
            <w:tcW w:w="1695" w:type="dxa"/>
            <w:shd w:val="clear" w:color="000000" w:fill="FFFFFF"/>
            <w:vAlign w:val="center"/>
            <w:hideMark/>
          </w:tcPr>
          <w:p w14:paraId="5510D694"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3.383</w:t>
            </w:r>
          </w:p>
        </w:tc>
      </w:tr>
      <w:tr w:rsidR="00E3438F" w:rsidRPr="00A71974" w14:paraId="6AB46EF6" w14:textId="77777777" w:rsidTr="00CB3338">
        <w:trPr>
          <w:trHeight w:val="111"/>
        </w:trPr>
        <w:tc>
          <w:tcPr>
            <w:tcW w:w="2948" w:type="dxa"/>
            <w:shd w:val="clear" w:color="000000" w:fill="FFFFFF"/>
            <w:vAlign w:val="center"/>
            <w:hideMark/>
          </w:tcPr>
          <w:p w14:paraId="0BF83EAA"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F-statistic</w:t>
            </w:r>
          </w:p>
        </w:tc>
        <w:tc>
          <w:tcPr>
            <w:tcW w:w="2192" w:type="dxa"/>
            <w:shd w:val="clear" w:color="000000" w:fill="FFFFFF"/>
            <w:vAlign w:val="center"/>
            <w:hideMark/>
          </w:tcPr>
          <w:p w14:paraId="4D88C1FF"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128.479</w:t>
            </w:r>
          </w:p>
        </w:tc>
        <w:tc>
          <w:tcPr>
            <w:tcW w:w="2321" w:type="dxa"/>
            <w:shd w:val="clear" w:color="000000" w:fill="FFFFFF"/>
            <w:vAlign w:val="center"/>
            <w:hideMark/>
          </w:tcPr>
          <w:p w14:paraId="128733FD"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45.89</w:t>
            </w:r>
          </w:p>
        </w:tc>
        <w:tc>
          <w:tcPr>
            <w:tcW w:w="1695" w:type="dxa"/>
            <w:shd w:val="clear" w:color="000000" w:fill="FFFFFF"/>
            <w:vAlign w:val="center"/>
            <w:hideMark/>
          </w:tcPr>
          <w:p w14:paraId="67E22BBA"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3.507</w:t>
            </w:r>
          </w:p>
        </w:tc>
      </w:tr>
      <w:tr w:rsidR="00E3438F" w:rsidRPr="00A71974" w14:paraId="77DC74FE" w14:textId="77777777" w:rsidTr="00CB3338">
        <w:trPr>
          <w:trHeight w:val="218"/>
        </w:trPr>
        <w:tc>
          <w:tcPr>
            <w:tcW w:w="2948" w:type="dxa"/>
            <w:shd w:val="clear" w:color="000000" w:fill="FFFFFF"/>
            <w:vAlign w:val="center"/>
            <w:hideMark/>
          </w:tcPr>
          <w:p w14:paraId="2711BEE4"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p-value (model)</w:t>
            </w:r>
          </w:p>
        </w:tc>
        <w:tc>
          <w:tcPr>
            <w:tcW w:w="2192" w:type="dxa"/>
            <w:shd w:val="clear" w:color="000000" w:fill="FFFFFF"/>
            <w:vAlign w:val="center"/>
            <w:hideMark/>
          </w:tcPr>
          <w:p w14:paraId="6ED4FD67"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2321" w:type="dxa"/>
            <w:shd w:val="clear" w:color="000000" w:fill="FFFFFF"/>
            <w:vAlign w:val="center"/>
            <w:hideMark/>
          </w:tcPr>
          <w:p w14:paraId="7C0A4AAE"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695" w:type="dxa"/>
            <w:shd w:val="clear" w:color="000000" w:fill="FFFFFF"/>
            <w:vAlign w:val="center"/>
            <w:hideMark/>
          </w:tcPr>
          <w:p w14:paraId="31DFF590"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0.088</w:t>
            </w:r>
          </w:p>
        </w:tc>
      </w:tr>
      <w:tr w:rsidR="00E3438F" w:rsidRPr="00A71974" w14:paraId="38BFA28E" w14:textId="77777777" w:rsidTr="00CB3338">
        <w:trPr>
          <w:trHeight w:val="111"/>
        </w:trPr>
        <w:tc>
          <w:tcPr>
            <w:tcW w:w="2948" w:type="dxa"/>
            <w:tcBorders>
              <w:bottom w:val="single" w:sz="4" w:space="0" w:color="auto"/>
            </w:tcBorders>
            <w:shd w:val="clear" w:color="000000" w:fill="FFFFFF"/>
            <w:vAlign w:val="center"/>
            <w:hideMark/>
          </w:tcPr>
          <w:p w14:paraId="5F8132C0" w14:textId="77777777" w:rsidR="00E3438F" w:rsidRPr="00A71974" w:rsidRDefault="00E3438F"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Durbin-Watson</w:t>
            </w:r>
          </w:p>
        </w:tc>
        <w:tc>
          <w:tcPr>
            <w:tcW w:w="2192" w:type="dxa"/>
            <w:tcBorders>
              <w:bottom w:val="single" w:sz="4" w:space="0" w:color="auto"/>
            </w:tcBorders>
            <w:shd w:val="clear" w:color="000000" w:fill="FFFFFF"/>
            <w:vAlign w:val="center"/>
            <w:hideMark/>
          </w:tcPr>
          <w:p w14:paraId="7A84E0F7"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2.677</w:t>
            </w:r>
          </w:p>
        </w:tc>
        <w:tc>
          <w:tcPr>
            <w:tcW w:w="2321" w:type="dxa"/>
            <w:tcBorders>
              <w:bottom w:val="single" w:sz="4" w:space="0" w:color="auto"/>
            </w:tcBorders>
            <w:shd w:val="clear" w:color="000000" w:fill="FFFFFF"/>
            <w:vAlign w:val="center"/>
            <w:hideMark/>
          </w:tcPr>
          <w:p w14:paraId="56B74F2D"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2.787</w:t>
            </w:r>
          </w:p>
        </w:tc>
        <w:tc>
          <w:tcPr>
            <w:tcW w:w="1695" w:type="dxa"/>
            <w:tcBorders>
              <w:bottom w:val="single" w:sz="4" w:space="0" w:color="auto"/>
            </w:tcBorders>
            <w:shd w:val="clear" w:color="000000" w:fill="FFFFFF"/>
            <w:vAlign w:val="center"/>
            <w:hideMark/>
          </w:tcPr>
          <w:p w14:paraId="51655D78" w14:textId="77777777" w:rsidR="00E3438F" w:rsidRPr="00A71974" w:rsidRDefault="00E3438F"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1.489</w:t>
            </w:r>
          </w:p>
        </w:tc>
      </w:tr>
    </w:tbl>
    <w:p w14:paraId="4F8AA8ED" w14:textId="77777777" w:rsidR="00960529" w:rsidRPr="00A71974" w:rsidRDefault="00960529" w:rsidP="00A71974">
      <w:pPr>
        <w:spacing w:line="240" w:lineRule="auto"/>
        <w:jc w:val="both"/>
        <w:rPr>
          <w:rFonts w:ascii="Arial" w:hAnsi="Arial" w:cs="Arial"/>
          <w:b/>
          <w:bCs/>
          <w:sz w:val="20"/>
          <w:szCs w:val="20"/>
        </w:rPr>
      </w:pPr>
    </w:p>
    <w:p w14:paraId="03693CD7" w14:textId="77777777" w:rsidR="00A53F29" w:rsidRPr="00A71974" w:rsidRDefault="00A53F29" w:rsidP="00A71974">
      <w:pPr>
        <w:spacing w:line="240" w:lineRule="auto"/>
        <w:jc w:val="both"/>
        <w:rPr>
          <w:rFonts w:ascii="Arial" w:hAnsi="Arial" w:cs="Arial"/>
          <w:b/>
          <w:bCs/>
          <w:sz w:val="20"/>
          <w:szCs w:val="20"/>
        </w:rPr>
      </w:pPr>
    </w:p>
    <w:p w14:paraId="03742D95" w14:textId="55046792" w:rsidR="00E779F5" w:rsidRPr="00A71974" w:rsidRDefault="00E779F5" w:rsidP="00A71974">
      <w:pPr>
        <w:spacing w:line="240" w:lineRule="auto"/>
        <w:jc w:val="both"/>
        <w:rPr>
          <w:rFonts w:ascii="Arial" w:hAnsi="Arial" w:cs="Arial"/>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4</w:t>
      </w:r>
      <w:r w:rsidRPr="00A71974">
        <w:rPr>
          <w:rFonts w:ascii="Arial" w:hAnsi="Arial" w:cs="Arial"/>
          <w:b/>
          <w:bCs/>
          <w:sz w:val="20"/>
          <w:szCs w:val="20"/>
        </w:rPr>
        <w:t xml:space="preserve">: </w:t>
      </w:r>
      <w:r w:rsidR="006D75FD" w:rsidRPr="00A71974">
        <w:rPr>
          <w:rFonts w:ascii="Arial" w:hAnsi="Arial" w:cs="Arial"/>
          <w:sz w:val="20"/>
          <w:szCs w:val="20"/>
        </w:rPr>
        <w:t>Model Parameters for Simple Linear Regression Models</w:t>
      </w:r>
    </w:p>
    <w:tbl>
      <w:tblPr>
        <w:tblW w:w="9689" w:type="dxa"/>
        <w:tblLayout w:type="fixed"/>
        <w:tblLook w:val="04A0" w:firstRow="1" w:lastRow="0" w:firstColumn="1" w:lastColumn="0" w:noHBand="0" w:noVBand="1"/>
      </w:tblPr>
      <w:tblGrid>
        <w:gridCol w:w="1563"/>
        <w:gridCol w:w="1140"/>
        <w:gridCol w:w="1125"/>
        <w:gridCol w:w="1212"/>
        <w:gridCol w:w="889"/>
        <w:gridCol w:w="1001"/>
        <w:gridCol w:w="1080"/>
        <w:gridCol w:w="1679"/>
      </w:tblGrid>
      <w:tr w:rsidR="00BE2E2E" w:rsidRPr="00A71974" w14:paraId="51688885" w14:textId="77777777" w:rsidTr="00CB3338">
        <w:trPr>
          <w:trHeight w:val="417"/>
        </w:trPr>
        <w:tc>
          <w:tcPr>
            <w:tcW w:w="1563" w:type="dxa"/>
            <w:vMerge w:val="restart"/>
            <w:tcBorders>
              <w:top w:val="single" w:sz="4" w:space="0" w:color="auto"/>
            </w:tcBorders>
            <w:shd w:val="clear" w:color="000000" w:fill="F8F9FA"/>
            <w:vAlign w:val="center"/>
            <w:hideMark/>
          </w:tcPr>
          <w:p w14:paraId="5E974094" w14:textId="77777777" w:rsidR="00BE2E2E" w:rsidRPr="00A71974" w:rsidRDefault="00BE2E2E" w:rsidP="00A71974">
            <w:pPr>
              <w:spacing w:after="0" w:line="240" w:lineRule="auto"/>
              <w:ind w:firstLineChars="100" w:firstLine="201"/>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Model</w:t>
            </w:r>
          </w:p>
        </w:tc>
        <w:tc>
          <w:tcPr>
            <w:tcW w:w="2265" w:type="dxa"/>
            <w:gridSpan w:val="2"/>
            <w:tcBorders>
              <w:top w:val="single" w:sz="4" w:space="0" w:color="auto"/>
              <w:bottom w:val="single" w:sz="4" w:space="0" w:color="auto"/>
            </w:tcBorders>
            <w:shd w:val="clear" w:color="000000" w:fill="F8F9FA"/>
            <w:vAlign w:val="center"/>
            <w:hideMark/>
          </w:tcPr>
          <w:p w14:paraId="6B955311"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Intercept</w:t>
            </w:r>
          </w:p>
        </w:tc>
        <w:tc>
          <w:tcPr>
            <w:tcW w:w="4182" w:type="dxa"/>
            <w:gridSpan w:val="4"/>
            <w:tcBorders>
              <w:top w:val="single" w:sz="4" w:space="0" w:color="auto"/>
              <w:bottom w:val="single" w:sz="4" w:space="0" w:color="auto"/>
            </w:tcBorders>
            <w:shd w:val="clear" w:color="000000" w:fill="F8F9FA"/>
            <w:vAlign w:val="center"/>
            <w:hideMark/>
          </w:tcPr>
          <w:p w14:paraId="5AA0A331"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Slope Coefficient</w:t>
            </w:r>
          </w:p>
        </w:tc>
        <w:tc>
          <w:tcPr>
            <w:tcW w:w="1679" w:type="dxa"/>
            <w:vMerge w:val="restart"/>
            <w:tcBorders>
              <w:top w:val="single" w:sz="4" w:space="0" w:color="auto"/>
            </w:tcBorders>
            <w:shd w:val="clear" w:color="000000" w:fill="F8F9FA"/>
            <w:vAlign w:val="center"/>
            <w:hideMark/>
          </w:tcPr>
          <w:p w14:paraId="5FA17DEB"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Equation</w:t>
            </w:r>
          </w:p>
        </w:tc>
      </w:tr>
      <w:tr w:rsidR="00CB3338" w:rsidRPr="00A71974" w14:paraId="26819FD9" w14:textId="77777777" w:rsidTr="00CB3338">
        <w:trPr>
          <w:trHeight w:val="142"/>
        </w:trPr>
        <w:tc>
          <w:tcPr>
            <w:tcW w:w="1563" w:type="dxa"/>
            <w:vMerge/>
            <w:tcBorders>
              <w:bottom w:val="single" w:sz="4" w:space="0" w:color="auto"/>
            </w:tcBorders>
            <w:vAlign w:val="center"/>
            <w:hideMark/>
          </w:tcPr>
          <w:p w14:paraId="324A4297"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p>
        </w:tc>
        <w:tc>
          <w:tcPr>
            <w:tcW w:w="1140" w:type="dxa"/>
            <w:tcBorders>
              <w:top w:val="single" w:sz="4" w:space="0" w:color="auto"/>
              <w:bottom w:val="single" w:sz="4" w:space="0" w:color="auto"/>
            </w:tcBorders>
            <w:shd w:val="clear" w:color="000000" w:fill="F8F9FA"/>
            <w:vAlign w:val="center"/>
            <w:hideMark/>
          </w:tcPr>
          <w:p w14:paraId="65E96063"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Estimate</w:t>
            </w:r>
          </w:p>
        </w:tc>
        <w:tc>
          <w:tcPr>
            <w:tcW w:w="1125" w:type="dxa"/>
            <w:tcBorders>
              <w:top w:val="single" w:sz="4" w:space="0" w:color="auto"/>
              <w:bottom w:val="single" w:sz="4" w:space="0" w:color="auto"/>
            </w:tcBorders>
            <w:shd w:val="clear" w:color="000000" w:fill="F8F9FA"/>
            <w:vAlign w:val="center"/>
            <w:hideMark/>
          </w:tcPr>
          <w:p w14:paraId="4523A562"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p-value</w:t>
            </w:r>
          </w:p>
        </w:tc>
        <w:tc>
          <w:tcPr>
            <w:tcW w:w="1212" w:type="dxa"/>
            <w:tcBorders>
              <w:top w:val="single" w:sz="4" w:space="0" w:color="auto"/>
              <w:bottom w:val="single" w:sz="4" w:space="0" w:color="auto"/>
            </w:tcBorders>
            <w:shd w:val="clear" w:color="000000" w:fill="F8F9FA"/>
            <w:vAlign w:val="center"/>
            <w:hideMark/>
          </w:tcPr>
          <w:p w14:paraId="038C7E44"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Estimate</w:t>
            </w:r>
          </w:p>
        </w:tc>
        <w:tc>
          <w:tcPr>
            <w:tcW w:w="889" w:type="dxa"/>
            <w:tcBorders>
              <w:top w:val="single" w:sz="4" w:space="0" w:color="auto"/>
              <w:bottom w:val="single" w:sz="4" w:space="0" w:color="auto"/>
            </w:tcBorders>
            <w:shd w:val="clear" w:color="000000" w:fill="F8F9FA"/>
            <w:vAlign w:val="center"/>
            <w:hideMark/>
          </w:tcPr>
          <w:p w14:paraId="3FD4AC21"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Std. Error</w:t>
            </w:r>
          </w:p>
        </w:tc>
        <w:tc>
          <w:tcPr>
            <w:tcW w:w="1001" w:type="dxa"/>
            <w:tcBorders>
              <w:top w:val="single" w:sz="4" w:space="0" w:color="auto"/>
              <w:bottom w:val="single" w:sz="4" w:space="0" w:color="auto"/>
            </w:tcBorders>
            <w:shd w:val="clear" w:color="000000" w:fill="F8F9FA"/>
            <w:vAlign w:val="center"/>
            <w:hideMark/>
          </w:tcPr>
          <w:p w14:paraId="5CDC3505"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t-value</w:t>
            </w:r>
          </w:p>
        </w:tc>
        <w:tc>
          <w:tcPr>
            <w:tcW w:w="1080" w:type="dxa"/>
            <w:tcBorders>
              <w:top w:val="single" w:sz="4" w:space="0" w:color="auto"/>
              <w:bottom w:val="single" w:sz="4" w:space="0" w:color="auto"/>
            </w:tcBorders>
            <w:shd w:val="clear" w:color="000000" w:fill="F8F9FA"/>
            <w:vAlign w:val="center"/>
            <w:hideMark/>
          </w:tcPr>
          <w:p w14:paraId="06EAE227"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r w:rsidRPr="00A71974">
              <w:rPr>
                <w:rFonts w:ascii="Arial" w:eastAsia="Times New Roman" w:hAnsi="Arial" w:cs="Arial"/>
                <w:b/>
                <w:bCs/>
                <w:color w:val="333333"/>
                <w:kern w:val="0"/>
                <w:sz w:val="20"/>
                <w:szCs w:val="20"/>
                <w:lang w:eastAsia="en-GB"/>
                <w14:ligatures w14:val="none"/>
              </w:rPr>
              <w:t>p-value</w:t>
            </w:r>
          </w:p>
        </w:tc>
        <w:tc>
          <w:tcPr>
            <w:tcW w:w="1679" w:type="dxa"/>
            <w:vMerge/>
            <w:tcBorders>
              <w:bottom w:val="single" w:sz="4" w:space="0" w:color="auto"/>
            </w:tcBorders>
            <w:vAlign w:val="center"/>
            <w:hideMark/>
          </w:tcPr>
          <w:p w14:paraId="7BF2A3C4" w14:textId="77777777" w:rsidR="00BE2E2E" w:rsidRPr="00A71974" w:rsidRDefault="00BE2E2E" w:rsidP="00A71974">
            <w:pPr>
              <w:spacing w:after="0" w:line="240" w:lineRule="auto"/>
              <w:jc w:val="both"/>
              <w:rPr>
                <w:rFonts w:ascii="Arial" w:eastAsia="Times New Roman" w:hAnsi="Arial" w:cs="Arial"/>
                <w:b/>
                <w:bCs/>
                <w:color w:val="333333"/>
                <w:kern w:val="0"/>
                <w:sz w:val="20"/>
                <w:szCs w:val="20"/>
                <w:lang w:eastAsia="en-GB"/>
                <w14:ligatures w14:val="none"/>
              </w:rPr>
            </w:pPr>
          </w:p>
        </w:tc>
      </w:tr>
      <w:tr w:rsidR="00CB3338" w:rsidRPr="00A71974" w14:paraId="17B60F29" w14:textId="77777777" w:rsidTr="00CB3338">
        <w:trPr>
          <w:trHeight w:val="445"/>
        </w:trPr>
        <w:tc>
          <w:tcPr>
            <w:tcW w:w="1563" w:type="dxa"/>
            <w:tcBorders>
              <w:top w:val="single" w:sz="4" w:space="0" w:color="auto"/>
            </w:tcBorders>
            <w:shd w:val="clear" w:color="000000" w:fill="FFFFFF"/>
            <w:vAlign w:val="center"/>
            <w:hideMark/>
          </w:tcPr>
          <w:p w14:paraId="55DE153B" w14:textId="77777777" w:rsidR="00BE2E2E" w:rsidRPr="00A71974" w:rsidRDefault="00BE2E2E"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Effective Overburden Pressure</w:t>
            </w:r>
          </w:p>
        </w:tc>
        <w:tc>
          <w:tcPr>
            <w:tcW w:w="1140" w:type="dxa"/>
            <w:tcBorders>
              <w:top w:val="single" w:sz="4" w:space="0" w:color="auto"/>
            </w:tcBorders>
            <w:shd w:val="clear" w:color="000000" w:fill="FFFFFF"/>
            <w:vAlign w:val="center"/>
            <w:hideMark/>
          </w:tcPr>
          <w:p w14:paraId="43E16AA0"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24.683</w:t>
            </w:r>
          </w:p>
        </w:tc>
        <w:tc>
          <w:tcPr>
            <w:tcW w:w="1125" w:type="dxa"/>
            <w:tcBorders>
              <w:top w:val="single" w:sz="4" w:space="0" w:color="auto"/>
            </w:tcBorders>
            <w:shd w:val="clear" w:color="000000" w:fill="FFFFFF"/>
            <w:vAlign w:val="center"/>
            <w:hideMark/>
          </w:tcPr>
          <w:p w14:paraId="39C44F12"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212" w:type="dxa"/>
            <w:tcBorders>
              <w:top w:val="single" w:sz="4" w:space="0" w:color="auto"/>
            </w:tcBorders>
            <w:shd w:val="clear" w:color="000000" w:fill="FFFFFF"/>
            <w:vAlign w:val="center"/>
            <w:hideMark/>
          </w:tcPr>
          <w:p w14:paraId="3B1A424D"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0.047</w:t>
            </w:r>
          </w:p>
        </w:tc>
        <w:tc>
          <w:tcPr>
            <w:tcW w:w="889" w:type="dxa"/>
            <w:tcBorders>
              <w:top w:val="single" w:sz="4" w:space="0" w:color="auto"/>
            </w:tcBorders>
            <w:shd w:val="clear" w:color="000000" w:fill="FFFFFF"/>
            <w:vAlign w:val="center"/>
            <w:hideMark/>
          </w:tcPr>
          <w:p w14:paraId="796E58DD"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0.004</w:t>
            </w:r>
          </w:p>
        </w:tc>
        <w:tc>
          <w:tcPr>
            <w:tcW w:w="1001" w:type="dxa"/>
            <w:tcBorders>
              <w:top w:val="single" w:sz="4" w:space="0" w:color="auto"/>
            </w:tcBorders>
            <w:shd w:val="clear" w:color="000000" w:fill="FFFFFF"/>
            <w:vAlign w:val="center"/>
            <w:hideMark/>
          </w:tcPr>
          <w:p w14:paraId="19540EC6"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11.335</w:t>
            </w:r>
          </w:p>
        </w:tc>
        <w:tc>
          <w:tcPr>
            <w:tcW w:w="1080" w:type="dxa"/>
            <w:tcBorders>
              <w:top w:val="single" w:sz="4" w:space="0" w:color="auto"/>
            </w:tcBorders>
            <w:shd w:val="clear" w:color="000000" w:fill="FFFFFF"/>
            <w:vAlign w:val="center"/>
            <w:hideMark/>
          </w:tcPr>
          <w:p w14:paraId="48C77867"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679" w:type="dxa"/>
            <w:tcBorders>
              <w:top w:val="single" w:sz="4" w:space="0" w:color="auto"/>
            </w:tcBorders>
            <w:shd w:val="clear" w:color="000000" w:fill="FFFFFF"/>
            <w:vAlign w:val="center"/>
            <w:hideMark/>
          </w:tcPr>
          <w:p w14:paraId="2762E348"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Ø = 24.683 + 0.047×EOP</w:t>
            </w:r>
          </w:p>
        </w:tc>
      </w:tr>
      <w:tr w:rsidR="00CB3338" w:rsidRPr="00A71974" w14:paraId="7549482E" w14:textId="77777777" w:rsidTr="00CB3338">
        <w:trPr>
          <w:trHeight w:val="445"/>
        </w:trPr>
        <w:tc>
          <w:tcPr>
            <w:tcW w:w="1563" w:type="dxa"/>
            <w:shd w:val="clear" w:color="000000" w:fill="FFFFFF"/>
            <w:vAlign w:val="center"/>
            <w:hideMark/>
          </w:tcPr>
          <w:p w14:paraId="3E704EBE" w14:textId="6CEF9DC2" w:rsidR="00BE2E2E" w:rsidRPr="00A71974" w:rsidRDefault="002743EA"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SPT-N</w:t>
            </w:r>
          </w:p>
        </w:tc>
        <w:tc>
          <w:tcPr>
            <w:tcW w:w="1140" w:type="dxa"/>
            <w:shd w:val="clear" w:color="000000" w:fill="FFFFFF"/>
            <w:vAlign w:val="center"/>
            <w:hideMark/>
          </w:tcPr>
          <w:p w14:paraId="7589A75C"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26.661</w:t>
            </w:r>
          </w:p>
        </w:tc>
        <w:tc>
          <w:tcPr>
            <w:tcW w:w="1125" w:type="dxa"/>
            <w:shd w:val="clear" w:color="000000" w:fill="FFFFFF"/>
            <w:vAlign w:val="center"/>
            <w:hideMark/>
          </w:tcPr>
          <w:p w14:paraId="3CE67A8B"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212" w:type="dxa"/>
            <w:shd w:val="clear" w:color="000000" w:fill="FFFFFF"/>
            <w:vAlign w:val="center"/>
            <w:hideMark/>
          </w:tcPr>
          <w:p w14:paraId="70F805BA"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0.286</w:t>
            </w:r>
          </w:p>
        </w:tc>
        <w:tc>
          <w:tcPr>
            <w:tcW w:w="889" w:type="dxa"/>
            <w:shd w:val="clear" w:color="000000" w:fill="FFFFFF"/>
            <w:vAlign w:val="center"/>
            <w:hideMark/>
          </w:tcPr>
          <w:p w14:paraId="7600AB99"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0.042</w:t>
            </w:r>
          </w:p>
        </w:tc>
        <w:tc>
          <w:tcPr>
            <w:tcW w:w="1001" w:type="dxa"/>
            <w:shd w:val="clear" w:color="000000" w:fill="FFFFFF"/>
            <w:vAlign w:val="center"/>
            <w:hideMark/>
          </w:tcPr>
          <w:p w14:paraId="12C416AE"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6.774</w:t>
            </w:r>
          </w:p>
        </w:tc>
        <w:tc>
          <w:tcPr>
            <w:tcW w:w="1080" w:type="dxa"/>
            <w:shd w:val="clear" w:color="000000" w:fill="FFFFFF"/>
            <w:vAlign w:val="center"/>
            <w:hideMark/>
          </w:tcPr>
          <w:p w14:paraId="07A6BBB3"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679" w:type="dxa"/>
            <w:shd w:val="clear" w:color="000000" w:fill="FFFFFF"/>
            <w:vAlign w:val="center"/>
            <w:hideMark/>
          </w:tcPr>
          <w:p w14:paraId="227B7521" w14:textId="459A8869"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Ø = 26.661 + 0.286×</w:t>
            </w:r>
            <w:r w:rsidR="002743EA" w:rsidRPr="00A71974">
              <w:rPr>
                <w:rFonts w:ascii="Arial" w:eastAsia="Times New Roman" w:hAnsi="Arial" w:cs="Arial"/>
                <w:color w:val="333333"/>
                <w:kern w:val="0"/>
                <w:sz w:val="20"/>
                <w:szCs w:val="20"/>
                <w:lang w:eastAsia="en-GB"/>
                <w14:ligatures w14:val="none"/>
              </w:rPr>
              <w:t>SPT-N</w:t>
            </w:r>
          </w:p>
        </w:tc>
      </w:tr>
      <w:tr w:rsidR="00CB3338" w:rsidRPr="00A71974" w14:paraId="696732B7" w14:textId="77777777" w:rsidTr="00CB3338">
        <w:trPr>
          <w:trHeight w:val="334"/>
        </w:trPr>
        <w:tc>
          <w:tcPr>
            <w:tcW w:w="1563" w:type="dxa"/>
            <w:tcBorders>
              <w:bottom w:val="single" w:sz="4" w:space="0" w:color="auto"/>
            </w:tcBorders>
            <w:shd w:val="clear" w:color="000000" w:fill="FFFFFF"/>
            <w:vAlign w:val="center"/>
            <w:hideMark/>
          </w:tcPr>
          <w:p w14:paraId="1762FAB5" w14:textId="77777777" w:rsidR="00BE2E2E" w:rsidRPr="00A71974" w:rsidRDefault="00BE2E2E" w:rsidP="00A71974">
            <w:pPr>
              <w:spacing w:after="0" w:line="240" w:lineRule="auto"/>
              <w:ind w:firstLineChars="100" w:firstLine="200"/>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D50</w:t>
            </w:r>
          </w:p>
        </w:tc>
        <w:tc>
          <w:tcPr>
            <w:tcW w:w="1140" w:type="dxa"/>
            <w:tcBorders>
              <w:bottom w:val="single" w:sz="4" w:space="0" w:color="auto"/>
            </w:tcBorders>
            <w:shd w:val="clear" w:color="000000" w:fill="FFFFFF"/>
            <w:vAlign w:val="center"/>
            <w:hideMark/>
          </w:tcPr>
          <w:p w14:paraId="4B38BE1B"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31.392</w:t>
            </w:r>
          </w:p>
        </w:tc>
        <w:tc>
          <w:tcPr>
            <w:tcW w:w="1125" w:type="dxa"/>
            <w:tcBorders>
              <w:bottom w:val="single" w:sz="4" w:space="0" w:color="auto"/>
            </w:tcBorders>
            <w:shd w:val="clear" w:color="000000" w:fill="FFFFFF"/>
            <w:vAlign w:val="center"/>
            <w:hideMark/>
          </w:tcPr>
          <w:p w14:paraId="5AE1EF2B"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&lt; 0.0001</w:t>
            </w:r>
          </w:p>
        </w:tc>
        <w:tc>
          <w:tcPr>
            <w:tcW w:w="1212" w:type="dxa"/>
            <w:tcBorders>
              <w:bottom w:val="single" w:sz="4" w:space="0" w:color="auto"/>
            </w:tcBorders>
            <w:shd w:val="clear" w:color="000000" w:fill="FFFFFF"/>
            <w:vAlign w:val="center"/>
            <w:hideMark/>
          </w:tcPr>
          <w:p w14:paraId="28A12AE6"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2.59</w:t>
            </w:r>
          </w:p>
        </w:tc>
        <w:tc>
          <w:tcPr>
            <w:tcW w:w="889" w:type="dxa"/>
            <w:tcBorders>
              <w:bottom w:val="single" w:sz="4" w:space="0" w:color="auto"/>
            </w:tcBorders>
            <w:shd w:val="clear" w:color="000000" w:fill="FFFFFF"/>
            <w:vAlign w:val="center"/>
            <w:hideMark/>
          </w:tcPr>
          <w:p w14:paraId="49F79112"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1.383</w:t>
            </w:r>
          </w:p>
        </w:tc>
        <w:tc>
          <w:tcPr>
            <w:tcW w:w="1001" w:type="dxa"/>
            <w:tcBorders>
              <w:bottom w:val="single" w:sz="4" w:space="0" w:color="auto"/>
            </w:tcBorders>
            <w:shd w:val="clear" w:color="000000" w:fill="FFFFFF"/>
            <w:vAlign w:val="center"/>
            <w:hideMark/>
          </w:tcPr>
          <w:p w14:paraId="39853F60"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1.873</w:t>
            </w:r>
          </w:p>
        </w:tc>
        <w:tc>
          <w:tcPr>
            <w:tcW w:w="1080" w:type="dxa"/>
            <w:tcBorders>
              <w:bottom w:val="single" w:sz="4" w:space="0" w:color="auto"/>
            </w:tcBorders>
            <w:shd w:val="clear" w:color="000000" w:fill="FFFFFF"/>
            <w:vAlign w:val="center"/>
            <w:hideMark/>
          </w:tcPr>
          <w:p w14:paraId="47DD0590"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0.088</w:t>
            </w:r>
          </w:p>
        </w:tc>
        <w:tc>
          <w:tcPr>
            <w:tcW w:w="1679" w:type="dxa"/>
            <w:tcBorders>
              <w:bottom w:val="single" w:sz="4" w:space="0" w:color="auto"/>
            </w:tcBorders>
            <w:shd w:val="clear" w:color="000000" w:fill="FFFFFF"/>
            <w:vAlign w:val="center"/>
            <w:hideMark/>
          </w:tcPr>
          <w:p w14:paraId="052B4E4A" w14:textId="77777777" w:rsidR="00BE2E2E" w:rsidRPr="00A71974" w:rsidRDefault="00BE2E2E" w:rsidP="00A71974">
            <w:pPr>
              <w:spacing w:after="0" w:line="240" w:lineRule="auto"/>
              <w:jc w:val="both"/>
              <w:rPr>
                <w:rFonts w:ascii="Arial" w:eastAsia="Times New Roman" w:hAnsi="Arial" w:cs="Arial"/>
                <w:color w:val="333333"/>
                <w:kern w:val="0"/>
                <w:sz w:val="20"/>
                <w:szCs w:val="20"/>
                <w:lang w:eastAsia="en-GB"/>
                <w14:ligatures w14:val="none"/>
              </w:rPr>
            </w:pPr>
            <w:r w:rsidRPr="00A71974">
              <w:rPr>
                <w:rFonts w:ascii="Arial" w:eastAsia="Times New Roman" w:hAnsi="Arial" w:cs="Arial"/>
                <w:color w:val="333333"/>
                <w:kern w:val="0"/>
                <w:sz w:val="20"/>
                <w:szCs w:val="20"/>
                <w:lang w:eastAsia="en-GB"/>
                <w14:ligatures w14:val="none"/>
              </w:rPr>
              <w:t>Ø = 31.392 + 2.590×D50</w:t>
            </w:r>
          </w:p>
        </w:tc>
      </w:tr>
    </w:tbl>
    <w:p w14:paraId="7509239B" w14:textId="77777777" w:rsidR="00720F97" w:rsidRPr="00A71974" w:rsidRDefault="00720F97" w:rsidP="00A71974">
      <w:pPr>
        <w:spacing w:line="240" w:lineRule="auto"/>
        <w:jc w:val="both"/>
        <w:rPr>
          <w:rFonts w:ascii="Arial" w:hAnsi="Arial" w:cs="Arial"/>
          <w:b/>
          <w:bCs/>
          <w:sz w:val="20"/>
          <w:szCs w:val="20"/>
        </w:rPr>
      </w:pPr>
    </w:p>
    <w:p w14:paraId="2D6A6ED2" w14:textId="7DA9F36F" w:rsidR="001A26C3" w:rsidRPr="001A26C3" w:rsidRDefault="001A26C3" w:rsidP="001A26C3">
      <w:pPr>
        <w:spacing w:line="240" w:lineRule="auto"/>
        <w:jc w:val="both"/>
        <w:rPr>
          <w:rFonts w:ascii="Arial" w:hAnsi="Arial" w:cs="Arial"/>
          <w:sz w:val="20"/>
          <w:szCs w:val="20"/>
        </w:rPr>
      </w:pPr>
      <w:r w:rsidRPr="001A26C3">
        <w:rPr>
          <w:rFonts w:ascii="Arial" w:hAnsi="Arial" w:cs="Arial"/>
          <w:sz w:val="20"/>
          <w:szCs w:val="20"/>
        </w:rPr>
        <w:t>The best single-parameter model performed marginally worse than the multiple linear regression model that included all three predictor variables, with R2 = 0.929 and adjusted R2 = 0.905. A little improvement over the effective overburden pressure model alone, the model described 92.9% of the variance in the friction angle with an RMSE of 1.146°. However, analysis of individual parameter significance within the multiple regression model revealed important insights into parameter interactions.</w:t>
      </w:r>
      <w:r>
        <w:rPr>
          <w:rFonts w:ascii="Arial" w:hAnsi="Arial" w:cs="Arial"/>
          <w:sz w:val="20"/>
          <w:szCs w:val="20"/>
        </w:rPr>
        <w:t xml:space="preserve"> </w:t>
      </w:r>
      <w:r w:rsidRPr="001A26C3">
        <w:rPr>
          <w:rFonts w:ascii="Arial" w:hAnsi="Arial" w:cs="Arial"/>
          <w:sz w:val="20"/>
          <w:szCs w:val="20"/>
        </w:rPr>
        <w:t>In predicting friction angle, the effective overburden pressure coefficient (0.062°/kPa) continued to play a dominant role, being highly significant (t = 3.860, p = 0.004). On the other hand, when paired with the effective overburden pressure, SPT-N and D50 were both statistically invalid, suggesting little predictive potential. A D50 coefficient of 0.108°/mm (t = 0.178, p = 0.863) and an SPT-N coefficient of -0.107°/unit (t = -0.959, p = 0.363) were found. Multicollinearity effects may be shown by the nonsignificant influence of both the SPT-N and D50, where the effective overburden pressure parameter fully captures the predictive information found in all three measures.</w:t>
      </w:r>
    </w:p>
    <w:p w14:paraId="1363C7E8" w14:textId="77777777" w:rsidR="001A26C3" w:rsidRPr="001A26C3" w:rsidRDefault="001A26C3" w:rsidP="001A26C3">
      <w:pPr>
        <w:spacing w:line="240" w:lineRule="auto"/>
        <w:jc w:val="both"/>
        <w:rPr>
          <w:rFonts w:ascii="Arial" w:hAnsi="Arial" w:cs="Arial"/>
          <w:sz w:val="20"/>
          <w:szCs w:val="20"/>
        </w:rPr>
      </w:pPr>
      <w:r w:rsidRPr="001A26C3">
        <w:rPr>
          <w:rFonts w:ascii="Arial" w:hAnsi="Arial" w:cs="Arial"/>
          <w:sz w:val="20"/>
          <w:szCs w:val="20"/>
        </w:rPr>
        <w:t>The SPT-N values were the second most significant predictor of the angle of internal friction, after the effective overburden pressure, as shown by the Pareto chart in Figure 2. But only the effective overburden pressure was statistically significant, according to the figure.</w:t>
      </w:r>
    </w:p>
    <w:p w14:paraId="5E2BA256" w14:textId="409D0552" w:rsidR="00E779F5" w:rsidRPr="00A71974" w:rsidRDefault="00E779F5" w:rsidP="00A71974">
      <w:pPr>
        <w:spacing w:line="240" w:lineRule="auto"/>
        <w:jc w:val="both"/>
        <w:rPr>
          <w:rFonts w:ascii="Arial" w:hAnsi="Arial" w:cs="Arial"/>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5</w:t>
      </w:r>
      <w:r w:rsidRPr="00A71974">
        <w:rPr>
          <w:rFonts w:ascii="Arial" w:hAnsi="Arial" w:cs="Arial"/>
          <w:b/>
          <w:bCs/>
          <w:sz w:val="20"/>
          <w:szCs w:val="20"/>
        </w:rPr>
        <w:t xml:space="preserve">: </w:t>
      </w:r>
      <w:r w:rsidR="008574DE" w:rsidRPr="00A71974">
        <w:rPr>
          <w:rFonts w:ascii="Arial" w:hAnsi="Arial" w:cs="Arial"/>
          <w:sz w:val="20"/>
          <w:szCs w:val="20"/>
        </w:rPr>
        <w:t>Goodness of Fit Statistics for Multiple Linear Regression Models</w:t>
      </w:r>
    </w:p>
    <w:tbl>
      <w:tblPr>
        <w:tblW w:w="5000" w:type="pct"/>
        <w:tblLook w:val="04A0" w:firstRow="1" w:lastRow="0" w:firstColumn="1" w:lastColumn="0" w:noHBand="0" w:noVBand="1"/>
      </w:tblPr>
      <w:tblGrid>
        <w:gridCol w:w="5443"/>
        <w:gridCol w:w="3583"/>
      </w:tblGrid>
      <w:tr w:rsidR="00FA53D2" w:rsidRPr="00A71974" w14:paraId="156EE065" w14:textId="77777777" w:rsidTr="001A26C3">
        <w:trPr>
          <w:trHeight w:val="248"/>
        </w:trPr>
        <w:tc>
          <w:tcPr>
            <w:tcW w:w="3015" w:type="pct"/>
            <w:tcBorders>
              <w:top w:val="single" w:sz="8" w:space="0" w:color="auto"/>
              <w:left w:val="nil"/>
              <w:bottom w:val="nil"/>
              <w:right w:val="nil"/>
            </w:tcBorders>
            <w:noWrap/>
            <w:vAlign w:val="bottom"/>
            <w:hideMark/>
          </w:tcPr>
          <w:p w14:paraId="0864023C"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Observations</w:t>
            </w:r>
          </w:p>
        </w:tc>
        <w:tc>
          <w:tcPr>
            <w:tcW w:w="1985" w:type="pct"/>
            <w:tcBorders>
              <w:top w:val="single" w:sz="8" w:space="0" w:color="auto"/>
              <w:left w:val="nil"/>
              <w:bottom w:val="nil"/>
              <w:right w:val="nil"/>
            </w:tcBorders>
            <w:noWrap/>
            <w:vAlign w:val="bottom"/>
            <w:hideMark/>
          </w:tcPr>
          <w:p w14:paraId="7FB67336"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13.000</w:t>
            </w:r>
          </w:p>
        </w:tc>
      </w:tr>
      <w:tr w:rsidR="00FA53D2" w:rsidRPr="00A71974" w14:paraId="23C439F6" w14:textId="77777777" w:rsidTr="001A26C3">
        <w:trPr>
          <w:trHeight w:val="248"/>
        </w:trPr>
        <w:tc>
          <w:tcPr>
            <w:tcW w:w="3015" w:type="pct"/>
            <w:tcBorders>
              <w:top w:val="nil"/>
              <w:left w:val="nil"/>
              <w:bottom w:val="nil"/>
              <w:right w:val="nil"/>
            </w:tcBorders>
            <w:noWrap/>
            <w:vAlign w:val="bottom"/>
            <w:hideMark/>
          </w:tcPr>
          <w:p w14:paraId="59A34D3E"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Sum of weights</w:t>
            </w:r>
          </w:p>
        </w:tc>
        <w:tc>
          <w:tcPr>
            <w:tcW w:w="1985" w:type="pct"/>
            <w:tcBorders>
              <w:top w:val="nil"/>
              <w:left w:val="nil"/>
              <w:bottom w:val="nil"/>
              <w:right w:val="nil"/>
            </w:tcBorders>
            <w:noWrap/>
            <w:vAlign w:val="bottom"/>
            <w:hideMark/>
          </w:tcPr>
          <w:p w14:paraId="68D73975"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13.000</w:t>
            </w:r>
          </w:p>
        </w:tc>
      </w:tr>
      <w:tr w:rsidR="00FA53D2" w:rsidRPr="00A71974" w14:paraId="0C7F2E00" w14:textId="77777777" w:rsidTr="001A26C3">
        <w:trPr>
          <w:trHeight w:val="248"/>
        </w:trPr>
        <w:tc>
          <w:tcPr>
            <w:tcW w:w="3015" w:type="pct"/>
            <w:tcBorders>
              <w:top w:val="nil"/>
              <w:left w:val="nil"/>
              <w:bottom w:val="nil"/>
              <w:right w:val="nil"/>
            </w:tcBorders>
            <w:noWrap/>
            <w:vAlign w:val="bottom"/>
            <w:hideMark/>
          </w:tcPr>
          <w:p w14:paraId="39F060E5"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lastRenderedPageBreak/>
              <w:t>DF</w:t>
            </w:r>
          </w:p>
        </w:tc>
        <w:tc>
          <w:tcPr>
            <w:tcW w:w="1985" w:type="pct"/>
            <w:tcBorders>
              <w:top w:val="nil"/>
              <w:left w:val="nil"/>
              <w:bottom w:val="nil"/>
              <w:right w:val="nil"/>
            </w:tcBorders>
            <w:noWrap/>
            <w:vAlign w:val="bottom"/>
            <w:hideMark/>
          </w:tcPr>
          <w:p w14:paraId="55C1F274"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9.000</w:t>
            </w:r>
          </w:p>
        </w:tc>
      </w:tr>
      <w:tr w:rsidR="00FA53D2" w:rsidRPr="00A71974" w14:paraId="5D1B9732" w14:textId="77777777" w:rsidTr="001A26C3">
        <w:trPr>
          <w:trHeight w:val="248"/>
        </w:trPr>
        <w:tc>
          <w:tcPr>
            <w:tcW w:w="3015" w:type="pct"/>
            <w:tcBorders>
              <w:top w:val="nil"/>
              <w:left w:val="nil"/>
              <w:bottom w:val="nil"/>
              <w:right w:val="nil"/>
            </w:tcBorders>
            <w:noWrap/>
            <w:vAlign w:val="bottom"/>
            <w:hideMark/>
          </w:tcPr>
          <w:p w14:paraId="06147205"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R²</w:t>
            </w:r>
          </w:p>
        </w:tc>
        <w:tc>
          <w:tcPr>
            <w:tcW w:w="1985" w:type="pct"/>
            <w:tcBorders>
              <w:top w:val="nil"/>
              <w:left w:val="nil"/>
              <w:bottom w:val="nil"/>
              <w:right w:val="nil"/>
            </w:tcBorders>
            <w:noWrap/>
            <w:vAlign w:val="bottom"/>
            <w:hideMark/>
          </w:tcPr>
          <w:p w14:paraId="5966F03F"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0.929</w:t>
            </w:r>
          </w:p>
        </w:tc>
      </w:tr>
      <w:tr w:rsidR="00FA53D2" w:rsidRPr="00A71974" w14:paraId="642CFE48" w14:textId="77777777" w:rsidTr="001A26C3">
        <w:trPr>
          <w:trHeight w:val="248"/>
        </w:trPr>
        <w:tc>
          <w:tcPr>
            <w:tcW w:w="3015" w:type="pct"/>
            <w:tcBorders>
              <w:top w:val="nil"/>
              <w:left w:val="nil"/>
              <w:bottom w:val="nil"/>
              <w:right w:val="nil"/>
            </w:tcBorders>
            <w:noWrap/>
            <w:vAlign w:val="bottom"/>
            <w:hideMark/>
          </w:tcPr>
          <w:p w14:paraId="0684521A"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Adjusted R²</w:t>
            </w:r>
          </w:p>
        </w:tc>
        <w:tc>
          <w:tcPr>
            <w:tcW w:w="1985" w:type="pct"/>
            <w:tcBorders>
              <w:top w:val="nil"/>
              <w:left w:val="nil"/>
              <w:bottom w:val="nil"/>
              <w:right w:val="nil"/>
            </w:tcBorders>
            <w:noWrap/>
            <w:vAlign w:val="bottom"/>
            <w:hideMark/>
          </w:tcPr>
          <w:p w14:paraId="1D4E695E"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0.905</w:t>
            </w:r>
          </w:p>
        </w:tc>
      </w:tr>
      <w:tr w:rsidR="00FA53D2" w:rsidRPr="00A71974" w14:paraId="44A85F1A" w14:textId="77777777" w:rsidTr="001A26C3">
        <w:trPr>
          <w:trHeight w:val="248"/>
        </w:trPr>
        <w:tc>
          <w:tcPr>
            <w:tcW w:w="3015" w:type="pct"/>
            <w:tcBorders>
              <w:top w:val="nil"/>
              <w:left w:val="nil"/>
              <w:bottom w:val="nil"/>
              <w:right w:val="nil"/>
            </w:tcBorders>
            <w:noWrap/>
            <w:vAlign w:val="bottom"/>
            <w:hideMark/>
          </w:tcPr>
          <w:p w14:paraId="2D2406C5"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MSE</w:t>
            </w:r>
          </w:p>
        </w:tc>
        <w:tc>
          <w:tcPr>
            <w:tcW w:w="1985" w:type="pct"/>
            <w:tcBorders>
              <w:top w:val="nil"/>
              <w:left w:val="nil"/>
              <w:bottom w:val="nil"/>
              <w:right w:val="nil"/>
            </w:tcBorders>
            <w:noWrap/>
            <w:vAlign w:val="bottom"/>
            <w:hideMark/>
          </w:tcPr>
          <w:p w14:paraId="5A247BA5"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1.312</w:t>
            </w:r>
          </w:p>
        </w:tc>
      </w:tr>
      <w:tr w:rsidR="00FA53D2" w:rsidRPr="00A71974" w14:paraId="6B293626" w14:textId="77777777" w:rsidTr="001A26C3">
        <w:trPr>
          <w:trHeight w:val="248"/>
        </w:trPr>
        <w:tc>
          <w:tcPr>
            <w:tcW w:w="3015" w:type="pct"/>
            <w:tcBorders>
              <w:top w:val="nil"/>
              <w:left w:val="nil"/>
              <w:bottom w:val="nil"/>
              <w:right w:val="nil"/>
            </w:tcBorders>
            <w:noWrap/>
            <w:vAlign w:val="bottom"/>
            <w:hideMark/>
          </w:tcPr>
          <w:p w14:paraId="0A555372"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RMSE</w:t>
            </w:r>
          </w:p>
        </w:tc>
        <w:tc>
          <w:tcPr>
            <w:tcW w:w="1985" w:type="pct"/>
            <w:tcBorders>
              <w:top w:val="nil"/>
              <w:left w:val="nil"/>
              <w:bottom w:val="nil"/>
              <w:right w:val="nil"/>
            </w:tcBorders>
            <w:noWrap/>
            <w:vAlign w:val="bottom"/>
            <w:hideMark/>
          </w:tcPr>
          <w:p w14:paraId="066EFE94"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1.146</w:t>
            </w:r>
          </w:p>
        </w:tc>
      </w:tr>
      <w:tr w:rsidR="00FA53D2" w:rsidRPr="00A71974" w14:paraId="6512A808" w14:textId="77777777" w:rsidTr="001A26C3">
        <w:trPr>
          <w:trHeight w:val="260"/>
        </w:trPr>
        <w:tc>
          <w:tcPr>
            <w:tcW w:w="3015" w:type="pct"/>
            <w:tcBorders>
              <w:top w:val="nil"/>
              <w:left w:val="nil"/>
              <w:bottom w:val="single" w:sz="8" w:space="0" w:color="auto"/>
              <w:right w:val="nil"/>
            </w:tcBorders>
            <w:noWrap/>
            <w:vAlign w:val="bottom"/>
            <w:hideMark/>
          </w:tcPr>
          <w:p w14:paraId="270F4D76"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DW</w:t>
            </w:r>
          </w:p>
        </w:tc>
        <w:tc>
          <w:tcPr>
            <w:tcW w:w="1985" w:type="pct"/>
            <w:tcBorders>
              <w:top w:val="nil"/>
              <w:left w:val="nil"/>
              <w:bottom w:val="single" w:sz="8" w:space="0" w:color="auto"/>
              <w:right w:val="nil"/>
            </w:tcBorders>
            <w:noWrap/>
            <w:vAlign w:val="bottom"/>
            <w:hideMark/>
          </w:tcPr>
          <w:p w14:paraId="111B72E0" w14:textId="77777777" w:rsidR="00FA53D2" w:rsidRPr="00A71974" w:rsidRDefault="00FA5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2.231</w:t>
            </w:r>
          </w:p>
        </w:tc>
      </w:tr>
    </w:tbl>
    <w:p w14:paraId="50F5F4CB" w14:textId="77777777" w:rsidR="00DF65AC" w:rsidRPr="00A71974" w:rsidRDefault="00DF65AC" w:rsidP="00A71974">
      <w:pPr>
        <w:spacing w:line="240" w:lineRule="auto"/>
        <w:jc w:val="both"/>
        <w:rPr>
          <w:rFonts w:ascii="Arial" w:hAnsi="Arial" w:cs="Arial"/>
          <w:b/>
          <w:bCs/>
          <w:sz w:val="20"/>
          <w:szCs w:val="20"/>
        </w:rPr>
      </w:pPr>
    </w:p>
    <w:p w14:paraId="10517338" w14:textId="0E987703" w:rsidR="008574DE" w:rsidRPr="00A71974" w:rsidRDefault="008574DE" w:rsidP="00A71974">
      <w:pPr>
        <w:spacing w:line="240" w:lineRule="auto"/>
        <w:jc w:val="both"/>
        <w:rPr>
          <w:rFonts w:ascii="Arial" w:hAnsi="Arial" w:cs="Arial"/>
          <w:b/>
          <w:bCs/>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6</w:t>
      </w:r>
      <w:r w:rsidRPr="00A71974">
        <w:rPr>
          <w:rFonts w:ascii="Arial" w:hAnsi="Arial" w:cs="Arial"/>
          <w:b/>
          <w:bCs/>
          <w:sz w:val="20"/>
          <w:szCs w:val="20"/>
        </w:rPr>
        <w:t xml:space="preserve">: </w:t>
      </w:r>
      <w:r w:rsidRPr="00A71974">
        <w:rPr>
          <w:rFonts w:ascii="Arial" w:hAnsi="Arial" w:cs="Arial"/>
          <w:sz w:val="20"/>
          <w:szCs w:val="20"/>
        </w:rPr>
        <w:t>Model Parameters for Multiple Linear Regression Models</w:t>
      </w:r>
    </w:p>
    <w:tbl>
      <w:tblPr>
        <w:tblW w:w="9462" w:type="dxa"/>
        <w:tblLook w:val="04A0" w:firstRow="1" w:lastRow="0" w:firstColumn="1" w:lastColumn="0" w:noHBand="0" w:noVBand="1"/>
      </w:tblPr>
      <w:tblGrid>
        <w:gridCol w:w="2912"/>
        <w:gridCol w:w="1072"/>
        <w:gridCol w:w="1175"/>
        <w:gridCol w:w="889"/>
        <w:gridCol w:w="1270"/>
        <w:gridCol w:w="1072"/>
        <w:gridCol w:w="1072"/>
      </w:tblGrid>
      <w:tr w:rsidR="00DF65AC" w:rsidRPr="00A71974" w14:paraId="7F8FCB31" w14:textId="77777777" w:rsidTr="00FD42D4">
        <w:trPr>
          <w:trHeight w:val="214"/>
        </w:trPr>
        <w:tc>
          <w:tcPr>
            <w:tcW w:w="2912" w:type="dxa"/>
            <w:tcBorders>
              <w:top w:val="single" w:sz="8" w:space="0" w:color="auto"/>
              <w:left w:val="nil"/>
              <w:bottom w:val="nil"/>
              <w:right w:val="nil"/>
            </w:tcBorders>
            <w:noWrap/>
            <w:vAlign w:val="bottom"/>
            <w:hideMark/>
          </w:tcPr>
          <w:p w14:paraId="4EADABE8"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Source</w:t>
            </w:r>
          </w:p>
        </w:tc>
        <w:tc>
          <w:tcPr>
            <w:tcW w:w="1072" w:type="dxa"/>
            <w:tcBorders>
              <w:top w:val="single" w:sz="8" w:space="0" w:color="auto"/>
              <w:left w:val="nil"/>
              <w:bottom w:val="nil"/>
              <w:right w:val="nil"/>
            </w:tcBorders>
            <w:noWrap/>
            <w:vAlign w:val="bottom"/>
            <w:hideMark/>
          </w:tcPr>
          <w:p w14:paraId="77A8BED7"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Value</w:t>
            </w:r>
          </w:p>
        </w:tc>
        <w:tc>
          <w:tcPr>
            <w:tcW w:w="1175" w:type="dxa"/>
            <w:tcBorders>
              <w:top w:val="single" w:sz="8" w:space="0" w:color="auto"/>
              <w:left w:val="nil"/>
              <w:bottom w:val="nil"/>
              <w:right w:val="nil"/>
            </w:tcBorders>
            <w:noWrap/>
            <w:vAlign w:val="bottom"/>
            <w:hideMark/>
          </w:tcPr>
          <w:p w14:paraId="1FAE3CF6"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Standard error</w:t>
            </w:r>
          </w:p>
        </w:tc>
        <w:tc>
          <w:tcPr>
            <w:tcW w:w="889" w:type="dxa"/>
            <w:tcBorders>
              <w:top w:val="single" w:sz="8" w:space="0" w:color="auto"/>
              <w:left w:val="nil"/>
              <w:bottom w:val="nil"/>
              <w:right w:val="nil"/>
            </w:tcBorders>
            <w:noWrap/>
            <w:vAlign w:val="bottom"/>
            <w:hideMark/>
          </w:tcPr>
          <w:p w14:paraId="7A6570C5"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t</w:t>
            </w:r>
          </w:p>
        </w:tc>
        <w:tc>
          <w:tcPr>
            <w:tcW w:w="1270" w:type="dxa"/>
            <w:tcBorders>
              <w:top w:val="single" w:sz="8" w:space="0" w:color="auto"/>
              <w:left w:val="nil"/>
              <w:bottom w:val="nil"/>
              <w:right w:val="nil"/>
            </w:tcBorders>
            <w:noWrap/>
            <w:vAlign w:val="bottom"/>
            <w:hideMark/>
          </w:tcPr>
          <w:p w14:paraId="20A439BE"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proofErr w:type="spellStart"/>
            <w:r w:rsidRPr="00A71974">
              <w:rPr>
                <w:rFonts w:ascii="Arial" w:eastAsia="Times New Roman" w:hAnsi="Arial" w:cs="Arial"/>
                <w:color w:val="000000"/>
                <w:kern w:val="0"/>
                <w:sz w:val="20"/>
                <w:szCs w:val="20"/>
                <w:lang w:eastAsia="en-GB"/>
                <w14:ligatures w14:val="none"/>
              </w:rPr>
              <w:t>Pr</w:t>
            </w:r>
            <w:proofErr w:type="spellEnd"/>
            <w:r w:rsidRPr="00A71974">
              <w:rPr>
                <w:rFonts w:ascii="Arial" w:eastAsia="Times New Roman" w:hAnsi="Arial" w:cs="Arial"/>
                <w:color w:val="000000"/>
                <w:kern w:val="0"/>
                <w:sz w:val="20"/>
                <w:szCs w:val="20"/>
                <w:lang w:eastAsia="en-GB"/>
                <w14:ligatures w14:val="none"/>
              </w:rPr>
              <w:t xml:space="preserve"> &gt; |t|</w:t>
            </w:r>
          </w:p>
        </w:tc>
        <w:tc>
          <w:tcPr>
            <w:tcW w:w="1072" w:type="dxa"/>
            <w:tcBorders>
              <w:top w:val="single" w:sz="8" w:space="0" w:color="auto"/>
              <w:left w:val="nil"/>
              <w:bottom w:val="nil"/>
              <w:right w:val="nil"/>
            </w:tcBorders>
            <w:noWrap/>
            <w:vAlign w:val="bottom"/>
            <w:hideMark/>
          </w:tcPr>
          <w:p w14:paraId="5747F162"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Lower bound (95%)</w:t>
            </w:r>
          </w:p>
        </w:tc>
        <w:tc>
          <w:tcPr>
            <w:tcW w:w="1072" w:type="dxa"/>
            <w:tcBorders>
              <w:top w:val="single" w:sz="8" w:space="0" w:color="auto"/>
              <w:left w:val="nil"/>
              <w:bottom w:val="nil"/>
              <w:right w:val="nil"/>
            </w:tcBorders>
            <w:noWrap/>
            <w:vAlign w:val="bottom"/>
            <w:hideMark/>
          </w:tcPr>
          <w:p w14:paraId="7E0421C0"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Upper bound (95%)</w:t>
            </w:r>
          </w:p>
        </w:tc>
      </w:tr>
      <w:tr w:rsidR="00DF65AC" w:rsidRPr="00A71974" w14:paraId="04D56AB8" w14:textId="77777777" w:rsidTr="00FD42D4">
        <w:trPr>
          <w:trHeight w:val="214"/>
        </w:trPr>
        <w:tc>
          <w:tcPr>
            <w:tcW w:w="2912" w:type="dxa"/>
            <w:tcBorders>
              <w:top w:val="single" w:sz="4" w:space="0" w:color="auto"/>
              <w:left w:val="nil"/>
              <w:bottom w:val="nil"/>
              <w:right w:val="nil"/>
            </w:tcBorders>
            <w:noWrap/>
            <w:vAlign w:val="bottom"/>
            <w:hideMark/>
          </w:tcPr>
          <w:p w14:paraId="4A730E29"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Intercept</w:t>
            </w:r>
          </w:p>
        </w:tc>
        <w:tc>
          <w:tcPr>
            <w:tcW w:w="1072" w:type="dxa"/>
            <w:tcBorders>
              <w:top w:val="single" w:sz="4" w:space="0" w:color="auto"/>
              <w:left w:val="nil"/>
              <w:bottom w:val="nil"/>
              <w:right w:val="nil"/>
            </w:tcBorders>
            <w:noWrap/>
            <w:vAlign w:val="bottom"/>
            <w:hideMark/>
          </w:tcPr>
          <w:p w14:paraId="3AF3225F"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24.282</w:t>
            </w:r>
          </w:p>
        </w:tc>
        <w:tc>
          <w:tcPr>
            <w:tcW w:w="1175" w:type="dxa"/>
            <w:tcBorders>
              <w:top w:val="single" w:sz="4" w:space="0" w:color="auto"/>
              <w:left w:val="nil"/>
              <w:bottom w:val="nil"/>
              <w:right w:val="nil"/>
            </w:tcBorders>
            <w:noWrap/>
            <w:vAlign w:val="bottom"/>
            <w:hideMark/>
          </w:tcPr>
          <w:p w14:paraId="1C7A6A6F"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0.928</w:t>
            </w:r>
          </w:p>
        </w:tc>
        <w:tc>
          <w:tcPr>
            <w:tcW w:w="889" w:type="dxa"/>
            <w:tcBorders>
              <w:top w:val="single" w:sz="4" w:space="0" w:color="auto"/>
              <w:left w:val="nil"/>
              <w:bottom w:val="nil"/>
              <w:right w:val="nil"/>
            </w:tcBorders>
            <w:noWrap/>
            <w:vAlign w:val="bottom"/>
            <w:hideMark/>
          </w:tcPr>
          <w:p w14:paraId="1F51E896"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26.170</w:t>
            </w:r>
          </w:p>
        </w:tc>
        <w:tc>
          <w:tcPr>
            <w:tcW w:w="1270" w:type="dxa"/>
            <w:tcBorders>
              <w:top w:val="single" w:sz="4" w:space="0" w:color="auto"/>
              <w:left w:val="nil"/>
              <w:bottom w:val="nil"/>
              <w:right w:val="nil"/>
            </w:tcBorders>
            <w:noWrap/>
            <w:vAlign w:val="bottom"/>
            <w:hideMark/>
          </w:tcPr>
          <w:p w14:paraId="2454882D"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&lt; 0.0001</w:t>
            </w:r>
          </w:p>
        </w:tc>
        <w:tc>
          <w:tcPr>
            <w:tcW w:w="1072" w:type="dxa"/>
            <w:tcBorders>
              <w:top w:val="single" w:sz="4" w:space="0" w:color="auto"/>
              <w:left w:val="nil"/>
              <w:bottom w:val="nil"/>
              <w:right w:val="nil"/>
            </w:tcBorders>
            <w:noWrap/>
            <w:vAlign w:val="bottom"/>
            <w:hideMark/>
          </w:tcPr>
          <w:p w14:paraId="59F8FD57"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22.183</w:t>
            </w:r>
          </w:p>
        </w:tc>
        <w:tc>
          <w:tcPr>
            <w:tcW w:w="1072" w:type="dxa"/>
            <w:tcBorders>
              <w:top w:val="single" w:sz="4" w:space="0" w:color="auto"/>
              <w:left w:val="nil"/>
              <w:bottom w:val="nil"/>
              <w:right w:val="nil"/>
            </w:tcBorders>
            <w:noWrap/>
            <w:vAlign w:val="bottom"/>
            <w:hideMark/>
          </w:tcPr>
          <w:p w14:paraId="401BC806"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26.381</w:t>
            </w:r>
          </w:p>
        </w:tc>
      </w:tr>
      <w:tr w:rsidR="00DF65AC" w:rsidRPr="00A71974" w14:paraId="39D2B84B" w14:textId="77777777" w:rsidTr="00FD42D4">
        <w:trPr>
          <w:trHeight w:val="214"/>
        </w:trPr>
        <w:tc>
          <w:tcPr>
            <w:tcW w:w="2912" w:type="dxa"/>
            <w:tcBorders>
              <w:top w:val="nil"/>
              <w:left w:val="nil"/>
              <w:bottom w:val="nil"/>
              <w:right w:val="nil"/>
            </w:tcBorders>
            <w:noWrap/>
            <w:vAlign w:val="bottom"/>
            <w:hideMark/>
          </w:tcPr>
          <w:p w14:paraId="0A6BD4D6"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Effective Overburden pressure</w:t>
            </w:r>
          </w:p>
        </w:tc>
        <w:tc>
          <w:tcPr>
            <w:tcW w:w="1072" w:type="dxa"/>
            <w:tcBorders>
              <w:top w:val="nil"/>
              <w:left w:val="nil"/>
              <w:bottom w:val="nil"/>
              <w:right w:val="nil"/>
            </w:tcBorders>
            <w:noWrap/>
            <w:vAlign w:val="bottom"/>
            <w:hideMark/>
          </w:tcPr>
          <w:p w14:paraId="65D0CDDD"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0.062</w:t>
            </w:r>
          </w:p>
        </w:tc>
        <w:tc>
          <w:tcPr>
            <w:tcW w:w="1175" w:type="dxa"/>
            <w:tcBorders>
              <w:top w:val="nil"/>
              <w:left w:val="nil"/>
              <w:bottom w:val="nil"/>
              <w:right w:val="nil"/>
            </w:tcBorders>
            <w:noWrap/>
            <w:vAlign w:val="bottom"/>
            <w:hideMark/>
          </w:tcPr>
          <w:p w14:paraId="16767300"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0.016</w:t>
            </w:r>
          </w:p>
        </w:tc>
        <w:tc>
          <w:tcPr>
            <w:tcW w:w="889" w:type="dxa"/>
            <w:tcBorders>
              <w:top w:val="nil"/>
              <w:left w:val="nil"/>
              <w:bottom w:val="nil"/>
              <w:right w:val="nil"/>
            </w:tcBorders>
            <w:noWrap/>
            <w:vAlign w:val="bottom"/>
            <w:hideMark/>
          </w:tcPr>
          <w:p w14:paraId="59268710"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3.860</w:t>
            </w:r>
          </w:p>
        </w:tc>
        <w:tc>
          <w:tcPr>
            <w:tcW w:w="1270" w:type="dxa"/>
            <w:tcBorders>
              <w:top w:val="nil"/>
              <w:left w:val="nil"/>
              <w:bottom w:val="nil"/>
              <w:right w:val="nil"/>
            </w:tcBorders>
            <w:noWrap/>
            <w:vAlign w:val="bottom"/>
            <w:hideMark/>
          </w:tcPr>
          <w:p w14:paraId="36185644"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0.004</w:t>
            </w:r>
          </w:p>
        </w:tc>
        <w:tc>
          <w:tcPr>
            <w:tcW w:w="1072" w:type="dxa"/>
            <w:tcBorders>
              <w:top w:val="nil"/>
              <w:left w:val="nil"/>
              <w:bottom w:val="nil"/>
              <w:right w:val="nil"/>
            </w:tcBorders>
            <w:noWrap/>
            <w:vAlign w:val="bottom"/>
            <w:hideMark/>
          </w:tcPr>
          <w:p w14:paraId="5EB2464B"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0.026</w:t>
            </w:r>
          </w:p>
        </w:tc>
        <w:tc>
          <w:tcPr>
            <w:tcW w:w="1072" w:type="dxa"/>
            <w:tcBorders>
              <w:top w:val="nil"/>
              <w:left w:val="nil"/>
              <w:bottom w:val="nil"/>
              <w:right w:val="nil"/>
            </w:tcBorders>
            <w:noWrap/>
            <w:vAlign w:val="bottom"/>
            <w:hideMark/>
          </w:tcPr>
          <w:p w14:paraId="783F920B"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0.099</w:t>
            </w:r>
          </w:p>
        </w:tc>
      </w:tr>
      <w:tr w:rsidR="00DF65AC" w:rsidRPr="00A71974" w14:paraId="794784DB" w14:textId="77777777" w:rsidTr="00FD42D4">
        <w:trPr>
          <w:trHeight w:val="214"/>
        </w:trPr>
        <w:tc>
          <w:tcPr>
            <w:tcW w:w="2912" w:type="dxa"/>
            <w:tcBorders>
              <w:top w:val="nil"/>
              <w:left w:val="nil"/>
              <w:bottom w:val="nil"/>
              <w:right w:val="nil"/>
            </w:tcBorders>
            <w:noWrap/>
            <w:vAlign w:val="bottom"/>
            <w:hideMark/>
          </w:tcPr>
          <w:p w14:paraId="63F4D84E" w14:textId="669DA7A8" w:rsidR="004303D2" w:rsidRPr="00A71974" w:rsidRDefault="002743EA"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SPT-N</w:t>
            </w:r>
          </w:p>
        </w:tc>
        <w:tc>
          <w:tcPr>
            <w:tcW w:w="1072" w:type="dxa"/>
            <w:tcBorders>
              <w:top w:val="nil"/>
              <w:left w:val="nil"/>
              <w:bottom w:val="nil"/>
              <w:right w:val="nil"/>
            </w:tcBorders>
            <w:noWrap/>
            <w:vAlign w:val="bottom"/>
            <w:hideMark/>
          </w:tcPr>
          <w:p w14:paraId="431B17FB"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-0.107</w:t>
            </w:r>
          </w:p>
        </w:tc>
        <w:tc>
          <w:tcPr>
            <w:tcW w:w="1175" w:type="dxa"/>
            <w:tcBorders>
              <w:top w:val="nil"/>
              <w:left w:val="nil"/>
              <w:bottom w:val="nil"/>
              <w:right w:val="nil"/>
            </w:tcBorders>
            <w:noWrap/>
            <w:vAlign w:val="bottom"/>
            <w:hideMark/>
          </w:tcPr>
          <w:p w14:paraId="0173C464"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0.112</w:t>
            </w:r>
          </w:p>
        </w:tc>
        <w:tc>
          <w:tcPr>
            <w:tcW w:w="889" w:type="dxa"/>
            <w:tcBorders>
              <w:top w:val="nil"/>
              <w:left w:val="nil"/>
              <w:bottom w:val="nil"/>
              <w:right w:val="nil"/>
            </w:tcBorders>
            <w:noWrap/>
            <w:vAlign w:val="bottom"/>
            <w:hideMark/>
          </w:tcPr>
          <w:p w14:paraId="5141D963"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-0.959</w:t>
            </w:r>
          </w:p>
        </w:tc>
        <w:tc>
          <w:tcPr>
            <w:tcW w:w="1270" w:type="dxa"/>
            <w:tcBorders>
              <w:top w:val="nil"/>
              <w:left w:val="nil"/>
              <w:bottom w:val="nil"/>
              <w:right w:val="nil"/>
            </w:tcBorders>
            <w:noWrap/>
            <w:vAlign w:val="bottom"/>
            <w:hideMark/>
          </w:tcPr>
          <w:p w14:paraId="663D997C"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0.363</w:t>
            </w:r>
          </w:p>
        </w:tc>
        <w:tc>
          <w:tcPr>
            <w:tcW w:w="1072" w:type="dxa"/>
            <w:tcBorders>
              <w:top w:val="nil"/>
              <w:left w:val="nil"/>
              <w:bottom w:val="nil"/>
              <w:right w:val="nil"/>
            </w:tcBorders>
            <w:noWrap/>
            <w:vAlign w:val="bottom"/>
            <w:hideMark/>
          </w:tcPr>
          <w:p w14:paraId="64360C47"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-0.361</w:t>
            </w:r>
          </w:p>
        </w:tc>
        <w:tc>
          <w:tcPr>
            <w:tcW w:w="1072" w:type="dxa"/>
            <w:tcBorders>
              <w:top w:val="nil"/>
              <w:left w:val="nil"/>
              <w:bottom w:val="nil"/>
              <w:right w:val="nil"/>
            </w:tcBorders>
            <w:noWrap/>
            <w:vAlign w:val="bottom"/>
            <w:hideMark/>
          </w:tcPr>
          <w:p w14:paraId="0881DEA8"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0.146</w:t>
            </w:r>
          </w:p>
        </w:tc>
      </w:tr>
      <w:tr w:rsidR="00DF65AC" w:rsidRPr="00A71974" w14:paraId="76BA4CA0" w14:textId="77777777" w:rsidTr="00FD42D4">
        <w:trPr>
          <w:trHeight w:val="224"/>
        </w:trPr>
        <w:tc>
          <w:tcPr>
            <w:tcW w:w="2912" w:type="dxa"/>
            <w:tcBorders>
              <w:top w:val="nil"/>
              <w:left w:val="nil"/>
              <w:bottom w:val="single" w:sz="8" w:space="0" w:color="auto"/>
              <w:right w:val="nil"/>
            </w:tcBorders>
            <w:noWrap/>
            <w:vAlign w:val="bottom"/>
            <w:hideMark/>
          </w:tcPr>
          <w:p w14:paraId="47C0BDBE"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D50</w:t>
            </w:r>
          </w:p>
        </w:tc>
        <w:tc>
          <w:tcPr>
            <w:tcW w:w="1072" w:type="dxa"/>
            <w:tcBorders>
              <w:top w:val="nil"/>
              <w:left w:val="nil"/>
              <w:bottom w:val="single" w:sz="8" w:space="0" w:color="auto"/>
              <w:right w:val="nil"/>
            </w:tcBorders>
            <w:noWrap/>
            <w:vAlign w:val="bottom"/>
            <w:hideMark/>
          </w:tcPr>
          <w:p w14:paraId="483C0959"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0.108</w:t>
            </w:r>
          </w:p>
        </w:tc>
        <w:tc>
          <w:tcPr>
            <w:tcW w:w="1175" w:type="dxa"/>
            <w:tcBorders>
              <w:top w:val="nil"/>
              <w:left w:val="nil"/>
              <w:bottom w:val="single" w:sz="8" w:space="0" w:color="auto"/>
              <w:right w:val="nil"/>
            </w:tcBorders>
            <w:noWrap/>
            <w:vAlign w:val="bottom"/>
            <w:hideMark/>
          </w:tcPr>
          <w:p w14:paraId="423F87AE"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0.606</w:t>
            </w:r>
          </w:p>
        </w:tc>
        <w:tc>
          <w:tcPr>
            <w:tcW w:w="889" w:type="dxa"/>
            <w:tcBorders>
              <w:top w:val="nil"/>
              <w:left w:val="nil"/>
              <w:bottom w:val="single" w:sz="8" w:space="0" w:color="auto"/>
              <w:right w:val="nil"/>
            </w:tcBorders>
            <w:noWrap/>
            <w:vAlign w:val="bottom"/>
            <w:hideMark/>
          </w:tcPr>
          <w:p w14:paraId="1A44EAB7"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0.178</w:t>
            </w:r>
          </w:p>
        </w:tc>
        <w:tc>
          <w:tcPr>
            <w:tcW w:w="1270" w:type="dxa"/>
            <w:tcBorders>
              <w:top w:val="nil"/>
              <w:left w:val="nil"/>
              <w:bottom w:val="single" w:sz="8" w:space="0" w:color="auto"/>
              <w:right w:val="nil"/>
            </w:tcBorders>
            <w:noWrap/>
            <w:vAlign w:val="bottom"/>
            <w:hideMark/>
          </w:tcPr>
          <w:p w14:paraId="60ED336A"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0.863</w:t>
            </w:r>
          </w:p>
        </w:tc>
        <w:tc>
          <w:tcPr>
            <w:tcW w:w="1072" w:type="dxa"/>
            <w:tcBorders>
              <w:top w:val="nil"/>
              <w:left w:val="nil"/>
              <w:bottom w:val="single" w:sz="8" w:space="0" w:color="auto"/>
              <w:right w:val="nil"/>
            </w:tcBorders>
            <w:noWrap/>
            <w:vAlign w:val="bottom"/>
            <w:hideMark/>
          </w:tcPr>
          <w:p w14:paraId="06DA478C"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-1.263</w:t>
            </w:r>
          </w:p>
        </w:tc>
        <w:tc>
          <w:tcPr>
            <w:tcW w:w="1072" w:type="dxa"/>
            <w:tcBorders>
              <w:top w:val="nil"/>
              <w:left w:val="nil"/>
              <w:bottom w:val="single" w:sz="8" w:space="0" w:color="auto"/>
              <w:right w:val="nil"/>
            </w:tcBorders>
            <w:noWrap/>
            <w:vAlign w:val="bottom"/>
            <w:hideMark/>
          </w:tcPr>
          <w:p w14:paraId="7EF777C2" w14:textId="77777777" w:rsidR="004303D2" w:rsidRPr="00A71974" w:rsidRDefault="004303D2"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1.478</w:t>
            </w:r>
          </w:p>
        </w:tc>
      </w:tr>
    </w:tbl>
    <w:p w14:paraId="54BD91A6" w14:textId="77777777" w:rsidR="00FA53D2" w:rsidRPr="00A71974" w:rsidRDefault="00FA53D2" w:rsidP="00A71974">
      <w:pPr>
        <w:spacing w:line="240" w:lineRule="auto"/>
        <w:jc w:val="both"/>
        <w:rPr>
          <w:rFonts w:ascii="Arial" w:hAnsi="Arial" w:cs="Arial"/>
          <w:b/>
          <w:bCs/>
          <w:sz w:val="20"/>
          <w:szCs w:val="20"/>
        </w:rPr>
      </w:pPr>
    </w:p>
    <w:p w14:paraId="50CA91C1" w14:textId="2119FFE3" w:rsidR="007A4663" w:rsidRPr="00A71974" w:rsidRDefault="008574DE" w:rsidP="00A71974">
      <w:pPr>
        <w:spacing w:line="240" w:lineRule="auto"/>
        <w:jc w:val="both"/>
        <w:rPr>
          <w:rFonts w:ascii="Arial" w:hAnsi="Arial" w:cs="Arial"/>
          <w:b/>
          <w:bCs/>
          <w:sz w:val="20"/>
          <w:szCs w:val="20"/>
        </w:rPr>
      </w:pPr>
      <w:r w:rsidRPr="00A71974">
        <w:rPr>
          <w:rFonts w:ascii="Arial" w:hAnsi="Arial" w:cs="Arial"/>
          <w:b/>
          <w:bCs/>
          <w:noProof/>
          <w:sz w:val="20"/>
          <w:szCs w:val="20"/>
        </w:rPr>
        <w:drawing>
          <wp:inline distT="0" distB="0" distL="0" distR="0" wp14:anchorId="7D7A79CF" wp14:editId="49A4965A">
            <wp:extent cx="5905500" cy="2927350"/>
            <wp:effectExtent l="0" t="0" r="0" b="6350"/>
            <wp:docPr id="1062396493" name="Picture 1"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96493" name="Picture 1" descr="A graph with blue squares&#10;&#10;AI-generated content may be incorrect."/>
                    <pic:cNvPicPr/>
                  </pic:nvPicPr>
                  <pic:blipFill>
                    <a:blip r:embed="rId8"/>
                    <a:stretch>
                      <a:fillRect/>
                    </a:stretch>
                  </pic:blipFill>
                  <pic:spPr>
                    <a:xfrm>
                      <a:off x="0" y="0"/>
                      <a:ext cx="5905500" cy="2927350"/>
                    </a:xfrm>
                    <a:prstGeom prst="rect">
                      <a:avLst/>
                    </a:prstGeom>
                  </pic:spPr>
                </pic:pic>
              </a:graphicData>
            </a:graphic>
          </wp:inline>
        </w:drawing>
      </w:r>
    </w:p>
    <w:p w14:paraId="56C3572D" w14:textId="68AB7478" w:rsidR="007A4663" w:rsidRPr="00A71974" w:rsidRDefault="008574DE" w:rsidP="00A71974">
      <w:pPr>
        <w:spacing w:line="240" w:lineRule="auto"/>
        <w:jc w:val="both"/>
        <w:rPr>
          <w:rFonts w:ascii="Arial" w:hAnsi="Arial" w:cs="Arial"/>
          <w:sz w:val="20"/>
          <w:szCs w:val="20"/>
        </w:rPr>
      </w:pPr>
      <w:r w:rsidRPr="00A71974">
        <w:rPr>
          <w:rFonts w:ascii="Arial" w:hAnsi="Arial" w:cs="Arial"/>
          <w:b/>
          <w:bCs/>
          <w:sz w:val="20"/>
          <w:szCs w:val="20"/>
        </w:rPr>
        <w:t xml:space="preserve">Figure 2: </w:t>
      </w:r>
      <w:r w:rsidRPr="00A71974">
        <w:rPr>
          <w:rFonts w:ascii="Arial" w:hAnsi="Arial" w:cs="Arial"/>
          <w:sz w:val="20"/>
          <w:szCs w:val="20"/>
        </w:rPr>
        <w:t xml:space="preserve">Pareto for </w:t>
      </w:r>
      <w:r w:rsidR="00164DAE" w:rsidRPr="00A71974">
        <w:rPr>
          <w:rFonts w:ascii="Arial" w:hAnsi="Arial" w:cs="Arial"/>
          <w:sz w:val="20"/>
          <w:szCs w:val="20"/>
        </w:rPr>
        <w:t>important predictors for angle of internal friction</w:t>
      </w:r>
    </w:p>
    <w:p w14:paraId="55575810" w14:textId="77777777" w:rsidR="009022C6" w:rsidRPr="00A71974" w:rsidRDefault="009022C6" w:rsidP="00A71974">
      <w:pPr>
        <w:spacing w:line="240" w:lineRule="auto"/>
        <w:jc w:val="both"/>
        <w:rPr>
          <w:rFonts w:ascii="Arial" w:hAnsi="Arial" w:cs="Arial"/>
          <w:b/>
          <w:bCs/>
          <w:sz w:val="20"/>
          <w:szCs w:val="20"/>
        </w:rPr>
      </w:pPr>
    </w:p>
    <w:p w14:paraId="1C6F12EA" w14:textId="44DC8449" w:rsidR="00F63CE3" w:rsidRPr="00A71974" w:rsidRDefault="00F63CE3" w:rsidP="00A71974">
      <w:pPr>
        <w:spacing w:line="240" w:lineRule="auto"/>
        <w:jc w:val="both"/>
        <w:rPr>
          <w:rFonts w:ascii="Arial" w:hAnsi="Arial" w:cs="Arial"/>
          <w:b/>
          <w:bCs/>
          <w:sz w:val="22"/>
          <w:szCs w:val="22"/>
        </w:rPr>
      </w:pPr>
      <w:r w:rsidRPr="00A71974">
        <w:rPr>
          <w:rFonts w:ascii="Arial" w:hAnsi="Arial" w:cs="Arial"/>
          <w:b/>
          <w:bCs/>
          <w:sz w:val="22"/>
          <w:szCs w:val="22"/>
        </w:rPr>
        <w:t>3.</w:t>
      </w:r>
      <w:r w:rsidR="00121B6A" w:rsidRPr="00A71974">
        <w:rPr>
          <w:rFonts w:ascii="Arial" w:hAnsi="Arial" w:cs="Arial"/>
          <w:b/>
          <w:bCs/>
          <w:sz w:val="22"/>
          <w:szCs w:val="22"/>
        </w:rPr>
        <w:t>4</w:t>
      </w:r>
      <w:r w:rsidRPr="00A71974">
        <w:rPr>
          <w:rFonts w:ascii="Arial" w:hAnsi="Arial" w:cs="Arial"/>
          <w:b/>
          <w:bCs/>
          <w:sz w:val="22"/>
          <w:szCs w:val="22"/>
        </w:rPr>
        <w:t xml:space="preserve"> Model Evaluation</w:t>
      </w:r>
    </w:p>
    <w:p w14:paraId="49E8EC8D" w14:textId="77777777" w:rsidR="001A26C3" w:rsidRPr="001A26C3" w:rsidRDefault="001A26C3" w:rsidP="001A26C3">
      <w:pPr>
        <w:spacing w:line="240" w:lineRule="auto"/>
        <w:jc w:val="both"/>
        <w:rPr>
          <w:rFonts w:ascii="Arial" w:hAnsi="Arial" w:cs="Arial"/>
          <w:sz w:val="20"/>
          <w:szCs w:val="20"/>
        </w:rPr>
      </w:pPr>
      <w:r w:rsidRPr="001A26C3">
        <w:rPr>
          <w:rFonts w:ascii="Arial" w:hAnsi="Arial" w:cs="Arial"/>
          <w:sz w:val="20"/>
          <w:szCs w:val="20"/>
        </w:rPr>
        <w:t>To assess prediction accuracy in real-world scenarios, three separate test samples were used for model validation. The validation performance of the effective overburden pressure model was superior, with mean absolute error (MAE) = 0.84°, mean absolute percentage error (MAPE) = 2.9%, and RMSE = 0.88°. With an RMSE of 0.91°, MAE of 0.81°, and MAPE of 2.9%, the multiple linear regression model demonstrated comparable performance, indicating that the practical prediction accuracy was only marginally improved by the increased complexity of many factors.</w:t>
      </w:r>
    </w:p>
    <w:p w14:paraId="4C9C2F29" w14:textId="77777777" w:rsidR="001A26C3" w:rsidRPr="001A26C3" w:rsidRDefault="001A26C3" w:rsidP="001A26C3">
      <w:pPr>
        <w:spacing w:line="240" w:lineRule="auto"/>
        <w:jc w:val="both"/>
        <w:rPr>
          <w:rFonts w:ascii="Arial" w:hAnsi="Arial" w:cs="Arial"/>
          <w:sz w:val="20"/>
          <w:szCs w:val="20"/>
        </w:rPr>
      </w:pPr>
      <w:r w:rsidRPr="001A26C3">
        <w:rPr>
          <w:rFonts w:ascii="Arial" w:hAnsi="Arial" w:cs="Arial"/>
          <w:sz w:val="20"/>
          <w:szCs w:val="20"/>
        </w:rPr>
        <w:t>The SPT-N model performed much worse than the stress-based model, although it nevertheless demonstrated satisfactory validation performance with RMSE = 1.1°, MAE = 1.09°, and MAPE = 3.8%. Due to its poor validation performance (RMSE = 2.99°, MAE = 2.64°, and MAPE = 9.4%), the D50 model was found to be of limited use in predicting friction angles in the diverse soil profile found at Rumuibekwe Bridge. Grain size effects are less constant across different soil types than stress-dependent behavior, and the validation results confirm that effective overburden pressure is the main predictive variable for friction angle estimate in Niger Delta mixed soil deposits.</w:t>
      </w:r>
    </w:p>
    <w:p w14:paraId="7E4330C9" w14:textId="32B0373E" w:rsidR="003429ED" w:rsidRPr="00A71974" w:rsidRDefault="005763AC" w:rsidP="00A71974">
      <w:pPr>
        <w:spacing w:line="240" w:lineRule="auto"/>
        <w:jc w:val="both"/>
        <w:rPr>
          <w:rFonts w:ascii="Arial" w:hAnsi="Arial" w:cs="Arial"/>
          <w:b/>
          <w:bCs/>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7</w:t>
      </w:r>
      <w:r w:rsidRPr="00A71974">
        <w:rPr>
          <w:rFonts w:ascii="Arial" w:hAnsi="Arial" w:cs="Arial"/>
          <w:b/>
          <w:bCs/>
          <w:sz w:val="20"/>
          <w:szCs w:val="20"/>
        </w:rPr>
        <w:t xml:space="preserve">: </w:t>
      </w:r>
      <w:r w:rsidRPr="00A71974">
        <w:rPr>
          <w:rFonts w:ascii="Arial" w:hAnsi="Arial" w:cs="Arial"/>
          <w:sz w:val="20"/>
          <w:szCs w:val="20"/>
        </w:rPr>
        <w:t>Model Predictions</w:t>
      </w:r>
    </w:p>
    <w:tbl>
      <w:tblPr>
        <w:tblW w:w="9431" w:type="dxa"/>
        <w:tblLook w:val="04A0" w:firstRow="1" w:lastRow="0" w:firstColumn="1" w:lastColumn="0" w:noHBand="0" w:noVBand="1"/>
      </w:tblPr>
      <w:tblGrid>
        <w:gridCol w:w="872"/>
        <w:gridCol w:w="914"/>
        <w:gridCol w:w="1004"/>
        <w:gridCol w:w="706"/>
        <w:gridCol w:w="1550"/>
        <w:gridCol w:w="991"/>
        <w:gridCol w:w="991"/>
        <w:gridCol w:w="991"/>
        <w:gridCol w:w="1412"/>
      </w:tblGrid>
      <w:tr w:rsidR="00AE1719" w:rsidRPr="00A71974" w14:paraId="2AF971E8" w14:textId="77777777" w:rsidTr="002743EA">
        <w:trPr>
          <w:trHeight w:val="438"/>
        </w:trPr>
        <w:tc>
          <w:tcPr>
            <w:tcW w:w="872" w:type="dxa"/>
            <w:tcBorders>
              <w:top w:val="single" w:sz="4" w:space="0" w:color="auto"/>
              <w:left w:val="nil"/>
              <w:bottom w:val="single" w:sz="4" w:space="0" w:color="auto"/>
              <w:right w:val="nil"/>
            </w:tcBorders>
            <w:vAlign w:val="center"/>
            <w:hideMark/>
          </w:tcPr>
          <w:p w14:paraId="4FD3E215" w14:textId="77777777"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lastRenderedPageBreak/>
              <w:t>Test</w:t>
            </w:r>
          </w:p>
        </w:tc>
        <w:tc>
          <w:tcPr>
            <w:tcW w:w="914" w:type="dxa"/>
            <w:tcBorders>
              <w:top w:val="single" w:sz="4" w:space="0" w:color="auto"/>
              <w:left w:val="nil"/>
              <w:bottom w:val="single" w:sz="4" w:space="0" w:color="auto"/>
              <w:right w:val="nil"/>
            </w:tcBorders>
            <w:vAlign w:val="center"/>
            <w:hideMark/>
          </w:tcPr>
          <w:p w14:paraId="0E952982" w14:textId="77777777"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EOP</w:t>
            </w:r>
          </w:p>
        </w:tc>
        <w:tc>
          <w:tcPr>
            <w:tcW w:w="1004" w:type="dxa"/>
            <w:tcBorders>
              <w:top w:val="single" w:sz="4" w:space="0" w:color="auto"/>
              <w:left w:val="nil"/>
              <w:bottom w:val="single" w:sz="4" w:space="0" w:color="auto"/>
              <w:right w:val="nil"/>
            </w:tcBorders>
            <w:vAlign w:val="center"/>
            <w:hideMark/>
          </w:tcPr>
          <w:p w14:paraId="0B660698" w14:textId="0B8629EF" w:rsidR="00036D45" w:rsidRPr="00A71974" w:rsidRDefault="002743EA"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SPT-N</w:t>
            </w:r>
          </w:p>
        </w:tc>
        <w:tc>
          <w:tcPr>
            <w:tcW w:w="706" w:type="dxa"/>
            <w:tcBorders>
              <w:top w:val="single" w:sz="4" w:space="0" w:color="auto"/>
              <w:left w:val="nil"/>
              <w:bottom w:val="single" w:sz="4" w:space="0" w:color="auto"/>
              <w:right w:val="nil"/>
            </w:tcBorders>
            <w:vAlign w:val="center"/>
            <w:hideMark/>
          </w:tcPr>
          <w:p w14:paraId="6417A8B1" w14:textId="77777777"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D50</w:t>
            </w:r>
          </w:p>
        </w:tc>
        <w:tc>
          <w:tcPr>
            <w:tcW w:w="1550" w:type="dxa"/>
            <w:tcBorders>
              <w:top w:val="single" w:sz="4" w:space="0" w:color="auto"/>
              <w:left w:val="nil"/>
              <w:bottom w:val="single" w:sz="4" w:space="0" w:color="auto"/>
              <w:right w:val="nil"/>
            </w:tcBorders>
            <w:vAlign w:val="center"/>
            <w:hideMark/>
          </w:tcPr>
          <w:p w14:paraId="7AAF8655" w14:textId="77777777"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Observed Ø</w:t>
            </w:r>
          </w:p>
        </w:tc>
        <w:tc>
          <w:tcPr>
            <w:tcW w:w="991" w:type="dxa"/>
            <w:tcBorders>
              <w:top w:val="single" w:sz="4" w:space="0" w:color="auto"/>
              <w:left w:val="nil"/>
              <w:bottom w:val="single" w:sz="4" w:space="0" w:color="auto"/>
              <w:right w:val="nil"/>
            </w:tcBorders>
            <w:vAlign w:val="center"/>
            <w:hideMark/>
          </w:tcPr>
          <w:p w14:paraId="3AC16AA2" w14:textId="5F380AF9"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Pred</w:t>
            </w:r>
            <w:r w:rsidR="00B21ADA" w:rsidRPr="00A71974">
              <w:rPr>
                <w:rFonts w:ascii="Arial" w:eastAsia="Times New Roman" w:hAnsi="Arial" w:cs="Arial"/>
                <w:b/>
                <w:bCs/>
                <w:color w:val="000000"/>
                <w:kern w:val="0"/>
                <w:sz w:val="20"/>
                <w:szCs w:val="20"/>
                <w:lang w:eastAsia="en-GB"/>
                <w14:ligatures w14:val="none"/>
              </w:rPr>
              <w:t xml:space="preserve"> Ø</w:t>
            </w:r>
            <w:r w:rsidRPr="00A71974">
              <w:rPr>
                <w:rFonts w:ascii="Arial" w:eastAsia="Times New Roman" w:hAnsi="Arial" w:cs="Arial"/>
                <w:b/>
                <w:bCs/>
                <w:color w:val="000000"/>
                <w:kern w:val="0"/>
                <w:sz w:val="20"/>
                <w:szCs w:val="20"/>
                <w:lang w:eastAsia="en-GB"/>
                <w14:ligatures w14:val="none"/>
              </w:rPr>
              <w:t xml:space="preserve"> </w:t>
            </w:r>
            <w:r w:rsidR="00B21ADA" w:rsidRPr="00A71974">
              <w:rPr>
                <w:rFonts w:ascii="Arial" w:eastAsia="Times New Roman" w:hAnsi="Arial" w:cs="Arial"/>
                <w:b/>
                <w:bCs/>
                <w:color w:val="000000"/>
                <w:kern w:val="0"/>
                <w:sz w:val="20"/>
                <w:szCs w:val="20"/>
                <w:lang w:eastAsia="en-GB"/>
                <w14:ligatures w14:val="none"/>
              </w:rPr>
              <w:t xml:space="preserve">from </w:t>
            </w:r>
            <w:r w:rsidRPr="00A71974">
              <w:rPr>
                <w:rFonts w:ascii="Arial" w:eastAsia="Times New Roman" w:hAnsi="Arial" w:cs="Arial"/>
                <w:b/>
                <w:bCs/>
                <w:color w:val="000000"/>
                <w:kern w:val="0"/>
                <w:sz w:val="20"/>
                <w:szCs w:val="20"/>
                <w:lang w:eastAsia="en-GB"/>
                <w14:ligatures w14:val="none"/>
              </w:rPr>
              <w:t>EOP</w:t>
            </w:r>
            <w:r w:rsidR="00AE1719" w:rsidRPr="00A71974">
              <w:rPr>
                <w:rFonts w:ascii="Arial" w:eastAsia="Times New Roman" w:hAnsi="Arial" w:cs="Arial"/>
                <w:b/>
                <w:bCs/>
                <w:color w:val="000000"/>
                <w:kern w:val="0"/>
                <w:sz w:val="20"/>
                <w:szCs w:val="20"/>
                <w:lang w:eastAsia="en-GB"/>
                <w14:ligatures w14:val="none"/>
              </w:rPr>
              <w:t xml:space="preserve"> SLR</w:t>
            </w:r>
          </w:p>
        </w:tc>
        <w:tc>
          <w:tcPr>
            <w:tcW w:w="991" w:type="dxa"/>
            <w:tcBorders>
              <w:top w:val="single" w:sz="4" w:space="0" w:color="auto"/>
              <w:left w:val="nil"/>
              <w:bottom w:val="single" w:sz="4" w:space="0" w:color="auto"/>
              <w:right w:val="nil"/>
            </w:tcBorders>
            <w:vAlign w:val="center"/>
            <w:hideMark/>
          </w:tcPr>
          <w:p w14:paraId="29249727" w14:textId="02001A21"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Pred</w:t>
            </w:r>
            <w:r w:rsidR="00B21ADA" w:rsidRPr="00A71974">
              <w:rPr>
                <w:rFonts w:ascii="Arial" w:eastAsia="Times New Roman" w:hAnsi="Arial" w:cs="Arial"/>
                <w:b/>
                <w:bCs/>
                <w:color w:val="000000"/>
                <w:kern w:val="0"/>
                <w:sz w:val="20"/>
                <w:szCs w:val="20"/>
                <w:lang w:eastAsia="en-GB"/>
                <w14:ligatures w14:val="none"/>
              </w:rPr>
              <w:t xml:space="preserve"> Ø</w:t>
            </w:r>
            <w:r w:rsidRPr="00A71974">
              <w:rPr>
                <w:rFonts w:ascii="Arial" w:eastAsia="Times New Roman" w:hAnsi="Arial" w:cs="Arial"/>
                <w:b/>
                <w:bCs/>
                <w:color w:val="000000"/>
                <w:kern w:val="0"/>
                <w:sz w:val="20"/>
                <w:szCs w:val="20"/>
                <w:lang w:eastAsia="en-GB"/>
                <w14:ligatures w14:val="none"/>
              </w:rPr>
              <w:t xml:space="preserve"> </w:t>
            </w:r>
            <w:r w:rsidR="00AE1719" w:rsidRPr="00A71974">
              <w:rPr>
                <w:rFonts w:ascii="Arial" w:eastAsia="Times New Roman" w:hAnsi="Arial" w:cs="Arial"/>
                <w:b/>
                <w:bCs/>
                <w:color w:val="000000"/>
                <w:kern w:val="0"/>
                <w:sz w:val="20"/>
                <w:szCs w:val="20"/>
                <w:lang w:eastAsia="en-GB"/>
                <w14:ligatures w14:val="none"/>
              </w:rPr>
              <w:t xml:space="preserve">from </w:t>
            </w:r>
            <w:r w:rsidR="002743EA" w:rsidRPr="00A71974">
              <w:rPr>
                <w:rFonts w:ascii="Arial" w:eastAsia="Times New Roman" w:hAnsi="Arial" w:cs="Arial"/>
                <w:b/>
                <w:bCs/>
                <w:color w:val="000000"/>
                <w:kern w:val="0"/>
                <w:sz w:val="20"/>
                <w:szCs w:val="20"/>
                <w:lang w:eastAsia="en-GB"/>
                <w14:ligatures w14:val="none"/>
              </w:rPr>
              <w:t>SPT-N</w:t>
            </w:r>
            <w:r w:rsidR="00AE1719" w:rsidRPr="00A71974">
              <w:rPr>
                <w:rFonts w:ascii="Arial" w:eastAsia="Times New Roman" w:hAnsi="Arial" w:cs="Arial"/>
                <w:b/>
                <w:bCs/>
                <w:color w:val="000000"/>
                <w:kern w:val="0"/>
                <w:sz w:val="20"/>
                <w:szCs w:val="20"/>
                <w:lang w:eastAsia="en-GB"/>
                <w14:ligatures w14:val="none"/>
              </w:rPr>
              <w:t xml:space="preserve"> SLR</w:t>
            </w:r>
          </w:p>
        </w:tc>
        <w:tc>
          <w:tcPr>
            <w:tcW w:w="991" w:type="dxa"/>
            <w:tcBorders>
              <w:top w:val="single" w:sz="4" w:space="0" w:color="auto"/>
              <w:left w:val="nil"/>
              <w:bottom w:val="single" w:sz="4" w:space="0" w:color="auto"/>
              <w:right w:val="nil"/>
            </w:tcBorders>
            <w:vAlign w:val="center"/>
            <w:hideMark/>
          </w:tcPr>
          <w:p w14:paraId="7BC785E3" w14:textId="6B15679C"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Pred</w:t>
            </w:r>
            <w:r w:rsidR="00B21ADA" w:rsidRPr="00A71974">
              <w:rPr>
                <w:rFonts w:ascii="Arial" w:eastAsia="Times New Roman" w:hAnsi="Arial" w:cs="Arial"/>
                <w:b/>
                <w:bCs/>
                <w:color w:val="000000"/>
                <w:kern w:val="0"/>
                <w:sz w:val="20"/>
                <w:szCs w:val="20"/>
                <w:lang w:eastAsia="en-GB"/>
                <w14:ligatures w14:val="none"/>
              </w:rPr>
              <w:t xml:space="preserve"> Ø</w:t>
            </w:r>
            <w:r w:rsidRPr="00A71974">
              <w:rPr>
                <w:rFonts w:ascii="Arial" w:eastAsia="Times New Roman" w:hAnsi="Arial" w:cs="Arial"/>
                <w:b/>
                <w:bCs/>
                <w:color w:val="000000"/>
                <w:kern w:val="0"/>
                <w:sz w:val="20"/>
                <w:szCs w:val="20"/>
                <w:lang w:eastAsia="en-GB"/>
                <w14:ligatures w14:val="none"/>
              </w:rPr>
              <w:t xml:space="preserve"> </w:t>
            </w:r>
            <w:r w:rsidR="00AE1719" w:rsidRPr="00A71974">
              <w:rPr>
                <w:rFonts w:ascii="Arial" w:eastAsia="Times New Roman" w:hAnsi="Arial" w:cs="Arial"/>
                <w:b/>
                <w:bCs/>
                <w:color w:val="000000"/>
                <w:kern w:val="0"/>
                <w:sz w:val="20"/>
                <w:szCs w:val="20"/>
                <w:lang w:eastAsia="en-GB"/>
                <w14:ligatures w14:val="none"/>
              </w:rPr>
              <w:t xml:space="preserve">FROM </w:t>
            </w:r>
            <w:r w:rsidRPr="00A71974">
              <w:rPr>
                <w:rFonts w:ascii="Arial" w:eastAsia="Times New Roman" w:hAnsi="Arial" w:cs="Arial"/>
                <w:b/>
                <w:bCs/>
                <w:color w:val="000000"/>
                <w:kern w:val="0"/>
                <w:sz w:val="20"/>
                <w:szCs w:val="20"/>
                <w:lang w:eastAsia="en-GB"/>
                <w14:ligatures w14:val="none"/>
              </w:rPr>
              <w:t>D50</w:t>
            </w:r>
            <w:r w:rsidR="00AE1719" w:rsidRPr="00A71974">
              <w:rPr>
                <w:rFonts w:ascii="Arial" w:eastAsia="Times New Roman" w:hAnsi="Arial" w:cs="Arial"/>
                <w:b/>
                <w:bCs/>
                <w:color w:val="000000"/>
                <w:kern w:val="0"/>
                <w:sz w:val="20"/>
                <w:szCs w:val="20"/>
                <w:lang w:eastAsia="en-GB"/>
                <w14:ligatures w14:val="none"/>
              </w:rPr>
              <w:t xml:space="preserve"> SLR</w:t>
            </w:r>
          </w:p>
        </w:tc>
        <w:tc>
          <w:tcPr>
            <w:tcW w:w="1412" w:type="dxa"/>
            <w:tcBorders>
              <w:top w:val="single" w:sz="4" w:space="0" w:color="auto"/>
              <w:left w:val="nil"/>
              <w:bottom w:val="single" w:sz="4" w:space="0" w:color="auto"/>
              <w:right w:val="nil"/>
            </w:tcBorders>
            <w:vAlign w:val="center"/>
            <w:hideMark/>
          </w:tcPr>
          <w:p w14:paraId="306843B0" w14:textId="0B26E128" w:rsidR="00036D45" w:rsidRPr="00A71974" w:rsidRDefault="00036D45"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 xml:space="preserve">Pred </w:t>
            </w:r>
            <w:r w:rsidR="00B21ADA" w:rsidRPr="00A71974">
              <w:rPr>
                <w:rFonts w:ascii="Arial" w:eastAsia="Times New Roman" w:hAnsi="Arial" w:cs="Arial"/>
                <w:b/>
                <w:bCs/>
                <w:color w:val="000000"/>
                <w:kern w:val="0"/>
                <w:sz w:val="20"/>
                <w:szCs w:val="20"/>
                <w:lang w:eastAsia="en-GB"/>
                <w14:ligatures w14:val="none"/>
              </w:rPr>
              <w:t>Ø</w:t>
            </w:r>
            <w:r w:rsidR="00AE1719" w:rsidRPr="00A71974">
              <w:rPr>
                <w:rFonts w:ascii="Arial" w:eastAsia="Times New Roman" w:hAnsi="Arial" w:cs="Arial"/>
                <w:b/>
                <w:bCs/>
                <w:color w:val="000000"/>
                <w:kern w:val="0"/>
                <w:sz w:val="20"/>
                <w:szCs w:val="20"/>
                <w:lang w:eastAsia="en-GB"/>
                <w14:ligatures w14:val="none"/>
              </w:rPr>
              <w:t xml:space="preserve"> </w:t>
            </w:r>
            <w:r w:rsidR="00416AA8" w:rsidRPr="00A71974">
              <w:rPr>
                <w:rFonts w:ascii="Arial" w:eastAsia="Times New Roman" w:hAnsi="Arial" w:cs="Arial"/>
                <w:b/>
                <w:bCs/>
                <w:color w:val="000000"/>
                <w:kern w:val="0"/>
                <w:sz w:val="20"/>
                <w:szCs w:val="20"/>
                <w:lang w:eastAsia="en-GB"/>
                <w14:ligatures w14:val="none"/>
              </w:rPr>
              <w:t xml:space="preserve">from </w:t>
            </w:r>
            <w:r w:rsidRPr="00A71974">
              <w:rPr>
                <w:rFonts w:ascii="Arial" w:eastAsia="Times New Roman" w:hAnsi="Arial" w:cs="Arial"/>
                <w:b/>
                <w:bCs/>
                <w:color w:val="000000"/>
                <w:kern w:val="0"/>
                <w:sz w:val="20"/>
                <w:szCs w:val="20"/>
                <w:lang w:eastAsia="en-GB"/>
                <w14:ligatures w14:val="none"/>
              </w:rPr>
              <w:t>M</w:t>
            </w:r>
            <w:r w:rsidR="00416AA8" w:rsidRPr="00A71974">
              <w:rPr>
                <w:rFonts w:ascii="Arial" w:eastAsia="Times New Roman" w:hAnsi="Arial" w:cs="Arial"/>
                <w:b/>
                <w:bCs/>
                <w:color w:val="000000"/>
                <w:kern w:val="0"/>
                <w:sz w:val="20"/>
                <w:szCs w:val="20"/>
                <w:lang w:eastAsia="en-GB"/>
                <w14:ligatures w14:val="none"/>
              </w:rPr>
              <w:t>LR</w:t>
            </w:r>
          </w:p>
        </w:tc>
      </w:tr>
      <w:tr w:rsidR="00AE1719" w:rsidRPr="00A71974" w14:paraId="4A5795D5" w14:textId="77777777" w:rsidTr="002743EA">
        <w:trPr>
          <w:trHeight w:val="218"/>
        </w:trPr>
        <w:tc>
          <w:tcPr>
            <w:tcW w:w="872" w:type="dxa"/>
            <w:tcBorders>
              <w:top w:val="single" w:sz="4" w:space="0" w:color="auto"/>
              <w:left w:val="nil"/>
              <w:bottom w:val="nil"/>
              <w:right w:val="nil"/>
            </w:tcBorders>
            <w:vAlign w:val="center"/>
            <w:hideMark/>
          </w:tcPr>
          <w:p w14:paraId="3E93A93F"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Test 1</w:t>
            </w:r>
          </w:p>
        </w:tc>
        <w:tc>
          <w:tcPr>
            <w:tcW w:w="914" w:type="dxa"/>
            <w:tcBorders>
              <w:top w:val="single" w:sz="4" w:space="0" w:color="auto"/>
              <w:left w:val="nil"/>
              <w:bottom w:val="nil"/>
              <w:right w:val="nil"/>
            </w:tcBorders>
            <w:vAlign w:val="center"/>
            <w:hideMark/>
          </w:tcPr>
          <w:p w14:paraId="41D0B92B"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92.4</w:t>
            </w:r>
          </w:p>
        </w:tc>
        <w:tc>
          <w:tcPr>
            <w:tcW w:w="1004" w:type="dxa"/>
            <w:tcBorders>
              <w:top w:val="single" w:sz="4" w:space="0" w:color="auto"/>
              <w:left w:val="nil"/>
              <w:bottom w:val="nil"/>
              <w:right w:val="nil"/>
            </w:tcBorders>
            <w:vAlign w:val="center"/>
            <w:hideMark/>
          </w:tcPr>
          <w:p w14:paraId="7F5C73F2"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w:t>
            </w:r>
          </w:p>
        </w:tc>
        <w:tc>
          <w:tcPr>
            <w:tcW w:w="706" w:type="dxa"/>
            <w:tcBorders>
              <w:top w:val="single" w:sz="4" w:space="0" w:color="auto"/>
              <w:left w:val="nil"/>
              <w:bottom w:val="nil"/>
              <w:right w:val="nil"/>
            </w:tcBorders>
            <w:vAlign w:val="center"/>
            <w:hideMark/>
          </w:tcPr>
          <w:p w14:paraId="18D8F624"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w:t>
            </w:r>
          </w:p>
        </w:tc>
        <w:tc>
          <w:tcPr>
            <w:tcW w:w="1550" w:type="dxa"/>
            <w:tcBorders>
              <w:top w:val="single" w:sz="4" w:space="0" w:color="auto"/>
              <w:left w:val="nil"/>
              <w:bottom w:val="nil"/>
              <w:right w:val="nil"/>
            </w:tcBorders>
            <w:vAlign w:val="center"/>
            <w:hideMark/>
          </w:tcPr>
          <w:p w14:paraId="566773DB"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28</w:t>
            </w:r>
          </w:p>
        </w:tc>
        <w:tc>
          <w:tcPr>
            <w:tcW w:w="991" w:type="dxa"/>
            <w:tcBorders>
              <w:top w:val="single" w:sz="4" w:space="0" w:color="auto"/>
              <w:left w:val="nil"/>
              <w:bottom w:val="nil"/>
              <w:right w:val="nil"/>
            </w:tcBorders>
            <w:vAlign w:val="center"/>
            <w:hideMark/>
          </w:tcPr>
          <w:p w14:paraId="59D47BEA"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29.03</w:t>
            </w:r>
          </w:p>
        </w:tc>
        <w:tc>
          <w:tcPr>
            <w:tcW w:w="991" w:type="dxa"/>
            <w:tcBorders>
              <w:top w:val="single" w:sz="4" w:space="0" w:color="auto"/>
              <w:left w:val="nil"/>
              <w:bottom w:val="nil"/>
              <w:right w:val="nil"/>
            </w:tcBorders>
            <w:vAlign w:val="center"/>
            <w:hideMark/>
          </w:tcPr>
          <w:p w14:paraId="47A2944D"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29.23</w:t>
            </w:r>
          </w:p>
        </w:tc>
        <w:tc>
          <w:tcPr>
            <w:tcW w:w="991" w:type="dxa"/>
            <w:tcBorders>
              <w:top w:val="single" w:sz="4" w:space="0" w:color="auto"/>
              <w:left w:val="nil"/>
              <w:bottom w:val="nil"/>
              <w:right w:val="nil"/>
            </w:tcBorders>
            <w:vAlign w:val="center"/>
            <w:hideMark/>
          </w:tcPr>
          <w:p w14:paraId="43203513"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31.6</w:t>
            </w:r>
          </w:p>
        </w:tc>
        <w:tc>
          <w:tcPr>
            <w:tcW w:w="1412" w:type="dxa"/>
            <w:tcBorders>
              <w:top w:val="single" w:sz="4" w:space="0" w:color="auto"/>
              <w:left w:val="nil"/>
              <w:bottom w:val="nil"/>
              <w:right w:val="nil"/>
            </w:tcBorders>
            <w:vAlign w:val="center"/>
            <w:hideMark/>
          </w:tcPr>
          <w:p w14:paraId="45A0F158"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29.06</w:t>
            </w:r>
          </w:p>
        </w:tc>
      </w:tr>
      <w:tr w:rsidR="00AE1719" w:rsidRPr="00A71974" w14:paraId="05031DAA" w14:textId="77777777" w:rsidTr="002743EA">
        <w:trPr>
          <w:trHeight w:val="218"/>
        </w:trPr>
        <w:tc>
          <w:tcPr>
            <w:tcW w:w="872" w:type="dxa"/>
            <w:tcBorders>
              <w:top w:val="nil"/>
              <w:left w:val="nil"/>
              <w:bottom w:val="nil"/>
              <w:right w:val="nil"/>
            </w:tcBorders>
            <w:vAlign w:val="center"/>
            <w:hideMark/>
          </w:tcPr>
          <w:p w14:paraId="1D1BF68E"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Test 2</w:t>
            </w:r>
          </w:p>
        </w:tc>
        <w:tc>
          <w:tcPr>
            <w:tcW w:w="914" w:type="dxa"/>
            <w:tcBorders>
              <w:top w:val="nil"/>
              <w:left w:val="nil"/>
              <w:bottom w:val="nil"/>
              <w:right w:val="nil"/>
            </w:tcBorders>
            <w:vAlign w:val="center"/>
            <w:hideMark/>
          </w:tcPr>
          <w:p w14:paraId="54CE67D2"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145</w:t>
            </w:r>
          </w:p>
        </w:tc>
        <w:tc>
          <w:tcPr>
            <w:tcW w:w="1004" w:type="dxa"/>
            <w:tcBorders>
              <w:top w:val="nil"/>
              <w:left w:val="nil"/>
              <w:bottom w:val="nil"/>
              <w:right w:val="nil"/>
            </w:tcBorders>
            <w:vAlign w:val="center"/>
            <w:hideMark/>
          </w:tcPr>
          <w:p w14:paraId="0D71D303"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19</w:t>
            </w:r>
          </w:p>
        </w:tc>
        <w:tc>
          <w:tcPr>
            <w:tcW w:w="706" w:type="dxa"/>
            <w:tcBorders>
              <w:top w:val="nil"/>
              <w:left w:val="nil"/>
              <w:bottom w:val="nil"/>
              <w:right w:val="nil"/>
            </w:tcBorders>
            <w:vAlign w:val="center"/>
            <w:hideMark/>
          </w:tcPr>
          <w:p w14:paraId="62B8C6E5"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w:t>
            </w:r>
          </w:p>
        </w:tc>
        <w:tc>
          <w:tcPr>
            <w:tcW w:w="1550" w:type="dxa"/>
            <w:tcBorders>
              <w:top w:val="nil"/>
              <w:left w:val="nil"/>
              <w:bottom w:val="nil"/>
              <w:right w:val="nil"/>
            </w:tcBorders>
            <w:vAlign w:val="center"/>
            <w:hideMark/>
          </w:tcPr>
          <w:p w14:paraId="65B330DB"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w:t>
            </w:r>
          </w:p>
        </w:tc>
        <w:tc>
          <w:tcPr>
            <w:tcW w:w="991" w:type="dxa"/>
            <w:tcBorders>
              <w:top w:val="nil"/>
              <w:left w:val="nil"/>
              <w:bottom w:val="nil"/>
              <w:right w:val="nil"/>
            </w:tcBorders>
            <w:vAlign w:val="center"/>
            <w:hideMark/>
          </w:tcPr>
          <w:p w14:paraId="26663074"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31.48</w:t>
            </w:r>
          </w:p>
        </w:tc>
        <w:tc>
          <w:tcPr>
            <w:tcW w:w="991" w:type="dxa"/>
            <w:tcBorders>
              <w:top w:val="nil"/>
              <w:left w:val="nil"/>
              <w:bottom w:val="nil"/>
              <w:right w:val="nil"/>
            </w:tcBorders>
            <w:vAlign w:val="center"/>
            <w:hideMark/>
          </w:tcPr>
          <w:p w14:paraId="395DA563"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32.09</w:t>
            </w:r>
          </w:p>
        </w:tc>
        <w:tc>
          <w:tcPr>
            <w:tcW w:w="991" w:type="dxa"/>
            <w:tcBorders>
              <w:top w:val="nil"/>
              <w:left w:val="nil"/>
              <w:bottom w:val="nil"/>
              <w:right w:val="nil"/>
            </w:tcBorders>
            <w:vAlign w:val="center"/>
            <w:hideMark/>
          </w:tcPr>
          <w:p w14:paraId="589E993C"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31.67</w:t>
            </w:r>
          </w:p>
        </w:tc>
        <w:tc>
          <w:tcPr>
            <w:tcW w:w="1412" w:type="dxa"/>
            <w:tcBorders>
              <w:top w:val="nil"/>
              <w:left w:val="nil"/>
              <w:bottom w:val="nil"/>
              <w:right w:val="nil"/>
            </w:tcBorders>
            <w:vAlign w:val="center"/>
            <w:hideMark/>
          </w:tcPr>
          <w:p w14:paraId="57697D92"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31.23</w:t>
            </w:r>
          </w:p>
        </w:tc>
      </w:tr>
      <w:tr w:rsidR="00AE1719" w:rsidRPr="00A71974" w14:paraId="1868BCAD" w14:textId="77777777" w:rsidTr="002743EA">
        <w:trPr>
          <w:trHeight w:val="218"/>
        </w:trPr>
        <w:tc>
          <w:tcPr>
            <w:tcW w:w="872" w:type="dxa"/>
            <w:tcBorders>
              <w:top w:val="nil"/>
              <w:left w:val="nil"/>
              <w:bottom w:val="single" w:sz="4" w:space="0" w:color="auto"/>
              <w:right w:val="nil"/>
            </w:tcBorders>
            <w:vAlign w:val="center"/>
            <w:hideMark/>
          </w:tcPr>
          <w:p w14:paraId="6395AB24"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Test 3</w:t>
            </w:r>
          </w:p>
        </w:tc>
        <w:tc>
          <w:tcPr>
            <w:tcW w:w="914" w:type="dxa"/>
            <w:tcBorders>
              <w:top w:val="nil"/>
              <w:left w:val="nil"/>
              <w:bottom w:val="single" w:sz="4" w:space="0" w:color="auto"/>
              <w:right w:val="nil"/>
            </w:tcBorders>
            <w:vAlign w:val="center"/>
            <w:hideMark/>
          </w:tcPr>
          <w:p w14:paraId="7FD3809B"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92.1</w:t>
            </w:r>
          </w:p>
        </w:tc>
        <w:tc>
          <w:tcPr>
            <w:tcW w:w="1004" w:type="dxa"/>
            <w:tcBorders>
              <w:top w:val="nil"/>
              <w:left w:val="nil"/>
              <w:bottom w:val="single" w:sz="4" w:space="0" w:color="auto"/>
              <w:right w:val="nil"/>
            </w:tcBorders>
            <w:vAlign w:val="center"/>
            <w:hideMark/>
          </w:tcPr>
          <w:p w14:paraId="6FF9B62A"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8</w:t>
            </w:r>
          </w:p>
        </w:tc>
        <w:tc>
          <w:tcPr>
            <w:tcW w:w="706" w:type="dxa"/>
            <w:tcBorders>
              <w:top w:val="nil"/>
              <w:left w:val="nil"/>
              <w:bottom w:val="single" w:sz="4" w:space="0" w:color="auto"/>
              <w:right w:val="nil"/>
            </w:tcBorders>
            <w:vAlign w:val="center"/>
            <w:hideMark/>
          </w:tcPr>
          <w:p w14:paraId="59CE4CD6"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0.1</w:t>
            </w:r>
          </w:p>
        </w:tc>
        <w:tc>
          <w:tcPr>
            <w:tcW w:w="1550" w:type="dxa"/>
            <w:tcBorders>
              <w:top w:val="nil"/>
              <w:left w:val="nil"/>
              <w:bottom w:val="single" w:sz="4" w:space="0" w:color="auto"/>
              <w:right w:val="nil"/>
            </w:tcBorders>
            <w:vAlign w:val="center"/>
            <w:hideMark/>
          </w:tcPr>
          <w:p w14:paraId="5A669704"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28</w:t>
            </w:r>
          </w:p>
        </w:tc>
        <w:tc>
          <w:tcPr>
            <w:tcW w:w="991" w:type="dxa"/>
            <w:tcBorders>
              <w:top w:val="nil"/>
              <w:left w:val="nil"/>
              <w:bottom w:val="single" w:sz="4" w:space="0" w:color="auto"/>
              <w:right w:val="nil"/>
            </w:tcBorders>
            <w:vAlign w:val="center"/>
            <w:hideMark/>
          </w:tcPr>
          <w:p w14:paraId="2CBC5629"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29.01</w:t>
            </w:r>
          </w:p>
        </w:tc>
        <w:tc>
          <w:tcPr>
            <w:tcW w:w="991" w:type="dxa"/>
            <w:tcBorders>
              <w:top w:val="nil"/>
              <w:left w:val="nil"/>
              <w:bottom w:val="single" w:sz="4" w:space="0" w:color="auto"/>
              <w:right w:val="nil"/>
            </w:tcBorders>
            <w:vAlign w:val="center"/>
            <w:hideMark/>
          </w:tcPr>
          <w:p w14:paraId="50423757"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28.95</w:t>
            </w:r>
          </w:p>
        </w:tc>
        <w:tc>
          <w:tcPr>
            <w:tcW w:w="991" w:type="dxa"/>
            <w:tcBorders>
              <w:top w:val="nil"/>
              <w:left w:val="nil"/>
              <w:bottom w:val="single" w:sz="4" w:space="0" w:color="auto"/>
              <w:right w:val="nil"/>
            </w:tcBorders>
            <w:vAlign w:val="center"/>
            <w:hideMark/>
          </w:tcPr>
          <w:p w14:paraId="1751D348"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31.66</w:t>
            </w:r>
          </w:p>
        </w:tc>
        <w:tc>
          <w:tcPr>
            <w:tcW w:w="1412" w:type="dxa"/>
            <w:tcBorders>
              <w:top w:val="nil"/>
              <w:left w:val="nil"/>
              <w:bottom w:val="single" w:sz="4" w:space="0" w:color="auto"/>
              <w:right w:val="nil"/>
            </w:tcBorders>
            <w:vAlign w:val="center"/>
            <w:hideMark/>
          </w:tcPr>
          <w:p w14:paraId="3923405B" w14:textId="77777777" w:rsidR="00036D45" w:rsidRPr="00A71974" w:rsidRDefault="00036D45"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29.14</w:t>
            </w:r>
          </w:p>
        </w:tc>
      </w:tr>
    </w:tbl>
    <w:p w14:paraId="2AF642CE" w14:textId="7979F3CF" w:rsidR="00036D45" w:rsidRPr="00A71974" w:rsidRDefault="009022C6" w:rsidP="00A71974">
      <w:pPr>
        <w:spacing w:after="0" w:line="240" w:lineRule="auto"/>
        <w:jc w:val="both"/>
        <w:rPr>
          <w:rFonts w:ascii="Arial" w:hAnsi="Arial" w:cs="Arial"/>
          <w:i/>
          <w:iCs/>
          <w:sz w:val="20"/>
          <w:szCs w:val="20"/>
        </w:rPr>
      </w:pPr>
      <w:r w:rsidRPr="00A71974">
        <w:rPr>
          <w:rFonts w:ascii="Arial" w:hAnsi="Arial" w:cs="Arial"/>
          <w:i/>
          <w:iCs/>
          <w:sz w:val="20"/>
          <w:szCs w:val="20"/>
        </w:rPr>
        <w:t>Note. EOP = Effective Overburden Pressure; SPT-N = Standard Penetration Test value; D50 = Median particle size; Ø = Angle of internal friction; SLR = Simple Linear Regression; MLR = Multiple Linear Regression</w:t>
      </w:r>
    </w:p>
    <w:p w14:paraId="7C1C9F98" w14:textId="77777777" w:rsidR="00F63CE3" w:rsidRPr="00A71974" w:rsidRDefault="00F63CE3" w:rsidP="00A71974">
      <w:pPr>
        <w:spacing w:line="240" w:lineRule="auto"/>
        <w:jc w:val="both"/>
        <w:rPr>
          <w:rFonts w:ascii="Arial" w:hAnsi="Arial" w:cs="Arial"/>
          <w:b/>
          <w:bCs/>
          <w:sz w:val="20"/>
          <w:szCs w:val="20"/>
        </w:rPr>
      </w:pPr>
    </w:p>
    <w:p w14:paraId="100C76C6" w14:textId="31E03E9D" w:rsidR="008D5A86" w:rsidRPr="00A71974" w:rsidRDefault="005763AC" w:rsidP="00A71974">
      <w:pPr>
        <w:spacing w:line="240" w:lineRule="auto"/>
        <w:jc w:val="both"/>
        <w:rPr>
          <w:rFonts w:ascii="Arial" w:hAnsi="Arial" w:cs="Arial"/>
          <w:b/>
          <w:bCs/>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8</w:t>
      </w:r>
      <w:r w:rsidRPr="00A71974">
        <w:rPr>
          <w:rFonts w:ascii="Arial" w:hAnsi="Arial" w:cs="Arial"/>
          <w:b/>
          <w:bCs/>
          <w:sz w:val="20"/>
          <w:szCs w:val="20"/>
        </w:rPr>
        <w:t xml:space="preserve">: </w:t>
      </w:r>
      <w:r w:rsidRPr="00A71974">
        <w:rPr>
          <w:rFonts w:ascii="Arial" w:hAnsi="Arial" w:cs="Arial"/>
          <w:sz w:val="20"/>
          <w:szCs w:val="20"/>
        </w:rPr>
        <w:t>Model Performance Metrics on Test Data</w:t>
      </w:r>
    </w:p>
    <w:tbl>
      <w:tblPr>
        <w:tblW w:w="5000" w:type="pct"/>
        <w:tblLook w:val="04A0" w:firstRow="1" w:lastRow="0" w:firstColumn="1" w:lastColumn="0" w:noHBand="0" w:noVBand="1"/>
      </w:tblPr>
      <w:tblGrid>
        <w:gridCol w:w="1885"/>
        <w:gridCol w:w="1491"/>
        <w:gridCol w:w="1242"/>
        <w:gridCol w:w="1486"/>
        <w:gridCol w:w="1462"/>
        <w:gridCol w:w="1460"/>
      </w:tblGrid>
      <w:tr w:rsidR="008D5A86" w:rsidRPr="00A71974" w14:paraId="7C563295" w14:textId="77777777" w:rsidTr="001A26C3">
        <w:trPr>
          <w:trHeight w:val="924"/>
        </w:trPr>
        <w:tc>
          <w:tcPr>
            <w:tcW w:w="1044" w:type="pct"/>
            <w:tcBorders>
              <w:top w:val="single" w:sz="4" w:space="0" w:color="auto"/>
              <w:left w:val="nil"/>
              <w:bottom w:val="single" w:sz="4" w:space="0" w:color="auto"/>
              <w:right w:val="nil"/>
            </w:tcBorders>
            <w:vAlign w:val="center"/>
            <w:hideMark/>
          </w:tcPr>
          <w:p w14:paraId="02D78B83"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Model</w:t>
            </w:r>
          </w:p>
        </w:tc>
        <w:tc>
          <w:tcPr>
            <w:tcW w:w="826" w:type="pct"/>
            <w:tcBorders>
              <w:top w:val="single" w:sz="4" w:space="0" w:color="auto"/>
              <w:left w:val="nil"/>
              <w:bottom w:val="single" w:sz="4" w:space="0" w:color="auto"/>
              <w:right w:val="nil"/>
            </w:tcBorders>
            <w:vAlign w:val="center"/>
            <w:hideMark/>
          </w:tcPr>
          <w:p w14:paraId="220FDF9B"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RMSE (°)</w:t>
            </w:r>
          </w:p>
        </w:tc>
        <w:tc>
          <w:tcPr>
            <w:tcW w:w="688" w:type="pct"/>
            <w:tcBorders>
              <w:top w:val="single" w:sz="4" w:space="0" w:color="auto"/>
              <w:left w:val="nil"/>
              <w:bottom w:val="single" w:sz="4" w:space="0" w:color="auto"/>
              <w:right w:val="nil"/>
            </w:tcBorders>
            <w:vAlign w:val="center"/>
            <w:hideMark/>
          </w:tcPr>
          <w:p w14:paraId="56020DEF"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MAE (°)</w:t>
            </w:r>
          </w:p>
        </w:tc>
        <w:tc>
          <w:tcPr>
            <w:tcW w:w="823" w:type="pct"/>
            <w:tcBorders>
              <w:top w:val="single" w:sz="4" w:space="0" w:color="auto"/>
              <w:left w:val="nil"/>
              <w:bottom w:val="single" w:sz="4" w:space="0" w:color="auto"/>
              <w:right w:val="nil"/>
            </w:tcBorders>
            <w:vAlign w:val="center"/>
            <w:hideMark/>
          </w:tcPr>
          <w:p w14:paraId="27DD6563"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MAPE (%)</w:t>
            </w:r>
          </w:p>
        </w:tc>
        <w:tc>
          <w:tcPr>
            <w:tcW w:w="810" w:type="pct"/>
            <w:tcBorders>
              <w:top w:val="single" w:sz="4" w:space="0" w:color="auto"/>
              <w:left w:val="nil"/>
              <w:bottom w:val="single" w:sz="4" w:space="0" w:color="auto"/>
              <w:right w:val="nil"/>
            </w:tcBorders>
            <w:vAlign w:val="center"/>
            <w:hideMark/>
          </w:tcPr>
          <w:p w14:paraId="73875F74"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Bias (°)</w:t>
            </w:r>
          </w:p>
        </w:tc>
        <w:tc>
          <w:tcPr>
            <w:tcW w:w="810" w:type="pct"/>
            <w:tcBorders>
              <w:top w:val="single" w:sz="4" w:space="0" w:color="auto"/>
              <w:left w:val="nil"/>
              <w:bottom w:val="single" w:sz="4" w:space="0" w:color="auto"/>
              <w:right w:val="nil"/>
            </w:tcBorders>
            <w:vAlign w:val="center"/>
            <w:hideMark/>
          </w:tcPr>
          <w:p w14:paraId="2B65D2D6" w14:textId="77777777" w:rsidR="008D5A86" w:rsidRPr="00A71974" w:rsidRDefault="008D5A86"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Max Error (°)</w:t>
            </w:r>
          </w:p>
        </w:tc>
      </w:tr>
      <w:tr w:rsidR="008D5A86" w:rsidRPr="00A71974" w14:paraId="25650E85" w14:textId="77777777" w:rsidTr="001A26C3">
        <w:trPr>
          <w:trHeight w:val="307"/>
        </w:trPr>
        <w:tc>
          <w:tcPr>
            <w:tcW w:w="1044" w:type="pct"/>
            <w:tcBorders>
              <w:top w:val="single" w:sz="4" w:space="0" w:color="auto"/>
              <w:left w:val="nil"/>
              <w:bottom w:val="nil"/>
              <w:right w:val="nil"/>
            </w:tcBorders>
            <w:vAlign w:val="center"/>
            <w:hideMark/>
          </w:tcPr>
          <w:p w14:paraId="11DF6BFA"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EOP</w:t>
            </w:r>
          </w:p>
        </w:tc>
        <w:tc>
          <w:tcPr>
            <w:tcW w:w="826" w:type="pct"/>
            <w:tcBorders>
              <w:top w:val="single" w:sz="4" w:space="0" w:color="auto"/>
              <w:left w:val="nil"/>
              <w:bottom w:val="nil"/>
              <w:right w:val="nil"/>
            </w:tcBorders>
            <w:vAlign w:val="center"/>
            <w:hideMark/>
          </w:tcPr>
          <w:p w14:paraId="433E1463"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0.88</w:t>
            </w:r>
          </w:p>
        </w:tc>
        <w:tc>
          <w:tcPr>
            <w:tcW w:w="688" w:type="pct"/>
            <w:tcBorders>
              <w:top w:val="single" w:sz="4" w:space="0" w:color="auto"/>
              <w:left w:val="nil"/>
              <w:bottom w:val="nil"/>
              <w:right w:val="nil"/>
            </w:tcBorders>
            <w:vAlign w:val="center"/>
            <w:hideMark/>
          </w:tcPr>
          <w:p w14:paraId="3FA0E724"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0.84</w:t>
            </w:r>
          </w:p>
        </w:tc>
        <w:tc>
          <w:tcPr>
            <w:tcW w:w="823" w:type="pct"/>
            <w:tcBorders>
              <w:top w:val="single" w:sz="4" w:space="0" w:color="auto"/>
              <w:left w:val="nil"/>
              <w:bottom w:val="nil"/>
              <w:right w:val="nil"/>
            </w:tcBorders>
            <w:vAlign w:val="center"/>
            <w:hideMark/>
          </w:tcPr>
          <w:p w14:paraId="1AD02D5E"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w:t>
            </w:r>
          </w:p>
        </w:tc>
        <w:tc>
          <w:tcPr>
            <w:tcW w:w="810" w:type="pct"/>
            <w:tcBorders>
              <w:top w:val="single" w:sz="4" w:space="0" w:color="auto"/>
              <w:left w:val="nil"/>
              <w:bottom w:val="nil"/>
              <w:right w:val="nil"/>
            </w:tcBorders>
            <w:vAlign w:val="center"/>
            <w:hideMark/>
          </w:tcPr>
          <w:p w14:paraId="3F692818"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0.838</w:t>
            </w:r>
          </w:p>
        </w:tc>
        <w:tc>
          <w:tcPr>
            <w:tcW w:w="810" w:type="pct"/>
            <w:tcBorders>
              <w:top w:val="single" w:sz="4" w:space="0" w:color="auto"/>
              <w:left w:val="nil"/>
              <w:bottom w:val="nil"/>
              <w:right w:val="nil"/>
            </w:tcBorders>
            <w:vAlign w:val="center"/>
            <w:hideMark/>
          </w:tcPr>
          <w:p w14:paraId="4033FC5B"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1.026</w:t>
            </w:r>
          </w:p>
        </w:tc>
      </w:tr>
      <w:tr w:rsidR="008D5A86" w:rsidRPr="00A71974" w14:paraId="5F908B81" w14:textId="77777777" w:rsidTr="001A26C3">
        <w:trPr>
          <w:trHeight w:val="307"/>
        </w:trPr>
        <w:tc>
          <w:tcPr>
            <w:tcW w:w="1044" w:type="pct"/>
            <w:tcBorders>
              <w:top w:val="nil"/>
              <w:left w:val="nil"/>
              <w:bottom w:val="nil"/>
              <w:right w:val="nil"/>
            </w:tcBorders>
            <w:vAlign w:val="center"/>
            <w:hideMark/>
          </w:tcPr>
          <w:p w14:paraId="30EAC787" w14:textId="1C0E586B" w:rsidR="008D5A86"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SPT-N</w:t>
            </w:r>
          </w:p>
        </w:tc>
        <w:tc>
          <w:tcPr>
            <w:tcW w:w="826" w:type="pct"/>
            <w:tcBorders>
              <w:top w:val="nil"/>
              <w:left w:val="nil"/>
              <w:bottom w:val="nil"/>
              <w:right w:val="nil"/>
            </w:tcBorders>
            <w:vAlign w:val="center"/>
            <w:hideMark/>
          </w:tcPr>
          <w:p w14:paraId="39F55D43"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1.1</w:t>
            </w:r>
          </w:p>
        </w:tc>
        <w:tc>
          <w:tcPr>
            <w:tcW w:w="688" w:type="pct"/>
            <w:tcBorders>
              <w:top w:val="nil"/>
              <w:left w:val="nil"/>
              <w:bottom w:val="nil"/>
              <w:right w:val="nil"/>
            </w:tcBorders>
            <w:vAlign w:val="center"/>
            <w:hideMark/>
          </w:tcPr>
          <w:p w14:paraId="1507974E"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1.09</w:t>
            </w:r>
          </w:p>
        </w:tc>
        <w:tc>
          <w:tcPr>
            <w:tcW w:w="823" w:type="pct"/>
            <w:tcBorders>
              <w:top w:val="nil"/>
              <w:left w:val="nil"/>
              <w:bottom w:val="nil"/>
              <w:right w:val="nil"/>
            </w:tcBorders>
            <w:vAlign w:val="center"/>
            <w:hideMark/>
          </w:tcPr>
          <w:p w14:paraId="5F443525"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3.8</w:t>
            </w:r>
          </w:p>
        </w:tc>
        <w:tc>
          <w:tcPr>
            <w:tcW w:w="810" w:type="pct"/>
            <w:tcBorders>
              <w:top w:val="nil"/>
              <w:left w:val="nil"/>
              <w:bottom w:val="nil"/>
              <w:right w:val="nil"/>
            </w:tcBorders>
            <w:vAlign w:val="center"/>
            <w:hideMark/>
          </w:tcPr>
          <w:p w14:paraId="56B7B3EB"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1.093</w:t>
            </w:r>
          </w:p>
        </w:tc>
        <w:tc>
          <w:tcPr>
            <w:tcW w:w="810" w:type="pct"/>
            <w:tcBorders>
              <w:top w:val="nil"/>
              <w:left w:val="nil"/>
              <w:bottom w:val="nil"/>
              <w:right w:val="nil"/>
            </w:tcBorders>
            <w:vAlign w:val="center"/>
            <w:hideMark/>
          </w:tcPr>
          <w:p w14:paraId="607E124A"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1.235</w:t>
            </w:r>
          </w:p>
        </w:tc>
      </w:tr>
      <w:tr w:rsidR="008D5A86" w:rsidRPr="00A71974" w14:paraId="71E0A45B" w14:textId="77777777" w:rsidTr="001A26C3">
        <w:trPr>
          <w:trHeight w:val="307"/>
        </w:trPr>
        <w:tc>
          <w:tcPr>
            <w:tcW w:w="1044" w:type="pct"/>
            <w:tcBorders>
              <w:top w:val="nil"/>
              <w:left w:val="nil"/>
              <w:bottom w:val="nil"/>
              <w:right w:val="nil"/>
            </w:tcBorders>
            <w:vAlign w:val="center"/>
            <w:hideMark/>
          </w:tcPr>
          <w:p w14:paraId="4744BFE9"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D50</w:t>
            </w:r>
          </w:p>
        </w:tc>
        <w:tc>
          <w:tcPr>
            <w:tcW w:w="826" w:type="pct"/>
            <w:tcBorders>
              <w:top w:val="nil"/>
              <w:left w:val="nil"/>
              <w:bottom w:val="nil"/>
              <w:right w:val="nil"/>
            </w:tcBorders>
            <w:vAlign w:val="center"/>
            <w:hideMark/>
          </w:tcPr>
          <w:p w14:paraId="338324A3"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2.99</w:t>
            </w:r>
          </w:p>
        </w:tc>
        <w:tc>
          <w:tcPr>
            <w:tcW w:w="688" w:type="pct"/>
            <w:tcBorders>
              <w:top w:val="nil"/>
              <w:left w:val="nil"/>
              <w:bottom w:val="nil"/>
              <w:right w:val="nil"/>
            </w:tcBorders>
            <w:vAlign w:val="center"/>
            <w:hideMark/>
          </w:tcPr>
          <w:p w14:paraId="492156A2"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2.64</w:t>
            </w:r>
          </w:p>
        </w:tc>
        <w:tc>
          <w:tcPr>
            <w:tcW w:w="823" w:type="pct"/>
            <w:tcBorders>
              <w:top w:val="nil"/>
              <w:left w:val="nil"/>
              <w:bottom w:val="nil"/>
              <w:right w:val="nil"/>
            </w:tcBorders>
            <w:vAlign w:val="center"/>
            <w:hideMark/>
          </w:tcPr>
          <w:p w14:paraId="1F056164"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9.4</w:t>
            </w:r>
          </w:p>
        </w:tc>
        <w:tc>
          <w:tcPr>
            <w:tcW w:w="810" w:type="pct"/>
            <w:tcBorders>
              <w:top w:val="nil"/>
              <w:left w:val="nil"/>
              <w:bottom w:val="nil"/>
              <w:right w:val="nil"/>
            </w:tcBorders>
            <w:vAlign w:val="center"/>
            <w:hideMark/>
          </w:tcPr>
          <w:p w14:paraId="2C75F952"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2.642</w:t>
            </w:r>
          </w:p>
        </w:tc>
        <w:tc>
          <w:tcPr>
            <w:tcW w:w="810" w:type="pct"/>
            <w:tcBorders>
              <w:top w:val="nil"/>
              <w:left w:val="nil"/>
              <w:bottom w:val="nil"/>
              <w:right w:val="nil"/>
            </w:tcBorders>
            <w:vAlign w:val="center"/>
            <w:hideMark/>
          </w:tcPr>
          <w:p w14:paraId="44EA76E9"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3.656</w:t>
            </w:r>
          </w:p>
        </w:tc>
      </w:tr>
      <w:tr w:rsidR="008D5A86" w:rsidRPr="00A71974" w14:paraId="78E0E7FE" w14:textId="77777777" w:rsidTr="001A26C3">
        <w:trPr>
          <w:trHeight w:val="307"/>
        </w:trPr>
        <w:tc>
          <w:tcPr>
            <w:tcW w:w="1044" w:type="pct"/>
            <w:tcBorders>
              <w:top w:val="nil"/>
              <w:left w:val="nil"/>
              <w:bottom w:val="single" w:sz="4" w:space="0" w:color="auto"/>
              <w:right w:val="nil"/>
            </w:tcBorders>
            <w:vAlign w:val="center"/>
            <w:hideMark/>
          </w:tcPr>
          <w:p w14:paraId="520E1D7C"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Multiple</w:t>
            </w:r>
          </w:p>
        </w:tc>
        <w:tc>
          <w:tcPr>
            <w:tcW w:w="826" w:type="pct"/>
            <w:tcBorders>
              <w:top w:val="nil"/>
              <w:left w:val="nil"/>
              <w:bottom w:val="single" w:sz="4" w:space="0" w:color="auto"/>
              <w:right w:val="nil"/>
            </w:tcBorders>
            <w:vAlign w:val="center"/>
            <w:hideMark/>
          </w:tcPr>
          <w:p w14:paraId="028E0394"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0.91</w:t>
            </w:r>
          </w:p>
        </w:tc>
        <w:tc>
          <w:tcPr>
            <w:tcW w:w="688" w:type="pct"/>
            <w:tcBorders>
              <w:top w:val="nil"/>
              <w:left w:val="nil"/>
              <w:bottom w:val="single" w:sz="4" w:space="0" w:color="auto"/>
              <w:right w:val="nil"/>
            </w:tcBorders>
            <w:vAlign w:val="center"/>
            <w:hideMark/>
          </w:tcPr>
          <w:p w14:paraId="1D2BFCF7"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0.81</w:t>
            </w:r>
          </w:p>
        </w:tc>
        <w:tc>
          <w:tcPr>
            <w:tcW w:w="823" w:type="pct"/>
            <w:tcBorders>
              <w:top w:val="nil"/>
              <w:left w:val="nil"/>
              <w:bottom w:val="single" w:sz="4" w:space="0" w:color="auto"/>
              <w:right w:val="nil"/>
            </w:tcBorders>
            <w:vAlign w:val="center"/>
            <w:hideMark/>
          </w:tcPr>
          <w:p w14:paraId="3B944C0D"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2.9</w:t>
            </w:r>
          </w:p>
        </w:tc>
        <w:tc>
          <w:tcPr>
            <w:tcW w:w="810" w:type="pct"/>
            <w:tcBorders>
              <w:top w:val="nil"/>
              <w:left w:val="nil"/>
              <w:bottom w:val="single" w:sz="4" w:space="0" w:color="auto"/>
              <w:right w:val="nil"/>
            </w:tcBorders>
            <w:vAlign w:val="center"/>
            <w:hideMark/>
          </w:tcPr>
          <w:p w14:paraId="433661AB"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0.809</w:t>
            </w:r>
          </w:p>
        </w:tc>
        <w:tc>
          <w:tcPr>
            <w:tcW w:w="810" w:type="pct"/>
            <w:tcBorders>
              <w:top w:val="nil"/>
              <w:left w:val="nil"/>
              <w:bottom w:val="single" w:sz="4" w:space="0" w:color="auto"/>
              <w:right w:val="nil"/>
            </w:tcBorders>
            <w:vAlign w:val="center"/>
            <w:hideMark/>
          </w:tcPr>
          <w:p w14:paraId="184DB9E3" w14:textId="77777777" w:rsidR="008D5A86" w:rsidRPr="00A71974" w:rsidRDefault="008D5A86"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1.144</w:t>
            </w:r>
          </w:p>
        </w:tc>
      </w:tr>
    </w:tbl>
    <w:p w14:paraId="18F2026F" w14:textId="43DF142B" w:rsidR="008D5A86" w:rsidRPr="00A71974" w:rsidRDefault="00606A00" w:rsidP="00A71974">
      <w:pPr>
        <w:spacing w:after="0" w:line="240" w:lineRule="auto"/>
        <w:jc w:val="both"/>
        <w:rPr>
          <w:rFonts w:ascii="Arial" w:hAnsi="Arial" w:cs="Arial"/>
          <w:i/>
          <w:iCs/>
          <w:sz w:val="20"/>
          <w:szCs w:val="20"/>
        </w:rPr>
      </w:pPr>
      <w:r w:rsidRPr="00A71974">
        <w:rPr>
          <w:rFonts w:ascii="Arial" w:hAnsi="Arial" w:cs="Arial"/>
          <w:i/>
          <w:iCs/>
          <w:sz w:val="20"/>
          <w:szCs w:val="20"/>
        </w:rPr>
        <w:t>Note. RMSE = Root Mean Square Error; MAE = Mean Absolute Error; MAPE = Mean Absolute Percentage Error; Bias = Mean prediction error; Max Error = Maximum absolute error.</w:t>
      </w:r>
    </w:p>
    <w:p w14:paraId="5A94811B" w14:textId="77777777" w:rsidR="008D5A86" w:rsidRPr="00A71974" w:rsidRDefault="008D5A86" w:rsidP="00A71974">
      <w:pPr>
        <w:spacing w:line="240" w:lineRule="auto"/>
        <w:jc w:val="both"/>
        <w:rPr>
          <w:rFonts w:ascii="Arial" w:hAnsi="Arial" w:cs="Arial"/>
          <w:b/>
          <w:bCs/>
          <w:sz w:val="20"/>
          <w:szCs w:val="20"/>
        </w:rPr>
      </w:pPr>
    </w:p>
    <w:p w14:paraId="7BA32E8F" w14:textId="50E95B25" w:rsidR="003429ED" w:rsidRPr="00A71974" w:rsidRDefault="00B21ADA" w:rsidP="00A71974">
      <w:pPr>
        <w:spacing w:line="240" w:lineRule="auto"/>
        <w:jc w:val="both"/>
        <w:rPr>
          <w:rFonts w:ascii="Arial" w:hAnsi="Arial" w:cs="Arial"/>
          <w:b/>
          <w:bCs/>
          <w:sz w:val="20"/>
          <w:szCs w:val="20"/>
        </w:rPr>
      </w:pPr>
      <w:r w:rsidRPr="00A71974">
        <w:rPr>
          <w:rFonts w:ascii="Arial" w:hAnsi="Arial" w:cs="Arial"/>
          <w:b/>
          <w:bCs/>
          <w:sz w:val="20"/>
          <w:szCs w:val="20"/>
        </w:rPr>
        <w:t xml:space="preserve">Table </w:t>
      </w:r>
      <w:r w:rsidR="00B3312D" w:rsidRPr="00A71974">
        <w:rPr>
          <w:rFonts w:ascii="Arial" w:hAnsi="Arial" w:cs="Arial"/>
          <w:b/>
          <w:bCs/>
          <w:sz w:val="20"/>
          <w:szCs w:val="20"/>
        </w:rPr>
        <w:t>9</w:t>
      </w:r>
      <w:r w:rsidRPr="00A71974">
        <w:rPr>
          <w:rFonts w:ascii="Arial" w:hAnsi="Arial" w:cs="Arial"/>
          <w:b/>
          <w:bCs/>
          <w:sz w:val="20"/>
          <w:szCs w:val="20"/>
        </w:rPr>
        <w:t xml:space="preserve">: </w:t>
      </w:r>
      <w:r w:rsidRPr="00A71974">
        <w:rPr>
          <w:rFonts w:ascii="Arial" w:hAnsi="Arial" w:cs="Arial"/>
          <w:sz w:val="20"/>
          <w:szCs w:val="20"/>
        </w:rPr>
        <w:t>Model Performance Ranking Summary</w:t>
      </w:r>
    </w:p>
    <w:tbl>
      <w:tblPr>
        <w:tblW w:w="8855" w:type="dxa"/>
        <w:tblLook w:val="04A0" w:firstRow="1" w:lastRow="0" w:firstColumn="1" w:lastColumn="0" w:noHBand="0" w:noVBand="1"/>
      </w:tblPr>
      <w:tblGrid>
        <w:gridCol w:w="3330"/>
        <w:gridCol w:w="1800"/>
        <w:gridCol w:w="1260"/>
        <w:gridCol w:w="1260"/>
        <w:gridCol w:w="1205"/>
      </w:tblGrid>
      <w:tr w:rsidR="003429ED" w:rsidRPr="00A71974" w14:paraId="10DA16D9" w14:textId="77777777" w:rsidTr="0034288D">
        <w:trPr>
          <w:trHeight w:val="452"/>
        </w:trPr>
        <w:tc>
          <w:tcPr>
            <w:tcW w:w="3330" w:type="dxa"/>
            <w:tcBorders>
              <w:top w:val="single" w:sz="4" w:space="0" w:color="auto"/>
              <w:left w:val="nil"/>
              <w:bottom w:val="single" w:sz="4" w:space="0" w:color="auto"/>
              <w:right w:val="nil"/>
            </w:tcBorders>
            <w:vAlign w:val="center"/>
            <w:hideMark/>
          </w:tcPr>
          <w:p w14:paraId="3CE0316E" w14:textId="77777777" w:rsidR="003429ED" w:rsidRPr="00A71974" w:rsidRDefault="003429ED"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Model</w:t>
            </w:r>
          </w:p>
        </w:tc>
        <w:tc>
          <w:tcPr>
            <w:tcW w:w="1800" w:type="dxa"/>
            <w:tcBorders>
              <w:top w:val="single" w:sz="4" w:space="0" w:color="auto"/>
              <w:left w:val="nil"/>
              <w:bottom w:val="single" w:sz="4" w:space="0" w:color="auto"/>
              <w:right w:val="nil"/>
            </w:tcBorders>
            <w:vAlign w:val="center"/>
            <w:hideMark/>
          </w:tcPr>
          <w:p w14:paraId="7FD52292" w14:textId="77777777" w:rsidR="003429ED" w:rsidRPr="00A71974" w:rsidRDefault="003429ED"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RMSE Rank</w:t>
            </w:r>
          </w:p>
        </w:tc>
        <w:tc>
          <w:tcPr>
            <w:tcW w:w="1260" w:type="dxa"/>
            <w:tcBorders>
              <w:top w:val="single" w:sz="4" w:space="0" w:color="auto"/>
              <w:left w:val="nil"/>
              <w:bottom w:val="single" w:sz="4" w:space="0" w:color="auto"/>
              <w:right w:val="nil"/>
            </w:tcBorders>
            <w:vAlign w:val="center"/>
            <w:hideMark/>
          </w:tcPr>
          <w:p w14:paraId="2E9C4489" w14:textId="77777777" w:rsidR="003429ED" w:rsidRPr="00A71974" w:rsidRDefault="003429ED"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MAE Rank</w:t>
            </w:r>
          </w:p>
        </w:tc>
        <w:tc>
          <w:tcPr>
            <w:tcW w:w="1260" w:type="dxa"/>
            <w:tcBorders>
              <w:top w:val="single" w:sz="4" w:space="0" w:color="auto"/>
              <w:left w:val="nil"/>
              <w:bottom w:val="single" w:sz="4" w:space="0" w:color="auto"/>
              <w:right w:val="nil"/>
            </w:tcBorders>
            <w:vAlign w:val="center"/>
            <w:hideMark/>
          </w:tcPr>
          <w:p w14:paraId="3BFDFB3C" w14:textId="77777777" w:rsidR="003429ED" w:rsidRPr="00A71974" w:rsidRDefault="003429ED"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MAPE Rank</w:t>
            </w:r>
          </w:p>
        </w:tc>
        <w:tc>
          <w:tcPr>
            <w:tcW w:w="1205" w:type="dxa"/>
            <w:tcBorders>
              <w:top w:val="single" w:sz="4" w:space="0" w:color="auto"/>
              <w:left w:val="nil"/>
              <w:bottom w:val="single" w:sz="4" w:space="0" w:color="auto"/>
              <w:right w:val="nil"/>
            </w:tcBorders>
            <w:vAlign w:val="center"/>
            <w:hideMark/>
          </w:tcPr>
          <w:p w14:paraId="199C00DE" w14:textId="77777777" w:rsidR="003429ED" w:rsidRPr="00A71974" w:rsidRDefault="003429ED" w:rsidP="00A71974">
            <w:pPr>
              <w:spacing w:after="0" w:line="240" w:lineRule="auto"/>
              <w:jc w:val="both"/>
              <w:rPr>
                <w:rFonts w:ascii="Arial" w:eastAsia="Times New Roman" w:hAnsi="Arial" w:cs="Arial"/>
                <w:b/>
                <w:bCs/>
                <w:color w:val="000000"/>
                <w:kern w:val="0"/>
                <w:sz w:val="20"/>
                <w:szCs w:val="20"/>
                <w:lang w:eastAsia="en-GB"/>
                <w14:ligatures w14:val="none"/>
              </w:rPr>
            </w:pPr>
            <w:r w:rsidRPr="00A71974">
              <w:rPr>
                <w:rFonts w:ascii="Arial" w:eastAsia="Times New Roman" w:hAnsi="Arial" w:cs="Arial"/>
                <w:b/>
                <w:bCs/>
                <w:color w:val="000000"/>
                <w:kern w:val="0"/>
                <w:sz w:val="20"/>
                <w:szCs w:val="20"/>
                <w:lang w:eastAsia="en-GB"/>
                <w14:ligatures w14:val="none"/>
              </w:rPr>
              <w:t>Overall Score</w:t>
            </w:r>
          </w:p>
        </w:tc>
      </w:tr>
      <w:tr w:rsidR="003429ED" w:rsidRPr="00A71974" w14:paraId="729202B2" w14:textId="77777777" w:rsidTr="0034288D">
        <w:trPr>
          <w:trHeight w:val="112"/>
        </w:trPr>
        <w:tc>
          <w:tcPr>
            <w:tcW w:w="3330" w:type="dxa"/>
            <w:tcBorders>
              <w:top w:val="single" w:sz="4" w:space="0" w:color="auto"/>
              <w:left w:val="nil"/>
              <w:bottom w:val="nil"/>
              <w:right w:val="nil"/>
            </w:tcBorders>
            <w:vAlign w:val="center"/>
            <w:hideMark/>
          </w:tcPr>
          <w:p w14:paraId="19AB4047" w14:textId="11C4CE41"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Multiple</w:t>
            </w:r>
            <w:r w:rsidR="0034288D" w:rsidRPr="00A71974">
              <w:rPr>
                <w:rFonts w:ascii="Arial" w:eastAsia="Times New Roman" w:hAnsi="Arial" w:cs="Arial"/>
                <w:color w:val="000000"/>
                <w:kern w:val="0"/>
                <w:sz w:val="20"/>
                <w:szCs w:val="20"/>
                <w:lang w:eastAsia="en-GB"/>
                <w14:ligatures w14:val="none"/>
              </w:rPr>
              <w:t xml:space="preserve"> Regression Model</w:t>
            </w:r>
          </w:p>
        </w:tc>
        <w:tc>
          <w:tcPr>
            <w:tcW w:w="1800" w:type="dxa"/>
            <w:tcBorders>
              <w:top w:val="single" w:sz="4" w:space="0" w:color="auto"/>
              <w:left w:val="nil"/>
              <w:bottom w:val="nil"/>
              <w:right w:val="nil"/>
            </w:tcBorders>
            <w:vAlign w:val="center"/>
            <w:hideMark/>
          </w:tcPr>
          <w:p w14:paraId="59CD952B"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w:t>
            </w:r>
          </w:p>
        </w:tc>
        <w:tc>
          <w:tcPr>
            <w:tcW w:w="1260" w:type="dxa"/>
            <w:tcBorders>
              <w:top w:val="single" w:sz="4" w:space="0" w:color="auto"/>
              <w:left w:val="nil"/>
              <w:bottom w:val="nil"/>
              <w:right w:val="nil"/>
            </w:tcBorders>
            <w:vAlign w:val="center"/>
            <w:hideMark/>
          </w:tcPr>
          <w:p w14:paraId="3EE0875C"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w:t>
            </w:r>
          </w:p>
        </w:tc>
        <w:tc>
          <w:tcPr>
            <w:tcW w:w="1260" w:type="dxa"/>
            <w:tcBorders>
              <w:top w:val="single" w:sz="4" w:space="0" w:color="auto"/>
              <w:left w:val="nil"/>
              <w:bottom w:val="nil"/>
              <w:right w:val="nil"/>
            </w:tcBorders>
            <w:vAlign w:val="center"/>
            <w:hideMark/>
          </w:tcPr>
          <w:p w14:paraId="46B5AE1C"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w:t>
            </w:r>
          </w:p>
        </w:tc>
        <w:tc>
          <w:tcPr>
            <w:tcW w:w="1205" w:type="dxa"/>
            <w:tcBorders>
              <w:top w:val="single" w:sz="4" w:space="0" w:color="auto"/>
              <w:left w:val="nil"/>
              <w:bottom w:val="nil"/>
              <w:right w:val="nil"/>
            </w:tcBorders>
            <w:vAlign w:val="center"/>
            <w:hideMark/>
          </w:tcPr>
          <w:p w14:paraId="42E55245"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4</w:t>
            </w:r>
          </w:p>
        </w:tc>
      </w:tr>
      <w:tr w:rsidR="003429ED" w:rsidRPr="00A71974" w14:paraId="4028C7B4" w14:textId="77777777" w:rsidTr="0034288D">
        <w:trPr>
          <w:trHeight w:val="112"/>
        </w:trPr>
        <w:tc>
          <w:tcPr>
            <w:tcW w:w="3330" w:type="dxa"/>
            <w:tcBorders>
              <w:top w:val="nil"/>
              <w:left w:val="nil"/>
              <w:bottom w:val="nil"/>
              <w:right w:val="nil"/>
            </w:tcBorders>
            <w:vAlign w:val="center"/>
            <w:hideMark/>
          </w:tcPr>
          <w:p w14:paraId="667E5A80" w14:textId="6035A4D3"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EOP</w:t>
            </w:r>
            <w:r w:rsidR="0034288D" w:rsidRPr="00A71974">
              <w:rPr>
                <w:rFonts w:ascii="Arial" w:eastAsia="Times New Roman" w:hAnsi="Arial" w:cs="Arial"/>
                <w:color w:val="000000"/>
                <w:kern w:val="0"/>
                <w:sz w:val="20"/>
                <w:szCs w:val="20"/>
                <w:lang w:eastAsia="en-GB"/>
                <w14:ligatures w14:val="none"/>
              </w:rPr>
              <w:t xml:space="preserve"> SLR</w:t>
            </w:r>
          </w:p>
        </w:tc>
        <w:tc>
          <w:tcPr>
            <w:tcW w:w="1800" w:type="dxa"/>
            <w:tcBorders>
              <w:top w:val="nil"/>
              <w:left w:val="nil"/>
              <w:bottom w:val="nil"/>
              <w:right w:val="nil"/>
            </w:tcBorders>
            <w:vAlign w:val="center"/>
            <w:hideMark/>
          </w:tcPr>
          <w:p w14:paraId="1862D9D0"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w:t>
            </w:r>
          </w:p>
        </w:tc>
        <w:tc>
          <w:tcPr>
            <w:tcW w:w="1260" w:type="dxa"/>
            <w:tcBorders>
              <w:top w:val="nil"/>
              <w:left w:val="nil"/>
              <w:bottom w:val="nil"/>
              <w:right w:val="nil"/>
            </w:tcBorders>
            <w:vAlign w:val="center"/>
            <w:hideMark/>
          </w:tcPr>
          <w:p w14:paraId="234AB6F6"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w:t>
            </w:r>
          </w:p>
        </w:tc>
        <w:tc>
          <w:tcPr>
            <w:tcW w:w="1260" w:type="dxa"/>
            <w:tcBorders>
              <w:top w:val="nil"/>
              <w:left w:val="nil"/>
              <w:bottom w:val="nil"/>
              <w:right w:val="nil"/>
            </w:tcBorders>
            <w:vAlign w:val="center"/>
            <w:hideMark/>
          </w:tcPr>
          <w:p w14:paraId="0459D044"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2</w:t>
            </w:r>
          </w:p>
        </w:tc>
        <w:tc>
          <w:tcPr>
            <w:tcW w:w="1205" w:type="dxa"/>
            <w:tcBorders>
              <w:top w:val="nil"/>
              <w:left w:val="nil"/>
              <w:bottom w:val="nil"/>
              <w:right w:val="nil"/>
            </w:tcBorders>
            <w:vAlign w:val="center"/>
            <w:hideMark/>
          </w:tcPr>
          <w:p w14:paraId="04976C77"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5</w:t>
            </w:r>
          </w:p>
        </w:tc>
      </w:tr>
      <w:tr w:rsidR="003429ED" w:rsidRPr="00A71974" w14:paraId="3C34A44E" w14:textId="77777777" w:rsidTr="0034288D">
        <w:trPr>
          <w:trHeight w:val="112"/>
        </w:trPr>
        <w:tc>
          <w:tcPr>
            <w:tcW w:w="3330" w:type="dxa"/>
            <w:tcBorders>
              <w:top w:val="nil"/>
              <w:left w:val="nil"/>
              <w:bottom w:val="nil"/>
              <w:right w:val="nil"/>
            </w:tcBorders>
            <w:vAlign w:val="center"/>
            <w:hideMark/>
          </w:tcPr>
          <w:p w14:paraId="77822040" w14:textId="04AC432C"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SPT-N</w:t>
            </w:r>
            <w:r w:rsidR="0034288D" w:rsidRPr="00A71974">
              <w:rPr>
                <w:rFonts w:ascii="Arial" w:eastAsia="Times New Roman" w:hAnsi="Arial" w:cs="Arial"/>
                <w:color w:val="000000"/>
                <w:kern w:val="0"/>
                <w:sz w:val="20"/>
                <w:szCs w:val="20"/>
                <w:lang w:eastAsia="en-GB"/>
                <w14:ligatures w14:val="none"/>
              </w:rPr>
              <w:t xml:space="preserve"> SLR</w:t>
            </w:r>
          </w:p>
        </w:tc>
        <w:tc>
          <w:tcPr>
            <w:tcW w:w="1800" w:type="dxa"/>
            <w:tcBorders>
              <w:top w:val="nil"/>
              <w:left w:val="nil"/>
              <w:bottom w:val="nil"/>
              <w:right w:val="nil"/>
            </w:tcBorders>
            <w:vAlign w:val="center"/>
            <w:hideMark/>
          </w:tcPr>
          <w:p w14:paraId="561C2B9D"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w:t>
            </w:r>
          </w:p>
        </w:tc>
        <w:tc>
          <w:tcPr>
            <w:tcW w:w="1260" w:type="dxa"/>
            <w:tcBorders>
              <w:top w:val="nil"/>
              <w:left w:val="nil"/>
              <w:bottom w:val="nil"/>
              <w:right w:val="nil"/>
            </w:tcBorders>
            <w:vAlign w:val="center"/>
            <w:hideMark/>
          </w:tcPr>
          <w:p w14:paraId="11C20353"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w:t>
            </w:r>
          </w:p>
        </w:tc>
        <w:tc>
          <w:tcPr>
            <w:tcW w:w="1260" w:type="dxa"/>
            <w:tcBorders>
              <w:top w:val="nil"/>
              <w:left w:val="nil"/>
              <w:bottom w:val="nil"/>
              <w:right w:val="nil"/>
            </w:tcBorders>
            <w:vAlign w:val="center"/>
            <w:hideMark/>
          </w:tcPr>
          <w:p w14:paraId="5B064019"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3</w:t>
            </w:r>
          </w:p>
        </w:tc>
        <w:tc>
          <w:tcPr>
            <w:tcW w:w="1205" w:type="dxa"/>
            <w:tcBorders>
              <w:top w:val="nil"/>
              <w:left w:val="nil"/>
              <w:bottom w:val="nil"/>
              <w:right w:val="nil"/>
            </w:tcBorders>
            <w:vAlign w:val="center"/>
            <w:hideMark/>
          </w:tcPr>
          <w:p w14:paraId="19D5DAB9"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9</w:t>
            </w:r>
          </w:p>
        </w:tc>
      </w:tr>
      <w:tr w:rsidR="003429ED" w:rsidRPr="00A71974" w14:paraId="41E402FF" w14:textId="77777777" w:rsidTr="0034288D">
        <w:trPr>
          <w:trHeight w:val="112"/>
        </w:trPr>
        <w:tc>
          <w:tcPr>
            <w:tcW w:w="3330" w:type="dxa"/>
            <w:tcBorders>
              <w:top w:val="nil"/>
              <w:left w:val="nil"/>
              <w:bottom w:val="single" w:sz="4" w:space="0" w:color="auto"/>
              <w:right w:val="nil"/>
            </w:tcBorders>
            <w:vAlign w:val="center"/>
            <w:hideMark/>
          </w:tcPr>
          <w:p w14:paraId="4A90078C" w14:textId="0ACC1E5C"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D50</w:t>
            </w:r>
            <w:r w:rsidR="0034288D" w:rsidRPr="00A71974">
              <w:rPr>
                <w:rFonts w:ascii="Arial" w:eastAsia="Times New Roman" w:hAnsi="Arial" w:cs="Arial"/>
                <w:color w:val="000000"/>
                <w:kern w:val="0"/>
                <w:sz w:val="20"/>
                <w:szCs w:val="20"/>
                <w:lang w:eastAsia="en-GB"/>
                <w14:ligatures w14:val="none"/>
              </w:rPr>
              <w:t xml:space="preserve"> SLR</w:t>
            </w:r>
          </w:p>
        </w:tc>
        <w:tc>
          <w:tcPr>
            <w:tcW w:w="1800" w:type="dxa"/>
            <w:tcBorders>
              <w:top w:val="nil"/>
              <w:left w:val="nil"/>
              <w:bottom w:val="single" w:sz="4" w:space="0" w:color="auto"/>
              <w:right w:val="nil"/>
            </w:tcBorders>
            <w:vAlign w:val="center"/>
            <w:hideMark/>
          </w:tcPr>
          <w:p w14:paraId="127E5D14"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4</w:t>
            </w:r>
          </w:p>
        </w:tc>
        <w:tc>
          <w:tcPr>
            <w:tcW w:w="1260" w:type="dxa"/>
            <w:tcBorders>
              <w:top w:val="nil"/>
              <w:left w:val="nil"/>
              <w:bottom w:val="single" w:sz="4" w:space="0" w:color="auto"/>
              <w:right w:val="nil"/>
            </w:tcBorders>
            <w:vAlign w:val="center"/>
            <w:hideMark/>
          </w:tcPr>
          <w:p w14:paraId="14C58C3B"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4</w:t>
            </w:r>
          </w:p>
        </w:tc>
        <w:tc>
          <w:tcPr>
            <w:tcW w:w="1260" w:type="dxa"/>
            <w:tcBorders>
              <w:top w:val="nil"/>
              <w:left w:val="nil"/>
              <w:bottom w:val="single" w:sz="4" w:space="0" w:color="auto"/>
              <w:right w:val="nil"/>
            </w:tcBorders>
            <w:vAlign w:val="center"/>
            <w:hideMark/>
          </w:tcPr>
          <w:p w14:paraId="79A15D3E"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4</w:t>
            </w:r>
          </w:p>
        </w:tc>
        <w:tc>
          <w:tcPr>
            <w:tcW w:w="1205" w:type="dxa"/>
            <w:tcBorders>
              <w:top w:val="nil"/>
              <w:left w:val="nil"/>
              <w:bottom w:val="single" w:sz="4" w:space="0" w:color="auto"/>
              <w:right w:val="nil"/>
            </w:tcBorders>
            <w:vAlign w:val="center"/>
            <w:hideMark/>
          </w:tcPr>
          <w:p w14:paraId="3E82FB00" w14:textId="77777777" w:rsidR="003429ED" w:rsidRPr="00A71974" w:rsidRDefault="003429ED" w:rsidP="00A71974">
            <w:pPr>
              <w:spacing w:after="0" w:line="240" w:lineRule="auto"/>
              <w:jc w:val="both"/>
              <w:rPr>
                <w:rFonts w:ascii="Arial" w:eastAsia="Times New Roman" w:hAnsi="Arial" w:cs="Arial"/>
                <w:color w:val="000000"/>
                <w:kern w:val="0"/>
                <w:sz w:val="20"/>
                <w:szCs w:val="20"/>
                <w:lang w:eastAsia="en-GB"/>
                <w14:ligatures w14:val="none"/>
              </w:rPr>
            </w:pPr>
            <w:r w:rsidRPr="00A71974">
              <w:rPr>
                <w:rFonts w:ascii="Arial" w:eastAsia="Times New Roman" w:hAnsi="Arial" w:cs="Arial"/>
                <w:color w:val="000000"/>
                <w:kern w:val="0"/>
                <w:sz w:val="20"/>
                <w:szCs w:val="20"/>
                <w:lang w:eastAsia="en-GB"/>
                <w14:ligatures w14:val="none"/>
              </w:rPr>
              <w:t>12</w:t>
            </w:r>
          </w:p>
        </w:tc>
      </w:tr>
    </w:tbl>
    <w:p w14:paraId="3C114711" w14:textId="77777777" w:rsidR="0034288D" w:rsidRPr="00A71974" w:rsidRDefault="0034288D" w:rsidP="00A71974">
      <w:pPr>
        <w:spacing w:line="240" w:lineRule="auto"/>
        <w:jc w:val="both"/>
        <w:rPr>
          <w:rFonts w:ascii="Arial" w:hAnsi="Arial" w:cs="Arial"/>
          <w:b/>
          <w:bCs/>
          <w:sz w:val="20"/>
          <w:szCs w:val="20"/>
        </w:rPr>
      </w:pPr>
    </w:p>
    <w:p w14:paraId="37DF8519" w14:textId="007DEDA0" w:rsidR="00E779F5" w:rsidRPr="00A71974" w:rsidRDefault="00A71974" w:rsidP="00A71974">
      <w:pPr>
        <w:spacing w:line="240" w:lineRule="auto"/>
        <w:jc w:val="both"/>
        <w:rPr>
          <w:rFonts w:ascii="Arial" w:hAnsi="Arial" w:cs="Arial"/>
          <w:b/>
          <w:bCs/>
          <w:sz w:val="22"/>
          <w:szCs w:val="22"/>
        </w:rPr>
      </w:pPr>
      <w:r w:rsidRPr="00A71974">
        <w:rPr>
          <w:rFonts w:ascii="Arial" w:hAnsi="Arial" w:cs="Arial"/>
          <w:b/>
          <w:bCs/>
          <w:sz w:val="22"/>
          <w:szCs w:val="22"/>
        </w:rPr>
        <w:t>4. DISCUSSION</w:t>
      </w:r>
    </w:p>
    <w:p w14:paraId="0A40875D" w14:textId="2BDFE41E" w:rsidR="00132FD1" w:rsidRPr="00132FD1" w:rsidRDefault="001A26C3" w:rsidP="00132FD1">
      <w:pPr>
        <w:spacing w:line="240" w:lineRule="auto"/>
        <w:jc w:val="both"/>
        <w:rPr>
          <w:rFonts w:ascii="Arial" w:hAnsi="Arial" w:cs="Arial"/>
          <w:sz w:val="20"/>
          <w:szCs w:val="20"/>
        </w:rPr>
      </w:pPr>
      <w:r w:rsidRPr="001A26C3">
        <w:rPr>
          <w:rFonts w:ascii="Arial" w:hAnsi="Arial" w:cs="Arial"/>
          <w:sz w:val="20"/>
          <w:szCs w:val="20"/>
        </w:rPr>
        <w:t>With an outstanding performance (R2 = 0.921) that outperforms conventional SPT-N based correlations, the results show that effective overburden stress is the primary predictor of friction angle for the heterogeneous soil deposits at Rumuibekwe Bridge. SPT-N values are often regarded as the main parameter for estimating friction angle, although this conclusion contradicts standard geotechnical practice. Stress levels and soil properties have a significant impact on the relationship between SPT-N and friction angle (Hatanaka &amp; Uchida, 1996).</w:t>
      </w:r>
      <w:r w:rsidR="00132FD1">
        <w:rPr>
          <w:rFonts w:ascii="Arial" w:hAnsi="Arial" w:cs="Arial"/>
          <w:sz w:val="20"/>
          <w:szCs w:val="20"/>
        </w:rPr>
        <w:t xml:space="preserve"> </w:t>
      </w:r>
      <w:r w:rsidRPr="001A26C3">
        <w:rPr>
          <w:rFonts w:ascii="Arial" w:hAnsi="Arial" w:cs="Arial"/>
          <w:sz w:val="20"/>
          <w:szCs w:val="20"/>
        </w:rPr>
        <w:t>Because Niger Delta deltaic deposits are complex and have varied soil profiles that range from medium sand to clay-sized particles, median grain size alone is insufficient to accurately depict mechanical behavior. This is shown in the D50 model's low performance (R2 = 0.242). Its practical value for engineering applications is demonstrated by the effective overburden pressure model's exceptional validation performance (RMSE = 0.88°, MAPE = 2.9%). The majority of slope stability and foundation design assessments may be completed with this level of precision, which is a significant improvement over conventional correlations with generally greater errors.</w:t>
      </w:r>
      <w:r w:rsidR="00132FD1">
        <w:rPr>
          <w:rFonts w:ascii="Arial" w:hAnsi="Arial" w:cs="Arial"/>
          <w:sz w:val="20"/>
          <w:szCs w:val="20"/>
        </w:rPr>
        <w:t xml:space="preserve"> </w:t>
      </w:r>
      <w:r w:rsidR="00132FD1" w:rsidRPr="00132FD1">
        <w:rPr>
          <w:rFonts w:ascii="Arial" w:hAnsi="Arial" w:cs="Arial"/>
          <w:sz w:val="20"/>
          <w:szCs w:val="20"/>
        </w:rPr>
        <w:t>Because of their location-specificity, these correlations highlight how crucial regional calibration is to the establishment of geotechnical correlations. In contrast to relationships that are generally employed, empirical correlations between SPT N-values and soil characteristics show better performance when created for particular geological settings (Cubrinovski &amp; Ishihara, 1999).</w:t>
      </w:r>
    </w:p>
    <w:p w14:paraId="3C9736C7" w14:textId="77777777" w:rsidR="00FA5036" w:rsidRDefault="00FA5036">
      <w:pPr>
        <w:rPr>
          <w:rFonts w:ascii="Arial" w:hAnsi="Arial" w:cs="Arial"/>
          <w:b/>
          <w:bCs/>
          <w:sz w:val="22"/>
          <w:szCs w:val="22"/>
        </w:rPr>
      </w:pPr>
      <w:r>
        <w:rPr>
          <w:rFonts w:ascii="Arial" w:hAnsi="Arial" w:cs="Arial"/>
          <w:b/>
          <w:bCs/>
          <w:sz w:val="22"/>
          <w:szCs w:val="22"/>
        </w:rPr>
        <w:br w:type="page"/>
      </w:r>
    </w:p>
    <w:p w14:paraId="525CD33F" w14:textId="17268A60" w:rsidR="00E779F5" w:rsidRPr="00FA5036" w:rsidRDefault="00FA5036" w:rsidP="00A71974">
      <w:pPr>
        <w:spacing w:line="240" w:lineRule="auto"/>
        <w:jc w:val="both"/>
        <w:rPr>
          <w:rFonts w:ascii="Arial" w:hAnsi="Arial" w:cs="Arial"/>
          <w:b/>
          <w:bCs/>
          <w:sz w:val="22"/>
          <w:szCs w:val="22"/>
        </w:rPr>
      </w:pPr>
      <w:r w:rsidRPr="00FA5036">
        <w:rPr>
          <w:rFonts w:ascii="Arial" w:hAnsi="Arial" w:cs="Arial"/>
          <w:b/>
          <w:bCs/>
          <w:sz w:val="22"/>
          <w:szCs w:val="22"/>
        </w:rPr>
        <w:lastRenderedPageBreak/>
        <w:t>5. CONCLUSION</w:t>
      </w:r>
    </w:p>
    <w:p w14:paraId="461FDF37" w14:textId="0948F32B" w:rsidR="00132FD1" w:rsidRDefault="00132FD1" w:rsidP="00132FD1">
      <w:pPr>
        <w:spacing w:line="240" w:lineRule="auto"/>
        <w:jc w:val="both"/>
        <w:rPr>
          <w:rFonts w:ascii="Arial" w:hAnsi="Arial" w:cs="Arial"/>
          <w:sz w:val="20"/>
          <w:szCs w:val="20"/>
        </w:rPr>
      </w:pPr>
      <w:r w:rsidRPr="00132FD1">
        <w:rPr>
          <w:rFonts w:ascii="Arial" w:hAnsi="Arial" w:cs="Arial"/>
          <w:sz w:val="20"/>
          <w:szCs w:val="20"/>
        </w:rPr>
        <w:t>Developing a statistical model that can accurately forecast the angle of internal friction based on soil properties and SPT-N values was the goal of this work. At Rumuibekwe Bridge, statistical models were created to forecast the friction angle for Niger Delta soils based on SPT-N values, median particle size, and effective overburden stress. In comparison to conventional SPT-based correlations, the basic linear effective overburden pressure model performed quite well (R2 = 0.921, RMSE = 1.091°).</w:t>
      </w:r>
      <w:r>
        <w:rPr>
          <w:rFonts w:ascii="Arial" w:hAnsi="Arial" w:cs="Arial"/>
          <w:sz w:val="20"/>
          <w:szCs w:val="20"/>
        </w:rPr>
        <w:t xml:space="preserve"> </w:t>
      </w:r>
      <w:r w:rsidRPr="00132FD1">
        <w:rPr>
          <w:rFonts w:ascii="Arial" w:hAnsi="Arial" w:cs="Arial"/>
          <w:sz w:val="20"/>
          <w:szCs w:val="20"/>
        </w:rPr>
        <w:t>Due to multicollinearity effects, the multiple regression model (R2 = 0.929) only marginally improved the single-parameter effective stress model; only the effective overburden pressure remained statistically significant (p = 0.004). For geotechnical applications in the Niger Delta, the results highlight the significance of location-specific correlations and stress-dependent design methodologies.</w:t>
      </w:r>
    </w:p>
    <w:p w14:paraId="109C1CB2" w14:textId="77777777" w:rsidR="00443CB3" w:rsidRPr="00132FD1" w:rsidRDefault="00443CB3" w:rsidP="00443CB3">
      <w:pPr>
        <w:spacing w:line="240" w:lineRule="auto"/>
        <w:jc w:val="both"/>
        <w:rPr>
          <w:rFonts w:ascii="Arial" w:hAnsi="Arial" w:cs="Arial"/>
          <w:sz w:val="20"/>
          <w:szCs w:val="20"/>
        </w:rPr>
      </w:pPr>
    </w:p>
    <w:p w14:paraId="1C0764A1" w14:textId="3C4FB5C7" w:rsidR="00E779F5" w:rsidRPr="00FA5036" w:rsidRDefault="00FA5036" w:rsidP="00A71974">
      <w:pPr>
        <w:spacing w:line="240" w:lineRule="auto"/>
        <w:jc w:val="both"/>
        <w:rPr>
          <w:rFonts w:ascii="Arial" w:hAnsi="Arial" w:cs="Arial"/>
          <w:b/>
          <w:bCs/>
          <w:sz w:val="22"/>
          <w:szCs w:val="22"/>
        </w:rPr>
      </w:pPr>
      <w:r w:rsidRPr="00FA5036">
        <w:rPr>
          <w:rFonts w:ascii="Arial" w:hAnsi="Arial" w:cs="Arial"/>
          <w:b/>
          <w:bCs/>
          <w:sz w:val="22"/>
          <w:szCs w:val="22"/>
        </w:rPr>
        <w:t>REFERENCES</w:t>
      </w:r>
    </w:p>
    <w:p w14:paraId="62AC451C"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Anbazhagan, P., &amp; </w:t>
      </w:r>
      <w:proofErr w:type="spellStart"/>
      <w:r w:rsidRPr="00A71974">
        <w:rPr>
          <w:rFonts w:ascii="Arial" w:hAnsi="Arial" w:cs="Arial"/>
          <w:sz w:val="20"/>
          <w:szCs w:val="20"/>
        </w:rPr>
        <w:t>Sitharam</w:t>
      </w:r>
      <w:proofErr w:type="spellEnd"/>
      <w:r w:rsidRPr="00A71974">
        <w:rPr>
          <w:rFonts w:ascii="Arial" w:hAnsi="Arial" w:cs="Arial"/>
          <w:sz w:val="20"/>
          <w:szCs w:val="20"/>
        </w:rPr>
        <w:t xml:space="preserve">, T. G. (2010). Relationship between shear wave velocity and SPT-N for different types of soils in India. </w:t>
      </w:r>
      <w:r w:rsidRPr="00A71974">
        <w:rPr>
          <w:rFonts w:ascii="Arial" w:hAnsi="Arial" w:cs="Arial"/>
          <w:i/>
          <w:iCs/>
          <w:sz w:val="20"/>
          <w:szCs w:val="20"/>
        </w:rPr>
        <w:t>Geotechnical and Geological Engineering</w:t>
      </w:r>
      <w:r w:rsidRPr="00A71974">
        <w:rPr>
          <w:rFonts w:ascii="Arial" w:hAnsi="Arial" w:cs="Arial"/>
          <w:sz w:val="20"/>
          <w:szCs w:val="20"/>
        </w:rPr>
        <w:t xml:space="preserve">, </w:t>
      </w:r>
      <w:r w:rsidRPr="00A71974">
        <w:rPr>
          <w:rFonts w:ascii="Arial" w:hAnsi="Arial" w:cs="Arial"/>
          <w:i/>
          <w:iCs/>
          <w:sz w:val="20"/>
          <w:szCs w:val="20"/>
        </w:rPr>
        <w:t>28</w:t>
      </w:r>
      <w:r w:rsidRPr="00A71974">
        <w:rPr>
          <w:rFonts w:ascii="Arial" w:hAnsi="Arial" w:cs="Arial"/>
          <w:sz w:val="20"/>
          <w:szCs w:val="20"/>
        </w:rPr>
        <w:t xml:space="preserve">(1), 119-137. </w:t>
      </w:r>
      <w:hyperlink r:id="rId9" w:history="1">
        <w:r w:rsidRPr="00A71974">
          <w:rPr>
            <w:rStyle w:val="Hyperlink"/>
            <w:rFonts w:ascii="Arial" w:hAnsi="Arial" w:cs="Arial"/>
            <w:sz w:val="20"/>
            <w:szCs w:val="20"/>
          </w:rPr>
          <w:t>https://doi.org/10.1007/s10706-009-9285-4</w:t>
        </w:r>
      </w:hyperlink>
    </w:p>
    <w:p w14:paraId="05E42E19" w14:textId="77777777" w:rsidR="00E779F5" w:rsidRPr="00A71974" w:rsidRDefault="00E779F5" w:rsidP="00FA5036">
      <w:pPr>
        <w:spacing w:line="240" w:lineRule="auto"/>
        <w:ind w:left="567" w:hanging="567"/>
        <w:jc w:val="both"/>
        <w:rPr>
          <w:rFonts w:ascii="Arial" w:hAnsi="Arial" w:cs="Arial"/>
          <w:sz w:val="20"/>
          <w:szCs w:val="20"/>
        </w:rPr>
      </w:pPr>
      <w:proofErr w:type="spellStart"/>
      <w:r w:rsidRPr="00A71974">
        <w:rPr>
          <w:rFonts w:ascii="Arial" w:hAnsi="Arial" w:cs="Arial"/>
          <w:sz w:val="20"/>
          <w:szCs w:val="20"/>
        </w:rPr>
        <w:t>Arifuzzaman</w:t>
      </w:r>
      <w:proofErr w:type="spellEnd"/>
      <w:r w:rsidRPr="00A71974">
        <w:rPr>
          <w:rFonts w:ascii="Arial" w:hAnsi="Arial" w:cs="Arial"/>
          <w:sz w:val="20"/>
          <w:szCs w:val="20"/>
        </w:rPr>
        <w:t xml:space="preserve">, A., &amp; </w:t>
      </w:r>
      <w:proofErr w:type="spellStart"/>
      <w:r w:rsidRPr="00A71974">
        <w:rPr>
          <w:rFonts w:ascii="Arial" w:hAnsi="Arial" w:cs="Arial"/>
          <w:sz w:val="20"/>
          <w:szCs w:val="20"/>
        </w:rPr>
        <w:t>Anisuzzaman</w:t>
      </w:r>
      <w:proofErr w:type="spellEnd"/>
      <w:r w:rsidRPr="00A71974">
        <w:rPr>
          <w:rFonts w:ascii="Arial" w:hAnsi="Arial" w:cs="Arial"/>
          <w:sz w:val="20"/>
          <w:szCs w:val="20"/>
        </w:rPr>
        <w:t xml:space="preserve">, M. (2022). An initiative to correlate the SPT and CPT data for an alluvial deposit of Dhaka city. </w:t>
      </w:r>
      <w:r w:rsidRPr="00A71974">
        <w:rPr>
          <w:rFonts w:ascii="Arial" w:hAnsi="Arial" w:cs="Arial"/>
          <w:i/>
          <w:iCs/>
          <w:sz w:val="20"/>
          <w:szCs w:val="20"/>
        </w:rPr>
        <w:t>International Journal of Geo-Engineering</w:t>
      </w:r>
      <w:r w:rsidRPr="00A71974">
        <w:rPr>
          <w:rFonts w:ascii="Arial" w:hAnsi="Arial" w:cs="Arial"/>
          <w:sz w:val="20"/>
          <w:szCs w:val="20"/>
        </w:rPr>
        <w:t xml:space="preserve">, </w:t>
      </w:r>
      <w:r w:rsidRPr="00A71974">
        <w:rPr>
          <w:rFonts w:ascii="Arial" w:hAnsi="Arial" w:cs="Arial"/>
          <w:i/>
          <w:iCs/>
          <w:sz w:val="20"/>
          <w:szCs w:val="20"/>
        </w:rPr>
        <w:t>13</w:t>
      </w:r>
      <w:r w:rsidRPr="00A71974">
        <w:rPr>
          <w:rFonts w:ascii="Arial" w:hAnsi="Arial" w:cs="Arial"/>
          <w:sz w:val="20"/>
          <w:szCs w:val="20"/>
        </w:rPr>
        <w:t xml:space="preserve">(5), 1-13. </w:t>
      </w:r>
      <w:hyperlink r:id="rId10" w:history="1">
        <w:r w:rsidRPr="00A71974">
          <w:rPr>
            <w:rStyle w:val="Hyperlink"/>
            <w:rFonts w:ascii="Arial" w:hAnsi="Arial" w:cs="Arial"/>
            <w:sz w:val="20"/>
            <w:szCs w:val="20"/>
          </w:rPr>
          <w:t>https://doi.org/10.1186/s40703-021-00170-3</w:t>
        </w:r>
      </w:hyperlink>
    </w:p>
    <w:p w14:paraId="1DC93047"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Asci, M., Kurtulus, C., </w:t>
      </w:r>
      <w:proofErr w:type="spellStart"/>
      <w:r w:rsidRPr="00A71974">
        <w:rPr>
          <w:rFonts w:ascii="Arial" w:hAnsi="Arial" w:cs="Arial"/>
          <w:sz w:val="20"/>
          <w:szCs w:val="20"/>
        </w:rPr>
        <w:t>Kaplanvural</w:t>
      </w:r>
      <w:proofErr w:type="spellEnd"/>
      <w:r w:rsidRPr="00A71974">
        <w:rPr>
          <w:rFonts w:ascii="Arial" w:hAnsi="Arial" w:cs="Arial"/>
          <w:sz w:val="20"/>
          <w:szCs w:val="20"/>
        </w:rPr>
        <w:t xml:space="preserve">, I., &amp; </w:t>
      </w:r>
      <w:proofErr w:type="spellStart"/>
      <w:r w:rsidRPr="00A71974">
        <w:rPr>
          <w:rFonts w:ascii="Arial" w:hAnsi="Arial" w:cs="Arial"/>
          <w:sz w:val="20"/>
          <w:szCs w:val="20"/>
        </w:rPr>
        <w:t>Mataracioglu</w:t>
      </w:r>
      <w:proofErr w:type="spellEnd"/>
      <w:r w:rsidRPr="00A71974">
        <w:rPr>
          <w:rFonts w:ascii="Arial" w:hAnsi="Arial" w:cs="Arial"/>
          <w:sz w:val="20"/>
          <w:szCs w:val="20"/>
        </w:rPr>
        <w:t xml:space="preserve">, M. O. (2014). Correlation of SPT-CPT data from the subsidence area in </w:t>
      </w:r>
      <w:proofErr w:type="spellStart"/>
      <w:r w:rsidRPr="00A71974">
        <w:rPr>
          <w:rFonts w:ascii="Arial" w:hAnsi="Arial" w:cs="Arial"/>
          <w:sz w:val="20"/>
          <w:szCs w:val="20"/>
        </w:rPr>
        <w:t>Golcuk</w:t>
      </w:r>
      <w:proofErr w:type="spellEnd"/>
      <w:r w:rsidRPr="00A71974">
        <w:rPr>
          <w:rFonts w:ascii="Arial" w:hAnsi="Arial" w:cs="Arial"/>
          <w:sz w:val="20"/>
          <w:szCs w:val="20"/>
        </w:rPr>
        <w:t xml:space="preserve">, Turkey. </w:t>
      </w:r>
      <w:r w:rsidRPr="00A71974">
        <w:rPr>
          <w:rFonts w:ascii="Arial" w:hAnsi="Arial" w:cs="Arial"/>
          <w:i/>
          <w:iCs/>
          <w:sz w:val="20"/>
          <w:szCs w:val="20"/>
        </w:rPr>
        <w:t>Soil Mechanics and Foundation Engineering</w:t>
      </w:r>
      <w:r w:rsidRPr="00A71974">
        <w:rPr>
          <w:rFonts w:ascii="Arial" w:hAnsi="Arial" w:cs="Arial"/>
          <w:sz w:val="20"/>
          <w:szCs w:val="20"/>
        </w:rPr>
        <w:t xml:space="preserve">, </w:t>
      </w:r>
      <w:r w:rsidRPr="00A71974">
        <w:rPr>
          <w:rFonts w:ascii="Arial" w:hAnsi="Arial" w:cs="Arial"/>
          <w:i/>
          <w:iCs/>
          <w:sz w:val="20"/>
          <w:szCs w:val="20"/>
        </w:rPr>
        <w:t>51</w:t>
      </w:r>
      <w:r w:rsidRPr="00A71974">
        <w:rPr>
          <w:rFonts w:ascii="Arial" w:hAnsi="Arial" w:cs="Arial"/>
          <w:sz w:val="20"/>
          <w:szCs w:val="20"/>
        </w:rPr>
        <w:t xml:space="preserve">(6), 268-272. </w:t>
      </w:r>
      <w:hyperlink r:id="rId11" w:history="1">
        <w:r w:rsidRPr="00A71974">
          <w:rPr>
            <w:rStyle w:val="Hyperlink"/>
            <w:rFonts w:ascii="Arial" w:hAnsi="Arial" w:cs="Arial"/>
            <w:sz w:val="20"/>
            <w:szCs w:val="20"/>
          </w:rPr>
          <w:t>https://doi.org/10.1007/s11204-015-9294-y</w:t>
        </w:r>
      </w:hyperlink>
    </w:p>
    <w:p w14:paraId="4A4DDA4D"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Chen, J. (2004). </w:t>
      </w:r>
      <w:r w:rsidRPr="00A71974">
        <w:rPr>
          <w:rFonts w:ascii="Arial" w:hAnsi="Arial" w:cs="Arial"/>
          <w:i/>
          <w:iCs/>
          <w:sz w:val="20"/>
          <w:szCs w:val="20"/>
        </w:rPr>
        <w:t xml:space="preserve">Axial </w:t>
      </w:r>
      <w:proofErr w:type="spellStart"/>
      <w:r w:rsidRPr="00A71974">
        <w:rPr>
          <w:rFonts w:ascii="Arial" w:hAnsi="Arial" w:cs="Arial"/>
          <w:i/>
          <w:iCs/>
          <w:sz w:val="20"/>
          <w:szCs w:val="20"/>
        </w:rPr>
        <w:t>behavior</w:t>
      </w:r>
      <w:proofErr w:type="spellEnd"/>
      <w:r w:rsidRPr="00A71974">
        <w:rPr>
          <w:rFonts w:ascii="Arial" w:hAnsi="Arial" w:cs="Arial"/>
          <w:i/>
          <w:iCs/>
          <w:sz w:val="20"/>
          <w:szCs w:val="20"/>
        </w:rPr>
        <w:t xml:space="preserve"> of drilled shafts in gravelly soils</w:t>
      </w:r>
      <w:r w:rsidRPr="00A71974">
        <w:rPr>
          <w:rFonts w:ascii="Arial" w:hAnsi="Arial" w:cs="Arial"/>
          <w:sz w:val="20"/>
          <w:szCs w:val="20"/>
        </w:rPr>
        <w:t xml:space="preserve"> [Doctoral dissertation, Cornell University].</w:t>
      </w:r>
    </w:p>
    <w:p w14:paraId="27BC92E4" w14:textId="77777777" w:rsidR="00E779F5" w:rsidRPr="00A71974" w:rsidRDefault="00E779F5" w:rsidP="00FA5036">
      <w:pPr>
        <w:spacing w:line="240" w:lineRule="auto"/>
        <w:ind w:left="567" w:hanging="567"/>
        <w:jc w:val="both"/>
        <w:rPr>
          <w:rFonts w:ascii="Arial" w:hAnsi="Arial" w:cs="Arial"/>
          <w:sz w:val="20"/>
          <w:szCs w:val="20"/>
        </w:rPr>
      </w:pPr>
      <w:proofErr w:type="spellStart"/>
      <w:r w:rsidRPr="00A71974">
        <w:rPr>
          <w:rFonts w:ascii="Arial" w:hAnsi="Arial" w:cs="Arial"/>
          <w:sz w:val="20"/>
          <w:szCs w:val="20"/>
        </w:rPr>
        <w:t>Cubrinovski</w:t>
      </w:r>
      <w:proofErr w:type="spellEnd"/>
      <w:r w:rsidRPr="00A71974">
        <w:rPr>
          <w:rFonts w:ascii="Arial" w:hAnsi="Arial" w:cs="Arial"/>
          <w:sz w:val="20"/>
          <w:szCs w:val="20"/>
        </w:rPr>
        <w:t xml:space="preserve">, M., &amp; Ishihara, K. (1999). Empirical correlation between SPT N-value and relative density for sandy soils. </w:t>
      </w:r>
      <w:r w:rsidRPr="00A71974">
        <w:rPr>
          <w:rFonts w:ascii="Arial" w:hAnsi="Arial" w:cs="Arial"/>
          <w:i/>
          <w:iCs/>
          <w:sz w:val="20"/>
          <w:szCs w:val="20"/>
        </w:rPr>
        <w:t>Soils and Foundations</w:t>
      </w:r>
      <w:r w:rsidRPr="00A71974">
        <w:rPr>
          <w:rFonts w:ascii="Arial" w:hAnsi="Arial" w:cs="Arial"/>
          <w:sz w:val="20"/>
          <w:szCs w:val="20"/>
        </w:rPr>
        <w:t xml:space="preserve">, </w:t>
      </w:r>
      <w:r w:rsidRPr="00A71974">
        <w:rPr>
          <w:rFonts w:ascii="Arial" w:hAnsi="Arial" w:cs="Arial"/>
          <w:i/>
          <w:iCs/>
          <w:sz w:val="20"/>
          <w:szCs w:val="20"/>
        </w:rPr>
        <w:t>39</w:t>
      </w:r>
      <w:r w:rsidRPr="00A71974">
        <w:rPr>
          <w:rFonts w:ascii="Arial" w:hAnsi="Arial" w:cs="Arial"/>
          <w:sz w:val="20"/>
          <w:szCs w:val="20"/>
        </w:rPr>
        <w:t xml:space="preserve">(5), 61-71. </w:t>
      </w:r>
      <w:hyperlink r:id="rId12" w:history="1">
        <w:r w:rsidRPr="00A71974">
          <w:rPr>
            <w:rStyle w:val="Hyperlink"/>
            <w:rFonts w:ascii="Arial" w:hAnsi="Arial" w:cs="Arial"/>
            <w:sz w:val="20"/>
            <w:szCs w:val="20"/>
          </w:rPr>
          <w:t>https://doi.org/10.3208/sandf.39.5_61</w:t>
        </w:r>
      </w:hyperlink>
    </w:p>
    <w:p w14:paraId="085C0348"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Demir, S., &amp; Sahin, E. K. (2022). Comparison of tree-based machine learning algorithms for predicting liquefaction potential using canonical correlation forest, rotation forest, and random forest based on CPT data. </w:t>
      </w:r>
      <w:r w:rsidRPr="00A71974">
        <w:rPr>
          <w:rFonts w:ascii="Arial" w:hAnsi="Arial" w:cs="Arial"/>
          <w:i/>
          <w:iCs/>
          <w:sz w:val="20"/>
          <w:szCs w:val="20"/>
        </w:rPr>
        <w:t>Soil Dynamics and Earthquake Engineering</w:t>
      </w:r>
      <w:r w:rsidRPr="00A71974">
        <w:rPr>
          <w:rFonts w:ascii="Arial" w:hAnsi="Arial" w:cs="Arial"/>
          <w:sz w:val="20"/>
          <w:szCs w:val="20"/>
        </w:rPr>
        <w:t xml:space="preserve">, </w:t>
      </w:r>
      <w:r w:rsidRPr="00A71974">
        <w:rPr>
          <w:rFonts w:ascii="Arial" w:hAnsi="Arial" w:cs="Arial"/>
          <w:i/>
          <w:iCs/>
          <w:sz w:val="20"/>
          <w:szCs w:val="20"/>
        </w:rPr>
        <w:t>154</w:t>
      </w:r>
      <w:r w:rsidRPr="00A71974">
        <w:rPr>
          <w:rFonts w:ascii="Arial" w:hAnsi="Arial" w:cs="Arial"/>
          <w:sz w:val="20"/>
          <w:szCs w:val="20"/>
        </w:rPr>
        <w:t xml:space="preserve">, 107130. </w:t>
      </w:r>
      <w:hyperlink r:id="rId13" w:history="1">
        <w:r w:rsidRPr="00A71974">
          <w:rPr>
            <w:rStyle w:val="Hyperlink"/>
            <w:rFonts w:ascii="Arial" w:hAnsi="Arial" w:cs="Arial"/>
            <w:sz w:val="20"/>
            <w:szCs w:val="20"/>
          </w:rPr>
          <w:t>https://doi.org/10.1016/j.soildyn.2021.107130</w:t>
        </w:r>
      </w:hyperlink>
    </w:p>
    <w:p w14:paraId="4CF69B73"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Demir, S., &amp; Sahin, E. K. (2023). An investigation of feature selection methods for soil liquefaction prediction based on tree-based ensemble algorithms using AdaBoost, gradient boosting, and </w:t>
      </w:r>
      <w:proofErr w:type="spellStart"/>
      <w:r w:rsidRPr="00A71974">
        <w:rPr>
          <w:rFonts w:ascii="Arial" w:hAnsi="Arial" w:cs="Arial"/>
          <w:sz w:val="20"/>
          <w:szCs w:val="20"/>
        </w:rPr>
        <w:t>XGBoost</w:t>
      </w:r>
      <w:proofErr w:type="spellEnd"/>
      <w:r w:rsidRPr="00A71974">
        <w:rPr>
          <w:rFonts w:ascii="Arial" w:hAnsi="Arial" w:cs="Arial"/>
          <w:sz w:val="20"/>
          <w:szCs w:val="20"/>
        </w:rPr>
        <w:t xml:space="preserve">. </w:t>
      </w:r>
      <w:r w:rsidRPr="00A71974">
        <w:rPr>
          <w:rFonts w:ascii="Arial" w:hAnsi="Arial" w:cs="Arial"/>
          <w:i/>
          <w:iCs/>
          <w:sz w:val="20"/>
          <w:szCs w:val="20"/>
        </w:rPr>
        <w:t>Neural Computing and Applications</w:t>
      </w:r>
      <w:r w:rsidRPr="00A71974">
        <w:rPr>
          <w:rFonts w:ascii="Arial" w:hAnsi="Arial" w:cs="Arial"/>
          <w:sz w:val="20"/>
          <w:szCs w:val="20"/>
        </w:rPr>
        <w:t xml:space="preserve">, </w:t>
      </w:r>
      <w:r w:rsidRPr="00A71974">
        <w:rPr>
          <w:rFonts w:ascii="Arial" w:hAnsi="Arial" w:cs="Arial"/>
          <w:i/>
          <w:iCs/>
          <w:sz w:val="20"/>
          <w:szCs w:val="20"/>
        </w:rPr>
        <w:t>35</w:t>
      </w:r>
      <w:r w:rsidRPr="00A71974">
        <w:rPr>
          <w:rFonts w:ascii="Arial" w:hAnsi="Arial" w:cs="Arial"/>
          <w:sz w:val="20"/>
          <w:szCs w:val="20"/>
        </w:rPr>
        <w:t xml:space="preserve">, 3173-3190. </w:t>
      </w:r>
      <w:hyperlink r:id="rId14" w:history="1">
        <w:r w:rsidRPr="00A71974">
          <w:rPr>
            <w:rStyle w:val="Hyperlink"/>
            <w:rFonts w:ascii="Arial" w:hAnsi="Arial" w:cs="Arial"/>
            <w:sz w:val="20"/>
            <w:szCs w:val="20"/>
          </w:rPr>
          <w:t>https://doi.org/10.1007/s00521-022-07856-4</w:t>
        </w:r>
      </w:hyperlink>
    </w:p>
    <w:p w14:paraId="2BB670C2"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Dos Santos, M. D., &amp; Bicalho, K. V. (2017). Proposals of SPT-CPT and DPL-CPT correlations for sandy soils in Brazil. </w:t>
      </w:r>
      <w:r w:rsidRPr="00A71974">
        <w:rPr>
          <w:rFonts w:ascii="Arial" w:hAnsi="Arial" w:cs="Arial"/>
          <w:i/>
          <w:iCs/>
          <w:sz w:val="20"/>
          <w:szCs w:val="20"/>
        </w:rPr>
        <w:t>Journal of Rock Mechanics and Geotechnical Engineering</w:t>
      </w:r>
      <w:r w:rsidRPr="00A71974">
        <w:rPr>
          <w:rFonts w:ascii="Arial" w:hAnsi="Arial" w:cs="Arial"/>
          <w:sz w:val="20"/>
          <w:szCs w:val="20"/>
        </w:rPr>
        <w:t xml:space="preserve">, </w:t>
      </w:r>
      <w:r w:rsidRPr="00A71974">
        <w:rPr>
          <w:rFonts w:ascii="Arial" w:hAnsi="Arial" w:cs="Arial"/>
          <w:i/>
          <w:iCs/>
          <w:sz w:val="20"/>
          <w:szCs w:val="20"/>
        </w:rPr>
        <w:t>9</w:t>
      </w:r>
      <w:r w:rsidRPr="00A71974">
        <w:rPr>
          <w:rFonts w:ascii="Arial" w:hAnsi="Arial" w:cs="Arial"/>
          <w:sz w:val="20"/>
          <w:szCs w:val="20"/>
        </w:rPr>
        <w:t xml:space="preserve">(6), 1152-1158. </w:t>
      </w:r>
      <w:hyperlink r:id="rId15" w:history="1">
        <w:r w:rsidRPr="00A71974">
          <w:rPr>
            <w:rStyle w:val="Hyperlink"/>
            <w:rFonts w:ascii="Arial" w:hAnsi="Arial" w:cs="Arial"/>
            <w:sz w:val="20"/>
            <w:szCs w:val="20"/>
          </w:rPr>
          <w:t>https://doi.org/10.1016/j.jrmge.2017.08.001</w:t>
        </w:r>
      </w:hyperlink>
    </w:p>
    <w:p w14:paraId="11107E1F"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Fernando, H., Nugroho, S. A., </w:t>
      </w:r>
      <w:proofErr w:type="spellStart"/>
      <w:r w:rsidRPr="00A71974">
        <w:rPr>
          <w:rFonts w:ascii="Arial" w:hAnsi="Arial" w:cs="Arial"/>
          <w:sz w:val="20"/>
          <w:szCs w:val="20"/>
        </w:rPr>
        <w:t>Suryanita</w:t>
      </w:r>
      <w:proofErr w:type="spellEnd"/>
      <w:r w:rsidRPr="00A71974">
        <w:rPr>
          <w:rFonts w:ascii="Arial" w:hAnsi="Arial" w:cs="Arial"/>
          <w:sz w:val="20"/>
          <w:szCs w:val="20"/>
        </w:rPr>
        <w:t xml:space="preserve">, R., &amp; Kikumoto, M. (2021). Prediction of SPT value based on CPT data and soil physical properties using ANN with and without data normalization. </w:t>
      </w:r>
      <w:r w:rsidRPr="00A71974">
        <w:rPr>
          <w:rFonts w:ascii="Arial" w:hAnsi="Arial" w:cs="Arial"/>
          <w:i/>
          <w:iCs/>
          <w:sz w:val="20"/>
          <w:szCs w:val="20"/>
        </w:rPr>
        <w:t>International Journal of Artificial Intelligence Research</w:t>
      </w:r>
      <w:r w:rsidRPr="00A71974">
        <w:rPr>
          <w:rFonts w:ascii="Arial" w:hAnsi="Arial" w:cs="Arial"/>
          <w:sz w:val="20"/>
          <w:szCs w:val="20"/>
        </w:rPr>
        <w:t xml:space="preserve">, </w:t>
      </w:r>
      <w:r w:rsidRPr="00A71974">
        <w:rPr>
          <w:rFonts w:ascii="Arial" w:hAnsi="Arial" w:cs="Arial"/>
          <w:i/>
          <w:iCs/>
          <w:sz w:val="20"/>
          <w:szCs w:val="20"/>
        </w:rPr>
        <w:t>5</w:t>
      </w:r>
      <w:r w:rsidRPr="00A71974">
        <w:rPr>
          <w:rFonts w:ascii="Arial" w:hAnsi="Arial" w:cs="Arial"/>
          <w:sz w:val="20"/>
          <w:szCs w:val="20"/>
        </w:rPr>
        <w:t xml:space="preserve">(2), 123-131. </w:t>
      </w:r>
      <w:hyperlink r:id="rId16" w:history="1">
        <w:r w:rsidRPr="00A71974">
          <w:rPr>
            <w:rStyle w:val="Hyperlink"/>
            <w:rFonts w:ascii="Arial" w:hAnsi="Arial" w:cs="Arial"/>
            <w:sz w:val="20"/>
            <w:szCs w:val="20"/>
          </w:rPr>
          <w:t>https://doi.org/10.29099/ijair.v5i2.192</w:t>
        </w:r>
      </w:hyperlink>
    </w:p>
    <w:p w14:paraId="40C33537"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Ghali, M., </w:t>
      </w:r>
      <w:proofErr w:type="spellStart"/>
      <w:r w:rsidRPr="00A71974">
        <w:rPr>
          <w:rFonts w:ascii="Arial" w:hAnsi="Arial" w:cs="Arial"/>
          <w:sz w:val="20"/>
          <w:szCs w:val="20"/>
        </w:rPr>
        <w:t>Chekired</w:t>
      </w:r>
      <w:proofErr w:type="spellEnd"/>
      <w:r w:rsidRPr="00A71974">
        <w:rPr>
          <w:rFonts w:ascii="Arial" w:hAnsi="Arial" w:cs="Arial"/>
          <w:sz w:val="20"/>
          <w:szCs w:val="20"/>
        </w:rPr>
        <w:t xml:space="preserve">, M., &amp; </w:t>
      </w:r>
      <w:proofErr w:type="spellStart"/>
      <w:r w:rsidRPr="00A71974">
        <w:rPr>
          <w:rFonts w:ascii="Arial" w:hAnsi="Arial" w:cs="Arial"/>
          <w:sz w:val="20"/>
          <w:szCs w:val="20"/>
        </w:rPr>
        <w:t>Karray</w:t>
      </w:r>
      <w:proofErr w:type="spellEnd"/>
      <w:r w:rsidRPr="00A71974">
        <w:rPr>
          <w:rFonts w:ascii="Arial" w:hAnsi="Arial" w:cs="Arial"/>
          <w:sz w:val="20"/>
          <w:szCs w:val="20"/>
        </w:rPr>
        <w:t xml:space="preserve">, M. (2018). Framework to improve the correlation of SPT-N and geotechnical parameters in sand. </w:t>
      </w:r>
      <w:r w:rsidRPr="00A71974">
        <w:rPr>
          <w:rFonts w:ascii="Arial" w:hAnsi="Arial" w:cs="Arial"/>
          <w:i/>
          <w:iCs/>
          <w:sz w:val="20"/>
          <w:szCs w:val="20"/>
        </w:rPr>
        <w:t xml:space="preserve">Acta </w:t>
      </w:r>
      <w:proofErr w:type="spellStart"/>
      <w:r w:rsidRPr="00A71974">
        <w:rPr>
          <w:rFonts w:ascii="Arial" w:hAnsi="Arial" w:cs="Arial"/>
          <w:i/>
          <w:iCs/>
          <w:sz w:val="20"/>
          <w:szCs w:val="20"/>
        </w:rPr>
        <w:t>Geotechnica</w:t>
      </w:r>
      <w:proofErr w:type="spellEnd"/>
      <w:r w:rsidRPr="00A71974">
        <w:rPr>
          <w:rFonts w:ascii="Arial" w:hAnsi="Arial" w:cs="Arial"/>
          <w:sz w:val="20"/>
          <w:szCs w:val="20"/>
        </w:rPr>
        <w:t xml:space="preserve">, </w:t>
      </w:r>
      <w:r w:rsidRPr="00A71974">
        <w:rPr>
          <w:rFonts w:ascii="Arial" w:hAnsi="Arial" w:cs="Arial"/>
          <w:i/>
          <w:iCs/>
          <w:sz w:val="20"/>
          <w:szCs w:val="20"/>
        </w:rPr>
        <w:t>13</w:t>
      </w:r>
      <w:r w:rsidRPr="00A71974">
        <w:rPr>
          <w:rFonts w:ascii="Arial" w:hAnsi="Arial" w:cs="Arial"/>
          <w:sz w:val="20"/>
          <w:szCs w:val="20"/>
        </w:rPr>
        <w:t xml:space="preserve">(6), 1445-1458. </w:t>
      </w:r>
      <w:hyperlink r:id="rId17" w:history="1">
        <w:r w:rsidRPr="00A71974">
          <w:rPr>
            <w:rStyle w:val="Hyperlink"/>
            <w:rFonts w:ascii="Arial" w:hAnsi="Arial" w:cs="Arial"/>
            <w:sz w:val="20"/>
            <w:szCs w:val="20"/>
          </w:rPr>
          <w:t>https://doi.org/10.1007/s11440-018-0745-3</w:t>
        </w:r>
      </w:hyperlink>
    </w:p>
    <w:p w14:paraId="1BDD6389"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Hatanaka, M., &amp; Uchida, A. (1996). Empirical correlation between penetration resistance and internal friction angle of sandy soils. </w:t>
      </w:r>
      <w:r w:rsidRPr="00A71974">
        <w:rPr>
          <w:rFonts w:ascii="Arial" w:hAnsi="Arial" w:cs="Arial"/>
          <w:i/>
          <w:iCs/>
          <w:sz w:val="20"/>
          <w:szCs w:val="20"/>
        </w:rPr>
        <w:t>Soils and Foundations</w:t>
      </w:r>
      <w:r w:rsidRPr="00A71974">
        <w:rPr>
          <w:rFonts w:ascii="Arial" w:hAnsi="Arial" w:cs="Arial"/>
          <w:sz w:val="20"/>
          <w:szCs w:val="20"/>
        </w:rPr>
        <w:t xml:space="preserve">, </w:t>
      </w:r>
      <w:r w:rsidRPr="00A71974">
        <w:rPr>
          <w:rFonts w:ascii="Arial" w:hAnsi="Arial" w:cs="Arial"/>
          <w:i/>
          <w:iCs/>
          <w:sz w:val="20"/>
          <w:szCs w:val="20"/>
        </w:rPr>
        <w:t>36</w:t>
      </w:r>
      <w:r w:rsidRPr="00A71974">
        <w:rPr>
          <w:rFonts w:ascii="Arial" w:hAnsi="Arial" w:cs="Arial"/>
          <w:sz w:val="20"/>
          <w:szCs w:val="20"/>
        </w:rPr>
        <w:t xml:space="preserve">(4), 1-9. </w:t>
      </w:r>
      <w:hyperlink r:id="rId18" w:history="1">
        <w:r w:rsidRPr="00A71974">
          <w:rPr>
            <w:rStyle w:val="Hyperlink"/>
            <w:rFonts w:ascii="Arial" w:hAnsi="Arial" w:cs="Arial"/>
            <w:sz w:val="20"/>
            <w:szCs w:val="20"/>
          </w:rPr>
          <w:t>https://doi.org/10.3208/sandf.36.4_1</w:t>
        </w:r>
      </w:hyperlink>
    </w:p>
    <w:p w14:paraId="17404F78"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Hettiarachchi, H., &amp; Brown, T. (2009). Use of SPT blow counts to estimate shear strength properties of soils: Energy balance approach. </w:t>
      </w:r>
      <w:r w:rsidRPr="00A71974">
        <w:rPr>
          <w:rFonts w:ascii="Arial" w:hAnsi="Arial" w:cs="Arial"/>
          <w:i/>
          <w:iCs/>
          <w:sz w:val="20"/>
          <w:szCs w:val="20"/>
        </w:rPr>
        <w:t>Journal of Geotechnical and Geoenvironmental Engineering</w:t>
      </w:r>
      <w:r w:rsidRPr="00A71974">
        <w:rPr>
          <w:rFonts w:ascii="Arial" w:hAnsi="Arial" w:cs="Arial"/>
          <w:sz w:val="20"/>
          <w:szCs w:val="20"/>
        </w:rPr>
        <w:t xml:space="preserve">, </w:t>
      </w:r>
      <w:r w:rsidRPr="00A71974">
        <w:rPr>
          <w:rFonts w:ascii="Arial" w:hAnsi="Arial" w:cs="Arial"/>
          <w:i/>
          <w:iCs/>
          <w:sz w:val="20"/>
          <w:szCs w:val="20"/>
        </w:rPr>
        <w:t>135</w:t>
      </w:r>
      <w:r w:rsidRPr="00A71974">
        <w:rPr>
          <w:rFonts w:ascii="Arial" w:hAnsi="Arial" w:cs="Arial"/>
          <w:sz w:val="20"/>
          <w:szCs w:val="20"/>
        </w:rPr>
        <w:t xml:space="preserve">(6), 830-834. </w:t>
      </w:r>
      <w:hyperlink r:id="rId19" w:history="1">
        <w:r w:rsidRPr="00A71974">
          <w:rPr>
            <w:rStyle w:val="Hyperlink"/>
            <w:rFonts w:ascii="Arial" w:hAnsi="Arial" w:cs="Arial"/>
            <w:sz w:val="20"/>
            <w:szCs w:val="20"/>
          </w:rPr>
          <w:t>https://doi.org/10.1061/(ASCE)GT.1943-5606.0000016</w:t>
        </w:r>
      </w:hyperlink>
    </w:p>
    <w:p w14:paraId="19357A20"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Jarushi, F., AlKaabi, S., &amp; Cosentino, P. (2015). A new correlation between SPT and CPT for various soils. </w:t>
      </w:r>
      <w:r w:rsidRPr="00A71974">
        <w:rPr>
          <w:rFonts w:ascii="Arial" w:hAnsi="Arial" w:cs="Arial"/>
          <w:i/>
          <w:iCs/>
          <w:sz w:val="20"/>
          <w:szCs w:val="20"/>
        </w:rPr>
        <w:t>International Journal of Geological and Environmental Engineering</w:t>
      </w:r>
      <w:r w:rsidRPr="00A71974">
        <w:rPr>
          <w:rFonts w:ascii="Arial" w:hAnsi="Arial" w:cs="Arial"/>
          <w:sz w:val="20"/>
          <w:szCs w:val="20"/>
        </w:rPr>
        <w:t xml:space="preserve">, </w:t>
      </w:r>
      <w:r w:rsidRPr="00A71974">
        <w:rPr>
          <w:rFonts w:ascii="Arial" w:hAnsi="Arial" w:cs="Arial"/>
          <w:i/>
          <w:iCs/>
          <w:sz w:val="20"/>
          <w:szCs w:val="20"/>
        </w:rPr>
        <w:t>9</w:t>
      </w:r>
      <w:r w:rsidRPr="00A71974">
        <w:rPr>
          <w:rFonts w:ascii="Arial" w:hAnsi="Arial" w:cs="Arial"/>
          <w:sz w:val="20"/>
          <w:szCs w:val="20"/>
        </w:rPr>
        <w:t>(2), 101-107.</w:t>
      </w:r>
    </w:p>
    <w:p w14:paraId="339AD4B3" w14:textId="6D789278" w:rsidR="00E779F5" w:rsidRPr="00A71974" w:rsidRDefault="00E779F5" w:rsidP="00FA5036">
      <w:pPr>
        <w:spacing w:line="240" w:lineRule="auto"/>
        <w:ind w:left="567" w:hanging="567"/>
        <w:jc w:val="both"/>
        <w:rPr>
          <w:rFonts w:ascii="Arial" w:hAnsi="Arial" w:cs="Arial"/>
          <w:sz w:val="20"/>
          <w:szCs w:val="20"/>
        </w:rPr>
      </w:pPr>
      <w:proofErr w:type="spellStart"/>
      <w:r w:rsidRPr="00A71974">
        <w:rPr>
          <w:rFonts w:ascii="Arial" w:hAnsi="Arial" w:cs="Arial"/>
          <w:sz w:val="20"/>
          <w:szCs w:val="20"/>
        </w:rPr>
        <w:lastRenderedPageBreak/>
        <w:t>Kalantary</w:t>
      </w:r>
      <w:proofErr w:type="spellEnd"/>
      <w:r w:rsidRPr="00A71974">
        <w:rPr>
          <w:rFonts w:ascii="Arial" w:hAnsi="Arial" w:cs="Arial"/>
          <w:sz w:val="20"/>
          <w:szCs w:val="20"/>
        </w:rPr>
        <w:t>, F., Ardalan, H., &amp; Nariman-Zadeh, N. (2009). An investigation on the Su-</w:t>
      </w:r>
      <w:r w:rsidR="002743EA" w:rsidRPr="00A71974">
        <w:rPr>
          <w:rFonts w:ascii="Arial" w:hAnsi="Arial" w:cs="Arial"/>
          <w:sz w:val="20"/>
          <w:szCs w:val="20"/>
        </w:rPr>
        <w:t>SPT-N</w:t>
      </w:r>
      <w:r w:rsidRPr="00A71974">
        <w:rPr>
          <w:rFonts w:ascii="Arial" w:hAnsi="Arial" w:cs="Arial"/>
          <w:sz w:val="20"/>
          <w:szCs w:val="20"/>
        </w:rPr>
        <w:t xml:space="preserve"> correlation using GMDH type neural networks and genetic algorithms. </w:t>
      </w:r>
      <w:r w:rsidRPr="00A71974">
        <w:rPr>
          <w:rFonts w:ascii="Arial" w:hAnsi="Arial" w:cs="Arial"/>
          <w:i/>
          <w:iCs/>
          <w:sz w:val="20"/>
          <w:szCs w:val="20"/>
        </w:rPr>
        <w:t>Engineering Geology</w:t>
      </w:r>
      <w:r w:rsidRPr="00A71974">
        <w:rPr>
          <w:rFonts w:ascii="Arial" w:hAnsi="Arial" w:cs="Arial"/>
          <w:sz w:val="20"/>
          <w:szCs w:val="20"/>
        </w:rPr>
        <w:t xml:space="preserve">, </w:t>
      </w:r>
      <w:r w:rsidRPr="00A71974">
        <w:rPr>
          <w:rFonts w:ascii="Arial" w:hAnsi="Arial" w:cs="Arial"/>
          <w:i/>
          <w:iCs/>
          <w:sz w:val="20"/>
          <w:szCs w:val="20"/>
        </w:rPr>
        <w:t>104</w:t>
      </w:r>
      <w:r w:rsidRPr="00A71974">
        <w:rPr>
          <w:rFonts w:ascii="Arial" w:hAnsi="Arial" w:cs="Arial"/>
          <w:sz w:val="20"/>
          <w:szCs w:val="20"/>
        </w:rPr>
        <w:t xml:space="preserve">(1-2), 144-155. </w:t>
      </w:r>
      <w:hyperlink r:id="rId20" w:history="1">
        <w:r w:rsidRPr="00A71974">
          <w:rPr>
            <w:rStyle w:val="Hyperlink"/>
            <w:rFonts w:ascii="Arial" w:hAnsi="Arial" w:cs="Arial"/>
            <w:sz w:val="20"/>
            <w:szCs w:val="20"/>
          </w:rPr>
          <w:t>https://doi.org/10.1016/j.enggeo.2008.09.006</w:t>
        </w:r>
      </w:hyperlink>
    </w:p>
    <w:p w14:paraId="55DE9DE9"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Kara, O., &amp; Gunduz, Z. (2010). Correlation between CPT and SPT in </w:t>
      </w:r>
      <w:proofErr w:type="spellStart"/>
      <w:r w:rsidRPr="00A71974">
        <w:rPr>
          <w:rFonts w:ascii="Arial" w:hAnsi="Arial" w:cs="Arial"/>
          <w:sz w:val="20"/>
          <w:szCs w:val="20"/>
        </w:rPr>
        <w:t>Adapazari</w:t>
      </w:r>
      <w:proofErr w:type="spellEnd"/>
      <w:r w:rsidRPr="00A71974">
        <w:rPr>
          <w:rFonts w:ascii="Arial" w:hAnsi="Arial" w:cs="Arial"/>
          <w:sz w:val="20"/>
          <w:szCs w:val="20"/>
        </w:rPr>
        <w:t xml:space="preserve">, Turkey. In </w:t>
      </w:r>
      <w:r w:rsidRPr="00A71974">
        <w:rPr>
          <w:rFonts w:ascii="Arial" w:hAnsi="Arial" w:cs="Arial"/>
          <w:i/>
          <w:iCs/>
          <w:sz w:val="20"/>
          <w:szCs w:val="20"/>
        </w:rPr>
        <w:t>Proceedings of the 2nd International Symposium on Cone Penetration Testing</w:t>
      </w:r>
      <w:r w:rsidRPr="00A71974">
        <w:rPr>
          <w:rFonts w:ascii="Arial" w:hAnsi="Arial" w:cs="Arial"/>
          <w:sz w:val="20"/>
          <w:szCs w:val="20"/>
        </w:rPr>
        <w:t xml:space="preserve"> (pp. 1-8). CPT'10.</w:t>
      </w:r>
    </w:p>
    <w:p w14:paraId="4C3C4193" w14:textId="37D0C0D5" w:rsidR="00865D70" w:rsidRPr="00A71974" w:rsidRDefault="00865D70"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Kennedy, C., &amp; </w:t>
      </w:r>
      <w:proofErr w:type="spellStart"/>
      <w:r w:rsidRPr="00A71974">
        <w:rPr>
          <w:rFonts w:ascii="Arial" w:hAnsi="Arial" w:cs="Arial"/>
          <w:sz w:val="20"/>
          <w:szCs w:val="20"/>
        </w:rPr>
        <w:t>TrustGod</w:t>
      </w:r>
      <w:proofErr w:type="spellEnd"/>
      <w:r w:rsidRPr="00A71974">
        <w:rPr>
          <w:rFonts w:ascii="Arial" w:hAnsi="Arial" w:cs="Arial"/>
          <w:sz w:val="20"/>
          <w:szCs w:val="20"/>
        </w:rPr>
        <w:t xml:space="preserve">, J. A. (2024). Comparison of SPT-N correlations for different geological formations in the Niger Delta region of Nigeria. Research Square. </w:t>
      </w:r>
      <w:hyperlink r:id="rId21" w:history="1">
        <w:r w:rsidRPr="00A71974">
          <w:rPr>
            <w:rStyle w:val="Hyperlink"/>
            <w:rFonts w:ascii="Arial" w:hAnsi="Arial" w:cs="Arial"/>
            <w:sz w:val="20"/>
            <w:szCs w:val="20"/>
          </w:rPr>
          <w:t>https://doi.org/10.21203/rs.3.rs-4602554/v1</w:t>
        </w:r>
      </w:hyperlink>
      <w:r w:rsidRPr="00A71974">
        <w:rPr>
          <w:rFonts w:ascii="Arial" w:hAnsi="Arial" w:cs="Arial"/>
          <w:sz w:val="20"/>
          <w:szCs w:val="20"/>
        </w:rPr>
        <w:t>.</w:t>
      </w:r>
    </w:p>
    <w:p w14:paraId="585CC70A"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Khan, Z., Yamin, M., </w:t>
      </w:r>
      <w:proofErr w:type="spellStart"/>
      <w:r w:rsidRPr="00A71974">
        <w:rPr>
          <w:rFonts w:ascii="Arial" w:hAnsi="Arial" w:cs="Arial"/>
          <w:sz w:val="20"/>
          <w:szCs w:val="20"/>
        </w:rPr>
        <w:t>Attom</w:t>
      </w:r>
      <w:proofErr w:type="spellEnd"/>
      <w:r w:rsidRPr="00A71974">
        <w:rPr>
          <w:rFonts w:ascii="Arial" w:hAnsi="Arial" w:cs="Arial"/>
          <w:sz w:val="20"/>
          <w:szCs w:val="20"/>
        </w:rPr>
        <w:t xml:space="preserve">, M., &amp; Al Hai, N. (2022). Correlations between SPT, CPT, and Vs for reclaimed lands near Dubai. </w:t>
      </w:r>
      <w:r w:rsidRPr="00A71974">
        <w:rPr>
          <w:rFonts w:ascii="Arial" w:hAnsi="Arial" w:cs="Arial"/>
          <w:i/>
          <w:iCs/>
          <w:sz w:val="20"/>
          <w:szCs w:val="20"/>
        </w:rPr>
        <w:t>Geotechnical and Geological Engineering</w:t>
      </w:r>
      <w:r w:rsidRPr="00A71974">
        <w:rPr>
          <w:rFonts w:ascii="Arial" w:hAnsi="Arial" w:cs="Arial"/>
          <w:sz w:val="20"/>
          <w:szCs w:val="20"/>
        </w:rPr>
        <w:t xml:space="preserve">, </w:t>
      </w:r>
      <w:r w:rsidRPr="00A71974">
        <w:rPr>
          <w:rFonts w:ascii="Arial" w:hAnsi="Arial" w:cs="Arial"/>
          <w:i/>
          <w:iCs/>
          <w:sz w:val="20"/>
          <w:szCs w:val="20"/>
        </w:rPr>
        <w:t>40</w:t>
      </w:r>
      <w:r w:rsidRPr="00A71974">
        <w:rPr>
          <w:rFonts w:ascii="Arial" w:hAnsi="Arial" w:cs="Arial"/>
          <w:sz w:val="20"/>
          <w:szCs w:val="20"/>
        </w:rPr>
        <w:t xml:space="preserve">, 4109-4120. </w:t>
      </w:r>
      <w:hyperlink r:id="rId22" w:history="1">
        <w:r w:rsidRPr="00A71974">
          <w:rPr>
            <w:rStyle w:val="Hyperlink"/>
            <w:rFonts w:ascii="Arial" w:hAnsi="Arial" w:cs="Arial"/>
            <w:sz w:val="20"/>
            <w:szCs w:val="20"/>
          </w:rPr>
          <w:t>https://doi.org/10.1007/s10706-022-02143-4</w:t>
        </w:r>
      </w:hyperlink>
    </w:p>
    <w:p w14:paraId="7A4CAAD6"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Kim, M., Okuyucu, O., </w:t>
      </w:r>
      <w:proofErr w:type="spellStart"/>
      <w:r w:rsidRPr="00A71974">
        <w:rPr>
          <w:rFonts w:ascii="Arial" w:hAnsi="Arial" w:cs="Arial"/>
          <w:sz w:val="20"/>
          <w:szCs w:val="20"/>
        </w:rPr>
        <w:t>Ordu</w:t>
      </w:r>
      <w:proofErr w:type="spellEnd"/>
      <w:r w:rsidRPr="00A71974">
        <w:rPr>
          <w:rFonts w:ascii="Arial" w:hAnsi="Arial" w:cs="Arial"/>
          <w:sz w:val="20"/>
          <w:szCs w:val="20"/>
        </w:rPr>
        <w:t xml:space="preserve">, E., </w:t>
      </w:r>
      <w:proofErr w:type="spellStart"/>
      <w:r w:rsidRPr="00A71974">
        <w:rPr>
          <w:rFonts w:ascii="Arial" w:hAnsi="Arial" w:cs="Arial"/>
          <w:sz w:val="20"/>
          <w:szCs w:val="20"/>
        </w:rPr>
        <w:t>Ordu</w:t>
      </w:r>
      <w:proofErr w:type="spellEnd"/>
      <w:r w:rsidRPr="00A71974">
        <w:rPr>
          <w:rFonts w:ascii="Arial" w:hAnsi="Arial" w:cs="Arial"/>
          <w:sz w:val="20"/>
          <w:szCs w:val="20"/>
        </w:rPr>
        <w:t xml:space="preserve">, S., Arslan, Ö., &amp; Ko, J. (2022). Prediction of undrained shear strength by the GMDH-type neural network using SPT-value and soil physical properties. </w:t>
      </w:r>
      <w:r w:rsidRPr="00A71974">
        <w:rPr>
          <w:rFonts w:ascii="Arial" w:hAnsi="Arial" w:cs="Arial"/>
          <w:i/>
          <w:iCs/>
          <w:sz w:val="20"/>
          <w:szCs w:val="20"/>
        </w:rPr>
        <w:t>Materials</w:t>
      </w:r>
      <w:r w:rsidRPr="00A71974">
        <w:rPr>
          <w:rFonts w:ascii="Arial" w:hAnsi="Arial" w:cs="Arial"/>
          <w:sz w:val="20"/>
          <w:szCs w:val="20"/>
        </w:rPr>
        <w:t xml:space="preserve">, </w:t>
      </w:r>
      <w:r w:rsidRPr="00A71974">
        <w:rPr>
          <w:rFonts w:ascii="Arial" w:hAnsi="Arial" w:cs="Arial"/>
          <w:i/>
          <w:iCs/>
          <w:sz w:val="20"/>
          <w:szCs w:val="20"/>
        </w:rPr>
        <w:t>15</w:t>
      </w:r>
      <w:r w:rsidRPr="00A71974">
        <w:rPr>
          <w:rFonts w:ascii="Arial" w:hAnsi="Arial" w:cs="Arial"/>
          <w:sz w:val="20"/>
          <w:szCs w:val="20"/>
        </w:rPr>
        <w:t xml:space="preserve">(18), 6385. </w:t>
      </w:r>
      <w:hyperlink r:id="rId23" w:history="1">
        <w:r w:rsidRPr="00A71974">
          <w:rPr>
            <w:rStyle w:val="Hyperlink"/>
            <w:rFonts w:ascii="Arial" w:hAnsi="Arial" w:cs="Arial"/>
            <w:sz w:val="20"/>
            <w:szCs w:val="20"/>
          </w:rPr>
          <w:t>https://doi.org/10.3390/ma15186385</w:t>
        </w:r>
      </w:hyperlink>
    </w:p>
    <w:p w14:paraId="6A42DCA2" w14:textId="77777777" w:rsidR="00E779F5" w:rsidRPr="00A71974" w:rsidRDefault="00E779F5" w:rsidP="00FA5036">
      <w:pPr>
        <w:spacing w:line="240" w:lineRule="auto"/>
        <w:ind w:left="567" w:hanging="567"/>
        <w:jc w:val="both"/>
        <w:rPr>
          <w:rFonts w:ascii="Arial" w:hAnsi="Arial" w:cs="Arial"/>
          <w:sz w:val="20"/>
          <w:szCs w:val="20"/>
        </w:rPr>
      </w:pPr>
      <w:proofErr w:type="spellStart"/>
      <w:r w:rsidRPr="00A71974">
        <w:rPr>
          <w:rFonts w:ascii="Arial" w:hAnsi="Arial" w:cs="Arial"/>
          <w:sz w:val="20"/>
          <w:szCs w:val="20"/>
        </w:rPr>
        <w:t>Khodaparast</w:t>
      </w:r>
      <w:proofErr w:type="spellEnd"/>
      <w:r w:rsidRPr="00A71974">
        <w:rPr>
          <w:rFonts w:ascii="Arial" w:hAnsi="Arial" w:cs="Arial"/>
          <w:sz w:val="20"/>
          <w:szCs w:val="20"/>
        </w:rPr>
        <w:t xml:space="preserve">, M., Rajabi, A. M., &amp; Derakhshan, M. (2020). Development of practical correlations between cone penetration resistance and SPT values for various types of soils. </w:t>
      </w:r>
      <w:r w:rsidRPr="00A71974">
        <w:rPr>
          <w:rFonts w:ascii="Arial" w:hAnsi="Arial" w:cs="Arial"/>
          <w:i/>
          <w:iCs/>
          <w:sz w:val="20"/>
          <w:szCs w:val="20"/>
        </w:rPr>
        <w:t>Iranian Journal of Science and Technology, Transactions of Civil Engineering</w:t>
      </w:r>
      <w:r w:rsidRPr="00A71974">
        <w:rPr>
          <w:rFonts w:ascii="Arial" w:hAnsi="Arial" w:cs="Arial"/>
          <w:sz w:val="20"/>
          <w:szCs w:val="20"/>
        </w:rPr>
        <w:t xml:space="preserve">, </w:t>
      </w:r>
      <w:r w:rsidRPr="00A71974">
        <w:rPr>
          <w:rFonts w:ascii="Arial" w:hAnsi="Arial" w:cs="Arial"/>
          <w:i/>
          <w:iCs/>
          <w:sz w:val="20"/>
          <w:szCs w:val="20"/>
        </w:rPr>
        <w:t>44</w:t>
      </w:r>
      <w:r w:rsidRPr="00A71974">
        <w:rPr>
          <w:rFonts w:ascii="Arial" w:hAnsi="Arial" w:cs="Arial"/>
          <w:sz w:val="20"/>
          <w:szCs w:val="20"/>
        </w:rPr>
        <w:t>(</w:t>
      </w:r>
      <w:proofErr w:type="spellStart"/>
      <w:r w:rsidRPr="00A71974">
        <w:rPr>
          <w:rFonts w:ascii="Arial" w:hAnsi="Arial" w:cs="Arial"/>
          <w:sz w:val="20"/>
          <w:szCs w:val="20"/>
        </w:rPr>
        <w:t>Suppl</w:t>
      </w:r>
      <w:proofErr w:type="spellEnd"/>
      <w:r w:rsidRPr="00A71974">
        <w:rPr>
          <w:rFonts w:ascii="Arial" w:hAnsi="Arial" w:cs="Arial"/>
          <w:sz w:val="20"/>
          <w:szCs w:val="20"/>
        </w:rPr>
        <w:t xml:space="preserve"> 1), 471-481. </w:t>
      </w:r>
      <w:hyperlink r:id="rId24" w:history="1">
        <w:r w:rsidRPr="00A71974">
          <w:rPr>
            <w:rStyle w:val="Hyperlink"/>
            <w:rFonts w:ascii="Arial" w:hAnsi="Arial" w:cs="Arial"/>
            <w:sz w:val="20"/>
            <w:szCs w:val="20"/>
          </w:rPr>
          <w:t>https://doi.org/10.1007/s40996-019-00319-2</w:t>
        </w:r>
      </w:hyperlink>
    </w:p>
    <w:p w14:paraId="22172DA9" w14:textId="77777777" w:rsidR="00E779F5" w:rsidRPr="00A71974" w:rsidRDefault="00E779F5" w:rsidP="00FA5036">
      <w:pPr>
        <w:spacing w:line="240" w:lineRule="auto"/>
        <w:ind w:left="567" w:hanging="567"/>
        <w:jc w:val="both"/>
        <w:rPr>
          <w:rFonts w:ascii="Arial" w:hAnsi="Arial" w:cs="Arial"/>
          <w:sz w:val="20"/>
          <w:szCs w:val="20"/>
        </w:rPr>
      </w:pPr>
      <w:proofErr w:type="spellStart"/>
      <w:r w:rsidRPr="00A71974">
        <w:rPr>
          <w:rFonts w:ascii="Arial" w:hAnsi="Arial" w:cs="Arial"/>
          <w:sz w:val="20"/>
          <w:szCs w:val="20"/>
        </w:rPr>
        <w:t>Kulhawy</w:t>
      </w:r>
      <w:proofErr w:type="spellEnd"/>
      <w:r w:rsidRPr="00A71974">
        <w:rPr>
          <w:rFonts w:ascii="Arial" w:hAnsi="Arial" w:cs="Arial"/>
          <w:sz w:val="20"/>
          <w:szCs w:val="20"/>
        </w:rPr>
        <w:t xml:space="preserve">, F. H., &amp; Mayne, P. W. (1990). </w:t>
      </w:r>
      <w:r w:rsidRPr="00A71974">
        <w:rPr>
          <w:rFonts w:ascii="Arial" w:hAnsi="Arial" w:cs="Arial"/>
          <w:i/>
          <w:iCs/>
          <w:sz w:val="20"/>
          <w:szCs w:val="20"/>
        </w:rPr>
        <w:t>Manual on estimating soil properties for foundation design</w:t>
      </w:r>
      <w:r w:rsidRPr="00A71974">
        <w:rPr>
          <w:rFonts w:ascii="Arial" w:hAnsi="Arial" w:cs="Arial"/>
          <w:sz w:val="20"/>
          <w:szCs w:val="20"/>
        </w:rPr>
        <w:t xml:space="preserve"> (Report No. EL-6800). Electric Power Research Institute.</w:t>
      </w:r>
    </w:p>
    <w:p w14:paraId="6E3F7B11"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Kumar, R., Bhargava, K., &amp; Choudhury, D. (2016). Estimation of engineering properties of soils from field SPT using random number generation. </w:t>
      </w:r>
      <w:r w:rsidRPr="00A71974">
        <w:rPr>
          <w:rFonts w:ascii="Arial" w:hAnsi="Arial" w:cs="Arial"/>
          <w:i/>
          <w:iCs/>
          <w:sz w:val="20"/>
          <w:szCs w:val="20"/>
        </w:rPr>
        <w:t>Transactions of the Indian National Academy of Engineering</w:t>
      </w:r>
      <w:r w:rsidRPr="00A71974">
        <w:rPr>
          <w:rFonts w:ascii="Arial" w:hAnsi="Arial" w:cs="Arial"/>
          <w:sz w:val="20"/>
          <w:szCs w:val="20"/>
        </w:rPr>
        <w:t xml:space="preserve">, </w:t>
      </w:r>
      <w:r w:rsidRPr="00A71974">
        <w:rPr>
          <w:rFonts w:ascii="Arial" w:hAnsi="Arial" w:cs="Arial"/>
          <w:i/>
          <w:iCs/>
          <w:sz w:val="20"/>
          <w:szCs w:val="20"/>
        </w:rPr>
        <w:t>1</w:t>
      </w:r>
      <w:r w:rsidRPr="00A71974">
        <w:rPr>
          <w:rFonts w:ascii="Arial" w:hAnsi="Arial" w:cs="Arial"/>
          <w:sz w:val="20"/>
          <w:szCs w:val="20"/>
        </w:rPr>
        <w:t xml:space="preserve">(2), 77-84. </w:t>
      </w:r>
      <w:hyperlink r:id="rId25" w:history="1">
        <w:r w:rsidRPr="00A71974">
          <w:rPr>
            <w:rStyle w:val="Hyperlink"/>
            <w:rFonts w:ascii="Arial" w:hAnsi="Arial" w:cs="Arial"/>
            <w:sz w:val="20"/>
            <w:szCs w:val="20"/>
          </w:rPr>
          <w:t>https://doi.org/10.1007/s41403-016-0012-6</w:t>
        </w:r>
      </w:hyperlink>
    </w:p>
    <w:p w14:paraId="1DD3AA7C" w14:textId="06400177" w:rsidR="00281F60" w:rsidRPr="00A71974" w:rsidRDefault="00281F60"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Li, Y. (2013). Effects of particle shape and size distribution on the shear strength </w:t>
      </w:r>
      <w:proofErr w:type="spellStart"/>
      <w:r w:rsidRPr="00A71974">
        <w:rPr>
          <w:rFonts w:ascii="Arial" w:hAnsi="Arial" w:cs="Arial"/>
          <w:sz w:val="20"/>
          <w:szCs w:val="20"/>
        </w:rPr>
        <w:t>behavior</w:t>
      </w:r>
      <w:proofErr w:type="spellEnd"/>
      <w:r w:rsidRPr="00A71974">
        <w:rPr>
          <w:rFonts w:ascii="Arial" w:hAnsi="Arial" w:cs="Arial"/>
          <w:sz w:val="20"/>
          <w:szCs w:val="20"/>
        </w:rPr>
        <w:t xml:space="preserve"> of composite soils. Bulletin of Engineering Geology and the Environment, 72(3), 371-381.</w:t>
      </w:r>
    </w:p>
    <w:p w14:paraId="146130BE"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Liao, S. S. C., &amp; Whitman, R. V. (1986). Overburden correction factors for SPT in sand. </w:t>
      </w:r>
      <w:r w:rsidRPr="00A71974">
        <w:rPr>
          <w:rFonts w:ascii="Arial" w:hAnsi="Arial" w:cs="Arial"/>
          <w:i/>
          <w:iCs/>
          <w:sz w:val="20"/>
          <w:szCs w:val="20"/>
        </w:rPr>
        <w:t>Journal of Geotechnical Engineering</w:t>
      </w:r>
      <w:r w:rsidRPr="00A71974">
        <w:rPr>
          <w:rFonts w:ascii="Arial" w:hAnsi="Arial" w:cs="Arial"/>
          <w:sz w:val="20"/>
          <w:szCs w:val="20"/>
        </w:rPr>
        <w:t xml:space="preserve">, </w:t>
      </w:r>
      <w:r w:rsidRPr="00A71974">
        <w:rPr>
          <w:rFonts w:ascii="Arial" w:hAnsi="Arial" w:cs="Arial"/>
          <w:i/>
          <w:iCs/>
          <w:sz w:val="20"/>
          <w:szCs w:val="20"/>
        </w:rPr>
        <w:t>112</w:t>
      </w:r>
      <w:r w:rsidRPr="00A71974">
        <w:rPr>
          <w:rFonts w:ascii="Arial" w:hAnsi="Arial" w:cs="Arial"/>
          <w:sz w:val="20"/>
          <w:szCs w:val="20"/>
        </w:rPr>
        <w:t xml:space="preserve">(3), 373-377. </w:t>
      </w:r>
      <w:hyperlink r:id="rId26" w:history="1">
        <w:r w:rsidRPr="00A71974">
          <w:rPr>
            <w:rStyle w:val="Hyperlink"/>
            <w:rFonts w:ascii="Arial" w:hAnsi="Arial" w:cs="Arial"/>
            <w:sz w:val="20"/>
            <w:szCs w:val="20"/>
          </w:rPr>
          <w:t>https://doi.org/10.1061/(ASCE)0733-9410(1986)112:3(373)</w:t>
        </w:r>
      </w:hyperlink>
    </w:p>
    <w:p w14:paraId="6F979C59" w14:textId="77777777" w:rsidR="00E779F5" w:rsidRPr="00A71974" w:rsidRDefault="00E779F5" w:rsidP="00FA5036">
      <w:pPr>
        <w:spacing w:line="240" w:lineRule="auto"/>
        <w:ind w:left="567" w:hanging="567"/>
        <w:jc w:val="both"/>
        <w:rPr>
          <w:rFonts w:ascii="Arial" w:hAnsi="Arial" w:cs="Arial"/>
          <w:sz w:val="20"/>
          <w:szCs w:val="20"/>
        </w:rPr>
      </w:pPr>
      <w:proofErr w:type="spellStart"/>
      <w:r w:rsidRPr="00A71974">
        <w:rPr>
          <w:rFonts w:ascii="Arial" w:hAnsi="Arial" w:cs="Arial"/>
          <w:sz w:val="20"/>
          <w:szCs w:val="20"/>
        </w:rPr>
        <w:t>Lingwanda</w:t>
      </w:r>
      <w:proofErr w:type="spellEnd"/>
      <w:r w:rsidRPr="00A71974">
        <w:rPr>
          <w:rFonts w:ascii="Arial" w:hAnsi="Arial" w:cs="Arial"/>
          <w:sz w:val="20"/>
          <w:szCs w:val="20"/>
        </w:rPr>
        <w:t xml:space="preserve">, M. I., Larsson, S., &amp; Nyaoro, D. L. (2015). Correlations of SPT, CPT and DPL data for sandy soil in Tanzania. </w:t>
      </w:r>
      <w:r w:rsidRPr="00A71974">
        <w:rPr>
          <w:rFonts w:ascii="Arial" w:hAnsi="Arial" w:cs="Arial"/>
          <w:i/>
          <w:iCs/>
          <w:sz w:val="20"/>
          <w:szCs w:val="20"/>
        </w:rPr>
        <w:t>Geotechnical and Geological Engineering</w:t>
      </w:r>
      <w:r w:rsidRPr="00A71974">
        <w:rPr>
          <w:rFonts w:ascii="Arial" w:hAnsi="Arial" w:cs="Arial"/>
          <w:sz w:val="20"/>
          <w:szCs w:val="20"/>
        </w:rPr>
        <w:t xml:space="preserve">, </w:t>
      </w:r>
      <w:r w:rsidRPr="00A71974">
        <w:rPr>
          <w:rFonts w:ascii="Arial" w:hAnsi="Arial" w:cs="Arial"/>
          <w:i/>
          <w:iCs/>
          <w:sz w:val="20"/>
          <w:szCs w:val="20"/>
        </w:rPr>
        <w:t>33</w:t>
      </w:r>
      <w:r w:rsidRPr="00A71974">
        <w:rPr>
          <w:rFonts w:ascii="Arial" w:hAnsi="Arial" w:cs="Arial"/>
          <w:sz w:val="20"/>
          <w:szCs w:val="20"/>
        </w:rPr>
        <w:t xml:space="preserve">, 1221-1233. </w:t>
      </w:r>
      <w:hyperlink r:id="rId27" w:history="1">
        <w:r w:rsidRPr="00A71974">
          <w:rPr>
            <w:rStyle w:val="Hyperlink"/>
            <w:rFonts w:ascii="Arial" w:hAnsi="Arial" w:cs="Arial"/>
            <w:sz w:val="20"/>
            <w:szCs w:val="20"/>
          </w:rPr>
          <w:t>https://doi.org/10.1007/s10706-015-9897-1</w:t>
        </w:r>
      </w:hyperlink>
    </w:p>
    <w:p w14:paraId="2655EC6F"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Mayne, P. W., &amp; </w:t>
      </w:r>
      <w:proofErr w:type="spellStart"/>
      <w:r w:rsidRPr="00A71974">
        <w:rPr>
          <w:rFonts w:ascii="Arial" w:hAnsi="Arial" w:cs="Arial"/>
          <w:sz w:val="20"/>
          <w:szCs w:val="20"/>
        </w:rPr>
        <w:t>Kulhawy</w:t>
      </w:r>
      <w:proofErr w:type="spellEnd"/>
      <w:r w:rsidRPr="00A71974">
        <w:rPr>
          <w:rFonts w:ascii="Arial" w:hAnsi="Arial" w:cs="Arial"/>
          <w:sz w:val="20"/>
          <w:szCs w:val="20"/>
        </w:rPr>
        <w:t xml:space="preserve">, F. H. (1982). K0-OCR relationships in soil. </w:t>
      </w:r>
      <w:r w:rsidRPr="00A71974">
        <w:rPr>
          <w:rFonts w:ascii="Arial" w:hAnsi="Arial" w:cs="Arial"/>
          <w:i/>
          <w:iCs/>
          <w:sz w:val="20"/>
          <w:szCs w:val="20"/>
        </w:rPr>
        <w:t>Journal of the Geotechnical Engineering Division</w:t>
      </w:r>
      <w:r w:rsidRPr="00A71974">
        <w:rPr>
          <w:rFonts w:ascii="Arial" w:hAnsi="Arial" w:cs="Arial"/>
          <w:sz w:val="20"/>
          <w:szCs w:val="20"/>
        </w:rPr>
        <w:t xml:space="preserve">, </w:t>
      </w:r>
      <w:r w:rsidRPr="00A71974">
        <w:rPr>
          <w:rFonts w:ascii="Arial" w:hAnsi="Arial" w:cs="Arial"/>
          <w:i/>
          <w:iCs/>
          <w:sz w:val="20"/>
          <w:szCs w:val="20"/>
        </w:rPr>
        <w:t>108</w:t>
      </w:r>
      <w:r w:rsidRPr="00A71974">
        <w:rPr>
          <w:rFonts w:ascii="Arial" w:hAnsi="Arial" w:cs="Arial"/>
          <w:sz w:val="20"/>
          <w:szCs w:val="20"/>
        </w:rPr>
        <w:t xml:space="preserve">(6), 851-872. </w:t>
      </w:r>
      <w:hyperlink r:id="rId28" w:history="1">
        <w:r w:rsidRPr="00A71974">
          <w:rPr>
            <w:rStyle w:val="Hyperlink"/>
            <w:rFonts w:ascii="Arial" w:hAnsi="Arial" w:cs="Arial"/>
            <w:sz w:val="20"/>
            <w:szCs w:val="20"/>
          </w:rPr>
          <w:t>https://doi.org/10.1061/AJGEB6.0001306</w:t>
        </w:r>
      </w:hyperlink>
    </w:p>
    <w:p w14:paraId="495C1998"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Meyerhof, G. G. (1956). Penetration tests and bearing capacity of cohesionless soils. </w:t>
      </w:r>
      <w:r w:rsidRPr="00A71974">
        <w:rPr>
          <w:rFonts w:ascii="Arial" w:hAnsi="Arial" w:cs="Arial"/>
          <w:i/>
          <w:iCs/>
          <w:sz w:val="20"/>
          <w:szCs w:val="20"/>
        </w:rPr>
        <w:t>Journal of the Soil Mechanics and Foundation Division, ASCE</w:t>
      </w:r>
      <w:r w:rsidRPr="00A71974">
        <w:rPr>
          <w:rFonts w:ascii="Arial" w:hAnsi="Arial" w:cs="Arial"/>
          <w:sz w:val="20"/>
          <w:szCs w:val="20"/>
        </w:rPr>
        <w:t xml:space="preserve">, </w:t>
      </w:r>
      <w:r w:rsidRPr="00A71974">
        <w:rPr>
          <w:rFonts w:ascii="Arial" w:hAnsi="Arial" w:cs="Arial"/>
          <w:i/>
          <w:iCs/>
          <w:sz w:val="20"/>
          <w:szCs w:val="20"/>
        </w:rPr>
        <w:t>82</w:t>
      </w:r>
      <w:r w:rsidRPr="00A71974">
        <w:rPr>
          <w:rFonts w:ascii="Arial" w:hAnsi="Arial" w:cs="Arial"/>
          <w:sz w:val="20"/>
          <w:szCs w:val="20"/>
        </w:rPr>
        <w:t xml:space="preserve">(SM1), 1-19. </w:t>
      </w:r>
      <w:hyperlink r:id="rId29" w:history="1">
        <w:r w:rsidRPr="00A71974">
          <w:rPr>
            <w:rStyle w:val="Hyperlink"/>
            <w:rFonts w:ascii="Arial" w:hAnsi="Arial" w:cs="Arial"/>
            <w:sz w:val="20"/>
            <w:szCs w:val="20"/>
          </w:rPr>
          <w:t>https://doi.org/10.1061/JSFEAQ.0000074</w:t>
        </w:r>
      </w:hyperlink>
    </w:p>
    <w:p w14:paraId="6D4EA9B1"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Meyerhof, G. G. (1957). Discussion on research on determining the density of sands by spoon penetration testing. In </w:t>
      </w:r>
      <w:r w:rsidRPr="00A71974">
        <w:rPr>
          <w:rFonts w:ascii="Arial" w:hAnsi="Arial" w:cs="Arial"/>
          <w:i/>
          <w:iCs/>
          <w:sz w:val="20"/>
          <w:szCs w:val="20"/>
        </w:rPr>
        <w:t>Proceedings of the 4th International Conference on Soil Mechanics and Foundation Engineering</w:t>
      </w:r>
      <w:r w:rsidRPr="00A71974">
        <w:rPr>
          <w:rFonts w:ascii="Arial" w:hAnsi="Arial" w:cs="Arial"/>
          <w:sz w:val="20"/>
          <w:szCs w:val="20"/>
        </w:rPr>
        <w:t xml:space="preserve"> (Vol. 3, pp. 110-115). Butterworths Scientific Publications.</w:t>
      </w:r>
    </w:p>
    <w:p w14:paraId="7DD0E475"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Mujtaba, H., Farooq, K., </w:t>
      </w:r>
      <w:proofErr w:type="spellStart"/>
      <w:r w:rsidRPr="00A71974">
        <w:rPr>
          <w:rFonts w:ascii="Arial" w:hAnsi="Arial" w:cs="Arial"/>
          <w:sz w:val="20"/>
          <w:szCs w:val="20"/>
        </w:rPr>
        <w:t>Sivakugan</w:t>
      </w:r>
      <w:proofErr w:type="spellEnd"/>
      <w:r w:rsidRPr="00A71974">
        <w:rPr>
          <w:rFonts w:ascii="Arial" w:hAnsi="Arial" w:cs="Arial"/>
          <w:sz w:val="20"/>
          <w:szCs w:val="20"/>
        </w:rPr>
        <w:t xml:space="preserve">, N., &amp; Das, B. M. (2018). Evaluation of relative density and friction angle based on SPT-N values. </w:t>
      </w:r>
      <w:r w:rsidRPr="00A71974">
        <w:rPr>
          <w:rFonts w:ascii="Arial" w:hAnsi="Arial" w:cs="Arial"/>
          <w:i/>
          <w:iCs/>
          <w:sz w:val="20"/>
          <w:szCs w:val="20"/>
        </w:rPr>
        <w:t>KSCE Journal of Civil Engineering</w:t>
      </w:r>
      <w:r w:rsidRPr="00A71974">
        <w:rPr>
          <w:rFonts w:ascii="Arial" w:hAnsi="Arial" w:cs="Arial"/>
          <w:sz w:val="20"/>
          <w:szCs w:val="20"/>
        </w:rPr>
        <w:t xml:space="preserve">, </w:t>
      </w:r>
      <w:r w:rsidRPr="00A71974">
        <w:rPr>
          <w:rFonts w:ascii="Arial" w:hAnsi="Arial" w:cs="Arial"/>
          <w:i/>
          <w:iCs/>
          <w:sz w:val="20"/>
          <w:szCs w:val="20"/>
        </w:rPr>
        <w:t>22</w:t>
      </w:r>
      <w:r w:rsidRPr="00A71974">
        <w:rPr>
          <w:rFonts w:ascii="Arial" w:hAnsi="Arial" w:cs="Arial"/>
          <w:sz w:val="20"/>
          <w:szCs w:val="20"/>
        </w:rPr>
        <w:t xml:space="preserve">(2), 572-581. </w:t>
      </w:r>
      <w:hyperlink r:id="rId30" w:history="1">
        <w:r w:rsidRPr="00A71974">
          <w:rPr>
            <w:rStyle w:val="Hyperlink"/>
            <w:rFonts w:ascii="Arial" w:hAnsi="Arial" w:cs="Arial"/>
            <w:sz w:val="20"/>
            <w:szCs w:val="20"/>
          </w:rPr>
          <w:t>https://doi.org/10.1007/s12205-017-1899-5</w:t>
        </w:r>
      </w:hyperlink>
    </w:p>
    <w:p w14:paraId="51D951C4"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Peck, R. B., Hanson, W. E., &amp; Thornburn, T. H. (1974). </w:t>
      </w:r>
      <w:r w:rsidRPr="00A71974">
        <w:rPr>
          <w:rFonts w:ascii="Arial" w:hAnsi="Arial" w:cs="Arial"/>
          <w:i/>
          <w:iCs/>
          <w:sz w:val="20"/>
          <w:szCs w:val="20"/>
        </w:rPr>
        <w:t>Foundation engineering handbook</w:t>
      </w:r>
      <w:r w:rsidRPr="00A71974">
        <w:rPr>
          <w:rFonts w:ascii="Arial" w:hAnsi="Arial" w:cs="Arial"/>
          <w:sz w:val="20"/>
          <w:szCs w:val="20"/>
        </w:rPr>
        <w:t>. John Wiley &amp; Sons.</w:t>
      </w:r>
    </w:p>
    <w:p w14:paraId="1922B063"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Phoon, K. K., &amp; </w:t>
      </w:r>
      <w:proofErr w:type="spellStart"/>
      <w:r w:rsidRPr="00A71974">
        <w:rPr>
          <w:rFonts w:ascii="Arial" w:hAnsi="Arial" w:cs="Arial"/>
          <w:sz w:val="20"/>
          <w:szCs w:val="20"/>
        </w:rPr>
        <w:t>Kulhawy</w:t>
      </w:r>
      <w:proofErr w:type="spellEnd"/>
      <w:r w:rsidRPr="00A71974">
        <w:rPr>
          <w:rFonts w:ascii="Arial" w:hAnsi="Arial" w:cs="Arial"/>
          <w:sz w:val="20"/>
          <w:szCs w:val="20"/>
        </w:rPr>
        <w:t xml:space="preserve">, F. H. (1999). Characterization of geotechnical variability. </w:t>
      </w:r>
      <w:r w:rsidRPr="00A71974">
        <w:rPr>
          <w:rFonts w:ascii="Arial" w:hAnsi="Arial" w:cs="Arial"/>
          <w:i/>
          <w:iCs/>
          <w:sz w:val="20"/>
          <w:szCs w:val="20"/>
        </w:rPr>
        <w:t>Canadian Geotechnical Journal</w:t>
      </w:r>
      <w:r w:rsidRPr="00A71974">
        <w:rPr>
          <w:rFonts w:ascii="Arial" w:hAnsi="Arial" w:cs="Arial"/>
          <w:sz w:val="20"/>
          <w:szCs w:val="20"/>
        </w:rPr>
        <w:t xml:space="preserve">, </w:t>
      </w:r>
      <w:r w:rsidRPr="00A71974">
        <w:rPr>
          <w:rFonts w:ascii="Arial" w:hAnsi="Arial" w:cs="Arial"/>
          <w:i/>
          <w:iCs/>
          <w:sz w:val="20"/>
          <w:szCs w:val="20"/>
        </w:rPr>
        <w:t>36</w:t>
      </w:r>
      <w:r w:rsidRPr="00A71974">
        <w:rPr>
          <w:rFonts w:ascii="Arial" w:hAnsi="Arial" w:cs="Arial"/>
          <w:sz w:val="20"/>
          <w:szCs w:val="20"/>
        </w:rPr>
        <w:t xml:space="preserve">(4), 612-624. </w:t>
      </w:r>
      <w:hyperlink r:id="rId31" w:history="1">
        <w:r w:rsidRPr="00A71974">
          <w:rPr>
            <w:rStyle w:val="Hyperlink"/>
            <w:rFonts w:ascii="Arial" w:hAnsi="Arial" w:cs="Arial"/>
            <w:sz w:val="20"/>
            <w:szCs w:val="20"/>
          </w:rPr>
          <w:t>https://doi.org/10.1139/t99-038</w:t>
        </w:r>
      </w:hyperlink>
    </w:p>
    <w:p w14:paraId="62D573D2"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Robertson, P. K., &amp; Campanella, R. G. (1983). Interpretation of cone penetration tests: Sands and clays. </w:t>
      </w:r>
      <w:r w:rsidRPr="00A71974">
        <w:rPr>
          <w:rFonts w:ascii="Arial" w:hAnsi="Arial" w:cs="Arial"/>
          <w:i/>
          <w:iCs/>
          <w:sz w:val="20"/>
          <w:szCs w:val="20"/>
        </w:rPr>
        <w:t>Canadian Geotechnical Journal</w:t>
      </w:r>
      <w:r w:rsidRPr="00A71974">
        <w:rPr>
          <w:rFonts w:ascii="Arial" w:hAnsi="Arial" w:cs="Arial"/>
          <w:sz w:val="20"/>
          <w:szCs w:val="20"/>
        </w:rPr>
        <w:t xml:space="preserve">, </w:t>
      </w:r>
      <w:r w:rsidRPr="00A71974">
        <w:rPr>
          <w:rFonts w:ascii="Arial" w:hAnsi="Arial" w:cs="Arial"/>
          <w:i/>
          <w:iCs/>
          <w:sz w:val="20"/>
          <w:szCs w:val="20"/>
        </w:rPr>
        <w:t>20</w:t>
      </w:r>
      <w:r w:rsidRPr="00A71974">
        <w:rPr>
          <w:rFonts w:ascii="Arial" w:hAnsi="Arial" w:cs="Arial"/>
          <w:sz w:val="20"/>
          <w:szCs w:val="20"/>
        </w:rPr>
        <w:t xml:space="preserve">, 719-745. </w:t>
      </w:r>
      <w:hyperlink r:id="rId32" w:history="1">
        <w:r w:rsidRPr="00A71974">
          <w:rPr>
            <w:rStyle w:val="Hyperlink"/>
            <w:rFonts w:ascii="Arial" w:hAnsi="Arial" w:cs="Arial"/>
            <w:sz w:val="20"/>
            <w:szCs w:val="20"/>
          </w:rPr>
          <w:t>https://doi.org/10.1139/t83-079</w:t>
        </w:r>
      </w:hyperlink>
    </w:p>
    <w:p w14:paraId="31C91F6C" w14:textId="77777777" w:rsidR="00E779F5" w:rsidRPr="00A71974" w:rsidRDefault="00E779F5" w:rsidP="00FA5036">
      <w:pPr>
        <w:spacing w:line="240" w:lineRule="auto"/>
        <w:ind w:left="567" w:hanging="567"/>
        <w:jc w:val="both"/>
        <w:rPr>
          <w:rFonts w:ascii="Arial" w:hAnsi="Arial" w:cs="Arial"/>
          <w:sz w:val="20"/>
          <w:szCs w:val="20"/>
        </w:rPr>
      </w:pPr>
      <w:proofErr w:type="spellStart"/>
      <w:r w:rsidRPr="00A71974">
        <w:rPr>
          <w:rFonts w:ascii="Arial" w:hAnsi="Arial" w:cs="Arial"/>
          <w:sz w:val="20"/>
          <w:szCs w:val="20"/>
        </w:rPr>
        <w:lastRenderedPageBreak/>
        <w:t>Sabab</w:t>
      </w:r>
      <w:proofErr w:type="spellEnd"/>
      <w:r w:rsidRPr="00A71974">
        <w:rPr>
          <w:rFonts w:ascii="Arial" w:hAnsi="Arial" w:cs="Arial"/>
          <w:sz w:val="20"/>
          <w:szCs w:val="20"/>
        </w:rPr>
        <w:t xml:space="preserve">, A. B., Islam, M. S., &amp; Haque, M. N. (2022). Machine learning approach to predict the friction angle of silty sand from standard penetration test. </w:t>
      </w:r>
      <w:r w:rsidRPr="00A71974">
        <w:rPr>
          <w:rFonts w:ascii="Arial" w:hAnsi="Arial" w:cs="Arial"/>
          <w:i/>
          <w:iCs/>
          <w:sz w:val="20"/>
          <w:szCs w:val="20"/>
        </w:rPr>
        <w:t>Engineering Research Express</w:t>
      </w:r>
      <w:r w:rsidRPr="00A71974">
        <w:rPr>
          <w:rFonts w:ascii="Arial" w:hAnsi="Arial" w:cs="Arial"/>
          <w:sz w:val="20"/>
          <w:szCs w:val="20"/>
        </w:rPr>
        <w:t xml:space="preserve">, </w:t>
      </w:r>
      <w:r w:rsidRPr="00A71974">
        <w:rPr>
          <w:rFonts w:ascii="Arial" w:hAnsi="Arial" w:cs="Arial"/>
          <w:i/>
          <w:iCs/>
          <w:sz w:val="20"/>
          <w:szCs w:val="20"/>
        </w:rPr>
        <w:t>4</w:t>
      </w:r>
      <w:r w:rsidRPr="00A71974">
        <w:rPr>
          <w:rFonts w:ascii="Arial" w:hAnsi="Arial" w:cs="Arial"/>
          <w:sz w:val="20"/>
          <w:szCs w:val="20"/>
        </w:rPr>
        <w:t xml:space="preserve">(3), 035018. </w:t>
      </w:r>
      <w:hyperlink r:id="rId33" w:history="1">
        <w:r w:rsidRPr="00A71974">
          <w:rPr>
            <w:rStyle w:val="Hyperlink"/>
            <w:rFonts w:ascii="Arial" w:hAnsi="Arial" w:cs="Arial"/>
            <w:sz w:val="20"/>
            <w:szCs w:val="20"/>
          </w:rPr>
          <w:t>https://doi.org/10.1088/2631-8695/ac7f49</w:t>
        </w:r>
      </w:hyperlink>
    </w:p>
    <w:p w14:paraId="0BC74DCD"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Schmertmann, J. H. (1970). Static cone to compute static settlement over sand. </w:t>
      </w:r>
      <w:r w:rsidRPr="00A71974">
        <w:rPr>
          <w:rFonts w:ascii="Arial" w:hAnsi="Arial" w:cs="Arial"/>
          <w:i/>
          <w:iCs/>
          <w:sz w:val="20"/>
          <w:szCs w:val="20"/>
        </w:rPr>
        <w:t>Journal of the Soil Mechanics and Foundations Division</w:t>
      </w:r>
      <w:r w:rsidRPr="00A71974">
        <w:rPr>
          <w:rFonts w:ascii="Arial" w:hAnsi="Arial" w:cs="Arial"/>
          <w:sz w:val="20"/>
          <w:szCs w:val="20"/>
        </w:rPr>
        <w:t xml:space="preserve">, </w:t>
      </w:r>
      <w:r w:rsidRPr="00A71974">
        <w:rPr>
          <w:rFonts w:ascii="Arial" w:hAnsi="Arial" w:cs="Arial"/>
          <w:i/>
          <w:iCs/>
          <w:sz w:val="20"/>
          <w:szCs w:val="20"/>
        </w:rPr>
        <w:t>96</w:t>
      </w:r>
      <w:r w:rsidRPr="00A71974">
        <w:rPr>
          <w:rFonts w:ascii="Arial" w:hAnsi="Arial" w:cs="Arial"/>
          <w:sz w:val="20"/>
          <w:szCs w:val="20"/>
        </w:rPr>
        <w:t xml:space="preserve">(3), 1011-1043. </w:t>
      </w:r>
      <w:hyperlink r:id="rId34" w:history="1">
        <w:r w:rsidRPr="00A71974">
          <w:rPr>
            <w:rStyle w:val="Hyperlink"/>
            <w:rFonts w:ascii="Arial" w:hAnsi="Arial" w:cs="Arial"/>
            <w:sz w:val="20"/>
            <w:szCs w:val="20"/>
          </w:rPr>
          <w:t>https://doi.org/10.1061/JSFEAQ.0001418</w:t>
        </w:r>
      </w:hyperlink>
    </w:p>
    <w:p w14:paraId="78006399"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Schmertmann, J. H. (1975). Measurement of in-situ shear strength. In </w:t>
      </w:r>
      <w:r w:rsidRPr="00A71974">
        <w:rPr>
          <w:rFonts w:ascii="Arial" w:hAnsi="Arial" w:cs="Arial"/>
          <w:i/>
          <w:iCs/>
          <w:sz w:val="20"/>
          <w:szCs w:val="20"/>
        </w:rPr>
        <w:t>Proceedings of the ASCE Specialty Conference on In Situ Measurement of Soil Properties</w:t>
      </w:r>
      <w:r w:rsidRPr="00A71974">
        <w:rPr>
          <w:rFonts w:ascii="Arial" w:hAnsi="Arial" w:cs="Arial"/>
          <w:sz w:val="20"/>
          <w:szCs w:val="20"/>
        </w:rPr>
        <w:t xml:space="preserve"> (Vol. 2, pp. 57-138). American Society of Civil Engineers.</w:t>
      </w:r>
    </w:p>
    <w:p w14:paraId="41F9D247"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Terzaghi, K., &amp; Peck, R. B. (1967). </w:t>
      </w:r>
      <w:r w:rsidRPr="00A71974">
        <w:rPr>
          <w:rFonts w:ascii="Arial" w:hAnsi="Arial" w:cs="Arial"/>
          <w:i/>
          <w:iCs/>
          <w:sz w:val="20"/>
          <w:szCs w:val="20"/>
        </w:rPr>
        <w:t>Soil mechanics in engineering practice</w:t>
      </w:r>
      <w:r w:rsidRPr="00A71974">
        <w:rPr>
          <w:rFonts w:ascii="Arial" w:hAnsi="Arial" w:cs="Arial"/>
          <w:sz w:val="20"/>
          <w:szCs w:val="20"/>
        </w:rPr>
        <w:t xml:space="preserve"> (2nd ed.). John Wiley &amp; Sons.</w:t>
      </w:r>
    </w:p>
    <w:p w14:paraId="2804C4A3" w14:textId="7777777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Ullah, S., Khan, L., Hussain, B., Ullah, B., Ullah, I., Rahman, M. U., Khan, M. A., &amp; Ahmad, I. (2025). Machine learning approach for the prediction of angle of internal friction of granular soils using SPT records. </w:t>
      </w:r>
      <w:r w:rsidRPr="00A71974">
        <w:rPr>
          <w:rFonts w:ascii="Arial" w:hAnsi="Arial" w:cs="Arial"/>
          <w:i/>
          <w:iCs/>
          <w:sz w:val="20"/>
          <w:szCs w:val="20"/>
        </w:rPr>
        <w:t>Engineering Research Express</w:t>
      </w:r>
      <w:r w:rsidRPr="00A71974">
        <w:rPr>
          <w:rFonts w:ascii="Arial" w:hAnsi="Arial" w:cs="Arial"/>
          <w:sz w:val="20"/>
          <w:szCs w:val="20"/>
        </w:rPr>
        <w:t xml:space="preserve">, </w:t>
      </w:r>
      <w:r w:rsidRPr="00A71974">
        <w:rPr>
          <w:rFonts w:ascii="Arial" w:hAnsi="Arial" w:cs="Arial"/>
          <w:i/>
          <w:iCs/>
          <w:sz w:val="20"/>
          <w:szCs w:val="20"/>
        </w:rPr>
        <w:t>7</w:t>
      </w:r>
      <w:r w:rsidRPr="00A71974">
        <w:rPr>
          <w:rFonts w:ascii="Arial" w:hAnsi="Arial" w:cs="Arial"/>
          <w:sz w:val="20"/>
          <w:szCs w:val="20"/>
        </w:rPr>
        <w:t xml:space="preserve">(1), 015502. </w:t>
      </w:r>
      <w:hyperlink r:id="rId35" w:history="1">
        <w:r w:rsidRPr="00A71974">
          <w:rPr>
            <w:rStyle w:val="Hyperlink"/>
            <w:rFonts w:ascii="Arial" w:hAnsi="Arial" w:cs="Arial"/>
            <w:sz w:val="20"/>
            <w:szCs w:val="20"/>
          </w:rPr>
          <w:t>https://doi.org/10.1088/2631-8695/add858</w:t>
        </w:r>
      </w:hyperlink>
    </w:p>
    <w:p w14:paraId="6A3AA79F" w14:textId="0648B0D7" w:rsidR="00F807BB" w:rsidRPr="00A71974" w:rsidRDefault="00F807BB" w:rsidP="00FA5036">
      <w:pPr>
        <w:spacing w:line="240" w:lineRule="auto"/>
        <w:ind w:left="567" w:hanging="567"/>
        <w:jc w:val="both"/>
        <w:rPr>
          <w:rFonts w:ascii="Arial" w:hAnsi="Arial" w:cs="Arial"/>
          <w:sz w:val="20"/>
          <w:szCs w:val="20"/>
        </w:rPr>
      </w:pPr>
      <w:r w:rsidRPr="00A71974">
        <w:rPr>
          <w:rFonts w:ascii="Arial" w:hAnsi="Arial" w:cs="Arial"/>
          <w:sz w:val="20"/>
          <w:szCs w:val="20"/>
        </w:rPr>
        <w:t>Wang, J. J., Zhang, H. P., Tang, S. C., &amp; Liang, Y. (2013). Effects of particle size distribution on shear strength of accumulation soil. Journal of Geotechnical and Geoenvironmental Engineering, 139(11), 1994-1997.</w:t>
      </w:r>
    </w:p>
    <w:p w14:paraId="76021F94" w14:textId="109C55C7" w:rsidR="00E779F5" w:rsidRPr="00A71974" w:rsidRDefault="00E779F5" w:rsidP="00FA5036">
      <w:pPr>
        <w:spacing w:line="240" w:lineRule="auto"/>
        <w:ind w:left="567" w:hanging="567"/>
        <w:jc w:val="both"/>
        <w:rPr>
          <w:rFonts w:ascii="Arial" w:hAnsi="Arial" w:cs="Arial"/>
          <w:sz w:val="20"/>
          <w:szCs w:val="20"/>
        </w:rPr>
      </w:pPr>
      <w:r w:rsidRPr="00A71974">
        <w:rPr>
          <w:rFonts w:ascii="Arial" w:hAnsi="Arial" w:cs="Arial"/>
          <w:sz w:val="20"/>
          <w:szCs w:val="20"/>
        </w:rPr>
        <w:t xml:space="preserve">Wolff, T. F. (1989). Pile capacity prediction using parameter functions. In </w:t>
      </w:r>
      <w:r w:rsidRPr="00A71974">
        <w:rPr>
          <w:rFonts w:ascii="Arial" w:hAnsi="Arial" w:cs="Arial"/>
          <w:i/>
          <w:iCs/>
          <w:sz w:val="20"/>
          <w:szCs w:val="20"/>
        </w:rPr>
        <w:t xml:space="preserve">Predicted and observed axial </w:t>
      </w:r>
      <w:proofErr w:type="spellStart"/>
      <w:r w:rsidRPr="00A71974">
        <w:rPr>
          <w:rFonts w:ascii="Arial" w:hAnsi="Arial" w:cs="Arial"/>
          <w:i/>
          <w:iCs/>
          <w:sz w:val="20"/>
          <w:szCs w:val="20"/>
        </w:rPr>
        <w:t>behavior</w:t>
      </w:r>
      <w:proofErr w:type="spellEnd"/>
      <w:r w:rsidRPr="00A71974">
        <w:rPr>
          <w:rFonts w:ascii="Arial" w:hAnsi="Arial" w:cs="Arial"/>
          <w:i/>
          <w:iCs/>
          <w:sz w:val="20"/>
          <w:szCs w:val="20"/>
        </w:rPr>
        <w:t xml:space="preserve"> of piles</w:t>
      </w:r>
      <w:r w:rsidRPr="00A71974">
        <w:rPr>
          <w:rFonts w:ascii="Arial" w:hAnsi="Arial" w:cs="Arial"/>
          <w:sz w:val="20"/>
          <w:szCs w:val="20"/>
        </w:rPr>
        <w:t xml:space="preserve"> (ASCE Geotechnical Special Publication No. 23, pp. 96-106). American Society of Civil Engineers.</w:t>
      </w:r>
    </w:p>
    <w:sectPr w:rsidR="00E779F5" w:rsidRPr="00A71974" w:rsidSect="00FA5036">
      <w:headerReference w:type="even" r:id="rId36"/>
      <w:headerReference w:type="default" r:id="rId37"/>
      <w:footerReference w:type="even" r:id="rId38"/>
      <w:footerReference w:type="default" r:id="rId39"/>
      <w:headerReference w:type="first" r:id="rId40"/>
      <w:footerReference w:type="first" r:id="rId41"/>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17732" w14:textId="77777777" w:rsidR="00C1193B" w:rsidRDefault="00C1193B" w:rsidP="00AC6250">
      <w:pPr>
        <w:spacing w:after="0" w:line="240" w:lineRule="auto"/>
      </w:pPr>
      <w:r>
        <w:separator/>
      </w:r>
    </w:p>
  </w:endnote>
  <w:endnote w:type="continuationSeparator" w:id="0">
    <w:p w14:paraId="7401DE67" w14:textId="77777777" w:rsidR="00C1193B" w:rsidRDefault="00C1193B" w:rsidP="00AC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DFAB6" w14:textId="77777777" w:rsidR="00AC6250" w:rsidRDefault="00AC6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17610" w14:textId="77777777" w:rsidR="00AC6250" w:rsidRDefault="00AC6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181A" w14:textId="77777777" w:rsidR="00AC6250" w:rsidRDefault="00AC6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06501" w14:textId="77777777" w:rsidR="00C1193B" w:rsidRDefault="00C1193B" w:rsidP="00AC6250">
      <w:pPr>
        <w:spacing w:after="0" w:line="240" w:lineRule="auto"/>
      </w:pPr>
      <w:r>
        <w:separator/>
      </w:r>
    </w:p>
  </w:footnote>
  <w:footnote w:type="continuationSeparator" w:id="0">
    <w:p w14:paraId="49B74291" w14:textId="77777777" w:rsidR="00C1193B" w:rsidRDefault="00C1193B" w:rsidP="00AC6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1F4C3" w14:textId="7A8C99A7" w:rsidR="00AC6250" w:rsidRDefault="00AC6250">
    <w:pPr>
      <w:pStyle w:val="Header"/>
    </w:pPr>
    <w:r>
      <w:rPr>
        <w:noProof/>
      </w:rPr>
      <w:pict w14:anchorId="199EC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3131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E3059" w14:textId="20D1814E" w:rsidR="00AC6250" w:rsidRDefault="00AC6250">
    <w:pPr>
      <w:pStyle w:val="Header"/>
    </w:pPr>
    <w:r>
      <w:rPr>
        <w:noProof/>
      </w:rPr>
      <w:pict w14:anchorId="1F2D1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3131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6CC7" w14:textId="1F8A52EF" w:rsidR="00AC6250" w:rsidRDefault="00AC6250">
    <w:pPr>
      <w:pStyle w:val="Header"/>
    </w:pPr>
    <w:r>
      <w:rPr>
        <w:noProof/>
      </w:rPr>
      <w:pict w14:anchorId="52444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3131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737B2"/>
    <w:multiLevelType w:val="multilevel"/>
    <w:tmpl w:val="AF0C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1B3817"/>
    <w:multiLevelType w:val="multilevel"/>
    <w:tmpl w:val="F2E0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497180"/>
    <w:multiLevelType w:val="multilevel"/>
    <w:tmpl w:val="F4DE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59"/>
    <w:rsid w:val="0000486F"/>
    <w:rsid w:val="00011D0A"/>
    <w:rsid w:val="00011FFA"/>
    <w:rsid w:val="00036D45"/>
    <w:rsid w:val="00052BAE"/>
    <w:rsid w:val="000707E4"/>
    <w:rsid w:val="00083802"/>
    <w:rsid w:val="00085CD4"/>
    <w:rsid w:val="00097BE0"/>
    <w:rsid w:val="000B45F1"/>
    <w:rsid w:val="000B79BC"/>
    <w:rsid w:val="000F50D5"/>
    <w:rsid w:val="00105A33"/>
    <w:rsid w:val="001101D5"/>
    <w:rsid w:val="0012122E"/>
    <w:rsid w:val="00121B6A"/>
    <w:rsid w:val="00124982"/>
    <w:rsid w:val="00132FD1"/>
    <w:rsid w:val="001442FD"/>
    <w:rsid w:val="001557E2"/>
    <w:rsid w:val="001641C1"/>
    <w:rsid w:val="00164DAE"/>
    <w:rsid w:val="001749AA"/>
    <w:rsid w:val="00183C54"/>
    <w:rsid w:val="001A26C3"/>
    <w:rsid w:val="001B0979"/>
    <w:rsid w:val="001B6327"/>
    <w:rsid w:val="001C69C3"/>
    <w:rsid w:val="001C6ED2"/>
    <w:rsid w:val="001D0C96"/>
    <w:rsid w:val="001D293D"/>
    <w:rsid w:val="001F127E"/>
    <w:rsid w:val="00205C1C"/>
    <w:rsid w:val="00213B93"/>
    <w:rsid w:val="00217907"/>
    <w:rsid w:val="00233E97"/>
    <w:rsid w:val="00235B76"/>
    <w:rsid w:val="0025059C"/>
    <w:rsid w:val="002743EA"/>
    <w:rsid w:val="00281F60"/>
    <w:rsid w:val="0029228D"/>
    <w:rsid w:val="002A1CAF"/>
    <w:rsid w:val="002A7643"/>
    <w:rsid w:val="002C0C0F"/>
    <w:rsid w:val="002C54C1"/>
    <w:rsid w:val="002E376C"/>
    <w:rsid w:val="002E4169"/>
    <w:rsid w:val="002E526C"/>
    <w:rsid w:val="002F33B8"/>
    <w:rsid w:val="00310D37"/>
    <w:rsid w:val="003230C5"/>
    <w:rsid w:val="003258A9"/>
    <w:rsid w:val="00326A8D"/>
    <w:rsid w:val="00331D9E"/>
    <w:rsid w:val="0034288D"/>
    <w:rsid w:val="003429ED"/>
    <w:rsid w:val="00363621"/>
    <w:rsid w:val="003656A0"/>
    <w:rsid w:val="003855FB"/>
    <w:rsid w:val="00394ED3"/>
    <w:rsid w:val="003B47C0"/>
    <w:rsid w:val="003C641F"/>
    <w:rsid w:val="003D309E"/>
    <w:rsid w:val="003F4BCD"/>
    <w:rsid w:val="003F763F"/>
    <w:rsid w:val="00416AA8"/>
    <w:rsid w:val="004303D2"/>
    <w:rsid w:val="004427D1"/>
    <w:rsid w:val="00443CB3"/>
    <w:rsid w:val="004606E6"/>
    <w:rsid w:val="004702FB"/>
    <w:rsid w:val="004731F9"/>
    <w:rsid w:val="0047494E"/>
    <w:rsid w:val="004760CE"/>
    <w:rsid w:val="004760EC"/>
    <w:rsid w:val="004900D7"/>
    <w:rsid w:val="004B6902"/>
    <w:rsid w:val="004C6486"/>
    <w:rsid w:val="004D78C7"/>
    <w:rsid w:val="00530610"/>
    <w:rsid w:val="00541CBF"/>
    <w:rsid w:val="00547857"/>
    <w:rsid w:val="00551D8A"/>
    <w:rsid w:val="005763AC"/>
    <w:rsid w:val="00602045"/>
    <w:rsid w:val="00606A00"/>
    <w:rsid w:val="006075B6"/>
    <w:rsid w:val="006120FF"/>
    <w:rsid w:val="00612C71"/>
    <w:rsid w:val="006161EB"/>
    <w:rsid w:val="00621DD0"/>
    <w:rsid w:val="0063261E"/>
    <w:rsid w:val="006427C2"/>
    <w:rsid w:val="00642C06"/>
    <w:rsid w:val="00653453"/>
    <w:rsid w:val="00655ABE"/>
    <w:rsid w:val="006776DD"/>
    <w:rsid w:val="00681248"/>
    <w:rsid w:val="006867B0"/>
    <w:rsid w:val="006A1EB7"/>
    <w:rsid w:val="006D75FD"/>
    <w:rsid w:val="006E3C8B"/>
    <w:rsid w:val="006F333C"/>
    <w:rsid w:val="00700499"/>
    <w:rsid w:val="00713D01"/>
    <w:rsid w:val="00720F97"/>
    <w:rsid w:val="00724338"/>
    <w:rsid w:val="00736A3E"/>
    <w:rsid w:val="00742DF6"/>
    <w:rsid w:val="007503FB"/>
    <w:rsid w:val="0075074E"/>
    <w:rsid w:val="00751130"/>
    <w:rsid w:val="00762CEF"/>
    <w:rsid w:val="00766D48"/>
    <w:rsid w:val="007A4663"/>
    <w:rsid w:val="007B7617"/>
    <w:rsid w:val="007C2DFC"/>
    <w:rsid w:val="007C2E7E"/>
    <w:rsid w:val="007C4E7D"/>
    <w:rsid w:val="007D75E3"/>
    <w:rsid w:val="007E409B"/>
    <w:rsid w:val="007F44AF"/>
    <w:rsid w:val="00802BB8"/>
    <w:rsid w:val="00823127"/>
    <w:rsid w:val="0085188E"/>
    <w:rsid w:val="008574DE"/>
    <w:rsid w:val="008633B1"/>
    <w:rsid w:val="00865D70"/>
    <w:rsid w:val="00873A5F"/>
    <w:rsid w:val="00873A92"/>
    <w:rsid w:val="008A0DC4"/>
    <w:rsid w:val="008A332B"/>
    <w:rsid w:val="008A41AB"/>
    <w:rsid w:val="008C2BC7"/>
    <w:rsid w:val="008C2E5F"/>
    <w:rsid w:val="008D0F22"/>
    <w:rsid w:val="008D5A86"/>
    <w:rsid w:val="008E008B"/>
    <w:rsid w:val="008E47B2"/>
    <w:rsid w:val="00900368"/>
    <w:rsid w:val="009022C6"/>
    <w:rsid w:val="009042BE"/>
    <w:rsid w:val="00910D21"/>
    <w:rsid w:val="00911EED"/>
    <w:rsid w:val="00942548"/>
    <w:rsid w:val="00960529"/>
    <w:rsid w:val="00961692"/>
    <w:rsid w:val="009978A2"/>
    <w:rsid w:val="009A4C89"/>
    <w:rsid w:val="009C0559"/>
    <w:rsid w:val="009C3B26"/>
    <w:rsid w:val="009D7FFD"/>
    <w:rsid w:val="009E2260"/>
    <w:rsid w:val="009F3CBA"/>
    <w:rsid w:val="009F587D"/>
    <w:rsid w:val="009F63F6"/>
    <w:rsid w:val="00A1256C"/>
    <w:rsid w:val="00A15609"/>
    <w:rsid w:val="00A27B66"/>
    <w:rsid w:val="00A35BF9"/>
    <w:rsid w:val="00A43C46"/>
    <w:rsid w:val="00A53F29"/>
    <w:rsid w:val="00A64F4A"/>
    <w:rsid w:val="00A70D79"/>
    <w:rsid w:val="00A71974"/>
    <w:rsid w:val="00A7241F"/>
    <w:rsid w:val="00AC6250"/>
    <w:rsid w:val="00AE1719"/>
    <w:rsid w:val="00B2146B"/>
    <w:rsid w:val="00B21ADA"/>
    <w:rsid w:val="00B24D13"/>
    <w:rsid w:val="00B3312D"/>
    <w:rsid w:val="00B35BA0"/>
    <w:rsid w:val="00B4078A"/>
    <w:rsid w:val="00B966BD"/>
    <w:rsid w:val="00BA01A1"/>
    <w:rsid w:val="00BA0893"/>
    <w:rsid w:val="00BA69A1"/>
    <w:rsid w:val="00BB7B90"/>
    <w:rsid w:val="00BC1D64"/>
    <w:rsid w:val="00BE0C8B"/>
    <w:rsid w:val="00BE2E2E"/>
    <w:rsid w:val="00C01C7B"/>
    <w:rsid w:val="00C1193B"/>
    <w:rsid w:val="00C20DFA"/>
    <w:rsid w:val="00C238CD"/>
    <w:rsid w:val="00C35C66"/>
    <w:rsid w:val="00C419AB"/>
    <w:rsid w:val="00C44BB5"/>
    <w:rsid w:val="00C45951"/>
    <w:rsid w:val="00C4754B"/>
    <w:rsid w:val="00C516F3"/>
    <w:rsid w:val="00C54EB3"/>
    <w:rsid w:val="00C6019C"/>
    <w:rsid w:val="00C702EF"/>
    <w:rsid w:val="00C77559"/>
    <w:rsid w:val="00C86541"/>
    <w:rsid w:val="00C94F0B"/>
    <w:rsid w:val="00CA6D3A"/>
    <w:rsid w:val="00CB0F41"/>
    <w:rsid w:val="00CB1550"/>
    <w:rsid w:val="00CB1750"/>
    <w:rsid w:val="00CB3338"/>
    <w:rsid w:val="00CD6F3B"/>
    <w:rsid w:val="00CE7F4E"/>
    <w:rsid w:val="00D22942"/>
    <w:rsid w:val="00D351F3"/>
    <w:rsid w:val="00D73A9D"/>
    <w:rsid w:val="00DA399A"/>
    <w:rsid w:val="00DB3F91"/>
    <w:rsid w:val="00DC07B5"/>
    <w:rsid w:val="00DE3D4B"/>
    <w:rsid w:val="00DF51DD"/>
    <w:rsid w:val="00DF65AC"/>
    <w:rsid w:val="00E32CBB"/>
    <w:rsid w:val="00E33608"/>
    <w:rsid w:val="00E3438F"/>
    <w:rsid w:val="00E40195"/>
    <w:rsid w:val="00E55149"/>
    <w:rsid w:val="00E779F5"/>
    <w:rsid w:val="00E836C6"/>
    <w:rsid w:val="00E86DBF"/>
    <w:rsid w:val="00E87D13"/>
    <w:rsid w:val="00EA482D"/>
    <w:rsid w:val="00EB63AC"/>
    <w:rsid w:val="00EC026E"/>
    <w:rsid w:val="00EC782C"/>
    <w:rsid w:val="00EF6527"/>
    <w:rsid w:val="00F01739"/>
    <w:rsid w:val="00F43BD3"/>
    <w:rsid w:val="00F614E0"/>
    <w:rsid w:val="00F63CE3"/>
    <w:rsid w:val="00F64092"/>
    <w:rsid w:val="00F67173"/>
    <w:rsid w:val="00F80431"/>
    <w:rsid w:val="00F807BB"/>
    <w:rsid w:val="00F82170"/>
    <w:rsid w:val="00F8257F"/>
    <w:rsid w:val="00F86DC2"/>
    <w:rsid w:val="00FA5036"/>
    <w:rsid w:val="00FA53D2"/>
    <w:rsid w:val="00FC11AE"/>
    <w:rsid w:val="00FC2580"/>
    <w:rsid w:val="00FD42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E97C71"/>
  <w15:chartTrackingRefBased/>
  <w15:docId w15:val="{165F791E-FD6A-4189-A7C6-FA666CFE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5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C05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C055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C055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C055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C0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55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C055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C055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C055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C055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C0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559"/>
    <w:rPr>
      <w:rFonts w:eastAsiaTheme="majorEastAsia" w:cstheme="majorBidi"/>
      <w:color w:val="272727" w:themeColor="text1" w:themeTint="D8"/>
    </w:rPr>
  </w:style>
  <w:style w:type="paragraph" w:styleId="Title">
    <w:name w:val="Title"/>
    <w:basedOn w:val="Normal"/>
    <w:next w:val="Normal"/>
    <w:link w:val="TitleChar"/>
    <w:uiPriority w:val="10"/>
    <w:qFormat/>
    <w:rsid w:val="009C0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559"/>
    <w:pPr>
      <w:spacing w:before="160"/>
      <w:jc w:val="center"/>
    </w:pPr>
    <w:rPr>
      <w:i/>
      <w:iCs/>
      <w:color w:val="404040" w:themeColor="text1" w:themeTint="BF"/>
    </w:rPr>
  </w:style>
  <w:style w:type="character" w:customStyle="1" w:styleId="QuoteChar">
    <w:name w:val="Quote Char"/>
    <w:basedOn w:val="DefaultParagraphFont"/>
    <w:link w:val="Quote"/>
    <w:uiPriority w:val="29"/>
    <w:rsid w:val="009C0559"/>
    <w:rPr>
      <w:i/>
      <w:iCs/>
      <w:color w:val="404040" w:themeColor="text1" w:themeTint="BF"/>
    </w:rPr>
  </w:style>
  <w:style w:type="paragraph" w:styleId="ListParagraph">
    <w:name w:val="List Paragraph"/>
    <w:basedOn w:val="Normal"/>
    <w:uiPriority w:val="34"/>
    <w:qFormat/>
    <w:rsid w:val="009C0559"/>
    <w:pPr>
      <w:ind w:left="720"/>
      <w:contextualSpacing/>
    </w:pPr>
  </w:style>
  <w:style w:type="character" w:styleId="IntenseEmphasis">
    <w:name w:val="Intense Emphasis"/>
    <w:basedOn w:val="DefaultParagraphFont"/>
    <w:uiPriority w:val="21"/>
    <w:qFormat/>
    <w:rsid w:val="009C0559"/>
    <w:rPr>
      <w:i/>
      <w:iCs/>
      <w:color w:val="2E74B5" w:themeColor="accent1" w:themeShade="BF"/>
    </w:rPr>
  </w:style>
  <w:style w:type="paragraph" w:styleId="IntenseQuote">
    <w:name w:val="Intense Quote"/>
    <w:basedOn w:val="Normal"/>
    <w:next w:val="Normal"/>
    <w:link w:val="IntenseQuoteChar"/>
    <w:uiPriority w:val="30"/>
    <w:qFormat/>
    <w:rsid w:val="009C05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C0559"/>
    <w:rPr>
      <w:i/>
      <w:iCs/>
      <w:color w:val="2E74B5" w:themeColor="accent1" w:themeShade="BF"/>
    </w:rPr>
  </w:style>
  <w:style w:type="character" w:styleId="IntenseReference">
    <w:name w:val="Intense Reference"/>
    <w:basedOn w:val="DefaultParagraphFont"/>
    <w:uiPriority w:val="32"/>
    <w:qFormat/>
    <w:rsid w:val="009C0559"/>
    <w:rPr>
      <w:b/>
      <w:bCs/>
      <w:smallCaps/>
      <w:color w:val="2E74B5" w:themeColor="accent1" w:themeShade="BF"/>
      <w:spacing w:val="5"/>
    </w:rPr>
  </w:style>
  <w:style w:type="character" w:styleId="Hyperlink">
    <w:name w:val="Hyperlink"/>
    <w:basedOn w:val="DefaultParagraphFont"/>
    <w:uiPriority w:val="99"/>
    <w:unhideWhenUsed/>
    <w:rsid w:val="00E779F5"/>
    <w:rPr>
      <w:color w:val="0563C1" w:themeColor="hyperlink"/>
      <w:u w:val="single"/>
    </w:rPr>
  </w:style>
  <w:style w:type="character" w:styleId="UnresolvedMention">
    <w:name w:val="Unresolved Mention"/>
    <w:basedOn w:val="DefaultParagraphFont"/>
    <w:uiPriority w:val="99"/>
    <w:semiHidden/>
    <w:unhideWhenUsed/>
    <w:rsid w:val="00E779F5"/>
    <w:rPr>
      <w:color w:val="605E5C"/>
      <w:shd w:val="clear" w:color="auto" w:fill="E1DFDD"/>
    </w:rPr>
  </w:style>
  <w:style w:type="character" w:styleId="PlaceholderText">
    <w:name w:val="Placeholder Text"/>
    <w:basedOn w:val="DefaultParagraphFont"/>
    <w:uiPriority w:val="99"/>
    <w:semiHidden/>
    <w:rsid w:val="006A1EB7"/>
    <w:rPr>
      <w:color w:val="666666"/>
    </w:rPr>
  </w:style>
  <w:style w:type="paragraph" w:customStyle="1" w:styleId="ReferHead">
    <w:name w:val="Refer Head"/>
    <w:basedOn w:val="Normal"/>
    <w:rsid w:val="00FA5036"/>
    <w:pPr>
      <w:keepNext/>
      <w:spacing w:after="240" w:line="240" w:lineRule="auto"/>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rsid w:val="00AC6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250"/>
  </w:style>
  <w:style w:type="paragraph" w:styleId="Footer">
    <w:name w:val="footer"/>
    <w:basedOn w:val="Normal"/>
    <w:link w:val="FooterChar"/>
    <w:uiPriority w:val="99"/>
    <w:unhideWhenUsed/>
    <w:rsid w:val="00AC6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499930">
      <w:bodyDiv w:val="1"/>
      <w:marLeft w:val="0"/>
      <w:marRight w:val="0"/>
      <w:marTop w:val="0"/>
      <w:marBottom w:val="0"/>
      <w:divBdr>
        <w:top w:val="none" w:sz="0" w:space="0" w:color="auto"/>
        <w:left w:val="none" w:sz="0" w:space="0" w:color="auto"/>
        <w:bottom w:val="none" w:sz="0" w:space="0" w:color="auto"/>
        <w:right w:val="none" w:sz="0" w:space="0" w:color="auto"/>
      </w:divBdr>
      <w:divsChild>
        <w:div w:id="1258446995">
          <w:marLeft w:val="0"/>
          <w:marRight w:val="0"/>
          <w:marTop w:val="0"/>
          <w:marBottom w:val="0"/>
          <w:divBdr>
            <w:top w:val="none" w:sz="0" w:space="0" w:color="auto"/>
            <w:left w:val="none" w:sz="0" w:space="0" w:color="auto"/>
            <w:bottom w:val="none" w:sz="0" w:space="0" w:color="auto"/>
            <w:right w:val="none" w:sz="0" w:space="0" w:color="auto"/>
          </w:divBdr>
          <w:divsChild>
            <w:div w:id="20902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53241">
      <w:bodyDiv w:val="1"/>
      <w:marLeft w:val="0"/>
      <w:marRight w:val="0"/>
      <w:marTop w:val="0"/>
      <w:marBottom w:val="0"/>
      <w:divBdr>
        <w:top w:val="none" w:sz="0" w:space="0" w:color="auto"/>
        <w:left w:val="none" w:sz="0" w:space="0" w:color="auto"/>
        <w:bottom w:val="none" w:sz="0" w:space="0" w:color="auto"/>
        <w:right w:val="none" w:sz="0" w:space="0" w:color="auto"/>
      </w:divBdr>
      <w:divsChild>
        <w:div w:id="1921064006">
          <w:marLeft w:val="0"/>
          <w:marRight w:val="0"/>
          <w:marTop w:val="0"/>
          <w:marBottom w:val="0"/>
          <w:divBdr>
            <w:top w:val="none" w:sz="0" w:space="0" w:color="auto"/>
            <w:left w:val="none" w:sz="0" w:space="0" w:color="auto"/>
            <w:bottom w:val="none" w:sz="0" w:space="0" w:color="auto"/>
            <w:right w:val="none" w:sz="0" w:space="0" w:color="auto"/>
          </w:divBdr>
          <w:divsChild>
            <w:div w:id="13588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oildyn.2021.107130" TargetMode="External"/><Relationship Id="rId18" Type="http://schemas.openxmlformats.org/officeDocument/2006/relationships/hyperlink" Target="https://doi.org/10.3208/sandf.36.4_1" TargetMode="External"/><Relationship Id="rId26" Type="http://schemas.openxmlformats.org/officeDocument/2006/relationships/hyperlink" Target="https://doi.org/10.1061/(ASCE)0733-9410(1986)112:3(373)" TargetMode="External"/><Relationship Id="rId39" Type="http://schemas.openxmlformats.org/officeDocument/2006/relationships/footer" Target="footer2.xml"/><Relationship Id="rId21" Type="http://schemas.openxmlformats.org/officeDocument/2006/relationships/hyperlink" Target="https://doi.org/10.21203/rs.3.rs-4602554/v1" TargetMode="External"/><Relationship Id="rId34" Type="http://schemas.openxmlformats.org/officeDocument/2006/relationships/hyperlink" Target="https://doi.org/10.1061/JSFEAQ.0001418"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29099/ijair.v5i2.192" TargetMode="External"/><Relationship Id="rId20" Type="http://schemas.openxmlformats.org/officeDocument/2006/relationships/hyperlink" Target="https://doi.org/10.1016/j.enggeo.2008.09.006" TargetMode="External"/><Relationship Id="rId29" Type="http://schemas.openxmlformats.org/officeDocument/2006/relationships/hyperlink" Target="https://doi.org/10.1061/JSFEAQ.0000074"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204-015-9294-y" TargetMode="External"/><Relationship Id="rId24" Type="http://schemas.openxmlformats.org/officeDocument/2006/relationships/hyperlink" Target="https://doi.org/10.1007/s40996-019-00319-2" TargetMode="External"/><Relationship Id="rId32" Type="http://schemas.openxmlformats.org/officeDocument/2006/relationships/hyperlink" Target="https://doi.org/10.1139/t83-07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jrmge.2017.08.001" TargetMode="External"/><Relationship Id="rId23" Type="http://schemas.openxmlformats.org/officeDocument/2006/relationships/hyperlink" Target="https://doi.org/10.3390/ma15186385" TargetMode="External"/><Relationship Id="rId28" Type="http://schemas.openxmlformats.org/officeDocument/2006/relationships/hyperlink" Target="https://doi.org/10.1061/AJGEB6.0001306" TargetMode="External"/><Relationship Id="rId36" Type="http://schemas.openxmlformats.org/officeDocument/2006/relationships/header" Target="header1.xml"/><Relationship Id="rId10" Type="http://schemas.openxmlformats.org/officeDocument/2006/relationships/hyperlink" Target="https://doi.org/10.1186/s40703-021-00170-3" TargetMode="External"/><Relationship Id="rId19" Type="http://schemas.openxmlformats.org/officeDocument/2006/relationships/hyperlink" Target="https://doi.org/10.1061/(ASCE)GT.1943-5606.0000016" TargetMode="External"/><Relationship Id="rId31" Type="http://schemas.openxmlformats.org/officeDocument/2006/relationships/hyperlink" Target="https://doi.org/10.1139/t99-038" TargetMode="External"/><Relationship Id="rId4" Type="http://schemas.openxmlformats.org/officeDocument/2006/relationships/webSettings" Target="webSettings.xml"/><Relationship Id="rId9" Type="http://schemas.openxmlformats.org/officeDocument/2006/relationships/hyperlink" Target="https://doi.org/10.1007/s10706-009-9285-4" TargetMode="External"/><Relationship Id="rId14" Type="http://schemas.openxmlformats.org/officeDocument/2006/relationships/hyperlink" Target="https://doi.org/10.1007/s00521-022-07856-4" TargetMode="External"/><Relationship Id="rId22" Type="http://schemas.openxmlformats.org/officeDocument/2006/relationships/hyperlink" Target="https://doi.org/10.1007/s10706-022-02143-4" TargetMode="External"/><Relationship Id="rId27" Type="http://schemas.openxmlformats.org/officeDocument/2006/relationships/hyperlink" Target="https://doi.org/10.1007/s10706-015-9897-1" TargetMode="External"/><Relationship Id="rId30" Type="http://schemas.openxmlformats.org/officeDocument/2006/relationships/hyperlink" Target="https://doi.org/10.1007/s12205-017-1899-5" TargetMode="External"/><Relationship Id="rId35" Type="http://schemas.openxmlformats.org/officeDocument/2006/relationships/hyperlink" Target="https://doi.org/10.1088/2631-8695/add858"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3208/sandf.39.5_61" TargetMode="External"/><Relationship Id="rId17" Type="http://schemas.openxmlformats.org/officeDocument/2006/relationships/hyperlink" Target="https://doi.org/10.1007/s11440-018-0745-3" TargetMode="External"/><Relationship Id="rId25" Type="http://schemas.openxmlformats.org/officeDocument/2006/relationships/hyperlink" Target="https://doi.org/10.1007/s41403-016-0012-6" TargetMode="External"/><Relationship Id="rId33" Type="http://schemas.openxmlformats.org/officeDocument/2006/relationships/hyperlink" Target="https://doi.org/10.1088/2631-8695/ac7f49"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9</Pages>
  <Words>4480</Words>
  <Characters>25538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Eyenike</dc:creator>
  <cp:keywords/>
  <dc:description/>
  <cp:lastModifiedBy>SDI 1180</cp:lastModifiedBy>
  <cp:revision>261</cp:revision>
  <dcterms:created xsi:type="dcterms:W3CDTF">2025-08-04T19:12:00Z</dcterms:created>
  <dcterms:modified xsi:type="dcterms:W3CDTF">2025-08-27T11:55:00Z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1feee121-4f21-4592-8eea-121b2e89af31</vt:lpwstr>
  </property>
</Properties>
</file>