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54874" w14:textId="77777777" w:rsidR="002A3C1D" w:rsidRPr="009E1918" w:rsidRDefault="0062457A" w:rsidP="009E1918">
      <w:pPr>
        <w:pStyle w:val="Heading1"/>
        <w:jc w:val="center"/>
        <w:rPr>
          <w:rFonts w:ascii="Times New Roman" w:hAnsi="Times New Roman" w:cs="Times New Roman"/>
          <w:color w:val="auto"/>
          <w:sz w:val="36"/>
          <w:szCs w:val="36"/>
        </w:rPr>
      </w:pPr>
      <w:r w:rsidRPr="00BA1D65">
        <w:rPr>
          <w:rFonts w:ascii="Times New Roman" w:hAnsi="Times New Roman" w:cs="Times New Roman"/>
          <w:color w:val="auto"/>
          <w:sz w:val="36"/>
          <w:szCs w:val="36"/>
        </w:rPr>
        <w:t>Measuring the Efficiency of Solar Energy Systems: Technological, Economic, and Environmental Perspectives</w:t>
      </w:r>
    </w:p>
    <w:p w14:paraId="60697297" w14:textId="77777777" w:rsidR="009E1918" w:rsidRDefault="009E1918" w:rsidP="002A3C1D">
      <w:pPr>
        <w:spacing w:after="0" w:line="240" w:lineRule="auto"/>
        <w:jc w:val="center"/>
        <w:rPr>
          <w:rFonts w:ascii="Cambria" w:eastAsia="Times New Roman" w:hAnsi="Cambria" w:cs="Cambria"/>
          <w:b/>
          <w:bCs/>
          <w:i/>
          <w:sz w:val="20"/>
          <w:szCs w:val="20"/>
          <w:lang w:eastAsia="bs-Latn-BA"/>
        </w:rPr>
      </w:pPr>
    </w:p>
    <w:p w14:paraId="59D8CF21" w14:textId="77777777" w:rsidR="002A3C1D" w:rsidRPr="002A3C1D" w:rsidRDefault="002A3C1D" w:rsidP="00CD03A8">
      <w:bookmarkStart w:id="0" w:name="_GoBack"/>
      <w:bookmarkEnd w:id="0"/>
    </w:p>
    <w:p w14:paraId="6D8F19E0" w14:textId="77777777" w:rsidR="0014042B" w:rsidRPr="0014042B" w:rsidRDefault="0014042B" w:rsidP="0014042B">
      <w:pPr>
        <w:pStyle w:val="NormalWeb"/>
        <w:jc w:val="both"/>
        <w:rPr>
          <w:i/>
          <w:iCs/>
          <w:sz w:val="20"/>
          <w:szCs w:val="20"/>
        </w:rPr>
      </w:pPr>
      <w:r w:rsidRPr="0014042B">
        <w:rPr>
          <w:rStyle w:val="Strong"/>
          <w:i/>
          <w:iCs/>
          <w:sz w:val="20"/>
          <w:szCs w:val="20"/>
        </w:rPr>
        <w:t>Abstract</w:t>
      </w:r>
      <w:r w:rsidRPr="0014042B">
        <w:rPr>
          <w:i/>
          <w:iCs/>
          <w:sz w:val="20"/>
          <w:szCs w:val="20"/>
        </w:rPr>
        <w:br/>
        <w:t>Solar energy plays a pivotal role in the global shift toward sustainable energy systems, driven by declining costs, technological innovation, and environmental benefits. This paper assesses the efficiency of solar energy systems from technological, economic, and environmental perspectives. Technologically, advances in photovoltaic (PV) systems—such as bifacial modules and perovskite-silicon tandem cells—have pushed conversion efficiencies beyond 23%, enhancing energy yield and economic competitiveness (Junker et al., 2023). Integration with energy storage and smart grid technologies improves reliability and enables real-time performance optimization. Economically, solar PV deployment generates higher employment multipliers compared to fossil-based sources, supporting new industries and job creation (Wei, Patadia &amp; Kammen, 2010). Environmentally, solar energy contributes to significant reductions in greenhouse gas emissions, supporting national and global climate goals. Regional trends reveal rapid adoption in Asia and Europe, driven by policy incentives and market growth. Emerging technologies, including hybrid PV systems, building-integrated photovoltaics, and floating solar installations, further expand applicability and efficiency. By evaluating these dimensions, this study provides a comprehensive understanding of solar energy efficiency and highlights its crucial role in advancing energy security, sustainable development, and climate change mitigation worldwide.</w:t>
      </w:r>
    </w:p>
    <w:p w14:paraId="25E08E01" w14:textId="77777777" w:rsidR="0014042B" w:rsidRPr="0014042B" w:rsidRDefault="0014042B" w:rsidP="0014042B">
      <w:pPr>
        <w:pStyle w:val="NormalWeb"/>
        <w:jc w:val="both"/>
        <w:rPr>
          <w:i/>
          <w:iCs/>
          <w:sz w:val="20"/>
          <w:szCs w:val="20"/>
        </w:rPr>
      </w:pPr>
      <w:r w:rsidRPr="0014042B">
        <w:rPr>
          <w:rStyle w:val="Strong"/>
          <w:i/>
          <w:iCs/>
          <w:sz w:val="20"/>
          <w:szCs w:val="20"/>
        </w:rPr>
        <w:t>Keywords:</w:t>
      </w:r>
      <w:r w:rsidRPr="0014042B">
        <w:rPr>
          <w:i/>
          <w:iCs/>
          <w:sz w:val="20"/>
          <w:szCs w:val="20"/>
        </w:rPr>
        <w:t xml:space="preserve"> solar energy, photovoltaic systems, efficiency, renewable energy, bifacial solar cells, perovskite technology, energy storage, sustainability</w:t>
      </w:r>
    </w:p>
    <w:p w14:paraId="32B477EF" w14:textId="77777777" w:rsidR="0014042B" w:rsidRDefault="0014042B" w:rsidP="00FF1F45">
      <w:pPr>
        <w:pStyle w:val="Heading2"/>
        <w:rPr>
          <w:rFonts w:ascii="Times New Roman" w:hAnsi="Times New Roman" w:cs="Times New Roman"/>
          <w:color w:val="auto"/>
          <w:sz w:val="24"/>
          <w:szCs w:val="24"/>
        </w:rPr>
      </w:pPr>
    </w:p>
    <w:p w14:paraId="5069CECF" w14:textId="77777777" w:rsidR="00F6409D" w:rsidRDefault="00FF1F45" w:rsidP="00FF1F45">
      <w:pPr>
        <w:pStyle w:val="Heading2"/>
        <w:rPr>
          <w:rFonts w:ascii="Times New Roman" w:hAnsi="Times New Roman" w:cs="Times New Roman"/>
          <w:color w:val="auto"/>
          <w:sz w:val="24"/>
          <w:szCs w:val="24"/>
        </w:rPr>
      </w:pPr>
      <w:r>
        <w:rPr>
          <w:rFonts w:ascii="Times New Roman" w:hAnsi="Times New Roman" w:cs="Times New Roman"/>
          <w:color w:val="auto"/>
          <w:sz w:val="24"/>
          <w:szCs w:val="24"/>
        </w:rPr>
        <w:t>1.</w:t>
      </w:r>
      <w:r w:rsidR="0062457A" w:rsidRPr="00FF1F45">
        <w:rPr>
          <w:rFonts w:ascii="Times New Roman" w:hAnsi="Times New Roman" w:cs="Times New Roman"/>
          <w:color w:val="auto"/>
          <w:sz w:val="24"/>
          <w:szCs w:val="24"/>
        </w:rPr>
        <w:t>Introduction</w:t>
      </w:r>
    </w:p>
    <w:p w14:paraId="717A38B2" w14:textId="354197D6" w:rsidR="00FF1F45" w:rsidRPr="004B6304" w:rsidRDefault="00480A9F" w:rsidP="004B6304">
      <w:pPr>
        <w:pStyle w:val="NormalWeb"/>
        <w:jc w:val="both"/>
        <w:rPr>
          <w:sz w:val="22"/>
          <w:szCs w:val="22"/>
        </w:rPr>
      </w:pPr>
      <w:r w:rsidRPr="00480A9F">
        <w:rPr>
          <w:sz w:val="22"/>
          <w:szCs w:val="22"/>
        </w:rPr>
        <w:t>Solar energy has emerged as one of the most promising renewable sources in the global transition to sustainable energy. With steadily declining costs, improved efficiency, and wide availability, it plays a critical role in reducing dependence on fossil fuels and mitigating climate change. This paper examines solar energy efficiency from technological, economic, and environmental perspectives, highlighting its potential to shape the future of global energy systems. Technological advancements in photovoltaic (PV) systems—such as bifacial modules and perovskite-silicon tandems—have pushed conversion efficiencies to unprecedented levels, enhancing energy yield and economic competitiveness. Recent studies report bifacial perovskite solar cells achieving conversion efficiencies exceeding 23% and bifaciality above 91% (Junker et al., 2023). Complementing these advances, the integration of storage solutions and smart grid systems further strengthens solar’s reliability as a mainstream energy option. From an economic standpoint, investments in solar PV generate substantially higher employment multipliers than fossil-based sources, reflecting the labor-intensive nature of the sector and its capacity for job creation (Wei, Patadia &amp; Kammen, 2010). Environmentally, solar energy contributes significantly to greenhouse gas reduction, supporting sustainability targets set by the Paris Agreement and national energy strategies. Hence, a comprehensive assessment of solar efficiency is essential for understanding both its current performance and future role in global energy security and climate resilience.</w:t>
      </w:r>
    </w:p>
    <w:p w14:paraId="78DDFA13"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lastRenderedPageBreak/>
        <w:t>2. Technological Aspects of Solar Energy Efficiency</w:t>
      </w:r>
    </w:p>
    <w:p w14:paraId="76CF9D04" w14:textId="77777777" w:rsidR="005C59CC" w:rsidRPr="005C59CC" w:rsidRDefault="0062457A" w:rsidP="005C59CC">
      <w:pPr>
        <w:pStyle w:val="NormalWeb"/>
        <w:jc w:val="both"/>
        <w:rPr>
          <w:sz w:val="22"/>
          <w:szCs w:val="22"/>
        </w:rPr>
      </w:pPr>
      <w:r w:rsidRPr="005C59CC">
        <w:rPr>
          <w:sz w:val="22"/>
          <w:szCs w:val="22"/>
        </w:rPr>
        <w:t>The efficiency of solar systems is largely determined by the technology employed.</w:t>
      </w:r>
      <w:r w:rsidR="005C59CC" w:rsidRPr="005C59CC">
        <w:rPr>
          <w:rStyle w:val="HeaderChar"/>
          <w:sz w:val="22"/>
          <w:szCs w:val="22"/>
        </w:rPr>
        <w:t xml:space="preserve"> </w:t>
      </w:r>
      <w:r w:rsidR="005C59CC" w:rsidRPr="005C59CC">
        <w:rPr>
          <w:rStyle w:val="Emphasis"/>
          <w:i w:val="0"/>
          <w:iCs w:val="0"/>
          <w:sz w:val="22"/>
          <w:szCs w:val="22"/>
        </w:rPr>
        <w:t>Global deployment of solar PV has accelerated over the past decade, as illustrated in Figure 1.</w:t>
      </w:r>
    </w:p>
    <w:p w14:paraId="15C794DF" w14:textId="77777777" w:rsidR="004910C3" w:rsidRDefault="004910C3">
      <w:pPr>
        <w:rPr>
          <w:rFonts w:ascii="Times New Roman" w:hAnsi="Times New Roman" w:cs="Times New Roman"/>
        </w:rPr>
      </w:pPr>
    </w:p>
    <w:p w14:paraId="24A6F093" w14:textId="77777777" w:rsidR="004910C3" w:rsidRDefault="00137861" w:rsidP="00137861">
      <w:pPr>
        <w:jc w:val="center"/>
        <w:rPr>
          <w:rFonts w:ascii="Times New Roman" w:hAnsi="Times New Roman" w:cs="Times New Roman"/>
        </w:rPr>
      </w:pPr>
      <w:r w:rsidRPr="00742A64">
        <w:rPr>
          <w:rFonts w:ascii="Times New Roman" w:hAnsi="Times New Roman" w:cs="Times New Roman"/>
          <w:noProof/>
        </w:rPr>
        <w:drawing>
          <wp:inline distT="0" distB="0" distL="0" distR="0" wp14:anchorId="1C854819" wp14:editId="402BB5AF">
            <wp:extent cx="5107940" cy="3067050"/>
            <wp:effectExtent l="0" t="0" r="0" b="0"/>
            <wp:docPr id="165115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59236" name=""/>
                    <pic:cNvPicPr/>
                  </pic:nvPicPr>
                  <pic:blipFill rotWithShape="1">
                    <a:blip r:embed="rId8"/>
                    <a:srcRect b="7782"/>
                    <a:stretch/>
                  </pic:blipFill>
                  <pic:spPr bwMode="auto">
                    <a:xfrm>
                      <a:off x="0" y="0"/>
                      <a:ext cx="5159836" cy="3098211"/>
                    </a:xfrm>
                    <a:prstGeom prst="rect">
                      <a:avLst/>
                    </a:prstGeom>
                    <a:ln>
                      <a:noFill/>
                    </a:ln>
                    <a:extLst>
                      <a:ext uri="{53640926-AAD7-44D8-BBD7-CCE9431645EC}">
                        <a14:shadowObscured xmlns:a14="http://schemas.microsoft.com/office/drawing/2010/main"/>
                      </a:ext>
                    </a:extLst>
                  </pic:spPr>
                </pic:pic>
              </a:graphicData>
            </a:graphic>
          </wp:inline>
        </w:drawing>
      </w:r>
    </w:p>
    <w:p w14:paraId="33680EC5" w14:textId="77777777" w:rsidR="00E646C1" w:rsidRPr="00F31E64" w:rsidRDefault="00F31E64" w:rsidP="00F31E64">
      <w:pPr>
        <w:rPr>
          <w:rFonts w:ascii="Times New Roman" w:eastAsia="Times New Roman" w:hAnsi="Times New Roman" w:cs="Times New Roman"/>
          <w:sz w:val="16"/>
          <w:szCs w:val="16"/>
          <w:lang w:eastAsia="bs-Latn-BA"/>
        </w:rPr>
      </w:pPr>
      <w:bookmarkStart w:id="1" w:name="_Hlk207529999"/>
      <w:r>
        <w:rPr>
          <w:rFonts w:ascii="Times New Roman" w:eastAsia="Times New Roman" w:hAnsi="Times New Roman" w:cs="Times New Roman"/>
          <w:i/>
          <w:iCs/>
          <w:sz w:val="16"/>
          <w:szCs w:val="16"/>
          <w:lang w:val="bs-Latn-BA" w:eastAsia="bs-Latn-BA"/>
        </w:rPr>
        <w:t xml:space="preserve">                                              </w:t>
      </w:r>
      <w:r w:rsidR="00E646C1" w:rsidRPr="00BA1D65">
        <w:rPr>
          <w:rFonts w:ascii="Times New Roman" w:eastAsia="Times New Roman" w:hAnsi="Times New Roman" w:cs="Times New Roman"/>
          <w:i/>
          <w:iCs/>
          <w:sz w:val="16"/>
          <w:szCs w:val="16"/>
          <w:lang w:val="bs-Latn-BA" w:eastAsia="bs-Latn-BA"/>
        </w:rPr>
        <w:t>Source:</w:t>
      </w:r>
      <w:r w:rsidR="00EA1760" w:rsidRPr="00F31E64">
        <w:rPr>
          <w:rFonts w:ascii="Times New Roman" w:hAnsi="Times New Roman"/>
          <w:sz w:val="16"/>
          <w:szCs w:val="16"/>
        </w:rPr>
        <w:t xml:space="preserve"> Renewable 2024 Global Status Report</w:t>
      </w:r>
    </w:p>
    <w:bookmarkEnd w:id="1"/>
    <w:p w14:paraId="3A0B6D77" w14:textId="77777777" w:rsidR="00956D20" w:rsidRPr="00956D20" w:rsidRDefault="00956D20" w:rsidP="00956D20">
      <w:pPr>
        <w:spacing w:before="100" w:beforeAutospacing="1" w:after="100" w:afterAutospacing="1" w:line="240" w:lineRule="auto"/>
        <w:jc w:val="center"/>
        <w:rPr>
          <w:rFonts w:ascii="Times New Roman" w:eastAsia="Times New Roman" w:hAnsi="Times New Roman" w:cs="Times New Roman"/>
          <w:i/>
          <w:iCs/>
          <w:sz w:val="20"/>
          <w:szCs w:val="20"/>
          <w:lang w:eastAsia="bs-Latn-BA"/>
        </w:rPr>
      </w:pPr>
      <w:r>
        <w:rPr>
          <w:rFonts w:ascii="Times New Roman" w:hAnsi="Times New Roman" w:cs="Times New Roman"/>
        </w:rPr>
        <w:t>Figur</w:t>
      </w:r>
      <w:r w:rsidR="0076222D">
        <w:rPr>
          <w:rFonts w:ascii="Times New Roman" w:hAnsi="Times New Roman" w:cs="Times New Roman"/>
        </w:rPr>
        <w:t xml:space="preserve">e </w:t>
      </w:r>
      <w:proofErr w:type="gramStart"/>
      <w:r w:rsidR="0076222D">
        <w:rPr>
          <w:rFonts w:ascii="Times New Roman" w:hAnsi="Times New Roman" w:cs="Times New Roman"/>
        </w:rPr>
        <w:t>1.</w:t>
      </w:r>
      <w:r w:rsidRPr="00956D20">
        <w:rPr>
          <w:rFonts w:ascii="Times New Roman" w:hAnsi="Times New Roman" w:cs="Times New Roman"/>
        </w:rPr>
        <w:t>Trends</w:t>
      </w:r>
      <w:proofErr w:type="gramEnd"/>
      <w:r w:rsidRPr="00956D20">
        <w:rPr>
          <w:rFonts w:ascii="Times New Roman" w:hAnsi="Times New Roman" w:cs="Times New Roman"/>
        </w:rPr>
        <w:t xml:space="preserve"> of Solar PV Capacity Globally</w:t>
      </w:r>
    </w:p>
    <w:p w14:paraId="299346C1" w14:textId="4AC926DA" w:rsidR="004620D8" w:rsidRPr="004620D8" w:rsidRDefault="00956D20" w:rsidP="00956D20">
      <w:pPr>
        <w:spacing w:after="0" w:line="240" w:lineRule="auto"/>
        <w:jc w:val="both"/>
        <w:rPr>
          <w:rFonts w:ascii="Times New Roman" w:hAnsi="Times New Roman" w:cs="Times New Roman"/>
        </w:rPr>
      </w:pPr>
      <w:r w:rsidRPr="001E5793">
        <w:rPr>
          <w:rStyle w:val="Emphasis"/>
          <w:rFonts w:ascii="Times New Roman" w:hAnsi="Times New Roman" w:cs="Times New Roman"/>
          <w:i w:val="0"/>
          <w:iCs w:val="0"/>
        </w:rPr>
        <w:t xml:space="preserve">Figure </w:t>
      </w:r>
      <w:r w:rsidR="0076222D" w:rsidRPr="001E5793">
        <w:rPr>
          <w:rStyle w:val="Emphasis"/>
          <w:rFonts w:ascii="Times New Roman" w:hAnsi="Times New Roman" w:cs="Times New Roman"/>
          <w:i w:val="0"/>
          <w:iCs w:val="0"/>
        </w:rPr>
        <w:t>1</w:t>
      </w:r>
      <w:r w:rsidRPr="001E5793">
        <w:rPr>
          <w:rStyle w:val="Emphasis"/>
          <w:rFonts w:ascii="Times New Roman" w:hAnsi="Times New Roman" w:cs="Times New Roman"/>
          <w:i w:val="0"/>
          <w:iCs w:val="0"/>
        </w:rPr>
        <w:t xml:space="preserve"> shows the increasing global installed capacity of solar PV systems from 2010 to 2025, highlighting the rapid adoption in key regions.</w:t>
      </w:r>
      <w:r w:rsidR="001E5793" w:rsidRPr="001E5793">
        <w:rPr>
          <w:rFonts w:ascii="Times New Roman" w:hAnsi="Times New Roman" w:cs="Times New Roman"/>
        </w:rPr>
        <w:t xml:space="preserve"> A regional perspective of installed solar PV capacity is presented in Figure 2, highlighting Asia and Europe as leading markets.</w:t>
      </w:r>
      <w:r w:rsidR="004620D8">
        <w:rPr>
          <w:rFonts w:ascii="Times New Roman" w:hAnsi="Times New Roman" w:cs="Times New Roman"/>
        </w:rPr>
        <w:t xml:space="preserve"> </w:t>
      </w:r>
      <w:r w:rsidR="004620D8" w:rsidRPr="004620D8">
        <w:rPr>
          <w:rFonts w:ascii="Times New Roman" w:hAnsi="Times New Roman" w:cs="Times New Roman"/>
        </w:rPr>
        <w:t>Advancements in solar cell materials, including high-efficiency monocrystalline and bifacial technologies, continue to improve overall system performance. Integration of smart inverters and energy management systems further enhances the utilization of generated electricity, reducing losses and increasing reliability. Emerging innovations such as tandem cells and perovskite-based modules offer the potential for even higher efficiencies in the near future. Additionally, improvements in tracking systems and hybrid installations allow solar arrays to capture more sunlight throughout the day, optimizing energy output. As these technological developments progress, solar energy systems are becoming not only more efficient but also more adaptable to diverse environmental and grid conditions.</w:t>
      </w:r>
    </w:p>
    <w:p w14:paraId="55F1AB1E" w14:textId="77777777" w:rsidR="00CD03A8" w:rsidRDefault="00CD03A8" w:rsidP="00956D20">
      <w:pPr>
        <w:spacing w:after="0" w:line="240" w:lineRule="auto"/>
        <w:jc w:val="both"/>
        <w:rPr>
          <w:rFonts w:ascii="Times New Roman" w:hAnsi="Times New Roman" w:cs="Times New Roman"/>
        </w:rPr>
      </w:pPr>
    </w:p>
    <w:p w14:paraId="333E9124" w14:textId="77777777" w:rsidR="00CD03A8" w:rsidRPr="001E5793" w:rsidRDefault="00CD03A8" w:rsidP="00956D20">
      <w:pPr>
        <w:spacing w:after="0" w:line="240" w:lineRule="auto"/>
        <w:jc w:val="both"/>
        <w:rPr>
          <w:rFonts w:ascii="Times New Roman" w:eastAsia="Times New Roman" w:hAnsi="Times New Roman" w:cs="Times New Roman"/>
          <w:i/>
          <w:iCs/>
          <w:lang w:eastAsia="bs-Latn-BA"/>
        </w:rPr>
      </w:pPr>
      <w:r w:rsidRPr="00C541B8">
        <w:t>Regional breakdown in Figure 2 illustrates the dominant growth in Asia and Europe compared to other regions. Photovoltaic (PV) systems remain the dominant form, based on monocrystalline and polycrystalline silicon. Monocrystalline PV modules reach efficiencies of 18–22%, while polycrystalline achieve 15–17% (Shao &amp; Xu, 2018).</w:t>
      </w:r>
    </w:p>
    <w:p w14:paraId="0252D37F" w14:textId="77777777" w:rsidR="00137861" w:rsidRDefault="009C6FDA" w:rsidP="00137861">
      <w:pPr>
        <w:jc w:val="center"/>
        <w:rPr>
          <w:rFonts w:ascii="Times New Roman" w:hAnsi="Times New Roman" w:cs="Times New Roman"/>
        </w:rPr>
      </w:pPr>
      <w:r w:rsidRPr="00530B51">
        <w:rPr>
          <w:rFonts w:ascii="Times New Roman" w:hAnsi="Times New Roman" w:cs="Times New Roman"/>
          <w:i/>
          <w:iCs/>
          <w:noProof/>
          <w:sz w:val="20"/>
          <w:szCs w:val="20"/>
        </w:rPr>
        <w:lastRenderedPageBreak/>
        <w:drawing>
          <wp:inline distT="0" distB="0" distL="0" distR="0" wp14:anchorId="67E5C2CE" wp14:editId="746F3691">
            <wp:extent cx="4675590" cy="2752725"/>
            <wp:effectExtent l="0" t="0" r="0" b="0"/>
            <wp:docPr id="151209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96636" name=""/>
                    <pic:cNvPicPr/>
                  </pic:nvPicPr>
                  <pic:blipFill>
                    <a:blip r:embed="rId9"/>
                    <a:stretch>
                      <a:fillRect/>
                    </a:stretch>
                  </pic:blipFill>
                  <pic:spPr>
                    <a:xfrm>
                      <a:off x="0" y="0"/>
                      <a:ext cx="4702570" cy="2768610"/>
                    </a:xfrm>
                    <a:prstGeom prst="rect">
                      <a:avLst/>
                    </a:prstGeom>
                  </pic:spPr>
                </pic:pic>
              </a:graphicData>
            </a:graphic>
          </wp:inline>
        </w:drawing>
      </w:r>
    </w:p>
    <w:p w14:paraId="3E885234" w14:textId="77777777" w:rsidR="004A32CC" w:rsidRPr="004A32CC" w:rsidRDefault="004A32CC" w:rsidP="004A32CC">
      <w:pPr>
        <w:rPr>
          <w:rFonts w:ascii="Times New Roman" w:eastAsia="Times New Roman" w:hAnsi="Times New Roman" w:cs="Times New Roman"/>
          <w:sz w:val="16"/>
          <w:szCs w:val="16"/>
          <w:lang w:eastAsia="bs-Latn-BA"/>
        </w:rPr>
      </w:pPr>
      <w:r>
        <w:rPr>
          <w:rFonts w:ascii="Times New Roman" w:eastAsia="Times New Roman" w:hAnsi="Times New Roman" w:cs="Times New Roman"/>
          <w:i/>
          <w:iCs/>
          <w:sz w:val="16"/>
          <w:szCs w:val="16"/>
          <w:lang w:val="bs-Latn-BA" w:eastAsia="bs-Latn-BA"/>
        </w:rPr>
        <w:t xml:space="preserve">                                              </w:t>
      </w:r>
      <w:r w:rsidRPr="00BA1D65">
        <w:rPr>
          <w:rFonts w:ascii="Times New Roman" w:eastAsia="Times New Roman" w:hAnsi="Times New Roman" w:cs="Times New Roman"/>
          <w:i/>
          <w:iCs/>
          <w:sz w:val="16"/>
          <w:szCs w:val="16"/>
          <w:lang w:val="bs-Latn-BA" w:eastAsia="bs-Latn-BA"/>
        </w:rPr>
        <w:t>Source:</w:t>
      </w:r>
      <w:r w:rsidRPr="00F31E64">
        <w:rPr>
          <w:rFonts w:ascii="Times New Roman" w:hAnsi="Times New Roman"/>
          <w:sz w:val="16"/>
          <w:szCs w:val="16"/>
        </w:rPr>
        <w:t xml:space="preserve"> Renewable 2024 Global Status Report</w:t>
      </w:r>
    </w:p>
    <w:p w14:paraId="0EC66F09" w14:textId="77777777" w:rsidR="009C6FDA" w:rsidRDefault="003404B4" w:rsidP="00137861">
      <w:pPr>
        <w:jc w:val="center"/>
        <w:rPr>
          <w:rFonts w:ascii="Times New Roman" w:hAnsi="Times New Roman" w:cs="Times New Roman"/>
        </w:rPr>
      </w:pPr>
      <w:r>
        <w:t>Figure 2</w:t>
      </w:r>
      <w:r w:rsidR="004A32CC">
        <w:t xml:space="preserve">. </w:t>
      </w:r>
      <w:r>
        <w:t xml:space="preserve"> </w:t>
      </w:r>
      <w:r w:rsidR="004A32CC">
        <w:t xml:space="preserve">Regional </w:t>
      </w:r>
      <w:r>
        <w:t>Trends of Solar PV Capacity Globally</w:t>
      </w:r>
    </w:p>
    <w:p w14:paraId="6D9E6417" w14:textId="103AD611" w:rsidR="00EF054C" w:rsidRPr="00905F75" w:rsidRDefault="00EF054C" w:rsidP="0014042B">
      <w:pPr>
        <w:pStyle w:val="NormalWeb"/>
        <w:jc w:val="both"/>
        <w:rPr>
          <w:rStyle w:val="Emphasis"/>
          <w:i w:val="0"/>
          <w:iCs w:val="0"/>
          <w:sz w:val="22"/>
          <w:szCs w:val="22"/>
        </w:rPr>
      </w:pPr>
      <w:r w:rsidRPr="00C541B8">
        <w:rPr>
          <w:sz w:val="22"/>
          <w:szCs w:val="22"/>
        </w:rPr>
        <w:t>Recent research on perovskite materials demonstrates efficiency rates above 25%, providing a promising alternative to silicon (Green et al., 2022). Hybrid systems, floating PV, and building-integrated photovoltaics (BIPV) further enhance applicability. Solar thermal systems, particularly flat-plate and evacuated tube collectors, remain widely applied in residential and industrial heating (Zhang &amp; Yang, 2019). Innovations such as smart solar systems connected to IoT technologies increase adaptability and allow real-time performance optimization.Furthermore, the integration of energy storage solutions, such as lithium-ion and emerging solid-state batteries, significantly enhances the capacity of solar systems to provide stable and dispatchable power. Policy incentives and declining module costs have accelerated deployment in emerging markets, broadening access to clean energy. Research into tandem PV cells and novel perovskite-silicon architectures is expected to further push conversion efficiencies, potentially exceeding 30% in commercial applications. Additionally, combining solar with other renewable sources, such as wind or hydro, through hybrid microgrids improves overall system reliability and resilience. Finally, advances in predictive maintenance and real-time monitoring allow operators to maximize energy yield and extend the operational lifespan of solar installations.</w:t>
      </w:r>
      <w:r w:rsidR="00856921">
        <w:t xml:space="preserve"> </w:t>
      </w:r>
      <w:r w:rsidRPr="00905F75">
        <w:rPr>
          <w:sz w:val="22"/>
          <w:szCs w:val="22"/>
        </w:rPr>
        <w:t xml:space="preserve">Recent reviews highlight that bifacial perovskite and silicon heterojunction (SHJ) solar cells are among the most promising architectures, with laboratory efficiencies above 33% (Iturralde </w:t>
      </w:r>
      <w:r w:rsidR="00CF7195" w:rsidRPr="00905F75">
        <w:rPr>
          <w:sz w:val="22"/>
          <w:szCs w:val="22"/>
        </w:rPr>
        <w:t>et al.</w:t>
      </w:r>
      <w:r w:rsidRPr="00905F75">
        <w:rPr>
          <w:sz w:val="22"/>
          <w:szCs w:val="22"/>
        </w:rPr>
        <w:t>, 2025). Moreover, advanced thermal management strategies, including passive cooling and hybrid PV–thermoelectric generator (TEG) systems, are increasingly being investigated to mitigate heat-induced efficiency losses (Parthiban, 2022). Floating photovoltaic (FPV) systems, particularly in Asia and Europe, demonstrate higher yield due to natural cooling from water surfaces, while also reducing land-use conflicts (Nazir et al., 2023). These innovations not only expand the technological scope of solar applications but also enhance energy yield and operational stability.</w:t>
      </w:r>
    </w:p>
    <w:p w14:paraId="7072AC8E" w14:textId="77777777" w:rsidR="0095542D" w:rsidRPr="0075143C" w:rsidRDefault="0095542D" w:rsidP="0075143C">
      <w:pPr>
        <w:pStyle w:val="NormalWeb"/>
        <w:jc w:val="both"/>
      </w:pPr>
      <w:r w:rsidRPr="0075143C">
        <w:rPr>
          <w:rStyle w:val="Strong"/>
        </w:rPr>
        <w:t>3. Economic Viability and Sustainability Indicators</w:t>
      </w:r>
    </w:p>
    <w:p w14:paraId="7A52BA7E" w14:textId="77777777" w:rsidR="0095542D" w:rsidRDefault="0095542D" w:rsidP="0075143C">
      <w:pPr>
        <w:pStyle w:val="NormalWeb"/>
        <w:jc w:val="both"/>
        <w:rPr>
          <w:rStyle w:val="Emphasis"/>
          <w:i w:val="0"/>
          <w:iCs w:val="0"/>
          <w:sz w:val="22"/>
          <w:szCs w:val="22"/>
        </w:rPr>
      </w:pPr>
      <w:r w:rsidRPr="0075143C">
        <w:rPr>
          <w:sz w:val="22"/>
          <w:szCs w:val="22"/>
        </w:rPr>
        <w:t xml:space="preserve">Economic aspects represent a critical factor in solar energy deployment. While the cost of PV modules has dropped by more than 80% in the last decade, installation and storage costs remain </w:t>
      </w:r>
      <w:r w:rsidRPr="0075143C">
        <w:rPr>
          <w:sz w:val="22"/>
          <w:szCs w:val="22"/>
        </w:rPr>
        <w:lastRenderedPageBreak/>
        <w:t>significant (Haegel et al., 2019). The Levelized Cost of Energy (LCOE) is a key benchmark. In many regions, solar LCOE has reached values below conventional fossil fuels, often in the range of 20–40 USD/MWh (Branker et al., 2011</w:t>
      </w:r>
      <w:r w:rsidRPr="0089688C">
        <w:rPr>
          <w:i/>
          <w:iCs/>
          <w:sz w:val="22"/>
          <w:szCs w:val="22"/>
        </w:rPr>
        <w:t xml:space="preserve">). </w:t>
      </w:r>
      <w:r w:rsidRPr="0089688C">
        <w:rPr>
          <w:rStyle w:val="Emphasis"/>
          <w:i w:val="0"/>
          <w:iCs w:val="0"/>
          <w:sz w:val="22"/>
          <w:szCs w:val="22"/>
        </w:rPr>
        <w:t xml:space="preserve">Figure </w:t>
      </w:r>
      <w:r w:rsidR="0089688C" w:rsidRPr="0089688C">
        <w:rPr>
          <w:rStyle w:val="Emphasis"/>
          <w:i w:val="0"/>
          <w:iCs w:val="0"/>
          <w:sz w:val="22"/>
          <w:szCs w:val="22"/>
        </w:rPr>
        <w:t>3</w:t>
      </w:r>
      <w:r w:rsidRPr="0089688C">
        <w:rPr>
          <w:rStyle w:val="Emphasis"/>
          <w:i w:val="0"/>
          <w:iCs w:val="0"/>
          <w:sz w:val="22"/>
          <w:szCs w:val="22"/>
        </w:rPr>
        <w:t xml:space="preserve"> presents a comparison of LCOE values across major energy sources, illustrating the strong cost competitiveness of solar PV.</w:t>
      </w:r>
    </w:p>
    <w:p w14:paraId="52C97E2A" w14:textId="77777777" w:rsidR="00AA4F5A" w:rsidRPr="00AA4F5A" w:rsidRDefault="00AA4F5A" w:rsidP="00ED330B">
      <w:pPr>
        <w:pStyle w:val="NormalWeb"/>
        <w:spacing w:before="0" w:beforeAutospacing="0" w:after="0" w:afterAutospacing="0"/>
        <w:jc w:val="center"/>
        <w:rPr>
          <w:rStyle w:val="Strong"/>
          <w:b w:val="0"/>
          <w:bCs w:val="0"/>
          <w:i/>
          <w:iCs/>
          <w:sz w:val="22"/>
          <w:szCs w:val="22"/>
        </w:rPr>
      </w:pPr>
      <w:r w:rsidRPr="000338CA">
        <w:rPr>
          <w:noProof/>
        </w:rPr>
        <w:drawing>
          <wp:inline distT="0" distB="0" distL="0" distR="0" wp14:anchorId="698D61CB" wp14:editId="6FED922B">
            <wp:extent cx="4747260" cy="2924175"/>
            <wp:effectExtent l="0" t="0" r="0" b="9525"/>
            <wp:docPr id="173515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54946" name=""/>
                    <pic:cNvPicPr/>
                  </pic:nvPicPr>
                  <pic:blipFill>
                    <a:blip r:embed="rId10"/>
                    <a:stretch>
                      <a:fillRect/>
                    </a:stretch>
                  </pic:blipFill>
                  <pic:spPr>
                    <a:xfrm>
                      <a:off x="0" y="0"/>
                      <a:ext cx="4778936" cy="2943687"/>
                    </a:xfrm>
                    <a:prstGeom prst="rect">
                      <a:avLst/>
                    </a:prstGeom>
                  </pic:spPr>
                </pic:pic>
              </a:graphicData>
            </a:graphic>
          </wp:inline>
        </w:drawing>
      </w:r>
    </w:p>
    <w:p w14:paraId="16F9FDFB" w14:textId="77777777" w:rsidR="00AA4F5A" w:rsidRPr="00AA4F5A" w:rsidRDefault="00AA4F5A" w:rsidP="00ED330B">
      <w:pPr>
        <w:pStyle w:val="NormalWeb"/>
        <w:spacing w:before="0" w:beforeAutospacing="0" w:after="0" w:afterAutospacing="0"/>
        <w:jc w:val="both"/>
        <w:rPr>
          <w:rStyle w:val="Strong"/>
          <w:sz w:val="16"/>
          <w:szCs w:val="16"/>
        </w:rPr>
      </w:pPr>
      <w:r>
        <w:rPr>
          <w:rStyle w:val="Strong"/>
          <w:b w:val="0"/>
          <w:bCs w:val="0"/>
          <w:sz w:val="16"/>
          <w:szCs w:val="16"/>
        </w:rPr>
        <w:t xml:space="preserve">                                 </w:t>
      </w:r>
      <w:r w:rsidRPr="00AA4F5A">
        <w:rPr>
          <w:rStyle w:val="Strong"/>
          <w:b w:val="0"/>
          <w:bCs w:val="0"/>
          <w:sz w:val="16"/>
          <w:szCs w:val="16"/>
        </w:rPr>
        <w:t>Source: IRENA (2024/2025).</w:t>
      </w:r>
    </w:p>
    <w:p w14:paraId="0F914F2B" w14:textId="77777777" w:rsidR="0095542D" w:rsidRPr="00AA4F5A" w:rsidRDefault="0095542D" w:rsidP="00AA4F5A">
      <w:pPr>
        <w:pStyle w:val="NormalWeb"/>
        <w:jc w:val="center"/>
        <w:rPr>
          <w:b/>
          <w:bCs/>
          <w:sz w:val="16"/>
          <w:szCs w:val="16"/>
        </w:rPr>
      </w:pPr>
      <w:r w:rsidRPr="0075143C">
        <w:rPr>
          <w:rStyle w:val="Strong"/>
          <w:b w:val="0"/>
          <w:bCs w:val="0"/>
          <w:sz w:val="22"/>
          <w:szCs w:val="22"/>
        </w:rPr>
        <w:t xml:space="preserve">Figure </w:t>
      </w:r>
      <w:r w:rsidR="0089688C">
        <w:rPr>
          <w:rStyle w:val="Strong"/>
          <w:b w:val="0"/>
          <w:bCs w:val="0"/>
          <w:sz w:val="22"/>
          <w:szCs w:val="22"/>
        </w:rPr>
        <w:t>3</w:t>
      </w:r>
      <w:r w:rsidRPr="0075143C">
        <w:rPr>
          <w:rStyle w:val="Strong"/>
          <w:b w:val="0"/>
          <w:bCs w:val="0"/>
          <w:sz w:val="22"/>
          <w:szCs w:val="22"/>
        </w:rPr>
        <w:t>. LCOE Comparison of Solar PV vs. Other Energy Sources</w:t>
      </w:r>
    </w:p>
    <w:p w14:paraId="39744E30" w14:textId="302082ED" w:rsidR="00A54ED6" w:rsidRPr="00E55403" w:rsidRDefault="0095542D" w:rsidP="00E55403">
      <w:pPr>
        <w:pStyle w:val="NormalWeb"/>
        <w:jc w:val="both"/>
        <w:rPr>
          <w:i/>
          <w:iCs/>
          <w:sz w:val="22"/>
          <w:szCs w:val="22"/>
        </w:rPr>
      </w:pPr>
      <w:r w:rsidRPr="0075143C">
        <w:rPr>
          <w:sz w:val="22"/>
          <w:szCs w:val="22"/>
        </w:rPr>
        <w:t xml:space="preserve">Energy Payback Time (EPBT), which measures the time required for a system to produce the energy spent during its production, is currently 1–4 years depending on technology (Bhandari et al., 2015). Additionally, solar energy creates millions of new jobs worldwide, with global PV employment reaching over 7 million in 2023 (IRENA, 2023). </w:t>
      </w:r>
      <w:r w:rsidRPr="0075143C">
        <w:rPr>
          <w:rStyle w:val="Emphasis"/>
          <w:i w:val="0"/>
          <w:iCs w:val="0"/>
          <w:sz w:val="22"/>
          <w:szCs w:val="22"/>
        </w:rPr>
        <w:t xml:space="preserve">Figure </w:t>
      </w:r>
      <w:r w:rsidR="0089688C">
        <w:rPr>
          <w:rStyle w:val="Emphasis"/>
          <w:i w:val="0"/>
          <w:iCs w:val="0"/>
          <w:sz w:val="22"/>
          <w:szCs w:val="22"/>
        </w:rPr>
        <w:t>4</w:t>
      </w:r>
      <w:r w:rsidRPr="0075143C">
        <w:rPr>
          <w:rStyle w:val="Emphasis"/>
          <w:i w:val="0"/>
          <w:iCs w:val="0"/>
          <w:sz w:val="22"/>
          <w:szCs w:val="22"/>
        </w:rPr>
        <w:t xml:space="preserve"> illustrates the strong correlation between investment flows in solar PV and employment growth, underscoring the sector’s role as both an economic driver and a sustainability enabler.</w:t>
      </w:r>
      <w:r w:rsidR="00E55403">
        <w:rPr>
          <w:rStyle w:val="Emphasis"/>
          <w:i w:val="0"/>
          <w:iCs w:val="0"/>
          <w:sz w:val="22"/>
          <w:szCs w:val="22"/>
        </w:rPr>
        <w:t xml:space="preserve"> </w:t>
      </w:r>
      <w:r w:rsidR="00E55403" w:rsidRPr="00E55403">
        <w:t>Moreover, the long-term economic viability of solar energy is reinforced by decreasing operational and maintenance costs, as well as improving efficiency of PV technologies. Grid parity in many regions further enhances the attractiveness of solar investments, making them increasingly resilient to fluctuations in fossil fuel prices. Solar energy also contributes to energy security by reducing dependence on imported fuels and mitigating exposure to global market volatility. From a sustainability perspective, the low carbon footprint of PV systems compared to conventional energy sources provides significant environmental benefits. The combination of rapid cost declines, job creation, and environmental advantages positions solar energy as a cornerstone of both economic development and climate change mitigation strategies. As technology continues to advance and scale, the integration of solar energy into national energy portfolios is expected to accelerate, supporting broader goals of sustainable growth and decarbonization.</w:t>
      </w:r>
    </w:p>
    <w:p w14:paraId="3DE84E18" w14:textId="77777777" w:rsidR="001118D7" w:rsidRDefault="003A7089" w:rsidP="003A7089">
      <w:pPr>
        <w:spacing w:before="100" w:beforeAutospacing="1" w:after="100" w:afterAutospacing="1" w:line="240" w:lineRule="auto"/>
        <w:jc w:val="center"/>
        <w:rPr>
          <w:rStyle w:val="Emphasis"/>
          <w:rFonts w:ascii="Times New Roman" w:hAnsi="Times New Roman" w:cs="Times New Roman"/>
          <w:i w:val="0"/>
          <w:iCs w:val="0"/>
          <w:color w:val="4F81BD" w:themeColor="accent1"/>
        </w:rPr>
      </w:pPr>
      <w:r w:rsidRPr="001B3E93">
        <w:rPr>
          <w:rFonts w:ascii="Times New Roman" w:hAnsi="Times New Roman" w:cs="Times New Roman"/>
          <w:noProof/>
          <w:sz w:val="16"/>
          <w:szCs w:val="16"/>
        </w:rPr>
        <w:lastRenderedPageBreak/>
        <w:drawing>
          <wp:inline distT="0" distB="0" distL="0" distR="0" wp14:anchorId="080D6B45" wp14:editId="05D8DC0F">
            <wp:extent cx="3943628" cy="2438881"/>
            <wp:effectExtent l="0" t="0" r="0" b="0"/>
            <wp:docPr id="195241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17956" name=""/>
                    <pic:cNvPicPr/>
                  </pic:nvPicPr>
                  <pic:blipFill>
                    <a:blip r:embed="rId11"/>
                    <a:stretch>
                      <a:fillRect/>
                    </a:stretch>
                  </pic:blipFill>
                  <pic:spPr>
                    <a:xfrm>
                      <a:off x="0" y="0"/>
                      <a:ext cx="4028444" cy="2491334"/>
                    </a:xfrm>
                    <a:prstGeom prst="rect">
                      <a:avLst/>
                    </a:prstGeom>
                  </pic:spPr>
                </pic:pic>
              </a:graphicData>
            </a:graphic>
          </wp:inline>
        </w:drawing>
      </w:r>
    </w:p>
    <w:p w14:paraId="1408D393" w14:textId="77777777" w:rsidR="003A7089" w:rsidRDefault="00B07BC4" w:rsidP="003A7089">
      <w:pPr>
        <w:spacing w:before="100" w:beforeAutospacing="1" w:after="100" w:afterAutospacing="1" w:line="240" w:lineRule="auto"/>
        <w:jc w:val="center"/>
        <w:rPr>
          <w:rFonts w:ascii="Times New Roman" w:hAnsi="Times New Roman" w:cs="Times New Roman"/>
          <w:sz w:val="16"/>
          <w:szCs w:val="16"/>
        </w:rPr>
      </w:pPr>
      <w:r w:rsidRPr="002C39CD">
        <w:rPr>
          <w:rFonts w:ascii="Times New Roman" w:hAnsi="Times New Roman" w:cs="Times New Roman"/>
          <w:sz w:val="16"/>
          <w:szCs w:val="16"/>
        </w:rPr>
        <w:t>Source: See endnote 11 for this section</w:t>
      </w:r>
    </w:p>
    <w:p w14:paraId="31A9749D" w14:textId="77777777" w:rsidR="00B07BC4" w:rsidRDefault="00BB1B16" w:rsidP="003A7089">
      <w:pPr>
        <w:spacing w:before="100" w:beforeAutospacing="1" w:after="100" w:afterAutospacing="1" w:line="240" w:lineRule="auto"/>
        <w:jc w:val="center"/>
        <w:rPr>
          <w:rStyle w:val="Emphasis"/>
          <w:rFonts w:ascii="Times New Roman" w:hAnsi="Times New Roman" w:cs="Times New Roman"/>
          <w:i w:val="0"/>
          <w:iCs w:val="0"/>
          <w:color w:val="4F81BD" w:themeColor="accent1"/>
        </w:rPr>
      </w:pPr>
      <w:r w:rsidRPr="00C72F26">
        <w:rPr>
          <w:rFonts w:ascii="Times New Roman" w:hAnsi="Times New Roman" w:cs="Times New Roman"/>
          <w:noProof/>
          <w:sz w:val="16"/>
          <w:szCs w:val="16"/>
        </w:rPr>
        <w:drawing>
          <wp:inline distT="0" distB="0" distL="0" distR="0" wp14:anchorId="6B7EE272" wp14:editId="7DC215B0">
            <wp:extent cx="3831809" cy="2398595"/>
            <wp:effectExtent l="0" t="0" r="0" b="1905"/>
            <wp:docPr id="146403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08752" name=""/>
                    <pic:cNvPicPr/>
                  </pic:nvPicPr>
                  <pic:blipFill>
                    <a:blip r:embed="rId12"/>
                    <a:stretch>
                      <a:fillRect/>
                    </a:stretch>
                  </pic:blipFill>
                  <pic:spPr>
                    <a:xfrm>
                      <a:off x="0" y="0"/>
                      <a:ext cx="3914306" cy="2450235"/>
                    </a:xfrm>
                    <a:prstGeom prst="rect">
                      <a:avLst/>
                    </a:prstGeom>
                  </pic:spPr>
                </pic:pic>
              </a:graphicData>
            </a:graphic>
          </wp:inline>
        </w:drawing>
      </w:r>
    </w:p>
    <w:p w14:paraId="4CEB6614" w14:textId="77777777" w:rsidR="00BB1B16" w:rsidRDefault="005A50B5" w:rsidP="005A50B5">
      <w:pPr>
        <w:spacing w:before="100" w:beforeAutospacing="1" w:after="100" w:afterAutospacing="1"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167EE">
        <w:rPr>
          <w:rFonts w:ascii="Times New Roman" w:hAnsi="Times New Roman" w:cs="Times New Roman"/>
          <w:sz w:val="16"/>
          <w:szCs w:val="16"/>
        </w:rPr>
        <w:t>Source: See endnote 239 for this module</w:t>
      </w:r>
    </w:p>
    <w:p w14:paraId="7DB7EC32" w14:textId="77777777" w:rsidR="00EA5335" w:rsidRPr="00FB355A" w:rsidRDefault="0014042B" w:rsidP="00FB355A">
      <w:pPr>
        <w:rPr>
          <w:rStyle w:val="Emphasis"/>
          <w:rFonts w:ascii="Times New Roman" w:hAnsi="Times New Roman" w:cs="Times New Roman"/>
          <w:i w:val="0"/>
          <w:iCs w:val="0"/>
          <w:sz w:val="16"/>
          <w:szCs w:val="16"/>
        </w:rPr>
      </w:pPr>
      <w:r>
        <w:rPr>
          <w:rFonts w:ascii="Times New Roman" w:hAnsi="Times New Roman" w:cs="Times New Roman"/>
          <w:sz w:val="16"/>
          <w:szCs w:val="16"/>
        </w:rPr>
        <w:t xml:space="preserve">                                   </w:t>
      </w:r>
      <w:proofErr w:type="spellStart"/>
      <w:proofErr w:type="gramStart"/>
      <w:r w:rsidR="00FB355A">
        <w:rPr>
          <w:rFonts w:ascii="Times New Roman" w:hAnsi="Times New Roman" w:cs="Times New Roman"/>
          <w:sz w:val="16"/>
          <w:szCs w:val="16"/>
        </w:rPr>
        <w:t>Source:</w:t>
      </w:r>
      <w:r w:rsidR="00EA5335" w:rsidRPr="00EA5335">
        <w:rPr>
          <w:rFonts w:ascii="Times New Roman" w:hAnsi="Times New Roman" w:cs="Times New Roman"/>
          <w:sz w:val="16"/>
          <w:szCs w:val="16"/>
        </w:rPr>
        <w:t>Renewable</w:t>
      </w:r>
      <w:proofErr w:type="spellEnd"/>
      <w:proofErr w:type="gramEnd"/>
      <w:r w:rsidR="00EA5335" w:rsidRPr="00EA5335">
        <w:rPr>
          <w:rFonts w:ascii="Times New Roman" w:hAnsi="Times New Roman" w:cs="Times New Roman"/>
          <w:sz w:val="16"/>
          <w:szCs w:val="16"/>
        </w:rPr>
        <w:t xml:space="preserve"> 2024 Global Status Report;</w:t>
      </w:r>
      <w:r w:rsidR="00EA5335" w:rsidRPr="00EA5335">
        <w:rPr>
          <w:rFonts w:ascii="Times New Roman" w:eastAsia="Times New Roman" w:hAnsi="Times New Roman" w:cs="Times New Roman"/>
          <w:sz w:val="16"/>
          <w:szCs w:val="16"/>
          <w:lang w:eastAsia="bs-Latn-BA"/>
        </w:rPr>
        <w:t xml:space="preserve"> IRENA 2023; FS-UNEP Centre &amp; </w:t>
      </w:r>
      <w:proofErr w:type="spellStart"/>
      <w:r w:rsidR="00EA5335" w:rsidRPr="00EA5335">
        <w:rPr>
          <w:rFonts w:ascii="Times New Roman" w:eastAsia="Times New Roman" w:hAnsi="Times New Roman" w:cs="Times New Roman"/>
          <w:sz w:val="16"/>
          <w:szCs w:val="16"/>
          <w:lang w:eastAsia="bs-Latn-BA"/>
        </w:rPr>
        <w:t>BloombergNEF</w:t>
      </w:r>
      <w:proofErr w:type="spellEnd"/>
      <w:r w:rsidR="00EA5335" w:rsidRPr="00EA5335">
        <w:rPr>
          <w:rFonts w:ascii="Times New Roman" w:eastAsia="Times New Roman" w:hAnsi="Times New Roman" w:cs="Times New Roman"/>
          <w:sz w:val="16"/>
          <w:szCs w:val="16"/>
          <w:lang w:eastAsia="bs-Latn-BA"/>
        </w:rPr>
        <w:t xml:space="preserve"> 2023</w:t>
      </w:r>
    </w:p>
    <w:p w14:paraId="13ED3FB0" w14:textId="77777777" w:rsidR="003A7089" w:rsidRPr="001818F8" w:rsidRDefault="001818F8" w:rsidP="00597579">
      <w:pPr>
        <w:jc w:val="center"/>
        <w:rPr>
          <w:rStyle w:val="Emphasis"/>
          <w:rFonts w:ascii="Times New Roman" w:hAnsi="Times New Roman" w:cs="Times New Roman"/>
          <w:i w:val="0"/>
          <w:iCs w:val="0"/>
        </w:rPr>
      </w:pPr>
      <w:r w:rsidRPr="001818F8">
        <w:rPr>
          <w:rFonts w:ascii="Times New Roman" w:hAnsi="Times New Roman" w:cs="Times New Roman"/>
        </w:rPr>
        <w:t>Figure 3.  Investments and Employment</w:t>
      </w:r>
    </w:p>
    <w:p w14:paraId="0FB110CB" w14:textId="4C9386FE" w:rsidR="00FB355A" w:rsidRPr="00E30FE7" w:rsidRDefault="001118D7" w:rsidP="001818F8">
      <w:pPr>
        <w:spacing w:before="100" w:beforeAutospacing="1" w:after="100" w:afterAutospacing="1" w:line="240" w:lineRule="auto"/>
        <w:jc w:val="both"/>
        <w:rPr>
          <w:rFonts w:ascii="Times New Roman" w:hAnsi="Times New Roman" w:cs="Times New Roman"/>
        </w:rPr>
      </w:pPr>
      <w:r w:rsidRPr="00E30FE7">
        <w:rPr>
          <w:rStyle w:val="Emphasis"/>
          <w:rFonts w:ascii="Times New Roman" w:hAnsi="Times New Roman" w:cs="Times New Roman"/>
          <w:i w:val="0"/>
          <w:iCs w:val="0"/>
        </w:rPr>
        <w:t xml:space="preserve">Figure </w:t>
      </w:r>
      <w:r w:rsidR="00B61663" w:rsidRPr="00E30FE7">
        <w:rPr>
          <w:rStyle w:val="Emphasis"/>
          <w:rFonts w:ascii="Times New Roman" w:hAnsi="Times New Roman" w:cs="Times New Roman"/>
          <w:i w:val="0"/>
          <w:iCs w:val="0"/>
        </w:rPr>
        <w:t>4</w:t>
      </w:r>
      <w:r w:rsidRPr="00E30FE7">
        <w:rPr>
          <w:rStyle w:val="Emphasis"/>
          <w:rFonts w:ascii="Times New Roman" w:hAnsi="Times New Roman" w:cs="Times New Roman"/>
          <w:i w:val="0"/>
          <w:iCs w:val="0"/>
        </w:rPr>
        <w:t xml:space="preserve"> depicts the correlation between investments in solar PV and job creation, indicating significant employment opportunities in renewable energy sectors</w:t>
      </w:r>
      <w:r w:rsidR="001818F8" w:rsidRPr="00E30FE7">
        <w:rPr>
          <w:rStyle w:val="Emphasis"/>
          <w:rFonts w:ascii="Times New Roman" w:hAnsi="Times New Roman" w:cs="Times New Roman"/>
          <w:i w:val="0"/>
          <w:iCs w:val="0"/>
        </w:rPr>
        <w:t>.</w:t>
      </w:r>
      <w:r w:rsidR="001818F8" w:rsidRPr="00E30FE7">
        <w:rPr>
          <w:rFonts w:ascii="Times New Roman" w:eastAsia="Times New Roman" w:hAnsi="Times New Roman" w:cs="Times New Roman"/>
          <w:i/>
          <w:iCs/>
          <w:sz w:val="24"/>
          <w:szCs w:val="24"/>
          <w:lang w:eastAsia="bs-Latn-BA"/>
        </w:rPr>
        <w:t xml:space="preserve"> </w:t>
      </w:r>
      <w:r w:rsidR="0062457A" w:rsidRPr="00E30FE7">
        <w:rPr>
          <w:rFonts w:ascii="Times New Roman" w:hAnsi="Times New Roman" w:cs="Times New Roman"/>
        </w:rPr>
        <w:t>These economic benefits reinforce solar energy’s competitiveness and sustainability.</w:t>
      </w:r>
      <w:r w:rsidR="00E30FE7" w:rsidRPr="00E30FE7">
        <w:t xml:space="preserve"> </w:t>
      </w:r>
      <w:r w:rsidRPr="00E30FE7">
        <w:rPr>
          <w:rFonts w:ascii="Times New Roman" w:hAnsi="Times New Roman" w:cs="Times New Roman"/>
        </w:rPr>
        <w:t xml:space="preserve">Recent data indicate that the levelized cost of energy (LCOE) for solar PV has reached record lows in 2023, dropping below 20 USD/MWh in some regions such as the Middle East and Latin America (IRENA, 2024). Innovative business models, including power purchase agreements (PPAs) and community-based solar projects, further accelerate adoption by lowering upfront costs for consumers and industries. According to Dada (2023), emerging PV materials such as organic–inorganic hybrids could reduce production costs while maintaining high conversion efficiencies. Additionally, large-scale deployment of floating solar projects, like those in Singapore and China, illustrate how economic and geographic constraints can be overcome through innovative design and financing. Such trends </w:t>
      </w:r>
      <w:r w:rsidRPr="00E30FE7">
        <w:rPr>
          <w:rFonts w:ascii="Times New Roman" w:hAnsi="Times New Roman" w:cs="Times New Roman"/>
        </w:rPr>
        <w:lastRenderedPageBreak/>
        <w:t>reinforce the role of solar energy as not only an environmental solution but also an economically dominant force in global energy markets.</w:t>
      </w:r>
    </w:p>
    <w:p w14:paraId="5999E19D" w14:textId="75060FB7" w:rsidR="00597579" w:rsidRDefault="0062457A" w:rsidP="00E30FE7">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4. Environmental and Social Benefits</w:t>
      </w:r>
    </w:p>
    <w:p w14:paraId="040C55D3" w14:textId="77777777" w:rsidR="00E30FE7" w:rsidRPr="00E30FE7" w:rsidRDefault="00E30FE7" w:rsidP="00E30FE7"/>
    <w:p w14:paraId="7F71230A" w14:textId="7A6B3501" w:rsidR="00F6409D" w:rsidRPr="00FF2108" w:rsidRDefault="0062457A" w:rsidP="00726671">
      <w:pPr>
        <w:jc w:val="both"/>
        <w:rPr>
          <w:rFonts w:ascii="Times New Roman" w:hAnsi="Times New Roman" w:cs="Times New Roman"/>
        </w:rPr>
      </w:pPr>
      <w:r w:rsidRPr="00BA1D65">
        <w:rPr>
          <w:rFonts w:ascii="Times New Roman" w:hAnsi="Times New Roman" w:cs="Times New Roman"/>
        </w:rPr>
        <w:t>From an ecological standpoint, solar energy significantly reduces greenhouse gas emissions and contributes to environmental preservation. Compared to fossil fuels, PV systems emit negligible amounts of CO₂ during operation, which makes them vital in achieving the targets of the Paris Agreement (Creutzig et al., 2017). Life Cycle Assessment (LCA) studies also show that modern solar modules have lower environmental footprints thanks to advances in recycling technologies (Liu &amp; Hong, 2022). Furthermore, decentralized solar applications enhance energy equity by providing access to clean energy in rural and off-grid regions.</w:t>
      </w:r>
      <w:r w:rsidR="00FF2108">
        <w:t xml:space="preserve"> </w:t>
      </w:r>
      <w:r w:rsidRPr="00FF2108">
        <w:rPr>
          <w:rFonts w:ascii="Times New Roman" w:hAnsi="Times New Roman" w:cs="Times New Roman"/>
        </w:rPr>
        <w:t>Life cycle assessment (LCA) studies conducted in 2023 confirm that recycling strategies for end-of-life PV panels significantly reduce their environmental footprint (Nazir et al., 2023; Liu &amp; Hong, 2022). The integration of nanomaterials, such as graphene and carbon nanotubes, not only improves panel performance but also facilitates sustainable recycling pathways (Nazir et al., 2023). Furthermore, the development of lightweight printed solar cells has achieved record efficiencies of up to 15.5% (CSIRO, 2024), offering scalable and recyclable alternatives for flexible and portable applications. These advancements align with circular economy principles, ensuring that solar PV deployment contributes to long-term environmental sustainability beyond its operational phase.</w:t>
      </w:r>
    </w:p>
    <w:p w14:paraId="325A4320" w14:textId="77777777" w:rsidR="00597579" w:rsidRPr="00597579" w:rsidRDefault="0062457A" w:rsidP="00597579">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5. Measuring Efficiency and Comparative Analysis</w:t>
      </w:r>
    </w:p>
    <w:p w14:paraId="4BCDEC47" w14:textId="77777777" w:rsidR="00597579" w:rsidRDefault="00597579">
      <w:pPr>
        <w:rPr>
          <w:rFonts w:ascii="Times New Roman" w:hAnsi="Times New Roman" w:cs="Times New Roman"/>
        </w:rPr>
      </w:pPr>
    </w:p>
    <w:p w14:paraId="35EE4ED6" w14:textId="77777777" w:rsidR="00F6409D" w:rsidRPr="00BA1D65" w:rsidRDefault="0062457A" w:rsidP="00ED48A9">
      <w:pPr>
        <w:jc w:val="both"/>
        <w:rPr>
          <w:rFonts w:ascii="Times New Roman" w:hAnsi="Times New Roman" w:cs="Times New Roman"/>
        </w:rPr>
      </w:pPr>
      <w:r w:rsidRPr="00BA1D65">
        <w:rPr>
          <w:rFonts w:ascii="Times New Roman" w:hAnsi="Times New Roman" w:cs="Times New Roman"/>
        </w:rPr>
        <w:t>Efficiency can be evaluated using several key indicators: installed capacity, capacity factor, LCOE, and EPBT. Capacity factor for solar typically ranges between 15–25%, while wind reaches 30–50% and hydro over 90% (Jacobson et al., 2015). Despite a lower capacity factor, solar offers unique advantages such as scalability, integration into buildings, and declining costs. Successful projects, such as Morocco’s Noor Solar Complex and Germany’s Energiewende program, demonstrate solar’s cost-effectiveness and societal benefits (IEA, 2023). These case studies confirm that efficiency goes beyond technical performance and includes economic and social contributions.</w:t>
      </w:r>
    </w:p>
    <w:p w14:paraId="125348ED"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6. Conclusion</w:t>
      </w:r>
    </w:p>
    <w:p w14:paraId="20217621" w14:textId="1C434E9A" w:rsidR="00FB355A" w:rsidRPr="00E3394F" w:rsidRDefault="00C309E2" w:rsidP="00597579">
      <w:pPr>
        <w:pStyle w:val="NormalWeb"/>
        <w:jc w:val="both"/>
        <w:rPr>
          <w:sz w:val="22"/>
          <w:szCs w:val="22"/>
        </w:rPr>
      </w:pPr>
      <w:r w:rsidRPr="00C309E2">
        <w:rPr>
          <w:sz w:val="22"/>
          <w:szCs w:val="22"/>
        </w:rPr>
        <w:t>Solar energy is a cornerstone of the green transition, combining technological advancements, economic sustainability, and ecological benefits. Its efficiency is determined not only by technological progress but also by supportive economic, regulatory, and policy frameworks. By applying performance indicators such as LCOE, EPBT, and capacity factor, solar energy demonstrates increasing competitiveness against both conventional fossil-based and alternative renewable sources. Technological innovations, particularly in bifacial and perovskite PV cells, energy storage systems, and decentralized or hybrid installations, continue to improve energy yield and system reliability.</w:t>
      </w:r>
      <w:r>
        <w:rPr>
          <w:sz w:val="22"/>
          <w:szCs w:val="22"/>
        </w:rPr>
        <w:t xml:space="preserve"> </w:t>
      </w:r>
      <w:r w:rsidRPr="00C309E2">
        <w:rPr>
          <w:sz w:val="22"/>
          <w:szCs w:val="22"/>
        </w:rPr>
        <w:t xml:space="preserve">Despite significant progress, challenges remain in areas such as energy storage integration, grid infrastructure, regulatory harmonization, and lifecycle management of solar modules. Addressing these issues through targeted research, investment, and policy incentives is crucial for unlocking the full potential of solar energy. Additionally, regional adoption patterns </w:t>
      </w:r>
      <w:r w:rsidRPr="00C309E2">
        <w:rPr>
          <w:sz w:val="22"/>
          <w:szCs w:val="22"/>
        </w:rPr>
        <w:lastRenderedPageBreak/>
        <w:t>indicate that tailored strategies considering local resources, market dynamics, and socio-economic conditions are essential to maximize impact.</w:t>
      </w:r>
      <w:r>
        <w:rPr>
          <w:sz w:val="22"/>
          <w:szCs w:val="22"/>
        </w:rPr>
        <w:t xml:space="preserve"> </w:t>
      </w:r>
      <w:r w:rsidRPr="00C309E2">
        <w:rPr>
          <w:sz w:val="22"/>
          <w:szCs w:val="22"/>
        </w:rPr>
        <w:t>Beyond its technical and economic dimensions, solar energy serves as a catalyst for sustainable development, creating employment opportunities, fostering industrial innovation, and supporting climate resilience. In the context of global energy security and decarbonization targets, solar power offers a scalable and versatile solution that can be adapted across diverse geographic and socio-economic settings. Continued interdisciplinary efforts combining technology, policy, and finance will be key to ensuring</w:t>
      </w:r>
      <w:r w:rsidR="00E3394F">
        <w:rPr>
          <w:sz w:val="22"/>
          <w:szCs w:val="22"/>
        </w:rPr>
        <w:t>.</w:t>
      </w:r>
      <w:r w:rsidR="00ED48A9">
        <w:t xml:space="preserve"> </w:t>
      </w:r>
      <w:r w:rsidRPr="00E3394F">
        <w:rPr>
          <w:sz w:val="22"/>
          <w:szCs w:val="22"/>
        </w:rPr>
        <w:t>Future research directions highlight the potential of artificial intelligence (AI) and machine learning in predictive maintenance, grid optimization, and resource forecasting (</w:t>
      </w:r>
      <w:r w:rsidR="001C024F" w:rsidRPr="00E3394F">
        <w:rPr>
          <w:sz w:val="22"/>
          <w:szCs w:val="22"/>
        </w:rPr>
        <w:t>Xu</w:t>
      </w:r>
      <w:r w:rsidRPr="00E3394F">
        <w:rPr>
          <w:sz w:val="22"/>
          <w:szCs w:val="22"/>
        </w:rPr>
        <w:t xml:space="preserve"> et al., 2025). Hybrid systems combining solar PV with wind, hydrogen, or energy storage provide additional resilience against climate variability and fluctuating demand (Iturralde </w:t>
      </w:r>
      <w:r w:rsidR="00E3394F" w:rsidRPr="00E3394F">
        <w:rPr>
          <w:sz w:val="22"/>
          <w:szCs w:val="22"/>
        </w:rPr>
        <w:t>et al.</w:t>
      </w:r>
      <w:r w:rsidRPr="00E3394F">
        <w:rPr>
          <w:sz w:val="22"/>
          <w:szCs w:val="22"/>
        </w:rPr>
        <w:t>, 2025). Moreover, perovskite–silicon tandem cells and floating PV systems are expected to dominate the next generation of large-scale solar projects due to their superior efficiency and adaptability. As global energy security challenges intensify, tailoring solar policies to regional contexts will remain essential, ensuring that technological, economic, and environmental benefits are maximized across diverse settings.</w:t>
      </w:r>
    </w:p>
    <w:p w14:paraId="3EBD9526"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References</w:t>
      </w:r>
      <w:r w:rsidR="00FF1F45">
        <w:rPr>
          <w:rFonts w:ascii="Times New Roman" w:hAnsi="Times New Roman" w:cs="Times New Roman"/>
          <w:color w:val="auto"/>
          <w:sz w:val="24"/>
          <w:szCs w:val="24"/>
        </w:rPr>
        <w:t>:</w:t>
      </w:r>
    </w:p>
    <w:p w14:paraId="0A0F9F63" w14:textId="77777777" w:rsidR="0062457A" w:rsidRPr="00066CB3" w:rsidRDefault="00BF69DF" w:rsidP="00066CB3">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066CB3">
        <w:rPr>
          <w:rFonts w:ascii="Times New Roman" w:eastAsia="Times New Roman" w:hAnsi="Times New Roman" w:cs="Times New Roman"/>
          <w:lang w:eastAsia="bs-Latn-BA"/>
        </w:rPr>
        <w:t xml:space="preserve">Junker, A. et al. (2023). </w:t>
      </w:r>
      <w:r w:rsidRPr="00066CB3">
        <w:rPr>
          <w:rFonts w:ascii="Times New Roman" w:eastAsia="Times New Roman" w:hAnsi="Times New Roman" w:cs="Times New Roman"/>
          <w:i/>
          <w:iCs/>
          <w:lang w:eastAsia="bs-Latn-BA"/>
        </w:rPr>
        <w:t>Highly efficient bifacial single-junction perovskite solar cells.</w:t>
      </w:r>
      <w:r w:rsidRPr="00066CB3">
        <w:rPr>
          <w:rFonts w:ascii="Times New Roman" w:eastAsia="Times New Roman" w:hAnsi="Times New Roman" w:cs="Times New Roman"/>
          <w:lang w:eastAsia="bs-Latn-BA"/>
        </w:rPr>
        <w:t xml:space="preserve"> </w:t>
      </w:r>
      <w:r w:rsidRPr="00066CB3">
        <w:rPr>
          <w:rFonts w:ascii="Times New Roman" w:eastAsia="Times New Roman" w:hAnsi="Times New Roman" w:cs="Times New Roman"/>
          <w:i/>
          <w:iCs/>
          <w:lang w:eastAsia="bs-Latn-BA"/>
        </w:rPr>
        <w:t>Joule</w:t>
      </w:r>
      <w:r w:rsidRPr="00066CB3">
        <w:rPr>
          <w:rFonts w:ascii="Times New Roman" w:eastAsia="Times New Roman" w:hAnsi="Times New Roman" w:cs="Times New Roman"/>
          <w:lang w:eastAsia="bs-Latn-BA"/>
        </w:rPr>
        <w:t xml:space="preserve">, 7(7), 1543–1555.  </w:t>
      </w:r>
      <w:hyperlink r:id="rId13" w:history="1">
        <w:r w:rsidR="0062457A" w:rsidRPr="00066CB3">
          <w:rPr>
            <w:rStyle w:val="Hyperlink"/>
            <w:rFonts w:ascii="Times New Roman" w:eastAsia="Times New Roman" w:hAnsi="Times New Roman" w:cs="Times New Roman"/>
            <w:lang w:eastAsia="bs-Latn-BA"/>
          </w:rPr>
          <w:t>https://doi.org/10.1016/j.joule.2023.06.001</w:t>
        </w:r>
      </w:hyperlink>
    </w:p>
    <w:p w14:paraId="14623E82" w14:textId="77777777" w:rsidR="00BF69DF" w:rsidRPr="00066CB3" w:rsidRDefault="00BF69DF" w:rsidP="00066CB3">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066CB3">
        <w:rPr>
          <w:rFonts w:ascii="Times New Roman" w:eastAsia="Times New Roman" w:hAnsi="Times New Roman" w:cs="Times New Roman"/>
          <w:lang w:eastAsia="bs-Latn-BA"/>
        </w:rPr>
        <w:t xml:space="preserve">Wei, M., Patadia, S., &amp; </w:t>
      </w:r>
      <w:proofErr w:type="spellStart"/>
      <w:r w:rsidRPr="00066CB3">
        <w:rPr>
          <w:rFonts w:ascii="Times New Roman" w:eastAsia="Times New Roman" w:hAnsi="Times New Roman" w:cs="Times New Roman"/>
          <w:lang w:eastAsia="bs-Latn-BA"/>
        </w:rPr>
        <w:t>Kammen</w:t>
      </w:r>
      <w:proofErr w:type="spellEnd"/>
      <w:r w:rsidRPr="00066CB3">
        <w:rPr>
          <w:rFonts w:ascii="Times New Roman" w:eastAsia="Times New Roman" w:hAnsi="Times New Roman" w:cs="Times New Roman"/>
          <w:lang w:eastAsia="bs-Latn-BA"/>
        </w:rPr>
        <w:t xml:space="preserve">, D. M. (2010). </w:t>
      </w:r>
      <w:r w:rsidRPr="00066CB3">
        <w:rPr>
          <w:rFonts w:ascii="Times New Roman" w:eastAsia="Times New Roman" w:hAnsi="Times New Roman" w:cs="Times New Roman"/>
          <w:i/>
          <w:iCs/>
          <w:lang w:eastAsia="bs-Latn-BA"/>
        </w:rPr>
        <w:t>Putting renewables and energy efficiency to work: How many jobs can the clean energy industry generate in the US?</w:t>
      </w:r>
      <w:r w:rsidRPr="00066CB3">
        <w:rPr>
          <w:rFonts w:ascii="Times New Roman" w:eastAsia="Times New Roman" w:hAnsi="Times New Roman" w:cs="Times New Roman"/>
          <w:lang w:eastAsia="bs-Latn-BA"/>
        </w:rPr>
        <w:t xml:space="preserve"> </w:t>
      </w:r>
      <w:r w:rsidRPr="00066CB3">
        <w:rPr>
          <w:rFonts w:ascii="Times New Roman" w:eastAsia="Times New Roman" w:hAnsi="Times New Roman" w:cs="Times New Roman"/>
          <w:i/>
          <w:iCs/>
          <w:lang w:eastAsia="bs-Latn-BA"/>
        </w:rPr>
        <w:t>Energy Policy</w:t>
      </w:r>
      <w:r w:rsidRPr="00066CB3">
        <w:rPr>
          <w:rFonts w:ascii="Times New Roman" w:eastAsia="Times New Roman" w:hAnsi="Times New Roman" w:cs="Times New Roman"/>
          <w:lang w:eastAsia="bs-Latn-BA"/>
        </w:rPr>
        <w:t xml:space="preserve">. </w:t>
      </w:r>
      <w:hyperlink r:id="rId14" w:history="1">
        <w:r w:rsidR="0062457A" w:rsidRPr="00066CB3">
          <w:rPr>
            <w:rStyle w:val="Hyperlink"/>
            <w:rFonts w:ascii="Times New Roman" w:eastAsia="Times New Roman" w:hAnsi="Times New Roman" w:cs="Times New Roman"/>
            <w:lang w:eastAsia="bs-Latn-BA"/>
          </w:rPr>
          <w:t>https://doi.org/10.1016/j.enpol.2009.10.069</w:t>
        </w:r>
      </w:hyperlink>
    </w:p>
    <w:p w14:paraId="1804B4C8"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Bhandari, K. P., Collier, J. M., Ellingson, R. J., &amp; Apul, D. S. (2015). Life cycle assessment of solar photovoltaic systems: A review. Renewable and Sustainable Energy Reviews, 47, 133–141. </w:t>
      </w:r>
      <w:hyperlink r:id="rId15" w:history="1">
        <w:r w:rsidR="00FF1F45" w:rsidRPr="00066CB3">
          <w:rPr>
            <w:rStyle w:val="Hyperlink"/>
            <w:rFonts w:ascii="Times New Roman" w:hAnsi="Times New Roman" w:cs="Times New Roman"/>
          </w:rPr>
          <w:t>https://doi.org/10.1016/j.rser.2015.02.043</w:t>
        </w:r>
      </w:hyperlink>
    </w:p>
    <w:p w14:paraId="07980EF0"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Branker, K., Pathak, M. J. M., &amp; Pearce, J. M. (2011). A review of solar photovoltaic levelized cost of electricity. Renewable and Sustainable Energy Reviews, 15(9), 4470–4482. </w:t>
      </w:r>
      <w:hyperlink r:id="rId16" w:history="1">
        <w:r w:rsidR="00FF1F45" w:rsidRPr="00066CB3">
          <w:rPr>
            <w:rStyle w:val="Hyperlink"/>
            <w:rFonts w:ascii="Times New Roman" w:hAnsi="Times New Roman" w:cs="Times New Roman"/>
          </w:rPr>
          <w:t>https://doi.org/10.1016/j.rser.2011.07.104</w:t>
        </w:r>
      </w:hyperlink>
    </w:p>
    <w:p w14:paraId="6F81BC17" w14:textId="77777777" w:rsidR="00FF1F45" w:rsidRPr="00066CB3" w:rsidRDefault="0062457A" w:rsidP="00066CB3">
      <w:pPr>
        <w:pStyle w:val="ListBullet"/>
        <w:numPr>
          <w:ilvl w:val="0"/>
          <w:numId w:val="1"/>
        </w:numPr>
        <w:jc w:val="both"/>
        <w:rPr>
          <w:rFonts w:ascii="Times New Roman" w:hAnsi="Times New Roman" w:cs="Times New Roman"/>
        </w:rPr>
      </w:pPr>
      <w:proofErr w:type="spellStart"/>
      <w:r w:rsidRPr="00066CB3">
        <w:rPr>
          <w:rFonts w:ascii="Times New Roman" w:hAnsi="Times New Roman" w:cs="Times New Roman"/>
        </w:rPr>
        <w:t>Creutzig</w:t>
      </w:r>
      <w:proofErr w:type="spellEnd"/>
      <w:r w:rsidRPr="00066CB3">
        <w:rPr>
          <w:rFonts w:ascii="Times New Roman" w:hAnsi="Times New Roman" w:cs="Times New Roman"/>
        </w:rPr>
        <w:t xml:space="preserve">, F., et al. (2017). The underestimated potential of solar energy in combating climate change. Nature Energy, 2(9), 17140. </w:t>
      </w:r>
      <w:hyperlink r:id="rId17" w:history="1">
        <w:r w:rsidR="00FF1F45" w:rsidRPr="00066CB3">
          <w:rPr>
            <w:rStyle w:val="Hyperlink"/>
            <w:rFonts w:ascii="Times New Roman" w:hAnsi="Times New Roman" w:cs="Times New Roman"/>
          </w:rPr>
          <w:t>https://doi.org/10.1038/nenergy.2017.140</w:t>
        </w:r>
      </w:hyperlink>
    </w:p>
    <w:p w14:paraId="5F19B351"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Green, M. A., et al. (2022). Solar cell efficiency tables (version 60). Progress in Photovoltaics: Research and Applications, 30(7), 687–701. </w:t>
      </w:r>
      <w:hyperlink r:id="rId18" w:history="1">
        <w:r w:rsidR="00FF1F45" w:rsidRPr="00066CB3">
          <w:rPr>
            <w:rStyle w:val="Hyperlink"/>
            <w:rFonts w:ascii="Times New Roman" w:hAnsi="Times New Roman" w:cs="Times New Roman"/>
          </w:rPr>
          <w:t>https://doi.org/10.1002/pip.3544</w:t>
        </w:r>
      </w:hyperlink>
    </w:p>
    <w:p w14:paraId="78011917" w14:textId="77777777" w:rsidR="00FF1F45" w:rsidRPr="00066CB3" w:rsidRDefault="0062457A" w:rsidP="00066CB3">
      <w:pPr>
        <w:pStyle w:val="ListBullet"/>
        <w:numPr>
          <w:ilvl w:val="0"/>
          <w:numId w:val="1"/>
        </w:numPr>
        <w:jc w:val="both"/>
        <w:rPr>
          <w:rFonts w:ascii="Times New Roman" w:hAnsi="Times New Roman" w:cs="Times New Roman"/>
        </w:rPr>
      </w:pPr>
      <w:proofErr w:type="spellStart"/>
      <w:r w:rsidRPr="00066CB3">
        <w:rPr>
          <w:rFonts w:ascii="Times New Roman" w:hAnsi="Times New Roman" w:cs="Times New Roman"/>
        </w:rPr>
        <w:t>Haegel</w:t>
      </w:r>
      <w:proofErr w:type="spellEnd"/>
      <w:r w:rsidRPr="00066CB3">
        <w:rPr>
          <w:rFonts w:ascii="Times New Roman" w:hAnsi="Times New Roman" w:cs="Times New Roman"/>
        </w:rPr>
        <w:t xml:space="preserve">, N. M., et al. (2019). Terawatt-scale photovoltaics: Trajectories and challenges. Science, 364(6443), 836–838. </w:t>
      </w:r>
      <w:hyperlink r:id="rId19" w:history="1">
        <w:r w:rsidR="00FF1F45" w:rsidRPr="00066CB3">
          <w:rPr>
            <w:rStyle w:val="Hyperlink"/>
            <w:rFonts w:ascii="Times New Roman" w:hAnsi="Times New Roman" w:cs="Times New Roman"/>
          </w:rPr>
          <w:t>https://doi.org/10.1126/science.aaw1845</w:t>
        </w:r>
      </w:hyperlink>
    </w:p>
    <w:p w14:paraId="5D2C926C"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IEA – International Energy Agency. (2023). World Energy Outlook 2023. </w:t>
      </w:r>
      <w:hyperlink r:id="rId20" w:history="1">
        <w:r w:rsidR="00FF1F45" w:rsidRPr="00066CB3">
          <w:rPr>
            <w:rStyle w:val="Hyperlink"/>
            <w:rFonts w:ascii="Times New Roman" w:hAnsi="Times New Roman" w:cs="Times New Roman"/>
          </w:rPr>
          <w:t>https://www.iea.org/reports/world-energy-outlook-2023</w:t>
        </w:r>
      </w:hyperlink>
    </w:p>
    <w:p w14:paraId="11FA17DF"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IRENA. (2023). Renewable Energy and Jobs: Annual Review 2023. International Renewable Energy Agency. </w:t>
      </w:r>
      <w:hyperlink r:id="rId21" w:history="1">
        <w:r w:rsidR="00FF1F45" w:rsidRPr="00066CB3">
          <w:rPr>
            <w:rStyle w:val="Hyperlink"/>
            <w:rFonts w:ascii="Times New Roman" w:hAnsi="Times New Roman" w:cs="Times New Roman"/>
          </w:rPr>
          <w:t>https://www.irena.org</w:t>
        </w:r>
      </w:hyperlink>
    </w:p>
    <w:p w14:paraId="168A915A" w14:textId="77777777" w:rsid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Jacobson, M. Z., et al. (2015). 100% Clean and Renewable Wind, Water, and Sunlight (WWS) All-Sector Energy Roadmaps for 139 Countries. Joule, 1(1), 108–121.</w:t>
      </w:r>
    </w:p>
    <w:p w14:paraId="4272894C" w14:textId="6E946BD3" w:rsidR="00FF1F45" w:rsidRPr="00066CB3" w:rsidRDefault="00AF12CC" w:rsidP="00066CB3">
      <w:pPr>
        <w:pStyle w:val="ListBullet"/>
        <w:ind w:left="360"/>
        <w:jc w:val="both"/>
        <w:rPr>
          <w:rFonts w:ascii="Times New Roman" w:hAnsi="Times New Roman" w:cs="Times New Roman"/>
        </w:rPr>
      </w:pPr>
      <w:hyperlink r:id="rId22" w:history="1">
        <w:r w:rsidR="00C31E9E" w:rsidRPr="00437BF3">
          <w:rPr>
            <w:rStyle w:val="Hyperlink"/>
            <w:rFonts w:ascii="Times New Roman" w:hAnsi="Times New Roman" w:cs="Times New Roman"/>
          </w:rPr>
          <w:t>https://doi.org/10.1016/j.joule.2017.07.005</w:t>
        </w:r>
      </w:hyperlink>
    </w:p>
    <w:p w14:paraId="3F0A06CB"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Liu, L., &amp; Hong, Z. (2022). A review on life cycle assessment of photovoltaic panels and recycling strategies. Journal of Cleaner Production, 331, 129963. </w:t>
      </w:r>
      <w:hyperlink r:id="rId23" w:history="1">
        <w:r w:rsidR="00FF1F45" w:rsidRPr="00066CB3">
          <w:rPr>
            <w:rStyle w:val="Hyperlink"/>
            <w:rFonts w:ascii="Times New Roman" w:hAnsi="Times New Roman" w:cs="Times New Roman"/>
          </w:rPr>
          <w:t>https://doi.org/10.1016/j.jclepro.2021.129963</w:t>
        </w:r>
      </w:hyperlink>
    </w:p>
    <w:p w14:paraId="314B3DE4" w14:textId="45208C74" w:rsidR="00FF2108" w:rsidRPr="00066CB3" w:rsidRDefault="00FF2108" w:rsidP="00066CB3">
      <w:pPr>
        <w:pStyle w:val="ListParagraph"/>
        <w:numPr>
          <w:ilvl w:val="0"/>
          <w:numId w:val="1"/>
        </w:numPr>
        <w:spacing w:after="0"/>
        <w:jc w:val="both"/>
        <w:rPr>
          <w:rFonts w:ascii="Times New Roman" w:hAnsi="Times New Roman" w:cs="Times New Roman"/>
        </w:rPr>
      </w:pPr>
      <w:r w:rsidRPr="00066CB3">
        <w:rPr>
          <w:rFonts w:ascii="Times New Roman" w:hAnsi="Times New Roman" w:cs="Times New Roman"/>
        </w:rPr>
        <w:lastRenderedPageBreak/>
        <w:t xml:space="preserve">Commonwealth Scientific and Industrial Research </w:t>
      </w:r>
      <w:proofErr w:type="spellStart"/>
      <w:r w:rsidRPr="00066CB3">
        <w:rPr>
          <w:rFonts w:ascii="Times New Roman" w:hAnsi="Times New Roman" w:cs="Times New Roman"/>
        </w:rPr>
        <w:t>Organisation</w:t>
      </w:r>
      <w:proofErr w:type="spellEnd"/>
      <w:r w:rsidRPr="00066CB3">
        <w:rPr>
          <w:rFonts w:ascii="Times New Roman" w:hAnsi="Times New Roman" w:cs="Times New Roman"/>
        </w:rPr>
        <w:t xml:space="preserve"> (CSIRO). (2024, 12. </w:t>
      </w:r>
      <w:proofErr w:type="spellStart"/>
      <w:r w:rsidRPr="00066CB3">
        <w:rPr>
          <w:rFonts w:ascii="Times New Roman" w:hAnsi="Times New Roman" w:cs="Times New Roman"/>
        </w:rPr>
        <w:t>ožujka</w:t>
      </w:r>
      <w:proofErr w:type="spellEnd"/>
      <w:r w:rsidRPr="00066CB3">
        <w:rPr>
          <w:rFonts w:ascii="Times New Roman" w:hAnsi="Times New Roman" w:cs="Times New Roman"/>
        </w:rPr>
        <w:t xml:space="preserve">). </w:t>
      </w:r>
      <w:r w:rsidRPr="00066CB3">
        <w:rPr>
          <w:rFonts w:ascii="Times New Roman" w:hAnsi="Times New Roman" w:cs="Times New Roman"/>
          <w:i/>
          <w:iCs/>
        </w:rPr>
        <w:t>Record efficiency for lightweight printed solar cells</w:t>
      </w:r>
      <w:r w:rsidRPr="00066CB3">
        <w:rPr>
          <w:rFonts w:ascii="Times New Roman" w:hAnsi="Times New Roman" w:cs="Times New Roman"/>
        </w:rPr>
        <w:t xml:space="preserve">. </w:t>
      </w:r>
      <w:r w:rsidRPr="00066CB3">
        <w:rPr>
          <w:rFonts w:ascii="Times New Roman" w:hAnsi="Times New Roman" w:cs="Times New Roman"/>
          <w:i/>
          <w:iCs/>
        </w:rPr>
        <w:t>The Guardian</w:t>
      </w:r>
      <w:r w:rsidRPr="00066CB3">
        <w:rPr>
          <w:rFonts w:ascii="Times New Roman" w:hAnsi="Times New Roman" w:cs="Times New Roman"/>
        </w:rPr>
        <w:t xml:space="preserve">. </w:t>
      </w:r>
      <w:hyperlink r:id="rId24" w:tgtFrame="_new" w:history="1">
        <w:r w:rsidRPr="00066CB3">
          <w:rPr>
            <w:rFonts w:ascii="Times New Roman" w:hAnsi="Times New Roman" w:cs="Times New Roman"/>
            <w:color w:val="0000FF"/>
            <w:u w:val="single"/>
          </w:rPr>
          <w:t>https://www.theguardian.com/australia-news/2024/mar/12/csiro-claims-new-record-for-energy-efficiency-in-lightweight-printed-solar-cells</w:t>
        </w:r>
      </w:hyperlink>
    </w:p>
    <w:p w14:paraId="7F3A625D" w14:textId="77777777" w:rsid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Shao, L., &amp; Xu, T. (2018). Performance and efficiency of photovoltaic systems: A comprehensive review. Solar Energy, 174, 114–127.</w:t>
      </w:r>
    </w:p>
    <w:p w14:paraId="7EB37FF2" w14:textId="75C59670" w:rsidR="00FF1F45" w:rsidRPr="00066CB3" w:rsidRDefault="00AF12CC" w:rsidP="00066CB3">
      <w:pPr>
        <w:pStyle w:val="ListBullet"/>
        <w:ind w:left="360"/>
        <w:jc w:val="both"/>
        <w:rPr>
          <w:rFonts w:ascii="Times New Roman" w:hAnsi="Times New Roman" w:cs="Times New Roman"/>
        </w:rPr>
      </w:pPr>
      <w:hyperlink r:id="rId25" w:history="1">
        <w:r w:rsidR="00066CB3" w:rsidRPr="00437BF3">
          <w:rPr>
            <w:rStyle w:val="Hyperlink"/>
            <w:rFonts w:ascii="Times New Roman" w:hAnsi="Times New Roman" w:cs="Times New Roman"/>
          </w:rPr>
          <w:t>https://doi.org/10.1016/j.solener.2018.08.030</w:t>
        </w:r>
      </w:hyperlink>
    </w:p>
    <w:p w14:paraId="47405DD3" w14:textId="0BDC3B41" w:rsidR="00F6409D" w:rsidRPr="00066CB3" w:rsidRDefault="0062457A"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Zhang, Y., &amp; Yang, X. (2019). Recent advances in solar thermal energy. Renewable and Sustainable Energy Reviews, 109, 272–285. </w:t>
      </w:r>
      <w:hyperlink r:id="rId26" w:history="1">
        <w:r w:rsidR="0001288C" w:rsidRPr="00066CB3">
          <w:rPr>
            <w:rStyle w:val="Hyperlink"/>
            <w:rFonts w:ascii="Times New Roman" w:hAnsi="Times New Roman" w:cs="Times New Roman"/>
          </w:rPr>
          <w:t>https://doi.org/10.1016/j.rser.2019.04.025</w:t>
        </w:r>
      </w:hyperlink>
    </w:p>
    <w:p w14:paraId="2DC677F8" w14:textId="45846BDE" w:rsidR="00066CB3" w:rsidRPr="00066CB3" w:rsidRDefault="00C7091A" w:rsidP="00066CB3">
      <w:pPr>
        <w:pStyle w:val="ListParagraph"/>
        <w:numPr>
          <w:ilvl w:val="0"/>
          <w:numId w:val="1"/>
        </w:numPr>
        <w:spacing w:after="0"/>
        <w:jc w:val="both"/>
        <w:rPr>
          <w:rFonts w:ascii="Times New Roman" w:hAnsi="Times New Roman" w:cs="Times New Roman"/>
          <w:color w:val="4F81BD" w:themeColor="accent1"/>
        </w:rPr>
      </w:pPr>
      <w:r w:rsidRPr="00066CB3">
        <w:rPr>
          <w:rStyle w:val="Strong"/>
          <w:rFonts w:ascii="Times New Roman" w:hAnsi="Times New Roman" w:cs="Times New Roman"/>
          <w:b w:val="0"/>
          <w:bCs w:val="0"/>
        </w:rPr>
        <w:t>Iturralde Carrera, L. A., Garcia-Barajas, M. G., Constantino-Robles, C. D., Álvarez-Alvarado, J. M., Castillo-Alvarez, Y., &amp; Rodríguez-Reséndiz, J. (2025</w:t>
      </w:r>
      <w:r w:rsidRPr="00066CB3">
        <w:rPr>
          <w:rStyle w:val="Strong"/>
          <w:rFonts w:ascii="Times New Roman" w:hAnsi="Times New Roman" w:cs="Times New Roman"/>
        </w:rPr>
        <w:t>).</w:t>
      </w:r>
      <w:r w:rsidRPr="00066CB3">
        <w:rPr>
          <w:rFonts w:ascii="Times New Roman" w:hAnsi="Times New Roman" w:cs="Times New Roman"/>
        </w:rPr>
        <w:t xml:space="preserve"> </w:t>
      </w:r>
      <w:r w:rsidRPr="00066CB3">
        <w:rPr>
          <w:rStyle w:val="Emphasis"/>
          <w:rFonts w:ascii="Times New Roman" w:hAnsi="Times New Roman" w:cs="Times New Roman"/>
        </w:rPr>
        <w:t>Efficiency and Sustainability in Solar Photovoltaic Systems: A Review of Key Factors and Innovative Technologies.</w:t>
      </w:r>
      <w:r w:rsidRPr="00066CB3">
        <w:rPr>
          <w:rFonts w:ascii="Times New Roman" w:hAnsi="Times New Roman" w:cs="Times New Roman"/>
        </w:rPr>
        <w:t xml:space="preserve"> </w:t>
      </w:r>
      <w:r w:rsidRPr="00066CB3">
        <w:rPr>
          <w:rStyle w:val="Emphasis"/>
          <w:rFonts w:ascii="Times New Roman" w:hAnsi="Times New Roman" w:cs="Times New Roman"/>
        </w:rPr>
        <w:t>Eng, 6</w:t>
      </w:r>
      <w:r w:rsidRPr="00066CB3">
        <w:rPr>
          <w:rFonts w:ascii="Times New Roman" w:hAnsi="Times New Roman" w:cs="Times New Roman"/>
        </w:rPr>
        <w:t xml:space="preserve">(3), 50. </w:t>
      </w:r>
      <w:hyperlink r:id="rId27" w:history="1">
        <w:r w:rsidR="00066CB3" w:rsidRPr="00437BF3">
          <w:rPr>
            <w:rStyle w:val="Hyperlink"/>
            <w:rFonts w:ascii="Times New Roman" w:hAnsi="Times New Roman" w:cs="Times New Roman"/>
          </w:rPr>
          <w:t>https://doi.org/10.3390/eng6030050</w:t>
        </w:r>
      </w:hyperlink>
    </w:p>
    <w:p w14:paraId="62B25AD4" w14:textId="77777777" w:rsidR="00C31E9E" w:rsidRDefault="0031123C"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Parthiban, R., &amp; Ponnambalam, P. (2022). An enhancement of the solar panel efficiency: A comprehensive review. </w:t>
      </w:r>
      <w:r w:rsidRPr="00066CB3">
        <w:rPr>
          <w:rFonts w:ascii="Times New Roman" w:hAnsi="Times New Roman" w:cs="Times New Roman"/>
          <w:i/>
          <w:iCs/>
        </w:rPr>
        <w:t>Frontiers in Energy Research, 10,</w:t>
      </w:r>
      <w:r w:rsidRPr="00066CB3">
        <w:rPr>
          <w:rFonts w:ascii="Times New Roman" w:hAnsi="Times New Roman" w:cs="Times New Roman"/>
        </w:rPr>
        <w:t xml:space="preserve"> 937155.</w:t>
      </w:r>
    </w:p>
    <w:p w14:paraId="016BC817" w14:textId="5127BA0B" w:rsidR="00C7091A" w:rsidRPr="00066CB3" w:rsidRDefault="00AF12CC" w:rsidP="00C31E9E">
      <w:pPr>
        <w:pStyle w:val="ListBullet"/>
        <w:spacing w:after="0" w:line="240" w:lineRule="auto"/>
        <w:ind w:left="360"/>
        <w:jc w:val="both"/>
        <w:rPr>
          <w:rFonts w:ascii="Times New Roman" w:hAnsi="Times New Roman" w:cs="Times New Roman"/>
        </w:rPr>
      </w:pPr>
      <w:hyperlink r:id="rId28" w:history="1">
        <w:r w:rsidR="00C31E9E" w:rsidRPr="00437BF3">
          <w:rPr>
            <w:rStyle w:val="Hyperlink"/>
            <w:rFonts w:ascii="Times New Roman" w:hAnsi="Times New Roman" w:cs="Times New Roman"/>
          </w:rPr>
          <w:t>https://doi.org/10.3389/fenrg.2022.937155</w:t>
        </w:r>
      </w:hyperlink>
    </w:p>
    <w:p w14:paraId="3D60435E" w14:textId="1653F26D" w:rsidR="0031123C" w:rsidRPr="00066CB3" w:rsidRDefault="008A0EC2"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Nazir, S., Ali, A., Aftab, A., Muqeet, H. A., </w:t>
      </w:r>
      <w:proofErr w:type="spellStart"/>
      <w:r w:rsidRPr="00066CB3">
        <w:rPr>
          <w:rFonts w:ascii="Times New Roman" w:hAnsi="Times New Roman" w:cs="Times New Roman"/>
        </w:rPr>
        <w:t>Mirsaeidi</w:t>
      </w:r>
      <w:proofErr w:type="spellEnd"/>
      <w:r w:rsidRPr="00066CB3">
        <w:rPr>
          <w:rFonts w:ascii="Times New Roman" w:hAnsi="Times New Roman" w:cs="Times New Roman"/>
        </w:rPr>
        <w:t xml:space="preserve">, S., &amp; Zhang, J. M. (2023). </w:t>
      </w:r>
      <w:r w:rsidRPr="00066CB3">
        <w:rPr>
          <w:rFonts w:ascii="Times New Roman" w:hAnsi="Times New Roman" w:cs="Times New Roman"/>
          <w:i/>
          <w:iCs/>
        </w:rPr>
        <w:t>Techno-Economic and Environmental Perspectives of Solar Cell Technologies: A Comprehensive Review</w:t>
      </w:r>
      <w:r w:rsidRPr="00066CB3">
        <w:rPr>
          <w:rFonts w:ascii="Times New Roman" w:hAnsi="Times New Roman" w:cs="Times New Roman"/>
        </w:rPr>
        <w:t>. Energies,</w:t>
      </w:r>
      <w:r w:rsidRPr="00066CB3">
        <w:rPr>
          <w:rFonts w:ascii="Times New Roman" w:hAnsi="Times New Roman" w:cs="Times New Roman"/>
          <w:b/>
          <w:bCs/>
        </w:rPr>
        <w:t xml:space="preserve"> 16</w:t>
      </w:r>
      <w:r w:rsidRPr="00066CB3">
        <w:rPr>
          <w:rFonts w:ascii="Times New Roman" w:hAnsi="Times New Roman" w:cs="Times New Roman"/>
        </w:rPr>
        <w:t xml:space="preserve">(13), 4959. </w:t>
      </w:r>
      <w:hyperlink r:id="rId29" w:tgtFrame="_new" w:history="1">
        <w:r w:rsidRPr="00066CB3">
          <w:rPr>
            <w:rFonts w:ascii="Times New Roman" w:hAnsi="Times New Roman" w:cs="Times New Roman"/>
            <w:color w:val="0000FF"/>
            <w:u w:val="single"/>
          </w:rPr>
          <w:t>https://doi.org/10.3390/en16134959</w:t>
        </w:r>
      </w:hyperlink>
    </w:p>
    <w:p w14:paraId="1F4F3F20" w14:textId="548359D1" w:rsidR="00C36B54" w:rsidRPr="00066CB3" w:rsidRDefault="00C36B54"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Dada, M., &amp; Popoola, P. (2023). Recent advances in solar photovoltaic materials and systems for energy storage applications: A review. </w:t>
      </w:r>
      <w:r w:rsidRPr="00066CB3">
        <w:rPr>
          <w:rFonts w:ascii="Times New Roman" w:hAnsi="Times New Roman" w:cs="Times New Roman"/>
          <w:i/>
          <w:iCs/>
        </w:rPr>
        <w:t>Beni-</w:t>
      </w:r>
      <w:proofErr w:type="spellStart"/>
      <w:r w:rsidRPr="00066CB3">
        <w:rPr>
          <w:rFonts w:ascii="Times New Roman" w:hAnsi="Times New Roman" w:cs="Times New Roman"/>
          <w:i/>
          <w:iCs/>
        </w:rPr>
        <w:t>Suef</w:t>
      </w:r>
      <w:proofErr w:type="spellEnd"/>
      <w:r w:rsidRPr="00066CB3">
        <w:rPr>
          <w:rFonts w:ascii="Times New Roman" w:hAnsi="Times New Roman" w:cs="Times New Roman"/>
          <w:i/>
          <w:iCs/>
        </w:rPr>
        <w:t xml:space="preserve"> University Journal of Basic and Applied Sciences, 12</w:t>
      </w:r>
      <w:r w:rsidRPr="00066CB3">
        <w:rPr>
          <w:rFonts w:ascii="Times New Roman" w:hAnsi="Times New Roman" w:cs="Times New Roman"/>
        </w:rPr>
        <w:t xml:space="preserve">, 66. </w:t>
      </w:r>
      <w:hyperlink r:id="rId30" w:tgtFrame="_new" w:history="1">
        <w:r w:rsidRPr="00066CB3">
          <w:rPr>
            <w:rFonts w:ascii="Times New Roman" w:hAnsi="Times New Roman" w:cs="Times New Roman"/>
            <w:color w:val="0000FF"/>
            <w:u w:val="single"/>
          </w:rPr>
          <w:t>https://doi.org/10.1186/s43088-023-00405-5</w:t>
        </w:r>
      </w:hyperlink>
    </w:p>
    <w:p w14:paraId="1C52F231" w14:textId="77777777" w:rsidR="00C31E9E" w:rsidRPr="00C31E9E" w:rsidRDefault="005D507D" w:rsidP="00066CB3">
      <w:pPr>
        <w:pStyle w:val="ListParagraph"/>
        <w:numPr>
          <w:ilvl w:val="0"/>
          <w:numId w:val="1"/>
        </w:numPr>
        <w:jc w:val="both"/>
        <w:rPr>
          <w:rFonts w:ascii="Times New Roman" w:hAnsi="Times New Roman" w:cs="Times New Roman"/>
          <w:color w:val="4F81BD" w:themeColor="accent1"/>
        </w:rPr>
      </w:pPr>
      <w:r w:rsidRPr="00C31E9E">
        <w:rPr>
          <w:rFonts w:ascii="Times New Roman" w:hAnsi="Times New Roman" w:cs="Times New Roman"/>
        </w:rPr>
        <w:t xml:space="preserve">Xu, T., Wei, R., Singh, S. C., &amp; Guo, C. L. (2025). 15-fold increase in solar thermoelectric generator performance through femtosecond-laser spectral engineering and thermal management. </w:t>
      </w:r>
      <w:r w:rsidRPr="00C31E9E">
        <w:rPr>
          <w:rStyle w:val="Emphasis"/>
          <w:rFonts w:ascii="Times New Roman" w:hAnsi="Times New Roman" w:cs="Times New Roman"/>
        </w:rPr>
        <w:t>Light: Science &amp; Applications, 14</w:t>
      </w:r>
      <w:r w:rsidRPr="00C31E9E">
        <w:rPr>
          <w:rFonts w:ascii="Times New Roman" w:hAnsi="Times New Roman" w:cs="Times New Roman"/>
        </w:rPr>
        <w:t>(1), Article 192.</w:t>
      </w:r>
    </w:p>
    <w:p w14:paraId="02F3BF85" w14:textId="0CFFA5AF" w:rsidR="005D507D" w:rsidRPr="00066CB3" w:rsidRDefault="00AF12CC" w:rsidP="00C31E9E">
      <w:pPr>
        <w:pStyle w:val="ListParagraph"/>
        <w:ind w:left="360"/>
        <w:jc w:val="both"/>
        <w:rPr>
          <w:rFonts w:ascii="Times New Roman" w:hAnsi="Times New Roman" w:cs="Times New Roman"/>
          <w:color w:val="4F81BD" w:themeColor="accent1"/>
        </w:rPr>
      </w:pPr>
      <w:hyperlink r:id="rId31" w:history="1">
        <w:r w:rsidR="00F3012F" w:rsidRPr="00437BF3">
          <w:rPr>
            <w:rStyle w:val="Hyperlink"/>
            <w:rFonts w:ascii="Times New Roman" w:hAnsi="Times New Roman" w:cs="Times New Roman"/>
          </w:rPr>
          <w:t>https://doi.org/10.1038/s41377-025-01916-9</w:t>
        </w:r>
      </w:hyperlink>
    </w:p>
    <w:p w14:paraId="6FD46D0B" w14:textId="77777777" w:rsidR="001C024F" w:rsidRPr="00066CB3" w:rsidRDefault="001C024F" w:rsidP="00066CB3">
      <w:pPr>
        <w:pStyle w:val="ListParagraph"/>
        <w:ind w:left="360"/>
        <w:jc w:val="both"/>
        <w:rPr>
          <w:rFonts w:ascii="Times New Roman" w:hAnsi="Times New Roman" w:cs="Times New Roman"/>
          <w:color w:val="4F81BD" w:themeColor="accent1"/>
        </w:rPr>
      </w:pPr>
    </w:p>
    <w:p w14:paraId="5CE97328" w14:textId="77777777" w:rsidR="005D507D" w:rsidRPr="00066CB3" w:rsidRDefault="005D507D" w:rsidP="00066CB3">
      <w:pPr>
        <w:pStyle w:val="ListBullet"/>
        <w:spacing w:after="0" w:line="240" w:lineRule="auto"/>
        <w:ind w:left="360"/>
        <w:jc w:val="both"/>
        <w:rPr>
          <w:rFonts w:ascii="Times New Roman" w:hAnsi="Times New Roman" w:cs="Times New Roman"/>
        </w:rPr>
      </w:pPr>
    </w:p>
    <w:p w14:paraId="170E4E07" w14:textId="77777777" w:rsidR="0001288C" w:rsidRPr="00066CB3" w:rsidRDefault="0001288C" w:rsidP="00066CB3">
      <w:pPr>
        <w:pStyle w:val="ListBullet"/>
        <w:jc w:val="both"/>
        <w:rPr>
          <w:rFonts w:ascii="Times New Roman" w:hAnsi="Times New Roman" w:cs="Times New Roman"/>
        </w:rPr>
      </w:pPr>
    </w:p>
    <w:p w14:paraId="0B5C4BAF" w14:textId="77777777" w:rsidR="00C51010" w:rsidRPr="00066CB3" w:rsidRDefault="00C51010" w:rsidP="00066CB3">
      <w:pPr>
        <w:jc w:val="both"/>
        <w:rPr>
          <w:rFonts w:ascii="Times New Roman" w:hAnsi="Times New Roman" w:cs="Times New Roman"/>
        </w:rPr>
      </w:pPr>
    </w:p>
    <w:p w14:paraId="6ED03EDB"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6083FEF"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5898EB6"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934C29E"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081B13D3"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11D432C3"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14AC23A8"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sectPr w:rsidR="00C309E2" w:rsidRPr="00066CB3" w:rsidSect="00034616">
      <w:headerReference w:type="even" r:id="rId32"/>
      <w:headerReference w:type="default" r:id="rId33"/>
      <w:footerReference w:type="even" r:id="rId34"/>
      <w:footerReference w:type="default" r:id="rId35"/>
      <w:headerReference w:type="first" r:id="rId36"/>
      <w:footerReference w:type="firs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A0352" w14:textId="77777777" w:rsidR="00AF12CC" w:rsidRDefault="00AF12CC" w:rsidP="00410A05">
      <w:pPr>
        <w:spacing w:after="0" w:line="240" w:lineRule="auto"/>
      </w:pPr>
      <w:r>
        <w:separator/>
      </w:r>
    </w:p>
  </w:endnote>
  <w:endnote w:type="continuationSeparator" w:id="0">
    <w:p w14:paraId="2BF3FBE3" w14:textId="77777777" w:rsidR="00AF12CC" w:rsidRDefault="00AF12CC" w:rsidP="0041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C9F0" w14:textId="77777777" w:rsidR="00410A05" w:rsidRDefault="00410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74FA" w14:textId="77777777" w:rsidR="00410A05" w:rsidRDefault="00410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886A" w14:textId="77777777" w:rsidR="00410A05" w:rsidRDefault="0041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7CC2" w14:textId="77777777" w:rsidR="00AF12CC" w:rsidRDefault="00AF12CC" w:rsidP="00410A05">
      <w:pPr>
        <w:spacing w:after="0" w:line="240" w:lineRule="auto"/>
      </w:pPr>
      <w:r>
        <w:separator/>
      </w:r>
    </w:p>
  </w:footnote>
  <w:footnote w:type="continuationSeparator" w:id="0">
    <w:p w14:paraId="5B808A91" w14:textId="77777777" w:rsidR="00AF12CC" w:rsidRDefault="00AF12CC" w:rsidP="0041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8EB8" w14:textId="47DEDA8D" w:rsidR="00410A05" w:rsidRDefault="00410A05">
    <w:pPr>
      <w:pStyle w:val="Header"/>
    </w:pPr>
    <w:r>
      <w:rPr>
        <w:noProof/>
      </w:rPr>
      <w:pict w14:anchorId="790EC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3F8F" w14:textId="5354CD41" w:rsidR="00410A05" w:rsidRDefault="00410A05">
    <w:pPr>
      <w:pStyle w:val="Header"/>
    </w:pPr>
    <w:r>
      <w:rPr>
        <w:noProof/>
      </w:rPr>
      <w:pict w14:anchorId="29844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8945" w14:textId="441252C7" w:rsidR="00410A05" w:rsidRDefault="00410A05">
    <w:pPr>
      <w:pStyle w:val="Header"/>
    </w:pPr>
    <w:r>
      <w:rPr>
        <w:noProof/>
      </w:rPr>
      <w:pict w14:anchorId="4932F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914F92E"/>
    <w:lvl w:ilvl="0">
      <w:start w:val="1"/>
      <w:numFmt w:val="decimal"/>
      <w:lvlText w:val="%1."/>
      <w:lvlJc w:val="left"/>
      <w:pPr>
        <w:ind w:left="360" w:hanging="360"/>
      </w:pPr>
      <w:rPr>
        <w:rFonts w:hint="default"/>
        <w:color w:val="auto"/>
      </w:rPr>
    </w:lvl>
  </w:abstractNum>
  <w:abstractNum w:abstractNumId="9" w15:restartNumberingAfterBreak="0">
    <w:nsid w:val="09A22D2D"/>
    <w:multiLevelType w:val="multilevel"/>
    <w:tmpl w:val="AF78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74A8C"/>
    <w:multiLevelType w:val="multilevel"/>
    <w:tmpl w:val="3EDA9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792E50"/>
    <w:multiLevelType w:val="multilevel"/>
    <w:tmpl w:val="B8A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012C8"/>
    <w:multiLevelType w:val="multilevel"/>
    <w:tmpl w:val="47F87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803B3"/>
    <w:multiLevelType w:val="multilevel"/>
    <w:tmpl w:val="3EEEA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D3CA1"/>
    <w:multiLevelType w:val="multilevel"/>
    <w:tmpl w:val="55A4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61E5B"/>
    <w:multiLevelType w:val="multilevel"/>
    <w:tmpl w:val="623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A4DB1"/>
    <w:multiLevelType w:val="multilevel"/>
    <w:tmpl w:val="79F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372F5"/>
    <w:multiLevelType w:val="multilevel"/>
    <w:tmpl w:val="F51C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5F2526"/>
    <w:multiLevelType w:val="hybridMultilevel"/>
    <w:tmpl w:val="5414DD6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3"/>
  </w:num>
  <w:num w:numId="13">
    <w:abstractNumId w:val="16"/>
  </w:num>
  <w:num w:numId="14">
    <w:abstractNumId w:val="10"/>
  </w:num>
  <w:num w:numId="15">
    <w:abstractNumId w:val="14"/>
  </w:num>
  <w:num w:numId="16">
    <w:abstractNumId w:val="18"/>
  </w:num>
  <w:num w:numId="17">
    <w:abstractNumId w:val="1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8C"/>
    <w:rsid w:val="00034616"/>
    <w:rsid w:val="0006063C"/>
    <w:rsid w:val="00066CB3"/>
    <w:rsid w:val="0007373A"/>
    <w:rsid w:val="000D5CDC"/>
    <w:rsid w:val="001118D7"/>
    <w:rsid w:val="00137861"/>
    <w:rsid w:val="0014042B"/>
    <w:rsid w:val="0015074B"/>
    <w:rsid w:val="00164CCA"/>
    <w:rsid w:val="001818F8"/>
    <w:rsid w:val="001C024F"/>
    <w:rsid w:val="001D1FE5"/>
    <w:rsid w:val="001E5793"/>
    <w:rsid w:val="00220054"/>
    <w:rsid w:val="00255257"/>
    <w:rsid w:val="0029639D"/>
    <w:rsid w:val="002A3C1D"/>
    <w:rsid w:val="002B16D5"/>
    <w:rsid w:val="002E0166"/>
    <w:rsid w:val="0031123C"/>
    <w:rsid w:val="003207F4"/>
    <w:rsid w:val="00326F90"/>
    <w:rsid w:val="003404B4"/>
    <w:rsid w:val="003A00AC"/>
    <w:rsid w:val="003A7089"/>
    <w:rsid w:val="00410A05"/>
    <w:rsid w:val="00451C31"/>
    <w:rsid w:val="004620D8"/>
    <w:rsid w:val="00472FC2"/>
    <w:rsid w:val="00480A9F"/>
    <w:rsid w:val="004910C3"/>
    <w:rsid w:val="004A32CC"/>
    <w:rsid w:val="004B6304"/>
    <w:rsid w:val="00510F17"/>
    <w:rsid w:val="005152C2"/>
    <w:rsid w:val="00581A26"/>
    <w:rsid w:val="00597579"/>
    <w:rsid w:val="005A50B5"/>
    <w:rsid w:val="005C1271"/>
    <w:rsid w:val="005C59CC"/>
    <w:rsid w:val="005D507D"/>
    <w:rsid w:val="0062457A"/>
    <w:rsid w:val="006307FD"/>
    <w:rsid w:val="00713A80"/>
    <w:rsid w:val="007240B3"/>
    <w:rsid w:val="00726671"/>
    <w:rsid w:val="0075143C"/>
    <w:rsid w:val="0076222D"/>
    <w:rsid w:val="007D2B2A"/>
    <w:rsid w:val="0081440C"/>
    <w:rsid w:val="00856921"/>
    <w:rsid w:val="0089688C"/>
    <w:rsid w:val="008A0EC2"/>
    <w:rsid w:val="00902D9C"/>
    <w:rsid w:val="00905F75"/>
    <w:rsid w:val="009143BD"/>
    <w:rsid w:val="0095542D"/>
    <w:rsid w:val="00956D20"/>
    <w:rsid w:val="009C6FDA"/>
    <w:rsid w:val="009E1918"/>
    <w:rsid w:val="009F1D6C"/>
    <w:rsid w:val="00A54ED6"/>
    <w:rsid w:val="00AA1D8D"/>
    <w:rsid w:val="00AA4F5A"/>
    <w:rsid w:val="00AF12CC"/>
    <w:rsid w:val="00B07BC4"/>
    <w:rsid w:val="00B47730"/>
    <w:rsid w:val="00B61663"/>
    <w:rsid w:val="00BA1D65"/>
    <w:rsid w:val="00BB1B16"/>
    <w:rsid w:val="00BF69DF"/>
    <w:rsid w:val="00C309E2"/>
    <w:rsid w:val="00C31E9E"/>
    <w:rsid w:val="00C36B54"/>
    <w:rsid w:val="00C44C46"/>
    <w:rsid w:val="00C51010"/>
    <w:rsid w:val="00C541B8"/>
    <w:rsid w:val="00C7091A"/>
    <w:rsid w:val="00CB0664"/>
    <w:rsid w:val="00CD03A8"/>
    <w:rsid w:val="00CF7195"/>
    <w:rsid w:val="00D65177"/>
    <w:rsid w:val="00D77565"/>
    <w:rsid w:val="00DC7CB6"/>
    <w:rsid w:val="00E30FE7"/>
    <w:rsid w:val="00E3394F"/>
    <w:rsid w:val="00E55403"/>
    <w:rsid w:val="00E646C1"/>
    <w:rsid w:val="00E87DA2"/>
    <w:rsid w:val="00EA1760"/>
    <w:rsid w:val="00EA5335"/>
    <w:rsid w:val="00ED330B"/>
    <w:rsid w:val="00ED48A9"/>
    <w:rsid w:val="00EF054C"/>
    <w:rsid w:val="00F118FB"/>
    <w:rsid w:val="00F3012F"/>
    <w:rsid w:val="00F31E64"/>
    <w:rsid w:val="00F600DF"/>
    <w:rsid w:val="00F6409D"/>
    <w:rsid w:val="00FB355A"/>
    <w:rsid w:val="00FC2C72"/>
    <w:rsid w:val="00FC693F"/>
    <w:rsid w:val="00FF0863"/>
    <w:rsid w:val="00FF1F45"/>
    <w:rsid w:val="00FF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F5651C"/>
  <w14:defaultImageDpi w14:val="300"/>
  <w15:docId w15:val="{B53DFAF6-8F57-4DDE-9B4F-4F99538E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240B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Hyperlink">
    <w:name w:val="Hyperlink"/>
    <w:basedOn w:val="DefaultParagraphFont"/>
    <w:uiPriority w:val="99"/>
    <w:unhideWhenUsed/>
    <w:rsid w:val="00FF1F45"/>
    <w:rPr>
      <w:color w:val="0000FF" w:themeColor="hyperlink"/>
      <w:u w:val="single"/>
    </w:rPr>
  </w:style>
  <w:style w:type="character" w:styleId="UnresolvedMention">
    <w:name w:val="Unresolved Mention"/>
    <w:basedOn w:val="DefaultParagraphFont"/>
    <w:uiPriority w:val="99"/>
    <w:semiHidden/>
    <w:unhideWhenUsed/>
    <w:rsid w:val="00FF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ule.2023.06.001" TargetMode="External"/><Relationship Id="rId18" Type="http://schemas.openxmlformats.org/officeDocument/2006/relationships/hyperlink" Target="https://doi.org/10.1002/pip.3544" TargetMode="External"/><Relationship Id="rId26" Type="http://schemas.openxmlformats.org/officeDocument/2006/relationships/hyperlink" Target="https://doi.org/10.1016/j.rser.2019.04.025" TargetMode="External"/><Relationship Id="rId39" Type="http://schemas.openxmlformats.org/officeDocument/2006/relationships/theme" Target="theme/theme1.xml"/><Relationship Id="rId21" Type="http://schemas.openxmlformats.org/officeDocument/2006/relationships/hyperlink" Target="https://www.irena.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38/nenergy.2017.140" TargetMode="External"/><Relationship Id="rId25" Type="http://schemas.openxmlformats.org/officeDocument/2006/relationships/hyperlink" Target="https://doi.org/10.1016/j.solener.2018.08.03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rser.2011.07.104" TargetMode="External"/><Relationship Id="rId20" Type="http://schemas.openxmlformats.org/officeDocument/2006/relationships/hyperlink" Target="https://www.iea.org/reports/world-energy-outlook-2023" TargetMode="External"/><Relationship Id="rId29" Type="http://schemas.openxmlformats.org/officeDocument/2006/relationships/hyperlink" Target="https://doi.org/10.3390/en16134959?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theguardian.com/australia-news/2024/mar/12/csiro-claims-new-record-for-energy-efficiency-in-lightweight-printed-solar-cells?utm_source=chatgpt.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rser.2015.02.043" TargetMode="External"/><Relationship Id="rId23" Type="http://schemas.openxmlformats.org/officeDocument/2006/relationships/hyperlink" Target="https://doi.org/10.1016/j.jclepro.2021.129963" TargetMode="External"/><Relationship Id="rId28" Type="http://schemas.openxmlformats.org/officeDocument/2006/relationships/hyperlink" Target="https://doi.org/10.3389/fenrg.2022.937155"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126/science.aaw1845" TargetMode="External"/><Relationship Id="rId31" Type="http://schemas.openxmlformats.org/officeDocument/2006/relationships/hyperlink" Target="https://doi.org/10.1038/s41377-025-0191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enpol.2009.10.069" TargetMode="External"/><Relationship Id="rId22" Type="http://schemas.openxmlformats.org/officeDocument/2006/relationships/hyperlink" Target="https://doi.org/10.1016/j.joule.2017.07.005" TargetMode="External"/><Relationship Id="rId27" Type="http://schemas.openxmlformats.org/officeDocument/2006/relationships/hyperlink" Target="https://doi.org/10.3390/eng6030050" TargetMode="External"/><Relationship Id="rId30" Type="http://schemas.openxmlformats.org/officeDocument/2006/relationships/hyperlink" Target="https://doi.org/10.1186/s43088-023-00405-5?utm_source=chatgpt.com"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23F5B-4AC8-4C50-AB70-8D714A86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cp:revision>
  <cp:lastPrinted>2025-09-01T10:31:00Z</cp:lastPrinted>
  <dcterms:created xsi:type="dcterms:W3CDTF">2025-09-01T11:39:00Z</dcterms:created>
  <dcterms:modified xsi:type="dcterms:W3CDTF">2025-09-02T06:32:00Z</dcterms:modified>
  <cp:category/>
</cp:coreProperties>
</file>