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6D82B" w14:textId="77777777" w:rsidR="004C64FB" w:rsidRDefault="004C64FB" w:rsidP="004C64FB">
      <w:pPr>
        <w:pStyle w:val="NormalWeb"/>
        <w:jc w:val="center"/>
        <w:rPr>
          <w:b/>
        </w:rPr>
      </w:pPr>
      <w:r w:rsidRPr="004C64FB">
        <w:rPr>
          <w:b/>
        </w:rPr>
        <w:t>Biogas Production from Co-Digestion of Cow Dung with Agricultural Residues under Mesophilic Conditions</w:t>
      </w:r>
    </w:p>
    <w:p w14:paraId="4DAFD525" w14:textId="77777777" w:rsidR="004C64FB" w:rsidRPr="00EB1E09" w:rsidRDefault="004C64FB" w:rsidP="004C64FB">
      <w:pPr>
        <w:pStyle w:val="NormalWeb"/>
        <w:jc w:val="center"/>
        <w:rPr>
          <w:b/>
        </w:rPr>
      </w:pPr>
    </w:p>
    <w:p w14:paraId="527678D4" w14:textId="77777777" w:rsidR="00626D14" w:rsidRPr="00626D14" w:rsidRDefault="00626D14" w:rsidP="00626D14">
      <w:pPr>
        <w:pStyle w:val="NormalWeb"/>
        <w:rPr>
          <w:b/>
        </w:rPr>
      </w:pPr>
      <w:bookmarkStart w:id="0" w:name="_GoBack"/>
      <w:bookmarkEnd w:id="0"/>
      <w:r w:rsidRPr="00626D14">
        <w:rPr>
          <w:b/>
        </w:rPr>
        <w:t>Abstract</w:t>
      </w:r>
    </w:p>
    <w:p w14:paraId="26064CBC" w14:textId="77777777" w:rsidR="00626D14" w:rsidRDefault="00626D14" w:rsidP="00626D14">
      <w:pPr>
        <w:pStyle w:val="NormalWeb"/>
        <w:jc w:val="both"/>
      </w:pPr>
      <w:r>
        <w:t>Access to reliable and affordable energy remains a challenge in sub-Saharan Africa, where over 85 million Nigerians lack grid electricity. Dependence on fossil fuels worsens environmental degradation, while agricultural residues are often indiscriminately discarded, contributing to pollution. Biogas technology offers a sustainable alternative, yet mono-digestion of cow dung is constrained by poor carbon-to-nitrogen (C/N) ratios, low methane yields, and process instability. Co-digestion with crop residues provides an opportunity to balance nutrient profiles and improve biogas performance</w:t>
      </w:r>
      <w:r w:rsidR="00196416">
        <w:t>. However, limited</w:t>
      </w:r>
      <w:r>
        <w:t xml:space="preserve"> empirical evidence exists on the comparative effectiveness of different substrates under mesophilic conditions in Nigeria. This study investigated the co-digestion of cow dung with yam peel, maize husk, and cassava peel using laboratory-scale digesters. Feedstocks were analysed for C/N ratios, nutrient content, and heavy metals, while daily and weekly gas yields were monitored over seven weeks. Results revealed that cow dung + yam peel produced the highest cumulative yield </w:t>
      </w:r>
      <w:r w:rsidR="00354090">
        <w:t>of 486.7 mL</w:t>
      </w:r>
      <w:r>
        <w:t xml:space="preserve">, while cow dung + maize husk extended retention to 38 days with 316.6 mL yield. Cow dung only and cow dung + cassava peel produced similar lower yields </w:t>
      </w:r>
      <w:r w:rsidR="00354090">
        <w:t xml:space="preserve">at approximately 206 </w:t>
      </w:r>
      <w:proofErr w:type="spellStart"/>
      <w:r w:rsidR="00354090">
        <w:t>mL</w:t>
      </w:r>
      <w:r>
        <w:t>.</w:t>
      </w:r>
      <w:proofErr w:type="spellEnd"/>
      <w:r>
        <w:t xml:space="preserve"> ANOVA confirmed signifi</w:t>
      </w:r>
      <w:r w:rsidR="00354090">
        <w:t>cant weekly variation at p &lt; 0.05,</w:t>
      </w:r>
      <w:r>
        <w:t xml:space="preserve"> but no significant differences in cumu</w:t>
      </w:r>
      <w:r w:rsidR="00354090">
        <w:t>lative yields among treatments at p = 0.562</w:t>
      </w:r>
      <w:r>
        <w:t>. The study concludes that yam peel and maize husk are promising co-substrates for enhancing biogas yield and stability, while cassava peel requires further pre-treatment. Co-digestion presents a low-cost, sustainable pathway to improve rural energy access and reduce agricultural waste in Nigeria.</w:t>
      </w:r>
    </w:p>
    <w:p w14:paraId="5ABA9B77" w14:textId="77777777" w:rsidR="00354090" w:rsidRDefault="00354090" w:rsidP="00354090">
      <w:pPr>
        <w:pStyle w:val="NormalWeb"/>
      </w:pPr>
      <w:r>
        <w:t>Keywords: Biogas production; Co-digestion; Cow dung; Agricultural residues; Yam peel; Maize husk; Sustainable waste-to-energy</w:t>
      </w:r>
    </w:p>
    <w:p w14:paraId="43EB15E6" w14:textId="77777777" w:rsidR="004C64FB" w:rsidRPr="00EB1E09" w:rsidRDefault="002327F1" w:rsidP="004C64FB">
      <w:pPr>
        <w:pStyle w:val="NormalWeb"/>
        <w:rPr>
          <w:b/>
        </w:rPr>
      </w:pPr>
      <w:r>
        <w:rPr>
          <w:b/>
        </w:rPr>
        <w:t>1.0</w:t>
      </w:r>
      <w:r>
        <w:rPr>
          <w:b/>
        </w:rPr>
        <w:tab/>
      </w:r>
      <w:r w:rsidR="00EB1E09" w:rsidRPr="00EB1E09">
        <w:rPr>
          <w:b/>
        </w:rPr>
        <w:t>Introduction</w:t>
      </w:r>
    </w:p>
    <w:p w14:paraId="2CB3E116" w14:textId="77777777" w:rsidR="00247F3C" w:rsidRDefault="00247F3C" w:rsidP="0035499C">
      <w:pPr>
        <w:pStyle w:val="NormalWeb"/>
        <w:spacing w:line="360" w:lineRule="auto"/>
        <w:jc w:val="both"/>
      </w:pPr>
      <w:r>
        <w:t xml:space="preserve">Access to inexpensive and reliable energy continues to be among the most critical development challenges in sub-Saharan Africa where </w:t>
      </w:r>
      <w:proofErr w:type="spellStart"/>
      <w:r>
        <w:t>agro</w:t>
      </w:r>
      <w:proofErr w:type="spellEnd"/>
      <w:r>
        <w:t>-industrial enterprises and millions of households continue to be out of the modern power grid. Nigeria's energy crisis is also exacerbated by an unstable supply, rotten infrastructure, and ongoing dependence on fossil energy, which collectively fuel higher environmental degradation and accelerate climate change. According to World Bank estimates, over 85 million Nigerians lack access to grid power, pointing to the urgency of alternative sources of renewable energy (World Bank, 2020). Among the available options, biogas technology through anaerobic digestion of organic wastes has emerged as a sustainable option capable of addressing both energy shortage and waste management in agriculture. Through the production of methane-rich gas and nutrient-rich digestate from biodegradable residues, the technology promotes circular economy practices, reduces greenhouse emissions, and improves rural livelihood (</w:t>
      </w:r>
      <w:proofErr w:type="spellStart"/>
      <w:r>
        <w:t>Amigun</w:t>
      </w:r>
      <w:proofErr w:type="spellEnd"/>
      <w:r>
        <w:t xml:space="preserve"> et al., 2012; UNDP, 2021). </w:t>
      </w:r>
      <w:r>
        <w:lastRenderedPageBreak/>
        <w:t xml:space="preserve">Anaerobic digestion (AD) is a four-step microbially </w:t>
      </w:r>
      <w:proofErr w:type="spellStart"/>
      <w:r>
        <w:t>catalyzed</w:t>
      </w:r>
      <w:proofErr w:type="spellEnd"/>
      <w:r>
        <w:t xml:space="preserve"> process, hydrolysis, acidogenesis, acetogenesis, and methanogenesis, that yields biogas, mainly methane (CH₄) and carbon dioxide (CO₂) (Appels et al., 2008; Kiely, 1998). Traditional mono-digestion processes, such as those based solely on cow dung, are generally constrained by low methane yields, nutrient imbalance, and poor process stability. Another significant limitation is the low carbon-to-nitrogen (C/N) ratio of animal manures that tends to lead to ammonia inhibition. It is indicated that optimum production of methane is obtained when the C/N ratio ranges between 20:1 to 30:1 (</w:t>
      </w:r>
      <w:proofErr w:type="spellStart"/>
      <w:r>
        <w:t>Kayhanian</w:t>
      </w:r>
      <w:proofErr w:type="spellEnd"/>
      <w:r>
        <w:t xml:space="preserve"> &amp; Hardy, 2005; Mata-Alvarez et al., 2014).</w:t>
      </w:r>
    </w:p>
    <w:p w14:paraId="0BCEDC3E" w14:textId="77777777" w:rsidR="00247F3C" w:rsidRDefault="00247F3C" w:rsidP="0035499C">
      <w:pPr>
        <w:pStyle w:val="NormalWeb"/>
        <w:spacing w:line="360" w:lineRule="auto"/>
        <w:jc w:val="both"/>
      </w:pPr>
      <w:r>
        <w:t>Co-digestion, defined as anaerobic co-digestion of two or more substrates together, has been widely recognized as a potential method to overcome these limitations. By mixing nitrogen-rich manures and carbon-rich crop residues, co-digestion enhances microbial diversity, balances nutrients, and improves process efficiency (</w:t>
      </w:r>
      <w:proofErr w:type="spellStart"/>
      <w:r>
        <w:t>Zamanzadeh</w:t>
      </w:r>
      <w:proofErr w:type="spellEnd"/>
      <w:r>
        <w:t xml:space="preserve"> et al., 2017). Nigeria generates large amounts of agricultural wastes, such as yam peels, cassava peels, and maize husks, which are typically randomly disposed of, causing environmental pollution (</w:t>
      </w:r>
      <w:proofErr w:type="spellStart"/>
      <w:r>
        <w:t>Ogwueleka</w:t>
      </w:r>
      <w:proofErr w:type="spellEnd"/>
      <w:r>
        <w:t>, 2009; Nnaji, 2015). When effectively utilized, these wastes offer a low-cost, readily available feedstock that can be used to increase methane yield while reducing waste management issues. Previous studies have demonstrated the possibilities of co-digestion of crop residues and animal manures for higher gas production and longer digestion time (</w:t>
      </w:r>
      <w:proofErr w:type="spellStart"/>
      <w:r>
        <w:t>Ahring</w:t>
      </w:r>
      <w:proofErr w:type="spellEnd"/>
      <w:r>
        <w:t xml:space="preserve"> et al., 2010; Hartmann &amp; </w:t>
      </w:r>
      <w:proofErr w:type="spellStart"/>
      <w:r>
        <w:t>Ahring</w:t>
      </w:r>
      <w:proofErr w:type="spellEnd"/>
      <w:r>
        <w:t>, 2006). However, empirical information on the comparative effectiveness of different residue combinations for enhancing biogas production under mesophilic condition in Nigeria is limited. This study therefore investigates the co-digestion of cow dung with yam peel, cassava peel, and maize husk in lab-scale digesters. The investigation targets optimisation of C/N ratio through substrate blending, determining nutrient and heavy metal content of the feedstocks, and monitoring daily and weekly gas production for a period of seven weeks. Comparative assessment of substrates was conducted to determine their yield potential, retention time, and digestion duration, while statistical analysis (ANOVA) was applied to test for treatment differences that were significant. The findings provide practical insight into how well these residues are suited for improving methane yields and demonstrate the potential of co-digestion as a sustainable waste-to-energy pathway for rural communities and smallholder farmers.</w:t>
      </w:r>
    </w:p>
    <w:p w14:paraId="19E3E26F" w14:textId="77777777" w:rsidR="004C64FB" w:rsidRPr="00C9022D" w:rsidRDefault="002327F1" w:rsidP="0035499C">
      <w:pPr>
        <w:spacing w:line="360" w:lineRule="auto"/>
        <w:jc w:val="both"/>
        <w:rPr>
          <w:rFonts w:ascii="Times New Roman" w:hAnsi="Times New Roman" w:cs="Times New Roman"/>
          <w:b/>
        </w:rPr>
      </w:pPr>
      <w:r w:rsidRPr="00C9022D">
        <w:rPr>
          <w:rFonts w:ascii="Times New Roman" w:hAnsi="Times New Roman" w:cs="Times New Roman"/>
          <w:b/>
        </w:rPr>
        <w:t>2.0</w:t>
      </w:r>
      <w:r w:rsidRPr="00C9022D">
        <w:rPr>
          <w:rFonts w:ascii="Times New Roman" w:hAnsi="Times New Roman" w:cs="Times New Roman"/>
          <w:b/>
        </w:rPr>
        <w:tab/>
        <w:t>Materials and Methods</w:t>
      </w:r>
    </w:p>
    <w:p w14:paraId="567280BC" w14:textId="77777777" w:rsidR="00C9022D" w:rsidRPr="00DB34EF" w:rsidRDefault="00C9022D" w:rsidP="0035499C">
      <w:pPr>
        <w:pStyle w:val="NormalWeb"/>
        <w:spacing w:line="360" w:lineRule="auto"/>
        <w:jc w:val="both"/>
        <w:rPr>
          <w:b/>
        </w:rPr>
      </w:pPr>
      <w:r w:rsidRPr="00DB34EF">
        <w:rPr>
          <w:b/>
        </w:rPr>
        <w:t>2.1</w:t>
      </w:r>
      <w:r w:rsidRPr="00DB34EF">
        <w:rPr>
          <w:b/>
        </w:rPr>
        <w:tab/>
        <w:t xml:space="preserve">Study Area and Feedstock Collection </w:t>
      </w:r>
    </w:p>
    <w:p w14:paraId="01C17FEC" w14:textId="77777777" w:rsidR="0035499C" w:rsidRDefault="00C9022D" w:rsidP="0035499C">
      <w:pPr>
        <w:pStyle w:val="NormalWeb"/>
        <w:spacing w:line="360" w:lineRule="auto"/>
        <w:jc w:val="both"/>
      </w:pPr>
      <w:r>
        <w:lastRenderedPageBreak/>
        <w:t xml:space="preserve">The experiment was carried out in the Soil and Water Laboratory, Department of Agricultural and Environmental Engineering, Federal University of Technology, Akure, Nigeria (7°15′N, 5°12′E). This region is </w:t>
      </w:r>
      <w:r w:rsidR="00BB2A41">
        <w:t>characterised</w:t>
      </w:r>
      <w:r>
        <w:t xml:space="preserve"> by a tropical climate with </w:t>
      </w:r>
      <w:r w:rsidR="0035499C">
        <w:t xml:space="preserve">annual </w:t>
      </w:r>
      <w:r>
        <w:t>mean temperatures of 28–34 °C, which</w:t>
      </w:r>
      <w:r w:rsidR="0035499C">
        <w:t xml:space="preserve"> is favourable</w:t>
      </w:r>
      <w:r>
        <w:t xml:space="preserve"> favours mesophilic digestion conditions.</w:t>
      </w:r>
      <w:r w:rsidR="00175B1E">
        <w:t xml:space="preserve"> </w:t>
      </w:r>
      <w:r>
        <w:t xml:space="preserve">Cow dung </w:t>
      </w:r>
      <w:r w:rsidR="0035499C">
        <w:t>was collected from a municipal abattoir at Road Block Junction, Akure. At the same time, yam peels (</w:t>
      </w:r>
      <w:proofErr w:type="spellStart"/>
      <w:r w:rsidR="0035499C">
        <w:t>Dioscorea</w:t>
      </w:r>
      <w:proofErr w:type="spellEnd"/>
      <w:r w:rsidR="0035499C">
        <w:t xml:space="preserve"> spp.), cassava peels (Manihot esculenta), and maize husks (</w:t>
      </w:r>
      <w:proofErr w:type="spellStart"/>
      <w:r w:rsidR="0035499C">
        <w:t>Zea</w:t>
      </w:r>
      <w:proofErr w:type="spellEnd"/>
      <w:r w:rsidR="0035499C">
        <w:t xml:space="preserve"> mays) were sourced from the university farm. These were selected because they are locally sourced and can be employed to balance the carbon-to-nitrogen (C/N) ratio of cow dung.</w:t>
      </w:r>
    </w:p>
    <w:p w14:paraId="7755291E" w14:textId="77777777" w:rsidR="0035499C" w:rsidRDefault="0035499C" w:rsidP="0035499C">
      <w:pPr>
        <w:pStyle w:val="NormalWeb"/>
        <w:spacing w:line="360" w:lineRule="auto"/>
        <w:jc w:val="both"/>
      </w:pPr>
    </w:p>
    <w:p w14:paraId="1917606F" w14:textId="77777777" w:rsidR="00C9022D" w:rsidRPr="00C9022D" w:rsidRDefault="00C9022D" w:rsidP="0035499C">
      <w:pPr>
        <w:pStyle w:val="NormalWeb"/>
        <w:spacing w:line="360" w:lineRule="auto"/>
        <w:jc w:val="both"/>
        <w:rPr>
          <w:b/>
        </w:rPr>
      </w:pPr>
      <w:r w:rsidRPr="00C9022D">
        <w:rPr>
          <w:b/>
        </w:rPr>
        <w:t>2.2</w:t>
      </w:r>
      <w:r w:rsidRPr="00C9022D">
        <w:rPr>
          <w:b/>
        </w:rPr>
        <w:tab/>
        <w:t xml:space="preserve">Substrate Preparation and </w:t>
      </w:r>
      <w:r w:rsidR="00BB2A41">
        <w:rPr>
          <w:b/>
        </w:rPr>
        <w:t>Characterisation</w:t>
      </w:r>
      <w:r w:rsidRPr="00C9022D">
        <w:rPr>
          <w:b/>
        </w:rPr>
        <w:t xml:space="preserve"> </w:t>
      </w:r>
    </w:p>
    <w:p w14:paraId="30DB4889" w14:textId="77777777" w:rsidR="00C9022D" w:rsidRPr="00C9022D" w:rsidRDefault="00C9022D" w:rsidP="0035499C">
      <w:pPr>
        <w:pStyle w:val="NormalWeb"/>
        <w:spacing w:line="360" w:lineRule="auto"/>
        <w:jc w:val="both"/>
        <w:rPr>
          <w:b/>
        </w:rPr>
      </w:pPr>
      <w:r>
        <w:t xml:space="preserve">Cow dung was used fresh, while crop residues were air-dried under direct sunlight for 14 days to reduce moisture content, prevent rapid spoilage, and facilitate grinding. Dried residues were milled using a laboratory grinder and passed through a 1 mm sieve to achieve </w:t>
      </w:r>
      <w:r w:rsidR="00BB2A41">
        <w:t xml:space="preserve">a </w:t>
      </w:r>
      <w:r>
        <w:t>uniform particle size.</w:t>
      </w:r>
      <w:r w:rsidR="00175B1E">
        <w:t xml:space="preserve"> </w:t>
      </w:r>
      <w:r>
        <w:t xml:space="preserve">Feedstock samples were analysed for initial C/N ratio, macronutrient (N, P, K) content, and heavy metal concentrations (Fe, Zn, Cu). Total carbon was determined by the Walkley–Black method, while nitrogen was measured by the </w:t>
      </w:r>
      <w:proofErr w:type="spellStart"/>
      <w:r>
        <w:t>Kjeldahl</w:t>
      </w:r>
      <w:proofErr w:type="spellEnd"/>
      <w:r>
        <w:t xml:space="preserve"> digestion method (Bernal et al., 1996). Phosphorus and potassium were analysed spectrophotometrically using a DR 2500 spectrometer, and heavy metals were determined following APHA (1998) standard methods. These analyses ensured that the suitability of each substrate was established prior to digestion.</w:t>
      </w:r>
    </w:p>
    <w:p w14:paraId="677A6AD0" w14:textId="77777777" w:rsidR="00C9022D" w:rsidRPr="00C9022D" w:rsidRDefault="00C9022D" w:rsidP="0035499C">
      <w:pPr>
        <w:pStyle w:val="NormalWeb"/>
        <w:spacing w:line="360" w:lineRule="auto"/>
        <w:jc w:val="both"/>
        <w:rPr>
          <w:b/>
        </w:rPr>
      </w:pPr>
      <w:r w:rsidRPr="00C9022D">
        <w:rPr>
          <w:b/>
        </w:rPr>
        <w:t>2.3</w:t>
      </w:r>
      <w:r w:rsidRPr="00C9022D">
        <w:rPr>
          <w:b/>
        </w:rPr>
        <w:tab/>
        <w:t xml:space="preserve">Experimental Setup </w:t>
      </w:r>
    </w:p>
    <w:p w14:paraId="5E608C7F" w14:textId="77777777" w:rsidR="00C9022D" w:rsidRDefault="00C9022D" w:rsidP="0035499C">
      <w:pPr>
        <w:pStyle w:val="NormalWeb"/>
        <w:spacing w:line="360" w:lineRule="auto"/>
        <w:jc w:val="both"/>
      </w:pPr>
      <w:r>
        <w:t>Four laboratory-scale anaerobic digesters were fabricated using 500 mL Erlenmeyer flasks, each sealed with airtight rubber stoppers fitted with 7 mm glass tubing. The tubing conveyed biogas into inverted graduated cylinders placed over water troughs, where displaced water volume served as a measure of biogas yield. To ensure airtight conditions, stoppers were reinforced with parafilm and silicone sealant.</w:t>
      </w:r>
      <w:r w:rsidR="00175B1E">
        <w:t xml:space="preserve"> </w:t>
      </w:r>
      <w:r>
        <w:t xml:space="preserve">Each digester was charged with 100 g of fresh cow dung and 250 mL of distilled water to form the base slurry. For co-digestion treatments, 30 g of each crop residue was thoroughly mixed with 100 g of cow dung and 250 mL </w:t>
      </w:r>
      <w:r w:rsidR="00BB2A41">
        <w:t xml:space="preserve">of </w:t>
      </w:r>
      <w:r>
        <w:t>water before loading into the digesters. This ratio was chosen to improve the C/N balance of cow dung while avoiding excessive lignocellulosic material that could hinder hydrolysis (</w:t>
      </w:r>
      <w:proofErr w:type="spellStart"/>
      <w:r>
        <w:t>Kayhanian</w:t>
      </w:r>
      <w:proofErr w:type="spellEnd"/>
      <w:r>
        <w:t xml:space="preserve"> &amp; Hardy, 2005; Hartmann &amp; </w:t>
      </w:r>
      <w:proofErr w:type="spellStart"/>
      <w:r>
        <w:t>Ahring</w:t>
      </w:r>
      <w:proofErr w:type="spellEnd"/>
      <w:r>
        <w:t>, 2006).</w:t>
      </w:r>
      <w:r w:rsidR="00175B1E">
        <w:t xml:space="preserve"> </w:t>
      </w:r>
      <w:r>
        <w:t>The four treatments were:</w:t>
      </w:r>
      <w:r w:rsidR="00175B1E">
        <w:t xml:space="preserve"> </w:t>
      </w:r>
      <w:r>
        <w:t xml:space="preserve">A </w:t>
      </w:r>
      <w:r>
        <w:lastRenderedPageBreak/>
        <w:t>(Control): Cow dung only,</w:t>
      </w:r>
      <w:r w:rsidR="00175B1E">
        <w:t xml:space="preserve"> </w:t>
      </w:r>
      <w:r>
        <w:t>B: Cow dung + yam peel,</w:t>
      </w:r>
      <w:r w:rsidR="00175B1E">
        <w:t xml:space="preserve"> </w:t>
      </w:r>
      <w:r>
        <w:t>C: Cow dung + maize husk,</w:t>
      </w:r>
      <w:r w:rsidR="00175B1E">
        <w:t xml:space="preserve"> and </w:t>
      </w:r>
      <w:r>
        <w:t>D: Cow dung + cassava peel.</w:t>
      </w:r>
      <w:r w:rsidR="00175B1E">
        <w:t xml:space="preserve"> </w:t>
      </w:r>
      <w:r>
        <w:t>All digesters were operated under batch mode at ambient mesophilic temperatures (30–40 °C). Each flask was filled to 50% capacity to maintain adequate headspace for gas accumulation.</w:t>
      </w:r>
    </w:p>
    <w:p w14:paraId="38FAC34C" w14:textId="77777777" w:rsidR="00C9022D" w:rsidRPr="00C9022D" w:rsidRDefault="00C9022D" w:rsidP="0035499C">
      <w:pPr>
        <w:pStyle w:val="NormalWeb"/>
        <w:spacing w:line="360" w:lineRule="auto"/>
        <w:jc w:val="both"/>
        <w:rPr>
          <w:b/>
        </w:rPr>
      </w:pPr>
      <w:r w:rsidRPr="00C9022D">
        <w:rPr>
          <w:b/>
        </w:rPr>
        <w:t>2.4</w:t>
      </w:r>
      <w:r w:rsidRPr="00C9022D">
        <w:rPr>
          <w:b/>
        </w:rPr>
        <w:tab/>
        <w:t xml:space="preserve">Experimental Procedure and Monitoring </w:t>
      </w:r>
    </w:p>
    <w:p w14:paraId="07230850" w14:textId="77777777" w:rsidR="00C9022D" w:rsidRDefault="00C9022D" w:rsidP="0035499C">
      <w:pPr>
        <w:pStyle w:val="NormalWeb"/>
        <w:spacing w:line="360" w:lineRule="auto"/>
        <w:jc w:val="both"/>
      </w:pPr>
      <w:r>
        <w:t>The digesters were monitored for a period of seven weeks. Gas production was recorded twice daily (08:00 and 16:00 h) by measuring water displacement in the inverted cylinders. Weekly cumulative yields were obtained by summation of daily measurements. Ambient temperature was also measured daily using a mercury-in-glass thermometer to confirm mesophilic operating conditions.</w:t>
      </w:r>
      <w:r w:rsidR="00893950">
        <w:t xml:space="preserve"> </w:t>
      </w:r>
      <w:r>
        <w:t>Physical changes in digestate (colour, odour, and texture) were noted at the end of digestion to assess qualitative stability.</w:t>
      </w:r>
    </w:p>
    <w:p w14:paraId="6602A666" w14:textId="77777777" w:rsidR="00C9022D" w:rsidRPr="00C9022D" w:rsidRDefault="00C9022D" w:rsidP="0035499C">
      <w:pPr>
        <w:pStyle w:val="NormalWeb"/>
        <w:spacing w:line="360" w:lineRule="auto"/>
        <w:jc w:val="both"/>
        <w:rPr>
          <w:b/>
        </w:rPr>
      </w:pPr>
      <w:r w:rsidRPr="00C9022D">
        <w:rPr>
          <w:b/>
        </w:rPr>
        <w:t>2.5</w:t>
      </w:r>
      <w:r w:rsidRPr="00C9022D">
        <w:rPr>
          <w:b/>
        </w:rPr>
        <w:tab/>
        <w:t xml:space="preserve">Data Analysis </w:t>
      </w:r>
    </w:p>
    <w:p w14:paraId="0EB67FE2" w14:textId="77777777" w:rsidR="00C9022D" w:rsidRDefault="00C9022D" w:rsidP="0035499C">
      <w:pPr>
        <w:pStyle w:val="NormalWeb"/>
        <w:spacing w:line="360" w:lineRule="auto"/>
        <w:jc w:val="both"/>
      </w:pPr>
      <w:r>
        <w:t>Gas volumes were plotted to show daily and weekly production trends for each treatment. Cumulative yields were used to compare the efficiency of co-digestion relative to mono-digestion. Retention time was determined as the duration from the onset of gas production until production ceased.</w:t>
      </w:r>
      <w:r w:rsidR="00893950">
        <w:t xml:space="preserve"> </w:t>
      </w:r>
      <w:r>
        <w:t>Statistical analysis was conducted using SPSS version 16.0. A one-way Analysis of Variance (ANOVA) was employed to determine significant differences (p &lt; 0.05) in weekly gas yields both within treatments (temporal variation) and between treatments (substrate effects). Post-hoc comparisons were made where applicable to identify treatment pairs with significant differences.</w:t>
      </w:r>
    </w:p>
    <w:p w14:paraId="0A54B900" w14:textId="77777777" w:rsidR="00C9022D" w:rsidRDefault="00C9022D" w:rsidP="0035499C">
      <w:pPr>
        <w:spacing w:line="360" w:lineRule="auto"/>
        <w:jc w:val="both"/>
      </w:pPr>
    </w:p>
    <w:p w14:paraId="6F49FBCE" w14:textId="77777777" w:rsidR="00A77287" w:rsidRPr="007E14B6" w:rsidRDefault="00A77287" w:rsidP="0035499C">
      <w:pPr>
        <w:pStyle w:val="NormalWeb"/>
        <w:spacing w:line="360" w:lineRule="auto"/>
        <w:jc w:val="both"/>
        <w:rPr>
          <w:b/>
        </w:rPr>
      </w:pPr>
      <w:r w:rsidRPr="00A77287">
        <w:rPr>
          <w:b/>
        </w:rPr>
        <w:t>3.0</w:t>
      </w:r>
      <w:r w:rsidRPr="00A77287">
        <w:rPr>
          <w:b/>
        </w:rPr>
        <w:tab/>
        <w:t xml:space="preserve">Results and Discussion </w:t>
      </w:r>
    </w:p>
    <w:p w14:paraId="044E00A1" w14:textId="77777777" w:rsidR="007E14B6" w:rsidRPr="007E14B6" w:rsidRDefault="007E14B6" w:rsidP="0035499C">
      <w:pPr>
        <w:pStyle w:val="NormalWeb"/>
        <w:spacing w:line="360" w:lineRule="auto"/>
        <w:jc w:val="both"/>
        <w:rPr>
          <w:b/>
        </w:rPr>
      </w:pPr>
      <w:r w:rsidRPr="007E14B6">
        <w:rPr>
          <w:b/>
        </w:rPr>
        <w:t>3.1</w:t>
      </w:r>
      <w:r w:rsidRPr="007E14B6">
        <w:rPr>
          <w:b/>
        </w:rPr>
        <w:tab/>
      </w:r>
      <w:r w:rsidR="00A77287" w:rsidRPr="007E14B6">
        <w:rPr>
          <w:b/>
        </w:rPr>
        <w:t xml:space="preserve">Cumulative Biogas Yield </w:t>
      </w:r>
    </w:p>
    <w:p w14:paraId="3F7ADE74" w14:textId="77777777" w:rsidR="00A77287" w:rsidRDefault="00A77287" w:rsidP="0035499C">
      <w:pPr>
        <w:pStyle w:val="NormalWeb"/>
        <w:spacing w:line="360" w:lineRule="auto"/>
        <w:jc w:val="both"/>
      </w:pPr>
      <w:r>
        <w:t>Cumulative gas production differed across treatments, with co-digestion enhancing yields relative to cow dung alone. The highest volume was obt</w:t>
      </w:r>
      <w:r w:rsidR="00795AFA">
        <w:t>ained from cow dung + yam peel at 486.7 mL after 28 days</w:t>
      </w:r>
      <w:r>
        <w:t xml:space="preserve">, followed by cow dung + maize husk </w:t>
      </w:r>
      <w:r w:rsidR="00795AFA">
        <w:t>at 316.6 mL over 38 days</w:t>
      </w:r>
      <w:r>
        <w:t>, while cow dung only and cow dung + cassava peel yielded 205.4 mL and 206.7 mL, respectively</w:t>
      </w:r>
      <w:r w:rsidR="00795AFA">
        <w:t>, as shown in Table 1</w:t>
      </w:r>
      <w:r>
        <w:t>. These findings indicate that yam peel and maize husk are effective co-</w:t>
      </w:r>
      <w:r>
        <w:lastRenderedPageBreak/>
        <w:t>substrates, whereas cassava peel does not significantly improve methane yield compared with mono-digestion.</w:t>
      </w:r>
      <w:r w:rsidR="00795AFA">
        <w:t xml:space="preserve"> </w:t>
      </w:r>
      <w:r>
        <w:t xml:space="preserve">This aligns with previous reports that co-digestion of animal manure with carbohydrate-rich residues increases methane yield due to balanced C/N ratios and improved microbial activity (Hartmann &amp; </w:t>
      </w:r>
      <w:proofErr w:type="spellStart"/>
      <w:r>
        <w:t>Ahring</w:t>
      </w:r>
      <w:proofErr w:type="spellEnd"/>
      <w:r>
        <w:t xml:space="preserve">, 2006; </w:t>
      </w:r>
      <w:proofErr w:type="spellStart"/>
      <w:r>
        <w:t>Zamanzadeh</w:t>
      </w:r>
      <w:proofErr w:type="spellEnd"/>
      <w:r>
        <w:t xml:space="preserve"> et al., 2017). Yam peel provided easily degradable carbohydrates, while maize husk supplied structural carbon that prolonged fermentation. Cassava peel’s poor performance may be attributed to lignocellulosic resistance and the presence of cyanogenic compounds that inhibit methanogenesis, as reported in similar studies (</w:t>
      </w:r>
      <w:proofErr w:type="spellStart"/>
      <w:r>
        <w:t>Ahring</w:t>
      </w:r>
      <w:proofErr w:type="spellEnd"/>
      <w:r>
        <w:t xml:space="preserve"> et al., 2010).</w:t>
      </w:r>
    </w:p>
    <w:p w14:paraId="67B4EA4B" w14:textId="77777777" w:rsidR="00795AFA" w:rsidRDefault="00795AFA" w:rsidP="0035499C">
      <w:pPr>
        <w:pStyle w:val="NormalWeb"/>
        <w:spacing w:line="360" w:lineRule="auto"/>
        <w:jc w:val="both"/>
      </w:pPr>
    </w:p>
    <w:p w14:paraId="228D3D81" w14:textId="77777777" w:rsidR="007E14B6" w:rsidRPr="007E14B6" w:rsidRDefault="007E14B6" w:rsidP="0035499C">
      <w:pPr>
        <w:pStyle w:val="NormalWeb"/>
        <w:spacing w:line="360" w:lineRule="auto"/>
        <w:jc w:val="both"/>
        <w:rPr>
          <w:b/>
        </w:rPr>
      </w:pPr>
      <w:r w:rsidRPr="007E14B6">
        <w:rPr>
          <w:b/>
        </w:rPr>
        <w:t>3.2</w:t>
      </w:r>
      <w:r w:rsidRPr="007E14B6">
        <w:rPr>
          <w:b/>
        </w:rPr>
        <w:tab/>
        <w:t xml:space="preserve">Temporal Production Trends </w:t>
      </w:r>
    </w:p>
    <w:p w14:paraId="1F7D33D0" w14:textId="77777777" w:rsidR="007E14B6" w:rsidRDefault="007E14B6" w:rsidP="0035499C">
      <w:pPr>
        <w:pStyle w:val="NormalWeb"/>
        <w:spacing w:line="360" w:lineRule="auto"/>
        <w:jc w:val="both"/>
      </w:pPr>
      <w:r>
        <w:t xml:space="preserve">Biogas production exhibited the classical anaerobic digestion pattern of lag phase, exponential increase, peak, and decline (Fig. 1). Lag phases of 8–10 days were observed in all treatments, consistent with microbial acclimatisation. Yam peel blends peaked on day 18 with the highest daily yield (37 mL). Maize husk </w:t>
      </w:r>
      <w:proofErr w:type="gramStart"/>
      <w:r>
        <w:t>blends maintained</w:t>
      </w:r>
      <w:proofErr w:type="gramEnd"/>
      <w:r>
        <w:t xml:space="preserve"> production for the longest period (38 days), indicating slower hydrolysis but prolonged methane generation. Cow dung only ceased production after 21 days, confirming the limitation of mono-digestion. Cassava peel blends peaked late (day 22) but at lower yields, suggesting nutrient imbalance or inhibitory effects. These results confirm earlier reports that carbohydrate-rich wastes accelerate methane peaks, while fibrous substrates prolong digestion but at lower peak intensities (</w:t>
      </w:r>
      <w:proofErr w:type="spellStart"/>
      <w:r>
        <w:t>Kayhanian</w:t>
      </w:r>
      <w:proofErr w:type="spellEnd"/>
      <w:r>
        <w:t xml:space="preserve"> &amp; Hardy, 2005).</w:t>
      </w:r>
    </w:p>
    <w:p w14:paraId="21398403" w14:textId="77777777" w:rsidR="007E14B6" w:rsidRPr="007E14B6" w:rsidRDefault="007E14B6" w:rsidP="0035499C">
      <w:pPr>
        <w:pStyle w:val="NormalWeb"/>
        <w:spacing w:line="360" w:lineRule="auto"/>
        <w:jc w:val="both"/>
        <w:rPr>
          <w:b/>
        </w:rPr>
      </w:pPr>
      <w:r w:rsidRPr="007E14B6">
        <w:rPr>
          <w:b/>
        </w:rPr>
        <w:t>3.3</w:t>
      </w:r>
      <w:r w:rsidRPr="007E14B6">
        <w:rPr>
          <w:b/>
        </w:rPr>
        <w:tab/>
        <w:t xml:space="preserve">Statistical Significance and Substrate Comparison </w:t>
      </w:r>
    </w:p>
    <w:p w14:paraId="368A2B93" w14:textId="77777777" w:rsidR="007E14B6" w:rsidRDefault="007E14B6" w:rsidP="0035499C">
      <w:pPr>
        <w:pStyle w:val="NormalWeb"/>
        <w:spacing w:line="360" w:lineRule="auto"/>
        <w:jc w:val="both"/>
      </w:pPr>
      <w:r>
        <w:t xml:space="preserve">Analysis of variance (ANOVA) revealed significant week-to-week variation in yields for all treatments (p &lt; 0.05). For example, cow dung + yam peel showed p = 1.05 × 10⁻¹⁶, while cow dung + maize husk had p = 4.29 × 10⁻¹⁵, confirming that production rates changed significantly throughout the digestion period. Cow dung alone (p = 1.01 × 10⁻¹⁵) and cassava peel blends (p = 8.66 × 10⁻¹⁶) also demonstrated strong week-to-week fluctuations, reflecting the distinct phases of anaerobic digestion. When total weekly aggregates were compared across all substrates, however, there was no statistically significant difference (p = 0.562). This suggests that while digestion dynamics and retention times varied, the ultimate methane potential was broadly comparable among treatments. Similar outcomes have been reported in co-digestion </w:t>
      </w:r>
      <w:r>
        <w:lastRenderedPageBreak/>
        <w:t xml:space="preserve">studies, where operational improvements were observed without substantial differences in final yield (Mata-Alvarez et al., 2014). Among the residues tested, yam peel proved the most effective additive, enhancing both cumulative yield and daily peak. Maize husk was effective in extending retention time, a desirable feature for semi-continuous systems where </w:t>
      </w:r>
      <w:r w:rsidR="00CE0947">
        <w:t xml:space="preserve">a </w:t>
      </w:r>
      <w:r>
        <w:t>stable gas supply is important. Cassava peel, however, underperformed, likely due to high lignin and anti-nutritional factors that slowed microbial activity.</w:t>
      </w:r>
    </w:p>
    <w:p w14:paraId="6DB680FD" w14:textId="77777777" w:rsidR="007E14B6" w:rsidRPr="007E14B6" w:rsidRDefault="007E14B6" w:rsidP="0035499C">
      <w:pPr>
        <w:pStyle w:val="NormalWeb"/>
        <w:spacing w:line="360" w:lineRule="auto"/>
        <w:jc w:val="both"/>
        <w:rPr>
          <w:b/>
        </w:rPr>
      </w:pPr>
      <w:r w:rsidRPr="007E14B6">
        <w:rPr>
          <w:b/>
        </w:rPr>
        <w:t>3.4</w:t>
      </w:r>
      <w:r w:rsidRPr="007E14B6">
        <w:rPr>
          <w:b/>
        </w:rPr>
        <w:tab/>
        <w:t xml:space="preserve">Implications for Waste Management and Rural Energy </w:t>
      </w:r>
    </w:p>
    <w:p w14:paraId="0D7F5AE8" w14:textId="77777777" w:rsidR="0035499C" w:rsidRDefault="0035499C" w:rsidP="0035499C">
      <w:pPr>
        <w:pStyle w:val="NormalWeb"/>
        <w:spacing w:line="360" w:lineRule="auto"/>
        <w:jc w:val="both"/>
      </w:pPr>
      <w:r>
        <w:t xml:space="preserve">The findings affirm that co-digestion is operationally better than mono-digestion, confirming that unbalanced C/N in cow dung tops methane yield (Appels et al., 2008). Additionally, the choice of co-substrate is important in yield dynamics; yam peel is preferred for rapid, high-yield digestion, while maize husk provides long retention and stability. For smallholder farmers in Nigeria, these results present a low-cost solution to improve energy access by </w:t>
      </w:r>
      <w:proofErr w:type="spellStart"/>
      <w:r>
        <w:t>valorizing</w:t>
      </w:r>
      <w:proofErr w:type="spellEnd"/>
      <w:r>
        <w:t xml:space="preserve"> readily available residues to renewable energy. Co-digestion also reduces environmental problems of waste disposal of agricultural wastes, enhancing waste-to-energy integration into rural economic livelihoods. The results are directly supporting Sustainable Development Goals (SDG 7 on accessible energy and SDG 13 on climate change) as emphasized by UNDP (2021). Co-digestion of yam peel and maize husk with cow dung significantly enhanced biogas yield and digestion stability compared to mono-digestion. Yam peel yielded the highest methane, while maize husk extended the period of digestion. Cassava peel provided little improvement over cow dung. Statistics indicated that there was great variation in rates of production across the treatments but not overall differences in total methane potential among substrates. The findings present evidence of the possible use of co-digestion as a sustainable rural Nigeria waste-to-energy policy.</w:t>
      </w:r>
    </w:p>
    <w:p w14:paraId="69CF2675" w14:textId="77777777" w:rsidR="002327F1" w:rsidRPr="00881E97" w:rsidRDefault="002327F1" w:rsidP="00DB34EF">
      <w:pPr>
        <w:spacing w:line="360" w:lineRule="auto"/>
        <w:jc w:val="both"/>
        <w:rPr>
          <w:rFonts w:ascii="Times New Roman" w:hAnsi="Times New Roman" w:cs="Times New Roman"/>
          <w:b/>
          <w:sz w:val="24"/>
          <w:szCs w:val="24"/>
        </w:rPr>
      </w:pPr>
      <w:r w:rsidRPr="00881E97">
        <w:rPr>
          <w:rFonts w:ascii="Times New Roman" w:hAnsi="Times New Roman" w:cs="Times New Roman"/>
          <w:b/>
          <w:sz w:val="24"/>
          <w:szCs w:val="24"/>
        </w:rPr>
        <w:t>5.0</w:t>
      </w:r>
      <w:r w:rsidRPr="00881E97">
        <w:rPr>
          <w:rFonts w:ascii="Times New Roman" w:hAnsi="Times New Roman" w:cs="Times New Roman"/>
          <w:b/>
          <w:sz w:val="24"/>
          <w:szCs w:val="24"/>
        </w:rPr>
        <w:tab/>
        <w:t>Conclusion</w:t>
      </w:r>
    </w:p>
    <w:p w14:paraId="4B034ED7" w14:textId="77777777" w:rsidR="00881E97" w:rsidRDefault="00881E97" w:rsidP="00DB34EF">
      <w:pPr>
        <w:pStyle w:val="NormalWeb"/>
        <w:spacing w:line="360" w:lineRule="auto"/>
        <w:jc w:val="both"/>
      </w:pPr>
      <w:r>
        <w:t xml:space="preserve">This study investigated the co-digestion of cow dung with yam peel, maize husk, and cassava peel under mesophilic conditions using laboratory-scale digesters. Results showed that co-digestion improved methane yield and stability compared with mono-digestion of cow dung. Yam peel produced the highest cumulative yield at 486.7 mL, while maize husk extended the digestion span for 38 days, ensuring a more sustained gas supply. Cassava peel provided little or no improvement over cow dung alone, possibly due to lignocellulosic resistance or inhibitory compounds. Statistical analysis confirmed significant temporal variation in </w:t>
      </w:r>
      <w:r>
        <w:lastRenderedPageBreak/>
        <w:t>production within treatments at p &lt; 0.05, but no significant difference in cumulative yields across all substrates at p = 0.562. These findings suggest that substrate type strongly influences production dynamics and retention time, although the ultimate methane potential remains similar. Overall, co-digestion with locally available agricultural residues, particularly yam peel and maize husk, represents a low-cost, practical approach to enhancing biogas generation for rural households and smallholder farmers. Beyond energy production, digestate from the process may serve as a nutrient-rich soil amendment, further contributing to sustainable agricultural practices.</w:t>
      </w:r>
      <w:r w:rsidR="009A58C7">
        <w:t xml:space="preserve"> </w:t>
      </w:r>
      <w:r>
        <w:t>It is therefore recommended that yam peel be prioritised in biogas systems requiring rapid and high yields</w:t>
      </w:r>
      <w:r w:rsidR="00CE0947">
        <w:t>. At the same time,</w:t>
      </w:r>
      <w:r>
        <w:t xml:space="preserve"> maize husk should be utilised in systems where longer retention and more stable production are desirable. On-farm adoption of these substrates in small-scale digesters can enhance waste management, improve energy access, and contribute to rural livelihoods. Further studies should focus on optimising pre-treatment methods for cassava peel to overcome lignocellulosic barriers and minimise inhibitory effects. At the policy level, government and development agencies are encouraged to promote decentralised waste-to-energy systems as part of rural electrification strategies, aligning with Sustainable Development Goals on affordable energy and climate action.</w:t>
      </w:r>
    </w:p>
    <w:p w14:paraId="021FD6B6" w14:textId="77777777" w:rsidR="00CE0947" w:rsidRDefault="00CE0947" w:rsidP="001D5CF6">
      <w:pPr>
        <w:spacing w:line="360" w:lineRule="auto"/>
        <w:jc w:val="both"/>
        <w:rPr>
          <w:rFonts w:ascii="Times New Roman" w:hAnsi="Times New Roman" w:cs="Times New Roman"/>
          <w:b/>
          <w:sz w:val="24"/>
          <w:szCs w:val="24"/>
        </w:rPr>
      </w:pPr>
    </w:p>
    <w:p w14:paraId="1A7CB0B4" w14:textId="77777777" w:rsidR="002327F1" w:rsidRPr="009A58C7" w:rsidRDefault="002327F1" w:rsidP="00EB1E09">
      <w:pPr>
        <w:jc w:val="both"/>
        <w:rPr>
          <w:rFonts w:ascii="Times New Roman" w:hAnsi="Times New Roman" w:cs="Times New Roman"/>
          <w:b/>
          <w:sz w:val="24"/>
          <w:szCs w:val="24"/>
        </w:rPr>
      </w:pPr>
      <w:r w:rsidRPr="009A58C7">
        <w:rPr>
          <w:rFonts w:ascii="Times New Roman" w:hAnsi="Times New Roman" w:cs="Times New Roman"/>
          <w:b/>
          <w:sz w:val="24"/>
          <w:szCs w:val="24"/>
        </w:rPr>
        <w:t>References</w:t>
      </w:r>
    </w:p>
    <w:p w14:paraId="3C939FCB" w14:textId="77777777" w:rsidR="00B9323E" w:rsidRDefault="00B9323E" w:rsidP="00B9323E">
      <w:pPr>
        <w:pStyle w:val="NormalWeb"/>
        <w:ind w:left="720" w:hanging="720"/>
        <w:jc w:val="both"/>
      </w:pPr>
      <w:r>
        <w:t>APHA, AWWA, &amp; WEF. (1998). Standard methods for the examination of water and wastewater (19th ed.). Washington, D.C.: American Public Health Association. ISBN: 0-87553-235-7.</w:t>
      </w:r>
    </w:p>
    <w:p w14:paraId="0665F449" w14:textId="77777777" w:rsidR="00B9323E" w:rsidRDefault="00B9323E" w:rsidP="00B9323E">
      <w:pPr>
        <w:pStyle w:val="NormalWeb"/>
        <w:ind w:left="720" w:hanging="720"/>
        <w:jc w:val="both"/>
      </w:pPr>
      <w:proofErr w:type="spellStart"/>
      <w:r>
        <w:t>Ahring</w:t>
      </w:r>
      <w:proofErr w:type="spellEnd"/>
      <w:r>
        <w:t xml:space="preserve">, B. K., </w:t>
      </w:r>
      <w:proofErr w:type="spellStart"/>
      <w:r>
        <w:t>Angelidaki</w:t>
      </w:r>
      <w:proofErr w:type="spellEnd"/>
      <w:r>
        <w:t>, I., &amp; Johansen, K. (2010). Anaerobic treatment of manure together with industrial waste. Water Science and Technology, 25(7), 311–318.</w:t>
      </w:r>
    </w:p>
    <w:p w14:paraId="10593737" w14:textId="77777777" w:rsidR="00B9323E" w:rsidRDefault="00B9323E" w:rsidP="00B9323E">
      <w:pPr>
        <w:pStyle w:val="NormalWeb"/>
        <w:ind w:left="720" w:hanging="720"/>
        <w:jc w:val="both"/>
      </w:pPr>
      <w:proofErr w:type="spellStart"/>
      <w:r>
        <w:t>Amigun</w:t>
      </w:r>
      <w:proofErr w:type="spellEnd"/>
      <w:r>
        <w:t xml:space="preserve">, B., </w:t>
      </w:r>
      <w:proofErr w:type="spellStart"/>
      <w:r>
        <w:t>Parawira</w:t>
      </w:r>
      <w:proofErr w:type="spellEnd"/>
      <w:r>
        <w:t xml:space="preserve">, W., </w:t>
      </w:r>
      <w:proofErr w:type="spellStart"/>
      <w:r>
        <w:t>Musango</w:t>
      </w:r>
      <w:proofErr w:type="spellEnd"/>
      <w:r>
        <w:t xml:space="preserve">, J. K., </w:t>
      </w:r>
      <w:proofErr w:type="spellStart"/>
      <w:r>
        <w:t>Aboyade</w:t>
      </w:r>
      <w:proofErr w:type="spellEnd"/>
      <w:r>
        <w:t xml:space="preserve">, A. O., &amp; </w:t>
      </w:r>
      <w:proofErr w:type="spellStart"/>
      <w:r>
        <w:t>Badmos</w:t>
      </w:r>
      <w:proofErr w:type="spellEnd"/>
      <w:r>
        <w:t>, A. S. (2012). Anaerobic biogas generation for rural area energy provision in Africa. In Bioenergy for sustainable development and international competitiveness (pp. 103–115).</w:t>
      </w:r>
    </w:p>
    <w:p w14:paraId="49A7F047" w14:textId="77777777" w:rsidR="00B9323E" w:rsidRDefault="00B9323E" w:rsidP="00B9323E">
      <w:pPr>
        <w:pStyle w:val="NormalWeb"/>
        <w:ind w:left="720" w:hanging="720"/>
        <w:jc w:val="both"/>
      </w:pPr>
      <w:r>
        <w:t xml:space="preserve">Appels, L., </w:t>
      </w:r>
      <w:proofErr w:type="spellStart"/>
      <w:r>
        <w:t>Baeyens</w:t>
      </w:r>
      <w:proofErr w:type="spellEnd"/>
      <w:r>
        <w:t xml:space="preserve">, J., </w:t>
      </w:r>
      <w:proofErr w:type="spellStart"/>
      <w:r>
        <w:t>Degrève</w:t>
      </w:r>
      <w:proofErr w:type="spellEnd"/>
      <w:r>
        <w:t xml:space="preserve">, J., &amp; </w:t>
      </w:r>
      <w:proofErr w:type="spellStart"/>
      <w:r>
        <w:t>Dewil</w:t>
      </w:r>
      <w:proofErr w:type="spellEnd"/>
      <w:r>
        <w:t>, R. (2008). Principles and potential of the anaerobic digestion of waste‐activated sludge. Progress in Energy and Combustion Science, 34(6), 755–781.</w:t>
      </w:r>
    </w:p>
    <w:p w14:paraId="4AB9AF94" w14:textId="77777777" w:rsidR="00B9323E" w:rsidRDefault="00B9323E" w:rsidP="00B9323E">
      <w:pPr>
        <w:pStyle w:val="NormalWeb"/>
        <w:ind w:left="720" w:hanging="720"/>
        <w:jc w:val="both"/>
      </w:pPr>
      <w:r>
        <w:t>Bernal, M. P., Paredes, C., Sánchez-</w:t>
      </w:r>
      <w:proofErr w:type="spellStart"/>
      <w:r>
        <w:t>Monedero</w:t>
      </w:r>
      <w:proofErr w:type="spellEnd"/>
      <w:r>
        <w:t xml:space="preserve">, M. A., &amp; </w:t>
      </w:r>
      <w:proofErr w:type="spellStart"/>
      <w:r>
        <w:t>Cegarra</w:t>
      </w:r>
      <w:proofErr w:type="spellEnd"/>
      <w:r>
        <w:t xml:space="preserve">, J. (1996). Maturity and stability parameters of composts prepared with a wide range of organic wastes. Bioresource Technology, 63(1), 91–99. </w:t>
      </w:r>
      <w:hyperlink r:id="rId6" w:history="1">
        <w:r>
          <w:rPr>
            <w:rStyle w:val="Hyperlink"/>
          </w:rPr>
          <w:t>https://doi.org/10.1016/S0960-8524(97)00084-9</w:t>
        </w:r>
      </w:hyperlink>
    </w:p>
    <w:p w14:paraId="5091AE29" w14:textId="77777777" w:rsidR="00B9323E" w:rsidRDefault="00B9323E" w:rsidP="00B9323E">
      <w:pPr>
        <w:pStyle w:val="NormalWeb"/>
        <w:ind w:left="720" w:hanging="720"/>
        <w:jc w:val="both"/>
      </w:pPr>
      <w:r>
        <w:lastRenderedPageBreak/>
        <w:t xml:space="preserve">Hartmann, H., &amp; </w:t>
      </w:r>
      <w:proofErr w:type="spellStart"/>
      <w:r>
        <w:t>Ahring</w:t>
      </w:r>
      <w:proofErr w:type="spellEnd"/>
      <w:r>
        <w:t>, B. K. (2006). Strategies for the anaerobic digestion of the organic fraction of municipal solid waste: An overview. Water Science and Technology, 53(8), 7–22.</w:t>
      </w:r>
    </w:p>
    <w:p w14:paraId="7FD33C39" w14:textId="77777777" w:rsidR="00B9323E" w:rsidRDefault="00B9323E" w:rsidP="00B9323E">
      <w:pPr>
        <w:pStyle w:val="NormalWeb"/>
        <w:ind w:left="720" w:hanging="720"/>
        <w:jc w:val="both"/>
      </w:pPr>
      <w:proofErr w:type="spellStart"/>
      <w:r>
        <w:t>Kayhanian</w:t>
      </w:r>
      <w:proofErr w:type="spellEnd"/>
      <w:r>
        <w:t>, M., &amp; Hardy, S. (2005). The impact of four design parameters on the performance of high solids anaerobic digestion of municipal solid waste: A review. Environmental Technology, 16(9), 865–884.</w:t>
      </w:r>
    </w:p>
    <w:p w14:paraId="65BA5509" w14:textId="77777777" w:rsidR="00B9323E" w:rsidRDefault="00B9323E" w:rsidP="00B9323E">
      <w:pPr>
        <w:pStyle w:val="NormalWeb"/>
        <w:ind w:left="720" w:hanging="720"/>
        <w:jc w:val="both"/>
      </w:pPr>
      <w:r>
        <w:t>Kiely, G. (1998). Environmental engineering. International Edition, Irwin McGraw-Hill, Boston, 979 p.</w:t>
      </w:r>
    </w:p>
    <w:p w14:paraId="385D1DB3" w14:textId="77777777" w:rsidR="00B9323E" w:rsidRDefault="00B9323E" w:rsidP="00B9323E">
      <w:pPr>
        <w:pStyle w:val="NormalWeb"/>
        <w:ind w:left="720" w:hanging="720"/>
        <w:jc w:val="both"/>
      </w:pPr>
      <w:r>
        <w:t xml:space="preserve">Mata-Alvarez, J., </w:t>
      </w:r>
      <w:proofErr w:type="spellStart"/>
      <w:r>
        <w:t>Dosta</w:t>
      </w:r>
      <w:proofErr w:type="spellEnd"/>
      <w:r>
        <w:t xml:space="preserve">, J., </w:t>
      </w:r>
      <w:proofErr w:type="spellStart"/>
      <w:r>
        <w:t>Macé</w:t>
      </w:r>
      <w:proofErr w:type="spellEnd"/>
      <w:r>
        <w:t xml:space="preserve">, S., &amp; </w:t>
      </w:r>
      <w:proofErr w:type="spellStart"/>
      <w:r>
        <w:t>Astals</w:t>
      </w:r>
      <w:proofErr w:type="spellEnd"/>
      <w:r>
        <w:t xml:space="preserve">, S. (2014). </w:t>
      </w:r>
      <w:proofErr w:type="spellStart"/>
      <w:r>
        <w:t>Codigestion</w:t>
      </w:r>
      <w:proofErr w:type="spellEnd"/>
      <w:r>
        <w:t xml:space="preserve"> of solid wastes: A review of its uses and perspectives including </w:t>
      </w:r>
      <w:proofErr w:type="spellStart"/>
      <w:r>
        <w:t>modeling</w:t>
      </w:r>
      <w:proofErr w:type="spellEnd"/>
      <w:r>
        <w:t>. Critical Reviews in Biotechnology, 34(1), 46–63.</w:t>
      </w:r>
    </w:p>
    <w:p w14:paraId="6749374A" w14:textId="77777777" w:rsidR="00B9323E" w:rsidRDefault="00B9323E" w:rsidP="00B9323E">
      <w:pPr>
        <w:pStyle w:val="NormalWeb"/>
        <w:ind w:left="720" w:hanging="720"/>
        <w:jc w:val="both"/>
      </w:pPr>
      <w:r>
        <w:t>Moral, R., Moreno-</w:t>
      </w:r>
      <w:proofErr w:type="spellStart"/>
      <w:r>
        <w:t>Caselles</w:t>
      </w:r>
      <w:proofErr w:type="spellEnd"/>
      <w:r>
        <w:t xml:space="preserve">, J., Pérez-Murcia, M. D., Pérez-Espinosa, A., &amp; </w:t>
      </w:r>
      <w:proofErr w:type="spellStart"/>
      <w:r>
        <w:t>Rufete</w:t>
      </w:r>
      <w:proofErr w:type="spellEnd"/>
      <w:r>
        <w:t xml:space="preserve">, B. (2009). Characterization of the organic matter pool in manures. Bioresource Technology, 100(22), 5544–5551. </w:t>
      </w:r>
      <w:hyperlink r:id="rId7" w:history="1">
        <w:r>
          <w:rPr>
            <w:rStyle w:val="Hyperlink"/>
          </w:rPr>
          <w:t>https://doi.org/10.1016/j.biortech.2009.05.054</w:t>
        </w:r>
      </w:hyperlink>
    </w:p>
    <w:p w14:paraId="7EDAF4DC" w14:textId="77777777" w:rsidR="00B9323E" w:rsidRDefault="00B9323E" w:rsidP="00B9323E">
      <w:pPr>
        <w:pStyle w:val="NormalWeb"/>
        <w:ind w:left="720" w:hanging="720"/>
        <w:jc w:val="both"/>
      </w:pPr>
      <w:r>
        <w:t xml:space="preserve">Nnaji, C. C. (2015). Status of municipal solid waste generation and disposal in Nigeria. Management of Environmental Quality: An International Journal, 26(1), 53–71. </w:t>
      </w:r>
      <w:hyperlink r:id="rId8" w:history="1">
        <w:r>
          <w:rPr>
            <w:rStyle w:val="Hyperlink"/>
          </w:rPr>
          <w:t>https://doi.org/10.1108/MEQ-08-2013-0092</w:t>
        </w:r>
      </w:hyperlink>
    </w:p>
    <w:p w14:paraId="30F09A1A" w14:textId="77777777" w:rsidR="00B9323E" w:rsidRDefault="00B9323E" w:rsidP="00B9323E">
      <w:pPr>
        <w:pStyle w:val="NormalWeb"/>
        <w:ind w:left="720" w:hanging="720"/>
        <w:jc w:val="both"/>
      </w:pPr>
      <w:proofErr w:type="spellStart"/>
      <w:r>
        <w:t>Ogwueleka</w:t>
      </w:r>
      <w:proofErr w:type="spellEnd"/>
      <w:r>
        <w:t>, T. C. (2009). Municipal solid waste characteristics and management in Nigeria. Iranian Journal of Environmental Health Science and Engineering, 6(3), 173–180.</w:t>
      </w:r>
    </w:p>
    <w:p w14:paraId="1954ACCB" w14:textId="77777777" w:rsidR="00B9323E" w:rsidRDefault="00B9323E" w:rsidP="00B9323E">
      <w:pPr>
        <w:pStyle w:val="NormalWeb"/>
        <w:ind w:left="720" w:hanging="720"/>
        <w:jc w:val="both"/>
      </w:pPr>
      <w:r>
        <w:t>UNDP. (2021). The Sustainable Development Goals Report 2021. United Nations Development Programme, New York.</w:t>
      </w:r>
    </w:p>
    <w:p w14:paraId="607596F3" w14:textId="77777777" w:rsidR="00B9323E" w:rsidRDefault="00B9323E" w:rsidP="00BB2A41">
      <w:pPr>
        <w:pStyle w:val="NormalWeb"/>
        <w:ind w:left="720" w:hanging="720"/>
        <w:jc w:val="both"/>
      </w:pPr>
      <w:r>
        <w:t xml:space="preserve">World Bank. (2020). Access to electricity (% of population) – Nigeria. World Bank Data. </w:t>
      </w:r>
      <w:hyperlink r:id="rId9" w:history="1">
        <w:r w:rsidRPr="00590822">
          <w:rPr>
            <w:rStyle w:val="Hyperlink"/>
          </w:rPr>
          <w:t>https://data.worldbank.org/indicator/EG.ELC.ACCS.ZS?locations=NG</w:t>
        </w:r>
      </w:hyperlink>
    </w:p>
    <w:p w14:paraId="1A2CD2C1" w14:textId="77777777" w:rsidR="00B9323E" w:rsidRDefault="00B9323E" w:rsidP="00B9323E">
      <w:pPr>
        <w:pStyle w:val="NormalWeb"/>
        <w:ind w:left="720" w:hanging="720"/>
        <w:jc w:val="both"/>
      </w:pPr>
      <w:r w:rsidRPr="00B9323E">
        <w:rPr>
          <w:lang w:val="de-DE"/>
        </w:rPr>
        <w:t xml:space="preserve">Zamanzadeh, M., Hagen, L. H., Svensson, K., Linjordet, R., &amp; Horn, S. J. (2017). </w:t>
      </w:r>
      <w:r>
        <w:t xml:space="preserve">Biogas production from food waste via co-digestion and digestion—Effects on performance and microbial ecology. Scientific Reports, 7(1), 17664. </w:t>
      </w:r>
      <w:hyperlink r:id="rId10" w:history="1">
        <w:r>
          <w:rPr>
            <w:rStyle w:val="Hyperlink"/>
          </w:rPr>
          <w:t>https://doi.org/10.1038/s41598-017-15784-w</w:t>
        </w:r>
      </w:hyperlink>
    </w:p>
    <w:p w14:paraId="449DEDDC" w14:textId="77777777" w:rsidR="002327F1" w:rsidRDefault="002327F1" w:rsidP="00EB1E09">
      <w:pPr>
        <w:jc w:val="both"/>
      </w:pPr>
    </w:p>
    <w:p w14:paraId="79BAF027" w14:textId="77777777" w:rsidR="00B9323E" w:rsidRDefault="00B9323E" w:rsidP="00EB1E09">
      <w:pPr>
        <w:jc w:val="both"/>
      </w:pPr>
    </w:p>
    <w:p w14:paraId="139C0334" w14:textId="77777777" w:rsidR="00B9323E" w:rsidRDefault="00B9323E" w:rsidP="00EB1E09">
      <w:pPr>
        <w:jc w:val="both"/>
      </w:pPr>
    </w:p>
    <w:p w14:paraId="79E9184C" w14:textId="77777777" w:rsidR="00622A7F" w:rsidRDefault="00622A7F" w:rsidP="00622A7F">
      <w:pPr>
        <w:pStyle w:val="NormalWeb"/>
      </w:pPr>
      <w:r w:rsidRPr="007E14B6">
        <w:t>Table 1</w:t>
      </w:r>
      <w:r>
        <w:t>. Cumulative biogas yields and digestion parameters for different substrate combinations.</w:t>
      </w:r>
    </w:p>
    <w:tbl>
      <w:tblPr>
        <w:tblW w:w="925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1549"/>
        <w:gridCol w:w="1712"/>
        <w:gridCol w:w="1998"/>
        <w:gridCol w:w="1164"/>
      </w:tblGrid>
      <w:tr w:rsidR="00622A7F" w:rsidRPr="00795AFA" w14:paraId="0BC5AA20" w14:textId="77777777" w:rsidTr="00995DD1">
        <w:trPr>
          <w:tblHeader/>
          <w:tblCellSpacing w:w="15" w:type="dxa"/>
        </w:trPr>
        <w:tc>
          <w:tcPr>
            <w:tcW w:w="2790" w:type="dxa"/>
            <w:tcBorders>
              <w:top w:val="nil"/>
              <w:bottom w:val="single" w:sz="4" w:space="0" w:color="auto"/>
            </w:tcBorders>
            <w:vAlign w:val="center"/>
            <w:hideMark/>
          </w:tcPr>
          <w:p w14:paraId="7E56271F" w14:textId="77777777" w:rsidR="00622A7F" w:rsidRPr="00795AFA" w:rsidRDefault="00622A7F" w:rsidP="00995DD1">
            <w:pPr>
              <w:spacing w:after="0" w:line="240" w:lineRule="auto"/>
              <w:jc w:val="center"/>
              <w:rPr>
                <w:rFonts w:ascii="Times New Roman" w:eastAsia="Times New Roman" w:hAnsi="Times New Roman" w:cs="Times New Roman"/>
                <w:b/>
                <w:bCs/>
                <w:sz w:val="24"/>
                <w:szCs w:val="24"/>
                <w:lang w:eastAsia="en-GB"/>
              </w:rPr>
            </w:pPr>
            <w:r w:rsidRPr="00795AFA">
              <w:rPr>
                <w:rFonts w:ascii="Times New Roman" w:eastAsia="Times New Roman" w:hAnsi="Times New Roman" w:cs="Times New Roman"/>
                <w:b/>
                <w:bCs/>
                <w:sz w:val="24"/>
                <w:szCs w:val="24"/>
                <w:lang w:eastAsia="en-GB"/>
              </w:rPr>
              <w:t>Substrate Combination</w:t>
            </w:r>
          </w:p>
        </w:tc>
        <w:tc>
          <w:tcPr>
            <w:tcW w:w="0" w:type="auto"/>
            <w:tcBorders>
              <w:top w:val="nil"/>
              <w:bottom w:val="single" w:sz="4" w:space="0" w:color="auto"/>
            </w:tcBorders>
            <w:vAlign w:val="center"/>
            <w:hideMark/>
          </w:tcPr>
          <w:p w14:paraId="4A27D8DB" w14:textId="77777777" w:rsidR="00622A7F" w:rsidRPr="00795AFA" w:rsidRDefault="00622A7F" w:rsidP="00995DD1">
            <w:pPr>
              <w:spacing w:after="0" w:line="240" w:lineRule="auto"/>
              <w:jc w:val="center"/>
              <w:rPr>
                <w:rFonts w:ascii="Times New Roman" w:eastAsia="Times New Roman" w:hAnsi="Times New Roman" w:cs="Times New Roman"/>
                <w:b/>
                <w:bCs/>
                <w:sz w:val="24"/>
                <w:szCs w:val="24"/>
                <w:lang w:eastAsia="en-GB"/>
              </w:rPr>
            </w:pPr>
            <w:r w:rsidRPr="00795AFA">
              <w:rPr>
                <w:rFonts w:ascii="Times New Roman" w:eastAsia="Times New Roman" w:hAnsi="Times New Roman" w:cs="Times New Roman"/>
                <w:b/>
                <w:bCs/>
                <w:sz w:val="24"/>
                <w:szCs w:val="24"/>
                <w:lang w:eastAsia="en-GB"/>
              </w:rPr>
              <w:t>Total Yield (mL)</w:t>
            </w:r>
          </w:p>
        </w:tc>
        <w:tc>
          <w:tcPr>
            <w:tcW w:w="1682" w:type="dxa"/>
            <w:tcBorders>
              <w:top w:val="nil"/>
              <w:bottom w:val="single" w:sz="4" w:space="0" w:color="auto"/>
            </w:tcBorders>
            <w:vAlign w:val="center"/>
            <w:hideMark/>
          </w:tcPr>
          <w:p w14:paraId="75B7287D" w14:textId="77777777" w:rsidR="00622A7F" w:rsidRPr="00795AFA" w:rsidRDefault="00622A7F" w:rsidP="00995DD1">
            <w:pPr>
              <w:spacing w:after="0" w:line="240" w:lineRule="auto"/>
              <w:jc w:val="center"/>
              <w:rPr>
                <w:rFonts w:ascii="Times New Roman" w:eastAsia="Times New Roman" w:hAnsi="Times New Roman" w:cs="Times New Roman"/>
                <w:b/>
                <w:bCs/>
                <w:sz w:val="24"/>
                <w:szCs w:val="24"/>
                <w:lang w:eastAsia="en-GB"/>
              </w:rPr>
            </w:pPr>
            <w:r w:rsidRPr="00795AFA">
              <w:rPr>
                <w:rFonts w:ascii="Times New Roman" w:eastAsia="Times New Roman" w:hAnsi="Times New Roman" w:cs="Times New Roman"/>
                <w:b/>
                <w:bCs/>
                <w:sz w:val="24"/>
                <w:szCs w:val="24"/>
                <w:lang w:eastAsia="en-GB"/>
              </w:rPr>
              <w:t>Digestion Span (days)</w:t>
            </w:r>
          </w:p>
        </w:tc>
        <w:tc>
          <w:tcPr>
            <w:tcW w:w="0" w:type="auto"/>
            <w:tcBorders>
              <w:top w:val="nil"/>
              <w:bottom w:val="single" w:sz="4" w:space="0" w:color="auto"/>
            </w:tcBorders>
            <w:vAlign w:val="center"/>
            <w:hideMark/>
          </w:tcPr>
          <w:p w14:paraId="0E9948F0" w14:textId="77777777" w:rsidR="00622A7F" w:rsidRPr="00795AFA" w:rsidRDefault="00622A7F" w:rsidP="00995DD1">
            <w:pPr>
              <w:spacing w:after="0" w:line="240" w:lineRule="auto"/>
              <w:jc w:val="center"/>
              <w:rPr>
                <w:rFonts w:ascii="Times New Roman" w:eastAsia="Times New Roman" w:hAnsi="Times New Roman" w:cs="Times New Roman"/>
                <w:b/>
                <w:bCs/>
                <w:sz w:val="24"/>
                <w:szCs w:val="24"/>
                <w:lang w:eastAsia="en-GB"/>
              </w:rPr>
            </w:pPr>
            <w:r w:rsidRPr="00795AFA">
              <w:rPr>
                <w:rFonts w:ascii="Times New Roman" w:eastAsia="Times New Roman" w:hAnsi="Times New Roman" w:cs="Times New Roman"/>
                <w:b/>
                <w:bCs/>
                <w:sz w:val="24"/>
                <w:szCs w:val="24"/>
                <w:lang w:eastAsia="en-GB"/>
              </w:rPr>
              <w:t>Peak Daily Yield (mL)</w:t>
            </w:r>
          </w:p>
        </w:tc>
        <w:tc>
          <w:tcPr>
            <w:tcW w:w="0" w:type="auto"/>
            <w:tcBorders>
              <w:top w:val="nil"/>
              <w:bottom w:val="single" w:sz="4" w:space="0" w:color="auto"/>
            </w:tcBorders>
            <w:vAlign w:val="center"/>
            <w:hideMark/>
          </w:tcPr>
          <w:p w14:paraId="298FC6AD" w14:textId="77777777" w:rsidR="00622A7F" w:rsidRPr="00795AFA" w:rsidRDefault="00622A7F" w:rsidP="00995DD1">
            <w:pPr>
              <w:spacing w:after="0" w:line="240" w:lineRule="auto"/>
              <w:jc w:val="center"/>
              <w:rPr>
                <w:rFonts w:ascii="Times New Roman" w:eastAsia="Times New Roman" w:hAnsi="Times New Roman" w:cs="Times New Roman"/>
                <w:b/>
                <w:bCs/>
                <w:sz w:val="24"/>
                <w:szCs w:val="24"/>
                <w:lang w:eastAsia="en-GB"/>
              </w:rPr>
            </w:pPr>
            <w:r w:rsidRPr="00795AFA">
              <w:rPr>
                <w:rFonts w:ascii="Times New Roman" w:eastAsia="Times New Roman" w:hAnsi="Times New Roman" w:cs="Times New Roman"/>
                <w:b/>
                <w:bCs/>
                <w:sz w:val="24"/>
                <w:szCs w:val="24"/>
                <w:lang w:eastAsia="en-GB"/>
              </w:rPr>
              <w:t>Day of Peak</w:t>
            </w:r>
          </w:p>
        </w:tc>
      </w:tr>
      <w:tr w:rsidR="00622A7F" w:rsidRPr="00795AFA" w14:paraId="49F2D7A8" w14:textId="77777777" w:rsidTr="00995DD1">
        <w:trPr>
          <w:tblCellSpacing w:w="15" w:type="dxa"/>
        </w:trPr>
        <w:tc>
          <w:tcPr>
            <w:tcW w:w="2790" w:type="dxa"/>
            <w:vAlign w:val="center"/>
            <w:hideMark/>
          </w:tcPr>
          <w:p w14:paraId="391C47D8" w14:textId="77777777" w:rsidR="00622A7F" w:rsidRPr="00795AFA" w:rsidRDefault="00622A7F" w:rsidP="00995DD1">
            <w:pPr>
              <w:spacing w:after="0" w:line="240" w:lineRule="auto"/>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Cow dung + yam peel</w:t>
            </w:r>
          </w:p>
        </w:tc>
        <w:tc>
          <w:tcPr>
            <w:tcW w:w="0" w:type="auto"/>
            <w:vAlign w:val="center"/>
            <w:hideMark/>
          </w:tcPr>
          <w:p w14:paraId="0CFD087B" w14:textId="77777777"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486.7</w:t>
            </w:r>
          </w:p>
        </w:tc>
        <w:tc>
          <w:tcPr>
            <w:tcW w:w="1682" w:type="dxa"/>
            <w:vAlign w:val="center"/>
            <w:hideMark/>
          </w:tcPr>
          <w:p w14:paraId="623B1672" w14:textId="77777777"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28</w:t>
            </w:r>
          </w:p>
        </w:tc>
        <w:tc>
          <w:tcPr>
            <w:tcW w:w="0" w:type="auto"/>
            <w:vAlign w:val="center"/>
            <w:hideMark/>
          </w:tcPr>
          <w:p w14:paraId="0FD9035C" w14:textId="77777777"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37.0</w:t>
            </w:r>
          </w:p>
        </w:tc>
        <w:tc>
          <w:tcPr>
            <w:tcW w:w="0" w:type="auto"/>
            <w:vAlign w:val="center"/>
            <w:hideMark/>
          </w:tcPr>
          <w:p w14:paraId="1362A223" w14:textId="77777777"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18</w:t>
            </w:r>
          </w:p>
        </w:tc>
      </w:tr>
      <w:tr w:rsidR="00622A7F" w:rsidRPr="00795AFA" w14:paraId="5B4CA0A9" w14:textId="77777777" w:rsidTr="00995DD1">
        <w:trPr>
          <w:tblCellSpacing w:w="15" w:type="dxa"/>
        </w:trPr>
        <w:tc>
          <w:tcPr>
            <w:tcW w:w="2790" w:type="dxa"/>
            <w:vAlign w:val="center"/>
            <w:hideMark/>
          </w:tcPr>
          <w:p w14:paraId="044811B1" w14:textId="77777777" w:rsidR="00622A7F" w:rsidRPr="00795AFA" w:rsidRDefault="00622A7F" w:rsidP="00995DD1">
            <w:pPr>
              <w:spacing w:after="0" w:line="240" w:lineRule="auto"/>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Cow dung + maize husk</w:t>
            </w:r>
          </w:p>
        </w:tc>
        <w:tc>
          <w:tcPr>
            <w:tcW w:w="0" w:type="auto"/>
            <w:vAlign w:val="center"/>
            <w:hideMark/>
          </w:tcPr>
          <w:p w14:paraId="5BDB559E" w14:textId="77777777"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316.6</w:t>
            </w:r>
          </w:p>
        </w:tc>
        <w:tc>
          <w:tcPr>
            <w:tcW w:w="1682" w:type="dxa"/>
            <w:vAlign w:val="center"/>
            <w:hideMark/>
          </w:tcPr>
          <w:p w14:paraId="08706F96" w14:textId="77777777"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38</w:t>
            </w:r>
          </w:p>
        </w:tc>
        <w:tc>
          <w:tcPr>
            <w:tcW w:w="0" w:type="auto"/>
            <w:vAlign w:val="center"/>
            <w:hideMark/>
          </w:tcPr>
          <w:p w14:paraId="5C757128" w14:textId="77777777"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28.0</w:t>
            </w:r>
          </w:p>
        </w:tc>
        <w:tc>
          <w:tcPr>
            <w:tcW w:w="0" w:type="auto"/>
            <w:vAlign w:val="center"/>
            <w:hideMark/>
          </w:tcPr>
          <w:p w14:paraId="2082F70E" w14:textId="77777777"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16</w:t>
            </w:r>
          </w:p>
        </w:tc>
      </w:tr>
      <w:tr w:rsidR="00622A7F" w:rsidRPr="00795AFA" w14:paraId="0268B90E" w14:textId="77777777" w:rsidTr="00995DD1">
        <w:trPr>
          <w:tblCellSpacing w:w="15" w:type="dxa"/>
        </w:trPr>
        <w:tc>
          <w:tcPr>
            <w:tcW w:w="2790" w:type="dxa"/>
            <w:vAlign w:val="center"/>
            <w:hideMark/>
          </w:tcPr>
          <w:p w14:paraId="25BC65A9" w14:textId="77777777" w:rsidR="00622A7F" w:rsidRPr="00795AFA" w:rsidRDefault="00622A7F" w:rsidP="00995DD1">
            <w:pPr>
              <w:spacing w:after="0" w:line="240" w:lineRule="auto"/>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lastRenderedPageBreak/>
              <w:t>Cow dung + cassava peel</w:t>
            </w:r>
          </w:p>
        </w:tc>
        <w:tc>
          <w:tcPr>
            <w:tcW w:w="0" w:type="auto"/>
            <w:vAlign w:val="center"/>
            <w:hideMark/>
          </w:tcPr>
          <w:p w14:paraId="4794DE4F" w14:textId="77777777"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206.7</w:t>
            </w:r>
          </w:p>
        </w:tc>
        <w:tc>
          <w:tcPr>
            <w:tcW w:w="1682" w:type="dxa"/>
            <w:vAlign w:val="center"/>
            <w:hideMark/>
          </w:tcPr>
          <w:p w14:paraId="35215557" w14:textId="77777777"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22</w:t>
            </w:r>
          </w:p>
        </w:tc>
        <w:tc>
          <w:tcPr>
            <w:tcW w:w="0" w:type="auto"/>
            <w:vAlign w:val="center"/>
            <w:hideMark/>
          </w:tcPr>
          <w:p w14:paraId="5AD3BFDF" w14:textId="77777777"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20.0</w:t>
            </w:r>
          </w:p>
        </w:tc>
        <w:tc>
          <w:tcPr>
            <w:tcW w:w="0" w:type="auto"/>
            <w:vAlign w:val="center"/>
            <w:hideMark/>
          </w:tcPr>
          <w:p w14:paraId="0874C2FA" w14:textId="77777777"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22</w:t>
            </w:r>
          </w:p>
        </w:tc>
      </w:tr>
      <w:tr w:rsidR="00622A7F" w:rsidRPr="00795AFA" w14:paraId="0138FAF9" w14:textId="77777777" w:rsidTr="00995DD1">
        <w:trPr>
          <w:tblCellSpacing w:w="15" w:type="dxa"/>
        </w:trPr>
        <w:tc>
          <w:tcPr>
            <w:tcW w:w="2790" w:type="dxa"/>
            <w:tcBorders>
              <w:bottom w:val="nil"/>
            </w:tcBorders>
            <w:vAlign w:val="center"/>
            <w:hideMark/>
          </w:tcPr>
          <w:p w14:paraId="06900576" w14:textId="77777777" w:rsidR="00622A7F" w:rsidRPr="00795AFA" w:rsidRDefault="00622A7F" w:rsidP="00995DD1">
            <w:pPr>
              <w:spacing w:after="0" w:line="240" w:lineRule="auto"/>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Cow dung only (control)</w:t>
            </w:r>
          </w:p>
        </w:tc>
        <w:tc>
          <w:tcPr>
            <w:tcW w:w="0" w:type="auto"/>
            <w:tcBorders>
              <w:bottom w:val="nil"/>
            </w:tcBorders>
            <w:vAlign w:val="center"/>
            <w:hideMark/>
          </w:tcPr>
          <w:p w14:paraId="5E2E3C43" w14:textId="77777777"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205.4</w:t>
            </w:r>
          </w:p>
        </w:tc>
        <w:tc>
          <w:tcPr>
            <w:tcW w:w="1682" w:type="dxa"/>
            <w:tcBorders>
              <w:bottom w:val="nil"/>
            </w:tcBorders>
            <w:vAlign w:val="center"/>
            <w:hideMark/>
          </w:tcPr>
          <w:p w14:paraId="2ECAB03F" w14:textId="77777777"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21</w:t>
            </w:r>
          </w:p>
        </w:tc>
        <w:tc>
          <w:tcPr>
            <w:tcW w:w="0" w:type="auto"/>
            <w:tcBorders>
              <w:bottom w:val="nil"/>
            </w:tcBorders>
            <w:vAlign w:val="center"/>
            <w:hideMark/>
          </w:tcPr>
          <w:p w14:paraId="30D82A3E" w14:textId="77777777"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21.0</w:t>
            </w:r>
          </w:p>
        </w:tc>
        <w:tc>
          <w:tcPr>
            <w:tcW w:w="0" w:type="auto"/>
            <w:tcBorders>
              <w:bottom w:val="nil"/>
            </w:tcBorders>
            <w:vAlign w:val="center"/>
            <w:hideMark/>
          </w:tcPr>
          <w:p w14:paraId="6FD95FB1" w14:textId="77777777" w:rsidR="00622A7F" w:rsidRPr="00795AFA" w:rsidRDefault="00622A7F" w:rsidP="00995DD1">
            <w:pPr>
              <w:spacing w:after="0" w:line="240" w:lineRule="auto"/>
              <w:jc w:val="center"/>
              <w:rPr>
                <w:rFonts w:ascii="Times New Roman" w:eastAsia="Times New Roman" w:hAnsi="Times New Roman" w:cs="Times New Roman"/>
                <w:sz w:val="24"/>
                <w:szCs w:val="24"/>
                <w:lang w:eastAsia="en-GB"/>
              </w:rPr>
            </w:pPr>
            <w:r w:rsidRPr="00795AFA">
              <w:rPr>
                <w:rFonts w:ascii="Times New Roman" w:eastAsia="Times New Roman" w:hAnsi="Times New Roman" w:cs="Times New Roman"/>
                <w:sz w:val="24"/>
                <w:szCs w:val="24"/>
                <w:lang w:eastAsia="en-GB"/>
              </w:rPr>
              <w:t>20</w:t>
            </w:r>
          </w:p>
        </w:tc>
      </w:tr>
    </w:tbl>
    <w:p w14:paraId="0200C4B4" w14:textId="77777777" w:rsidR="00622A7F" w:rsidRDefault="00622A7F" w:rsidP="00622A7F">
      <w:pPr>
        <w:pStyle w:val="NormalWeb"/>
        <w:jc w:val="both"/>
      </w:pPr>
    </w:p>
    <w:p w14:paraId="7286E13D" w14:textId="77777777" w:rsidR="006F362C" w:rsidRDefault="006F362C" w:rsidP="00EB1E09">
      <w:pPr>
        <w:jc w:val="both"/>
      </w:pPr>
    </w:p>
    <w:p w14:paraId="3B7BE12C" w14:textId="77777777" w:rsidR="006F362C" w:rsidRDefault="006F362C" w:rsidP="00EB1E09">
      <w:pPr>
        <w:jc w:val="both"/>
      </w:pPr>
    </w:p>
    <w:p w14:paraId="1A7A37D1" w14:textId="77777777" w:rsidR="006F362C" w:rsidRDefault="006F362C" w:rsidP="00EB1E09">
      <w:pPr>
        <w:jc w:val="both"/>
      </w:pPr>
    </w:p>
    <w:p w14:paraId="5DBC16CE" w14:textId="77777777" w:rsidR="006F362C" w:rsidRDefault="006F362C" w:rsidP="00EB1E09">
      <w:pPr>
        <w:jc w:val="both"/>
      </w:pPr>
    </w:p>
    <w:p w14:paraId="13C3BA6D" w14:textId="77777777" w:rsidR="006F362C" w:rsidRDefault="006F362C" w:rsidP="00EB1E09">
      <w:pPr>
        <w:jc w:val="both"/>
      </w:pPr>
    </w:p>
    <w:p w14:paraId="56D3960D" w14:textId="77777777" w:rsidR="006F362C" w:rsidRDefault="006F362C" w:rsidP="00EB1E09">
      <w:pPr>
        <w:jc w:val="both"/>
      </w:pPr>
    </w:p>
    <w:p w14:paraId="0E30623E" w14:textId="77777777" w:rsidR="006F362C" w:rsidRDefault="006F362C" w:rsidP="00EB1E09">
      <w:pPr>
        <w:jc w:val="both"/>
      </w:pPr>
    </w:p>
    <w:p w14:paraId="71359F1D" w14:textId="77777777" w:rsidR="006F362C" w:rsidRDefault="006F362C" w:rsidP="00EB1E09">
      <w:pPr>
        <w:jc w:val="both"/>
      </w:pPr>
    </w:p>
    <w:p w14:paraId="31261D63" w14:textId="77777777" w:rsidR="006F362C" w:rsidRDefault="006F362C" w:rsidP="00EB1E09">
      <w:pPr>
        <w:jc w:val="both"/>
      </w:pPr>
    </w:p>
    <w:p w14:paraId="1E423090" w14:textId="77777777" w:rsidR="006F362C" w:rsidRDefault="006F362C" w:rsidP="00EB1E09">
      <w:pPr>
        <w:jc w:val="both"/>
      </w:pPr>
    </w:p>
    <w:p w14:paraId="6C4DD6BB" w14:textId="77777777" w:rsidR="006F362C" w:rsidRDefault="006F362C" w:rsidP="00EB1E09">
      <w:pPr>
        <w:jc w:val="both"/>
      </w:pPr>
    </w:p>
    <w:p w14:paraId="0133BCA6" w14:textId="77777777" w:rsidR="006F362C" w:rsidRDefault="006F362C" w:rsidP="00EB1E09">
      <w:pPr>
        <w:jc w:val="both"/>
      </w:pPr>
    </w:p>
    <w:p w14:paraId="38D8D165" w14:textId="77777777" w:rsidR="006F362C" w:rsidRDefault="006F362C" w:rsidP="00EB1E09">
      <w:pPr>
        <w:jc w:val="both"/>
      </w:pPr>
    </w:p>
    <w:p w14:paraId="70E5E628" w14:textId="77777777" w:rsidR="006F362C" w:rsidRDefault="006F362C" w:rsidP="00EB1E09">
      <w:pPr>
        <w:jc w:val="both"/>
      </w:pPr>
    </w:p>
    <w:p w14:paraId="3EBB895D" w14:textId="77777777" w:rsidR="006F362C" w:rsidRDefault="006F362C" w:rsidP="00EB1E09">
      <w:pPr>
        <w:jc w:val="both"/>
      </w:pPr>
    </w:p>
    <w:p w14:paraId="3B917FF0" w14:textId="77777777" w:rsidR="006F362C" w:rsidRDefault="006F362C" w:rsidP="00EB1E09">
      <w:pPr>
        <w:jc w:val="both"/>
      </w:pPr>
    </w:p>
    <w:p w14:paraId="57E5FB25" w14:textId="77777777" w:rsidR="006F362C" w:rsidRDefault="006F362C" w:rsidP="00EB1E09">
      <w:pPr>
        <w:jc w:val="both"/>
      </w:pPr>
    </w:p>
    <w:p w14:paraId="2CE095EE" w14:textId="77777777" w:rsidR="006F362C" w:rsidRDefault="006F362C" w:rsidP="00EB1E09">
      <w:pPr>
        <w:jc w:val="both"/>
      </w:pPr>
    </w:p>
    <w:p w14:paraId="3EE49CFC" w14:textId="77777777" w:rsidR="006F362C" w:rsidRDefault="006F362C" w:rsidP="00EB1E09">
      <w:pPr>
        <w:jc w:val="both"/>
      </w:pPr>
    </w:p>
    <w:p w14:paraId="63673AFF" w14:textId="77777777" w:rsidR="006F362C" w:rsidRDefault="006F362C" w:rsidP="00EB1E09">
      <w:pPr>
        <w:jc w:val="both"/>
      </w:pPr>
    </w:p>
    <w:p w14:paraId="0A4F4579" w14:textId="77777777" w:rsidR="006F362C" w:rsidRDefault="006F362C" w:rsidP="00EB1E09">
      <w:pPr>
        <w:jc w:val="both"/>
      </w:pPr>
    </w:p>
    <w:p w14:paraId="1E28D799" w14:textId="77777777" w:rsidR="00C471C0" w:rsidRPr="00B210DE" w:rsidRDefault="00C471C0" w:rsidP="00C471C0">
      <w:pPr>
        <w:spacing w:line="360" w:lineRule="auto"/>
        <w:jc w:val="both"/>
        <w:rPr>
          <w:rFonts w:cs="Times New Roman"/>
          <w:szCs w:val="24"/>
        </w:rPr>
      </w:pPr>
      <w:r w:rsidRPr="00B210DE">
        <w:rPr>
          <w:noProof/>
          <w:szCs w:val="24"/>
          <w:lang w:eastAsia="en-GB"/>
        </w:rPr>
        <w:lastRenderedPageBreak/>
        <w:drawing>
          <wp:inline distT="0" distB="0" distL="114300" distR="114300" wp14:anchorId="2C1314F9" wp14:editId="73185FD5">
            <wp:extent cx="5731510" cy="3891280"/>
            <wp:effectExtent l="0" t="0" r="0" b="0"/>
            <wp:docPr id="124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E3DB9B" w14:textId="77777777" w:rsidR="00C471C0" w:rsidRPr="00C471C0" w:rsidRDefault="00C471C0" w:rsidP="00C471C0">
      <w:pPr>
        <w:pStyle w:val="Caption"/>
        <w:spacing w:after="0" w:line="360" w:lineRule="auto"/>
        <w:jc w:val="both"/>
        <w:rPr>
          <w:i w:val="0"/>
          <w:color w:val="auto"/>
        </w:rPr>
      </w:pPr>
      <w:bookmarkStart w:id="1" w:name="_Toc204500250"/>
      <w:r w:rsidRPr="00C471C0">
        <w:rPr>
          <w:b/>
          <w:i w:val="0"/>
          <w:color w:val="auto"/>
        </w:rPr>
        <w:t>Fig. 1:</w:t>
      </w:r>
      <w:r w:rsidRPr="00C471C0">
        <w:rPr>
          <w:i w:val="0"/>
          <w:color w:val="auto"/>
        </w:rPr>
        <w:t xml:space="preserve"> </w:t>
      </w:r>
      <w:r w:rsidRPr="00C471C0">
        <w:rPr>
          <w:i w:val="0"/>
        </w:rPr>
        <w:t>Daily biogas production trends for cow dung and co-digestion treatments under mesophilic conditions.</w:t>
      </w:r>
      <w:bookmarkEnd w:id="1"/>
    </w:p>
    <w:p w14:paraId="036C86AE" w14:textId="77777777" w:rsidR="00C471C0" w:rsidRPr="00B210DE" w:rsidRDefault="00C471C0" w:rsidP="00C471C0">
      <w:pPr>
        <w:spacing w:line="360" w:lineRule="auto"/>
        <w:rPr>
          <w:szCs w:val="24"/>
        </w:rPr>
      </w:pPr>
    </w:p>
    <w:p w14:paraId="75776B9E" w14:textId="77777777" w:rsidR="00C471C0" w:rsidRPr="00B210DE" w:rsidRDefault="00C471C0" w:rsidP="00C471C0">
      <w:pPr>
        <w:spacing w:line="360" w:lineRule="auto"/>
        <w:jc w:val="both"/>
        <w:rPr>
          <w:rFonts w:cs="Times New Roman"/>
          <w:szCs w:val="24"/>
        </w:rPr>
      </w:pPr>
    </w:p>
    <w:p w14:paraId="01688543" w14:textId="77777777" w:rsidR="00C471C0" w:rsidRPr="00B210DE" w:rsidRDefault="00C471C0" w:rsidP="00C471C0">
      <w:pPr>
        <w:spacing w:line="360" w:lineRule="auto"/>
        <w:jc w:val="both"/>
        <w:rPr>
          <w:bCs/>
          <w:szCs w:val="24"/>
        </w:rPr>
      </w:pPr>
    </w:p>
    <w:p w14:paraId="21CD0E5E" w14:textId="77777777" w:rsidR="00C471C0" w:rsidRPr="00B210DE" w:rsidRDefault="00C471C0" w:rsidP="00C471C0">
      <w:pPr>
        <w:pStyle w:val="Heading3"/>
        <w:spacing w:line="360" w:lineRule="auto"/>
        <w:rPr>
          <w:rFonts w:eastAsia="Calibri"/>
        </w:rPr>
      </w:pPr>
      <w:bookmarkStart w:id="2" w:name="_Toc204498996"/>
      <w:r w:rsidRPr="00B210DE">
        <w:rPr>
          <w:noProof/>
          <w:lang w:eastAsia="en-GB"/>
        </w:rPr>
        <w:lastRenderedPageBreak/>
        <w:drawing>
          <wp:inline distT="0" distB="0" distL="114300" distR="114300" wp14:anchorId="0921643F" wp14:editId="610F6DB9">
            <wp:extent cx="5570220" cy="4038600"/>
            <wp:effectExtent l="0" t="0" r="11430" b="0"/>
            <wp:docPr id="124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2"/>
    </w:p>
    <w:p w14:paraId="52ACFA60" w14:textId="77777777" w:rsidR="00C471C0" w:rsidRDefault="00C471C0" w:rsidP="00C471C0">
      <w:pPr>
        <w:pStyle w:val="NormalWeb"/>
      </w:pPr>
      <w:bookmarkStart w:id="3" w:name="_Toc204500251"/>
      <w:r w:rsidRPr="00B210DE">
        <w:rPr>
          <w:b/>
        </w:rPr>
        <w:t xml:space="preserve">Fig. </w:t>
      </w:r>
      <w:r>
        <w:rPr>
          <w:b/>
          <w:i/>
        </w:rPr>
        <w:t>2</w:t>
      </w:r>
      <w:r w:rsidRPr="00B210DE">
        <w:rPr>
          <w:b/>
        </w:rPr>
        <w:t>:</w:t>
      </w:r>
      <w:r w:rsidRPr="00B210DE">
        <w:t xml:space="preserve"> </w:t>
      </w:r>
      <w:r>
        <w:t>Weekly cumulative biogas production for cow dung and co-digestion treatments under mesophilic conditions.</w:t>
      </w:r>
    </w:p>
    <w:bookmarkEnd w:id="3"/>
    <w:p w14:paraId="510E0C21" w14:textId="77777777" w:rsidR="00C471C0" w:rsidRPr="00B210DE" w:rsidRDefault="00C471C0" w:rsidP="00C471C0">
      <w:pPr>
        <w:pStyle w:val="Heading3"/>
        <w:spacing w:line="360" w:lineRule="auto"/>
        <w:rPr>
          <w:rFonts w:eastAsia="Calibri"/>
        </w:rPr>
      </w:pPr>
    </w:p>
    <w:p w14:paraId="22F428A7" w14:textId="77777777" w:rsidR="00C471C0" w:rsidRPr="00B210DE" w:rsidRDefault="00C471C0" w:rsidP="00C471C0">
      <w:pPr>
        <w:spacing w:line="360" w:lineRule="auto"/>
        <w:rPr>
          <w:szCs w:val="24"/>
        </w:rPr>
      </w:pPr>
    </w:p>
    <w:p w14:paraId="0BC86045" w14:textId="77777777" w:rsidR="00C471C0" w:rsidRPr="00B210DE" w:rsidRDefault="00C471C0" w:rsidP="00C471C0">
      <w:pPr>
        <w:spacing w:line="360" w:lineRule="auto"/>
        <w:rPr>
          <w:szCs w:val="24"/>
        </w:rPr>
      </w:pPr>
    </w:p>
    <w:p w14:paraId="2121E320" w14:textId="77777777" w:rsidR="006F362C" w:rsidRDefault="006F362C" w:rsidP="00C471C0">
      <w:pPr>
        <w:pStyle w:val="Heading5"/>
        <w:spacing w:before="0" w:line="360" w:lineRule="auto"/>
      </w:pPr>
    </w:p>
    <w:sectPr w:rsidR="006F362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1A21B" w14:textId="77777777" w:rsidR="00780DC8" w:rsidRDefault="00780DC8" w:rsidP="00B579C0">
      <w:pPr>
        <w:spacing w:after="0" w:line="240" w:lineRule="auto"/>
      </w:pPr>
      <w:r>
        <w:separator/>
      </w:r>
    </w:p>
  </w:endnote>
  <w:endnote w:type="continuationSeparator" w:id="0">
    <w:p w14:paraId="232C6CFB" w14:textId="77777777" w:rsidR="00780DC8" w:rsidRDefault="00780DC8" w:rsidP="00B57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25DCF" w14:textId="77777777" w:rsidR="00B579C0" w:rsidRDefault="00B57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AD39D" w14:textId="77777777" w:rsidR="00B579C0" w:rsidRDefault="00B579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5E26" w14:textId="77777777" w:rsidR="00B579C0" w:rsidRDefault="00B57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B4394" w14:textId="77777777" w:rsidR="00780DC8" w:rsidRDefault="00780DC8" w:rsidP="00B579C0">
      <w:pPr>
        <w:spacing w:after="0" w:line="240" w:lineRule="auto"/>
      </w:pPr>
      <w:r>
        <w:separator/>
      </w:r>
    </w:p>
  </w:footnote>
  <w:footnote w:type="continuationSeparator" w:id="0">
    <w:p w14:paraId="63A3CE7D" w14:textId="77777777" w:rsidR="00780DC8" w:rsidRDefault="00780DC8" w:rsidP="00B57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219A1" w14:textId="5A58695A" w:rsidR="00B579C0" w:rsidRDefault="00B579C0">
    <w:pPr>
      <w:pStyle w:val="Header"/>
    </w:pPr>
    <w:r>
      <w:rPr>
        <w:noProof/>
      </w:rPr>
      <w:pict w14:anchorId="4FC1D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73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8D7A" w14:textId="120CF6A7" w:rsidR="00B579C0" w:rsidRDefault="00B579C0">
    <w:pPr>
      <w:pStyle w:val="Header"/>
    </w:pPr>
    <w:r>
      <w:rPr>
        <w:noProof/>
      </w:rPr>
      <w:pict w14:anchorId="0B2E8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73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1CB7" w14:textId="3A1F47A5" w:rsidR="00B579C0" w:rsidRDefault="00B579C0">
    <w:pPr>
      <w:pStyle w:val="Header"/>
    </w:pPr>
    <w:r>
      <w:rPr>
        <w:noProof/>
      </w:rPr>
      <w:pict w14:anchorId="741A9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73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FC7"/>
    <w:rsid w:val="00060FD0"/>
    <w:rsid w:val="00085DC8"/>
    <w:rsid w:val="000B4968"/>
    <w:rsid w:val="00107FD7"/>
    <w:rsid w:val="00175B1E"/>
    <w:rsid w:val="00196416"/>
    <w:rsid w:val="001D5CF6"/>
    <w:rsid w:val="002327F1"/>
    <w:rsid w:val="00247F3C"/>
    <w:rsid w:val="00324E87"/>
    <w:rsid w:val="00354090"/>
    <w:rsid w:val="0035499C"/>
    <w:rsid w:val="003F0C88"/>
    <w:rsid w:val="00405FC7"/>
    <w:rsid w:val="0046775E"/>
    <w:rsid w:val="004C058D"/>
    <w:rsid w:val="004C64FB"/>
    <w:rsid w:val="004D41EF"/>
    <w:rsid w:val="004F72C6"/>
    <w:rsid w:val="004F7E47"/>
    <w:rsid w:val="00622A7F"/>
    <w:rsid w:val="00626D14"/>
    <w:rsid w:val="00643285"/>
    <w:rsid w:val="006B798B"/>
    <w:rsid w:val="006F362C"/>
    <w:rsid w:val="00780DC8"/>
    <w:rsid w:val="00795AFA"/>
    <w:rsid w:val="007E14B6"/>
    <w:rsid w:val="00835401"/>
    <w:rsid w:val="00881E97"/>
    <w:rsid w:val="00893950"/>
    <w:rsid w:val="00957320"/>
    <w:rsid w:val="009A58C7"/>
    <w:rsid w:val="009F4AEF"/>
    <w:rsid w:val="00A77287"/>
    <w:rsid w:val="00B579C0"/>
    <w:rsid w:val="00B9323E"/>
    <w:rsid w:val="00BB2A41"/>
    <w:rsid w:val="00C1648A"/>
    <w:rsid w:val="00C471C0"/>
    <w:rsid w:val="00C9022D"/>
    <w:rsid w:val="00CE0947"/>
    <w:rsid w:val="00DB34EF"/>
    <w:rsid w:val="00DB5453"/>
    <w:rsid w:val="00E15746"/>
    <w:rsid w:val="00E61F83"/>
    <w:rsid w:val="00EB1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2177A0"/>
  <w15:chartTrackingRefBased/>
  <w15:docId w15:val="{ECF6E6B4-3C74-4D24-99C1-BC74382E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1EF"/>
  </w:style>
  <w:style w:type="paragraph" w:styleId="Heading1">
    <w:name w:val="heading 1"/>
    <w:basedOn w:val="Normal"/>
    <w:next w:val="Normal"/>
    <w:link w:val="Heading1Char"/>
    <w:uiPriority w:val="9"/>
    <w:qFormat/>
    <w:rsid w:val="004C64FB"/>
    <w:pPr>
      <w:keepNext/>
      <w:keepLines/>
      <w:spacing w:before="360" w:after="80"/>
      <w:outlineLvl w:val="0"/>
    </w:pPr>
    <w:rPr>
      <w:rFonts w:ascii="Calibri Light" w:eastAsia="SimSun" w:hAnsi="Calibri Light" w:cs="SimSun"/>
      <w:color w:val="2F5496"/>
      <w:kern w:val="2"/>
      <w:sz w:val="40"/>
      <w:szCs w:val="40"/>
      <w14:ligatures w14:val="standardContextual"/>
    </w:rPr>
  </w:style>
  <w:style w:type="paragraph" w:styleId="Heading3">
    <w:name w:val="heading 3"/>
    <w:basedOn w:val="Normal"/>
    <w:next w:val="Normal"/>
    <w:link w:val="Heading3Char"/>
    <w:uiPriority w:val="9"/>
    <w:semiHidden/>
    <w:unhideWhenUsed/>
    <w:qFormat/>
    <w:rsid w:val="00C471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6F362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64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C64FB"/>
    <w:rPr>
      <w:rFonts w:ascii="Calibri Light" w:eastAsia="SimSun" w:hAnsi="Calibri Light" w:cs="SimSun"/>
      <w:color w:val="2F5496"/>
      <w:kern w:val="2"/>
      <w:sz w:val="40"/>
      <w:szCs w:val="40"/>
      <w14:ligatures w14:val="standardContextual"/>
    </w:rPr>
  </w:style>
  <w:style w:type="paragraph" w:customStyle="1" w:styleId="Affiliation">
    <w:name w:val="Affiliation"/>
    <w:basedOn w:val="Normal"/>
    <w:rsid w:val="004C058D"/>
    <w:pPr>
      <w:spacing w:after="240" w:line="240" w:lineRule="exact"/>
      <w:jc w:val="right"/>
    </w:pPr>
    <w:rPr>
      <w:rFonts w:ascii="Helvetica" w:eastAsia="Times New Roman" w:hAnsi="Helvetica" w:cs="Times New Roman"/>
      <w:sz w:val="20"/>
      <w:szCs w:val="20"/>
      <w:lang w:val="en-US"/>
    </w:rPr>
  </w:style>
  <w:style w:type="character" w:styleId="Hyperlink">
    <w:name w:val="Hyperlink"/>
    <w:basedOn w:val="DefaultParagraphFont"/>
    <w:uiPriority w:val="99"/>
    <w:unhideWhenUsed/>
    <w:rsid w:val="002327F1"/>
    <w:rPr>
      <w:color w:val="0000FF"/>
      <w:u w:val="single"/>
    </w:rPr>
  </w:style>
  <w:style w:type="character" w:customStyle="1" w:styleId="Heading5Char">
    <w:name w:val="Heading 5 Char"/>
    <w:basedOn w:val="DefaultParagraphFont"/>
    <w:link w:val="Heading5"/>
    <w:uiPriority w:val="9"/>
    <w:rsid w:val="006F362C"/>
    <w:rPr>
      <w:rFonts w:asciiTheme="majorHAnsi" w:eastAsiaTheme="majorEastAsia" w:hAnsiTheme="majorHAnsi" w:cstheme="majorBidi"/>
      <w:color w:val="2E74B5" w:themeColor="accent1" w:themeShade="BF"/>
    </w:rPr>
  </w:style>
  <w:style w:type="table" w:customStyle="1" w:styleId="ListTable6Colorful1">
    <w:name w:val="List Table 6 Colorful1"/>
    <w:basedOn w:val="TableNormal"/>
    <w:uiPriority w:val="51"/>
    <w:rsid w:val="006F362C"/>
    <w:pPr>
      <w:spacing w:after="0" w:line="240" w:lineRule="auto"/>
      <w:ind w:firstLine="720"/>
    </w:pPr>
    <w:rPr>
      <w:rFonts w:ascii="Calibri" w:eastAsia="Calibri" w:hAnsi="Calibri" w:cs="SimSun"/>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3Char">
    <w:name w:val="Heading 3 Char"/>
    <w:basedOn w:val="DefaultParagraphFont"/>
    <w:link w:val="Heading3"/>
    <w:uiPriority w:val="9"/>
    <w:semiHidden/>
    <w:rsid w:val="00C471C0"/>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qFormat/>
    <w:rsid w:val="00C471C0"/>
    <w:pPr>
      <w:spacing w:after="200" w:line="240" w:lineRule="auto"/>
      <w:jc w:val="center"/>
    </w:pPr>
    <w:rPr>
      <w:rFonts w:ascii="Times New Roman" w:eastAsia="Calibri" w:hAnsi="Times New Roman" w:cs="SimSun"/>
      <w:i/>
      <w:iCs/>
      <w:color w:val="000000"/>
      <w:sz w:val="24"/>
      <w:szCs w:val="24"/>
      <w:lang w:val="en-US"/>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107FD7"/>
    <w:rPr>
      <w:color w:val="605E5C"/>
      <w:shd w:val="clear" w:color="auto" w:fill="E1DFDD"/>
    </w:rPr>
  </w:style>
  <w:style w:type="paragraph" w:styleId="Header">
    <w:name w:val="header"/>
    <w:basedOn w:val="Normal"/>
    <w:link w:val="HeaderChar"/>
    <w:uiPriority w:val="99"/>
    <w:unhideWhenUsed/>
    <w:rsid w:val="00B57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9C0"/>
  </w:style>
  <w:style w:type="paragraph" w:styleId="Footer">
    <w:name w:val="footer"/>
    <w:basedOn w:val="Normal"/>
    <w:link w:val="FooterChar"/>
    <w:uiPriority w:val="99"/>
    <w:unhideWhenUsed/>
    <w:rsid w:val="00B57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5624">
      <w:bodyDiv w:val="1"/>
      <w:marLeft w:val="0"/>
      <w:marRight w:val="0"/>
      <w:marTop w:val="0"/>
      <w:marBottom w:val="0"/>
      <w:divBdr>
        <w:top w:val="none" w:sz="0" w:space="0" w:color="auto"/>
        <w:left w:val="none" w:sz="0" w:space="0" w:color="auto"/>
        <w:bottom w:val="none" w:sz="0" w:space="0" w:color="auto"/>
        <w:right w:val="none" w:sz="0" w:space="0" w:color="auto"/>
      </w:divBdr>
    </w:div>
    <w:div w:id="15667428">
      <w:bodyDiv w:val="1"/>
      <w:marLeft w:val="0"/>
      <w:marRight w:val="0"/>
      <w:marTop w:val="0"/>
      <w:marBottom w:val="0"/>
      <w:divBdr>
        <w:top w:val="none" w:sz="0" w:space="0" w:color="auto"/>
        <w:left w:val="none" w:sz="0" w:space="0" w:color="auto"/>
        <w:bottom w:val="none" w:sz="0" w:space="0" w:color="auto"/>
        <w:right w:val="none" w:sz="0" w:space="0" w:color="auto"/>
      </w:divBdr>
    </w:div>
    <w:div w:id="40331218">
      <w:bodyDiv w:val="1"/>
      <w:marLeft w:val="0"/>
      <w:marRight w:val="0"/>
      <w:marTop w:val="0"/>
      <w:marBottom w:val="0"/>
      <w:divBdr>
        <w:top w:val="none" w:sz="0" w:space="0" w:color="auto"/>
        <w:left w:val="none" w:sz="0" w:space="0" w:color="auto"/>
        <w:bottom w:val="none" w:sz="0" w:space="0" w:color="auto"/>
        <w:right w:val="none" w:sz="0" w:space="0" w:color="auto"/>
      </w:divBdr>
    </w:div>
    <w:div w:id="44107513">
      <w:bodyDiv w:val="1"/>
      <w:marLeft w:val="0"/>
      <w:marRight w:val="0"/>
      <w:marTop w:val="0"/>
      <w:marBottom w:val="0"/>
      <w:divBdr>
        <w:top w:val="none" w:sz="0" w:space="0" w:color="auto"/>
        <w:left w:val="none" w:sz="0" w:space="0" w:color="auto"/>
        <w:bottom w:val="none" w:sz="0" w:space="0" w:color="auto"/>
        <w:right w:val="none" w:sz="0" w:space="0" w:color="auto"/>
      </w:divBdr>
    </w:div>
    <w:div w:id="71515556">
      <w:bodyDiv w:val="1"/>
      <w:marLeft w:val="0"/>
      <w:marRight w:val="0"/>
      <w:marTop w:val="0"/>
      <w:marBottom w:val="0"/>
      <w:divBdr>
        <w:top w:val="none" w:sz="0" w:space="0" w:color="auto"/>
        <w:left w:val="none" w:sz="0" w:space="0" w:color="auto"/>
        <w:bottom w:val="none" w:sz="0" w:space="0" w:color="auto"/>
        <w:right w:val="none" w:sz="0" w:space="0" w:color="auto"/>
      </w:divBdr>
    </w:div>
    <w:div w:id="140847400">
      <w:bodyDiv w:val="1"/>
      <w:marLeft w:val="0"/>
      <w:marRight w:val="0"/>
      <w:marTop w:val="0"/>
      <w:marBottom w:val="0"/>
      <w:divBdr>
        <w:top w:val="none" w:sz="0" w:space="0" w:color="auto"/>
        <w:left w:val="none" w:sz="0" w:space="0" w:color="auto"/>
        <w:bottom w:val="none" w:sz="0" w:space="0" w:color="auto"/>
        <w:right w:val="none" w:sz="0" w:space="0" w:color="auto"/>
      </w:divBdr>
    </w:div>
    <w:div w:id="371729238">
      <w:bodyDiv w:val="1"/>
      <w:marLeft w:val="0"/>
      <w:marRight w:val="0"/>
      <w:marTop w:val="0"/>
      <w:marBottom w:val="0"/>
      <w:divBdr>
        <w:top w:val="none" w:sz="0" w:space="0" w:color="auto"/>
        <w:left w:val="none" w:sz="0" w:space="0" w:color="auto"/>
        <w:bottom w:val="none" w:sz="0" w:space="0" w:color="auto"/>
        <w:right w:val="none" w:sz="0" w:space="0" w:color="auto"/>
      </w:divBdr>
    </w:div>
    <w:div w:id="565645982">
      <w:bodyDiv w:val="1"/>
      <w:marLeft w:val="0"/>
      <w:marRight w:val="0"/>
      <w:marTop w:val="0"/>
      <w:marBottom w:val="0"/>
      <w:divBdr>
        <w:top w:val="none" w:sz="0" w:space="0" w:color="auto"/>
        <w:left w:val="none" w:sz="0" w:space="0" w:color="auto"/>
        <w:bottom w:val="none" w:sz="0" w:space="0" w:color="auto"/>
        <w:right w:val="none" w:sz="0" w:space="0" w:color="auto"/>
      </w:divBdr>
    </w:div>
    <w:div w:id="616181631">
      <w:bodyDiv w:val="1"/>
      <w:marLeft w:val="0"/>
      <w:marRight w:val="0"/>
      <w:marTop w:val="0"/>
      <w:marBottom w:val="0"/>
      <w:divBdr>
        <w:top w:val="none" w:sz="0" w:space="0" w:color="auto"/>
        <w:left w:val="none" w:sz="0" w:space="0" w:color="auto"/>
        <w:bottom w:val="none" w:sz="0" w:space="0" w:color="auto"/>
        <w:right w:val="none" w:sz="0" w:space="0" w:color="auto"/>
      </w:divBdr>
    </w:div>
    <w:div w:id="783691884">
      <w:bodyDiv w:val="1"/>
      <w:marLeft w:val="0"/>
      <w:marRight w:val="0"/>
      <w:marTop w:val="0"/>
      <w:marBottom w:val="0"/>
      <w:divBdr>
        <w:top w:val="none" w:sz="0" w:space="0" w:color="auto"/>
        <w:left w:val="none" w:sz="0" w:space="0" w:color="auto"/>
        <w:bottom w:val="none" w:sz="0" w:space="0" w:color="auto"/>
        <w:right w:val="none" w:sz="0" w:space="0" w:color="auto"/>
      </w:divBdr>
    </w:div>
    <w:div w:id="789082969">
      <w:bodyDiv w:val="1"/>
      <w:marLeft w:val="0"/>
      <w:marRight w:val="0"/>
      <w:marTop w:val="0"/>
      <w:marBottom w:val="0"/>
      <w:divBdr>
        <w:top w:val="none" w:sz="0" w:space="0" w:color="auto"/>
        <w:left w:val="none" w:sz="0" w:space="0" w:color="auto"/>
        <w:bottom w:val="none" w:sz="0" w:space="0" w:color="auto"/>
        <w:right w:val="none" w:sz="0" w:space="0" w:color="auto"/>
      </w:divBdr>
    </w:div>
    <w:div w:id="958145829">
      <w:bodyDiv w:val="1"/>
      <w:marLeft w:val="0"/>
      <w:marRight w:val="0"/>
      <w:marTop w:val="0"/>
      <w:marBottom w:val="0"/>
      <w:divBdr>
        <w:top w:val="none" w:sz="0" w:space="0" w:color="auto"/>
        <w:left w:val="none" w:sz="0" w:space="0" w:color="auto"/>
        <w:bottom w:val="none" w:sz="0" w:space="0" w:color="auto"/>
        <w:right w:val="none" w:sz="0" w:space="0" w:color="auto"/>
      </w:divBdr>
    </w:div>
    <w:div w:id="1123382652">
      <w:bodyDiv w:val="1"/>
      <w:marLeft w:val="0"/>
      <w:marRight w:val="0"/>
      <w:marTop w:val="0"/>
      <w:marBottom w:val="0"/>
      <w:divBdr>
        <w:top w:val="none" w:sz="0" w:space="0" w:color="auto"/>
        <w:left w:val="none" w:sz="0" w:space="0" w:color="auto"/>
        <w:bottom w:val="none" w:sz="0" w:space="0" w:color="auto"/>
        <w:right w:val="none" w:sz="0" w:space="0" w:color="auto"/>
      </w:divBdr>
    </w:div>
    <w:div w:id="1162893005">
      <w:bodyDiv w:val="1"/>
      <w:marLeft w:val="0"/>
      <w:marRight w:val="0"/>
      <w:marTop w:val="0"/>
      <w:marBottom w:val="0"/>
      <w:divBdr>
        <w:top w:val="none" w:sz="0" w:space="0" w:color="auto"/>
        <w:left w:val="none" w:sz="0" w:space="0" w:color="auto"/>
        <w:bottom w:val="none" w:sz="0" w:space="0" w:color="auto"/>
        <w:right w:val="none" w:sz="0" w:space="0" w:color="auto"/>
      </w:divBdr>
    </w:div>
    <w:div w:id="1257208990">
      <w:bodyDiv w:val="1"/>
      <w:marLeft w:val="0"/>
      <w:marRight w:val="0"/>
      <w:marTop w:val="0"/>
      <w:marBottom w:val="0"/>
      <w:divBdr>
        <w:top w:val="none" w:sz="0" w:space="0" w:color="auto"/>
        <w:left w:val="none" w:sz="0" w:space="0" w:color="auto"/>
        <w:bottom w:val="none" w:sz="0" w:space="0" w:color="auto"/>
        <w:right w:val="none" w:sz="0" w:space="0" w:color="auto"/>
      </w:divBdr>
    </w:div>
    <w:div w:id="1338385600">
      <w:bodyDiv w:val="1"/>
      <w:marLeft w:val="0"/>
      <w:marRight w:val="0"/>
      <w:marTop w:val="0"/>
      <w:marBottom w:val="0"/>
      <w:divBdr>
        <w:top w:val="none" w:sz="0" w:space="0" w:color="auto"/>
        <w:left w:val="none" w:sz="0" w:space="0" w:color="auto"/>
        <w:bottom w:val="none" w:sz="0" w:space="0" w:color="auto"/>
        <w:right w:val="none" w:sz="0" w:space="0" w:color="auto"/>
      </w:divBdr>
    </w:div>
    <w:div w:id="1375502187">
      <w:bodyDiv w:val="1"/>
      <w:marLeft w:val="0"/>
      <w:marRight w:val="0"/>
      <w:marTop w:val="0"/>
      <w:marBottom w:val="0"/>
      <w:divBdr>
        <w:top w:val="none" w:sz="0" w:space="0" w:color="auto"/>
        <w:left w:val="none" w:sz="0" w:space="0" w:color="auto"/>
        <w:bottom w:val="none" w:sz="0" w:space="0" w:color="auto"/>
        <w:right w:val="none" w:sz="0" w:space="0" w:color="auto"/>
      </w:divBdr>
    </w:div>
    <w:div w:id="1407410407">
      <w:bodyDiv w:val="1"/>
      <w:marLeft w:val="0"/>
      <w:marRight w:val="0"/>
      <w:marTop w:val="0"/>
      <w:marBottom w:val="0"/>
      <w:divBdr>
        <w:top w:val="none" w:sz="0" w:space="0" w:color="auto"/>
        <w:left w:val="none" w:sz="0" w:space="0" w:color="auto"/>
        <w:bottom w:val="none" w:sz="0" w:space="0" w:color="auto"/>
        <w:right w:val="none" w:sz="0" w:space="0" w:color="auto"/>
      </w:divBdr>
    </w:div>
    <w:div w:id="1419329376">
      <w:bodyDiv w:val="1"/>
      <w:marLeft w:val="0"/>
      <w:marRight w:val="0"/>
      <w:marTop w:val="0"/>
      <w:marBottom w:val="0"/>
      <w:divBdr>
        <w:top w:val="none" w:sz="0" w:space="0" w:color="auto"/>
        <w:left w:val="none" w:sz="0" w:space="0" w:color="auto"/>
        <w:bottom w:val="none" w:sz="0" w:space="0" w:color="auto"/>
        <w:right w:val="none" w:sz="0" w:space="0" w:color="auto"/>
      </w:divBdr>
    </w:div>
    <w:div w:id="1690331261">
      <w:bodyDiv w:val="1"/>
      <w:marLeft w:val="0"/>
      <w:marRight w:val="0"/>
      <w:marTop w:val="0"/>
      <w:marBottom w:val="0"/>
      <w:divBdr>
        <w:top w:val="none" w:sz="0" w:space="0" w:color="auto"/>
        <w:left w:val="none" w:sz="0" w:space="0" w:color="auto"/>
        <w:bottom w:val="none" w:sz="0" w:space="0" w:color="auto"/>
        <w:right w:val="none" w:sz="0" w:space="0" w:color="auto"/>
      </w:divBdr>
    </w:div>
    <w:div w:id="1695185421">
      <w:bodyDiv w:val="1"/>
      <w:marLeft w:val="0"/>
      <w:marRight w:val="0"/>
      <w:marTop w:val="0"/>
      <w:marBottom w:val="0"/>
      <w:divBdr>
        <w:top w:val="none" w:sz="0" w:space="0" w:color="auto"/>
        <w:left w:val="none" w:sz="0" w:space="0" w:color="auto"/>
        <w:bottom w:val="none" w:sz="0" w:space="0" w:color="auto"/>
        <w:right w:val="none" w:sz="0" w:space="0" w:color="auto"/>
      </w:divBdr>
    </w:div>
    <w:div w:id="1751586000">
      <w:bodyDiv w:val="1"/>
      <w:marLeft w:val="0"/>
      <w:marRight w:val="0"/>
      <w:marTop w:val="0"/>
      <w:marBottom w:val="0"/>
      <w:divBdr>
        <w:top w:val="none" w:sz="0" w:space="0" w:color="auto"/>
        <w:left w:val="none" w:sz="0" w:space="0" w:color="auto"/>
        <w:bottom w:val="none" w:sz="0" w:space="0" w:color="auto"/>
        <w:right w:val="none" w:sz="0" w:space="0" w:color="auto"/>
      </w:divBdr>
    </w:div>
    <w:div w:id="1790082036">
      <w:bodyDiv w:val="1"/>
      <w:marLeft w:val="0"/>
      <w:marRight w:val="0"/>
      <w:marTop w:val="0"/>
      <w:marBottom w:val="0"/>
      <w:divBdr>
        <w:top w:val="none" w:sz="0" w:space="0" w:color="auto"/>
        <w:left w:val="none" w:sz="0" w:space="0" w:color="auto"/>
        <w:bottom w:val="none" w:sz="0" w:space="0" w:color="auto"/>
        <w:right w:val="none" w:sz="0" w:space="0" w:color="auto"/>
      </w:divBdr>
    </w:div>
    <w:div w:id="1795829085">
      <w:bodyDiv w:val="1"/>
      <w:marLeft w:val="0"/>
      <w:marRight w:val="0"/>
      <w:marTop w:val="0"/>
      <w:marBottom w:val="0"/>
      <w:divBdr>
        <w:top w:val="none" w:sz="0" w:space="0" w:color="auto"/>
        <w:left w:val="none" w:sz="0" w:space="0" w:color="auto"/>
        <w:bottom w:val="none" w:sz="0" w:space="0" w:color="auto"/>
        <w:right w:val="none" w:sz="0" w:space="0" w:color="auto"/>
      </w:divBdr>
    </w:div>
    <w:div w:id="184157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MEQ-08-2013-009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1016/j.biortech.2009.05.054" TargetMode="Externa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16/S0960-8524(97)00084-9" TargetMode="External"/><Relationship Id="rId11" Type="http://schemas.openxmlformats.org/officeDocument/2006/relationships/chart" Target="charts/chart1.xm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doi.org/10.1038/s41598-017-15784-w"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ata.worldbank.org/indicator/EG.ELC.ACCS.ZS?locations=NG"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Wizdom\Documents\EFUA%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Wizdom\Documents\EFUA%20analysi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Sheet6!$B$1</c:f>
              <c:strCache>
                <c:ptCount val="1"/>
                <c:pt idx="0">
                  <c:v>Cow+Yam</c:v>
                </c:pt>
              </c:strCache>
            </c:strRef>
          </c:tx>
          <c:spPr>
            <a:ln w="19050" cap="rnd">
              <a:solidFill>
                <a:schemeClr val="accent1"/>
              </a:solidFill>
              <a:round/>
            </a:ln>
            <a:effectLst/>
          </c:spPr>
          <c:marker>
            <c:symbol val="none"/>
          </c:marker>
          <c:cat>
            <c:numRef>
              <c:f>Sheet6!$A$2:$A$50</c:f>
              <c:numCache>
                <c:formatCode>General</c:formatCode>
                <c:ptCount val="4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numCache>
            </c:numRef>
          </c:cat>
          <c:val>
            <c:numRef>
              <c:f>Sheet6!$B$2:$B$50</c:f>
              <c:numCache>
                <c:formatCode>General</c:formatCode>
                <c:ptCount val="49"/>
                <c:pt idx="0">
                  <c:v>0</c:v>
                </c:pt>
                <c:pt idx="1">
                  <c:v>0</c:v>
                </c:pt>
                <c:pt idx="2">
                  <c:v>0</c:v>
                </c:pt>
                <c:pt idx="3">
                  <c:v>0</c:v>
                </c:pt>
                <c:pt idx="4">
                  <c:v>0</c:v>
                </c:pt>
                <c:pt idx="5">
                  <c:v>0</c:v>
                </c:pt>
                <c:pt idx="6">
                  <c:v>0</c:v>
                </c:pt>
                <c:pt idx="7">
                  <c:v>0</c:v>
                </c:pt>
                <c:pt idx="8">
                  <c:v>0</c:v>
                </c:pt>
                <c:pt idx="9">
                  <c:v>12</c:v>
                </c:pt>
                <c:pt idx="10">
                  <c:v>18</c:v>
                </c:pt>
                <c:pt idx="11">
                  <c:v>22</c:v>
                </c:pt>
                <c:pt idx="12">
                  <c:v>25</c:v>
                </c:pt>
                <c:pt idx="13">
                  <c:v>27</c:v>
                </c:pt>
                <c:pt idx="14">
                  <c:v>29</c:v>
                </c:pt>
                <c:pt idx="15">
                  <c:v>32</c:v>
                </c:pt>
                <c:pt idx="16">
                  <c:v>34</c:v>
                </c:pt>
                <c:pt idx="17">
                  <c:v>37</c:v>
                </c:pt>
                <c:pt idx="18">
                  <c:v>33</c:v>
                </c:pt>
                <c:pt idx="19">
                  <c:v>30</c:v>
                </c:pt>
                <c:pt idx="20">
                  <c:v>28</c:v>
                </c:pt>
                <c:pt idx="21">
                  <c:v>25</c:v>
                </c:pt>
                <c:pt idx="22">
                  <c:v>23</c:v>
                </c:pt>
                <c:pt idx="23">
                  <c:v>21.5</c:v>
                </c:pt>
                <c:pt idx="24">
                  <c:v>19.5</c:v>
                </c:pt>
                <c:pt idx="25">
                  <c:v>17</c:v>
                </c:pt>
                <c:pt idx="26">
                  <c:v>15</c:v>
                </c:pt>
                <c:pt idx="27">
                  <c:v>13</c:v>
                </c:pt>
                <c:pt idx="28">
                  <c:v>10.5</c:v>
                </c:pt>
                <c:pt idx="29">
                  <c:v>6</c:v>
                </c:pt>
                <c:pt idx="30">
                  <c:v>3.5</c:v>
                </c:pt>
                <c:pt idx="31">
                  <c:v>2</c:v>
                </c:pt>
                <c:pt idx="32">
                  <c:v>2</c:v>
                </c:pt>
                <c:pt idx="33">
                  <c:v>0.5</c:v>
                </c:pt>
                <c:pt idx="34">
                  <c:v>0.5</c:v>
                </c:pt>
                <c:pt idx="35">
                  <c:v>0.1</c:v>
                </c:pt>
                <c:pt idx="36">
                  <c:v>0.1</c:v>
                </c:pt>
                <c:pt idx="37">
                  <c:v>0</c:v>
                </c:pt>
                <c:pt idx="38">
                  <c:v>0</c:v>
                </c:pt>
                <c:pt idx="39">
                  <c:v>0</c:v>
                </c:pt>
                <c:pt idx="40">
                  <c:v>0</c:v>
                </c:pt>
                <c:pt idx="41">
                  <c:v>0</c:v>
                </c:pt>
                <c:pt idx="42">
                  <c:v>0</c:v>
                </c:pt>
                <c:pt idx="43">
                  <c:v>0</c:v>
                </c:pt>
                <c:pt idx="44">
                  <c:v>0</c:v>
                </c:pt>
                <c:pt idx="45">
                  <c:v>0</c:v>
                </c:pt>
                <c:pt idx="46">
                  <c:v>0</c:v>
                </c:pt>
                <c:pt idx="47">
                  <c:v>0.2</c:v>
                </c:pt>
                <c:pt idx="48">
                  <c:v>0</c:v>
                </c:pt>
              </c:numCache>
            </c:numRef>
          </c:val>
          <c:smooth val="0"/>
          <c:extLst>
            <c:ext xmlns:c16="http://schemas.microsoft.com/office/drawing/2014/chart" uri="{C3380CC4-5D6E-409C-BE32-E72D297353CC}">
              <c16:uniqueId val="{00000000-D5F5-4D7E-A117-B45B0993DD37}"/>
            </c:ext>
          </c:extLst>
        </c:ser>
        <c:ser>
          <c:idx val="1"/>
          <c:order val="1"/>
          <c:tx>
            <c:strRef>
              <c:f>Sheet6!$C$1</c:f>
              <c:strCache>
                <c:ptCount val="1"/>
                <c:pt idx="0">
                  <c:v>Cow+Maize</c:v>
                </c:pt>
              </c:strCache>
            </c:strRef>
          </c:tx>
          <c:spPr>
            <a:ln w="19050" cap="rnd">
              <a:solidFill>
                <a:schemeClr val="accent2"/>
              </a:solidFill>
              <a:round/>
            </a:ln>
            <a:effectLst/>
          </c:spPr>
          <c:marker>
            <c:symbol val="none"/>
          </c:marker>
          <c:cat>
            <c:numRef>
              <c:f>Sheet6!$A$2:$A$50</c:f>
              <c:numCache>
                <c:formatCode>General</c:formatCode>
                <c:ptCount val="4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numCache>
            </c:numRef>
          </c:cat>
          <c:val>
            <c:numRef>
              <c:f>Sheet6!$C$2:$C$50</c:f>
              <c:numCache>
                <c:formatCode>General</c:formatCode>
                <c:ptCount val="49"/>
                <c:pt idx="0">
                  <c:v>0</c:v>
                </c:pt>
                <c:pt idx="1">
                  <c:v>0</c:v>
                </c:pt>
                <c:pt idx="2">
                  <c:v>0</c:v>
                </c:pt>
                <c:pt idx="3">
                  <c:v>0</c:v>
                </c:pt>
                <c:pt idx="4">
                  <c:v>0</c:v>
                </c:pt>
                <c:pt idx="5">
                  <c:v>4</c:v>
                </c:pt>
                <c:pt idx="6">
                  <c:v>5.5</c:v>
                </c:pt>
                <c:pt idx="7">
                  <c:v>7</c:v>
                </c:pt>
                <c:pt idx="8">
                  <c:v>9.5</c:v>
                </c:pt>
                <c:pt idx="9">
                  <c:v>12</c:v>
                </c:pt>
                <c:pt idx="10">
                  <c:v>15</c:v>
                </c:pt>
                <c:pt idx="11">
                  <c:v>18</c:v>
                </c:pt>
                <c:pt idx="12">
                  <c:v>20</c:v>
                </c:pt>
                <c:pt idx="13">
                  <c:v>23</c:v>
                </c:pt>
                <c:pt idx="14">
                  <c:v>26</c:v>
                </c:pt>
                <c:pt idx="15">
                  <c:v>28</c:v>
                </c:pt>
                <c:pt idx="16">
                  <c:v>24</c:v>
                </c:pt>
                <c:pt idx="17">
                  <c:v>20</c:v>
                </c:pt>
                <c:pt idx="18">
                  <c:v>17</c:v>
                </c:pt>
                <c:pt idx="19">
                  <c:v>14</c:v>
                </c:pt>
                <c:pt idx="20">
                  <c:v>11</c:v>
                </c:pt>
                <c:pt idx="21">
                  <c:v>8</c:v>
                </c:pt>
                <c:pt idx="22">
                  <c:v>7</c:v>
                </c:pt>
                <c:pt idx="23">
                  <c:v>6</c:v>
                </c:pt>
                <c:pt idx="24">
                  <c:v>6.5</c:v>
                </c:pt>
                <c:pt idx="25">
                  <c:v>4</c:v>
                </c:pt>
                <c:pt idx="26">
                  <c:v>4</c:v>
                </c:pt>
                <c:pt idx="27">
                  <c:v>3</c:v>
                </c:pt>
                <c:pt idx="28">
                  <c:v>3</c:v>
                </c:pt>
                <c:pt idx="29">
                  <c:v>3</c:v>
                </c:pt>
                <c:pt idx="30">
                  <c:v>2.8</c:v>
                </c:pt>
                <c:pt idx="31">
                  <c:v>2.5</c:v>
                </c:pt>
                <c:pt idx="32">
                  <c:v>2</c:v>
                </c:pt>
                <c:pt idx="33">
                  <c:v>2</c:v>
                </c:pt>
                <c:pt idx="34">
                  <c:v>1.6</c:v>
                </c:pt>
                <c:pt idx="35">
                  <c:v>0.6</c:v>
                </c:pt>
                <c:pt idx="36">
                  <c:v>1.5</c:v>
                </c:pt>
                <c:pt idx="37">
                  <c:v>1.5</c:v>
                </c:pt>
                <c:pt idx="38">
                  <c:v>1</c:v>
                </c:pt>
                <c:pt idx="39">
                  <c:v>1</c:v>
                </c:pt>
                <c:pt idx="40">
                  <c:v>0.4</c:v>
                </c:pt>
                <c:pt idx="41">
                  <c:v>0.1</c:v>
                </c:pt>
                <c:pt idx="42">
                  <c:v>0.1</c:v>
                </c:pt>
                <c:pt idx="43">
                  <c:v>0</c:v>
                </c:pt>
                <c:pt idx="44">
                  <c:v>0</c:v>
                </c:pt>
                <c:pt idx="45">
                  <c:v>0</c:v>
                </c:pt>
                <c:pt idx="46">
                  <c:v>0</c:v>
                </c:pt>
                <c:pt idx="47">
                  <c:v>0</c:v>
                </c:pt>
                <c:pt idx="48">
                  <c:v>0</c:v>
                </c:pt>
              </c:numCache>
            </c:numRef>
          </c:val>
          <c:smooth val="0"/>
          <c:extLst>
            <c:ext xmlns:c16="http://schemas.microsoft.com/office/drawing/2014/chart" uri="{C3380CC4-5D6E-409C-BE32-E72D297353CC}">
              <c16:uniqueId val="{00000001-D5F5-4D7E-A117-B45B0993DD37}"/>
            </c:ext>
          </c:extLst>
        </c:ser>
        <c:ser>
          <c:idx val="2"/>
          <c:order val="2"/>
          <c:tx>
            <c:strRef>
              <c:f>Sheet6!$D$1</c:f>
              <c:strCache>
                <c:ptCount val="1"/>
                <c:pt idx="0">
                  <c:v>Cow+Cassava</c:v>
                </c:pt>
              </c:strCache>
            </c:strRef>
          </c:tx>
          <c:spPr>
            <a:ln w="19050" cap="rnd">
              <a:solidFill>
                <a:schemeClr val="accent3"/>
              </a:solidFill>
              <a:round/>
            </a:ln>
            <a:effectLst/>
          </c:spPr>
          <c:marker>
            <c:symbol val="none"/>
          </c:marker>
          <c:cat>
            <c:numRef>
              <c:f>Sheet6!$A$2:$A$50</c:f>
              <c:numCache>
                <c:formatCode>General</c:formatCode>
                <c:ptCount val="4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numCache>
            </c:numRef>
          </c:cat>
          <c:val>
            <c:numRef>
              <c:f>Sheet6!$D$2:$D$50</c:f>
              <c:numCache>
                <c:formatCode>General</c:formatCode>
                <c:ptCount val="49"/>
                <c:pt idx="0">
                  <c:v>0</c:v>
                </c:pt>
                <c:pt idx="1">
                  <c:v>0</c:v>
                </c:pt>
                <c:pt idx="2">
                  <c:v>0</c:v>
                </c:pt>
                <c:pt idx="3">
                  <c:v>0</c:v>
                </c:pt>
                <c:pt idx="4">
                  <c:v>0</c:v>
                </c:pt>
                <c:pt idx="5">
                  <c:v>0</c:v>
                </c:pt>
                <c:pt idx="6">
                  <c:v>0</c:v>
                </c:pt>
                <c:pt idx="7">
                  <c:v>0</c:v>
                </c:pt>
                <c:pt idx="8">
                  <c:v>0</c:v>
                </c:pt>
                <c:pt idx="9">
                  <c:v>0</c:v>
                </c:pt>
                <c:pt idx="10">
                  <c:v>2</c:v>
                </c:pt>
                <c:pt idx="11">
                  <c:v>3</c:v>
                </c:pt>
                <c:pt idx="12">
                  <c:v>3.5</c:v>
                </c:pt>
                <c:pt idx="13">
                  <c:v>5</c:v>
                </c:pt>
                <c:pt idx="14">
                  <c:v>7</c:v>
                </c:pt>
                <c:pt idx="15">
                  <c:v>9</c:v>
                </c:pt>
                <c:pt idx="16">
                  <c:v>10.5</c:v>
                </c:pt>
                <c:pt idx="17">
                  <c:v>12</c:v>
                </c:pt>
                <c:pt idx="18">
                  <c:v>13.5</c:v>
                </c:pt>
                <c:pt idx="19">
                  <c:v>15</c:v>
                </c:pt>
                <c:pt idx="20">
                  <c:v>17</c:v>
                </c:pt>
                <c:pt idx="21">
                  <c:v>20</c:v>
                </c:pt>
                <c:pt idx="22">
                  <c:v>19</c:v>
                </c:pt>
                <c:pt idx="23">
                  <c:v>17.5</c:v>
                </c:pt>
                <c:pt idx="24">
                  <c:v>14</c:v>
                </c:pt>
                <c:pt idx="25">
                  <c:v>12.5</c:v>
                </c:pt>
                <c:pt idx="26">
                  <c:v>9</c:v>
                </c:pt>
                <c:pt idx="27">
                  <c:v>7</c:v>
                </c:pt>
                <c:pt idx="28">
                  <c:v>6</c:v>
                </c:pt>
                <c:pt idx="29">
                  <c:v>3</c:v>
                </c:pt>
                <c:pt idx="30">
                  <c:v>1</c:v>
                </c:pt>
                <c:pt idx="31">
                  <c:v>0.2</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numCache>
            </c:numRef>
          </c:val>
          <c:smooth val="0"/>
          <c:extLst>
            <c:ext xmlns:c16="http://schemas.microsoft.com/office/drawing/2014/chart" uri="{C3380CC4-5D6E-409C-BE32-E72D297353CC}">
              <c16:uniqueId val="{00000002-D5F5-4D7E-A117-B45B0993DD37}"/>
            </c:ext>
          </c:extLst>
        </c:ser>
        <c:ser>
          <c:idx val="3"/>
          <c:order val="3"/>
          <c:tx>
            <c:strRef>
              <c:f>Sheet6!$E$1</c:f>
              <c:strCache>
                <c:ptCount val="1"/>
                <c:pt idx="0">
                  <c:v>Cow</c:v>
                </c:pt>
              </c:strCache>
            </c:strRef>
          </c:tx>
          <c:spPr>
            <a:ln w="19050" cap="rnd">
              <a:solidFill>
                <a:schemeClr val="accent4"/>
              </a:solidFill>
              <a:round/>
            </a:ln>
            <a:effectLst/>
          </c:spPr>
          <c:marker>
            <c:symbol val="none"/>
          </c:marker>
          <c:cat>
            <c:numRef>
              <c:f>Sheet6!$A$2:$A$50</c:f>
              <c:numCache>
                <c:formatCode>General</c:formatCode>
                <c:ptCount val="4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numCache>
            </c:numRef>
          </c:cat>
          <c:val>
            <c:numRef>
              <c:f>Sheet6!$E$2:$E$50</c:f>
              <c:numCache>
                <c:formatCode>General</c:formatCode>
                <c:ptCount val="49"/>
                <c:pt idx="0">
                  <c:v>0</c:v>
                </c:pt>
                <c:pt idx="1">
                  <c:v>0</c:v>
                </c:pt>
                <c:pt idx="2">
                  <c:v>0</c:v>
                </c:pt>
                <c:pt idx="3">
                  <c:v>0</c:v>
                </c:pt>
                <c:pt idx="4">
                  <c:v>0</c:v>
                </c:pt>
                <c:pt idx="5">
                  <c:v>0</c:v>
                </c:pt>
                <c:pt idx="6">
                  <c:v>0</c:v>
                </c:pt>
                <c:pt idx="7">
                  <c:v>0</c:v>
                </c:pt>
                <c:pt idx="8">
                  <c:v>0</c:v>
                </c:pt>
                <c:pt idx="9">
                  <c:v>0</c:v>
                </c:pt>
                <c:pt idx="10">
                  <c:v>2</c:v>
                </c:pt>
                <c:pt idx="11">
                  <c:v>4</c:v>
                </c:pt>
                <c:pt idx="12">
                  <c:v>5.5</c:v>
                </c:pt>
                <c:pt idx="13">
                  <c:v>7</c:v>
                </c:pt>
                <c:pt idx="14">
                  <c:v>9</c:v>
                </c:pt>
                <c:pt idx="15">
                  <c:v>12</c:v>
                </c:pt>
                <c:pt idx="16">
                  <c:v>13.5</c:v>
                </c:pt>
                <c:pt idx="17">
                  <c:v>16</c:v>
                </c:pt>
                <c:pt idx="18">
                  <c:v>18</c:v>
                </c:pt>
                <c:pt idx="19">
                  <c:v>21</c:v>
                </c:pt>
                <c:pt idx="20">
                  <c:v>19</c:v>
                </c:pt>
                <c:pt idx="21">
                  <c:v>17</c:v>
                </c:pt>
                <c:pt idx="22">
                  <c:v>15.5</c:v>
                </c:pt>
                <c:pt idx="23">
                  <c:v>12.5</c:v>
                </c:pt>
                <c:pt idx="24">
                  <c:v>10</c:v>
                </c:pt>
                <c:pt idx="25">
                  <c:v>8</c:v>
                </c:pt>
                <c:pt idx="26">
                  <c:v>7.2</c:v>
                </c:pt>
                <c:pt idx="27">
                  <c:v>4</c:v>
                </c:pt>
                <c:pt idx="28">
                  <c:v>2</c:v>
                </c:pt>
                <c:pt idx="29">
                  <c:v>2</c:v>
                </c:pt>
                <c:pt idx="30">
                  <c:v>0.2</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numCache>
            </c:numRef>
          </c:val>
          <c:smooth val="0"/>
          <c:extLst>
            <c:ext xmlns:c16="http://schemas.microsoft.com/office/drawing/2014/chart" uri="{C3380CC4-5D6E-409C-BE32-E72D297353CC}">
              <c16:uniqueId val="{00000003-D5F5-4D7E-A117-B45B0993DD37}"/>
            </c:ext>
          </c:extLst>
        </c:ser>
        <c:dLbls>
          <c:showLegendKey val="0"/>
          <c:showVal val="0"/>
          <c:showCatName val="0"/>
          <c:showSerName val="0"/>
          <c:showPercent val="0"/>
          <c:showBubbleSize val="0"/>
        </c:dLbls>
        <c:smooth val="0"/>
        <c:axId val="435260728"/>
        <c:axId val="403765136"/>
      </c:lineChart>
      <c:catAx>
        <c:axId val="435260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765136"/>
        <c:crosses val="autoZero"/>
        <c:auto val="1"/>
        <c:lblAlgn val="ctr"/>
        <c:lblOffset val="100"/>
        <c:noMultiLvlLbl val="0"/>
      </c:catAx>
      <c:valAx>
        <c:axId val="40376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Volume of biogas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5260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Sheet7!$B$1</c:f>
              <c:strCache>
                <c:ptCount val="1"/>
                <c:pt idx="0">
                  <c:v>Cow+Yam</c:v>
                </c:pt>
              </c:strCache>
            </c:strRef>
          </c:tx>
          <c:spPr>
            <a:ln w="19050" cap="rnd">
              <a:solidFill>
                <a:schemeClr val="accent1"/>
              </a:solidFill>
              <a:round/>
            </a:ln>
            <a:effectLst/>
          </c:spPr>
          <c:marker>
            <c:symbol val="none"/>
          </c:marker>
          <c:xVal>
            <c:numRef>
              <c:f>Sheet7!$A$2:$A$8</c:f>
              <c:numCache>
                <c:formatCode>General</c:formatCode>
                <c:ptCount val="7"/>
                <c:pt idx="0">
                  <c:v>1</c:v>
                </c:pt>
                <c:pt idx="1">
                  <c:v>2</c:v>
                </c:pt>
                <c:pt idx="2">
                  <c:v>3</c:v>
                </c:pt>
                <c:pt idx="3">
                  <c:v>4</c:v>
                </c:pt>
                <c:pt idx="4">
                  <c:v>5</c:v>
                </c:pt>
                <c:pt idx="5">
                  <c:v>6</c:v>
                </c:pt>
                <c:pt idx="6">
                  <c:v>7</c:v>
                </c:pt>
              </c:numCache>
            </c:numRef>
          </c:xVal>
          <c:yVal>
            <c:numRef>
              <c:f>Sheet7!$B$2:$B$8</c:f>
              <c:numCache>
                <c:formatCode>General</c:formatCode>
                <c:ptCount val="7"/>
                <c:pt idx="0">
                  <c:v>0</c:v>
                </c:pt>
                <c:pt idx="1">
                  <c:v>104.5</c:v>
                </c:pt>
                <c:pt idx="2">
                  <c:v>223</c:v>
                </c:pt>
                <c:pt idx="3">
                  <c:v>134</c:v>
                </c:pt>
                <c:pt idx="4">
                  <c:v>25</c:v>
                </c:pt>
                <c:pt idx="5">
                  <c:v>0.2</c:v>
                </c:pt>
                <c:pt idx="6">
                  <c:v>0</c:v>
                </c:pt>
              </c:numCache>
            </c:numRef>
          </c:yVal>
          <c:smooth val="1"/>
          <c:extLst>
            <c:ext xmlns:c16="http://schemas.microsoft.com/office/drawing/2014/chart" uri="{C3380CC4-5D6E-409C-BE32-E72D297353CC}">
              <c16:uniqueId val="{00000000-C69D-4D55-B5CC-0B7B40138D57}"/>
            </c:ext>
          </c:extLst>
        </c:ser>
        <c:ser>
          <c:idx val="1"/>
          <c:order val="1"/>
          <c:tx>
            <c:strRef>
              <c:f>Sheet7!$C$1</c:f>
              <c:strCache>
                <c:ptCount val="1"/>
                <c:pt idx="0">
                  <c:v>Cow+Maize</c:v>
                </c:pt>
              </c:strCache>
            </c:strRef>
          </c:tx>
          <c:spPr>
            <a:ln w="19050" cap="rnd">
              <a:solidFill>
                <a:schemeClr val="accent2"/>
              </a:solidFill>
              <a:round/>
            </a:ln>
            <a:effectLst/>
          </c:spPr>
          <c:marker>
            <c:symbol val="none"/>
          </c:marker>
          <c:xVal>
            <c:numRef>
              <c:f>Sheet7!$A$2:$A$8</c:f>
              <c:numCache>
                <c:formatCode>General</c:formatCode>
                <c:ptCount val="7"/>
                <c:pt idx="0">
                  <c:v>1</c:v>
                </c:pt>
                <c:pt idx="1">
                  <c:v>2</c:v>
                </c:pt>
                <c:pt idx="2">
                  <c:v>3</c:v>
                </c:pt>
                <c:pt idx="3">
                  <c:v>4</c:v>
                </c:pt>
                <c:pt idx="4">
                  <c:v>5</c:v>
                </c:pt>
                <c:pt idx="5">
                  <c:v>6</c:v>
                </c:pt>
                <c:pt idx="6">
                  <c:v>7</c:v>
                </c:pt>
              </c:numCache>
            </c:numRef>
          </c:xVal>
          <c:yVal>
            <c:numRef>
              <c:f>Sheet7!$C$2:$C$8</c:f>
              <c:numCache>
                <c:formatCode>General</c:formatCode>
                <c:ptCount val="7"/>
                <c:pt idx="0">
                  <c:v>9.5</c:v>
                </c:pt>
                <c:pt idx="1">
                  <c:v>104.5</c:v>
                </c:pt>
                <c:pt idx="2">
                  <c:v>140</c:v>
                </c:pt>
                <c:pt idx="3">
                  <c:v>38.5</c:v>
                </c:pt>
                <c:pt idx="4">
                  <c:v>17</c:v>
                </c:pt>
                <c:pt idx="5">
                  <c:v>7</c:v>
                </c:pt>
                <c:pt idx="6">
                  <c:v>0.1</c:v>
                </c:pt>
              </c:numCache>
            </c:numRef>
          </c:yVal>
          <c:smooth val="1"/>
          <c:extLst>
            <c:ext xmlns:c16="http://schemas.microsoft.com/office/drawing/2014/chart" uri="{C3380CC4-5D6E-409C-BE32-E72D297353CC}">
              <c16:uniqueId val="{00000001-C69D-4D55-B5CC-0B7B40138D57}"/>
            </c:ext>
          </c:extLst>
        </c:ser>
        <c:ser>
          <c:idx val="2"/>
          <c:order val="2"/>
          <c:tx>
            <c:strRef>
              <c:f>Sheet7!$D$1</c:f>
              <c:strCache>
                <c:ptCount val="1"/>
                <c:pt idx="0">
                  <c:v>Cow+Cassava</c:v>
                </c:pt>
              </c:strCache>
            </c:strRef>
          </c:tx>
          <c:spPr>
            <a:ln w="19050" cap="rnd">
              <a:solidFill>
                <a:schemeClr val="accent3"/>
              </a:solidFill>
              <a:round/>
            </a:ln>
            <a:effectLst/>
          </c:spPr>
          <c:marker>
            <c:symbol val="none"/>
          </c:marker>
          <c:xVal>
            <c:numRef>
              <c:f>Sheet7!$A$2:$A$8</c:f>
              <c:numCache>
                <c:formatCode>General</c:formatCode>
                <c:ptCount val="7"/>
                <c:pt idx="0">
                  <c:v>1</c:v>
                </c:pt>
                <c:pt idx="1">
                  <c:v>2</c:v>
                </c:pt>
                <c:pt idx="2">
                  <c:v>3</c:v>
                </c:pt>
                <c:pt idx="3">
                  <c:v>4</c:v>
                </c:pt>
                <c:pt idx="4">
                  <c:v>5</c:v>
                </c:pt>
                <c:pt idx="5">
                  <c:v>6</c:v>
                </c:pt>
                <c:pt idx="6">
                  <c:v>7</c:v>
                </c:pt>
              </c:numCache>
            </c:numRef>
          </c:xVal>
          <c:yVal>
            <c:numRef>
              <c:f>Sheet7!$D$2:$D$8</c:f>
              <c:numCache>
                <c:formatCode>General</c:formatCode>
                <c:ptCount val="7"/>
                <c:pt idx="0">
                  <c:v>0</c:v>
                </c:pt>
                <c:pt idx="1">
                  <c:v>13.5</c:v>
                </c:pt>
                <c:pt idx="2">
                  <c:v>84</c:v>
                </c:pt>
                <c:pt idx="3">
                  <c:v>99</c:v>
                </c:pt>
                <c:pt idx="4">
                  <c:v>10.199999999999999</c:v>
                </c:pt>
                <c:pt idx="5">
                  <c:v>0</c:v>
                </c:pt>
                <c:pt idx="6">
                  <c:v>0</c:v>
                </c:pt>
              </c:numCache>
            </c:numRef>
          </c:yVal>
          <c:smooth val="1"/>
          <c:extLst>
            <c:ext xmlns:c16="http://schemas.microsoft.com/office/drawing/2014/chart" uri="{C3380CC4-5D6E-409C-BE32-E72D297353CC}">
              <c16:uniqueId val="{00000002-C69D-4D55-B5CC-0B7B40138D57}"/>
            </c:ext>
          </c:extLst>
        </c:ser>
        <c:ser>
          <c:idx val="3"/>
          <c:order val="3"/>
          <c:tx>
            <c:strRef>
              <c:f>Sheet7!$E$1</c:f>
              <c:strCache>
                <c:ptCount val="1"/>
                <c:pt idx="0">
                  <c:v>Cow</c:v>
                </c:pt>
              </c:strCache>
            </c:strRef>
          </c:tx>
          <c:spPr>
            <a:ln w="19050" cap="rnd">
              <a:solidFill>
                <a:schemeClr val="accent4"/>
              </a:solidFill>
              <a:round/>
            </a:ln>
            <a:effectLst/>
          </c:spPr>
          <c:marker>
            <c:symbol val="none"/>
          </c:marker>
          <c:xVal>
            <c:numRef>
              <c:f>Sheet7!$A$2:$A$8</c:f>
              <c:numCache>
                <c:formatCode>General</c:formatCode>
                <c:ptCount val="7"/>
                <c:pt idx="0">
                  <c:v>1</c:v>
                </c:pt>
                <c:pt idx="1">
                  <c:v>2</c:v>
                </c:pt>
                <c:pt idx="2">
                  <c:v>3</c:v>
                </c:pt>
                <c:pt idx="3">
                  <c:v>4</c:v>
                </c:pt>
                <c:pt idx="4">
                  <c:v>5</c:v>
                </c:pt>
                <c:pt idx="5">
                  <c:v>6</c:v>
                </c:pt>
                <c:pt idx="6">
                  <c:v>7</c:v>
                </c:pt>
              </c:numCache>
            </c:numRef>
          </c:xVal>
          <c:yVal>
            <c:numRef>
              <c:f>Sheet7!$E$2:$E$8</c:f>
              <c:numCache>
                <c:formatCode>General</c:formatCode>
                <c:ptCount val="7"/>
                <c:pt idx="0">
                  <c:v>0</c:v>
                </c:pt>
                <c:pt idx="1">
                  <c:v>18.5</c:v>
                </c:pt>
                <c:pt idx="2">
                  <c:v>108.5</c:v>
                </c:pt>
                <c:pt idx="3">
                  <c:v>74.2</c:v>
                </c:pt>
                <c:pt idx="4">
                  <c:v>4.2</c:v>
                </c:pt>
                <c:pt idx="5">
                  <c:v>0</c:v>
                </c:pt>
                <c:pt idx="6">
                  <c:v>0</c:v>
                </c:pt>
              </c:numCache>
            </c:numRef>
          </c:yVal>
          <c:smooth val="1"/>
          <c:extLst>
            <c:ext xmlns:c16="http://schemas.microsoft.com/office/drawing/2014/chart" uri="{C3380CC4-5D6E-409C-BE32-E72D297353CC}">
              <c16:uniqueId val="{00000003-C69D-4D55-B5CC-0B7B40138D57}"/>
            </c:ext>
          </c:extLst>
        </c:ser>
        <c:dLbls>
          <c:showLegendKey val="0"/>
          <c:showVal val="0"/>
          <c:showCatName val="0"/>
          <c:showSerName val="0"/>
          <c:showPercent val="0"/>
          <c:showBubbleSize val="0"/>
        </c:dLbls>
        <c:axId val="403765920"/>
        <c:axId val="403766312"/>
      </c:scatterChart>
      <c:valAx>
        <c:axId val="403765920"/>
        <c:scaling>
          <c:orientation val="minMax"/>
          <c:min val="0"/>
        </c:scaling>
        <c:delete val="0"/>
        <c:axPos val="b"/>
        <c:majorGridlines>
          <c:spPr>
            <a:ln w="9525" cap="flat" cmpd="sng" algn="ctr">
              <a:no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766312"/>
        <c:crosses val="autoZero"/>
        <c:crossBetween val="midCat"/>
      </c:valAx>
      <c:valAx>
        <c:axId val="40376631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Volume of Biogas (ml)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76592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3077</Words>
  <Characters>17542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Adebayo J. ADEYEMO</dc:creator>
  <cp:keywords/>
  <dc:description/>
  <cp:lastModifiedBy>SDI 1084</cp:lastModifiedBy>
  <cp:revision>30</cp:revision>
  <dcterms:created xsi:type="dcterms:W3CDTF">2025-08-25T11:39:00Z</dcterms:created>
  <dcterms:modified xsi:type="dcterms:W3CDTF">2025-08-27T08:00:00Z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b6cceca4-8d61-48fa-9118-65fee72190a7</vt:lpwstr>
  </property>
</Properties>
</file>