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F4E5F" w14:textId="77777777" w:rsidR="00754C9A" w:rsidRDefault="00754C9A" w:rsidP="00441B6F">
      <w:pPr>
        <w:pStyle w:val="Title"/>
        <w:spacing w:after="0"/>
        <w:jc w:val="both"/>
        <w:rPr>
          <w:rFonts w:ascii="Arial" w:hAnsi="Arial" w:cs="Arial"/>
        </w:rPr>
      </w:pPr>
    </w:p>
    <w:p w14:paraId="477E6F46" w14:textId="7657C714" w:rsidR="00163BC4" w:rsidRPr="00163BC4" w:rsidRDefault="008F2332" w:rsidP="00441B6F">
      <w:pPr>
        <w:pStyle w:val="Author"/>
        <w:spacing w:line="240" w:lineRule="auto"/>
        <w:rPr>
          <w:rFonts w:ascii="Arial" w:hAnsi="Arial" w:cs="Arial"/>
          <w:bCs/>
          <w:iCs/>
          <w:kern w:val="28"/>
          <w:sz w:val="36"/>
        </w:rPr>
      </w:pPr>
      <w:r w:rsidRPr="008F2332">
        <w:rPr>
          <w:rFonts w:ascii="Arial" w:hAnsi="Arial" w:cs="Arial"/>
          <w:bCs/>
          <w:iCs/>
          <w:kern w:val="28"/>
          <w:sz w:val="36"/>
        </w:rPr>
        <w:t>Analysis of the Influence of Company Ownership, Sustainability Value, and Internationalization on Technical Efficiency in the Transportation and Logistics Industry in Indonesia</w:t>
      </w:r>
    </w:p>
    <w:p w14:paraId="587FA553" w14:textId="77777777" w:rsidR="00A258C3" w:rsidRPr="00790ADA" w:rsidRDefault="00A258C3" w:rsidP="00441B6F">
      <w:pPr>
        <w:pStyle w:val="Author"/>
        <w:spacing w:line="240" w:lineRule="auto"/>
        <w:jc w:val="both"/>
        <w:rPr>
          <w:rFonts w:ascii="Arial" w:hAnsi="Arial" w:cs="Arial"/>
          <w:sz w:val="36"/>
        </w:rPr>
      </w:pPr>
    </w:p>
    <w:p w14:paraId="3BF736DD" w14:textId="77777777" w:rsidR="00132B1E" w:rsidRPr="005F3663" w:rsidRDefault="00132B1E" w:rsidP="005F3663">
      <w:pPr>
        <w:pStyle w:val="Affiliation"/>
        <w:spacing w:after="0"/>
        <w:rPr>
          <w:rFonts w:ascii="Arial" w:hAnsi="Arial" w:cs="Arial"/>
          <w:i/>
        </w:rPr>
      </w:pPr>
    </w:p>
    <w:p w14:paraId="5769DB24" w14:textId="77777777" w:rsidR="002C57D2" w:rsidRPr="00FB3A86" w:rsidRDefault="002C57D2" w:rsidP="00441B6F">
      <w:pPr>
        <w:pStyle w:val="Affiliation"/>
        <w:spacing w:after="0" w:line="240" w:lineRule="auto"/>
        <w:jc w:val="both"/>
        <w:rPr>
          <w:rFonts w:ascii="Arial" w:hAnsi="Arial" w:cs="Arial"/>
        </w:rPr>
      </w:pPr>
    </w:p>
    <w:p w14:paraId="1308D32A" w14:textId="34F55A83" w:rsidR="00B01FCD" w:rsidRPr="00FB3A86" w:rsidRDefault="0054790B" w:rsidP="00441B6F">
      <w:pPr>
        <w:pStyle w:val="Copyright"/>
        <w:spacing w:after="0" w:line="240" w:lineRule="auto"/>
        <w:jc w:val="both"/>
        <w:rPr>
          <w:rFonts w:ascii="Arial" w:hAnsi="Arial" w:cs="Arial"/>
        </w:rPr>
        <w:sectPr w:rsidR="00B01FCD" w:rsidRPr="00FB3A86" w:rsidSect="00727B8A">
          <w:headerReference w:type="first" r:id="rId8"/>
          <w:footerReference w:type="first" r:id="rId9"/>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BAC0945" wp14:editId="7C968190">
                <wp:extent cx="5303520" cy="0"/>
                <wp:effectExtent l="13335" t="15240" r="17145" b="1333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49D3D82"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5499B8FD" w14:textId="593EF24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85AADB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917A6B8" w14:textId="77777777" w:rsidTr="001E44FE">
        <w:tc>
          <w:tcPr>
            <w:tcW w:w="9576" w:type="dxa"/>
            <w:shd w:val="clear" w:color="auto" w:fill="F2F2F2"/>
          </w:tcPr>
          <w:p w14:paraId="3A7D33E2" w14:textId="0FD7942A" w:rsidR="001E168F"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8B2DAF" w:rsidRPr="008B2DAF">
              <w:rPr>
                <w:rFonts w:ascii="Arial" w:eastAsia="Calibri" w:hAnsi="Arial" w:cs="Arial"/>
                <w:szCs w:val="22"/>
              </w:rPr>
              <w:t>The purpose of this research is to investigate how company ownership, global engagement, and sustainable practices affect technical efficiency within Indonesia's transportation and logistics sector.</w:t>
            </w:r>
          </w:p>
          <w:p w14:paraId="1E2151B4" w14:textId="3BA2675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00056E">
              <w:rPr>
                <w:rFonts w:ascii="Arial" w:eastAsia="Calibri" w:hAnsi="Arial" w:cs="Arial"/>
                <w:szCs w:val="22"/>
              </w:rPr>
              <w:t xml:space="preserve"> </w:t>
            </w:r>
            <w:r w:rsidR="008B2DAF" w:rsidRPr="008B2DAF">
              <w:rPr>
                <w:rFonts w:ascii="Arial" w:eastAsia="Calibri" w:hAnsi="Arial" w:cs="Arial"/>
                <w:szCs w:val="22"/>
              </w:rPr>
              <w:t>This research follows a quantitative approach, utilizing a panel data regression model combined with Data Envelopment Analysis (DEA) to assess levels of efficiency.</w:t>
            </w:r>
          </w:p>
          <w:p w14:paraId="7F4827A6" w14:textId="2D61C1F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8B2DAF" w:rsidRPr="008B2DAF">
              <w:rPr>
                <w:rFonts w:ascii="Arial" w:eastAsia="Calibri" w:hAnsi="Arial" w:cs="Arial"/>
                <w:szCs w:val="22"/>
              </w:rPr>
              <w:t>Place and Duration of Study: The research was carried out using secondary financial information from transportation and logistics firms that are listed on the Indonesia Stock Exchange (IDX), focusing on data from 2014 to 2023.</w:t>
            </w:r>
          </w:p>
          <w:p w14:paraId="0E261387" w14:textId="5D05DA2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8B2DAF" w:rsidRPr="008B2DAF">
              <w:rPr>
                <w:rFonts w:ascii="Arial" w:eastAsia="Calibri" w:hAnsi="Arial" w:cs="Arial"/>
                <w:szCs w:val="22"/>
              </w:rPr>
              <w:t xml:space="preserve">From the pool of companies, 22 were chosen as the final sample, leading to a total of 206 observations across firm-years after applying specific purposive sampling criteria. The DEA method was used to evaluate technical efficiency, utilizing the Cobb-Douglas production function. The independent variables included company ownership, the extent of international engagement, and sustainable practice values, while technical efficiency served as the dependent variable. </w:t>
            </w:r>
          </w:p>
          <w:p w14:paraId="65C7DE35" w14:textId="7CC73D20"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5F3663" w:rsidRPr="005F3663">
              <w:rPr>
                <w:rFonts w:ascii="Arial" w:eastAsia="Calibri" w:hAnsi="Arial" w:cs="Arial"/>
                <w:szCs w:val="22"/>
              </w:rPr>
              <w:t>The regression results showed that firm ownership has a significant positive effect on technical efficiency, internationalization has a significant negative effect, and sustainability value practices have a significant positive effect. The independent variables explain 14% of the variation in technical efficiency.</w:t>
            </w:r>
          </w:p>
          <w:p w14:paraId="3FA491FD" w14:textId="33EAD22A"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5F3663" w:rsidRPr="005F3663">
              <w:rPr>
                <w:rFonts w:ascii="Arial" w:eastAsia="Calibri" w:hAnsi="Arial" w:cs="Arial"/>
                <w:szCs w:val="22"/>
              </w:rPr>
              <w:t>The findings suggest that ownership structure and sustainability integration improve technical efficiency, while higher levels of internationalization tend to reduce it due to increased operational complexity. These results provide important managerial implications for enhancing competitiveness and efficiency in Indonesia’s transportation and logistics sector.</w:t>
            </w:r>
          </w:p>
          <w:p w14:paraId="27815E9E" w14:textId="7BFF2083" w:rsidR="00505F06" w:rsidRPr="00BA1B01" w:rsidRDefault="00505F06" w:rsidP="00441B6F">
            <w:pPr>
              <w:pStyle w:val="Body"/>
              <w:spacing w:after="0"/>
              <w:rPr>
                <w:rFonts w:ascii="Arial" w:eastAsia="Calibri" w:hAnsi="Arial" w:cs="Arial"/>
                <w:szCs w:val="22"/>
              </w:rPr>
            </w:pPr>
          </w:p>
        </w:tc>
      </w:tr>
    </w:tbl>
    <w:p w14:paraId="0B63BA16" w14:textId="77777777" w:rsidR="00636EB2" w:rsidRDefault="00636EB2" w:rsidP="00441B6F">
      <w:pPr>
        <w:pStyle w:val="Body"/>
        <w:spacing w:after="0"/>
        <w:rPr>
          <w:rFonts w:ascii="Arial" w:hAnsi="Arial" w:cs="Arial"/>
          <w:i/>
        </w:rPr>
      </w:pPr>
    </w:p>
    <w:p w14:paraId="0BE69E49" w14:textId="14A763B5" w:rsidR="00A24E7E" w:rsidRDefault="00A24E7E" w:rsidP="003A3E37">
      <w:pPr>
        <w:pStyle w:val="Body"/>
        <w:spacing w:after="0"/>
        <w:ind w:left="993" w:hanging="993"/>
        <w:rPr>
          <w:rFonts w:ascii="Arial" w:hAnsi="Arial" w:cs="Arial"/>
          <w:i/>
        </w:rPr>
      </w:pPr>
      <w:r>
        <w:rPr>
          <w:rFonts w:ascii="Arial" w:hAnsi="Arial" w:cs="Arial"/>
          <w:i/>
        </w:rPr>
        <w:t xml:space="preserve">Keywords: </w:t>
      </w:r>
      <w:r w:rsidR="001E168F" w:rsidRPr="001E168F">
        <w:rPr>
          <w:rFonts w:ascii="Arial" w:hAnsi="Arial" w:cs="Arial"/>
          <w:i/>
        </w:rPr>
        <w:t>technical efficiency, firm ownership, internationalization, sustainability value, transportation and logistics</w:t>
      </w:r>
    </w:p>
    <w:p w14:paraId="6886520B" w14:textId="77777777" w:rsidR="0024282C" w:rsidRDefault="0024282C" w:rsidP="00441B6F">
      <w:pPr>
        <w:pStyle w:val="Body"/>
        <w:spacing w:after="0"/>
        <w:rPr>
          <w:rFonts w:ascii="Arial" w:hAnsi="Arial" w:cs="Arial"/>
          <w:i/>
          <w:sz w:val="18"/>
        </w:rPr>
      </w:pPr>
    </w:p>
    <w:p w14:paraId="03C96033" w14:textId="433C77A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F7C27E4" w14:textId="77777777" w:rsidR="00790ADA" w:rsidRPr="00FB3A86" w:rsidRDefault="00790ADA" w:rsidP="00441B6F">
      <w:pPr>
        <w:pStyle w:val="AbstHead"/>
        <w:spacing w:after="0"/>
        <w:jc w:val="both"/>
        <w:rPr>
          <w:rFonts w:ascii="Arial" w:hAnsi="Arial" w:cs="Arial"/>
        </w:rPr>
      </w:pPr>
    </w:p>
    <w:p w14:paraId="301983EC" w14:textId="227C531D" w:rsidR="00366AFC" w:rsidRDefault="005F3663" w:rsidP="00366AFC">
      <w:pPr>
        <w:pStyle w:val="Body"/>
        <w:spacing w:after="0"/>
        <w:rPr>
          <w:rFonts w:ascii="Arial" w:hAnsi="Arial" w:cs="Arial"/>
        </w:rPr>
      </w:pPr>
      <w:r w:rsidRPr="005F3663">
        <w:rPr>
          <w:rFonts w:ascii="Arial" w:hAnsi="Arial" w:cs="Arial"/>
        </w:rPr>
        <w:t xml:space="preserve">The transportation and logistics industry in Indonesia is crucial as it drives the national economy and supports global supply chain reliability, especially considering Indonesia's status as an archipelago. The effectiveness of this industry is vital for competing on the global stage and includes processes like packaging, transportation, storage, distribution, reverse logistics, </w:t>
      </w:r>
      <w:r w:rsidRPr="005F3663">
        <w:rPr>
          <w:rFonts w:ascii="Arial" w:hAnsi="Arial" w:cs="Arial"/>
        </w:rPr>
        <w:lastRenderedPageBreak/>
        <w:t xml:space="preserve">and waste handling (Baah </w:t>
      </w:r>
      <w:proofErr w:type="gramStart"/>
      <w:r w:rsidRPr="005F3663">
        <w:rPr>
          <w:rFonts w:ascii="Arial" w:hAnsi="Arial" w:cs="Arial"/>
        </w:rPr>
        <w:t>et al. ,</w:t>
      </w:r>
      <w:proofErr w:type="gramEnd"/>
      <w:r w:rsidRPr="005F3663">
        <w:rPr>
          <w:rFonts w:ascii="Arial" w:hAnsi="Arial" w:cs="Arial"/>
        </w:rPr>
        <w:t xml:space="preserve"> 2021; Kabak et al. , 2020). The COVID-19 pandemic significantly challenged the durability of this sector, which saw a decline of -13. 09% before bouncing back with a notable growth of 15. 79% in 2022, marking the highest rebound among all sectors of the economy. This resurgence was fueled by international trade, adaptation within industries, digital advancements, and enhanced infrastructure.</w:t>
      </w:r>
    </w:p>
    <w:p w14:paraId="4FB6B1B4" w14:textId="77777777" w:rsidR="005F3663" w:rsidRDefault="005F3663" w:rsidP="00366AFC">
      <w:pPr>
        <w:pStyle w:val="Body"/>
        <w:spacing w:after="0"/>
        <w:rPr>
          <w:rFonts w:ascii="Arial" w:hAnsi="Arial" w:cs="Arial"/>
        </w:rPr>
      </w:pPr>
    </w:p>
    <w:p w14:paraId="02DA5FD0" w14:textId="20876D7F" w:rsidR="00366AFC" w:rsidRPr="00366AFC" w:rsidRDefault="00E04693" w:rsidP="00366AFC">
      <w:pPr>
        <w:pStyle w:val="Body"/>
        <w:spacing w:after="0"/>
        <w:rPr>
          <w:rFonts w:ascii="Arial" w:hAnsi="Arial" w:cs="Arial"/>
        </w:rPr>
      </w:pPr>
      <w:r>
        <w:rPr>
          <w:rFonts w:ascii="Arial" w:hAnsi="Arial" w:cs="Arial"/>
          <w:noProof/>
        </w:rPr>
        <w:drawing>
          <wp:inline distT="0" distB="0" distL="0" distR="0" wp14:anchorId="62B44A44" wp14:editId="22B90537">
            <wp:extent cx="5208693" cy="3407316"/>
            <wp:effectExtent l="0" t="0" r="0" b="0"/>
            <wp:docPr id="337893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08693" cy="3407316"/>
                    </a:xfrm>
                    <a:prstGeom prst="rect">
                      <a:avLst/>
                    </a:prstGeom>
                    <a:noFill/>
                  </pic:spPr>
                </pic:pic>
              </a:graphicData>
            </a:graphic>
          </wp:inline>
        </w:drawing>
      </w:r>
    </w:p>
    <w:p w14:paraId="4DBF0F3F" w14:textId="0AFA7723" w:rsidR="00366AFC" w:rsidRPr="00366AFC" w:rsidRDefault="00366AFC" w:rsidP="00366AFC">
      <w:pPr>
        <w:pStyle w:val="Body"/>
        <w:spacing w:after="0"/>
        <w:rPr>
          <w:rFonts w:ascii="Arial" w:hAnsi="Arial" w:cs="Arial"/>
          <w:b/>
          <w:bCs/>
          <w:i/>
          <w:iCs/>
          <w:szCs w:val="22"/>
          <w:lang w:val="id"/>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 xml:space="preserve">. </w:t>
      </w:r>
      <w:r w:rsidR="008F2332" w:rsidRPr="008F2332">
        <w:rPr>
          <w:rFonts w:ascii="Arial" w:hAnsi="Arial" w:cs="Arial"/>
          <w:b/>
          <w:bCs/>
          <w:i/>
          <w:iCs/>
          <w:szCs w:val="22"/>
          <w:lang w:val="id"/>
        </w:rPr>
        <w:t>Contribution to GDP in 2021-2022</w:t>
      </w:r>
    </w:p>
    <w:p w14:paraId="18B5135C" w14:textId="77777777" w:rsidR="00366AFC" w:rsidRPr="00366AFC" w:rsidRDefault="00366AFC" w:rsidP="00366AFC">
      <w:pPr>
        <w:pStyle w:val="Body"/>
        <w:spacing w:after="0"/>
        <w:rPr>
          <w:rFonts w:ascii="Arial" w:hAnsi="Arial" w:cs="Arial"/>
        </w:rPr>
      </w:pPr>
    </w:p>
    <w:p w14:paraId="50993CF0" w14:textId="6D60D3F7" w:rsidR="008F2332" w:rsidRDefault="005F3663" w:rsidP="008F2332">
      <w:pPr>
        <w:pStyle w:val="Body"/>
        <w:spacing w:after="0"/>
        <w:rPr>
          <w:rFonts w:ascii="Arial" w:hAnsi="Arial" w:cs="Arial"/>
        </w:rPr>
      </w:pPr>
      <w:r w:rsidRPr="005F3663">
        <w:rPr>
          <w:rFonts w:ascii="Arial" w:hAnsi="Arial" w:cs="Arial"/>
        </w:rPr>
        <w:t xml:space="preserve">Despite the positive outlook, the industry encounters obstacles such as fierce competition, narrow profit margins, pressure for high-quality service at affordable prices, and stricter environmental rules (Hausmann </w:t>
      </w:r>
      <w:proofErr w:type="gramStart"/>
      <w:r w:rsidRPr="005F3663">
        <w:rPr>
          <w:rFonts w:ascii="Arial" w:hAnsi="Arial" w:cs="Arial"/>
        </w:rPr>
        <w:t>et al. ,</w:t>
      </w:r>
      <w:proofErr w:type="gramEnd"/>
      <w:r w:rsidRPr="005F3663">
        <w:rPr>
          <w:rFonts w:ascii="Arial" w:hAnsi="Arial" w:cs="Arial"/>
        </w:rPr>
        <w:t xml:space="preserve"> 2021; Kiesel et al. , 2023). The government is tackling these issues through infrastructure projects, effective regulations, and improving logistics governance (Kabak </w:t>
      </w:r>
      <w:proofErr w:type="gramStart"/>
      <w:r w:rsidRPr="005F3663">
        <w:rPr>
          <w:rFonts w:ascii="Arial" w:hAnsi="Arial" w:cs="Arial"/>
        </w:rPr>
        <w:t>et al. ,</w:t>
      </w:r>
      <w:proofErr w:type="gramEnd"/>
      <w:r w:rsidRPr="005F3663">
        <w:rPr>
          <w:rFonts w:ascii="Arial" w:hAnsi="Arial" w:cs="Arial"/>
        </w:rPr>
        <w:t xml:space="preserve"> 2020). From a business standpoint, enhancing technical efficiency can be achieved through managing ownership structures effectively (Chong-Chuo Chang and Han Yang, 2022; Kalasin </w:t>
      </w:r>
      <w:proofErr w:type="gramStart"/>
      <w:r w:rsidRPr="005F3663">
        <w:rPr>
          <w:rFonts w:ascii="Arial" w:hAnsi="Arial" w:cs="Arial"/>
        </w:rPr>
        <w:t>et al. ,</w:t>
      </w:r>
      <w:proofErr w:type="gramEnd"/>
      <w:r w:rsidRPr="005F3663">
        <w:rPr>
          <w:rFonts w:ascii="Arial" w:hAnsi="Arial" w:cs="Arial"/>
        </w:rPr>
        <w:t xml:space="preserve"> 2020), encouraging international expansion (Kalasin et al. , 2020), and incorporating sustainability principles (Ilyas and </w:t>
      </w:r>
      <w:proofErr w:type="spellStart"/>
      <w:r w:rsidRPr="005F3663">
        <w:rPr>
          <w:rFonts w:ascii="Arial" w:hAnsi="Arial" w:cs="Arial"/>
        </w:rPr>
        <w:t>Osiyevskyy</w:t>
      </w:r>
      <w:proofErr w:type="spellEnd"/>
      <w:r w:rsidRPr="005F3663">
        <w:rPr>
          <w:rFonts w:ascii="Arial" w:hAnsi="Arial" w:cs="Arial"/>
        </w:rPr>
        <w:t>, 2022).</w:t>
      </w:r>
    </w:p>
    <w:p w14:paraId="64E40508" w14:textId="77777777" w:rsidR="005F3663" w:rsidRPr="008F2332" w:rsidRDefault="005F3663" w:rsidP="008F2332">
      <w:pPr>
        <w:pStyle w:val="Body"/>
        <w:spacing w:after="0"/>
        <w:rPr>
          <w:rFonts w:ascii="Arial" w:hAnsi="Arial" w:cs="Arial"/>
        </w:rPr>
      </w:pPr>
    </w:p>
    <w:p w14:paraId="0F8892A2" w14:textId="77777777" w:rsidR="005F3663" w:rsidRPr="005F3663" w:rsidRDefault="005F3663" w:rsidP="005F3663">
      <w:pPr>
        <w:pStyle w:val="Body"/>
        <w:spacing w:after="0"/>
        <w:rPr>
          <w:rFonts w:ascii="Arial" w:hAnsi="Arial" w:cs="Arial"/>
        </w:rPr>
      </w:pPr>
      <w:r w:rsidRPr="005F3663">
        <w:rPr>
          <w:rFonts w:ascii="Arial" w:hAnsi="Arial" w:cs="Arial"/>
        </w:rPr>
        <w:t xml:space="preserve">Ownership types, whether they are under public control or privately held, affect how operations are managed, the choices made, and what resources can be accessed (Liu </w:t>
      </w:r>
      <w:proofErr w:type="gramStart"/>
      <w:r w:rsidRPr="005F3663">
        <w:rPr>
          <w:rFonts w:ascii="Arial" w:hAnsi="Arial" w:cs="Arial"/>
        </w:rPr>
        <w:t>et al. ,</w:t>
      </w:r>
      <w:proofErr w:type="gramEnd"/>
      <w:r w:rsidRPr="005F3663">
        <w:rPr>
          <w:rFonts w:ascii="Arial" w:hAnsi="Arial" w:cs="Arial"/>
        </w:rPr>
        <w:t xml:space="preserve"> 2022; Cuervo-</w:t>
      </w:r>
      <w:proofErr w:type="spellStart"/>
      <w:r w:rsidRPr="005F3663">
        <w:rPr>
          <w:rFonts w:ascii="Arial" w:hAnsi="Arial" w:cs="Arial"/>
        </w:rPr>
        <w:t>Cazurra</w:t>
      </w:r>
      <w:proofErr w:type="spellEnd"/>
      <w:r w:rsidRPr="005F3663">
        <w:rPr>
          <w:rFonts w:ascii="Arial" w:hAnsi="Arial" w:cs="Arial"/>
        </w:rPr>
        <w:t xml:space="preserve"> and Li, 2020). Public ownership may offer benefits such as funding, technological advancements, and support through information, but it might also encounter challenges in efficiency because of its focus on non-commercial goals (He and Yang, 2021; Ma </w:t>
      </w:r>
      <w:proofErr w:type="gramStart"/>
      <w:r w:rsidRPr="005F3663">
        <w:rPr>
          <w:rFonts w:ascii="Arial" w:hAnsi="Arial" w:cs="Arial"/>
        </w:rPr>
        <w:t>et al. ,</w:t>
      </w:r>
      <w:proofErr w:type="gramEnd"/>
      <w:r w:rsidRPr="005F3663">
        <w:rPr>
          <w:rFonts w:ascii="Arial" w:hAnsi="Arial" w:cs="Arial"/>
        </w:rPr>
        <w:t xml:space="preserve"> 2021). On the other hand, expanding internationally can boost technical efficiency by providing access to new resources, economies of scale, and opportunities for organizational learning (Ni et al. , 2022; Tan and Zhu, 2024), yet at higher levels, it may decrease efficiency due to the costs of coordination, increased operational complexity, and challenges related to foreign market engagement (Ilyas and </w:t>
      </w:r>
      <w:proofErr w:type="spellStart"/>
      <w:r w:rsidRPr="005F3663">
        <w:rPr>
          <w:rFonts w:ascii="Arial" w:hAnsi="Arial" w:cs="Arial"/>
        </w:rPr>
        <w:t>Osiyevskyy</w:t>
      </w:r>
      <w:proofErr w:type="spellEnd"/>
      <w:r w:rsidRPr="005F3663">
        <w:rPr>
          <w:rFonts w:ascii="Arial" w:hAnsi="Arial" w:cs="Arial"/>
        </w:rPr>
        <w:t xml:space="preserve">, 2022; </w:t>
      </w:r>
      <w:proofErr w:type="spellStart"/>
      <w:r w:rsidRPr="005F3663">
        <w:rPr>
          <w:rFonts w:ascii="Arial" w:hAnsi="Arial" w:cs="Arial"/>
        </w:rPr>
        <w:t>Ettalibi</w:t>
      </w:r>
      <w:proofErr w:type="spellEnd"/>
      <w:r w:rsidRPr="005F3663">
        <w:rPr>
          <w:rFonts w:ascii="Arial" w:hAnsi="Arial" w:cs="Arial"/>
        </w:rPr>
        <w:t xml:space="preserve"> et al. , 2025; </w:t>
      </w:r>
      <w:proofErr w:type="spellStart"/>
      <w:r w:rsidRPr="005F3663">
        <w:rPr>
          <w:rFonts w:ascii="Arial" w:hAnsi="Arial" w:cs="Arial"/>
        </w:rPr>
        <w:t>Fazri</w:t>
      </w:r>
      <w:proofErr w:type="spellEnd"/>
      <w:r w:rsidRPr="005F3663">
        <w:rPr>
          <w:rFonts w:ascii="Arial" w:hAnsi="Arial" w:cs="Arial"/>
        </w:rPr>
        <w:t xml:space="preserve"> et al. , 2017).</w:t>
      </w:r>
    </w:p>
    <w:p w14:paraId="056DFDBD" w14:textId="77777777" w:rsidR="005F3663" w:rsidRPr="005F3663" w:rsidRDefault="005F3663" w:rsidP="005F3663">
      <w:pPr>
        <w:pStyle w:val="Body"/>
        <w:spacing w:after="0"/>
        <w:rPr>
          <w:rFonts w:ascii="Arial" w:hAnsi="Arial" w:cs="Arial"/>
        </w:rPr>
      </w:pPr>
    </w:p>
    <w:p w14:paraId="531F0E63" w14:textId="67ABE791" w:rsidR="00D21628" w:rsidRDefault="005F3663" w:rsidP="005F3663">
      <w:pPr>
        <w:pStyle w:val="Body"/>
        <w:spacing w:after="0"/>
        <w:rPr>
          <w:rFonts w:ascii="Arial" w:hAnsi="Arial" w:cs="Arial"/>
        </w:rPr>
      </w:pPr>
      <w:r w:rsidRPr="005F3663">
        <w:rPr>
          <w:rFonts w:ascii="Arial" w:hAnsi="Arial" w:cs="Arial"/>
        </w:rPr>
        <w:lastRenderedPageBreak/>
        <w:t xml:space="preserve">The importance of sustainability has gained traction as a crucial strategic aspect, where incorporating sustainability principles into business models can improve efficiency through better resource management and technological advancements (Wu and Dong, 2021; Huo </w:t>
      </w:r>
      <w:proofErr w:type="gramStart"/>
      <w:r w:rsidRPr="005F3663">
        <w:rPr>
          <w:rFonts w:ascii="Arial" w:hAnsi="Arial" w:cs="Arial"/>
        </w:rPr>
        <w:t>et al. ,</w:t>
      </w:r>
      <w:proofErr w:type="gramEnd"/>
      <w:r w:rsidRPr="005F3663">
        <w:rPr>
          <w:rFonts w:ascii="Arial" w:hAnsi="Arial" w:cs="Arial"/>
        </w:rPr>
        <w:t xml:space="preserve"> 2024). Nevertheless, poor execution can actually impede efficiency (Samal </w:t>
      </w:r>
      <w:proofErr w:type="gramStart"/>
      <w:r w:rsidRPr="005F3663">
        <w:rPr>
          <w:rFonts w:ascii="Arial" w:hAnsi="Arial" w:cs="Arial"/>
        </w:rPr>
        <w:t>et al. ,</w:t>
      </w:r>
      <w:proofErr w:type="gramEnd"/>
      <w:r w:rsidRPr="005F3663">
        <w:rPr>
          <w:rFonts w:ascii="Arial" w:hAnsi="Arial" w:cs="Arial"/>
        </w:rPr>
        <w:t xml:space="preserve"> 2024). Numerous studies reveal mixed effects between sustainability and technical efficiency, which can range from beneficial to detrimental, influenced by the specific industry and operational approaches (</w:t>
      </w:r>
      <w:proofErr w:type="spellStart"/>
      <w:r w:rsidRPr="005F3663">
        <w:rPr>
          <w:rFonts w:ascii="Arial" w:hAnsi="Arial" w:cs="Arial"/>
        </w:rPr>
        <w:t>Astadiyani</w:t>
      </w:r>
      <w:proofErr w:type="spellEnd"/>
      <w:r w:rsidRPr="005F3663">
        <w:rPr>
          <w:rFonts w:ascii="Arial" w:hAnsi="Arial" w:cs="Arial"/>
        </w:rPr>
        <w:t xml:space="preserve"> and Pan, 2022; Ibrahim and Falkenbach, 2023). In light of this, this research intends to explore how company ownership, the process of internationalization, and sustainability principles affect technical efficiency within Indonesia's transportation and logistics sector. It is anticipated that the findings will contribute both academically and practically by identifying effective strategies to improve technical efficiency in this critical and competitive industry.</w:t>
      </w:r>
    </w:p>
    <w:p w14:paraId="10E25F97" w14:textId="77777777" w:rsidR="00366AFC" w:rsidRDefault="00366AFC" w:rsidP="00366AFC">
      <w:pPr>
        <w:pStyle w:val="Body"/>
        <w:spacing w:after="0"/>
        <w:rPr>
          <w:rFonts w:ascii="Arial" w:hAnsi="Arial" w:cs="Arial"/>
        </w:rPr>
      </w:pPr>
    </w:p>
    <w:p w14:paraId="34258F1D" w14:textId="07AB8C75" w:rsidR="00D21628" w:rsidRDefault="008F2332" w:rsidP="00D21628">
      <w:pPr>
        <w:pStyle w:val="Body"/>
        <w:numPr>
          <w:ilvl w:val="1"/>
          <w:numId w:val="35"/>
        </w:numPr>
        <w:spacing w:after="0"/>
        <w:rPr>
          <w:rFonts w:ascii="Arial" w:hAnsi="Arial" w:cs="Arial"/>
          <w:b/>
          <w:caps/>
          <w:sz w:val="22"/>
        </w:rPr>
      </w:pPr>
      <w:r w:rsidRPr="008F2332">
        <w:rPr>
          <w:rFonts w:ascii="Arial" w:hAnsi="Arial" w:cs="Arial"/>
          <w:b/>
          <w:caps/>
          <w:sz w:val="22"/>
        </w:rPr>
        <w:t>TECHNICAL EFFICIENCY</w:t>
      </w:r>
    </w:p>
    <w:p w14:paraId="2148D23D" w14:textId="77777777" w:rsidR="00D21628" w:rsidRPr="00D21628" w:rsidRDefault="00D21628" w:rsidP="00D21628">
      <w:pPr>
        <w:pStyle w:val="Body"/>
        <w:spacing w:after="0"/>
        <w:rPr>
          <w:rFonts w:ascii="Arial" w:hAnsi="Arial" w:cs="Arial"/>
        </w:rPr>
      </w:pPr>
    </w:p>
    <w:p w14:paraId="734AC3BD" w14:textId="69F1A910" w:rsidR="00D21628" w:rsidRDefault="00ED39BF" w:rsidP="00C05C67">
      <w:pPr>
        <w:pStyle w:val="Body"/>
        <w:spacing w:after="0"/>
        <w:rPr>
          <w:rFonts w:ascii="Arial" w:hAnsi="Arial" w:cs="Arial"/>
        </w:rPr>
      </w:pPr>
      <w:r w:rsidRPr="00ED39BF">
        <w:rPr>
          <w:rFonts w:ascii="Arial" w:hAnsi="Arial" w:cs="Arial"/>
        </w:rPr>
        <w:t xml:space="preserve">Technical efficiency is the capability of a business to generate a specific output while utilizing the least amount of resources (Piran </w:t>
      </w:r>
      <w:proofErr w:type="gramStart"/>
      <w:r w:rsidRPr="00ED39BF">
        <w:rPr>
          <w:rFonts w:ascii="Arial" w:hAnsi="Arial" w:cs="Arial"/>
        </w:rPr>
        <w:t>et al. ,</w:t>
      </w:r>
      <w:proofErr w:type="gramEnd"/>
      <w:r w:rsidRPr="00ED39BF">
        <w:rPr>
          <w:rFonts w:ascii="Arial" w:hAnsi="Arial" w:cs="Arial"/>
        </w:rPr>
        <w:t xml:space="preserve"> 2020). Assessing technical efficiency is linked to evaluating productivity. Productivity refers to how effectively inputs can create outputs (Chambers and Ray, 2021). Although productivity and efficiency are often viewed as being the same, they have distinct meanings. Efficiency denotes a company's skill in optimizing output from restricted resources (Balk, 2021). It can be evaluated by measuring the actual output against the optimal output achievable from the same inputs, or by assessing the actual inputs against the least amount needed to create output, or through a combination of both. Productivity and efficiency are interrelated, with productivity serving as a gauge for efficiency levels. Productivity aids a business in assessing its efficiency based on a specific quantity of input needed to yield output (Balk, 2021).</w:t>
      </w:r>
    </w:p>
    <w:p w14:paraId="54142BEF" w14:textId="77777777" w:rsidR="00C05C67" w:rsidRDefault="00C05C67" w:rsidP="00C05C67">
      <w:pPr>
        <w:pStyle w:val="Body"/>
        <w:spacing w:after="0"/>
        <w:rPr>
          <w:rFonts w:ascii="Arial" w:hAnsi="Arial" w:cs="Arial"/>
        </w:rPr>
      </w:pPr>
    </w:p>
    <w:p w14:paraId="13EFF08A" w14:textId="016E0F36" w:rsidR="00C05C67" w:rsidRPr="00C05C67" w:rsidRDefault="008F2332" w:rsidP="00C05C67">
      <w:pPr>
        <w:pStyle w:val="Body"/>
        <w:numPr>
          <w:ilvl w:val="1"/>
          <w:numId w:val="35"/>
        </w:numPr>
        <w:spacing w:after="0"/>
        <w:rPr>
          <w:rFonts w:ascii="Arial" w:hAnsi="Arial" w:cs="Arial"/>
          <w:b/>
          <w:caps/>
          <w:sz w:val="22"/>
        </w:rPr>
      </w:pPr>
      <w:r w:rsidRPr="008F2332">
        <w:rPr>
          <w:rFonts w:ascii="Arial" w:hAnsi="Arial" w:cs="Arial"/>
          <w:b/>
          <w:caps/>
          <w:sz w:val="22"/>
        </w:rPr>
        <w:t>COMPANY OWNERSHIP</w:t>
      </w:r>
    </w:p>
    <w:p w14:paraId="48322FBD" w14:textId="77777777" w:rsidR="00C05C67" w:rsidRPr="00D21628" w:rsidRDefault="00C05C67" w:rsidP="00C05C67">
      <w:pPr>
        <w:pStyle w:val="Body"/>
        <w:spacing w:after="0"/>
        <w:ind w:left="372"/>
        <w:rPr>
          <w:rFonts w:ascii="Arial" w:hAnsi="Arial" w:cs="Arial"/>
        </w:rPr>
      </w:pPr>
    </w:p>
    <w:p w14:paraId="16D18E2F" w14:textId="63F9E55B" w:rsidR="00790ADA" w:rsidRDefault="00ED39BF" w:rsidP="00441B6F">
      <w:pPr>
        <w:pStyle w:val="Body"/>
        <w:spacing w:after="0"/>
        <w:rPr>
          <w:rFonts w:ascii="Arial" w:hAnsi="Arial" w:cs="Arial"/>
          <w:lang w:val="id"/>
        </w:rPr>
      </w:pPr>
      <w:r w:rsidRPr="00ED39BF">
        <w:rPr>
          <w:rFonts w:ascii="Arial" w:hAnsi="Arial" w:cs="Arial"/>
        </w:rPr>
        <w:t xml:space="preserve">Company ownership describes how ownership is structured and how shares are allocated among shareholders or owners of the business. It affects the distribution of power and control within the organization and influences company policies and decision-making processes (Liu </w:t>
      </w:r>
      <w:proofErr w:type="gramStart"/>
      <w:r w:rsidRPr="00ED39BF">
        <w:rPr>
          <w:rFonts w:ascii="Arial" w:hAnsi="Arial" w:cs="Arial"/>
        </w:rPr>
        <w:t>et al. ,</w:t>
      </w:r>
      <w:proofErr w:type="gramEnd"/>
      <w:r w:rsidRPr="00ED39BF">
        <w:rPr>
          <w:rFonts w:ascii="Arial" w:hAnsi="Arial" w:cs="Arial"/>
        </w:rPr>
        <w:t xml:space="preserve"> 2022). The ownership structure of a corporation is crucial in shaping the principles of agency theory. This theory explores how differences in interests between the owners and those managing the company can lead to conflicts and impact managerial behavior. Corporate ownership is a vital element in both the business and finance sectors. It pertains to how ownership and authority over a company's shares are allocated. Different forms of corporate ownership come with varying traits and dynamics, which can affect how profits are shared, investment choices are made, and the interaction with stakeholders (Liu </w:t>
      </w:r>
      <w:proofErr w:type="gramStart"/>
      <w:r w:rsidRPr="00ED39BF">
        <w:rPr>
          <w:rFonts w:ascii="Arial" w:hAnsi="Arial" w:cs="Arial"/>
        </w:rPr>
        <w:t>et al. ,</w:t>
      </w:r>
      <w:proofErr w:type="gramEnd"/>
      <w:r w:rsidRPr="00ED39BF">
        <w:rPr>
          <w:rFonts w:ascii="Arial" w:hAnsi="Arial" w:cs="Arial"/>
        </w:rPr>
        <w:t xml:space="preserve"> 2022).</w:t>
      </w:r>
    </w:p>
    <w:p w14:paraId="5370DCAE" w14:textId="77777777" w:rsidR="00C05C67" w:rsidRDefault="00C05C67" w:rsidP="00441B6F">
      <w:pPr>
        <w:pStyle w:val="Body"/>
        <w:spacing w:after="0"/>
        <w:rPr>
          <w:rFonts w:ascii="Arial" w:hAnsi="Arial" w:cs="Arial"/>
        </w:rPr>
      </w:pPr>
    </w:p>
    <w:p w14:paraId="782273A0" w14:textId="3C7E1031" w:rsidR="00C00692" w:rsidRPr="00C00692" w:rsidRDefault="008F2332" w:rsidP="00C05C67">
      <w:pPr>
        <w:pStyle w:val="Body"/>
        <w:numPr>
          <w:ilvl w:val="1"/>
          <w:numId w:val="35"/>
        </w:numPr>
        <w:spacing w:after="0"/>
        <w:rPr>
          <w:rFonts w:ascii="Arial" w:hAnsi="Arial" w:cs="Arial"/>
          <w:b/>
          <w:caps/>
          <w:sz w:val="22"/>
        </w:rPr>
      </w:pPr>
      <w:r w:rsidRPr="008F2332">
        <w:rPr>
          <w:rFonts w:ascii="Arial" w:hAnsi="Arial" w:cs="Arial"/>
          <w:b/>
          <w:caps/>
          <w:sz w:val="22"/>
          <w:lang w:val="id"/>
        </w:rPr>
        <w:t>THE EFFECT OF COMPANY OWNERSHIP AND TECHNICAL EFFICIENCY</w:t>
      </w:r>
    </w:p>
    <w:p w14:paraId="63E872CC" w14:textId="77777777" w:rsidR="00C00692" w:rsidRPr="00C00692" w:rsidRDefault="00C00692" w:rsidP="00C00692">
      <w:pPr>
        <w:pStyle w:val="Body"/>
        <w:spacing w:after="0"/>
        <w:rPr>
          <w:rFonts w:ascii="Arial" w:hAnsi="Arial" w:cs="Arial"/>
        </w:rPr>
      </w:pPr>
    </w:p>
    <w:p w14:paraId="709EA83F" w14:textId="77777777" w:rsidR="00ED39BF" w:rsidRDefault="00ED39BF" w:rsidP="00C00692">
      <w:pPr>
        <w:pStyle w:val="Body"/>
        <w:spacing w:after="0"/>
        <w:rPr>
          <w:rFonts w:ascii="Arial" w:hAnsi="Arial" w:cs="Arial"/>
        </w:rPr>
      </w:pPr>
      <w:r w:rsidRPr="00ED39BF">
        <w:rPr>
          <w:rFonts w:ascii="Arial" w:hAnsi="Arial" w:cs="Arial"/>
        </w:rPr>
        <w:t xml:space="preserve">State-owned enterprises (SOEs) usually struggle with innovation efficiency due to issues like agency conflicts, elevated transaction costs, and government goals that don’t always match operational efficiency (Liu </w:t>
      </w:r>
      <w:proofErr w:type="gramStart"/>
      <w:r w:rsidRPr="00ED39BF">
        <w:rPr>
          <w:rFonts w:ascii="Arial" w:hAnsi="Arial" w:cs="Arial"/>
        </w:rPr>
        <w:t>et al. ,</w:t>
      </w:r>
      <w:proofErr w:type="gramEnd"/>
      <w:r w:rsidRPr="00ED39BF">
        <w:rPr>
          <w:rFonts w:ascii="Arial" w:hAnsi="Arial" w:cs="Arial"/>
        </w:rPr>
        <w:t xml:space="preserve"> 2022; </w:t>
      </w:r>
      <w:proofErr w:type="spellStart"/>
      <w:r w:rsidRPr="00ED39BF">
        <w:rPr>
          <w:rFonts w:ascii="Arial" w:hAnsi="Arial" w:cs="Arial"/>
        </w:rPr>
        <w:t>Wicaksono</w:t>
      </w:r>
      <w:proofErr w:type="spellEnd"/>
      <w:r w:rsidRPr="00ED39BF">
        <w:rPr>
          <w:rFonts w:ascii="Arial" w:hAnsi="Arial" w:cs="Arial"/>
        </w:rPr>
        <w:t xml:space="preserve"> and </w:t>
      </w:r>
      <w:proofErr w:type="spellStart"/>
      <w:r w:rsidRPr="00ED39BF">
        <w:rPr>
          <w:rFonts w:ascii="Arial" w:hAnsi="Arial" w:cs="Arial"/>
        </w:rPr>
        <w:t>Setiawan</w:t>
      </w:r>
      <w:proofErr w:type="spellEnd"/>
      <w:r w:rsidRPr="00ED39BF">
        <w:rPr>
          <w:rFonts w:ascii="Arial" w:hAnsi="Arial" w:cs="Arial"/>
        </w:rPr>
        <w:t xml:space="preserve">, 2022; Ghosh, 2022). Nonetheless, in developing markets, the way a company is owned—particularly if it has a well-structured ownership model—can enhance technical efficiency (Zheng </w:t>
      </w:r>
      <w:proofErr w:type="gramStart"/>
      <w:r w:rsidRPr="00ED39BF">
        <w:rPr>
          <w:rFonts w:ascii="Arial" w:hAnsi="Arial" w:cs="Arial"/>
        </w:rPr>
        <w:t>et al. ,</w:t>
      </w:r>
      <w:proofErr w:type="gramEnd"/>
      <w:r w:rsidRPr="00ED39BF">
        <w:rPr>
          <w:rFonts w:ascii="Arial" w:hAnsi="Arial" w:cs="Arial"/>
        </w:rPr>
        <w:t xml:space="preserve"> 2021; Zhu et al. , 2021).</w:t>
      </w:r>
    </w:p>
    <w:p w14:paraId="7D061B62" w14:textId="0949D5E0" w:rsidR="00C00692" w:rsidRPr="00C00692" w:rsidRDefault="00C00692" w:rsidP="00C00692">
      <w:pPr>
        <w:pStyle w:val="Body"/>
        <w:spacing w:after="0"/>
        <w:rPr>
          <w:rFonts w:ascii="Arial" w:hAnsi="Arial" w:cs="Arial"/>
        </w:rPr>
      </w:pPr>
      <w:r w:rsidRPr="00C00692">
        <w:rPr>
          <w:rFonts w:ascii="Arial" w:hAnsi="Arial" w:cs="Arial"/>
          <w:b/>
          <w:bCs/>
        </w:rPr>
        <w:t>H1.</w:t>
      </w:r>
      <w:r w:rsidRPr="00C00692">
        <w:rPr>
          <w:rFonts w:ascii="Arial" w:hAnsi="Arial" w:cs="Arial"/>
        </w:rPr>
        <w:t xml:space="preserve"> </w:t>
      </w:r>
      <w:r w:rsidR="008F2332" w:rsidRPr="008F2332">
        <w:rPr>
          <w:rFonts w:ascii="Arial" w:hAnsi="Arial" w:cs="Arial"/>
        </w:rPr>
        <w:t>Corporate ownership has a positive effect on technical efficiency</w:t>
      </w:r>
    </w:p>
    <w:p w14:paraId="38646260" w14:textId="77777777" w:rsidR="00C00692" w:rsidRPr="00C00692" w:rsidRDefault="00C00692" w:rsidP="00C00692">
      <w:pPr>
        <w:pStyle w:val="Body"/>
        <w:spacing w:after="0"/>
        <w:rPr>
          <w:rFonts w:ascii="Arial" w:hAnsi="Arial" w:cs="Arial"/>
        </w:rPr>
      </w:pPr>
    </w:p>
    <w:p w14:paraId="6B721CF2" w14:textId="2F1AF52B" w:rsidR="00C05C67" w:rsidRPr="00C05C67" w:rsidRDefault="008F2332" w:rsidP="00C05C67">
      <w:pPr>
        <w:pStyle w:val="Body"/>
        <w:numPr>
          <w:ilvl w:val="1"/>
          <w:numId w:val="35"/>
        </w:numPr>
        <w:spacing w:after="0"/>
        <w:rPr>
          <w:rFonts w:ascii="Arial" w:hAnsi="Arial" w:cs="Arial"/>
          <w:b/>
          <w:caps/>
          <w:sz w:val="22"/>
        </w:rPr>
      </w:pPr>
      <w:r w:rsidRPr="008F2332">
        <w:rPr>
          <w:rFonts w:ascii="Arial" w:hAnsi="Arial" w:cs="Arial"/>
          <w:b/>
          <w:caps/>
          <w:sz w:val="22"/>
        </w:rPr>
        <w:t>INTERNATIONALIZATION</w:t>
      </w:r>
    </w:p>
    <w:p w14:paraId="338CF1F6" w14:textId="77777777" w:rsidR="00C05C67" w:rsidRDefault="00C05C67" w:rsidP="00441B6F">
      <w:pPr>
        <w:pStyle w:val="Body"/>
        <w:spacing w:after="0"/>
        <w:rPr>
          <w:rFonts w:ascii="Arial" w:hAnsi="Arial" w:cs="Arial"/>
        </w:rPr>
      </w:pPr>
    </w:p>
    <w:p w14:paraId="5539114E" w14:textId="26CDEA8D" w:rsidR="00C05C67" w:rsidRDefault="00ED39BF" w:rsidP="006C4BA7">
      <w:pPr>
        <w:pStyle w:val="Body"/>
        <w:spacing w:after="0"/>
        <w:rPr>
          <w:rFonts w:ascii="Arial" w:hAnsi="Arial" w:cs="Arial"/>
        </w:rPr>
      </w:pPr>
      <w:r w:rsidRPr="00ED39BF">
        <w:rPr>
          <w:rFonts w:ascii="Arial" w:hAnsi="Arial" w:cs="Arial"/>
        </w:rPr>
        <w:lastRenderedPageBreak/>
        <w:t>According to internalization theory, the relationship between multinational operations and performance is significantly shaped by firm-specific advantages (FSAs), which are the key benefits of multinational corporations (Nguyen and Kim, 2020). Rubio-Mozos et al. (2020) present a model suggesting that FSAs play a crucial role in determining how far a multinational enterprise (MNE) expands globally and affects both its domestic and international success. They also point out that lacking robust corporate resources and capabilities, international growth may not lead to better financial outcomes. MNEs often leverage their foreign subsidiary networks to address the public externalities of knowledge rather than engaging in exporting or licensing knowledge-driven FSAs. FSAs refer to unique strengths or resources that a business holds compared to its rivals and can arise from advancements in products and processes, research and development, branding, reputation, financial resources, marketing expertise, and management abilities.</w:t>
      </w:r>
    </w:p>
    <w:p w14:paraId="56D46F4C" w14:textId="77777777" w:rsidR="006C4BA7" w:rsidRDefault="006C4BA7" w:rsidP="006C4BA7">
      <w:pPr>
        <w:pStyle w:val="Body"/>
        <w:spacing w:after="0"/>
        <w:rPr>
          <w:rFonts w:ascii="Arial" w:hAnsi="Arial" w:cs="Arial"/>
        </w:rPr>
      </w:pPr>
    </w:p>
    <w:p w14:paraId="780D9FEE" w14:textId="78ECA4BD" w:rsidR="00C00692" w:rsidRPr="00C00692" w:rsidRDefault="008F2332" w:rsidP="00C00692">
      <w:pPr>
        <w:pStyle w:val="Body"/>
        <w:numPr>
          <w:ilvl w:val="1"/>
          <w:numId w:val="35"/>
        </w:numPr>
        <w:spacing w:after="0"/>
        <w:rPr>
          <w:rFonts w:ascii="Arial" w:hAnsi="Arial" w:cs="Arial"/>
          <w:b/>
          <w:caps/>
          <w:sz w:val="22"/>
        </w:rPr>
      </w:pPr>
      <w:r w:rsidRPr="008F2332">
        <w:rPr>
          <w:rFonts w:ascii="Arial" w:hAnsi="Arial" w:cs="Arial"/>
          <w:b/>
          <w:caps/>
          <w:sz w:val="22"/>
        </w:rPr>
        <w:t>THE IMPACT OF INTERNATIONALIZATION ON TECHNICAL EFFICIENCY</w:t>
      </w:r>
    </w:p>
    <w:p w14:paraId="2EEAEE37" w14:textId="77777777" w:rsidR="00C00692" w:rsidRDefault="00C00692" w:rsidP="00C00692">
      <w:pPr>
        <w:pStyle w:val="Body"/>
        <w:spacing w:after="0"/>
        <w:rPr>
          <w:rFonts w:ascii="Arial" w:hAnsi="Arial" w:cs="Arial"/>
        </w:rPr>
      </w:pPr>
    </w:p>
    <w:p w14:paraId="3DBD58D5" w14:textId="34E2C891" w:rsidR="00C00692" w:rsidRDefault="00ED39BF" w:rsidP="00C00692">
      <w:pPr>
        <w:pStyle w:val="Body"/>
        <w:spacing w:after="0"/>
        <w:rPr>
          <w:rFonts w:ascii="Arial" w:hAnsi="Arial" w:cs="Arial"/>
        </w:rPr>
      </w:pPr>
      <w:r w:rsidRPr="00ED39BF">
        <w:rPr>
          <w:rFonts w:ascii="Arial" w:hAnsi="Arial" w:cs="Arial"/>
        </w:rPr>
        <w:t xml:space="preserve">In the initial stages, internationalization can boost technical efficiency by providing access to resources, achieving economies of scale, and facilitating organizational learning (Yildiz </w:t>
      </w:r>
      <w:proofErr w:type="gramStart"/>
      <w:r w:rsidRPr="00ED39BF">
        <w:rPr>
          <w:rFonts w:ascii="Arial" w:hAnsi="Arial" w:cs="Arial"/>
        </w:rPr>
        <w:t>et al. ,</w:t>
      </w:r>
      <w:proofErr w:type="gramEnd"/>
      <w:r w:rsidRPr="00ED39BF">
        <w:rPr>
          <w:rFonts w:ascii="Arial" w:hAnsi="Arial" w:cs="Arial"/>
        </w:rPr>
        <w:t xml:space="preserve"> 2022; Andersson and Stone, 2017). However, at elevated levels of internationalization, complexities, coordination expenses, and cultural differences can hinder efficiency (Novoselova, 2021; Lee </w:t>
      </w:r>
      <w:proofErr w:type="gramStart"/>
      <w:r w:rsidRPr="00ED39BF">
        <w:rPr>
          <w:rFonts w:ascii="Arial" w:hAnsi="Arial" w:cs="Arial"/>
        </w:rPr>
        <w:t>et al. ,</w:t>
      </w:r>
      <w:proofErr w:type="gramEnd"/>
      <w:r w:rsidRPr="00ED39BF">
        <w:rPr>
          <w:rFonts w:ascii="Arial" w:hAnsi="Arial" w:cs="Arial"/>
        </w:rPr>
        <w:t xml:space="preserve"> 2024; </w:t>
      </w:r>
      <w:proofErr w:type="spellStart"/>
      <w:r w:rsidRPr="00ED39BF">
        <w:rPr>
          <w:rFonts w:ascii="Arial" w:hAnsi="Arial" w:cs="Arial"/>
        </w:rPr>
        <w:t>Astadiyani</w:t>
      </w:r>
      <w:proofErr w:type="spellEnd"/>
      <w:r w:rsidRPr="00ED39BF">
        <w:rPr>
          <w:rFonts w:ascii="Arial" w:hAnsi="Arial" w:cs="Arial"/>
        </w:rPr>
        <w:t xml:space="preserve"> and Pan, 2022; Ibrahim and Falkenbach, 2023). This dynamic often resembles an inverted U-shaped curve.</w:t>
      </w:r>
    </w:p>
    <w:p w14:paraId="70496733" w14:textId="5D8C22F2" w:rsidR="00C00692" w:rsidRPr="00C00692" w:rsidRDefault="00C00692" w:rsidP="00C00692">
      <w:pPr>
        <w:pStyle w:val="Body"/>
        <w:spacing w:after="0"/>
        <w:rPr>
          <w:rFonts w:ascii="Arial" w:hAnsi="Arial" w:cs="Arial"/>
        </w:rPr>
      </w:pPr>
      <w:r w:rsidRPr="00C00692">
        <w:rPr>
          <w:rFonts w:ascii="Arial" w:hAnsi="Arial" w:cs="Arial"/>
          <w:b/>
          <w:bCs/>
        </w:rPr>
        <w:t>H2.</w:t>
      </w:r>
      <w:r w:rsidRPr="00C00692">
        <w:rPr>
          <w:rFonts w:ascii="Arial" w:hAnsi="Arial" w:cs="Arial"/>
        </w:rPr>
        <w:t xml:space="preserve"> </w:t>
      </w:r>
      <w:r w:rsidR="00E04693" w:rsidRPr="00E04693">
        <w:rPr>
          <w:rFonts w:ascii="Arial" w:hAnsi="Arial" w:cs="Arial"/>
        </w:rPr>
        <w:t>Internationalization has a negative impact on technical efficiency</w:t>
      </w:r>
    </w:p>
    <w:p w14:paraId="2405C876" w14:textId="77777777" w:rsidR="00C00692" w:rsidRPr="00C00692" w:rsidRDefault="00C00692" w:rsidP="00C00692">
      <w:pPr>
        <w:pStyle w:val="Body"/>
        <w:spacing w:after="0"/>
        <w:rPr>
          <w:rFonts w:ascii="Arial" w:hAnsi="Arial" w:cs="Arial"/>
        </w:rPr>
      </w:pPr>
    </w:p>
    <w:p w14:paraId="40EC6BC8" w14:textId="36D4F901" w:rsidR="006C4BA7" w:rsidRPr="006C4BA7" w:rsidRDefault="00E04693" w:rsidP="006C4BA7">
      <w:pPr>
        <w:pStyle w:val="Body"/>
        <w:numPr>
          <w:ilvl w:val="1"/>
          <w:numId w:val="35"/>
        </w:numPr>
        <w:spacing w:after="0"/>
        <w:rPr>
          <w:rFonts w:ascii="Arial" w:hAnsi="Arial" w:cs="Arial"/>
          <w:b/>
          <w:caps/>
          <w:sz w:val="22"/>
        </w:rPr>
      </w:pPr>
      <w:r w:rsidRPr="00E04693">
        <w:rPr>
          <w:rFonts w:ascii="Arial" w:hAnsi="Arial" w:cs="Arial"/>
          <w:b/>
          <w:caps/>
          <w:sz w:val="22"/>
        </w:rPr>
        <w:t>SUSTAINABILITY VALUE</w:t>
      </w:r>
    </w:p>
    <w:p w14:paraId="256F40F9" w14:textId="77E98B27" w:rsidR="00C05C67" w:rsidRDefault="00C05C67" w:rsidP="00441B6F">
      <w:pPr>
        <w:pStyle w:val="Body"/>
        <w:spacing w:after="0"/>
        <w:rPr>
          <w:rFonts w:ascii="Arial" w:hAnsi="Arial" w:cs="Arial"/>
        </w:rPr>
      </w:pPr>
    </w:p>
    <w:p w14:paraId="6D63C101" w14:textId="2E12B3BD" w:rsidR="00C00692" w:rsidRDefault="00ED39BF" w:rsidP="00441B6F">
      <w:pPr>
        <w:pStyle w:val="Body"/>
        <w:spacing w:after="0"/>
        <w:rPr>
          <w:rFonts w:ascii="Arial" w:hAnsi="Arial" w:cs="Arial"/>
        </w:rPr>
      </w:pPr>
      <w:r w:rsidRPr="00ED39BF">
        <w:rPr>
          <w:rFonts w:ascii="Arial" w:hAnsi="Arial" w:cs="Arial"/>
        </w:rPr>
        <w:t xml:space="preserve">Propositions for sustainable value encompass economic, social, and ecological advantages (Zhao </w:t>
      </w:r>
      <w:proofErr w:type="gramStart"/>
      <w:r w:rsidRPr="00ED39BF">
        <w:rPr>
          <w:rFonts w:ascii="Arial" w:hAnsi="Arial" w:cs="Arial"/>
        </w:rPr>
        <w:t>et al. ,</w:t>
      </w:r>
      <w:proofErr w:type="gramEnd"/>
      <w:r w:rsidRPr="00ED39BF">
        <w:rPr>
          <w:rFonts w:ascii="Arial" w:hAnsi="Arial" w:cs="Arial"/>
        </w:rPr>
        <w:t xml:space="preserve"> 2021; DasGupta et al. , 2022). Although tools like the Business Model Canvas and Value Proposition Design Canvas have been utilized, they have not entirely embraced sustainability components. Forms of value include savings on costs, contributions to society, and diminished ecological footprints. The effectiveness of creating sustainable value is affected by involvement from stakeholders, adaptability in decision-making, and a focus on social and environmental aspects (Owusu </w:t>
      </w:r>
      <w:proofErr w:type="gramStart"/>
      <w:r w:rsidRPr="00ED39BF">
        <w:rPr>
          <w:rFonts w:ascii="Arial" w:hAnsi="Arial" w:cs="Arial"/>
        </w:rPr>
        <w:t>et al. ,</w:t>
      </w:r>
      <w:proofErr w:type="gramEnd"/>
      <w:r w:rsidRPr="00ED39BF">
        <w:rPr>
          <w:rFonts w:ascii="Arial" w:hAnsi="Arial" w:cs="Arial"/>
        </w:rPr>
        <w:t xml:space="preserve"> 2022; Ilyas and </w:t>
      </w:r>
      <w:proofErr w:type="spellStart"/>
      <w:r w:rsidRPr="00ED39BF">
        <w:rPr>
          <w:rFonts w:ascii="Arial" w:hAnsi="Arial" w:cs="Arial"/>
        </w:rPr>
        <w:t>Osiyevskyy</w:t>
      </w:r>
      <w:proofErr w:type="spellEnd"/>
      <w:r w:rsidRPr="00ED39BF">
        <w:rPr>
          <w:rFonts w:ascii="Arial" w:hAnsi="Arial" w:cs="Arial"/>
        </w:rPr>
        <w:t>, 2022). The ESG framework serves as a guide for shaping the value proposition. Thus, it can be concluded that a sustainable value proposition arises from collaborative value creation among a network of stakeholders, while also tackling sustainability challenges and developing products or services that respond to those challenges.</w:t>
      </w:r>
    </w:p>
    <w:p w14:paraId="601CC195" w14:textId="77777777" w:rsidR="00ED39BF" w:rsidRDefault="00ED39BF" w:rsidP="00441B6F">
      <w:pPr>
        <w:pStyle w:val="Body"/>
        <w:spacing w:after="0"/>
        <w:rPr>
          <w:rFonts w:ascii="Arial" w:hAnsi="Arial" w:cs="Arial"/>
        </w:rPr>
      </w:pPr>
    </w:p>
    <w:p w14:paraId="0CD2A7AD" w14:textId="5DF322DC" w:rsidR="00C00692" w:rsidRPr="00C00692" w:rsidRDefault="00E04693" w:rsidP="00C00692">
      <w:pPr>
        <w:pStyle w:val="Body"/>
        <w:numPr>
          <w:ilvl w:val="1"/>
          <w:numId w:val="35"/>
        </w:numPr>
        <w:spacing w:after="0"/>
        <w:rPr>
          <w:rFonts w:ascii="Arial" w:hAnsi="Arial" w:cs="Arial"/>
          <w:b/>
          <w:caps/>
          <w:sz w:val="22"/>
        </w:rPr>
      </w:pPr>
      <w:r w:rsidRPr="00E04693">
        <w:rPr>
          <w:rFonts w:ascii="Arial" w:hAnsi="Arial" w:cs="Arial"/>
          <w:b/>
          <w:caps/>
          <w:sz w:val="22"/>
        </w:rPr>
        <w:t>THE IMPACT OF SUSTAINABILITY VALUES ON TECHNICAL EFFICIENCY</w:t>
      </w:r>
    </w:p>
    <w:p w14:paraId="08773FDD" w14:textId="77777777" w:rsidR="00C00692" w:rsidRDefault="00C00692" w:rsidP="00C00692">
      <w:pPr>
        <w:pStyle w:val="Body"/>
        <w:spacing w:after="0"/>
        <w:rPr>
          <w:rFonts w:ascii="Arial" w:hAnsi="Arial" w:cs="Arial"/>
        </w:rPr>
      </w:pPr>
    </w:p>
    <w:p w14:paraId="61D9B49C" w14:textId="7EFFF661" w:rsidR="00C00692" w:rsidRDefault="00ED39BF" w:rsidP="00C00692">
      <w:pPr>
        <w:pStyle w:val="Body"/>
        <w:spacing w:after="0"/>
        <w:rPr>
          <w:rFonts w:ascii="Arial" w:hAnsi="Arial" w:cs="Arial"/>
        </w:rPr>
      </w:pPr>
      <w:r w:rsidRPr="00ED39BF">
        <w:rPr>
          <w:rFonts w:ascii="Arial" w:hAnsi="Arial" w:cs="Arial"/>
        </w:rPr>
        <w:t xml:space="preserve">Incorporating sustainability into business models can improve technical efficiency by optimizing resources, minimizing waste, and fostering environmentally friendly innovations in technology (Ilyas and </w:t>
      </w:r>
      <w:proofErr w:type="spellStart"/>
      <w:r w:rsidRPr="00ED39BF">
        <w:rPr>
          <w:rFonts w:ascii="Arial" w:hAnsi="Arial" w:cs="Arial"/>
        </w:rPr>
        <w:t>Osiyevskyy</w:t>
      </w:r>
      <w:proofErr w:type="spellEnd"/>
      <w:r w:rsidRPr="00ED39BF">
        <w:rPr>
          <w:rFonts w:ascii="Arial" w:hAnsi="Arial" w:cs="Arial"/>
        </w:rPr>
        <w:t xml:space="preserve">, 2022; Fu and Su, 2021; Wu and Dong, 2021). Investments focused on sustainability, like renewable energy, can lead to significant long-term savings (Silva </w:t>
      </w:r>
      <w:proofErr w:type="gramStart"/>
      <w:r w:rsidRPr="00ED39BF">
        <w:rPr>
          <w:rFonts w:ascii="Arial" w:hAnsi="Arial" w:cs="Arial"/>
        </w:rPr>
        <w:t>et al. ,</w:t>
      </w:r>
      <w:proofErr w:type="gramEnd"/>
      <w:r w:rsidRPr="00ED39BF">
        <w:rPr>
          <w:rFonts w:ascii="Arial" w:hAnsi="Arial" w:cs="Arial"/>
        </w:rPr>
        <w:t xml:space="preserve"> 2022; </w:t>
      </w:r>
      <w:proofErr w:type="spellStart"/>
      <w:r w:rsidRPr="00ED39BF">
        <w:rPr>
          <w:rFonts w:ascii="Arial" w:hAnsi="Arial" w:cs="Arial"/>
        </w:rPr>
        <w:t>Biosci</w:t>
      </w:r>
      <w:proofErr w:type="spellEnd"/>
      <w:r w:rsidRPr="00ED39BF">
        <w:rPr>
          <w:rFonts w:ascii="Arial" w:hAnsi="Arial" w:cs="Arial"/>
        </w:rPr>
        <w:t xml:space="preserve"> et al. , 2023; Huo et al. , 2024).</w:t>
      </w:r>
    </w:p>
    <w:p w14:paraId="2981DA7D" w14:textId="795C0387" w:rsidR="00C00692" w:rsidRDefault="00C00692" w:rsidP="00C00692">
      <w:pPr>
        <w:pStyle w:val="Body"/>
        <w:spacing w:after="0"/>
        <w:rPr>
          <w:rFonts w:ascii="Arial" w:hAnsi="Arial" w:cs="Arial"/>
        </w:rPr>
      </w:pPr>
      <w:r w:rsidRPr="00C00692">
        <w:rPr>
          <w:rFonts w:ascii="Arial" w:hAnsi="Arial" w:cs="Arial"/>
          <w:b/>
          <w:bCs/>
        </w:rPr>
        <w:t xml:space="preserve">H3. </w:t>
      </w:r>
      <w:r w:rsidR="00E04693" w:rsidRPr="00E04693">
        <w:rPr>
          <w:rFonts w:ascii="Arial" w:hAnsi="Arial" w:cs="Arial"/>
        </w:rPr>
        <w:t>Sustainability values have a positive effect on technical efficiency</w:t>
      </w:r>
    </w:p>
    <w:p w14:paraId="099C7395" w14:textId="77777777" w:rsidR="003D468A" w:rsidRDefault="003D468A" w:rsidP="00C00692">
      <w:pPr>
        <w:pStyle w:val="Body"/>
        <w:spacing w:after="0"/>
        <w:rPr>
          <w:rFonts w:ascii="Arial" w:hAnsi="Arial" w:cs="Arial"/>
        </w:rPr>
      </w:pPr>
    </w:p>
    <w:p w14:paraId="12492FDB" w14:textId="71180577" w:rsidR="003D468A" w:rsidRDefault="00863C6E" w:rsidP="00C00692">
      <w:pPr>
        <w:pStyle w:val="Body"/>
        <w:spacing w:after="0"/>
        <w:rPr>
          <w:rFonts w:ascii="Arial" w:hAnsi="Arial" w:cs="Arial"/>
        </w:rPr>
      </w:pPr>
      <w:r w:rsidRPr="00863C6E">
        <w:rPr>
          <w:rFonts w:ascii="Arial" w:hAnsi="Arial" w:cs="Arial"/>
          <w:noProof/>
        </w:rPr>
        <w:lastRenderedPageBreak/>
        <w:drawing>
          <wp:inline distT="0" distB="0" distL="0" distR="0" wp14:anchorId="4196993F" wp14:editId="2CA98318">
            <wp:extent cx="4453466" cy="2239502"/>
            <wp:effectExtent l="0" t="0" r="0" b="0"/>
            <wp:docPr id="1300284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284529" name=""/>
                    <pic:cNvPicPr/>
                  </pic:nvPicPr>
                  <pic:blipFill>
                    <a:blip r:embed="rId11"/>
                    <a:stretch>
                      <a:fillRect/>
                    </a:stretch>
                  </pic:blipFill>
                  <pic:spPr>
                    <a:xfrm>
                      <a:off x="0" y="0"/>
                      <a:ext cx="4583322" cy="2304802"/>
                    </a:xfrm>
                    <a:prstGeom prst="rect">
                      <a:avLst/>
                    </a:prstGeom>
                  </pic:spPr>
                </pic:pic>
              </a:graphicData>
            </a:graphic>
          </wp:inline>
        </w:drawing>
      </w:r>
    </w:p>
    <w:p w14:paraId="7F8FC84F" w14:textId="741FBC0C" w:rsidR="003D468A" w:rsidRPr="00651AE5" w:rsidRDefault="00651AE5" w:rsidP="00C00692">
      <w:pPr>
        <w:pStyle w:val="Body"/>
        <w:spacing w:after="0"/>
        <w:rPr>
          <w:rFonts w:ascii="Arial" w:hAnsi="Arial" w:cs="Arial"/>
          <w:b/>
          <w:bCs/>
        </w:rPr>
      </w:pPr>
      <w:r w:rsidRPr="00651AE5">
        <w:rPr>
          <w:rFonts w:ascii="Arial" w:hAnsi="Arial" w:cs="Arial"/>
          <w:b/>
          <w:bCs/>
        </w:rPr>
        <w:t>Fig. 2.</w:t>
      </w:r>
      <w:r>
        <w:rPr>
          <w:rFonts w:ascii="Arial" w:hAnsi="Arial" w:cs="Arial"/>
          <w:b/>
          <w:bCs/>
        </w:rPr>
        <w:t xml:space="preserve"> </w:t>
      </w:r>
      <w:r w:rsidRPr="00651AE5">
        <w:rPr>
          <w:rFonts w:ascii="Arial" w:hAnsi="Arial" w:cs="Arial"/>
          <w:b/>
          <w:bCs/>
        </w:rPr>
        <w:t>Research Framework</w:t>
      </w:r>
    </w:p>
    <w:p w14:paraId="2464AB30" w14:textId="6593BB0A" w:rsidR="006C4BA7" w:rsidRPr="00FB3A86" w:rsidRDefault="006C4BA7" w:rsidP="00441B6F">
      <w:pPr>
        <w:pStyle w:val="Body"/>
        <w:spacing w:after="0"/>
        <w:rPr>
          <w:rFonts w:ascii="Arial" w:hAnsi="Arial" w:cs="Arial"/>
        </w:rPr>
      </w:pPr>
    </w:p>
    <w:p w14:paraId="0048590D" w14:textId="32DBE461" w:rsidR="007F7B32" w:rsidRDefault="00902823" w:rsidP="00441B6F">
      <w:pPr>
        <w:pStyle w:val="AbstHead"/>
        <w:spacing w:after="0"/>
        <w:jc w:val="both"/>
        <w:rPr>
          <w:rFonts w:ascii="Arial" w:hAnsi="Arial" w:cs="Arial"/>
        </w:rPr>
      </w:pPr>
      <w:r>
        <w:rPr>
          <w:rFonts w:ascii="Arial" w:hAnsi="Arial" w:cs="Arial"/>
        </w:rPr>
        <w:t>2.</w:t>
      </w:r>
      <w:r w:rsidR="00D806A0">
        <w:rPr>
          <w:rFonts w:ascii="Arial" w:hAnsi="Arial" w:cs="Arial"/>
        </w:rPr>
        <w:t xml:space="preserve"> </w:t>
      </w:r>
      <w:r w:rsidR="006B57D0">
        <w:rPr>
          <w:rFonts w:ascii="Arial" w:hAnsi="Arial" w:cs="Arial"/>
        </w:rPr>
        <w:t>methodology</w:t>
      </w:r>
      <w:r w:rsidR="007F7B32">
        <w:rPr>
          <w:rFonts w:ascii="Arial" w:hAnsi="Arial" w:cs="Arial"/>
        </w:rPr>
        <w:t xml:space="preserve"> </w:t>
      </w:r>
    </w:p>
    <w:p w14:paraId="728CEF22" w14:textId="77777777" w:rsidR="00790ADA" w:rsidRPr="00FB3A86" w:rsidRDefault="00790ADA" w:rsidP="00441B6F">
      <w:pPr>
        <w:pStyle w:val="AbstHead"/>
        <w:spacing w:after="0"/>
        <w:jc w:val="both"/>
        <w:rPr>
          <w:rFonts w:ascii="Arial" w:hAnsi="Arial" w:cs="Arial"/>
        </w:rPr>
      </w:pPr>
    </w:p>
    <w:p w14:paraId="5CB9F65A" w14:textId="0E278B62" w:rsidR="0000056E" w:rsidRPr="001E168F" w:rsidRDefault="00ED39BF" w:rsidP="00441B6F">
      <w:pPr>
        <w:pStyle w:val="Body"/>
        <w:spacing w:after="0"/>
        <w:rPr>
          <w:rFonts w:ascii="Arial" w:hAnsi="Arial" w:cs="Arial"/>
        </w:rPr>
      </w:pPr>
      <w:r w:rsidRPr="00ED39BF">
        <w:rPr>
          <w:rFonts w:ascii="Arial" w:hAnsi="Arial" w:cs="Arial"/>
        </w:rPr>
        <w:t xml:space="preserve">This research is a quantitative analysis aimed at exploring the connection between independent and dependent variables (Huyler and McGill, 2019) within the transportation and logistics industry. The data for this research is secondary data sourced from the Indonesia Stock Exchange (IDX), specifically financial records of transportation and logistics companies from 2019 to 2023. The study employs the Data Envelopment Analysis (DEA) method using the Cobb-Douglas equation to assess the efficiency of firms in the transportation and logistics sector (Abdullah </w:t>
      </w:r>
      <w:proofErr w:type="gramStart"/>
      <w:r w:rsidRPr="00ED39BF">
        <w:rPr>
          <w:rFonts w:ascii="Arial" w:hAnsi="Arial" w:cs="Arial"/>
        </w:rPr>
        <w:t>et al. ,</w:t>
      </w:r>
      <w:proofErr w:type="gramEnd"/>
      <w:r w:rsidRPr="00ED39BF">
        <w:rPr>
          <w:rFonts w:ascii="Arial" w:hAnsi="Arial" w:cs="Arial"/>
        </w:rPr>
        <w:t xml:space="preserve"> 2017).</w:t>
      </w:r>
      <w:r w:rsidR="0000056E">
        <w:rPr>
          <w:rFonts w:ascii="Arial" w:hAnsi="Arial" w:cs="Arial"/>
        </w:rPr>
        <w:t xml:space="preserve"> </w:t>
      </w:r>
    </w:p>
    <w:p w14:paraId="62D286E2" w14:textId="77777777" w:rsidR="00D21628" w:rsidRDefault="00D21628" w:rsidP="00441B6F">
      <w:pPr>
        <w:pStyle w:val="Body"/>
        <w:spacing w:after="0"/>
        <w:rPr>
          <w:rFonts w:ascii="Arial" w:hAnsi="Arial" w:cs="Arial"/>
          <w:lang w:val="id"/>
        </w:rPr>
      </w:pPr>
    </w:p>
    <w:p w14:paraId="0106FF2E" w14:textId="6F16F002" w:rsidR="0000056E" w:rsidRDefault="0000056E" w:rsidP="0000056E">
      <w:pPr>
        <w:tabs>
          <w:tab w:val="left" w:pos="1080"/>
        </w:tabs>
        <w:jc w:val="both"/>
        <w:rPr>
          <w:rFonts w:ascii="Arial" w:hAnsi="Arial"/>
          <w:b/>
        </w:rPr>
      </w:pPr>
      <w:bookmarkStart w:id="1" w:name="_Toc205443617"/>
      <w:r w:rsidRPr="0000056E">
        <w:rPr>
          <w:rFonts w:ascii="Arial" w:hAnsi="Arial"/>
          <w:b/>
        </w:rPr>
        <w:t>Tab</w:t>
      </w:r>
      <w:r w:rsidR="00E04693">
        <w:rPr>
          <w:rFonts w:ascii="Arial" w:hAnsi="Arial"/>
          <w:b/>
        </w:rPr>
        <w:t>l</w:t>
      </w:r>
      <w:r w:rsidRPr="0000056E">
        <w:rPr>
          <w:rFonts w:ascii="Arial" w:hAnsi="Arial"/>
          <w:b/>
        </w:rPr>
        <w:t>e</w:t>
      </w:r>
      <w:r>
        <w:rPr>
          <w:rFonts w:ascii="Arial" w:hAnsi="Arial"/>
          <w:b/>
        </w:rPr>
        <w:t xml:space="preserve"> 1.</w:t>
      </w:r>
      <w:r>
        <w:rPr>
          <w:rFonts w:ascii="Arial" w:hAnsi="Arial"/>
          <w:b/>
        </w:rPr>
        <w:tab/>
      </w:r>
      <w:r w:rsidRPr="0000056E">
        <w:rPr>
          <w:rFonts w:ascii="Arial" w:hAnsi="Arial"/>
          <w:b/>
        </w:rPr>
        <w:t xml:space="preserve"> </w:t>
      </w:r>
      <w:bookmarkEnd w:id="1"/>
      <w:r w:rsidR="00E04693" w:rsidRPr="00E04693">
        <w:rPr>
          <w:rFonts w:ascii="Arial" w:hAnsi="Arial"/>
          <w:b/>
        </w:rPr>
        <w:t>Sample Criteria</w:t>
      </w:r>
    </w:p>
    <w:p w14:paraId="50247176" w14:textId="77777777" w:rsidR="0000056E" w:rsidRPr="0000056E" w:rsidRDefault="0000056E" w:rsidP="0000056E">
      <w:pPr>
        <w:tabs>
          <w:tab w:val="left" w:pos="1080"/>
        </w:tabs>
        <w:jc w:val="both"/>
        <w:rPr>
          <w:rFonts w:ascii="Arial" w:hAnsi="Arial"/>
          <w:b/>
        </w:rPr>
      </w:pPr>
    </w:p>
    <w:tbl>
      <w:tblPr>
        <w:tblW w:w="5000"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661"/>
        <w:gridCol w:w="6424"/>
        <w:gridCol w:w="1123"/>
      </w:tblGrid>
      <w:tr w:rsidR="00E04693" w:rsidRPr="0000056E" w14:paraId="6ADA2188" w14:textId="77777777" w:rsidTr="0000056E">
        <w:trPr>
          <w:trHeight w:val="20"/>
          <w:tblHeader/>
        </w:trPr>
        <w:tc>
          <w:tcPr>
            <w:tcW w:w="403" w:type="pct"/>
            <w:tcBorders>
              <w:top w:val="single" w:sz="4" w:space="0" w:color="auto"/>
              <w:bottom w:val="single" w:sz="4" w:space="0" w:color="auto"/>
            </w:tcBorders>
          </w:tcPr>
          <w:p w14:paraId="047846F4" w14:textId="77777777" w:rsidR="00E04693" w:rsidRPr="0000056E" w:rsidRDefault="00E04693" w:rsidP="00651AE5">
            <w:pPr>
              <w:pStyle w:val="Body"/>
              <w:spacing w:after="0"/>
              <w:ind w:left="191" w:right="134"/>
              <w:jc w:val="center"/>
              <w:rPr>
                <w:rFonts w:ascii="Arial" w:hAnsi="Arial" w:cs="Arial"/>
                <w:b/>
                <w:bCs/>
                <w:lang w:val="id"/>
              </w:rPr>
            </w:pPr>
            <w:r w:rsidRPr="0000056E">
              <w:rPr>
                <w:rFonts w:ascii="Arial" w:hAnsi="Arial" w:cs="Arial"/>
                <w:b/>
                <w:bCs/>
                <w:lang w:val="id"/>
              </w:rPr>
              <w:t>No</w:t>
            </w:r>
          </w:p>
        </w:tc>
        <w:tc>
          <w:tcPr>
            <w:tcW w:w="3913" w:type="pct"/>
            <w:tcBorders>
              <w:top w:val="single" w:sz="4" w:space="0" w:color="auto"/>
              <w:bottom w:val="single" w:sz="4" w:space="0" w:color="auto"/>
            </w:tcBorders>
          </w:tcPr>
          <w:p w14:paraId="1546BDCF" w14:textId="27C7AE65" w:rsidR="00E04693" w:rsidRPr="00E04693" w:rsidRDefault="00E04693" w:rsidP="00651AE5">
            <w:pPr>
              <w:pStyle w:val="Body"/>
              <w:spacing w:after="0"/>
              <w:ind w:left="191" w:right="134"/>
              <w:jc w:val="center"/>
              <w:rPr>
                <w:rFonts w:ascii="Arial" w:hAnsi="Arial" w:cs="Arial"/>
                <w:b/>
                <w:bCs/>
                <w:lang w:val="id"/>
              </w:rPr>
            </w:pPr>
            <w:r w:rsidRPr="00E04693">
              <w:rPr>
                <w:b/>
                <w:bCs/>
              </w:rPr>
              <w:t>Criteria</w:t>
            </w:r>
          </w:p>
        </w:tc>
        <w:tc>
          <w:tcPr>
            <w:tcW w:w="684" w:type="pct"/>
            <w:tcBorders>
              <w:top w:val="single" w:sz="4" w:space="0" w:color="auto"/>
              <w:bottom w:val="single" w:sz="4" w:space="0" w:color="auto"/>
            </w:tcBorders>
          </w:tcPr>
          <w:p w14:paraId="55EC71E4" w14:textId="726EB522" w:rsidR="00E04693" w:rsidRPr="00E04693" w:rsidRDefault="00E04693" w:rsidP="00651AE5">
            <w:pPr>
              <w:pStyle w:val="Body"/>
              <w:spacing w:after="0"/>
              <w:ind w:left="191" w:right="134"/>
              <w:jc w:val="center"/>
              <w:rPr>
                <w:rFonts w:ascii="Arial" w:hAnsi="Arial" w:cs="Arial"/>
                <w:b/>
                <w:bCs/>
                <w:lang w:val="id"/>
              </w:rPr>
            </w:pPr>
            <w:r w:rsidRPr="00E04693">
              <w:rPr>
                <w:b/>
                <w:bCs/>
              </w:rPr>
              <w:t>Number</w:t>
            </w:r>
          </w:p>
        </w:tc>
      </w:tr>
      <w:tr w:rsidR="0000056E" w:rsidRPr="0000056E" w14:paraId="4302018A" w14:textId="77777777" w:rsidTr="0000056E">
        <w:trPr>
          <w:trHeight w:val="20"/>
        </w:trPr>
        <w:tc>
          <w:tcPr>
            <w:tcW w:w="403" w:type="pct"/>
            <w:tcBorders>
              <w:top w:val="single" w:sz="4" w:space="0" w:color="auto"/>
            </w:tcBorders>
          </w:tcPr>
          <w:p w14:paraId="4D454B6D" w14:textId="77777777" w:rsidR="0000056E" w:rsidRPr="0000056E" w:rsidRDefault="0000056E" w:rsidP="0000056E">
            <w:pPr>
              <w:pStyle w:val="Body"/>
              <w:spacing w:after="0"/>
              <w:ind w:left="191" w:right="134"/>
              <w:rPr>
                <w:rFonts w:ascii="Arial" w:hAnsi="Arial" w:cs="Arial"/>
                <w:lang w:val="id"/>
              </w:rPr>
            </w:pPr>
            <w:r w:rsidRPr="0000056E">
              <w:rPr>
                <w:rFonts w:ascii="Arial" w:hAnsi="Arial" w:cs="Arial"/>
                <w:lang w:val="id"/>
              </w:rPr>
              <w:t>1</w:t>
            </w:r>
          </w:p>
        </w:tc>
        <w:tc>
          <w:tcPr>
            <w:tcW w:w="3913" w:type="pct"/>
            <w:tcBorders>
              <w:top w:val="single" w:sz="4" w:space="0" w:color="auto"/>
            </w:tcBorders>
          </w:tcPr>
          <w:p w14:paraId="766B7986" w14:textId="0C393C02" w:rsidR="0000056E" w:rsidRPr="0000056E" w:rsidRDefault="00E04693" w:rsidP="0000056E">
            <w:pPr>
              <w:pStyle w:val="Body"/>
              <w:spacing w:after="0"/>
              <w:ind w:left="191" w:right="134"/>
              <w:rPr>
                <w:rFonts w:ascii="Arial" w:hAnsi="Arial" w:cs="Arial"/>
                <w:lang w:val="id"/>
              </w:rPr>
            </w:pPr>
            <w:r w:rsidRPr="00E04693">
              <w:rPr>
                <w:rFonts w:ascii="Arial" w:hAnsi="Arial" w:cs="Arial"/>
                <w:lang w:val="id"/>
              </w:rPr>
              <w:t>Population</w:t>
            </w:r>
          </w:p>
          <w:p w14:paraId="1421FD39" w14:textId="26DD98A3" w:rsidR="0000056E" w:rsidRPr="0000056E" w:rsidRDefault="00E04693" w:rsidP="0000056E">
            <w:pPr>
              <w:pStyle w:val="Body"/>
              <w:spacing w:after="0"/>
              <w:ind w:left="191" w:right="134"/>
              <w:rPr>
                <w:rFonts w:ascii="Arial" w:hAnsi="Arial" w:cs="Arial"/>
                <w:lang w:val="id"/>
              </w:rPr>
            </w:pPr>
            <w:r w:rsidRPr="00E04693">
              <w:rPr>
                <w:rFonts w:ascii="Arial" w:hAnsi="Arial" w:cs="Arial"/>
                <w:lang w:val="id"/>
              </w:rPr>
              <w:t>Transportation and logistics companies listed on the Indonesia Stock Exchange</w:t>
            </w:r>
          </w:p>
        </w:tc>
        <w:tc>
          <w:tcPr>
            <w:tcW w:w="684" w:type="pct"/>
            <w:tcBorders>
              <w:top w:val="single" w:sz="4" w:space="0" w:color="auto"/>
            </w:tcBorders>
          </w:tcPr>
          <w:p w14:paraId="76FC2AC7" w14:textId="77777777" w:rsidR="0000056E" w:rsidRPr="0000056E" w:rsidRDefault="0000056E" w:rsidP="0000056E">
            <w:pPr>
              <w:pStyle w:val="Body"/>
              <w:spacing w:after="0"/>
              <w:ind w:left="191" w:right="134"/>
              <w:rPr>
                <w:rFonts w:ascii="Arial" w:hAnsi="Arial" w:cs="Arial"/>
                <w:lang w:val="id"/>
              </w:rPr>
            </w:pPr>
            <w:r w:rsidRPr="0000056E">
              <w:rPr>
                <w:rFonts w:ascii="Arial" w:hAnsi="Arial" w:cs="Arial"/>
                <w:lang w:val="id"/>
              </w:rPr>
              <w:t>37</w:t>
            </w:r>
          </w:p>
        </w:tc>
      </w:tr>
      <w:tr w:rsidR="0000056E" w:rsidRPr="0000056E" w14:paraId="5C49EB6E" w14:textId="77777777" w:rsidTr="0000056E">
        <w:trPr>
          <w:trHeight w:val="20"/>
        </w:trPr>
        <w:tc>
          <w:tcPr>
            <w:tcW w:w="403" w:type="pct"/>
          </w:tcPr>
          <w:p w14:paraId="3F01DEAE" w14:textId="77777777" w:rsidR="0000056E" w:rsidRPr="0000056E" w:rsidRDefault="0000056E" w:rsidP="0000056E">
            <w:pPr>
              <w:pStyle w:val="Body"/>
              <w:spacing w:after="0"/>
              <w:ind w:left="191" w:right="134"/>
              <w:rPr>
                <w:rFonts w:ascii="Arial" w:hAnsi="Arial" w:cs="Arial"/>
                <w:lang w:val="id"/>
              </w:rPr>
            </w:pPr>
            <w:r w:rsidRPr="0000056E">
              <w:rPr>
                <w:rFonts w:ascii="Arial" w:hAnsi="Arial" w:cs="Arial"/>
                <w:lang w:val="id"/>
              </w:rPr>
              <w:t>2</w:t>
            </w:r>
          </w:p>
        </w:tc>
        <w:tc>
          <w:tcPr>
            <w:tcW w:w="3913" w:type="pct"/>
          </w:tcPr>
          <w:p w14:paraId="45C880FE" w14:textId="64867BEB" w:rsidR="0000056E" w:rsidRPr="0000056E" w:rsidRDefault="00E04693" w:rsidP="0000056E">
            <w:pPr>
              <w:pStyle w:val="Body"/>
              <w:spacing w:after="0"/>
              <w:ind w:left="191" w:right="134"/>
              <w:rPr>
                <w:rFonts w:ascii="Arial" w:hAnsi="Arial" w:cs="Arial"/>
                <w:lang w:val="id"/>
              </w:rPr>
            </w:pPr>
            <w:r w:rsidRPr="00E04693">
              <w:rPr>
                <w:rFonts w:ascii="Arial" w:hAnsi="Arial" w:cs="Arial"/>
                <w:lang w:val="id"/>
              </w:rPr>
              <w:t>The companies selected as samples are transportation and logistics companies listed on the Indonesia Stock Exchange from 2014 to 2023 (5 companies excluded)</w:t>
            </w:r>
          </w:p>
        </w:tc>
        <w:tc>
          <w:tcPr>
            <w:tcW w:w="684" w:type="pct"/>
          </w:tcPr>
          <w:p w14:paraId="38096A90" w14:textId="77777777" w:rsidR="0000056E" w:rsidRPr="0000056E" w:rsidRDefault="0000056E" w:rsidP="0000056E">
            <w:pPr>
              <w:pStyle w:val="Body"/>
              <w:spacing w:after="0"/>
              <w:ind w:left="191" w:right="134"/>
              <w:rPr>
                <w:rFonts w:ascii="Arial" w:hAnsi="Arial" w:cs="Arial"/>
                <w:lang w:val="id"/>
              </w:rPr>
            </w:pPr>
            <w:r w:rsidRPr="0000056E">
              <w:rPr>
                <w:rFonts w:ascii="Arial" w:hAnsi="Arial" w:cs="Arial"/>
                <w:lang w:val="id"/>
              </w:rPr>
              <w:t>32</w:t>
            </w:r>
          </w:p>
        </w:tc>
      </w:tr>
      <w:tr w:rsidR="0000056E" w:rsidRPr="0000056E" w14:paraId="571C0F4A" w14:textId="77777777" w:rsidTr="0000056E">
        <w:trPr>
          <w:trHeight w:val="20"/>
        </w:trPr>
        <w:tc>
          <w:tcPr>
            <w:tcW w:w="403" w:type="pct"/>
          </w:tcPr>
          <w:p w14:paraId="1AD9C1FD" w14:textId="77777777" w:rsidR="0000056E" w:rsidRPr="0000056E" w:rsidRDefault="0000056E" w:rsidP="0000056E">
            <w:pPr>
              <w:pStyle w:val="Body"/>
              <w:spacing w:after="0"/>
              <w:ind w:left="191" w:right="134"/>
              <w:rPr>
                <w:rFonts w:ascii="Arial" w:hAnsi="Arial" w:cs="Arial"/>
                <w:lang w:val="id"/>
              </w:rPr>
            </w:pPr>
            <w:r w:rsidRPr="0000056E">
              <w:rPr>
                <w:rFonts w:ascii="Arial" w:hAnsi="Arial" w:cs="Arial"/>
                <w:lang w:val="id"/>
              </w:rPr>
              <w:t>3</w:t>
            </w:r>
          </w:p>
        </w:tc>
        <w:tc>
          <w:tcPr>
            <w:tcW w:w="3913" w:type="pct"/>
          </w:tcPr>
          <w:p w14:paraId="2EF3D762" w14:textId="6EDEC844" w:rsidR="0000056E" w:rsidRPr="0000056E" w:rsidRDefault="00E04693" w:rsidP="0000056E">
            <w:pPr>
              <w:pStyle w:val="Body"/>
              <w:spacing w:after="0"/>
              <w:ind w:left="191" w:right="134"/>
              <w:rPr>
                <w:rFonts w:ascii="Arial" w:hAnsi="Arial" w:cs="Arial"/>
                <w:lang w:val="id"/>
              </w:rPr>
            </w:pPr>
            <w:r w:rsidRPr="00E04693">
              <w:rPr>
                <w:rFonts w:ascii="Arial" w:hAnsi="Arial" w:cs="Arial"/>
                <w:lang w:val="id"/>
              </w:rPr>
              <w:t>Companies must have been publicly listed for at least 5 years. (10 companies excluded)</w:t>
            </w:r>
          </w:p>
        </w:tc>
        <w:tc>
          <w:tcPr>
            <w:tcW w:w="684" w:type="pct"/>
          </w:tcPr>
          <w:p w14:paraId="5B9AA796" w14:textId="77777777" w:rsidR="0000056E" w:rsidRPr="0000056E" w:rsidRDefault="0000056E" w:rsidP="0000056E">
            <w:pPr>
              <w:pStyle w:val="Body"/>
              <w:spacing w:after="0"/>
              <w:ind w:left="191" w:right="134"/>
              <w:rPr>
                <w:rFonts w:ascii="Arial" w:hAnsi="Arial" w:cs="Arial"/>
                <w:lang w:val="id"/>
              </w:rPr>
            </w:pPr>
            <w:r w:rsidRPr="0000056E">
              <w:rPr>
                <w:rFonts w:ascii="Arial" w:hAnsi="Arial" w:cs="Arial"/>
                <w:lang w:val="id"/>
              </w:rPr>
              <w:t>22</w:t>
            </w:r>
          </w:p>
        </w:tc>
      </w:tr>
      <w:tr w:rsidR="0000056E" w:rsidRPr="0000056E" w14:paraId="3870E872" w14:textId="77777777" w:rsidTr="0000056E">
        <w:trPr>
          <w:trHeight w:val="20"/>
        </w:trPr>
        <w:tc>
          <w:tcPr>
            <w:tcW w:w="403" w:type="pct"/>
          </w:tcPr>
          <w:p w14:paraId="6A837601" w14:textId="77777777" w:rsidR="0000056E" w:rsidRPr="0000056E" w:rsidRDefault="0000056E" w:rsidP="0000056E">
            <w:pPr>
              <w:pStyle w:val="Body"/>
              <w:spacing w:after="0"/>
              <w:ind w:left="191" w:right="134"/>
              <w:rPr>
                <w:rFonts w:ascii="Arial" w:hAnsi="Arial" w:cs="Arial"/>
                <w:lang w:val="id"/>
              </w:rPr>
            </w:pPr>
            <w:r w:rsidRPr="0000056E">
              <w:rPr>
                <w:rFonts w:ascii="Arial" w:hAnsi="Arial" w:cs="Arial"/>
                <w:lang w:val="id"/>
              </w:rPr>
              <w:t>4</w:t>
            </w:r>
          </w:p>
        </w:tc>
        <w:tc>
          <w:tcPr>
            <w:tcW w:w="3913" w:type="pct"/>
          </w:tcPr>
          <w:p w14:paraId="5052E253" w14:textId="690A900D" w:rsidR="0000056E" w:rsidRPr="0000056E" w:rsidRDefault="00E04693" w:rsidP="00E04693">
            <w:pPr>
              <w:pStyle w:val="Body"/>
              <w:spacing w:after="0"/>
              <w:ind w:left="191" w:right="134"/>
              <w:rPr>
                <w:rFonts w:ascii="Arial" w:hAnsi="Arial" w:cs="Arial"/>
                <w:lang w:val="id"/>
              </w:rPr>
            </w:pPr>
            <w:r w:rsidRPr="00E04693">
              <w:rPr>
                <w:rFonts w:ascii="Arial" w:hAnsi="Arial" w:cs="Arial"/>
                <w:lang w:val="id"/>
              </w:rPr>
              <w:t>14</w:t>
            </w:r>
            <w:r>
              <w:rPr>
                <w:rFonts w:ascii="Arial" w:hAnsi="Arial" w:cs="Arial"/>
                <w:lang w:val="id"/>
              </w:rPr>
              <w:t xml:space="preserve"> </w:t>
            </w:r>
            <w:r w:rsidRPr="00E04693">
              <w:rPr>
                <w:rFonts w:ascii="Arial" w:hAnsi="Arial" w:cs="Arial"/>
                <w:lang w:val="id"/>
              </w:rPr>
              <w:t>companies that went public before 2014 = 14 x 10 = 140 samples</w:t>
            </w:r>
          </w:p>
          <w:p w14:paraId="0B6D8205" w14:textId="3F6270DE" w:rsidR="00E04693" w:rsidRDefault="00E04693" w:rsidP="0000056E">
            <w:pPr>
              <w:pStyle w:val="Body"/>
              <w:spacing w:after="0"/>
              <w:ind w:left="191" w:right="134"/>
              <w:rPr>
                <w:rFonts w:ascii="Arial" w:hAnsi="Arial" w:cs="Arial"/>
                <w:lang w:val="id"/>
              </w:rPr>
            </w:pPr>
            <w:r w:rsidRPr="00E04693">
              <w:rPr>
                <w:rFonts w:ascii="Arial" w:hAnsi="Arial" w:cs="Arial"/>
                <w:lang w:val="id"/>
              </w:rPr>
              <w:t xml:space="preserve">4   companies that went public before 2015 = 4 x 9 = 36 samples </w:t>
            </w:r>
          </w:p>
          <w:p w14:paraId="12DE27B1" w14:textId="5B8169DA" w:rsidR="0000056E" w:rsidRPr="0000056E" w:rsidRDefault="00E04693" w:rsidP="0000056E">
            <w:pPr>
              <w:pStyle w:val="Body"/>
              <w:spacing w:after="0"/>
              <w:ind w:left="191" w:right="134"/>
              <w:rPr>
                <w:rFonts w:ascii="Arial" w:hAnsi="Arial" w:cs="Arial"/>
                <w:lang w:val="id"/>
              </w:rPr>
            </w:pPr>
            <w:r w:rsidRPr="00E04693">
              <w:rPr>
                <w:rFonts w:ascii="Arial" w:hAnsi="Arial" w:cs="Arial"/>
                <w:lang w:val="id"/>
              </w:rPr>
              <w:t xml:space="preserve">6 </w:t>
            </w:r>
            <w:r>
              <w:rPr>
                <w:rFonts w:ascii="Arial" w:hAnsi="Arial" w:cs="Arial"/>
                <w:lang w:val="id"/>
              </w:rPr>
              <w:t xml:space="preserve">  </w:t>
            </w:r>
            <w:r w:rsidRPr="00E04693">
              <w:rPr>
                <w:rFonts w:ascii="Arial" w:hAnsi="Arial" w:cs="Arial"/>
                <w:lang w:val="id"/>
              </w:rPr>
              <w:t>companies that went public before 2019 = 6 x 5 = 30 samples</w:t>
            </w:r>
          </w:p>
        </w:tc>
        <w:tc>
          <w:tcPr>
            <w:tcW w:w="684" w:type="pct"/>
          </w:tcPr>
          <w:p w14:paraId="6FA56DC4" w14:textId="77777777" w:rsidR="0000056E" w:rsidRPr="0000056E" w:rsidRDefault="0000056E" w:rsidP="0000056E">
            <w:pPr>
              <w:pStyle w:val="Body"/>
              <w:spacing w:after="0"/>
              <w:ind w:left="191" w:right="134"/>
              <w:rPr>
                <w:rFonts w:ascii="Arial" w:hAnsi="Arial" w:cs="Arial"/>
                <w:lang w:val="id"/>
              </w:rPr>
            </w:pPr>
            <w:r w:rsidRPr="0000056E">
              <w:rPr>
                <w:rFonts w:ascii="Arial" w:hAnsi="Arial" w:cs="Arial"/>
                <w:lang w:val="id"/>
              </w:rPr>
              <w:t>206</w:t>
            </w:r>
          </w:p>
        </w:tc>
      </w:tr>
    </w:tbl>
    <w:p w14:paraId="1D8424FE" w14:textId="77777777" w:rsidR="0000056E" w:rsidRPr="0000056E" w:rsidRDefault="0000056E" w:rsidP="0000056E">
      <w:pPr>
        <w:pStyle w:val="Body"/>
        <w:spacing w:after="0"/>
        <w:rPr>
          <w:rFonts w:ascii="Arial" w:hAnsi="Arial" w:cs="Arial"/>
          <w:lang w:val="id"/>
        </w:rPr>
      </w:pPr>
    </w:p>
    <w:p w14:paraId="74074A8C" w14:textId="595DD068" w:rsidR="0000056E" w:rsidRDefault="00E04693" w:rsidP="00441B6F">
      <w:pPr>
        <w:pStyle w:val="Body"/>
        <w:spacing w:after="0"/>
        <w:rPr>
          <w:rFonts w:ascii="Arial" w:hAnsi="Arial" w:cs="Arial"/>
        </w:rPr>
      </w:pPr>
      <w:r w:rsidRPr="00E04693">
        <w:rPr>
          <w:rFonts w:ascii="Arial" w:hAnsi="Arial" w:cs="Arial"/>
        </w:rPr>
        <w:t>The panel regression equation model in this study consists of two equations:</w:t>
      </w:r>
    </w:p>
    <w:p w14:paraId="710E9E3C" w14:textId="77777777" w:rsidR="0000056E" w:rsidRDefault="0000056E" w:rsidP="00441B6F">
      <w:pPr>
        <w:pStyle w:val="Body"/>
        <w:spacing w:after="0"/>
        <w:rPr>
          <w:rFonts w:ascii="Arial" w:hAnsi="Arial" w:cs="Arial"/>
        </w:rPr>
      </w:pPr>
    </w:p>
    <w:p w14:paraId="51F8B8F3" w14:textId="3CE79AA4" w:rsidR="0000056E" w:rsidRDefault="0000056E" w:rsidP="0000056E">
      <w:pPr>
        <w:pStyle w:val="Body"/>
        <w:spacing w:after="0"/>
        <w:rPr>
          <w:rFonts w:ascii="Cambria Math" w:hAnsi="Cambria Math" w:cs="Cambria Math"/>
        </w:rPr>
      </w:pPr>
      <w:r w:rsidRPr="0000056E">
        <w:rPr>
          <w:rFonts w:ascii="Cambria Math" w:hAnsi="Cambria Math" w:cs="Cambria Math"/>
        </w:rPr>
        <w:t>𝑇𝑒𝑖𝑡</w:t>
      </w:r>
      <w:r w:rsidRPr="0000056E">
        <w:rPr>
          <w:rFonts w:ascii="Arial" w:hAnsi="Arial" w:cs="Arial"/>
        </w:rPr>
        <w:t xml:space="preserve"> = </w:t>
      </w:r>
      <w:r w:rsidRPr="0000056E">
        <w:rPr>
          <w:rFonts w:ascii="Cambria Math" w:hAnsi="Cambria Math" w:cs="Cambria Math"/>
        </w:rPr>
        <w:t>𝛽</w:t>
      </w:r>
      <w:r w:rsidRPr="0000056E">
        <w:rPr>
          <w:rFonts w:ascii="Arial" w:hAnsi="Arial" w:cs="Arial"/>
        </w:rPr>
        <w:t xml:space="preserve">0 + </w:t>
      </w:r>
      <w:r w:rsidRPr="0000056E">
        <w:rPr>
          <w:rFonts w:ascii="Cambria Math" w:hAnsi="Cambria Math" w:cs="Cambria Math"/>
        </w:rPr>
        <w:t>𝛽</w:t>
      </w:r>
      <w:r w:rsidRPr="0000056E">
        <w:rPr>
          <w:rFonts w:ascii="Arial" w:hAnsi="Arial" w:cs="Arial"/>
        </w:rPr>
        <w:t>1</w:t>
      </w:r>
      <w:r w:rsidRPr="0000056E">
        <w:rPr>
          <w:rFonts w:ascii="Cambria Math" w:hAnsi="Cambria Math" w:cs="Cambria Math"/>
        </w:rPr>
        <w:t>𝐹𝑂𝑖𝑡</w:t>
      </w:r>
      <w:r w:rsidRPr="0000056E">
        <w:rPr>
          <w:rFonts w:ascii="Arial" w:hAnsi="Arial" w:cs="Arial"/>
        </w:rPr>
        <w:t xml:space="preserve"> + </w:t>
      </w:r>
      <w:r w:rsidRPr="0000056E">
        <w:rPr>
          <w:rFonts w:ascii="Cambria Math" w:hAnsi="Cambria Math" w:cs="Cambria Math"/>
        </w:rPr>
        <w:t>𝛽</w:t>
      </w:r>
      <w:r w:rsidRPr="0000056E">
        <w:rPr>
          <w:rFonts w:ascii="Arial" w:hAnsi="Arial" w:cs="Arial"/>
        </w:rPr>
        <w:t>2</w:t>
      </w:r>
      <w:r w:rsidRPr="0000056E">
        <w:rPr>
          <w:rFonts w:ascii="Cambria Math" w:hAnsi="Cambria Math" w:cs="Cambria Math"/>
        </w:rPr>
        <w:t>𝐷𝑂𝐼𝑖𝑡</w:t>
      </w:r>
      <w:r w:rsidRPr="0000056E">
        <w:rPr>
          <w:rFonts w:ascii="Arial" w:hAnsi="Arial" w:cs="Arial"/>
        </w:rPr>
        <w:t xml:space="preserve"> + </w:t>
      </w:r>
      <w:r w:rsidRPr="0000056E">
        <w:rPr>
          <w:rFonts w:ascii="Cambria Math" w:hAnsi="Cambria Math" w:cs="Cambria Math"/>
        </w:rPr>
        <w:t>𝛽</w:t>
      </w:r>
      <w:r w:rsidRPr="0000056E">
        <w:rPr>
          <w:rFonts w:ascii="Arial" w:hAnsi="Arial" w:cs="Arial"/>
        </w:rPr>
        <w:t>3</w:t>
      </w:r>
      <w:r w:rsidRPr="0000056E">
        <w:rPr>
          <w:rFonts w:ascii="Cambria Math" w:hAnsi="Cambria Math" w:cs="Cambria Math"/>
        </w:rPr>
        <w:t>𝑆𝑃𝑉𝑖𝑡</w:t>
      </w:r>
      <w:r w:rsidRPr="0000056E">
        <w:rPr>
          <w:rFonts w:ascii="Arial" w:hAnsi="Arial" w:cs="Arial"/>
        </w:rPr>
        <w:t xml:space="preserve">+ </w:t>
      </w:r>
      <m:oMath>
        <m:sSub>
          <m:sSubPr>
            <m:ctrlPr>
              <w:rPr>
                <w:rFonts w:ascii="Cambria Math" w:hAnsi="Cambria Math" w:cs="Arial"/>
                <w:i/>
                <w:sz w:val="28"/>
                <w:szCs w:val="28"/>
              </w:rPr>
            </m:ctrlPr>
          </m:sSubPr>
          <m:e>
            <m:r>
              <w:rPr>
                <w:rFonts w:ascii="Cambria Math" w:hAnsi="Cambria Math" w:cs="Arial"/>
                <w:sz w:val="28"/>
                <w:szCs w:val="28"/>
              </w:rPr>
              <m:t>e</m:t>
            </m:r>
          </m:e>
          <m:sub>
            <m:r>
              <w:rPr>
                <w:rFonts w:ascii="Cambria Math" w:hAnsi="Cambria Math" w:cs="Arial"/>
                <w:sz w:val="28"/>
                <w:szCs w:val="28"/>
              </w:rPr>
              <m:t>it</m:t>
            </m:r>
          </m:sub>
        </m:sSub>
      </m:oMath>
    </w:p>
    <w:p w14:paraId="4B6A1524" w14:textId="77777777" w:rsidR="0000056E" w:rsidRDefault="0000056E" w:rsidP="0000056E">
      <w:pPr>
        <w:pStyle w:val="Body"/>
        <w:spacing w:after="0"/>
        <w:rPr>
          <w:rFonts w:ascii="Cambria Math" w:hAnsi="Cambria Math" w:cs="Cambria Math"/>
        </w:rPr>
      </w:pPr>
    </w:p>
    <w:p w14:paraId="47B6AB42" w14:textId="42F1BBEA" w:rsidR="0000056E" w:rsidRPr="0000056E" w:rsidRDefault="0000056E" w:rsidP="0000056E">
      <w:pPr>
        <w:pStyle w:val="Body"/>
        <w:spacing w:after="0"/>
        <w:rPr>
          <w:rFonts w:ascii="Arial" w:hAnsi="Arial" w:cs="Arial"/>
        </w:rPr>
      </w:pPr>
      <w:proofErr w:type="gramStart"/>
      <w:r>
        <w:rPr>
          <w:rFonts w:ascii="Cambria Math" w:hAnsi="Cambria Math" w:cs="Cambria Math"/>
        </w:rPr>
        <w:t>Dimana :</w:t>
      </w:r>
      <w:proofErr w:type="gramEnd"/>
    </w:p>
    <w:p w14:paraId="254B4E5A" w14:textId="4AC25E17" w:rsidR="0000056E" w:rsidRPr="0000056E" w:rsidRDefault="0000056E" w:rsidP="0000056E">
      <w:pPr>
        <w:pStyle w:val="Body"/>
        <w:spacing w:after="0"/>
        <w:rPr>
          <w:rFonts w:ascii="Arial" w:hAnsi="Arial" w:cs="Arial"/>
        </w:rPr>
      </w:pPr>
      <w:r w:rsidRPr="0000056E">
        <w:rPr>
          <w:rFonts w:ascii="Arial" w:hAnsi="Arial" w:cs="Arial"/>
        </w:rPr>
        <w:t>FO</w:t>
      </w:r>
      <w:r w:rsidRPr="0000056E">
        <w:rPr>
          <w:rFonts w:ascii="Arial" w:hAnsi="Arial" w:cs="Arial"/>
        </w:rPr>
        <w:tab/>
        <w:t xml:space="preserve">= </w:t>
      </w:r>
      <w:r w:rsidR="00E04693" w:rsidRPr="00E04693">
        <w:rPr>
          <w:rFonts w:ascii="Arial" w:hAnsi="Arial" w:cs="Arial"/>
        </w:rPr>
        <w:t xml:space="preserve">Company ownership in company </w:t>
      </w:r>
      <w:proofErr w:type="spellStart"/>
      <w:r w:rsidR="00E04693" w:rsidRPr="00E04693">
        <w:rPr>
          <w:rFonts w:ascii="Arial" w:hAnsi="Arial" w:cs="Arial"/>
        </w:rPr>
        <w:t>i</w:t>
      </w:r>
      <w:proofErr w:type="spellEnd"/>
      <w:r w:rsidR="00E04693" w:rsidRPr="00E04693">
        <w:rPr>
          <w:rFonts w:ascii="Arial" w:hAnsi="Arial" w:cs="Arial"/>
        </w:rPr>
        <w:t xml:space="preserve"> and period t</w:t>
      </w:r>
    </w:p>
    <w:p w14:paraId="5F3C8964" w14:textId="03776586" w:rsidR="00E04693" w:rsidRPr="00E04693" w:rsidRDefault="00E04693" w:rsidP="00E04693">
      <w:pPr>
        <w:pStyle w:val="Body"/>
        <w:spacing w:after="0"/>
        <w:rPr>
          <w:rFonts w:ascii="Arial" w:hAnsi="Arial" w:cs="Arial"/>
        </w:rPr>
      </w:pPr>
      <w:r w:rsidRPr="00E04693">
        <w:rPr>
          <w:rFonts w:ascii="Arial" w:hAnsi="Arial" w:cs="Arial"/>
        </w:rPr>
        <w:t xml:space="preserve">DOI    </w:t>
      </w:r>
      <w:r w:rsidR="00651AE5">
        <w:rPr>
          <w:rFonts w:ascii="Arial" w:hAnsi="Arial" w:cs="Arial"/>
        </w:rPr>
        <w:tab/>
      </w:r>
      <w:r w:rsidRPr="00E04693">
        <w:rPr>
          <w:rFonts w:ascii="Arial" w:hAnsi="Arial" w:cs="Arial"/>
        </w:rPr>
        <w:t xml:space="preserve">= Internationalization in company </w:t>
      </w:r>
      <w:proofErr w:type="spellStart"/>
      <w:r w:rsidRPr="00E04693">
        <w:rPr>
          <w:rFonts w:ascii="Arial" w:hAnsi="Arial" w:cs="Arial"/>
        </w:rPr>
        <w:t>i</w:t>
      </w:r>
      <w:proofErr w:type="spellEnd"/>
      <w:r w:rsidRPr="00E04693">
        <w:rPr>
          <w:rFonts w:ascii="Arial" w:hAnsi="Arial" w:cs="Arial"/>
        </w:rPr>
        <w:t xml:space="preserve"> and period t</w:t>
      </w:r>
    </w:p>
    <w:p w14:paraId="306FAF06" w14:textId="1B4BC6B0" w:rsidR="00E04693" w:rsidRPr="00E04693" w:rsidRDefault="00E04693" w:rsidP="00E04693">
      <w:pPr>
        <w:pStyle w:val="Body"/>
        <w:spacing w:after="0"/>
        <w:rPr>
          <w:rFonts w:ascii="Arial" w:hAnsi="Arial" w:cs="Arial"/>
        </w:rPr>
      </w:pPr>
      <w:r w:rsidRPr="00E04693">
        <w:rPr>
          <w:rFonts w:ascii="Arial" w:hAnsi="Arial" w:cs="Arial"/>
        </w:rPr>
        <w:t xml:space="preserve">SPV    </w:t>
      </w:r>
      <w:r w:rsidR="00651AE5">
        <w:rPr>
          <w:rFonts w:ascii="Arial" w:hAnsi="Arial" w:cs="Arial"/>
        </w:rPr>
        <w:tab/>
      </w:r>
      <w:r w:rsidRPr="00E04693">
        <w:rPr>
          <w:rFonts w:ascii="Arial" w:hAnsi="Arial" w:cs="Arial"/>
        </w:rPr>
        <w:t xml:space="preserve">= Sustainable proposition value in company </w:t>
      </w:r>
      <w:proofErr w:type="spellStart"/>
      <w:r w:rsidRPr="00E04693">
        <w:rPr>
          <w:rFonts w:ascii="Arial" w:hAnsi="Arial" w:cs="Arial"/>
        </w:rPr>
        <w:t>i</w:t>
      </w:r>
      <w:proofErr w:type="spellEnd"/>
      <w:r w:rsidRPr="00E04693">
        <w:rPr>
          <w:rFonts w:ascii="Arial" w:hAnsi="Arial" w:cs="Arial"/>
        </w:rPr>
        <w:t xml:space="preserve"> and period t</w:t>
      </w:r>
    </w:p>
    <w:p w14:paraId="02CD34CF" w14:textId="5291E575" w:rsidR="00E04693" w:rsidRDefault="00E04693" w:rsidP="00E04693">
      <w:pPr>
        <w:pStyle w:val="Body"/>
        <w:spacing w:after="0"/>
        <w:rPr>
          <w:rFonts w:ascii="Arial" w:hAnsi="Arial" w:cs="Arial"/>
        </w:rPr>
      </w:pPr>
      <w:proofErr w:type="spellStart"/>
      <w:r w:rsidRPr="00E04693">
        <w:rPr>
          <w:rFonts w:ascii="Arial" w:hAnsi="Arial" w:cs="Arial"/>
        </w:rPr>
        <w:t>Te</w:t>
      </w:r>
      <w:proofErr w:type="spellEnd"/>
      <w:r w:rsidRPr="00E04693">
        <w:rPr>
          <w:rFonts w:ascii="Arial" w:hAnsi="Arial" w:cs="Arial"/>
        </w:rPr>
        <w:t xml:space="preserve">    </w:t>
      </w:r>
      <w:r w:rsidR="00651AE5">
        <w:rPr>
          <w:rFonts w:ascii="Arial" w:hAnsi="Arial" w:cs="Arial"/>
        </w:rPr>
        <w:tab/>
      </w:r>
      <w:r w:rsidRPr="00E04693">
        <w:rPr>
          <w:rFonts w:ascii="Arial" w:hAnsi="Arial" w:cs="Arial"/>
        </w:rPr>
        <w:t xml:space="preserve">= Technical efficiency in company </w:t>
      </w:r>
      <w:proofErr w:type="spellStart"/>
      <w:r w:rsidRPr="00E04693">
        <w:rPr>
          <w:rFonts w:ascii="Arial" w:hAnsi="Arial" w:cs="Arial"/>
        </w:rPr>
        <w:t>i</w:t>
      </w:r>
      <w:proofErr w:type="spellEnd"/>
      <w:r w:rsidRPr="00E04693">
        <w:rPr>
          <w:rFonts w:ascii="Arial" w:hAnsi="Arial" w:cs="Arial"/>
        </w:rPr>
        <w:t xml:space="preserve"> and period t</w:t>
      </w:r>
    </w:p>
    <w:p w14:paraId="2C1DC367" w14:textId="3FA046E9" w:rsidR="0000056E" w:rsidRPr="0000056E" w:rsidRDefault="0000056E" w:rsidP="00E04693">
      <w:pPr>
        <w:pStyle w:val="Body"/>
        <w:spacing w:after="0"/>
        <w:rPr>
          <w:rFonts w:ascii="Arial" w:hAnsi="Arial" w:cs="Arial"/>
        </w:rPr>
      </w:pPr>
      <w:r w:rsidRPr="0000056E">
        <w:rPr>
          <w:rFonts w:ascii="Cambria Math" w:hAnsi="Cambria Math" w:cs="Cambria Math"/>
        </w:rPr>
        <w:t>𝛽</w:t>
      </w:r>
      <w:r w:rsidRPr="0000056E">
        <w:rPr>
          <w:rFonts w:ascii="Arial" w:hAnsi="Arial" w:cs="Arial"/>
        </w:rPr>
        <w:t>o</w:t>
      </w:r>
      <w:r w:rsidRPr="0000056E">
        <w:rPr>
          <w:rFonts w:ascii="Arial" w:hAnsi="Arial" w:cs="Arial"/>
        </w:rPr>
        <w:tab/>
        <w:t>= Constant model 1</w:t>
      </w:r>
    </w:p>
    <w:p w14:paraId="0CDE0702" w14:textId="4FD2799B" w:rsidR="0000056E" w:rsidRPr="0000056E" w:rsidRDefault="0000056E" w:rsidP="0000056E">
      <w:pPr>
        <w:pStyle w:val="Body"/>
        <w:spacing w:after="0"/>
        <w:rPr>
          <w:rFonts w:ascii="Arial" w:hAnsi="Arial" w:cs="Arial"/>
        </w:rPr>
      </w:pPr>
      <w:proofErr w:type="spellStart"/>
      <w:r w:rsidRPr="0000056E">
        <w:rPr>
          <w:rFonts w:ascii="Arial" w:hAnsi="Arial" w:cs="Arial"/>
        </w:rPr>
        <w:lastRenderedPageBreak/>
        <w:t>δo</w:t>
      </w:r>
      <w:proofErr w:type="spellEnd"/>
      <w:r w:rsidRPr="0000056E">
        <w:rPr>
          <w:rFonts w:ascii="Arial" w:hAnsi="Arial" w:cs="Arial"/>
        </w:rPr>
        <w:tab/>
        <w:t>= Constant model 2</w:t>
      </w:r>
    </w:p>
    <w:p w14:paraId="3CBFA13B" w14:textId="5C78795C" w:rsidR="0000056E" w:rsidRPr="0000056E" w:rsidRDefault="0000056E" w:rsidP="0000056E">
      <w:pPr>
        <w:pStyle w:val="Body"/>
        <w:spacing w:after="0"/>
        <w:rPr>
          <w:rFonts w:ascii="Arial" w:hAnsi="Arial" w:cs="Arial"/>
        </w:rPr>
      </w:pPr>
      <w:r w:rsidRPr="0000056E">
        <w:rPr>
          <w:rFonts w:ascii="Cambria Math" w:hAnsi="Cambria Math" w:cs="Cambria Math"/>
        </w:rPr>
        <w:t>𝛽</w:t>
      </w:r>
      <w:r w:rsidRPr="0000056E">
        <w:rPr>
          <w:rFonts w:ascii="Arial" w:hAnsi="Arial" w:cs="Arial"/>
        </w:rPr>
        <w:t xml:space="preserve">1 − </w:t>
      </w:r>
      <w:r w:rsidRPr="0000056E">
        <w:rPr>
          <w:rFonts w:ascii="Cambria Math" w:hAnsi="Cambria Math" w:cs="Cambria Math"/>
        </w:rPr>
        <w:t>𝛽</w:t>
      </w:r>
      <w:r w:rsidRPr="0000056E">
        <w:rPr>
          <w:rFonts w:ascii="Arial" w:hAnsi="Arial" w:cs="Arial"/>
        </w:rPr>
        <w:t>3</w:t>
      </w:r>
      <w:r w:rsidRPr="0000056E">
        <w:rPr>
          <w:rFonts w:ascii="Arial" w:hAnsi="Arial" w:cs="Arial"/>
        </w:rPr>
        <w:tab/>
        <w:t>=</w:t>
      </w:r>
      <w:r>
        <w:rPr>
          <w:rFonts w:ascii="Arial" w:hAnsi="Arial" w:cs="Arial"/>
        </w:rPr>
        <w:t xml:space="preserve"> </w:t>
      </w:r>
      <w:r w:rsidR="004928BC" w:rsidRPr="004928BC">
        <w:rPr>
          <w:rFonts w:ascii="Arial" w:hAnsi="Arial" w:cs="Arial"/>
        </w:rPr>
        <w:t>Coefficient of influence model</w:t>
      </w:r>
      <w:r w:rsidR="004928BC">
        <w:rPr>
          <w:rFonts w:ascii="Arial" w:hAnsi="Arial" w:cs="Arial"/>
        </w:rPr>
        <w:t xml:space="preserve"> </w:t>
      </w:r>
      <w:r w:rsidRPr="0000056E">
        <w:rPr>
          <w:rFonts w:ascii="Arial" w:hAnsi="Arial" w:cs="Arial"/>
        </w:rPr>
        <w:t>1</w:t>
      </w:r>
    </w:p>
    <w:p w14:paraId="1E99358B" w14:textId="013FD82D" w:rsidR="0000056E" w:rsidRPr="0000056E" w:rsidRDefault="0000056E" w:rsidP="0000056E">
      <w:pPr>
        <w:pStyle w:val="Body"/>
        <w:spacing w:after="0"/>
        <w:rPr>
          <w:rFonts w:ascii="Arial" w:hAnsi="Arial" w:cs="Arial"/>
        </w:rPr>
      </w:pPr>
      <w:r w:rsidRPr="0000056E">
        <w:rPr>
          <w:rFonts w:ascii="Arial" w:hAnsi="Arial" w:cs="Arial"/>
        </w:rPr>
        <w:t>δ1 – δ4</w:t>
      </w:r>
      <w:r w:rsidRPr="0000056E">
        <w:rPr>
          <w:rFonts w:ascii="Arial" w:hAnsi="Arial" w:cs="Arial"/>
        </w:rPr>
        <w:tab/>
        <w:t>=</w:t>
      </w:r>
      <w:r>
        <w:rPr>
          <w:rFonts w:ascii="Arial" w:hAnsi="Arial" w:cs="Arial"/>
        </w:rPr>
        <w:t xml:space="preserve"> </w:t>
      </w:r>
      <w:r w:rsidR="004928BC" w:rsidRPr="004928BC">
        <w:rPr>
          <w:rFonts w:ascii="Arial" w:hAnsi="Arial" w:cs="Arial"/>
        </w:rPr>
        <w:t>Coefficient of influence model</w:t>
      </w:r>
      <w:r w:rsidR="004928BC">
        <w:rPr>
          <w:rFonts w:ascii="Arial" w:hAnsi="Arial" w:cs="Arial"/>
        </w:rPr>
        <w:t xml:space="preserve"> </w:t>
      </w:r>
      <w:r w:rsidRPr="0000056E">
        <w:rPr>
          <w:rFonts w:ascii="Arial" w:hAnsi="Arial" w:cs="Arial"/>
        </w:rPr>
        <w:t>2</w:t>
      </w:r>
    </w:p>
    <w:p w14:paraId="76A7D88E" w14:textId="545BF9CD" w:rsidR="0000056E" w:rsidRPr="0000056E" w:rsidRDefault="0000056E" w:rsidP="0000056E">
      <w:pPr>
        <w:pStyle w:val="Body"/>
        <w:spacing w:after="0"/>
        <w:rPr>
          <w:rFonts w:ascii="Arial" w:hAnsi="Arial" w:cs="Arial"/>
        </w:rPr>
      </w:pPr>
      <w:r w:rsidRPr="0000056E">
        <w:rPr>
          <w:rFonts w:ascii="Cambria Math" w:hAnsi="Cambria Math" w:cs="Cambria Math"/>
        </w:rPr>
        <w:t>𝑒𝑖𝑡</w:t>
      </w:r>
      <w:r w:rsidRPr="0000056E">
        <w:rPr>
          <w:rFonts w:ascii="Arial" w:hAnsi="Arial" w:cs="Arial"/>
        </w:rPr>
        <w:tab/>
        <w:t>=</w:t>
      </w:r>
      <w:r>
        <w:rPr>
          <w:rFonts w:ascii="Arial" w:hAnsi="Arial" w:cs="Arial"/>
        </w:rPr>
        <w:t xml:space="preserve"> </w:t>
      </w:r>
      <w:r w:rsidR="004928BC" w:rsidRPr="004928BC">
        <w:rPr>
          <w:rFonts w:ascii="Arial" w:hAnsi="Arial" w:cs="Arial"/>
        </w:rPr>
        <w:t xml:space="preserve">Error term in country </w:t>
      </w:r>
      <w:proofErr w:type="spellStart"/>
      <w:r w:rsidR="004928BC" w:rsidRPr="004928BC">
        <w:rPr>
          <w:rFonts w:ascii="Arial" w:hAnsi="Arial" w:cs="Arial"/>
        </w:rPr>
        <w:t>i</w:t>
      </w:r>
      <w:proofErr w:type="spellEnd"/>
      <w:r w:rsidR="004928BC" w:rsidRPr="004928BC">
        <w:rPr>
          <w:rFonts w:ascii="Arial" w:hAnsi="Arial" w:cs="Arial"/>
        </w:rPr>
        <w:t xml:space="preserve"> in period </w:t>
      </w:r>
      <w:r w:rsidRPr="0000056E">
        <w:rPr>
          <w:rFonts w:ascii="Arial" w:hAnsi="Arial" w:cs="Arial"/>
        </w:rPr>
        <w:t>t</w:t>
      </w:r>
    </w:p>
    <w:p w14:paraId="202BAF3B" w14:textId="162C4B25" w:rsidR="0000056E" w:rsidRPr="0000056E" w:rsidRDefault="0000056E" w:rsidP="0000056E">
      <w:pPr>
        <w:pStyle w:val="Body"/>
        <w:spacing w:after="0"/>
        <w:rPr>
          <w:rFonts w:ascii="Arial" w:hAnsi="Arial" w:cs="Arial"/>
        </w:rPr>
      </w:pPr>
      <w:proofErr w:type="spellStart"/>
      <w:r w:rsidRPr="0000056E">
        <w:rPr>
          <w:rFonts w:ascii="Arial" w:hAnsi="Arial" w:cs="Arial"/>
        </w:rPr>
        <w:t>i</w:t>
      </w:r>
      <w:proofErr w:type="spellEnd"/>
      <w:r w:rsidRPr="0000056E">
        <w:rPr>
          <w:rFonts w:ascii="Arial" w:hAnsi="Arial" w:cs="Arial"/>
        </w:rPr>
        <w:tab/>
        <w:t>=</w:t>
      </w:r>
      <w:r>
        <w:rPr>
          <w:rFonts w:ascii="Arial" w:hAnsi="Arial" w:cs="Arial"/>
        </w:rPr>
        <w:t xml:space="preserve"> </w:t>
      </w:r>
      <w:r w:rsidR="004928BC" w:rsidRPr="004928BC">
        <w:rPr>
          <w:rFonts w:ascii="Arial" w:hAnsi="Arial" w:cs="Arial"/>
        </w:rPr>
        <w:t xml:space="preserve">Company </w:t>
      </w:r>
      <w:r w:rsidRPr="0000056E">
        <w:rPr>
          <w:rFonts w:ascii="Arial" w:hAnsi="Arial" w:cs="Arial"/>
        </w:rPr>
        <w:t>1,</w:t>
      </w:r>
      <w:proofErr w:type="gramStart"/>
      <w:r w:rsidRPr="0000056E">
        <w:rPr>
          <w:rFonts w:ascii="Arial" w:hAnsi="Arial" w:cs="Arial"/>
        </w:rPr>
        <w:t>2,3,...</w:t>
      </w:r>
      <w:proofErr w:type="gramEnd"/>
      <w:r w:rsidRPr="0000056E">
        <w:rPr>
          <w:rFonts w:ascii="Arial" w:hAnsi="Arial" w:cs="Arial"/>
        </w:rPr>
        <w:t xml:space="preserve">.. </w:t>
      </w:r>
      <w:proofErr w:type="spellStart"/>
      <w:r w:rsidRPr="0000056E">
        <w:rPr>
          <w:rFonts w:ascii="Arial" w:hAnsi="Arial" w:cs="Arial"/>
        </w:rPr>
        <w:t>i</w:t>
      </w:r>
      <w:proofErr w:type="spellEnd"/>
    </w:p>
    <w:p w14:paraId="1B32DF2F" w14:textId="0A0D7BF3" w:rsidR="0000056E" w:rsidRDefault="0000056E" w:rsidP="0000056E">
      <w:pPr>
        <w:pStyle w:val="Body"/>
        <w:spacing w:after="0"/>
        <w:rPr>
          <w:rFonts w:ascii="Arial" w:hAnsi="Arial" w:cs="Arial"/>
        </w:rPr>
      </w:pPr>
      <w:r w:rsidRPr="0000056E">
        <w:rPr>
          <w:rFonts w:ascii="Arial" w:hAnsi="Arial" w:cs="Arial"/>
        </w:rPr>
        <w:t>t</w:t>
      </w:r>
      <w:r w:rsidRPr="0000056E">
        <w:rPr>
          <w:rFonts w:ascii="Arial" w:hAnsi="Arial" w:cs="Arial"/>
        </w:rPr>
        <w:tab/>
        <w:t>=</w:t>
      </w:r>
      <w:r>
        <w:rPr>
          <w:rFonts w:ascii="Arial" w:hAnsi="Arial" w:cs="Arial"/>
        </w:rPr>
        <w:t xml:space="preserve"> </w:t>
      </w:r>
      <w:r w:rsidR="004928BC" w:rsidRPr="004928BC">
        <w:rPr>
          <w:rFonts w:ascii="Arial" w:hAnsi="Arial" w:cs="Arial"/>
        </w:rPr>
        <w:t xml:space="preserve">Time </w:t>
      </w:r>
      <w:r w:rsidRPr="0000056E">
        <w:rPr>
          <w:rFonts w:ascii="Arial" w:hAnsi="Arial" w:cs="Arial"/>
        </w:rPr>
        <w:t>1,2,</w:t>
      </w:r>
      <w:proofErr w:type="gramStart"/>
      <w:r w:rsidRPr="0000056E">
        <w:rPr>
          <w:rFonts w:ascii="Arial" w:hAnsi="Arial" w:cs="Arial"/>
        </w:rPr>
        <w:t>3,......</w:t>
      </w:r>
      <w:proofErr w:type="gramEnd"/>
      <w:r w:rsidRPr="0000056E">
        <w:rPr>
          <w:rFonts w:ascii="Arial" w:hAnsi="Arial" w:cs="Arial"/>
        </w:rPr>
        <w:t>, t</w:t>
      </w:r>
    </w:p>
    <w:p w14:paraId="384B24B0" w14:textId="77777777" w:rsidR="0000056E" w:rsidRDefault="0000056E" w:rsidP="00441B6F">
      <w:pPr>
        <w:pStyle w:val="Body"/>
        <w:spacing w:after="0"/>
        <w:rPr>
          <w:rFonts w:ascii="Arial" w:hAnsi="Arial" w:cs="Arial"/>
        </w:rPr>
      </w:pPr>
    </w:p>
    <w:p w14:paraId="0A9183E6" w14:textId="69CA75D8" w:rsidR="00790ADA" w:rsidRDefault="00ED39BF" w:rsidP="00441B6F">
      <w:pPr>
        <w:pStyle w:val="Body"/>
        <w:spacing w:after="0"/>
        <w:rPr>
          <w:rFonts w:ascii="Arial" w:hAnsi="Arial" w:cs="Arial"/>
        </w:rPr>
      </w:pPr>
      <w:r w:rsidRPr="00ED39BF">
        <w:rPr>
          <w:rFonts w:ascii="Arial" w:hAnsi="Arial" w:cs="Arial"/>
          <w:lang w:val="id"/>
        </w:rPr>
        <w:t>Meanwhile, to assess the impact of both independent and dependent variables, this research employs a method of multiple regression using panel data. This method also helps in identifying the most suitable model from three possibilities</w:t>
      </w:r>
      <w:r w:rsidR="00273B6A">
        <w:rPr>
          <w:rFonts w:ascii="Arial" w:hAnsi="Arial" w:cs="Arial"/>
          <w:lang w:val="id"/>
        </w:rPr>
        <w:t>:</w:t>
      </w:r>
      <w:r w:rsidR="00D21628">
        <w:rPr>
          <w:rFonts w:ascii="Arial" w:hAnsi="Arial" w:cs="Arial"/>
        </w:rPr>
        <w:t xml:space="preserve"> </w:t>
      </w:r>
      <w:r w:rsidR="00273B6A" w:rsidRPr="00273B6A">
        <w:rPr>
          <w:rFonts w:ascii="Arial" w:hAnsi="Arial" w:cs="Arial"/>
        </w:rPr>
        <w:t xml:space="preserve">common effect model (CEM), fixed effect model (FEM) </w:t>
      </w:r>
      <w:r w:rsidR="00273B6A">
        <w:rPr>
          <w:rFonts w:ascii="Arial" w:hAnsi="Arial" w:cs="Arial"/>
        </w:rPr>
        <w:t xml:space="preserve">and </w:t>
      </w:r>
      <w:r w:rsidR="00273B6A" w:rsidRPr="00273B6A">
        <w:rPr>
          <w:rFonts w:ascii="Arial" w:hAnsi="Arial" w:cs="Arial"/>
        </w:rPr>
        <w:t>random effect model (REM</w:t>
      </w:r>
    </w:p>
    <w:p w14:paraId="672E03D0" w14:textId="77777777" w:rsidR="001E168F" w:rsidRDefault="001E168F" w:rsidP="00441B6F">
      <w:pPr>
        <w:pStyle w:val="Body"/>
        <w:spacing w:after="0"/>
        <w:rPr>
          <w:rFonts w:ascii="Arial" w:hAnsi="Arial" w:cs="Arial"/>
        </w:rPr>
      </w:pPr>
    </w:p>
    <w:p w14:paraId="6F776748" w14:textId="77777777" w:rsidR="001E168F" w:rsidRPr="001E168F" w:rsidRDefault="001E168F" w:rsidP="001E168F">
      <w:pPr>
        <w:pStyle w:val="ListParagraph"/>
        <w:numPr>
          <w:ilvl w:val="0"/>
          <w:numId w:val="37"/>
        </w:numPr>
        <w:contextualSpacing w:val="0"/>
        <w:jc w:val="both"/>
        <w:rPr>
          <w:rFonts w:ascii="Arial" w:hAnsi="Arial" w:cs="Arial"/>
          <w:vanish/>
        </w:rPr>
      </w:pPr>
    </w:p>
    <w:p w14:paraId="7C66C01E" w14:textId="77777777" w:rsidR="001E168F" w:rsidRPr="001E168F" w:rsidRDefault="001E168F" w:rsidP="001E168F">
      <w:pPr>
        <w:pStyle w:val="ListParagraph"/>
        <w:numPr>
          <w:ilvl w:val="0"/>
          <w:numId w:val="37"/>
        </w:numPr>
        <w:contextualSpacing w:val="0"/>
        <w:jc w:val="both"/>
        <w:rPr>
          <w:rFonts w:ascii="Arial" w:hAnsi="Arial" w:cs="Arial"/>
          <w:vanish/>
        </w:rPr>
      </w:pPr>
    </w:p>
    <w:p w14:paraId="0A0F1FAB" w14:textId="1BF74D30" w:rsidR="001E168F" w:rsidRDefault="004928BC" w:rsidP="001E168F">
      <w:pPr>
        <w:pStyle w:val="ListParagraph"/>
        <w:numPr>
          <w:ilvl w:val="1"/>
          <w:numId w:val="37"/>
        </w:numPr>
        <w:rPr>
          <w:rFonts w:ascii="Arial" w:hAnsi="Arial" w:cs="Arial"/>
          <w:b/>
          <w:bCs/>
          <w:sz w:val="22"/>
          <w:szCs w:val="22"/>
        </w:rPr>
      </w:pPr>
      <w:r w:rsidRPr="004928BC">
        <w:rPr>
          <w:rFonts w:ascii="Arial" w:hAnsi="Arial" w:cs="Arial"/>
          <w:b/>
          <w:bCs/>
          <w:sz w:val="22"/>
          <w:szCs w:val="22"/>
        </w:rPr>
        <w:t xml:space="preserve">COMPANY OWNERSHIP (FO) </w:t>
      </w:r>
    </w:p>
    <w:p w14:paraId="6E1D7007" w14:textId="77777777" w:rsidR="001E168F" w:rsidRPr="001E168F" w:rsidRDefault="001E168F" w:rsidP="001E168F">
      <w:pPr>
        <w:rPr>
          <w:rFonts w:ascii="Arial" w:hAnsi="Arial" w:cs="Arial"/>
          <w:b/>
          <w:bCs/>
        </w:rPr>
      </w:pPr>
    </w:p>
    <w:p w14:paraId="5C10DDFE" w14:textId="7E831871" w:rsidR="00036883" w:rsidRPr="00036883" w:rsidRDefault="00ED39BF" w:rsidP="00036883">
      <w:pPr>
        <w:jc w:val="both"/>
        <w:rPr>
          <w:rFonts w:ascii="Arial" w:hAnsi="Arial" w:cs="Arial"/>
          <w:lang w:val="id"/>
        </w:rPr>
      </w:pPr>
      <w:r w:rsidRPr="00ED39BF">
        <w:rPr>
          <w:rFonts w:ascii="Arial" w:hAnsi="Arial" w:cs="Arial"/>
          <w:lang w:val="id"/>
        </w:rPr>
        <w:t>The level of share ownership will be assessed according to the predominance of ownership (Cheng and Feng, 2023). The calculation for share ownership is represented by the following formula</w:t>
      </w:r>
      <w:r w:rsidR="00036883" w:rsidRPr="00036883">
        <w:rPr>
          <w:rFonts w:ascii="Arial" w:hAnsi="Arial" w:cs="Arial"/>
          <w:lang w:val="id"/>
        </w:rPr>
        <w:t>:</w:t>
      </w:r>
    </w:p>
    <w:p w14:paraId="0E213570" w14:textId="7ECD5F11" w:rsidR="00036883" w:rsidRPr="00036883" w:rsidRDefault="00036883" w:rsidP="00036883">
      <w:pPr>
        <w:rPr>
          <w:rFonts w:ascii="Arial" w:hAnsi="Arial" w:cs="Arial"/>
          <w:iCs/>
          <w:lang w:val="id"/>
        </w:rPr>
      </w:pPr>
      <m:oMathPara>
        <m:oMathParaPr>
          <m:jc m:val="center"/>
        </m:oMathParaPr>
        <m:oMath>
          <m:r>
            <m:rPr>
              <m:sty m:val="p"/>
            </m:rPr>
            <w:rPr>
              <w:rFonts w:ascii="Cambria Math" w:hAnsi="Cambria Math" w:cs="Arial"/>
              <w:lang w:val="id"/>
            </w:rPr>
            <m:t>FO=</m:t>
          </m:r>
          <m:f>
            <m:fPr>
              <m:ctrlPr>
                <w:rPr>
                  <w:rFonts w:ascii="Cambria Math" w:hAnsi="Cambria Math" w:cs="Arial"/>
                  <w:iCs/>
                  <w:lang w:val="id"/>
                </w:rPr>
              </m:ctrlPr>
            </m:fPr>
            <m:num>
              <m:r>
                <m:rPr>
                  <m:sty m:val="p"/>
                </m:rPr>
                <w:rPr>
                  <w:rFonts w:ascii="Cambria Math" w:hAnsi="Cambria Math" w:cs="Arial"/>
                  <w:lang w:val="id"/>
                </w:rPr>
                <m:t>FOS</m:t>
              </m:r>
            </m:num>
            <m:den>
              <m:r>
                <m:rPr>
                  <m:sty m:val="p"/>
                </m:rPr>
                <w:rPr>
                  <w:rFonts w:ascii="Cambria Math" w:hAnsi="Cambria Math" w:cs="Arial"/>
                  <w:lang w:val="id"/>
                </w:rPr>
                <m:t>OST</m:t>
              </m:r>
            </m:den>
          </m:f>
          <m:r>
            <m:rPr>
              <m:sty m:val="p"/>
            </m:rPr>
            <w:rPr>
              <w:rFonts w:ascii="Cambria Math" w:hAnsi="Cambria Math" w:cs="Arial"/>
              <w:lang w:val="id"/>
            </w:rPr>
            <m:t>X100%</m:t>
          </m:r>
        </m:oMath>
      </m:oMathPara>
    </w:p>
    <w:p w14:paraId="573CDC7F" w14:textId="77777777" w:rsidR="004928BC" w:rsidRPr="004928BC" w:rsidRDefault="004928BC" w:rsidP="004928BC">
      <w:pPr>
        <w:rPr>
          <w:rFonts w:ascii="Arial" w:hAnsi="Arial" w:cs="Arial"/>
          <w:lang w:val="id"/>
        </w:rPr>
      </w:pPr>
      <w:r w:rsidRPr="004928BC">
        <w:rPr>
          <w:rFonts w:ascii="Arial" w:hAnsi="Arial" w:cs="Arial"/>
          <w:lang w:val="id"/>
        </w:rPr>
        <w:t xml:space="preserve">Where </w:t>
      </w:r>
    </w:p>
    <w:p w14:paraId="54E3CB21" w14:textId="319D2375" w:rsidR="004928BC" w:rsidRPr="004928BC" w:rsidRDefault="004928BC" w:rsidP="004928BC">
      <w:pPr>
        <w:rPr>
          <w:rFonts w:ascii="Arial" w:hAnsi="Arial" w:cs="Arial"/>
          <w:lang w:val="id"/>
        </w:rPr>
      </w:pPr>
      <w:r w:rsidRPr="004928BC">
        <w:rPr>
          <w:rFonts w:ascii="Arial" w:hAnsi="Arial" w:cs="Arial"/>
          <w:lang w:val="id"/>
        </w:rPr>
        <w:t>FO</w:t>
      </w:r>
      <w:r>
        <w:rPr>
          <w:rFonts w:ascii="Arial" w:hAnsi="Arial" w:cs="Arial"/>
          <w:lang w:val="id"/>
        </w:rPr>
        <w:tab/>
      </w:r>
      <w:r w:rsidRPr="004928BC">
        <w:rPr>
          <w:rFonts w:ascii="Arial" w:hAnsi="Arial" w:cs="Arial"/>
          <w:lang w:val="id"/>
        </w:rPr>
        <w:t xml:space="preserve">= Institutional share ownership </w:t>
      </w:r>
    </w:p>
    <w:p w14:paraId="41F48668" w14:textId="77777777" w:rsidR="004928BC" w:rsidRPr="004928BC" w:rsidRDefault="004928BC" w:rsidP="004928BC">
      <w:pPr>
        <w:rPr>
          <w:rFonts w:ascii="Arial" w:hAnsi="Arial" w:cs="Arial"/>
          <w:lang w:val="id"/>
        </w:rPr>
      </w:pPr>
      <w:r w:rsidRPr="004928BC">
        <w:rPr>
          <w:rFonts w:ascii="Arial" w:hAnsi="Arial" w:cs="Arial"/>
          <w:lang w:val="id"/>
        </w:rPr>
        <w:t>FOS</w:t>
      </w:r>
      <w:r w:rsidRPr="004928BC">
        <w:rPr>
          <w:rFonts w:ascii="Arial" w:hAnsi="Arial" w:cs="Arial"/>
          <w:lang w:val="id"/>
        </w:rPr>
        <w:tab/>
        <w:t>= Number of shares owned by institutions (sheets)</w:t>
      </w:r>
    </w:p>
    <w:p w14:paraId="03F58ED8" w14:textId="1A0E7493" w:rsidR="001E168F" w:rsidRDefault="004928BC" w:rsidP="004928BC">
      <w:pPr>
        <w:rPr>
          <w:rFonts w:ascii="Arial" w:hAnsi="Arial" w:cs="Arial"/>
          <w:lang w:val="id"/>
        </w:rPr>
      </w:pPr>
      <w:r w:rsidRPr="004928BC">
        <w:rPr>
          <w:rFonts w:ascii="Arial" w:hAnsi="Arial" w:cs="Arial"/>
          <w:lang w:val="id"/>
        </w:rPr>
        <w:t>OST</w:t>
      </w:r>
      <w:r>
        <w:rPr>
          <w:rFonts w:ascii="Arial" w:hAnsi="Arial" w:cs="Arial"/>
          <w:lang w:val="id"/>
        </w:rPr>
        <w:tab/>
      </w:r>
      <w:r w:rsidRPr="004928BC">
        <w:rPr>
          <w:rFonts w:ascii="Arial" w:hAnsi="Arial" w:cs="Arial"/>
          <w:lang w:val="id"/>
        </w:rPr>
        <w:t>= Number of shares outstanding (sheets)</w:t>
      </w:r>
    </w:p>
    <w:p w14:paraId="0C38CA79" w14:textId="77777777" w:rsidR="004928BC" w:rsidRPr="001E168F" w:rsidRDefault="004928BC" w:rsidP="004928BC">
      <w:pPr>
        <w:rPr>
          <w:rFonts w:ascii="Arial" w:hAnsi="Arial" w:cs="Arial"/>
          <w:b/>
          <w:bCs/>
        </w:rPr>
      </w:pPr>
    </w:p>
    <w:p w14:paraId="67E8819D" w14:textId="3368EC06" w:rsidR="001E168F" w:rsidRDefault="004928BC" w:rsidP="001E168F">
      <w:pPr>
        <w:pStyle w:val="ListParagraph"/>
        <w:numPr>
          <w:ilvl w:val="1"/>
          <w:numId w:val="37"/>
        </w:numPr>
        <w:rPr>
          <w:rFonts w:ascii="Arial" w:hAnsi="Arial" w:cs="Arial"/>
          <w:b/>
          <w:bCs/>
          <w:sz w:val="22"/>
          <w:szCs w:val="22"/>
        </w:rPr>
      </w:pPr>
      <w:r w:rsidRPr="004928BC">
        <w:rPr>
          <w:rFonts w:ascii="Arial" w:hAnsi="Arial" w:cs="Arial"/>
          <w:b/>
          <w:bCs/>
          <w:sz w:val="22"/>
          <w:szCs w:val="22"/>
        </w:rPr>
        <w:t xml:space="preserve">INTERNATIONALIZATION </w:t>
      </w:r>
      <w:r w:rsidR="001E168F" w:rsidRPr="001E168F">
        <w:rPr>
          <w:rFonts w:ascii="Arial" w:hAnsi="Arial" w:cs="Arial"/>
          <w:b/>
          <w:bCs/>
          <w:sz w:val="22"/>
          <w:szCs w:val="22"/>
        </w:rPr>
        <w:t>(DOI)</w:t>
      </w:r>
    </w:p>
    <w:p w14:paraId="1B4501CC" w14:textId="77777777" w:rsidR="00036883" w:rsidRPr="00036883" w:rsidRDefault="00036883" w:rsidP="00036883">
      <w:pPr>
        <w:rPr>
          <w:rFonts w:ascii="Arial" w:hAnsi="Arial" w:cs="Arial"/>
        </w:rPr>
      </w:pPr>
    </w:p>
    <w:p w14:paraId="110E80F7" w14:textId="4D98B71D" w:rsidR="00036883" w:rsidRDefault="00ED39BF" w:rsidP="00036883">
      <w:pPr>
        <w:jc w:val="both"/>
        <w:rPr>
          <w:rFonts w:ascii="Arial" w:hAnsi="Arial" w:cs="Arial"/>
          <w:lang w:val="id"/>
        </w:rPr>
      </w:pPr>
      <w:r w:rsidRPr="00ED39BF">
        <w:rPr>
          <w:rFonts w:ascii="Arial" w:hAnsi="Arial" w:cs="Arial"/>
          <w:lang w:val="id"/>
        </w:rPr>
        <w:t>To gauge the extent of internationalization (DOI), foreign assets are compared to total assets (Nguyen and Kim, 2020). Indonesia is currently working to enhance its foreign direct investment (FDI). Thus, for this study, the weighted average of Foreign Assets to Total Assets (FATA) serves as a valid measure of internationalization. The formula applied is:</w:t>
      </w:r>
    </w:p>
    <w:p w14:paraId="73369593" w14:textId="77777777" w:rsidR="00036883" w:rsidRPr="00036883" w:rsidRDefault="00036883" w:rsidP="00036883">
      <w:pPr>
        <w:jc w:val="both"/>
        <w:rPr>
          <w:rFonts w:ascii="Arial" w:hAnsi="Arial" w:cs="Arial"/>
          <w:lang w:val="id"/>
        </w:rPr>
      </w:pPr>
    </w:p>
    <w:p w14:paraId="747632DC" w14:textId="663748D5" w:rsidR="00036883" w:rsidRPr="00036883" w:rsidRDefault="00036883" w:rsidP="00036883">
      <w:pPr>
        <w:rPr>
          <w:rFonts w:ascii="Arial" w:hAnsi="Arial" w:cs="Arial"/>
          <w:iCs/>
          <w:lang w:val="id"/>
        </w:rPr>
      </w:pPr>
      <m:oMathPara>
        <m:oMath>
          <m:r>
            <m:rPr>
              <m:sty m:val="p"/>
            </m:rPr>
            <w:rPr>
              <w:rFonts w:ascii="Cambria Math" w:hAnsi="Cambria Math" w:cs="Arial"/>
              <w:lang w:val="id"/>
            </w:rPr>
            <m:t>FATA =</m:t>
          </m:r>
          <m:f>
            <m:fPr>
              <m:ctrlPr>
                <w:rPr>
                  <w:rFonts w:ascii="Cambria Math" w:hAnsi="Cambria Math" w:cs="Arial"/>
                  <w:iCs/>
                  <w:lang w:val="id"/>
                </w:rPr>
              </m:ctrlPr>
            </m:fPr>
            <m:num>
              <m:r>
                <w:rPr>
                  <w:rFonts w:ascii="Cambria Math" w:hAnsi="Cambria Math" w:cs="Arial"/>
                  <w:lang w:val="id"/>
                </w:rPr>
                <m:t>FRGASST</m:t>
              </m:r>
            </m:num>
            <m:den>
              <m:r>
                <m:rPr>
                  <m:sty m:val="p"/>
                </m:rPr>
                <w:rPr>
                  <w:rFonts w:ascii="Cambria Math" w:hAnsi="Cambria Math" w:cs="Arial"/>
                  <w:lang w:val="id"/>
                </w:rPr>
                <m:t>TA</m:t>
              </m:r>
            </m:den>
          </m:f>
          <m:r>
            <m:rPr>
              <m:sty m:val="p"/>
            </m:rPr>
            <w:rPr>
              <w:rFonts w:ascii="Cambria Math" w:hAnsi="Cambria Math" w:cs="Arial"/>
              <w:lang w:val="id"/>
            </w:rPr>
            <m:t>X100%</m:t>
          </m:r>
        </m:oMath>
      </m:oMathPara>
    </w:p>
    <w:p w14:paraId="41DEC924" w14:textId="77777777" w:rsidR="004928BC" w:rsidRPr="004928BC" w:rsidRDefault="004928BC" w:rsidP="004928BC">
      <w:pPr>
        <w:rPr>
          <w:rFonts w:ascii="Arial" w:hAnsi="Arial" w:cs="Arial"/>
          <w:lang w:val="id"/>
        </w:rPr>
      </w:pPr>
      <w:r w:rsidRPr="004928BC">
        <w:rPr>
          <w:rFonts w:ascii="Arial" w:hAnsi="Arial" w:cs="Arial"/>
          <w:lang w:val="id"/>
        </w:rPr>
        <w:t>Where</w:t>
      </w:r>
    </w:p>
    <w:p w14:paraId="1AD752C1" w14:textId="1F276C33" w:rsidR="004928BC" w:rsidRPr="004928BC" w:rsidRDefault="004928BC" w:rsidP="004928BC">
      <w:pPr>
        <w:rPr>
          <w:rFonts w:ascii="Arial" w:hAnsi="Arial" w:cs="Arial"/>
          <w:lang w:val="id"/>
        </w:rPr>
      </w:pPr>
      <w:r w:rsidRPr="004928BC">
        <w:rPr>
          <w:rFonts w:ascii="Arial" w:hAnsi="Arial" w:cs="Arial"/>
          <w:lang w:val="id"/>
        </w:rPr>
        <w:t>FATA</w:t>
      </w:r>
      <w:r>
        <w:rPr>
          <w:rFonts w:ascii="Arial" w:hAnsi="Arial" w:cs="Arial"/>
          <w:lang w:val="id"/>
        </w:rPr>
        <w:tab/>
      </w:r>
      <w:r>
        <w:rPr>
          <w:rFonts w:ascii="Arial" w:hAnsi="Arial" w:cs="Arial"/>
          <w:lang w:val="id"/>
        </w:rPr>
        <w:tab/>
      </w:r>
      <w:r w:rsidRPr="004928BC">
        <w:rPr>
          <w:rFonts w:ascii="Arial" w:hAnsi="Arial" w:cs="Arial"/>
          <w:lang w:val="id"/>
        </w:rPr>
        <w:t xml:space="preserve">= Degree of Internationalization </w:t>
      </w:r>
    </w:p>
    <w:p w14:paraId="518E8670" w14:textId="77777777" w:rsidR="004928BC" w:rsidRPr="004928BC" w:rsidRDefault="004928BC" w:rsidP="004928BC">
      <w:pPr>
        <w:rPr>
          <w:rFonts w:ascii="Arial" w:hAnsi="Arial" w:cs="Arial"/>
          <w:lang w:val="id"/>
        </w:rPr>
      </w:pPr>
      <w:r w:rsidRPr="004928BC">
        <w:rPr>
          <w:rFonts w:ascii="Arial" w:hAnsi="Arial" w:cs="Arial"/>
          <w:lang w:val="id"/>
        </w:rPr>
        <w:t>FRGASST</w:t>
      </w:r>
      <w:r w:rsidRPr="004928BC">
        <w:rPr>
          <w:rFonts w:ascii="Arial" w:hAnsi="Arial" w:cs="Arial"/>
          <w:lang w:val="id"/>
        </w:rPr>
        <w:tab/>
        <w:t xml:space="preserve">= Total value of foreign assets </w:t>
      </w:r>
    </w:p>
    <w:p w14:paraId="3DBFC870" w14:textId="7970453F" w:rsidR="00036883" w:rsidRPr="00036883" w:rsidRDefault="004928BC" w:rsidP="004928BC">
      <w:pPr>
        <w:rPr>
          <w:rFonts w:ascii="Arial" w:hAnsi="Arial" w:cs="Arial"/>
          <w:lang w:val="id"/>
        </w:rPr>
      </w:pPr>
      <w:r w:rsidRPr="004928BC">
        <w:rPr>
          <w:rFonts w:ascii="Arial" w:hAnsi="Arial" w:cs="Arial"/>
          <w:lang w:val="id"/>
        </w:rPr>
        <w:t>TA</w:t>
      </w:r>
      <w:r>
        <w:rPr>
          <w:rFonts w:ascii="Arial" w:hAnsi="Arial" w:cs="Arial"/>
          <w:lang w:val="id"/>
        </w:rPr>
        <w:tab/>
      </w:r>
      <w:r>
        <w:rPr>
          <w:rFonts w:ascii="Arial" w:hAnsi="Arial" w:cs="Arial"/>
          <w:lang w:val="id"/>
        </w:rPr>
        <w:tab/>
      </w:r>
      <w:r w:rsidRPr="004928BC">
        <w:rPr>
          <w:rFonts w:ascii="Arial" w:hAnsi="Arial" w:cs="Arial"/>
          <w:lang w:val="id"/>
        </w:rPr>
        <w:t>= Total assets</w:t>
      </w:r>
    </w:p>
    <w:p w14:paraId="33590C47" w14:textId="77777777" w:rsidR="00036883" w:rsidRPr="00036883" w:rsidRDefault="00036883" w:rsidP="00036883">
      <w:pPr>
        <w:rPr>
          <w:rFonts w:ascii="Arial" w:hAnsi="Arial" w:cs="Arial"/>
        </w:rPr>
      </w:pPr>
    </w:p>
    <w:p w14:paraId="1CA23433" w14:textId="45C774E1" w:rsidR="001E168F" w:rsidRDefault="004928BC" w:rsidP="001E168F">
      <w:pPr>
        <w:pStyle w:val="ListParagraph"/>
        <w:numPr>
          <w:ilvl w:val="1"/>
          <w:numId w:val="37"/>
        </w:numPr>
        <w:rPr>
          <w:rFonts w:ascii="Arial" w:hAnsi="Arial" w:cs="Arial"/>
          <w:b/>
          <w:bCs/>
          <w:sz w:val="22"/>
          <w:szCs w:val="22"/>
        </w:rPr>
      </w:pPr>
      <w:r w:rsidRPr="004928BC">
        <w:rPr>
          <w:rFonts w:ascii="Arial" w:hAnsi="Arial" w:cs="Arial"/>
          <w:b/>
          <w:bCs/>
          <w:sz w:val="22"/>
          <w:szCs w:val="22"/>
        </w:rPr>
        <w:t>SUSTAINABILITY VALUE</w:t>
      </w:r>
    </w:p>
    <w:p w14:paraId="61756CFD" w14:textId="77777777" w:rsidR="00036883" w:rsidRPr="00036883" w:rsidRDefault="00036883" w:rsidP="00036883">
      <w:pPr>
        <w:rPr>
          <w:rFonts w:ascii="Arial" w:hAnsi="Arial" w:cs="Arial"/>
        </w:rPr>
      </w:pPr>
    </w:p>
    <w:p w14:paraId="77095016" w14:textId="1F52FBEC" w:rsidR="00036883" w:rsidRPr="00036883" w:rsidRDefault="00ED39BF" w:rsidP="00036883">
      <w:pPr>
        <w:jc w:val="both"/>
        <w:rPr>
          <w:rFonts w:ascii="Arial" w:hAnsi="Arial" w:cs="Arial"/>
          <w:lang w:val="id"/>
        </w:rPr>
      </w:pPr>
      <w:r w:rsidRPr="00ED39BF">
        <w:rPr>
          <w:rFonts w:ascii="Arial" w:hAnsi="Arial" w:cs="Arial"/>
          <w:lang w:val="id"/>
        </w:rPr>
        <w:t>Sustainability value is characterized as the dedication to the economic, environmental, and social advantages resulting from a company's products or services, weighing both immediate profits and long-term sustainability (Patala et al. , 2016). Sustainability value is evaluated based on the equation:</w:t>
      </w:r>
    </w:p>
    <w:p w14:paraId="3B525347" w14:textId="1A027A68" w:rsidR="00036883" w:rsidRPr="00036883" w:rsidRDefault="00036883" w:rsidP="00036883">
      <w:pPr>
        <w:rPr>
          <w:rFonts w:ascii="Arial" w:hAnsi="Arial" w:cs="Arial"/>
          <w:iCs/>
          <w:lang w:val="id"/>
        </w:rPr>
      </w:pPr>
      <m:oMathPara>
        <m:oMath>
          <m:r>
            <m:rPr>
              <m:sty m:val="p"/>
            </m:rPr>
            <w:rPr>
              <w:rFonts w:ascii="Cambria Math" w:hAnsi="Cambria Math" w:cs="Arial"/>
              <w:lang w:val="id"/>
            </w:rPr>
            <m:t>SV =</m:t>
          </m:r>
          <m:f>
            <m:fPr>
              <m:ctrlPr>
                <w:rPr>
                  <w:rFonts w:ascii="Cambria Math" w:hAnsi="Cambria Math" w:cs="Arial"/>
                  <w:iCs/>
                  <w:lang w:val="id"/>
                </w:rPr>
              </m:ctrlPr>
            </m:fPr>
            <m:num>
              <m:r>
                <m:rPr>
                  <m:sty m:val="p"/>
                </m:rPr>
                <w:rPr>
                  <w:rFonts w:ascii="Cambria Math" w:hAnsi="Cambria Math" w:cs="Arial"/>
                  <w:lang w:val="id"/>
                </w:rPr>
                <m:t xml:space="preserve">CSR </m:t>
              </m:r>
            </m:num>
            <m:den>
              <m:r>
                <m:rPr>
                  <m:sty m:val="p"/>
                </m:rPr>
                <w:rPr>
                  <w:rFonts w:ascii="Cambria Math" w:hAnsi="Cambria Math" w:cs="Arial"/>
                  <w:lang w:val="id"/>
                </w:rPr>
                <m:t xml:space="preserve">EAT </m:t>
              </m:r>
            </m:den>
          </m:f>
          <m:r>
            <m:rPr>
              <m:sty m:val="p"/>
            </m:rPr>
            <w:rPr>
              <w:rFonts w:ascii="Cambria Math" w:hAnsi="Cambria Math" w:cs="Arial"/>
              <w:lang w:val="id"/>
            </w:rPr>
            <m:t>X100%</m:t>
          </m:r>
        </m:oMath>
      </m:oMathPara>
    </w:p>
    <w:p w14:paraId="6051AB39" w14:textId="77777777" w:rsidR="00036883" w:rsidRPr="00036883" w:rsidRDefault="00036883" w:rsidP="00036883">
      <w:pPr>
        <w:rPr>
          <w:rFonts w:ascii="Arial" w:hAnsi="Arial" w:cs="Arial"/>
          <w:lang w:val="id"/>
        </w:rPr>
      </w:pPr>
    </w:p>
    <w:p w14:paraId="5BB0119D" w14:textId="77777777" w:rsidR="004928BC" w:rsidRPr="004928BC" w:rsidRDefault="004928BC" w:rsidP="004928BC">
      <w:pPr>
        <w:rPr>
          <w:rFonts w:ascii="Arial" w:hAnsi="Arial" w:cs="Arial"/>
          <w:lang w:val="id"/>
        </w:rPr>
      </w:pPr>
      <w:r w:rsidRPr="004928BC">
        <w:rPr>
          <w:rFonts w:ascii="Arial" w:hAnsi="Arial" w:cs="Arial"/>
          <w:lang w:val="id"/>
        </w:rPr>
        <w:t>Where</w:t>
      </w:r>
    </w:p>
    <w:p w14:paraId="0CA0A45B" w14:textId="13B36DB8" w:rsidR="004928BC" w:rsidRPr="004928BC" w:rsidRDefault="004928BC" w:rsidP="004928BC">
      <w:pPr>
        <w:rPr>
          <w:rFonts w:ascii="Arial" w:hAnsi="Arial" w:cs="Arial"/>
          <w:lang w:val="id"/>
        </w:rPr>
      </w:pPr>
      <w:r w:rsidRPr="004928BC">
        <w:rPr>
          <w:rFonts w:ascii="Arial" w:hAnsi="Arial" w:cs="Arial"/>
          <w:lang w:val="id"/>
        </w:rPr>
        <w:t>SV</w:t>
      </w:r>
      <w:r>
        <w:rPr>
          <w:rFonts w:ascii="Arial" w:hAnsi="Arial" w:cs="Arial"/>
          <w:lang w:val="id"/>
        </w:rPr>
        <w:tab/>
      </w:r>
      <w:r w:rsidRPr="004928BC">
        <w:rPr>
          <w:rFonts w:ascii="Arial" w:hAnsi="Arial" w:cs="Arial"/>
          <w:lang w:val="id"/>
        </w:rPr>
        <w:t xml:space="preserve">= Sustainability value </w:t>
      </w:r>
    </w:p>
    <w:p w14:paraId="09CDF541" w14:textId="1853E712" w:rsidR="004928BC" w:rsidRPr="004928BC" w:rsidRDefault="004928BC" w:rsidP="004928BC">
      <w:pPr>
        <w:rPr>
          <w:rFonts w:ascii="Arial" w:hAnsi="Arial" w:cs="Arial"/>
          <w:lang w:val="id"/>
        </w:rPr>
      </w:pPr>
      <w:r w:rsidRPr="004928BC">
        <w:rPr>
          <w:rFonts w:ascii="Arial" w:hAnsi="Arial" w:cs="Arial"/>
          <w:lang w:val="id"/>
        </w:rPr>
        <w:t>CSR</w:t>
      </w:r>
      <w:r>
        <w:rPr>
          <w:rFonts w:ascii="Arial" w:hAnsi="Arial" w:cs="Arial"/>
          <w:lang w:val="id"/>
        </w:rPr>
        <w:tab/>
      </w:r>
      <w:r w:rsidRPr="004928BC">
        <w:rPr>
          <w:rFonts w:ascii="Arial" w:hAnsi="Arial" w:cs="Arial"/>
          <w:lang w:val="id"/>
        </w:rPr>
        <w:t xml:space="preserve">= CSR funds allocated by the company </w:t>
      </w:r>
    </w:p>
    <w:p w14:paraId="0DF8C501" w14:textId="50D175AA" w:rsidR="00036883" w:rsidRDefault="004928BC" w:rsidP="004928BC">
      <w:pPr>
        <w:rPr>
          <w:rFonts w:ascii="Arial" w:hAnsi="Arial" w:cs="Arial"/>
          <w:lang w:val="id"/>
        </w:rPr>
      </w:pPr>
      <w:r w:rsidRPr="004928BC">
        <w:rPr>
          <w:rFonts w:ascii="Arial" w:hAnsi="Arial" w:cs="Arial"/>
          <w:lang w:val="id"/>
        </w:rPr>
        <w:t>EAT</w:t>
      </w:r>
      <w:r>
        <w:rPr>
          <w:rFonts w:ascii="Arial" w:hAnsi="Arial" w:cs="Arial"/>
          <w:lang w:val="id"/>
        </w:rPr>
        <w:tab/>
      </w:r>
      <w:r w:rsidRPr="004928BC">
        <w:rPr>
          <w:rFonts w:ascii="Arial" w:hAnsi="Arial" w:cs="Arial"/>
          <w:lang w:val="id"/>
        </w:rPr>
        <w:t>= Profit after tax</w:t>
      </w:r>
    </w:p>
    <w:p w14:paraId="2DCA580E" w14:textId="77777777" w:rsidR="00956382" w:rsidRDefault="00956382" w:rsidP="004928BC">
      <w:pPr>
        <w:rPr>
          <w:rFonts w:ascii="Arial" w:hAnsi="Arial" w:cs="Arial"/>
          <w:lang w:val="id"/>
        </w:rPr>
      </w:pPr>
    </w:p>
    <w:p w14:paraId="59606391" w14:textId="77777777" w:rsidR="00956382" w:rsidRDefault="00956382" w:rsidP="004928BC">
      <w:pPr>
        <w:rPr>
          <w:rFonts w:ascii="Arial" w:hAnsi="Arial" w:cs="Arial"/>
          <w:lang w:val="id"/>
        </w:rPr>
      </w:pPr>
    </w:p>
    <w:p w14:paraId="4EF8CA67" w14:textId="77777777" w:rsidR="004928BC" w:rsidRPr="00036883" w:rsidRDefault="004928BC" w:rsidP="004928BC">
      <w:pPr>
        <w:rPr>
          <w:rFonts w:ascii="Arial" w:hAnsi="Arial" w:cs="Arial"/>
        </w:rPr>
      </w:pPr>
    </w:p>
    <w:p w14:paraId="5D2A7305" w14:textId="7F4E3CA3" w:rsidR="001E168F" w:rsidRPr="001E168F" w:rsidRDefault="004928BC" w:rsidP="001E168F">
      <w:pPr>
        <w:pStyle w:val="ListParagraph"/>
        <w:numPr>
          <w:ilvl w:val="1"/>
          <w:numId w:val="37"/>
        </w:numPr>
        <w:rPr>
          <w:rFonts w:ascii="Arial" w:hAnsi="Arial" w:cs="Arial"/>
          <w:b/>
          <w:bCs/>
          <w:sz w:val="22"/>
          <w:szCs w:val="22"/>
        </w:rPr>
      </w:pPr>
      <w:r w:rsidRPr="004928BC">
        <w:rPr>
          <w:rFonts w:ascii="Arial" w:hAnsi="Arial" w:cs="Arial"/>
          <w:b/>
          <w:bCs/>
          <w:sz w:val="22"/>
          <w:szCs w:val="22"/>
        </w:rPr>
        <w:t>TECHNICAL EFFICIENCY</w:t>
      </w:r>
    </w:p>
    <w:p w14:paraId="5F05F747" w14:textId="52C22087" w:rsidR="001E168F" w:rsidRPr="00FB3A86" w:rsidRDefault="001E168F" w:rsidP="00036883">
      <w:pPr>
        <w:pStyle w:val="Body"/>
        <w:spacing w:after="0"/>
        <w:rPr>
          <w:rFonts w:ascii="Arial" w:hAnsi="Arial" w:cs="Arial"/>
        </w:rPr>
      </w:pPr>
    </w:p>
    <w:p w14:paraId="5844D1E5" w14:textId="661A9876" w:rsidR="008015B8" w:rsidRPr="008015B8" w:rsidRDefault="00931CAE" w:rsidP="008015B8">
      <w:pPr>
        <w:pStyle w:val="Body"/>
        <w:spacing w:after="0"/>
        <w:rPr>
          <w:rFonts w:ascii="Arial" w:hAnsi="Arial" w:cs="Arial"/>
          <w:lang w:val="id"/>
        </w:rPr>
      </w:pPr>
      <w:r w:rsidRPr="00931CAE">
        <w:rPr>
          <w:rFonts w:ascii="Arial" w:hAnsi="Arial" w:cs="Arial"/>
          <w:lang w:val="id"/>
        </w:rPr>
        <w:t>Technical efficiency regarding production functions is analyzed through Data Envelopment Analysis (DEA). Total Factor Productivity (TFP) serves as a metric for this efficiency. In 1957, Robert M. Solow laid the mathematical groundwork for growth accounting with the neoclassical production function. Solow proposed a straightforward annual aggregate output model over a period (t), where Yt signifies total output. Aggregate inputs are comprised of Kt, which indicates physical capital, Lt for labor, Tt for technological investment, Rt for research and development value, and At for TFP. The primary equation is:</w:t>
      </w:r>
    </w:p>
    <w:p w14:paraId="20F93400" w14:textId="77777777" w:rsidR="008015B8" w:rsidRDefault="008015B8" w:rsidP="008015B8">
      <w:pPr>
        <w:pStyle w:val="Body"/>
        <w:spacing w:after="0"/>
        <w:rPr>
          <w:rFonts w:ascii="Cambria Math" w:hAnsi="Cambria Math" w:cs="Cambria Math"/>
          <w:lang w:val="id"/>
        </w:rPr>
      </w:pPr>
    </w:p>
    <w:p w14:paraId="6335103C" w14:textId="1DCB72A0" w:rsidR="008015B8" w:rsidRPr="008015B8" w:rsidRDefault="008015B8" w:rsidP="008015B8">
      <w:pPr>
        <w:pStyle w:val="Body"/>
        <w:spacing w:after="0"/>
        <w:jc w:val="center"/>
        <w:rPr>
          <w:rFonts w:ascii="Arial" w:hAnsi="Arial" w:cs="Arial"/>
          <w:lang w:val="id"/>
        </w:rPr>
      </w:pPr>
      <w:r w:rsidRPr="008015B8">
        <w:rPr>
          <w:rFonts w:ascii="Cambria Math" w:hAnsi="Cambria Math" w:cs="Cambria Math"/>
          <w:lang w:val="id"/>
        </w:rPr>
        <w:t>𝑌</w:t>
      </w:r>
      <w:r w:rsidRPr="008015B8">
        <w:rPr>
          <w:rFonts w:ascii="Arial" w:hAnsi="Arial" w:cs="Arial"/>
          <w:vertAlign w:val="subscript"/>
          <w:lang w:val="id"/>
        </w:rPr>
        <w:t xml:space="preserve">t </w:t>
      </w:r>
      <w:r w:rsidRPr="008015B8">
        <w:rPr>
          <w:rFonts w:ascii="Arial" w:hAnsi="Arial" w:cs="Arial"/>
          <w:lang w:val="id"/>
        </w:rPr>
        <w:t xml:space="preserve">= </w:t>
      </w:r>
      <w:r w:rsidRPr="008015B8">
        <w:rPr>
          <w:rFonts w:ascii="Cambria Math" w:hAnsi="Cambria Math" w:cs="Cambria Math"/>
          <w:lang w:val="id"/>
        </w:rPr>
        <w:t>𝐴</w:t>
      </w:r>
      <w:r w:rsidRPr="008015B8">
        <w:rPr>
          <w:rFonts w:ascii="Arial" w:hAnsi="Arial" w:cs="Arial"/>
          <w:vertAlign w:val="subscript"/>
          <w:lang w:val="id"/>
        </w:rPr>
        <w:t xml:space="preserve">t </w:t>
      </w:r>
      <w:r w:rsidRPr="008015B8">
        <w:rPr>
          <w:rFonts w:ascii="Cambria Math" w:hAnsi="Cambria Math" w:cs="Cambria Math"/>
          <w:lang w:val="id"/>
        </w:rPr>
        <w:t>𝐹</w:t>
      </w:r>
      <w:r w:rsidRPr="008015B8">
        <w:rPr>
          <w:rFonts w:ascii="Arial" w:hAnsi="Arial" w:cs="Arial"/>
          <w:lang w:val="id"/>
        </w:rPr>
        <w:t>(</w:t>
      </w:r>
      <w:r w:rsidRPr="008015B8">
        <w:rPr>
          <w:rFonts w:ascii="Cambria Math" w:hAnsi="Cambria Math" w:cs="Cambria Math"/>
          <w:lang w:val="id"/>
        </w:rPr>
        <w:t>𝐾</w:t>
      </w:r>
      <w:r w:rsidRPr="008015B8">
        <w:rPr>
          <w:rFonts w:ascii="Arial" w:hAnsi="Arial" w:cs="Arial"/>
          <w:vertAlign w:val="subscript"/>
          <w:lang w:val="id"/>
        </w:rPr>
        <w:t>t</w:t>
      </w:r>
      <w:r w:rsidRPr="008015B8">
        <w:rPr>
          <w:rFonts w:ascii="Arial" w:hAnsi="Arial" w:cs="Arial"/>
          <w:lang w:val="id"/>
        </w:rPr>
        <w:t xml:space="preserve">, </w:t>
      </w:r>
      <w:r w:rsidRPr="008015B8">
        <w:rPr>
          <w:rFonts w:ascii="Cambria Math" w:hAnsi="Cambria Math" w:cs="Cambria Math"/>
          <w:lang w:val="id"/>
        </w:rPr>
        <w:t>𝐿</w:t>
      </w:r>
      <w:r w:rsidRPr="008015B8">
        <w:rPr>
          <w:rFonts w:ascii="Arial" w:hAnsi="Arial" w:cs="Arial"/>
          <w:vertAlign w:val="subscript"/>
          <w:lang w:val="id"/>
        </w:rPr>
        <w:t>t</w:t>
      </w:r>
      <w:r w:rsidRPr="008015B8">
        <w:rPr>
          <w:rFonts w:ascii="Arial" w:hAnsi="Arial" w:cs="Arial"/>
          <w:lang w:val="id"/>
        </w:rPr>
        <w:t>, , R</w:t>
      </w:r>
      <w:r w:rsidRPr="008015B8">
        <w:rPr>
          <w:rFonts w:ascii="Arial" w:hAnsi="Arial" w:cs="Arial"/>
          <w:vertAlign w:val="subscript"/>
          <w:lang w:val="id"/>
        </w:rPr>
        <w:t>t</w:t>
      </w:r>
      <w:r w:rsidRPr="008015B8">
        <w:rPr>
          <w:rFonts w:ascii="Arial" w:hAnsi="Arial" w:cs="Arial"/>
          <w:lang w:val="id"/>
        </w:rPr>
        <w:t>)</w:t>
      </w:r>
    </w:p>
    <w:p w14:paraId="13CF9637" w14:textId="77777777" w:rsidR="008015B8" w:rsidRDefault="008015B8" w:rsidP="008015B8">
      <w:pPr>
        <w:pStyle w:val="Body"/>
        <w:spacing w:after="0"/>
        <w:rPr>
          <w:rFonts w:ascii="Arial" w:hAnsi="Arial" w:cs="Arial"/>
          <w:lang w:val="id"/>
        </w:rPr>
      </w:pPr>
    </w:p>
    <w:p w14:paraId="484B3BC8" w14:textId="77777777" w:rsidR="004928BC" w:rsidRPr="004928BC" w:rsidRDefault="004928BC" w:rsidP="004928BC">
      <w:pPr>
        <w:pStyle w:val="Body"/>
        <w:spacing w:after="0"/>
        <w:rPr>
          <w:rFonts w:ascii="Arial" w:hAnsi="Arial" w:cs="Arial"/>
          <w:lang w:val="id"/>
        </w:rPr>
      </w:pPr>
      <w:r w:rsidRPr="004928BC">
        <w:rPr>
          <w:rFonts w:ascii="Arial" w:hAnsi="Arial" w:cs="Arial"/>
          <w:lang w:val="id"/>
        </w:rPr>
        <w:t>Where:</w:t>
      </w:r>
    </w:p>
    <w:p w14:paraId="09415116" w14:textId="6D9B5EE1" w:rsidR="004928BC" w:rsidRPr="004928BC" w:rsidRDefault="004928BC" w:rsidP="004928BC">
      <w:pPr>
        <w:pStyle w:val="Body"/>
        <w:spacing w:after="0"/>
        <w:rPr>
          <w:rFonts w:ascii="Arial" w:hAnsi="Arial" w:cs="Arial"/>
          <w:lang w:val="id"/>
        </w:rPr>
      </w:pPr>
      <w:r w:rsidRPr="004928BC">
        <w:rPr>
          <w:rFonts w:ascii="Arial" w:hAnsi="Arial" w:cs="Arial"/>
          <w:lang w:val="id"/>
        </w:rPr>
        <w:t xml:space="preserve">Y </w:t>
      </w:r>
      <w:r>
        <w:rPr>
          <w:rFonts w:ascii="Arial" w:hAnsi="Arial" w:cs="Arial"/>
          <w:lang w:val="id"/>
        </w:rPr>
        <w:tab/>
      </w:r>
      <w:r w:rsidRPr="004928BC">
        <w:rPr>
          <w:rFonts w:ascii="Arial" w:hAnsi="Arial" w:cs="Arial"/>
          <w:lang w:val="id"/>
        </w:rPr>
        <w:t>= Total Factor Productivity (dependent variable)</w:t>
      </w:r>
    </w:p>
    <w:p w14:paraId="29D05BE9" w14:textId="3B0F0887" w:rsidR="004928BC" w:rsidRPr="004928BC" w:rsidRDefault="004928BC" w:rsidP="004928BC">
      <w:pPr>
        <w:pStyle w:val="Body"/>
        <w:spacing w:after="0"/>
        <w:rPr>
          <w:rFonts w:ascii="Arial" w:hAnsi="Arial" w:cs="Arial"/>
          <w:lang w:val="id"/>
        </w:rPr>
      </w:pPr>
      <w:r w:rsidRPr="004928BC">
        <w:rPr>
          <w:rFonts w:ascii="Arial" w:hAnsi="Arial" w:cs="Arial"/>
          <w:lang w:val="id"/>
        </w:rPr>
        <w:t xml:space="preserve">A </w:t>
      </w:r>
      <w:r>
        <w:rPr>
          <w:rFonts w:ascii="Arial" w:hAnsi="Arial" w:cs="Arial"/>
          <w:lang w:val="id"/>
        </w:rPr>
        <w:tab/>
      </w:r>
      <w:r w:rsidRPr="004928BC">
        <w:rPr>
          <w:rFonts w:ascii="Arial" w:hAnsi="Arial" w:cs="Arial"/>
          <w:lang w:val="id"/>
        </w:rPr>
        <w:t>= Alpha (Constant)</w:t>
      </w:r>
    </w:p>
    <w:p w14:paraId="3962C5D9" w14:textId="7A73FCB4" w:rsidR="004928BC" w:rsidRPr="004928BC" w:rsidRDefault="004928BC" w:rsidP="004928BC">
      <w:pPr>
        <w:pStyle w:val="Body"/>
        <w:spacing w:after="0"/>
        <w:rPr>
          <w:rFonts w:ascii="Arial" w:hAnsi="Arial" w:cs="Arial"/>
          <w:lang w:val="id"/>
        </w:rPr>
      </w:pPr>
      <w:r w:rsidRPr="004928BC">
        <w:rPr>
          <w:rFonts w:ascii="Arial" w:hAnsi="Arial" w:cs="Arial"/>
          <w:lang w:val="id"/>
        </w:rPr>
        <w:t xml:space="preserve">t </w:t>
      </w:r>
      <w:r>
        <w:rPr>
          <w:rFonts w:ascii="Arial" w:hAnsi="Arial" w:cs="Arial"/>
          <w:lang w:val="id"/>
        </w:rPr>
        <w:tab/>
      </w:r>
      <w:r w:rsidRPr="004928BC">
        <w:rPr>
          <w:rFonts w:ascii="Arial" w:hAnsi="Arial" w:cs="Arial"/>
          <w:lang w:val="id"/>
        </w:rPr>
        <w:t>= Time period</w:t>
      </w:r>
    </w:p>
    <w:p w14:paraId="1D4CE542" w14:textId="147EEB33" w:rsidR="004928BC" w:rsidRPr="004928BC" w:rsidRDefault="004928BC" w:rsidP="004928BC">
      <w:pPr>
        <w:pStyle w:val="Body"/>
        <w:spacing w:after="0"/>
        <w:rPr>
          <w:rFonts w:ascii="Arial" w:hAnsi="Arial" w:cs="Arial"/>
          <w:lang w:val="id"/>
        </w:rPr>
      </w:pPr>
      <w:r w:rsidRPr="004928BC">
        <w:rPr>
          <w:rFonts w:ascii="Arial" w:hAnsi="Arial" w:cs="Arial"/>
          <w:lang w:val="id"/>
        </w:rPr>
        <w:t xml:space="preserve">K </w:t>
      </w:r>
      <w:r>
        <w:rPr>
          <w:rFonts w:ascii="Arial" w:hAnsi="Arial" w:cs="Arial"/>
          <w:lang w:val="id"/>
        </w:rPr>
        <w:tab/>
      </w:r>
      <w:r w:rsidRPr="004928BC">
        <w:rPr>
          <w:rFonts w:ascii="Arial" w:hAnsi="Arial" w:cs="Arial"/>
          <w:lang w:val="id"/>
        </w:rPr>
        <w:t>= Capital = Total assets – Current Liabilities L</w:t>
      </w:r>
      <w:r w:rsidRPr="004928BC">
        <w:rPr>
          <w:rFonts w:ascii="Arial" w:hAnsi="Arial" w:cs="Arial"/>
          <w:lang w:val="id"/>
        </w:rPr>
        <w:tab/>
      </w:r>
    </w:p>
    <w:p w14:paraId="2A03DD22" w14:textId="1C11D032" w:rsidR="004928BC" w:rsidRPr="004928BC" w:rsidRDefault="004928BC" w:rsidP="004928BC">
      <w:pPr>
        <w:pStyle w:val="Body"/>
        <w:spacing w:after="0"/>
        <w:rPr>
          <w:rFonts w:ascii="Arial" w:hAnsi="Arial" w:cs="Arial"/>
          <w:lang w:val="id"/>
        </w:rPr>
      </w:pPr>
      <w:r w:rsidRPr="004928BC">
        <w:rPr>
          <w:rFonts w:ascii="Arial" w:hAnsi="Arial" w:cs="Arial"/>
          <w:lang w:val="id"/>
        </w:rPr>
        <w:t>L</w:t>
      </w:r>
      <w:r>
        <w:rPr>
          <w:rFonts w:ascii="Arial" w:hAnsi="Arial" w:cs="Arial"/>
          <w:lang w:val="id"/>
        </w:rPr>
        <w:tab/>
      </w:r>
      <w:r w:rsidRPr="004928BC">
        <w:rPr>
          <w:rFonts w:ascii="Arial" w:hAnsi="Arial" w:cs="Arial"/>
          <w:lang w:val="id"/>
        </w:rPr>
        <w:t>= Labor = log (Salary expenses)</w:t>
      </w:r>
    </w:p>
    <w:p w14:paraId="7A463C24" w14:textId="36D9895A" w:rsidR="008015B8" w:rsidRDefault="004928BC" w:rsidP="004928BC">
      <w:pPr>
        <w:pStyle w:val="Body"/>
        <w:spacing w:after="0"/>
        <w:rPr>
          <w:rFonts w:ascii="Arial" w:hAnsi="Arial" w:cs="Arial"/>
          <w:lang w:val="id"/>
        </w:rPr>
      </w:pPr>
      <w:r w:rsidRPr="004928BC">
        <w:rPr>
          <w:rFonts w:ascii="Arial" w:hAnsi="Arial" w:cs="Arial"/>
          <w:lang w:val="id"/>
        </w:rPr>
        <w:t xml:space="preserve">R </w:t>
      </w:r>
      <w:r>
        <w:rPr>
          <w:rFonts w:ascii="Arial" w:hAnsi="Arial" w:cs="Arial"/>
          <w:lang w:val="id"/>
        </w:rPr>
        <w:tab/>
      </w:r>
      <w:r w:rsidRPr="004928BC">
        <w:rPr>
          <w:rFonts w:ascii="Arial" w:hAnsi="Arial" w:cs="Arial"/>
          <w:lang w:val="id"/>
        </w:rPr>
        <w:t>= Research and Development = Total spending RnD</w:t>
      </w:r>
    </w:p>
    <w:p w14:paraId="26B8D539" w14:textId="77777777" w:rsidR="004928BC" w:rsidRPr="008015B8" w:rsidRDefault="004928BC" w:rsidP="004928BC">
      <w:pPr>
        <w:pStyle w:val="Body"/>
        <w:spacing w:after="0"/>
        <w:rPr>
          <w:rFonts w:ascii="Arial" w:hAnsi="Arial" w:cs="Arial"/>
          <w:iCs/>
          <w:lang w:val="id"/>
        </w:rPr>
      </w:pPr>
    </w:p>
    <w:p w14:paraId="6A5CBF23" w14:textId="5D939399" w:rsidR="008015B8" w:rsidRDefault="00931CAE" w:rsidP="008015B8">
      <w:pPr>
        <w:pStyle w:val="Body"/>
        <w:spacing w:after="0"/>
        <w:rPr>
          <w:rFonts w:ascii="Arial" w:hAnsi="Arial" w:cs="Arial"/>
          <w:lang w:val="id"/>
        </w:rPr>
      </w:pPr>
      <w:r w:rsidRPr="00931CAE">
        <w:rPr>
          <w:rFonts w:ascii="Arial" w:hAnsi="Arial" w:cs="Arial"/>
          <w:lang w:val="id"/>
        </w:rPr>
        <w:t>Using the Cobb-Douglas production function, basic transformations can be applied to reformulate the equation concerning growth rates for these variables. The growth rate of aggregate output can thus be articulated in natural logarithms, with both sides of the equation differentiated concerning time t.Consequently, the most straightforward calculation approach presumes a constant rate of change across all variables and regresses the data to derive the most accurate estimate of this rate from the historical data available. This involves taking the natural logarithm of the Cobb-Douglas function:</w:t>
      </w:r>
      <w:r w:rsidR="008015B8" w:rsidRPr="008015B8">
        <w:rPr>
          <w:rFonts w:ascii="Arial" w:hAnsi="Arial" w:cs="Arial"/>
          <w:lang w:val="id"/>
        </w:rPr>
        <w:t xml:space="preserve"> </w:t>
      </w:r>
    </w:p>
    <w:p w14:paraId="565D1F04" w14:textId="77777777" w:rsidR="008015B8" w:rsidRPr="008015B8" w:rsidRDefault="008015B8" w:rsidP="008015B8">
      <w:pPr>
        <w:pStyle w:val="Body"/>
        <w:spacing w:after="0"/>
        <w:rPr>
          <w:rFonts w:ascii="Arial" w:hAnsi="Arial" w:cs="Arial"/>
          <w:lang w:val="id"/>
        </w:rPr>
      </w:pPr>
    </w:p>
    <w:p w14:paraId="031D957C" w14:textId="0D31B57D" w:rsidR="008015B8" w:rsidRDefault="008015B8" w:rsidP="008015B8">
      <w:pPr>
        <w:pStyle w:val="Body"/>
        <w:spacing w:after="0"/>
        <w:jc w:val="center"/>
        <w:rPr>
          <w:rFonts w:ascii="Arial" w:hAnsi="Arial" w:cs="Arial"/>
          <w:lang w:val="id"/>
        </w:rPr>
      </w:pPr>
      <w:r w:rsidRPr="008015B8">
        <w:rPr>
          <w:rFonts w:ascii="Arial" w:hAnsi="Arial" w:cs="Arial"/>
          <w:lang w:val="id"/>
        </w:rPr>
        <w:t>ln(</w:t>
      </w:r>
      <w:r w:rsidRPr="008015B8">
        <w:rPr>
          <w:rFonts w:ascii="Cambria Math" w:hAnsi="Cambria Math" w:cs="Cambria Math"/>
          <w:lang w:val="id"/>
        </w:rPr>
        <w:t>𝑌</w:t>
      </w:r>
      <w:r w:rsidRPr="008015B8">
        <w:rPr>
          <w:rFonts w:ascii="Arial" w:hAnsi="Arial" w:cs="Arial"/>
          <w:lang w:val="id"/>
        </w:rPr>
        <w:t>(</w:t>
      </w:r>
      <w:r w:rsidRPr="008015B8">
        <w:rPr>
          <w:rFonts w:ascii="Cambria Math" w:hAnsi="Cambria Math" w:cs="Cambria Math"/>
          <w:lang w:val="id"/>
        </w:rPr>
        <w:t>𝑡</w:t>
      </w:r>
      <w:r w:rsidRPr="008015B8">
        <w:rPr>
          <w:rFonts w:ascii="Arial" w:hAnsi="Arial" w:cs="Arial"/>
          <w:lang w:val="id"/>
        </w:rPr>
        <w:t xml:space="preserve">)) = </w:t>
      </w:r>
      <w:r w:rsidRPr="008015B8">
        <w:rPr>
          <w:rFonts w:ascii="Cambria Math" w:hAnsi="Cambria Math" w:cs="Cambria Math"/>
          <w:lang w:val="id"/>
        </w:rPr>
        <w:t>𝛼</w:t>
      </w:r>
      <w:r w:rsidRPr="008015B8">
        <w:rPr>
          <w:rFonts w:ascii="Arial" w:hAnsi="Arial" w:cs="Arial"/>
          <w:lang w:val="id"/>
        </w:rPr>
        <w:t xml:space="preserve"> ln(</w:t>
      </w:r>
      <w:r w:rsidRPr="008015B8">
        <w:rPr>
          <w:rFonts w:ascii="Cambria Math" w:hAnsi="Cambria Math" w:cs="Cambria Math"/>
          <w:lang w:val="id"/>
        </w:rPr>
        <w:t>𝐾</w:t>
      </w:r>
      <w:r w:rsidRPr="008015B8">
        <w:rPr>
          <w:rFonts w:ascii="Arial" w:hAnsi="Arial" w:cs="Arial"/>
          <w:lang w:val="id"/>
        </w:rPr>
        <w:t>(</w:t>
      </w:r>
      <w:r w:rsidRPr="008015B8">
        <w:rPr>
          <w:rFonts w:ascii="Cambria Math" w:hAnsi="Cambria Math" w:cs="Cambria Math"/>
          <w:lang w:val="id"/>
        </w:rPr>
        <w:t>𝑡</w:t>
      </w:r>
      <w:r w:rsidRPr="008015B8">
        <w:rPr>
          <w:rFonts w:ascii="Arial" w:hAnsi="Arial" w:cs="Arial"/>
          <w:lang w:val="id"/>
        </w:rPr>
        <w:t>)) + β [ln(</w:t>
      </w:r>
      <w:r w:rsidRPr="008015B8">
        <w:rPr>
          <w:rFonts w:ascii="Cambria Math" w:hAnsi="Cambria Math" w:cs="Cambria Math"/>
          <w:lang w:val="id"/>
        </w:rPr>
        <w:t>𝐿</w:t>
      </w:r>
      <w:r w:rsidRPr="008015B8">
        <w:rPr>
          <w:rFonts w:ascii="Arial" w:hAnsi="Arial" w:cs="Arial"/>
          <w:lang w:val="id"/>
        </w:rPr>
        <w:t>(</w:t>
      </w:r>
      <w:r w:rsidRPr="008015B8">
        <w:rPr>
          <w:rFonts w:ascii="Cambria Math" w:hAnsi="Cambria Math" w:cs="Cambria Math"/>
          <w:lang w:val="id"/>
        </w:rPr>
        <w:t>𝑡</w:t>
      </w:r>
      <w:r w:rsidRPr="008015B8">
        <w:rPr>
          <w:rFonts w:ascii="Arial" w:hAnsi="Arial" w:cs="Arial"/>
          <w:lang w:val="id"/>
        </w:rPr>
        <w:t>))] ) +</w:t>
      </w:r>
      <w:r w:rsidR="003A3E37">
        <w:rPr>
          <w:rFonts w:ascii="Arial" w:hAnsi="Arial" w:cs="Arial"/>
          <w:lang w:val="id"/>
        </w:rPr>
        <w:t xml:space="preserve"> </w:t>
      </w:r>
      <w:r w:rsidRPr="008015B8">
        <w:rPr>
          <w:rFonts w:ascii="Arial" w:hAnsi="Arial" w:cs="Arial"/>
          <w:lang w:val="id"/>
        </w:rPr>
        <w:t>δ [ln(R(</w:t>
      </w:r>
      <w:r w:rsidRPr="008015B8">
        <w:rPr>
          <w:rFonts w:ascii="Cambria Math" w:hAnsi="Cambria Math" w:cs="Cambria Math"/>
          <w:lang w:val="id"/>
        </w:rPr>
        <w:t>𝑡</w:t>
      </w:r>
      <w:r w:rsidRPr="008015B8">
        <w:rPr>
          <w:rFonts w:ascii="Arial" w:hAnsi="Arial" w:cs="Arial"/>
          <w:lang w:val="id"/>
        </w:rPr>
        <w:t xml:space="preserve">))] ) + </w:t>
      </w:r>
      <w:r w:rsidRPr="008015B8">
        <w:rPr>
          <w:rFonts w:ascii="Cambria Math" w:hAnsi="Cambria Math" w:cs="Cambria Math"/>
          <w:lang w:val="id"/>
        </w:rPr>
        <w:t>𝜖</w:t>
      </w:r>
      <w:r w:rsidRPr="008015B8">
        <w:rPr>
          <w:rFonts w:ascii="Arial" w:hAnsi="Arial" w:cs="Arial"/>
          <w:lang w:val="id"/>
        </w:rPr>
        <w:t>(</w:t>
      </w:r>
      <w:r w:rsidRPr="008015B8">
        <w:rPr>
          <w:rFonts w:ascii="Cambria Math" w:hAnsi="Cambria Math" w:cs="Cambria Math"/>
          <w:lang w:val="id"/>
        </w:rPr>
        <w:t>𝑡</w:t>
      </w:r>
      <w:r w:rsidRPr="008015B8">
        <w:rPr>
          <w:rFonts w:ascii="Arial" w:hAnsi="Arial" w:cs="Arial"/>
          <w:lang w:val="id"/>
        </w:rPr>
        <w:t>)</w:t>
      </w:r>
    </w:p>
    <w:p w14:paraId="5F5D4122" w14:textId="77777777" w:rsidR="008015B8" w:rsidRPr="008015B8" w:rsidRDefault="008015B8" w:rsidP="008015B8">
      <w:pPr>
        <w:pStyle w:val="Body"/>
        <w:spacing w:after="0"/>
        <w:rPr>
          <w:rFonts w:ascii="Arial" w:hAnsi="Arial" w:cs="Arial"/>
          <w:lang w:val="id"/>
        </w:rPr>
      </w:pPr>
    </w:p>
    <w:p w14:paraId="20FC5B83" w14:textId="2E21D6F8" w:rsidR="008015B8" w:rsidRPr="008015B8" w:rsidRDefault="00931CAE" w:rsidP="008015B8">
      <w:pPr>
        <w:pStyle w:val="Body"/>
        <w:spacing w:after="0"/>
        <w:rPr>
          <w:rFonts w:ascii="Arial" w:hAnsi="Arial" w:cs="Arial"/>
          <w:lang w:val="id"/>
        </w:rPr>
      </w:pPr>
      <w:r w:rsidRPr="00931CAE">
        <w:rPr>
          <w:rFonts w:ascii="Arial" w:hAnsi="Arial" w:cs="Arial"/>
          <w:lang w:val="id"/>
        </w:rPr>
        <w:t>Technical efficiency is assessed through the ratio of the expected value of ln(Y) to the actual value of ln(Y), with a higher ratio signifying increased efficiency.</w:t>
      </w:r>
      <w:r w:rsidR="008015B8" w:rsidRPr="008015B8">
        <w:rPr>
          <w:rFonts w:ascii="Arial" w:hAnsi="Arial" w:cs="Arial"/>
          <w:lang w:val="id"/>
        </w:rPr>
        <w:t xml:space="preserve"> </w:t>
      </w:r>
    </w:p>
    <w:p w14:paraId="12DBB0DA" w14:textId="77777777" w:rsidR="00790ADA" w:rsidRPr="00FB3A86" w:rsidRDefault="00790ADA" w:rsidP="00441B6F">
      <w:pPr>
        <w:pStyle w:val="Body"/>
        <w:spacing w:after="0"/>
        <w:rPr>
          <w:rFonts w:ascii="Arial" w:hAnsi="Arial" w:cs="Arial"/>
        </w:rPr>
      </w:pPr>
    </w:p>
    <w:p w14:paraId="111C689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bookmarkStart w:id="2" w:name="_Hlk206242314"/>
      <w:r>
        <w:rPr>
          <w:rFonts w:ascii="Arial" w:hAnsi="Arial" w:cs="Arial"/>
        </w:rPr>
        <w:t xml:space="preserve">results </w:t>
      </w:r>
      <w:bookmarkEnd w:id="2"/>
      <w:r>
        <w:rPr>
          <w:rFonts w:ascii="Arial" w:hAnsi="Arial" w:cs="Arial"/>
        </w:rPr>
        <w:t>and discussion</w:t>
      </w:r>
    </w:p>
    <w:p w14:paraId="0E66D5E4" w14:textId="77777777" w:rsidR="00D806A0" w:rsidRPr="00D806A0" w:rsidRDefault="00D806A0" w:rsidP="00441B6F">
      <w:pPr>
        <w:pStyle w:val="Head1"/>
        <w:spacing w:after="0"/>
        <w:jc w:val="both"/>
        <w:rPr>
          <w:rFonts w:ascii="Arial" w:hAnsi="Arial" w:cs="Arial"/>
          <w:sz w:val="20"/>
          <w:szCs w:val="18"/>
        </w:rPr>
      </w:pPr>
    </w:p>
    <w:p w14:paraId="6723000E" w14:textId="77777777" w:rsidR="001E168F" w:rsidRPr="001E168F" w:rsidRDefault="001E168F" w:rsidP="001E168F">
      <w:pPr>
        <w:pStyle w:val="ListParagraph"/>
        <w:numPr>
          <w:ilvl w:val="0"/>
          <w:numId w:val="37"/>
        </w:numPr>
        <w:contextualSpacing w:val="0"/>
        <w:jc w:val="both"/>
        <w:rPr>
          <w:rFonts w:ascii="Arial" w:hAnsi="Arial" w:cs="Arial"/>
          <w:b/>
          <w:caps/>
          <w:vanish/>
          <w:sz w:val="22"/>
        </w:rPr>
      </w:pPr>
    </w:p>
    <w:p w14:paraId="4FF6E8E2" w14:textId="231E9410" w:rsidR="00D806A0" w:rsidRDefault="00DC72CC" w:rsidP="001E168F">
      <w:pPr>
        <w:pStyle w:val="Body"/>
        <w:numPr>
          <w:ilvl w:val="1"/>
          <w:numId w:val="37"/>
        </w:numPr>
        <w:spacing w:after="0"/>
        <w:rPr>
          <w:rFonts w:ascii="Arial" w:hAnsi="Arial" w:cs="Arial"/>
          <w:b/>
          <w:caps/>
          <w:sz w:val="22"/>
        </w:rPr>
      </w:pPr>
      <w:r w:rsidRPr="00DC72CC">
        <w:rPr>
          <w:rFonts w:ascii="Arial" w:hAnsi="Arial" w:cs="Arial"/>
          <w:b/>
          <w:caps/>
          <w:sz w:val="22"/>
        </w:rPr>
        <w:t xml:space="preserve">RESULTS </w:t>
      </w:r>
    </w:p>
    <w:p w14:paraId="54F2EECE" w14:textId="77777777" w:rsidR="00651AE5" w:rsidRDefault="00651AE5" w:rsidP="008015B8">
      <w:pPr>
        <w:pStyle w:val="Body"/>
        <w:spacing w:after="0"/>
        <w:rPr>
          <w:rFonts w:ascii="Arial" w:hAnsi="Arial" w:cs="Arial"/>
          <w:b/>
          <w:caps/>
          <w:szCs w:val="18"/>
        </w:rPr>
      </w:pPr>
    </w:p>
    <w:p w14:paraId="47EDEFD0" w14:textId="77777777" w:rsidR="00956382" w:rsidRDefault="00956382" w:rsidP="00956382">
      <w:pPr>
        <w:pStyle w:val="Body"/>
        <w:spacing w:after="0"/>
        <w:rPr>
          <w:rFonts w:ascii="Arial" w:hAnsi="Arial" w:cs="Arial"/>
          <w:lang w:val="id"/>
        </w:rPr>
      </w:pPr>
      <w:r w:rsidRPr="00931CAE">
        <w:rPr>
          <w:rFonts w:ascii="Arial" w:hAnsi="Arial" w:cs="Arial"/>
          <w:lang w:val="id"/>
        </w:rPr>
        <w:t xml:space="preserve">The Chow test </w:t>
      </w:r>
      <w:r>
        <w:rPr>
          <w:rFonts w:ascii="Arial" w:hAnsi="Arial" w:cs="Arial"/>
          <w:lang w:val="id"/>
        </w:rPr>
        <w:t xml:space="preserve">in </w:t>
      </w:r>
      <w:r w:rsidRPr="00931CAE">
        <w:rPr>
          <w:rFonts w:ascii="Arial" w:hAnsi="Arial" w:cs="Arial"/>
          <w:lang w:val="id"/>
        </w:rPr>
        <w:t>conducted for the technical efficiency model produced a cross-section p-value of 0.9687, which is greater than 0.05, indicating that the null hypothesis is accepted, thus confirming that the CEM is the best fit. Following the Chow test, the Lagrange Multiplier (LM) test was executed on the Technical Efficiency model since CEM was determined to be suitable. The results of the LM test indicated a Breusch-Pagan statistic of 35.24358 and a p-value of 0.000, which is below the 0.05 threshold. This suggests that we reject the null hypothesis (Ho) in favor of the alternative hypothesis (Ha), indicating that the Random Effect Model (REM) is the correct model to apply.</w:t>
      </w:r>
      <w:r w:rsidRPr="00A743BC">
        <w:rPr>
          <w:rFonts w:ascii="Arial" w:hAnsi="Arial" w:cs="Arial"/>
          <w:lang w:val="id"/>
        </w:rPr>
        <w:t xml:space="preserve"> </w:t>
      </w:r>
    </w:p>
    <w:p w14:paraId="1131AEB4" w14:textId="77777777" w:rsidR="00273B6A" w:rsidRPr="008015B8" w:rsidRDefault="00273B6A" w:rsidP="008015B8">
      <w:pPr>
        <w:pStyle w:val="Body"/>
        <w:spacing w:after="0"/>
        <w:rPr>
          <w:rFonts w:ascii="Arial" w:hAnsi="Arial" w:cs="Arial"/>
          <w:b/>
          <w:caps/>
          <w:szCs w:val="18"/>
        </w:rPr>
      </w:pPr>
    </w:p>
    <w:p w14:paraId="65B2B7E1" w14:textId="40AFDB66" w:rsidR="00D806A0" w:rsidRDefault="00A743BC" w:rsidP="004A4F3F">
      <w:pPr>
        <w:tabs>
          <w:tab w:val="left" w:pos="1080"/>
        </w:tabs>
        <w:jc w:val="both"/>
        <w:rPr>
          <w:rFonts w:ascii="Arial" w:hAnsi="Arial"/>
          <w:b/>
        </w:rPr>
      </w:pPr>
      <w:r>
        <w:rPr>
          <w:rFonts w:ascii="Arial" w:hAnsi="Arial"/>
          <w:b/>
        </w:rPr>
        <w:t>Table 2.</w:t>
      </w:r>
      <w:r w:rsidRPr="00DC3180">
        <w:rPr>
          <w:rFonts w:ascii="Arial" w:hAnsi="Arial"/>
          <w:b/>
        </w:rPr>
        <w:tab/>
      </w:r>
      <w:r w:rsidR="004928BC" w:rsidRPr="004928BC">
        <w:rPr>
          <w:rFonts w:ascii="Arial" w:hAnsi="Arial"/>
          <w:b/>
        </w:rPr>
        <w:t>Model Selection Testing</w:t>
      </w:r>
    </w:p>
    <w:p w14:paraId="111DE7D7" w14:textId="77777777" w:rsidR="004928BC" w:rsidRPr="00D806A0" w:rsidRDefault="004928BC" w:rsidP="004A4F3F">
      <w:pPr>
        <w:tabs>
          <w:tab w:val="left" w:pos="1080"/>
        </w:tabs>
        <w:jc w:val="both"/>
        <w:rPr>
          <w:rFonts w:ascii="Arial" w:hAnsi="Arial" w:cs="Arial"/>
          <w:b/>
          <w:caps/>
          <w:sz w:val="22"/>
        </w:rPr>
      </w:pPr>
    </w:p>
    <w:tbl>
      <w:tblPr>
        <w:tblW w:w="6157" w:type="dxa"/>
        <w:jc w:val="center"/>
        <w:tblBorders>
          <w:top w:val="single" w:sz="4" w:space="0" w:color="auto"/>
          <w:bottom w:val="single" w:sz="4" w:space="0" w:color="auto"/>
        </w:tblBorders>
        <w:tblLook w:val="04A0" w:firstRow="1" w:lastRow="0" w:firstColumn="1" w:lastColumn="0" w:noHBand="0" w:noVBand="1"/>
      </w:tblPr>
      <w:tblGrid>
        <w:gridCol w:w="1134"/>
        <w:gridCol w:w="2478"/>
        <w:gridCol w:w="984"/>
        <w:gridCol w:w="1561"/>
      </w:tblGrid>
      <w:tr w:rsidR="00D806A0" w:rsidRPr="00D806A0" w14:paraId="5E65261A" w14:textId="77777777" w:rsidTr="004928BC">
        <w:trPr>
          <w:trHeight w:val="178"/>
          <w:jc w:val="center"/>
        </w:trPr>
        <w:tc>
          <w:tcPr>
            <w:tcW w:w="1180" w:type="dxa"/>
            <w:tcBorders>
              <w:top w:val="single" w:sz="4" w:space="0" w:color="auto"/>
              <w:bottom w:val="single" w:sz="4" w:space="0" w:color="auto"/>
            </w:tcBorders>
            <w:shd w:val="clear" w:color="auto" w:fill="D9D9D9" w:themeFill="background1" w:themeFillShade="D9"/>
          </w:tcPr>
          <w:p w14:paraId="2E1A8443" w14:textId="77777777" w:rsidR="00D806A0" w:rsidRPr="00D806A0" w:rsidRDefault="00D806A0" w:rsidP="00D806A0">
            <w:pPr>
              <w:pStyle w:val="Head1"/>
              <w:spacing w:after="0"/>
              <w:jc w:val="both"/>
              <w:rPr>
                <w:rFonts w:ascii="Arial" w:hAnsi="Arial" w:cs="Arial"/>
                <w:sz w:val="20"/>
                <w:szCs w:val="18"/>
                <w:lang w:val="fi-FI"/>
              </w:rPr>
            </w:pPr>
            <w:r w:rsidRPr="00D806A0">
              <w:rPr>
                <w:rFonts w:ascii="Arial" w:hAnsi="Arial" w:cs="Arial"/>
                <w:sz w:val="20"/>
                <w:szCs w:val="18"/>
                <w:lang w:val="it-IT"/>
              </w:rPr>
              <w:lastRenderedPageBreak/>
              <w:t xml:space="preserve">Model </w:t>
            </w:r>
          </w:p>
        </w:tc>
        <w:tc>
          <w:tcPr>
            <w:tcW w:w="2701" w:type="dxa"/>
            <w:tcBorders>
              <w:top w:val="single" w:sz="4" w:space="0" w:color="auto"/>
              <w:bottom w:val="single" w:sz="4" w:space="0" w:color="auto"/>
            </w:tcBorders>
            <w:shd w:val="clear" w:color="auto" w:fill="D9D9D9" w:themeFill="background1" w:themeFillShade="D9"/>
          </w:tcPr>
          <w:p w14:paraId="4A50D2DC" w14:textId="31C6E0CC" w:rsidR="00D806A0" w:rsidRPr="00D806A0" w:rsidRDefault="004928BC" w:rsidP="00D806A0">
            <w:pPr>
              <w:pStyle w:val="Head1"/>
              <w:spacing w:after="0"/>
              <w:jc w:val="both"/>
              <w:rPr>
                <w:rFonts w:ascii="Arial" w:hAnsi="Arial" w:cs="Arial"/>
                <w:bCs/>
                <w:sz w:val="20"/>
                <w:szCs w:val="18"/>
                <w:lang w:val="fi-FI"/>
              </w:rPr>
            </w:pPr>
            <w:r w:rsidRPr="004928BC">
              <w:rPr>
                <w:rFonts w:ascii="Arial" w:hAnsi="Arial" w:cs="Arial"/>
                <w:bCs/>
                <w:sz w:val="20"/>
                <w:szCs w:val="18"/>
                <w:lang w:val="it-IT"/>
              </w:rPr>
              <w:t>STATISTICAL VALUE</w:t>
            </w:r>
          </w:p>
        </w:tc>
        <w:tc>
          <w:tcPr>
            <w:tcW w:w="1015" w:type="dxa"/>
            <w:tcBorders>
              <w:top w:val="single" w:sz="4" w:space="0" w:color="auto"/>
              <w:bottom w:val="single" w:sz="4" w:space="0" w:color="auto"/>
            </w:tcBorders>
            <w:shd w:val="clear" w:color="auto" w:fill="D9D9D9" w:themeFill="background1" w:themeFillShade="D9"/>
          </w:tcPr>
          <w:p w14:paraId="19B61791" w14:textId="77777777" w:rsidR="00D806A0" w:rsidRPr="00D806A0" w:rsidRDefault="00D806A0" w:rsidP="00D806A0">
            <w:pPr>
              <w:pStyle w:val="Head1"/>
              <w:spacing w:after="0"/>
              <w:jc w:val="both"/>
              <w:rPr>
                <w:rFonts w:ascii="Arial" w:hAnsi="Arial" w:cs="Arial"/>
                <w:sz w:val="20"/>
                <w:szCs w:val="18"/>
                <w:lang w:val="it-IT"/>
              </w:rPr>
            </w:pPr>
            <w:r w:rsidRPr="00D806A0">
              <w:rPr>
                <w:rFonts w:ascii="Arial" w:hAnsi="Arial" w:cs="Arial"/>
                <w:sz w:val="20"/>
                <w:szCs w:val="18"/>
                <w:lang w:val="it-IT"/>
              </w:rPr>
              <w:t>Prob.</w:t>
            </w:r>
          </w:p>
        </w:tc>
        <w:tc>
          <w:tcPr>
            <w:tcW w:w="1261" w:type="dxa"/>
            <w:tcBorders>
              <w:top w:val="single" w:sz="4" w:space="0" w:color="auto"/>
              <w:bottom w:val="single" w:sz="4" w:space="0" w:color="auto"/>
            </w:tcBorders>
            <w:shd w:val="clear" w:color="auto" w:fill="D9D9D9" w:themeFill="background1" w:themeFillShade="D9"/>
          </w:tcPr>
          <w:p w14:paraId="79B2E0C0" w14:textId="2032280A" w:rsidR="00D806A0" w:rsidRPr="00D806A0" w:rsidRDefault="004928BC" w:rsidP="00D806A0">
            <w:pPr>
              <w:pStyle w:val="Head1"/>
              <w:spacing w:after="0"/>
              <w:jc w:val="both"/>
              <w:rPr>
                <w:rFonts w:ascii="Arial" w:hAnsi="Arial" w:cs="Arial"/>
                <w:sz w:val="20"/>
                <w:szCs w:val="18"/>
                <w:lang w:val="it-IT"/>
              </w:rPr>
            </w:pPr>
            <w:r w:rsidRPr="004928BC">
              <w:rPr>
                <w:rFonts w:ascii="Arial" w:hAnsi="Arial" w:cs="Arial"/>
                <w:sz w:val="20"/>
                <w:szCs w:val="18"/>
                <w:lang w:val="it-IT"/>
              </w:rPr>
              <w:t>CONCLUSION</w:t>
            </w:r>
          </w:p>
        </w:tc>
      </w:tr>
      <w:tr w:rsidR="00D806A0" w:rsidRPr="00D806A0" w14:paraId="6E26B06B" w14:textId="77777777" w:rsidTr="004928BC">
        <w:trPr>
          <w:jc w:val="center"/>
        </w:trPr>
        <w:tc>
          <w:tcPr>
            <w:tcW w:w="1180" w:type="dxa"/>
            <w:tcBorders>
              <w:top w:val="single" w:sz="4" w:space="0" w:color="auto"/>
              <w:bottom w:val="nil"/>
            </w:tcBorders>
          </w:tcPr>
          <w:p w14:paraId="60C8A3A9" w14:textId="21A5104D" w:rsidR="00D806A0" w:rsidRPr="00D806A0" w:rsidRDefault="00D806A0" w:rsidP="00D806A0">
            <w:pPr>
              <w:pStyle w:val="Head1"/>
              <w:spacing w:after="0"/>
              <w:rPr>
                <w:rFonts w:ascii="Arial" w:hAnsi="Arial" w:cs="Arial"/>
                <w:b w:val="0"/>
                <w:bCs/>
                <w:sz w:val="20"/>
                <w:szCs w:val="18"/>
                <w:lang w:val="fi-FI"/>
              </w:rPr>
            </w:pPr>
            <w:r w:rsidRPr="00D806A0">
              <w:rPr>
                <w:rFonts w:ascii="Arial" w:hAnsi="Arial" w:cs="Arial"/>
                <w:b w:val="0"/>
                <w:bCs/>
                <w:sz w:val="20"/>
                <w:szCs w:val="18"/>
                <w:lang w:val="it-IT"/>
              </w:rPr>
              <w:t>Chow</w:t>
            </w:r>
          </w:p>
        </w:tc>
        <w:tc>
          <w:tcPr>
            <w:tcW w:w="2701" w:type="dxa"/>
            <w:tcBorders>
              <w:top w:val="single" w:sz="4" w:space="0" w:color="auto"/>
              <w:bottom w:val="nil"/>
            </w:tcBorders>
            <w:vAlign w:val="bottom"/>
          </w:tcPr>
          <w:p w14:paraId="0C3B75D8" w14:textId="77777777" w:rsidR="00D806A0" w:rsidRPr="00D806A0" w:rsidRDefault="00D806A0" w:rsidP="00D806A0">
            <w:pPr>
              <w:pStyle w:val="Head1"/>
              <w:spacing w:after="0"/>
              <w:jc w:val="both"/>
              <w:rPr>
                <w:rFonts w:ascii="Arial" w:hAnsi="Arial" w:cs="Arial"/>
                <w:b w:val="0"/>
                <w:bCs/>
                <w:sz w:val="20"/>
                <w:szCs w:val="18"/>
                <w:lang w:val="fi-FI"/>
              </w:rPr>
            </w:pPr>
            <w:r w:rsidRPr="00D806A0">
              <w:rPr>
                <w:rFonts w:ascii="Arial" w:hAnsi="Arial" w:cs="Arial"/>
                <w:b w:val="0"/>
                <w:bCs/>
                <w:sz w:val="20"/>
                <w:szCs w:val="18"/>
                <w:lang w:val="id"/>
              </w:rPr>
              <w:t>2.883127</w:t>
            </w:r>
          </w:p>
        </w:tc>
        <w:tc>
          <w:tcPr>
            <w:tcW w:w="1015" w:type="dxa"/>
            <w:tcBorders>
              <w:top w:val="single" w:sz="4" w:space="0" w:color="auto"/>
              <w:bottom w:val="nil"/>
            </w:tcBorders>
            <w:vAlign w:val="bottom"/>
          </w:tcPr>
          <w:p w14:paraId="6024A513" w14:textId="77777777" w:rsidR="00D806A0" w:rsidRPr="00D806A0" w:rsidRDefault="00D806A0" w:rsidP="00D806A0">
            <w:pPr>
              <w:pStyle w:val="Head1"/>
              <w:spacing w:after="0"/>
              <w:jc w:val="both"/>
              <w:rPr>
                <w:rFonts w:ascii="Arial" w:hAnsi="Arial" w:cs="Arial"/>
                <w:b w:val="0"/>
                <w:bCs/>
                <w:sz w:val="20"/>
                <w:szCs w:val="18"/>
                <w:lang w:val="it-IT"/>
              </w:rPr>
            </w:pPr>
            <w:r w:rsidRPr="00D806A0">
              <w:rPr>
                <w:rFonts w:ascii="Arial" w:hAnsi="Arial" w:cs="Arial"/>
                <w:b w:val="0"/>
                <w:bCs/>
                <w:sz w:val="20"/>
                <w:szCs w:val="18"/>
                <w:lang w:val="id"/>
              </w:rPr>
              <w:t>0.9687</w:t>
            </w:r>
          </w:p>
        </w:tc>
        <w:tc>
          <w:tcPr>
            <w:tcW w:w="1261" w:type="dxa"/>
            <w:tcBorders>
              <w:top w:val="single" w:sz="4" w:space="0" w:color="auto"/>
              <w:bottom w:val="nil"/>
            </w:tcBorders>
          </w:tcPr>
          <w:p w14:paraId="78DDC049" w14:textId="77777777" w:rsidR="00D806A0" w:rsidRPr="00D806A0" w:rsidRDefault="00D806A0" w:rsidP="00D806A0">
            <w:pPr>
              <w:pStyle w:val="Head1"/>
              <w:spacing w:after="0"/>
              <w:jc w:val="both"/>
              <w:rPr>
                <w:rFonts w:ascii="Arial" w:hAnsi="Arial" w:cs="Arial"/>
                <w:b w:val="0"/>
                <w:bCs/>
                <w:sz w:val="20"/>
                <w:szCs w:val="18"/>
                <w:lang w:val="id"/>
              </w:rPr>
            </w:pPr>
            <w:r w:rsidRPr="00D806A0">
              <w:rPr>
                <w:rFonts w:ascii="Arial" w:hAnsi="Arial" w:cs="Arial"/>
                <w:b w:val="0"/>
                <w:bCs/>
                <w:sz w:val="20"/>
                <w:szCs w:val="18"/>
                <w:lang w:val="id"/>
              </w:rPr>
              <w:t>CEM</w:t>
            </w:r>
          </w:p>
        </w:tc>
      </w:tr>
      <w:tr w:rsidR="00D806A0" w:rsidRPr="00D806A0" w14:paraId="3FCBF2C5" w14:textId="77777777" w:rsidTr="004928BC">
        <w:trPr>
          <w:jc w:val="center"/>
        </w:trPr>
        <w:tc>
          <w:tcPr>
            <w:tcW w:w="1180" w:type="dxa"/>
            <w:tcBorders>
              <w:top w:val="nil"/>
              <w:bottom w:val="single" w:sz="4" w:space="0" w:color="auto"/>
            </w:tcBorders>
          </w:tcPr>
          <w:p w14:paraId="2C1B5F1B" w14:textId="78EC32AA" w:rsidR="00D806A0" w:rsidRPr="00D806A0" w:rsidRDefault="00D806A0" w:rsidP="00D806A0">
            <w:pPr>
              <w:pStyle w:val="Head1"/>
              <w:spacing w:after="0"/>
              <w:rPr>
                <w:rFonts w:ascii="Arial" w:hAnsi="Arial" w:cs="Arial"/>
                <w:b w:val="0"/>
                <w:bCs/>
                <w:sz w:val="20"/>
                <w:szCs w:val="18"/>
                <w:lang w:val="it-IT"/>
              </w:rPr>
            </w:pPr>
            <w:r w:rsidRPr="00D806A0">
              <w:rPr>
                <w:rFonts w:ascii="Arial" w:hAnsi="Arial" w:cs="Arial"/>
                <w:b w:val="0"/>
                <w:bCs/>
                <w:sz w:val="20"/>
                <w:szCs w:val="18"/>
                <w:lang w:val="it-IT"/>
              </w:rPr>
              <w:t>LM</w:t>
            </w:r>
          </w:p>
        </w:tc>
        <w:tc>
          <w:tcPr>
            <w:tcW w:w="2701" w:type="dxa"/>
            <w:tcBorders>
              <w:top w:val="nil"/>
              <w:bottom w:val="single" w:sz="4" w:space="0" w:color="auto"/>
            </w:tcBorders>
            <w:vAlign w:val="bottom"/>
          </w:tcPr>
          <w:p w14:paraId="311C613B" w14:textId="77777777" w:rsidR="00D806A0" w:rsidRPr="00D806A0" w:rsidRDefault="00D806A0" w:rsidP="00D806A0">
            <w:pPr>
              <w:pStyle w:val="Head1"/>
              <w:spacing w:after="0"/>
              <w:jc w:val="both"/>
              <w:rPr>
                <w:rFonts w:ascii="Arial" w:hAnsi="Arial" w:cs="Arial"/>
                <w:b w:val="0"/>
                <w:bCs/>
                <w:sz w:val="20"/>
                <w:szCs w:val="18"/>
                <w:lang w:val="id"/>
              </w:rPr>
            </w:pPr>
            <w:r w:rsidRPr="00D806A0">
              <w:rPr>
                <w:rFonts w:ascii="Arial" w:hAnsi="Arial" w:cs="Arial"/>
                <w:b w:val="0"/>
                <w:bCs/>
                <w:sz w:val="20"/>
                <w:szCs w:val="18"/>
                <w:lang w:val="id"/>
              </w:rPr>
              <w:t>35.24358</w:t>
            </w:r>
          </w:p>
        </w:tc>
        <w:tc>
          <w:tcPr>
            <w:tcW w:w="1015" w:type="dxa"/>
            <w:tcBorders>
              <w:top w:val="nil"/>
              <w:bottom w:val="single" w:sz="4" w:space="0" w:color="auto"/>
            </w:tcBorders>
            <w:vAlign w:val="bottom"/>
          </w:tcPr>
          <w:p w14:paraId="28CAE6C8" w14:textId="77777777" w:rsidR="00D806A0" w:rsidRPr="00D806A0" w:rsidRDefault="00D806A0" w:rsidP="00D806A0">
            <w:pPr>
              <w:pStyle w:val="Head1"/>
              <w:spacing w:after="0"/>
              <w:jc w:val="both"/>
              <w:rPr>
                <w:rFonts w:ascii="Arial" w:hAnsi="Arial" w:cs="Arial"/>
                <w:b w:val="0"/>
                <w:bCs/>
                <w:sz w:val="20"/>
                <w:szCs w:val="18"/>
                <w:lang w:val="id"/>
              </w:rPr>
            </w:pPr>
            <w:r w:rsidRPr="00D806A0">
              <w:rPr>
                <w:rFonts w:ascii="Arial" w:hAnsi="Arial" w:cs="Arial"/>
                <w:b w:val="0"/>
                <w:bCs/>
                <w:sz w:val="20"/>
                <w:szCs w:val="18"/>
                <w:lang w:val="id"/>
              </w:rPr>
              <w:t>0.,000</w:t>
            </w:r>
          </w:p>
        </w:tc>
        <w:tc>
          <w:tcPr>
            <w:tcW w:w="1261" w:type="dxa"/>
            <w:tcBorders>
              <w:top w:val="nil"/>
              <w:bottom w:val="single" w:sz="4" w:space="0" w:color="auto"/>
            </w:tcBorders>
          </w:tcPr>
          <w:p w14:paraId="0B04520A" w14:textId="77777777" w:rsidR="00D806A0" w:rsidRPr="00D806A0" w:rsidRDefault="00D806A0" w:rsidP="00D806A0">
            <w:pPr>
              <w:pStyle w:val="Head1"/>
              <w:spacing w:after="0"/>
              <w:jc w:val="both"/>
              <w:rPr>
                <w:rFonts w:ascii="Arial" w:hAnsi="Arial" w:cs="Arial"/>
                <w:b w:val="0"/>
                <w:bCs/>
                <w:sz w:val="20"/>
                <w:szCs w:val="18"/>
                <w:lang w:val="id"/>
              </w:rPr>
            </w:pPr>
            <w:r w:rsidRPr="00D806A0">
              <w:rPr>
                <w:rFonts w:ascii="Arial" w:hAnsi="Arial" w:cs="Arial"/>
                <w:b w:val="0"/>
                <w:bCs/>
                <w:sz w:val="20"/>
                <w:szCs w:val="18"/>
                <w:lang w:val="id"/>
              </w:rPr>
              <w:t>REM</w:t>
            </w:r>
          </w:p>
        </w:tc>
      </w:tr>
    </w:tbl>
    <w:p w14:paraId="09E5816A" w14:textId="212387E7" w:rsidR="00790ADA" w:rsidRDefault="004928BC" w:rsidP="004928BC">
      <w:pPr>
        <w:pStyle w:val="Head1"/>
        <w:spacing w:after="0"/>
        <w:ind w:left="993"/>
        <w:jc w:val="both"/>
        <w:rPr>
          <w:rFonts w:ascii="Arial" w:hAnsi="Arial" w:cs="Arial"/>
          <w:b w:val="0"/>
          <w:bCs/>
          <w:caps w:val="0"/>
          <w:sz w:val="20"/>
          <w:szCs w:val="18"/>
        </w:rPr>
      </w:pPr>
      <w:r>
        <w:rPr>
          <w:rFonts w:ascii="Arial" w:hAnsi="Arial" w:cs="Arial"/>
          <w:b w:val="0"/>
          <w:bCs/>
          <w:caps w:val="0"/>
          <w:sz w:val="20"/>
          <w:szCs w:val="18"/>
        </w:rPr>
        <w:t>Source: Processed Data (2025)</w:t>
      </w:r>
    </w:p>
    <w:p w14:paraId="2B413D4A" w14:textId="77777777" w:rsidR="00956382" w:rsidRDefault="00956382" w:rsidP="00956382">
      <w:pPr>
        <w:pStyle w:val="Body"/>
        <w:spacing w:after="0"/>
        <w:rPr>
          <w:rFonts w:ascii="Arial" w:hAnsi="Arial" w:cs="Arial"/>
          <w:bCs/>
          <w:lang w:val="id"/>
        </w:rPr>
      </w:pPr>
    </w:p>
    <w:p w14:paraId="43A29164" w14:textId="15EC7495" w:rsidR="00956382" w:rsidRDefault="00956382" w:rsidP="00956382">
      <w:pPr>
        <w:pStyle w:val="Body"/>
        <w:spacing w:after="0"/>
        <w:rPr>
          <w:rFonts w:ascii="Arial" w:hAnsi="Arial" w:cs="Arial"/>
          <w:lang w:val="id"/>
        </w:rPr>
      </w:pPr>
      <w:r w:rsidRPr="00931CAE">
        <w:rPr>
          <w:rFonts w:ascii="Arial" w:hAnsi="Arial" w:cs="Arial"/>
          <w:bCs/>
          <w:lang w:val="id"/>
        </w:rPr>
        <w:t>The application of the Random Effect Model (REM) for measuring technical efficiency produced an R² value of 0.177570 and an adjusted R² of 0.140187, suggesting that about 17. 76% of the differences in technical efficiency can be attributed to the factors of firm ownership, internationalization, and sustainability value practices.</w:t>
      </w:r>
      <w:r w:rsidRPr="00A743BC">
        <w:rPr>
          <w:rFonts w:ascii="Arial" w:hAnsi="Arial" w:cs="Arial"/>
          <w:lang w:val="id"/>
        </w:rPr>
        <w:t xml:space="preserve">. </w:t>
      </w:r>
    </w:p>
    <w:p w14:paraId="054CD544" w14:textId="77777777" w:rsidR="00A743BC" w:rsidRDefault="00A743BC" w:rsidP="00441B6F">
      <w:pPr>
        <w:pStyle w:val="Body"/>
        <w:spacing w:after="0"/>
        <w:rPr>
          <w:rFonts w:ascii="Arial" w:hAnsi="Arial" w:cs="Arial"/>
          <w:lang w:val="id"/>
        </w:rPr>
      </w:pPr>
    </w:p>
    <w:p w14:paraId="48C33F0C" w14:textId="239ADC13" w:rsidR="00A743BC" w:rsidRDefault="00A743BC" w:rsidP="004A4F3F">
      <w:pPr>
        <w:tabs>
          <w:tab w:val="left" w:pos="1080"/>
        </w:tabs>
        <w:jc w:val="both"/>
        <w:rPr>
          <w:rFonts w:ascii="Arial" w:hAnsi="Arial"/>
          <w:b/>
        </w:rPr>
      </w:pPr>
      <w:r>
        <w:rPr>
          <w:rFonts w:ascii="Arial" w:hAnsi="Arial"/>
          <w:b/>
        </w:rPr>
        <w:t>Table 3.</w:t>
      </w:r>
      <w:r w:rsidRPr="00DC3180">
        <w:rPr>
          <w:rFonts w:ascii="Arial" w:hAnsi="Arial"/>
          <w:b/>
        </w:rPr>
        <w:tab/>
      </w:r>
      <w:r w:rsidR="009C0683" w:rsidRPr="009C0683">
        <w:rPr>
          <w:rFonts w:ascii="Arial" w:hAnsi="Arial"/>
          <w:b/>
        </w:rPr>
        <w:t>Testing the Coefficient of Determination (R²)</w:t>
      </w:r>
    </w:p>
    <w:p w14:paraId="3642725C" w14:textId="77777777" w:rsidR="004A4F3F" w:rsidRPr="00D806A0" w:rsidRDefault="004A4F3F" w:rsidP="004A4F3F">
      <w:pPr>
        <w:tabs>
          <w:tab w:val="left" w:pos="1080"/>
        </w:tabs>
        <w:jc w:val="both"/>
        <w:rPr>
          <w:rFonts w:ascii="Arial" w:hAnsi="Arial" w:cs="Arial"/>
          <w:b/>
          <w:caps/>
          <w:sz w:val="22"/>
        </w:rPr>
      </w:pPr>
    </w:p>
    <w:tbl>
      <w:tblPr>
        <w:tblW w:w="5732" w:type="dxa"/>
        <w:jc w:val="center"/>
        <w:tblBorders>
          <w:top w:val="single" w:sz="4" w:space="0" w:color="auto"/>
          <w:bottom w:val="single" w:sz="4" w:space="0" w:color="auto"/>
        </w:tblBorders>
        <w:tblLook w:val="04A0" w:firstRow="1" w:lastRow="0" w:firstColumn="1" w:lastColumn="0" w:noHBand="0" w:noVBand="1"/>
      </w:tblPr>
      <w:tblGrid>
        <w:gridCol w:w="2021"/>
        <w:gridCol w:w="1789"/>
        <w:gridCol w:w="1922"/>
      </w:tblGrid>
      <w:tr w:rsidR="00DC72CC" w:rsidRPr="00DC72CC" w14:paraId="36DB3C48" w14:textId="77777777" w:rsidTr="00DC72CC">
        <w:trPr>
          <w:trHeight w:val="178"/>
          <w:jc w:val="center"/>
        </w:trPr>
        <w:tc>
          <w:tcPr>
            <w:tcW w:w="2021" w:type="dxa"/>
            <w:tcBorders>
              <w:top w:val="single" w:sz="4" w:space="0" w:color="auto"/>
              <w:bottom w:val="single" w:sz="4" w:space="0" w:color="auto"/>
            </w:tcBorders>
            <w:shd w:val="clear" w:color="auto" w:fill="D9D9D9" w:themeFill="background1" w:themeFillShade="D9"/>
          </w:tcPr>
          <w:p w14:paraId="05569019" w14:textId="5C8639E7" w:rsidR="00DC72CC" w:rsidRPr="00D806A0" w:rsidRDefault="00DC72CC" w:rsidP="00FF3437">
            <w:pPr>
              <w:pStyle w:val="Head1"/>
              <w:spacing w:after="0"/>
              <w:jc w:val="both"/>
              <w:rPr>
                <w:rFonts w:ascii="Arial" w:hAnsi="Arial" w:cs="Arial"/>
                <w:sz w:val="20"/>
                <w:lang w:val="fi-FI"/>
              </w:rPr>
            </w:pPr>
          </w:p>
        </w:tc>
        <w:tc>
          <w:tcPr>
            <w:tcW w:w="1789" w:type="dxa"/>
            <w:tcBorders>
              <w:top w:val="single" w:sz="4" w:space="0" w:color="auto"/>
              <w:bottom w:val="single" w:sz="4" w:space="0" w:color="auto"/>
            </w:tcBorders>
            <w:shd w:val="clear" w:color="auto" w:fill="D9D9D9" w:themeFill="background1" w:themeFillShade="D9"/>
          </w:tcPr>
          <w:p w14:paraId="64E2AF4D" w14:textId="16048981" w:rsidR="00DC72CC" w:rsidRPr="00D806A0" w:rsidRDefault="00DC72CC" w:rsidP="00FF3437">
            <w:pPr>
              <w:pStyle w:val="Head1"/>
              <w:spacing w:after="0"/>
              <w:jc w:val="both"/>
              <w:rPr>
                <w:rFonts w:ascii="Arial" w:hAnsi="Arial" w:cs="Arial"/>
                <w:bCs/>
                <w:sz w:val="20"/>
                <w:lang w:val="fi-FI"/>
              </w:rPr>
            </w:pPr>
            <w:r w:rsidRPr="00DC72CC">
              <w:rPr>
                <w:rFonts w:ascii="Arial" w:hAnsi="Arial" w:cs="Arial"/>
                <w:sz w:val="20"/>
                <w:lang w:val="id"/>
              </w:rPr>
              <w:t>R²</w:t>
            </w:r>
          </w:p>
        </w:tc>
        <w:tc>
          <w:tcPr>
            <w:tcW w:w="1922" w:type="dxa"/>
            <w:tcBorders>
              <w:top w:val="single" w:sz="4" w:space="0" w:color="auto"/>
              <w:bottom w:val="single" w:sz="4" w:space="0" w:color="auto"/>
            </w:tcBorders>
            <w:shd w:val="clear" w:color="auto" w:fill="D9D9D9" w:themeFill="background1" w:themeFillShade="D9"/>
          </w:tcPr>
          <w:p w14:paraId="676BFADB" w14:textId="6BDE38F5" w:rsidR="00DC72CC" w:rsidRPr="00D806A0" w:rsidRDefault="00DC72CC" w:rsidP="00FF3437">
            <w:pPr>
              <w:pStyle w:val="Head1"/>
              <w:spacing w:after="0"/>
              <w:jc w:val="both"/>
              <w:rPr>
                <w:rFonts w:ascii="Arial" w:hAnsi="Arial" w:cs="Arial"/>
                <w:sz w:val="20"/>
                <w:lang w:val="it-IT"/>
              </w:rPr>
            </w:pPr>
            <w:r w:rsidRPr="00DC72CC">
              <w:rPr>
                <w:rFonts w:ascii="Arial" w:hAnsi="Arial" w:cs="Arial"/>
                <w:sz w:val="20"/>
                <w:lang w:val="id"/>
              </w:rPr>
              <w:t>adjusted R²</w:t>
            </w:r>
          </w:p>
        </w:tc>
      </w:tr>
      <w:tr w:rsidR="00DC72CC" w:rsidRPr="00DC72CC" w14:paraId="34441651" w14:textId="77777777" w:rsidTr="00DC72CC">
        <w:trPr>
          <w:jc w:val="center"/>
        </w:trPr>
        <w:tc>
          <w:tcPr>
            <w:tcW w:w="2021" w:type="dxa"/>
            <w:tcBorders>
              <w:top w:val="single" w:sz="4" w:space="0" w:color="auto"/>
              <w:bottom w:val="single" w:sz="4" w:space="0" w:color="auto"/>
            </w:tcBorders>
          </w:tcPr>
          <w:p w14:paraId="13A4789D" w14:textId="56B19C2B" w:rsidR="00DC72CC" w:rsidRPr="00D806A0" w:rsidRDefault="009C0683" w:rsidP="00FF3437">
            <w:pPr>
              <w:pStyle w:val="Head1"/>
              <w:spacing w:after="0"/>
              <w:rPr>
                <w:rFonts w:ascii="Arial" w:hAnsi="Arial" w:cs="Arial"/>
                <w:b w:val="0"/>
                <w:bCs/>
                <w:sz w:val="20"/>
                <w:lang w:val="fi-FI"/>
              </w:rPr>
            </w:pPr>
            <w:r w:rsidRPr="009C0683">
              <w:rPr>
                <w:rFonts w:ascii="Arial" w:hAnsi="Arial" w:cs="Arial"/>
                <w:b w:val="0"/>
                <w:bCs/>
                <w:caps w:val="0"/>
                <w:sz w:val="20"/>
                <w:lang w:val="fi-FI"/>
              </w:rPr>
              <w:t>Coefficient of Determination</w:t>
            </w:r>
            <w:r w:rsidR="00DC72CC" w:rsidRPr="00DC72CC">
              <w:rPr>
                <w:rFonts w:ascii="Arial" w:hAnsi="Arial" w:cs="Arial"/>
                <w:b w:val="0"/>
                <w:bCs/>
                <w:caps w:val="0"/>
                <w:sz w:val="20"/>
                <w:lang w:val="fi-FI"/>
              </w:rPr>
              <w:t xml:space="preserve"> </w:t>
            </w:r>
            <w:r w:rsidR="00DC72CC" w:rsidRPr="00DC72CC">
              <w:rPr>
                <w:rFonts w:ascii="Arial" w:hAnsi="Arial" w:cs="Arial"/>
                <w:b w:val="0"/>
                <w:bCs/>
                <w:sz w:val="20"/>
                <w:lang w:val="fi-FI"/>
              </w:rPr>
              <w:t>(R</w:t>
            </w:r>
            <w:r w:rsidR="00DC72CC" w:rsidRPr="00DC72CC">
              <w:rPr>
                <w:rFonts w:ascii="Arial" w:hAnsi="Arial" w:cs="Arial"/>
                <w:b w:val="0"/>
                <w:bCs/>
                <w:sz w:val="20"/>
                <w:vertAlign w:val="superscript"/>
                <w:lang w:val="fi-FI"/>
              </w:rPr>
              <w:t>2</w:t>
            </w:r>
            <w:r w:rsidR="00DC72CC" w:rsidRPr="00DC72CC">
              <w:rPr>
                <w:rFonts w:ascii="Arial" w:hAnsi="Arial" w:cs="Arial"/>
                <w:b w:val="0"/>
                <w:bCs/>
                <w:sz w:val="20"/>
                <w:lang w:val="fi-FI"/>
              </w:rPr>
              <w:t>)</w:t>
            </w:r>
          </w:p>
        </w:tc>
        <w:tc>
          <w:tcPr>
            <w:tcW w:w="1789" w:type="dxa"/>
            <w:tcBorders>
              <w:top w:val="single" w:sz="4" w:space="0" w:color="auto"/>
              <w:bottom w:val="single" w:sz="4" w:space="0" w:color="auto"/>
            </w:tcBorders>
            <w:vAlign w:val="bottom"/>
          </w:tcPr>
          <w:p w14:paraId="27B3EC70" w14:textId="4EDF59D7" w:rsidR="00DC72CC" w:rsidRPr="00D806A0" w:rsidRDefault="00DC72CC" w:rsidP="00FF3437">
            <w:pPr>
              <w:pStyle w:val="Head1"/>
              <w:spacing w:after="0"/>
              <w:jc w:val="both"/>
              <w:rPr>
                <w:rFonts w:ascii="Arial" w:hAnsi="Arial" w:cs="Arial"/>
                <w:b w:val="0"/>
                <w:sz w:val="20"/>
                <w:lang w:val="fi-FI"/>
              </w:rPr>
            </w:pPr>
            <w:r w:rsidRPr="00DC72CC">
              <w:rPr>
                <w:rFonts w:ascii="Arial" w:hAnsi="Arial" w:cs="Arial"/>
                <w:b w:val="0"/>
                <w:sz w:val="20"/>
                <w:lang w:val="id"/>
              </w:rPr>
              <w:t>0.177570</w:t>
            </w:r>
          </w:p>
        </w:tc>
        <w:tc>
          <w:tcPr>
            <w:tcW w:w="1922" w:type="dxa"/>
            <w:tcBorders>
              <w:top w:val="single" w:sz="4" w:space="0" w:color="auto"/>
              <w:bottom w:val="single" w:sz="4" w:space="0" w:color="auto"/>
            </w:tcBorders>
            <w:vAlign w:val="bottom"/>
          </w:tcPr>
          <w:p w14:paraId="3C825084" w14:textId="0BD559D4" w:rsidR="00DC72CC" w:rsidRPr="00D806A0" w:rsidRDefault="00DC72CC" w:rsidP="00FF3437">
            <w:pPr>
              <w:pStyle w:val="Head1"/>
              <w:spacing w:after="0"/>
              <w:jc w:val="both"/>
              <w:rPr>
                <w:rFonts w:ascii="Arial" w:hAnsi="Arial" w:cs="Arial"/>
                <w:b w:val="0"/>
                <w:sz w:val="20"/>
                <w:lang w:val="it-IT"/>
              </w:rPr>
            </w:pPr>
            <w:r w:rsidRPr="00DC72CC">
              <w:rPr>
                <w:rFonts w:ascii="Arial" w:hAnsi="Arial" w:cs="Arial"/>
                <w:b w:val="0"/>
                <w:sz w:val="20"/>
                <w:lang w:val="id"/>
              </w:rPr>
              <w:t>0.140187</w:t>
            </w:r>
          </w:p>
        </w:tc>
      </w:tr>
    </w:tbl>
    <w:p w14:paraId="76A9C8F1" w14:textId="6BDD8A69" w:rsidR="00A743BC" w:rsidRPr="00D806A0" w:rsidRDefault="004928BC" w:rsidP="00DC72CC">
      <w:pPr>
        <w:pStyle w:val="Head1"/>
        <w:spacing w:after="0"/>
        <w:ind w:left="1276"/>
        <w:jc w:val="both"/>
        <w:rPr>
          <w:rFonts w:ascii="Arial" w:hAnsi="Arial" w:cs="Arial"/>
          <w:b w:val="0"/>
          <w:bCs/>
          <w:sz w:val="20"/>
          <w:szCs w:val="18"/>
        </w:rPr>
      </w:pPr>
      <w:r>
        <w:rPr>
          <w:rFonts w:ascii="Arial" w:hAnsi="Arial" w:cs="Arial"/>
          <w:b w:val="0"/>
          <w:bCs/>
          <w:caps w:val="0"/>
          <w:sz w:val="20"/>
          <w:szCs w:val="18"/>
        </w:rPr>
        <w:t>Source: Processed Data (2025)</w:t>
      </w:r>
    </w:p>
    <w:p w14:paraId="5971C495" w14:textId="77777777" w:rsidR="00A743BC" w:rsidRDefault="00A743BC" w:rsidP="00441B6F">
      <w:pPr>
        <w:pStyle w:val="Body"/>
        <w:spacing w:after="0"/>
        <w:rPr>
          <w:rFonts w:ascii="Arial" w:hAnsi="Arial" w:cs="Arial"/>
          <w:bCs/>
          <w:lang w:val="id"/>
        </w:rPr>
      </w:pPr>
    </w:p>
    <w:p w14:paraId="5F2152EA" w14:textId="77777777" w:rsidR="00956382" w:rsidRDefault="00956382" w:rsidP="00956382">
      <w:pPr>
        <w:pStyle w:val="Body"/>
        <w:spacing w:after="0"/>
        <w:rPr>
          <w:rFonts w:ascii="Arial" w:hAnsi="Arial" w:cs="Arial"/>
        </w:rPr>
      </w:pPr>
      <w:r w:rsidRPr="00931CAE">
        <w:rPr>
          <w:rFonts w:ascii="Arial" w:hAnsi="Arial" w:cs="Arial"/>
          <w:lang w:val="id"/>
        </w:rPr>
        <w:t>From the analysis of the data, it was observed that the F-statistic was 4. 749994, with a corresponding probability value of 0.004641</w:t>
      </w:r>
      <w:r>
        <w:rPr>
          <w:rFonts w:ascii="Arial" w:hAnsi="Arial" w:cs="Arial"/>
          <w:lang w:val="id"/>
        </w:rPr>
        <w:t xml:space="preserve"> </w:t>
      </w:r>
      <w:r w:rsidRPr="009C0683">
        <w:rPr>
          <w:rFonts w:ascii="Arial" w:hAnsi="Arial" w:cs="Arial"/>
          <w:lang w:val="id"/>
        </w:rPr>
        <w:t>&lt; 0.05, so it can be concluded that the independent variables simultaneously have a significant effect on the dependent variable</w:t>
      </w:r>
    </w:p>
    <w:p w14:paraId="29501FA1" w14:textId="77777777" w:rsidR="008015B8" w:rsidRDefault="008015B8" w:rsidP="00441B6F">
      <w:pPr>
        <w:pStyle w:val="Body"/>
        <w:spacing w:after="0"/>
        <w:rPr>
          <w:rFonts w:ascii="Arial" w:hAnsi="Arial" w:cs="Arial"/>
          <w:lang w:val="id"/>
        </w:rPr>
      </w:pPr>
    </w:p>
    <w:p w14:paraId="568F5A86" w14:textId="7F6F85CE" w:rsidR="004A4F3F" w:rsidRDefault="00DC72CC" w:rsidP="004A4F3F">
      <w:pPr>
        <w:tabs>
          <w:tab w:val="left" w:pos="1080"/>
        </w:tabs>
        <w:jc w:val="both"/>
        <w:rPr>
          <w:rFonts w:ascii="Arial" w:hAnsi="Arial"/>
          <w:b/>
        </w:rPr>
      </w:pPr>
      <w:r>
        <w:rPr>
          <w:rFonts w:ascii="Arial" w:hAnsi="Arial"/>
          <w:b/>
        </w:rPr>
        <w:t>Table 4.</w:t>
      </w:r>
      <w:r w:rsidRPr="00DC3180">
        <w:rPr>
          <w:rFonts w:ascii="Arial" w:hAnsi="Arial"/>
          <w:b/>
        </w:rPr>
        <w:tab/>
      </w:r>
      <w:r w:rsidR="009C0683" w:rsidRPr="009C0683">
        <w:rPr>
          <w:rFonts w:ascii="Arial" w:hAnsi="Arial"/>
          <w:b/>
        </w:rPr>
        <w:t>F-Statistic Test</w:t>
      </w:r>
    </w:p>
    <w:p w14:paraId="332BACAA" w14:textId="77777777" w:rsidR="00931CAE" w:rsidRPr="00931CAE" w:rsidRDefault="00931CAE" w:rsidP="004A4F3F">
      <w:pPr>
        <w:tabs>
          <w:tab w:val="left" w:pos="1080"/>
        </w:tabs>
        <w:jc w:val="both"/>
        <w:rPr>
          <w:rFonts w:ascii="Arial" w:hAnsi="Arial"/>
          <w:b/>
        </w:rPr>
      </w:pPr>
    </w:p>
    <w:tbl>
      <w:tblPr>
        <w:tblW w:w="5732" w:type="dxa"/>
        <w:jc w:val="center"/>
        <w:tblBorders>
          <w:top w:val="single" w:sz="4" w:space="0" w:color="auto"/>
          <w:bottom w:val="single" w:sz="4" w:space="0" w:color="auto"/>
        </w:tblBorders>
        <w:tblLook w:val="04A0" w:firstRow="1" w:lastRow="0" w:firstColumn="1" w:lastColumn="0" w:noHBand="0" w:noVBand="1"/>
      </w:tblPr>
      <w:tblGrid>
        <w:gridCol w:w="2021"/>
        <w:gridCol w:w="1789"/>
        <w:gridCol w:w="1922"/>
      </w:tblGrid>
      <w:tr w:rsidR="00DC72CC" w:rsidRPr="00DC72CC" w14:paraId="683358CB" w14:textId="77777777" w:rsidTr="00FF3437">
        <w:trPr>
          <w:trHeight w:val="178"/>
          <w:jc w:val="center"/>
        </w:trPr>
        <w:tc>
          <w:tcPr>
            <w:tcW w:w="2021" w:type="dxa"/>
            <w:tcBorders>
              <w:top w:val="single" w:sz="4" w:space="0" w:color="auto"/>
              <w:bottom w:val="single" w:sz="4" w:space="0" w:color="auto"/>
            </w:tcBorders>
            <w:shd w:val="clear" w:color="auto" w:fill="D9D9D9" w:themeFill="background1" w:themeFillShade="D9"/>
          </w:tcPr>
          <w:p w14:paraId="6CFEC35D" w14:textId="77777777" w:rsidR="00DC72CC" w:rsidRPr="00D806A0" w:rsidRDefault="00DC72CC" w:rsidP="00FF3437">
            <w:pPr>
              <w:pStyle w:val="Head1"/>
              <w:spacing w:after="0"/>
              <w:jc w:val="both"/>
              <w:rPr>
                <w:rFonts w:ascii="Arial" w:hAnsi="Arial" w:cs="Arial"/>
                <w:sz w:val="20"/>
                <w:lang w:val="fi-FI"/>
              </w:rPr>
            </w:pPr>
          </w:p>
        </w:tc>
        <w:tc>
          <w:tcPr>
            <w:tcW w:w="1789" w:type="dxa"/>
            <w:tcBorders>
              <w:top w:val="single" w:sz="4" w:space="0" w:color="auto"/>
              <w:bottom w:val="single" w:sz="4" w:space="0" w:color="auto"/>
            </w:tcBorders>
            <w:shd w:val="clear" w:color="auto" w:fill="D9D9D9" w:themeFill="background1" w:themeFillShade="D9"/>
          </w:tcPr>
          <w:p w14:paraId="0499C558" w14:textId="43887DE9" w:rsidR="00DC72CC" w:rsidRPr="00D806A0" w:rsidRDefault="00DC72CC" w:rsidP="00FF3437">
            <w:pPr>
              <w:pStyle w:val="Head1"/>
              <w:spacing w:after="0"/>
              <w:jc w:val="both"/>
              <w:rPr>
                <w:rFonts w:ascii="Arial" w:hAnsi="Arial" w:cs="Arial"/>
                <w:bCs/>
                <w:sz w:val="20"/>
                <w:lang w:val="fi-FI"/>
              </w:rPr>
            </w:pPr>
            <w:r w:rsidRPr="00DC72CC">
              <w:rPr>
                <w:rFonts w:ascii="Arial" w:hAnsi="Arial" w:cs="Arial"/>
                <w:sz w:val="20"/>
                <w:lang w:val="id"/>
              </w:rPr>
              <w:t>F-statistic</w:t>
            </w:r>
          </w:p>
        </w:tc>
        <w:tc>
          <w:tcPr>
            <w:tcW w:w="1922" w:type="dxa"/>
            <w:tcBorders>
              <w:top w:val="single" w:sz="4" w:space="0" w:color="auto"/>
              <w:bottom w:val="single" w:sz="4" w:space="0" w:color="auto"/>
            </w:tcBorders>
            <w:shd w:val="clear" w:color="auto" w:fill="D9D9D9" w:themeFill="background1" w:themeFillShade="D9"/>
          </w:tcPr>
          <w:p w14:paraId="1A346C81" w14:textId="7A20C1A0" w:rsidR="00DC72CC" w:rsidRPr="00D806A0" w:rsidRDefault="00DC72CC" w:rsidP="00FF3437">
            <w:pPr>
              <w:pStyle w:val="Head1"/>
              <w:spacing w:after="0"/>
              <w:jc w:val="both"/>
              <w:rPr>
                <w:rFonts w:ascii="Arial" w:hAnsi="Arial" w:cs="Arial"/>
                <w:sz w:val="20"/>
                <w:lang w:val="it-IT"/>
              </w:rPr>
            </w:pPr>
            <w:r w:rsidRPr="00DC72CC">
              <w:rPr>
                <w:rFonts w:ascii="Arial" w:hAnsi="Arial" w:cs="Arial"/>
                <w:sz w:val="20"/>
                <w:lang w:val="id"/>
              </w:rPr>
              <w:t>F probabilit</w:t>
            </w:r>
            <w:r w:rsidR="009C0683">
              <w:rPr>
                <w:rFonts w:ascii="Arial" w:hAnsi="Arial" w:cs="Arial"/>
                <w:sz w:val="20"/>
                <w:lang w:val="id"/>
              </w:rPr>
              <w:t>y</w:t>
            </w:r>
          </w:p>
        </w:tc>
      </w:tr>
      <w:tr w:rsidR="00DC72CC" w:rsidRPr="00DC72CC" w14:paraId="4293C676" w14:textId="77777777" w:rsidTr="00FF3437">
        <w:trPr>
          <w:jc w:val="center"/>
        </w:trPr>
        <w:tc>
          <w:tcPr>
            <w:tcW w:w="2021" w:type="dxa"/>
            <w:tcBorders>
              <w:top w:val="single" w:sz="4" w:space="0" w:color="auto"/>
              <w:bottom w:val="single" w:sz="4" w:space="0" w:color="auto"/>
            </w:tcBorders>
          </w:tcPr>
          <w:p w14:paraId="14E24BF9" w14:textId="6ECAC3CB" w:rsidR="00DC72CC" w:rsidRPr="00D806A0" w:rsidRDefault="009C0683" w:rsidP="00FF3437">
            <w:pPr>
              <w:pStyle w:val="Head1"/>
              <w:spacing w:after="0"/>
              <w:rPr>
                <w:rFonts w:ascii="Arial" w:hAnsi="Arial" w:cs="Arial"/>
                <w:b w:val="0"/>
                <w:bCs/>
                <w:sz w:val="20"/>
                <w:lang w:val="fi-FI"/>
              </w:rPr>
            </w:pPr>
            <w:r w:rsidRPr="009C0683">
              <w:rPr>
                <w:rFonts w:ascii="Arial" w:hAnsi="Arial" w:cs="Arial"/>
                <w:b w:val="0"/>
                <w:bCs/>
                <w:caps w:val="0"/>
                <w:sz w:val="20"/>
                <w:lang w:val="fi-FI"/>
              </w:rPr>
              <w:t>F-Statistic</w:t>
            </w:r>
          </w:p>
        </w:tc>
        <w:tc>
          <w:tcPr>
            <w:tcW w:w="1789" w:type="dxa"/>
            <w:tcBorders>
              <w:top w:val="single" w:sz="4" w:space="0" w:color="auto"/>
              <w:bottom w:val="single" w:sz="4" w:space="0" w:color="auto"/>
            </w:tcBorders>
            <w:vAlign w:val="bottom"/>
          </w:tcPr>
          <w:p w14:paraId="48895C55" w14:textId="33935486" w:rsidR="00DC72CC" w:rsidRPr="00D806A0" w:rsidRDefault="00DC72CC" w:rsidP="00FF3437">
            <w:pPr>
              <w:pStyle w:val="Head1"/>
              <w:spacing w:after="0"/>
              <w:jc w:val="both"/>
              <w:rPr>
                <w:rFonts w:ascii="Arial" w:hAnsi="Arial" w:cs="Arial"/>
                <w:b w:val="0"/>
                <w:bCs/>
                <w:sz w:val="20"/>
                <w:lang w:val="fi-FI"/>
              </w:rPr>
            </w:pPr>
            <w:r w:rsidRPr="00DC72CC">
              <w:rPr>
                <w:rFonts w:ascii="Arial" w:hAnsi="Arial" w:cs="Arial"/>
                <w:b w:val="0"/>
                <w:bCs/>
                <w:sz w:val="20"/>
                <w:lang w:val="id"/>
              </w:rPr>
              <w:t>4,749994</w:t>
            </w:r>
          </w:p>
        </w:tc>
        <w:tc>
          <w:tcPr>
            <w:tcW w:w="1922" w:type="dxa"/>
            <w:tcBorders>
              <w:top w:val="single" w:sz="4" w:space="0" w:color="auto"/>
              <w:bottom w:val="single" w:sz="4" w:space="0" w:color="auto"/>
            </w:tcBorders>
            <w:vAlign w:val="bottom"/>
          </w:tcPr>
          <w:p w14:paraId="58A810A7" w14:textId="54CDEA8C" w:rsidR="00DC72CC" w:rsidRPr="00D806A0" w:rsidRDefault="00DC72CC" w:rsidP="00FF3437">
            <w:pPr>
              <w:pStyle w:val="Head1"/>
              <w:spacing w:after="0"/>
              <w:jc w:val="both"/>
              <w:rPr>
                <w:rFonts w:ascii="Arial" w:hAnsi="Arial" w:cs="Arial"/>
                <w:b w:val="0"/>
                <w:bCs/>
                <w:sz w:val="20"/>
                <w:lang w:val="it-IT"/>
              </w:rPr>
            </w:pPr>
            <w:r w:rsidRPr="00DC72CC">
              <w:rPr>
                <w:rFonts w:ascii="Arial" w:hAnsi="Arial" w:cs="Arial"/>
                <w:b w:val="0"/>
                <w:bCs/>
                <w:sz w:val="20"/>
                <w:lang w:val="id"/>
              </w:rPr>
              <w:t>0,004641</w:t>
            </w:r>
          </w:p>
        </w:tc>
      </w:tr>
    </w:tbl>
    <w:p w14:paraId="3A317702" w14:textId="6DD892FE" w:rsidR="00DC72CC" w:rsidRPr="00D806A0" w:rsidRDefault="004928BC" w:rsidP="00DC72CC">
      <w:pPr>
        <w:pStyle w:val="Head1"/>
        <w:spacing w:after="0"/>
        <w:ind w:left="1276"/>
        <w:jc w:val="both"/>
        <w:rPr>
          <w:rFonts w:ascii="Arial" w:hAnsi="Arial" w:cs="Arial"/>
          <w:b w:val="0"/>
          <w:bCs/>
          <w:sz w:val="20"/>
          <w:szCs w:val="18"/>
        </w:rPr>
      </w:pPr>
      <w:r>
        <w:rPr>
          <w:rFonts w:ascii="Arial" w:hAnsi="Arial" w:cs="Arial"/>
          <w:b w:val="0"/>
          <w:bCs/>
          <w:caps w:val="0"/>
          <w:sz w:val="20"/>
          <w:szCs w:val="18"/>
        </w:rPr>
        <w:t>Source: Processed Data (2025)</w:t>
      </w:r>
    </w:p>
    <w:p w14:paraId="46722C5D" w14:textId="77777777" w:rsidR="00931CAE" w:rsidRDefault="00931CAE" w:rsidP="00441B6F">
      <w:pPr>
        <w:pStyle w:val="Body"/>
        <w:spacing w:after="0"/>
        <w:rPr>
          <w:rFonts w:ascii="Arial" w:hAnsi="Arial" w:cs="Arial"/>
          <w:lang w:val="id"/>
        </w:rPr>
      </w:pPr>
    </w:p>
    <w:p w14:paraId="4B2B7661" w14:textId="77777777" w:rsidR="00956382" w:rsidRPr="009C0683" w:rsidRDefault="00956382" w:rsidP="00956382">
      <w:pPr>
        <w:pStyle w:val="Body"/>
        <w:spacing w:after="0"/>
        <w:rPr>
          <w:rFonts w:ascii="Arial" w:hAnsi="Arial" w:cs="Arial"/>
          <w:lang w:val="id"/>
        </w:rPr>
      </w:pPr>
      <w:r w:rsidRPr="00931CAE">
        <w:rPr>
          <w:rFonts w:ascii="Arial" w:hAnsi="Arial" w:cs="Arial"/>
          <w:lang w:val="id"/>
        </w:rPr>
        <w:t>The variable measuring technical effectiveness yielded an average of 107. 6072. With a standard deviation of 75.72795, it suggests a significant difference in efficiency levels among companies. Garuda Indonesia (Persero) Tbk registered the lowest efficiency score of 22.6529 in 2017, whereas PT Indomobil Multi Jasa Tbk recorded the highest efficiency score of 321.5911 in 2019. For the company ownership (FO) variable, the average stood at 61. 6079 or 61.61%. The standard deviation of 24.45455 shows that the FO data varies moderately across different companies. Mitra Investindo Tbk had the smallest FO value of 2.13 in 2020, and PT Indomobil Multi Jasa Tbk had the largest FO value of 91.97 in the same year.</w:t>
      </w:r>
    </w:p>
    <w:p w14:paraId="56C5B1A6" w14:textId="77777777" w:rsidR="00A743BC" w:rsidRDefault="00A743BC" w:rsidP="00441B6F">
      <w:pPr>
        <w:pStyle w:val="Body"/>
        <w:spacing w:after="0"/>
        <w:rPr>
          <w:rFonts w:ascii="Arial" w:hAnsi="Arial" w:cs="Arial"/>
        </w:rPr>
      </w:pPr>
    </w:p>
    <w:p w14:paraId="09D874ED" w14:textId="4AA00BAF" w:rsidR="00DC72CC" w:rsidRDefault="00DC72CC" w:rsidP="004A4F3F">
      <w:pPr>
        <w:tabs>
          <w:tab w:val="left" w:pos="1080"/>
        </w:tabs>
        <w:jc w:val="both"/>
        <w:rPr>
          <w:rFonts w:ascii="Arial" w:hAnsi="Arial"/>
          <w:b/>
        </w:rPr>
      </w:pPr>
      <w:bookmarkStart w:id="3" w:name="_Toc205443619"/>
      <w:r w:rsidRPr="00DC72CC">
        <w:rPr>
          <w:rFonts w:ascii="Arial" w:hAnsi="Arial"/>
          <w:b/>
        </w:rPr>
        <w:t>Tabel</w:t>
      </w:r>
      <w:r>
        <w:rPr>
          <w:rFonts w:ascii="Arial" w:hAnsi="Arial"/>
          <w:b/>
        </w:rPr>
        <w:t xml:space="preserve"> 5</w:t>
      </w:r>
      <w:r>
        <w:rPr>
          <w:rFonts w:ascii="Arial" w:hAnsi="Arial"/>
          <w:b/>
        </w:rPr>
        <w:tab/>
      </w:r>
      <w:bookmarkEnd w:id="3"/>
      <w:r w:rsidR="009C0683" w:rsidRPr="009C0683">
        <w:rPr>
          <w:rFonts w:ascii="Arial" w:hAnsi="Arial"/>
          <w:b/>
        </w:rPr>
        <w:t>Descriptive Statistics</w:t>
      </w:r>
    </w:p>
    <w:p w14:paraId="28B0C09F" w14:textId="77777777" w:rsidR="004A4F3F" w:rsidRPr="00DC72CC" w:rsidRDefault="004A4F3F" w:rsidP="004A4F3F">
      <w:pPr>
        <w:tabs>
          <w:tab w:val="left" w:pos="1080"/>
        </w:tabs>
        <w:jc w:val="both"/>
        <w:rPr>
          <w:rFonts w:ascii="Arial" w:hAnsi="Arial"/>
          <w:b/>
        </w:rPr>
      </w:pPr>
    </w:p>
    <w:tbl>
      <w:tblPr>
        <w:tblW w:w="7113" w:type="dxa"/>
        <w:jc w:val="center"/>
        <w:tblBorders>
          <w:top w:val="single" w:sz="8" w:space="0" w:color="auto"/>
          <w:bottom w:val="single" w:sz="8" w:space="0" w:color="auto"/>
          <w:insideH w:val="single" w:sz="4" w:space="0" w:color="auto"/>
        </w:tblBorders>
        <w:tblLook w:val="04A0" w:firstRow="1" w:lastRow="0" w:firstColumn="1" w:lastColumn="0" w:noHBand="0" w:noVBand="1"/>
      </w:tblPr>
      <w:tblGrid>
        <w:gridCol w:w="1276"/>
        <w:gridCol w:w="456"/>
        <w:gridCol w:w="1116"/>
        <w:gridCol w:w="1872"/>
        <w:gridCol w:w="1177"/>
        <w:gridCol w:w="1216"/>
      </w:tblGrid>
      <w:tr w:rsidR="00DC72CC" w:rsidRPr="00DC72CC" w14:paraId="45F66884" w14:textId="77777777" w:rsidTr="004A4F3F">
        <w:trPr>
          <w:trHeight w:val="20"/>
          <w:jc w:val="center"/>
        </w:trPr>
        <w:tc>
          <w:tcPr>
            <w:tcW w:w="1276" w:type="dxa"/>
            <w:tcBorders>
              <w:bottom w:val="single" w:sz="4" w:space="0" w:color="auto"/>
            </w:tcBorders>
            <w:shd w:val="clear" w:color="auto" w:fill="D9D9D9" w:themeFill="background1" w:themeFillShade="D9"/>
            <w:vAlign w:val="center"/>
            <w:hideMark/>
          </w:tcPr>
          <w:p w14:paraId="500A5AF9" w14:textId="77777777" w:rsidR="00DC72CC" w:rsidRPr="00DC72CC" w:rsidRDefault="00DC72CC" w:rsidP="00DC72CC">
            <w:pPr>
              <w:pStyle w:val="Body"/>
              <w:spacing w:after="0"/>
              <w:rPr>
                <w:rFonts w:ascii="Arial" w:hAnsi="Arial" w:cs="Arial"/>
                <w:lang w:val="id"/>
              </w:rPr>
            </w:pPr>
          </w:p>
        </w:tc>
        <w:tc>
          <w:tcPr>
            <w:tcW w:w="456" w:type="dxa"/>
            <w:tcBorders>
              <w:bottom w:val="single" w:sz="4" w:space="0" w:color="auto"/>
            </w:tcBorders>
            <w:shd w:val="clear" w:color="auto" w:fill="D9D9D9" w:themeFill="background1" w:themeFillShade="D9"/>
            <w:vAlign w:val="center"/>
            <w:hideMark/>
          </w:tcPr>
          <w:p w14:paraId="3850E91C" w14:textId="77777777" w:rsidR="00DC72CC" w:rsidRPr="00DC72CC" w:rsidRDefault="00DC72CC" w:rsidP="00DC72CC">
            <w:pPr>
              <w:pStyle w:val="Body"/>
              <w:spacing w:after="0"/>
              <w:rPr>
                <w:rFonts w:ascii="Arial" w:hAnsi="Arial" w:cs="Arial"/>
              </w:rPr>
            </w:pPr>
            <w:r w:rsidRPr="00DC72CC">
              <w:rPr>
                <w:rFonts w:ascii="Arial" w:hAnsi="Arial" w:cs="Arial"/>
                <w:lang w:val="en-ID"/>
              </w:rPr>
              <w:t>N</w:t>
            </w:r>
          </w:p>
        </w:tc>
        <w:tc>
          <w:tcPr>
            <w:tcW w:w="1116" w:type="dxa"/>
            <w:tcBorders>
              <w:bottom w:val="single" w:sz="4" w:space="0" w:color="auto"/>
            </w:tcBorders>
            <w:shd w:val="clear" w:color="auto" w:fill="D9D9D9" w:themeFill="background1" w:themeFillShade="D9"/>
            <w:vAlign w:val="center"/>
            <w:hideMark/>
          </w:tcPr>
          <w:p w14:paraId="130BAB2B" w14:textId="77777777" w:rsidR="00DC72CC" w:rsidRPr="00DC72CC" w:rsidRDefault="00DC72CC" w:rsidP="00DC72CC">
            <w:pPr>
              <w:pStyle w:val="Body"/>
              <w:spacing w:after="0"/>
              <w:rPr>
                <w:rFonts w:ascii="Arial" w:hAnsi="Arial" w:cs="Arial"/>
              </w:rPr>
            </w:pPr>
            <w:r w:rsidRPr="00DC72CC">
              <w:rPr>
                <w:rFonts w:ascii="Arial" w:hAnsi="Arial" w:cs="Arial"/>
                <w:lang w:val="en-ID"/>
              </w:rPr>
              <w:t>Mean</w:t>
            </w:r>
          </w:p>
        </w:tc>
        <w:tc>
          <w:tcPr>
            <w:tcW w:w="1872" w:type="dxa"/>
            <w:tcBorders>
              <w:bottom w:val="single" w:sz="4" w:space="0" w:color="auto"/>
            </w:tcBorders>
            <w:shd w:val="clear" w:color="auto" w:fill="D9D9D9" w:themeFill="background1" w:themeFillShade="D9"/>
            <w:vAlign w:val="center"/>
            <w:hideMark/>
          </w:tcPr>
          <w:p w14:paraId="41B25BD9" w14:textId="77777777" w:rsidR="00DC72CC" w:rsidRPr="00DC72CC" w:rsidRDefault="00DC72CC" w:rsidP="00DC72CC">
            <w:pPr>
              <w:pStyle w:val="Body"/>
              <w:spacing w:after="0"/>
              <w:rPr>
                <w:rFonts w:ascii="Arial" w:hAnsi="Arial" w:cs="Arial"/>
              </w:rPr>
            </w:pPr>
            <w:r w:rsidRPr="00DC72CC">
              <w:rPr>
                <w:rFonts w:ascii="Arial" w:hAnsi="Arial" w:cs="Arial"/>
              </w:rPr>
              <w:t>Std. Deviation</w:t>
            </w:r>
          </w:p>
        </w:tc>
        <w:tc>
          <w:tcPr>
            <w:tcW w:w="1177" w:type="dxa"/>
            <w:tcBorders>
              <w:bottom w:val="single" w:sz="4" w:space="0" w:color="auto"/>
            </w:tcBorders>
            <w:shd w:val="clear" w:color="auto" w:fill="D9D9D9" w:themeFill="background1" w:themeFillShade="D9"/>
            <w:vAlign w:val="center"/>
            <w:hideMark/>
          </w:tcPr>
          <w:p w14:paraId="727A7BC1" w14:textId="77777777" w:rsidR="00DC72CC" w:rsidRPr="00DC72CC" w:rsidRDefault="00DC72CC" w:rsidP="00DC72CC">
            <w:pPr>
              <w:pStyle w:val="Body"/>
              <w:spacing w:after="0"/>
              <w:rPr>
                <w:rFonts w:ascii="Arial" w:hAnsi="Arial" w:cs="Arial"/>
              </w:rPr>
            </w:pPr>
            <w:r w:rsidRPr="00DC72CC">
              <w:rPr>
                <w:rFonts w:ascii="Arial" w:hAnsi="Arial" w:cs="Arial"/>
                <w:lang w:val="en-ID"/>
              </w:rPr>
              <w:t>Minimum</w:t>
            </w:r>
          </w:p>
        </w:tc>
        <w:tc>
          <w:tcPr>
            <w:tcW w:w="1216" w:type="dxa"/>
            <w:tcBorders>
              <w:bottom w:val="single" w:sz="4" w:space="0" w:color="auto"/>
            </w:tcBorders>
            <w:shd w:val="clear" w:color="auto" w:fill="D9D9D9" w:themeFill="background1" w:themeFillShade="D9"/>
            <w:vAlign w:val="center"/>
            <w:hideMark/>
          </w:tcPr>
          <w:p w14:paraId="5FEA98D7" w14:textId="77777777" w:rsidR="00DC72CC" w:rsidRPr="00DC72CC" w:rsidRDefault="00DC72CC" w:rsidP="00DC72CC">
            <w:pPr>
              <w:pStyle w:val="Body"/>
              <w:spacing w:after="0"/>
              <w:rPr>
                <w:rFonts w:ascii="Arial" w:hAnsi="Arial" w:cs="Arial"/>
              </w:rPr>
            </w:pPr>
            <w:r w:rsidRPr="00DC72CC">
              <w:rPr>
                <w:rFonts w:ascii="Arial" w:hAnsi="Arial" w:cs="Arial"/>
                <w:lang w:val="en-ID"/>
              </w:rPr>
              <w:t>Maximum</w:t>
            </w:r>
          </w:p>
        </w:tc>
      </w:tr>
      <w:tr w:rsidR="00DC72CC" w:rsidRPr="00DC72CC" w14:paraId="5FC5F483" w14:textId="77777777" w:rsidTr="004A4F3F">
        <w:trPr>
          <w:trHeight w:val="20"/>
          <w:jc w:val="center"/>
        </w:trPr>
        <w:tc>
          <w:tcPr>
            <w:tcW w:w="1276" w:type="dxa"/>
            <w:tcBorders>
              <w:top w:val="single" w:sz="4" w:space="0" w:color="auto"/>
              <w:bottom w:val="nil"/>
            </w:tcBorders>
            <w:vAlign w:val="center"/>
          </w:tcPr>
          <w:p w14:paraId="1383B323" w14:textId="3E43E656" w:rsidR="00DC72CC" w:rsidRPr="00DC72CC" w:rsidRDefault="009C0683" w:rsidP="00DC72CC">
            <w:pPr>
              <w:pStyle w:val="Body"/>
              <w:spacing w:after="0"/>
              <w:rPr>
                <w:rFonts w:ascii="Arial" w:hAnsi="Arial" w:cs="Arial"/>
                <w:lang w:val="en-ID"/>
              </w:rPr>
            </w:pPr>
            <w:r w:rsidRPr="009C0683">
              <w:rPr>
                <w:rFonts w:ascii="Arial" w:hAnsi="Arial" w:cs="Arial"/>
                <w:lang w:val="en-ID"/>
              </w:rPr>
              <w:t>Efficiency</w:t>
            </w:r>
          </w:p>
        </w:tc>
        <w:tc>
          <w:tcPr>
            <w:tcW w:w="456" w:type="dxa"/>
            <w:tcBorders>
              <w:top w:val="single" w:sz="4" w:space="0" w:color="auto"/>
              <w:bottom w:val="nil"/>
            </w:tcBorders>
            <w:vAlign w:val="center"/>
          </w:tcPr>
          <w:p w14:paraId="3E7C01E2" w14:textId="77777777" w:rsidR="00DC72CC" w:rsidRPr="00DC72CC" w:rsidRDefault="00DC72CC" w:rsidP="00DC72CC">
            <w:pPr>
              <w:pStyle w:val="Body"/>
              <w:spacing w:after="0"/>
              <w:rPr>
                <w:rFonts w:ascii="Arial" w:hAnsi="Arial" w:cs="Arial"/>
                <w:lang w:val="en-ID"/>
              </w:rPr>
            </w:pPr>
            <w:r w:rsidRPr="00DC72CC">
              <w:rPr>
                <w:rFonts w:ascii="Arial" w:hAnsi="Arial" w:cs="Arial"/>
                <w:lang w:val="en-ID"/>
              </w:rPr>
              <w:t>70</w:t>
            </w:r>
          </w:p>
        </w:tc>
        <w:tc>
          <w:tcPr>
            <w:tcW w:w="1116" w:type="dxa"/>
            <w:tcBorders>
              <w:top w:val="single" w:sz="4" w:space="0" w:color="auto"/>
              <w:bottom w:val="nil"/>
            </w:tcBorders>
            <w:vAlign w:val="center"/>
          </w:tcPr>
          <w:p w14:paraId="36610F79" w14:textId="77777777" w:rsidR="00DC72CC" w:rsidRPr="00DC72CC" w:rsidRDefault="00DC72CC" w:rsidP="00DC72CC">
            <w:pPr>
              <w:pStyle w:val="Body"/>
              <w:spacing w:after="0"/>
              <w:rPr>
                <w:rFonts w:ascii="Arial" w:hAnsi="Arial" w:cs="Arial"/>
                <w:lang w:val="en-ID"/>
              </w:rPr>
            </w:pPr>
            <w:r w:rsidRPr="00DC72CC">
              <w:rPr>
                <w:rFonts w:ascii="Arial" w:hAnsi="Arial" w:cs="Arial"/>
                <w:lang w:val="en-ID"/>
              </w:rPr>
              <w:t>107,6072</w:t>
            </w:r>
          </w:p>
        </w:tc>
        <w:tc>
          <w:tcPr>
            <w:tcW w:w="1872" w:type="dxa"/>
            <w:tcBorders>
              <w:top w:val="single" w:sz="4" w:space="0" w:color="auto"/>
              <w:bottom w:val="nil"/>
            </w:tcBorders>
            <w:vAlign w:val="center"/>
          </w:tcPr>
          <w:p w14:paraId="449B5CAA" w14:textId="77777777" w:rsidR="00DC72CC" w:rsidRPr="00DC72CC" w:rsidRDefault="00DC72CC" w:rsidP="00DC72CC">
            <w:pPr>
              <w:pStyle w:val="Body"/>
              <w:spacing w:after="0"/>
              <w:rPr>
                <w:rFonts w:ascii="Arial" w:hAnsi="Arial" w:cs="Arial"/>
                <w:lang w:val="en-ID"/>
              </w:rPr>
            </w:pPr>
            <w:r w:rsidRPr="00DC72CC">
              <w:rPr>
                <w:rFonts w:ascii="Arial" w:hAnsi="Arial" w:cs="Arial"/>
                <w:lang w:val="en-ID"/>
              </w:rPr>
              <w:t>75,72795</w:t>
            </w:r>
          </w:p>
        </w:tc>
        <w:tc>
          <w:tcPr>
            <w:tcW w:w="1177" w:type="dxa"/>
            <w:tcBorders>
              <w:top w:val="single" w:sz="4" w:space="0" w:color="auto"/>
              <w:bottom w:val="nil"/>
            </w:tcBorders>
            <w:vAlign w:val="center"/>
          </w:tcPr>
          <w:p w14:paraId="173EB915" w14:textId="77777777" w:rsidR="00DC72CC" w:rsidRPr="00DC72CC" w:rsidRDefault="00DC72CC" w:rsidP="00DC72CC">
            <w:pPr>
              <w:pStyle w:val="Body"/>
              <w:spacing w:after="0"/>
              <w:rPr>
                <w:rFonts w:ascii="Arial" w:hAnsi="Arial" w:cs="Arial"/>
                <w:lang w:val="en-ID"/>
              </w:rPr>
            </w:pPr>
            <w:r w:rsidRPr="00DC72CC">
              <w:rPr>
                <w:rFonts w:ascii="Arial" w:hAnsi="Arial" w:cs="Arial"/>
                <w:lang w:val="en-ID"/>
              </w:rPr>
              <w:t>22,6529</w:t>
            </w:r>
          </w:p>
        </w:tc>
        <w:tc>
          <w:tcPr>
            <w:tcW w:w="1216" w:type="dxa"/>
            <w:tcBorders>
              <w:top w:val="single" w:sz="4" w:space="0" w:color="auto"/>
              <w:bottom w:val="nil"/>
            </w:tcBorders>
            <w:vAlign w:val="center"/>
          </w:tcPr>
          <w:p w14:paraId="5C4F0D81" w14:textId="77777777" w:rsidR="00DC72CC" w:rsidRPr="00DC72CC" w:rsidRDefault="00DC72CC" w:rsidP="00DC72CC">
            <w:pPr>
              <w:pStyle w:val="Body"/>
              <w:spacing w:after="0"/>
              <w:rPr>
                <w:rFonts w:ascii="Arial" w:hAnsi="Arial" w:cs="Arial"/>
                <w:lang w:val="en-ID"/>
              </w:rPr>
            </w:pPr>
            <w:r w:rsidRPr="00DC72CC">
              <w:rPr>
                <w:rFonts w:ascii="Arial" w:hAnsi="Arial" w:cs="Arial"/>
                <w:lang w:val="en-ID"/>
              </w:rPr>
              <w:t>321,5911</w:t>
            </w:r>
          </w:p>
        </w:tc>
      </w:tr>
      <w:tr w:rsidR="00DC72CC" w:rsidRPr="00DC72CC" w14:paraId="75B210CD" w14:textId="77777777" w:rsidTr="004A4F3F">
        <w:trPr>
          <w:trHeight w:val="20"/>
          <w:jc w:val="center"/>
        </w:trPr>
        <w:tc>
          <w:tcPr>
            <w:tcW w:w="1276" w:type="dxa"/>
            <w:tcBorders>
              <w:top w:val="nil"/>
              <w:bottom w:val="nil"/>
            </w:tcBorders>
            <w:vAlign w:val="center"/>
            <w:hideMark/>
          </w:tcPr>
          <w:p w14:paraId="48423FF3" w14:textId="77777777" w:rsidR="00DC72CC" w:rsidRPr="00DC72CC" w:rsidRDefault="00DC72CC" w:rsidP="00DC72CC">
            <w:pPr>
              <w:pStyle w:val="Body"/>
              <w:spacing w:after="0"/>
              <w:rPr>
                <w:rFonts w:ascii="Arial" w:hAnsi="Arial" w:cs="Arial"/>
              </w:rPr>
            </w:pPr>
            <w:r w:rsidRPr="00DC72CC">
              <w:rPr>
                <w:rFonts w:ascii="Arial" w:hAnsi="Arial" w:cs="Arial"/>
                <w:lang w:val="en-ID"/>
              </w:rPr>
              <w:t>FO</w:t>
            </w:r>
          </w:p>
        </w:tc>
        <w:tc>
          <w:tcPr>
            <w:tcW w:w="456" w:type="dxa"/>
            <w:tcBorders>
              <w:top w:val="nil"/>
              <w:bottom w:val="nil"/>
            </w:tcBorders>
            <w:vAlign w:val="center"/>
            <w:hideMark/>
          </w:tcPr>
          <w:p w14:paraId="309C1882" w14:textId="77777777" w:rsidR="00DC72CC" w:rsidRPr="00DC72CC" w:rsidRDefault="00DC72CC" w:rsidP="00DC72CC">
            <w:pPr>
              <w:pStyle w:val="Body"/>
              <w:spacing w:after="0"/>
              <w:rPr>
                <w:rFonts w:ascii="Arial" w:hAnsi="Arial" w:cs="Arial"/>
              </w:rPr>
            </w:pPr>
            <w:r w:rsidRPr="00DC72CC">
              <w:rPr>
                <w:rFonts w:ascii="Arial" w:hAnsi="Arial" w:cs="Arial"/>
                <w:lang w:val="en-ID"/>
              </w:rPr>
              <w:t>70</w:t>
            </w:r>
          </w:p>
        </w:tc>
        <w:tc>
          <w:tcPr>
            <w:tcW w:w="1116" w:type="dxa"/>
            <w:tcBorders>
              <w:top w:val="nil"/>
              <w:bottom w:val="nil"/>
            </w:tcBorders>
            <w:vAlign w:val="center"/>
            <w:hideMark/>
          </w:tcPr>
          <w:p w14:paraId="6F64F4C9" w14:textId="77777777" w:rsidR="00DC72CC" w:rsidRPr="00DC72CC" w:rsidRDefault="00DC72CC" w:rsidP="00DC72CC">
            <w:pPr>
              <w:pStyle w:val="Body"/>
              <w:spacing w:after="0"/>
              <w:rPr>
                <w:rFonts w:ascii="Arial" w:hAnsi="Arial" w:cs="Arial"/>
              </w:rPr>
            </w:pPr>
            <w:r w:rsidRPr="00DC72CC">
              <w:rPr>
                <w:rFonts w:ascii="Arial" w:hAnsi="Arial" w:cs="Arial"/>
                <w:lang w:val="en-ID"/>
              </w:rPr>
              <w:t>61,6079</w:t>
            </w:r>
          </w:p>
        </w:tc>
        <w:tc>
          <w:tcPr>
            <w:tcW w:w="1872" w:type="dxa"/>
            <w:tcBorders>
              <w:top w:val="nil"/>
              <w:bottom w:val="nil"/>
            </w:tcBorders>
            <w:vAlign w:val="center"/>
            <w:hideMark/>
          </w:tcPr>
          <w:p w14:paraId="0F0FC0C1" w14:textId="77777777" w:rsidR="00DC72CC" w:rsidRPr="00DC72CC" w:rsidRDefault="00DC72CC" w:rsidP="00DC72CC">
            <w:pPr>
              <w:pStyle w:val="Body"/>
              <w:spacing w:after="0"/>
              <w:rPr>
                <w:rFonts w:ascii="Arial" w:hAnsi="Arial" w:cs="Arial"/>
              </w:rPr>
            </w:pPr>
            <w:r w:rsidRPr="00DC72CC">
              <w:rPr>
                <w:rFonts w:ascii="Arial" w:hAnsi="Arial" w:cs="Arial"/>
                <w:lang w:val="en-ID"/>
              </w:rPr>
              <w:t>24,45455</w:t>
            </w:r>
          </w:p>
        </w:tc>
        <w:tc>
          <w:tcPr>
            <w:tcW w:w="1177" w:type="dxa"/>
            <w:tcBorders>
              <w:top w:val="nil"/>
              <w:bottom w:val="nil"/>
            </w:tcBorders>
            <w:vAlign w:val="center"/>
            <w:hideMark/>
          </w:tcPr>
          <w:p w14:paraId="6A6257CB" w14:textId="77777777" w:rsidR="00DC72CC" w:rsidRPr="00DC72CC" w:rsidRDefault="00DC72CC" w:rsidP="00DC72CC">
            <w:pPr>
              <w:pStyle w:val="Body"/>
              <w:spacing w:after="0"/>
              <w:rPr>
                <w:rFonts w:ascii="Arial" w:hAnsi="Arial" w:cs="Arial"/>
              </w:rPr>
            </w:pPr>
            <w:r w:rsidRPr="00DC72CC">
              <w:rPr>
                <w:rFonts w:ascii="Arial" w:hAnsi="Arial" w:cs="Arial"/>
                <w:lang w:val="en-ID"/>
              </w:rPr>
              <w:t>2,13</w:t>
            </w:r>
          </w:p>
        </w:tc>
        <w:tc>
          <w:tcPr>
            <w:tcW w:w="1216" w:type="dxa"/>
            <w:tcBorders>
              <w:top w:val="nil"/>
              <w:bottom w:val="nil"/>
            </w:tcBorders>
            <w:vAlign w:val="center"/>
            <w:hideMark/>
          </w:tcPr>
          <w:p w14:paraId="59CF02FA" w14:textId="77777777" w:rsidR="00DC72CC" w:rsidRPr="00DC72CC" w:rsidRDefault="00DC72CC" w:rsidP="00DC72CC">
            <w:pPr>
              <w:pStyle w:val="Body"/>
              <w:spacing w:after="0"/>
              <w:rPr>
                <w:rFonts w:ascii="Arial" w:hAnsi="Arial" w:cs="Arial"/>
              </w:rPr>
            </w:pPr>
            <w:r w:rsidRPr="00DC72CC">
              <w:rPr>
                <w:rFonts w:ascii="Arial" w:hAnsi="Arial" w:cs="Arial"/>
                <w:lang w:val="en-ID"/>
              </w:rPr>
              <w:t>91,97</w:t>
            </w:r>
          </w:p>
        </w:tc>
      </w:tr>
      <w:tr w:rsidR="00DC72CC" w:rsidRPr="00DC72CC" w14:paraId="51A3E1CD" w14:textId="77777777" w:rsidTr="004A4F3F">
        <w:trPr>
          <w:trHeight w:val="20"/>
          <w:jc w:val="center"/>
        </w:trPr>
        <w:tc>
          <w:tcPr>
            <w:tcW w:w="1276" w:type="dxa"/>
            <w:tcBorders>
              <w:top w:val="nil"/>
              <w:bottom w:val="nil"/>
            </w:tcBorders>
            <w:vAlign w:val="center"/>
            <w:hideMark/>
          </w:tcPr>
          <w:p w14:paraId="4B3B7C76" w14:textId="77777777" w:rsidR="00DC72CC" w:rsidRPr="00DC72CC" w:rsidRDefault="00DC72CC" w:rsidP="00DC72CC">
            <w:pPr>
              <w:pStyle w:val="Body"/>
              <w:spacing w:after="0"/>
              <w:rPr>
                <w:rFonts w:ascii="Arial" w:hAnsi="Arial" w:cs="Arial"/>
              </w:rPr>
            </w:pPr>
            <w:r w:rsidRPr="00DC72CC">
              <w:rPr>
                <w:rFonts w:ascii="Arial" w:hAnsi="Arial" w:cs="Arial"/>
                <w:lang w:val="en-ID"/>
              </w:rPr>
              <w:t>FATA</w:t>
            </w:r>
          </w:p>
        </w:tc>
        <w:tc>
          <w:tcPr>
            <w:tcW w:w="456" w:type="dxa"/>
            <w:tcBorders>
              <w:top w:val="nil"/>
              <w:bottom w:val="nil"/>
            </w:tcBorders>
            <w:vAlign w:val="center"/>
            <w:hideMark/>
          </w:tcPr>
          <w:p w14:paraId="44229B9A" w14:textId="77777777" w:rsidR="00DC72CC" w:rsidRPr="00DC72CC" w:rsidRDefault="00DC72CC" w:rsidP="00DC72CC">
            <w:pPr>
              <w:pStyle w:val="Body"/>
              <w:spacing w:after="0"/>
              <w:rPr>
                <w:rFonts w:ascii="Arial" w:hAnsi="Arial" w:cs="Arial"/>
              </w:rPr>
            </w:pPr>
            <w:r w:rsidRPr="00DC72CC">
              <w:rPr>
                <w:rFonts w:ascii="Arial" w:hAnsi="Arial" w:cs="Arial"/>
                <w:lang w:val="en-ID"/>
              </w:rPr>
              <w:t>70</w:t>
            </w:r>
          </w:p>
        </w:tc>
        <w:tc>
          <w:tcPr>
            <w:tcW w:w="1116" w:type="dxa"/>
            <w:tcBorders>
              <w:top w:val="nil"/>
              <w:bottom w:val="nil"/>
            </w:tcBorders>
            <w:vAlign w:val="center"/>
            <w:hideMark/>
          </w:tcPr>
          <w:p w14:paraId="7EB82986" w14:textId="77777777" w:rsidR="00DC72CC" w:rsidRPr="00DC72CC" w:rsidRDefault="00DC72CC" w:rsidP="00DC72CC">
            <w:pPr>
              <w:pStyle w:val="Body"/>
              <w:spacing w:after="0"/>
              <w:rPr>
                <w:rFonts w:ascii="Arial" w:hAnsi="Arial" w:cs="Arial"/>
              </w:rPr>
            </w:pPr>
            <w:r w:rsidRPr="00DC72CC">
              <w:rPr>
                <w:rFonts w:ascii="Arial" w:hAnsi="Arial" w:cs="Arial"/>
                <w:lang w:val="en-ID"/>
              </w:rPr>
              <w:t>1,463636</w:t>
            </w:r>
          </w:p>
        </w:tc>
        <w:tc>
          <w:tcPr>
            <w:tcW w:w="1872" w:type="dxa"/>
            <w:tcBorders>
              <w:top w:val="nil"/>
              <w:bottom w:val="nil"/>
            </w:tcBorders>
            <w:vAlign w:val="center"/>
            <w:hideMark/>
          </w:tcPr>
          <w:p w14:paraId="7A1DFDED" w14:textId="77777777" w:rsidR="00DC72CC" w:rsidRPr="00DC72CC" w:rsidRDefault="00DC72CC" w:rsidP="00DC72CC">
            <w:pPr>
              <w:pStyle w:val="Body"/>
              <w:spacing w:after="0"/>
              <w:rPr>
                <w:rFonts w:ascii="Arial" w:hAnsi="Arial" w:cs="Arial"/>
              </w:rPr>
            </w:pPr>
            <w:r w:rsidRPr="00DC72CC">
              <w:rPr>
                <w:rFonts w:ascii="Arial" w:hAnsi="Arial" w:cs="Arial"/>
                <w:lang w:val="en-ID"/>
              </w:rPr>
              <w:t>2,780232</w:t>
            </w:r>
          </w:p>
        </w:tc>
        <w:tc>
          <w:tcPr>
            <w:tcW w:w="1177" w:type="dxa"/>
            <w:tcBorders>
              <w:top w:val="nil"/>
              <w:bottom w:val="nil"/>
            </w:tcBorders>
            <w:vAlign w:val="center"/>
            <w:hideMark/>
          </w:tcPr>
          <w:p w14:paraId="6BA35DDD" w14:textId="77777777" w:rsidR="00DC72CC" w:rsidRPr="00DC72CC" w:rsidRDefault="00DC72CC" w:rsidP="00DC72CC">
            <w:pPr>
              <w:pStyle w:val="Body"/>
              <w:spacing w:after="0"/>
              <w:rPr>
                <w:rFonts w:ascii="Arial" w:hAnsi="Arial" w:cs="Arial"/>
              </w:rPr>
            </w:pPr>
            <w:r w:rsidRPr="00DC72CC">
              <w:rPr>
                <w:rFonts w:ascii="Arial" w:hAnsi="Arial" w:cs="Arial"/>
                <w:lang w:val="en-ID"/>
              </w:rPr>
              <w:t>0,0022</w:t>
            </w:r>
          </w:p>
        </w:tc>
        <w:tc>
          <w:tcPr>
            <w:tcW w:w="1216" w:type="dxa"/>
            <w:tcBorders>
              <w:top w:val="nil"/>
              <w:bottom w:val="nil"/>
            </w:tcBorders>
            <w:vAlign w:val="center"/>
            <w:hideMark/>
          </w:tcPr>
          <w:p w14:paraId="7554CF5C" w14:textId="77777777" w:rsidR="00DC72CC" w:rsidRPr="00DC72CC" w:rsidRDefault="00DC72CC" w:rsidP="00DC72CC">
            <w:pPr>
              <w:pStyle w:val="Body"/>
              <w:spacing w:after="0"/>
              <w:rPr>
                <w:rFonts w:ascii="Arial" w:hAnsi="Arial" w:cs="Arial"/>
              </w:rPr>
            </w:pPr>
            <w:r w:rsidRPr="00DC72CC">
              <w:rPr>
                <w:rFonts w:ascii="Arial" w:hAnsi="Arial" w:cs="Arial"/>
                <w:lang w:val="en-ID"/>
              </w:rPr>
              <w:t>10,8544</w:t>
            </w:r>
          </w:p>
        </w:tc>
      </w:tr>
      <w:tr w:rsidR="00DC72CC" w:rsidRPr="00DC72CC" w14:paraId="1A823438" w14:textId="77777777" w:rsidTr="004A4F3F">
        <w:trPr>
          <w:trHeight w:val="20"/>
          <w:jc w:val="center"/>
        </w:trPr>
        <w:tc>
          <w:tcPr>
            <w:tcW w:w="1276" w:type="dxa"/>
            <w:tcBorders>
              <w:top w:val="nil"/>
              <w:bottom w:val="single" w:sz="8" w:space="0" w:color="auto"/>
            </w:tcBorders>
            <w:vAlign w:val="center"/>
            <w:hideMark/>
          </w:tcPr>
          <w:p w14:paraId="171A462C" w14:textId="77777777" w:rsidR="00DC72CC" w:rsidRPr="00DC72CC" w:rsidRDefault="00DC72CC" w:rsidP="00DC72CC">
            <w:pPr>
              <w:pStyle w:val="Body"/>
              <w:spacing w:after="0"/>
              <w:rPr>
                <w:rFonts w:ascii="Arial" w:hAnsi="Arial" w:cs="Arial"/>
              </w:rPr>
            </w:pPr>
            <w:r w:rsidRPr="00DC72CC">
              <w:rPr>
                <w:rFonts w:ascii="Arial" w:hAnsi="Arial" w:cs="Arial"/>
                <w:lang w:val="en-ID"/>
              </w:rPr>
              <w:t>SV</w:t>
            </w:r>
          </w:p>
        </w:tc>
        <w:tc>
          <w:tcPr>
            <w:tcW w:w="456" w:type="dxa"/>
            <w:tcBorders>
              <w:top w:val="nil"/>
              <w:bottom w:val="single" w:sz="8" w:space="0" w:color="auto"/>
            </w:tcBorders>
            <w:vAlign w:val="center"/>
            <w:hideMark/>
          </w:tcPr>
          <w:p w14:paraId="6602D183" w14:textId="77777777" w:rsidR="00DC72CC" w:rsidRPr="00DC72CC" w:rsidRDefault="00DC72CC" w:rsidP="00DC72CC">
            <w:pPr>
              <w:pStyle w:val="Body"/>
              <w:spacing w:after="0"/>
              <w:rPr>
                <w:rFonts w:ascii="Arial" w:hAnsi="Arial" w:cs="Arial"/>
              </w:rPr>
            </w:pPr>
            <w:r w:rsidRPr="00DC72CC">
              <w:rPr>
                <w:rFonts w:ascii="Arial" w:hAnsi="Arial" w:cs="Arial"/>
                <w:lang w:val="en-ID"/>
              </w:rPr>
              <w:t>70</w:t>
            </w:r>
          </w:p>
        </w:tc>
        <w:tc>
          <w:tcPr>
            <w:tcW w:w="1116" w:type="dxa"/>
            <w:tcBorders>
              <w:top w:val="nil"/>
              <w:bottom w:val="single" w:sz="8" w:space="0" w:color="auto"/>
            </w:tcBorders>
            <w:vAlign w:val="center"/>
            <w:hideMark/>
          </w:tcPr>
          <w:p w14:paraId="152C6C07" w14:textId="77777777" w:rsidR="00DC72CC" w:rsidRPr="00DC72CC" w:rsidRDefault="00DC72CC" w:rsidP="00DC72CC">
            <w:pPr>
              <w:pStyle w:val="Body"/>
              <w:spacing w:after="0"/>
              <w:rPr>
                <w:rFonts w:ascii="Arial" w:hAnsi="Arial" w:cs="Arial"/>
              </w:rPr>
            </w:pPr>
            <w:r w:rsidRPr="00DC72CC">
              <w:rPr>
                <w:rFonts w:ascii="Arial" w:hAnsi="Arial" w:cs="Arial"/>
                <w:lang w:val="en-ID"/>
              </w:rPr>
              <w:t>-4,6236</w:t>
            </w:r>
          </w:p>
        </w:tc>
        <w:tc>
          <w:tcPr>
            <w:tcW w:w="1872" w:type="dxa"/>
            <w:tcBorders>
              <w:top w:val="nil"/>
              <w:bottom w:val="single" w:sz="8" w:space="0" w:color="auto"/>
            </w:tcBorders>
            <w:vAlign w:val="center"/>
            <w:hideMark/>
          </w:tcPr>
          <w:p w14:paraId="64390F6C" w14:textId="77777777" w:rsidR="00DC72CC" w:rsidRPr="00DC72CC" w:rsidRDefault="00DC72CC" w:rsidP="00DC72CC">
            <w:pPr>
              <w:pStyle w:val="Body"/>
              <w:spacing w:after="0"/>
              <w:rPr>
                <w:rFonts w:ascii="Arial" w:hAnsi="Arial" w:cs="Arial"/>
              </w:rPr>
            </w:pPr>
            <w:r w:rsidRPr="00DC72CC">
              <w:rPr>
                <w:rFonts w:ascii="Arial" w:hAnsi="Arial" w:cs="Arial"/>
                <w:lang w:val="en-ID"/>
              </w:rPr>
              <w:t>45,78935</w:t>
            </w:r>
          </w:p>
        </w:tc>
        <w:tc>
          <w:tcPr>
            <w:tcW w:w="1177" w:type="dxa"/>
            <w:tcBorders>
              <w:top w:val="nil"/>
              <w:bottom w:val="single" w:sz="8" w:space="0" w:color="auto"/>
            </w:tcBorders>
            <w:vAlign w:val="center"/>
            <w:hideMark/>
          </w:tcPr>
          <w:p w14:paraId="7C119BFD" w14:textId="77777777" w:rsidR="00DC72CC" w:rsidRPr="00DC72CC" w:rsidRDefault="00DC72CC" w:rsidP="00DC72CC">
            <w:pPr>
              <w:pStyle w:val="Body"/>
              <w:spacing w:after="0"/>
              <w:rPr>
                <w:rFonts w:ascii="Arial" w:hAnsi="Arial" w:cs="Arial"/>
              </w:rPr>
            </w:pPr>
            <w:r w:rsidRPr="00DC72CC">
              <w:rPr>
                <w:rFonts w:ascii="Arial" w:hAnsi="Arial" w:cs="Arial"/>
                <w:lang w:val="en-ID"/>
              </w:rPr>
              <w:t>-366,714</w:t>
            </w:r>
          </w:p>
        </w:tc>
        <w:tc>
          <w:tcPr>
            <w:tcW w:w="1216" w:type="dxa"/>
            <w:tcBorders>
              <w:top w:val="nil"/>
              <w:bottom w:val="single" w:sz="8" w:space="0" w:color="auto"/>
            </w:tcBorders>
            <w:vAlign w:val="center"/>
            <w:hideMark/>
          </w:tcPr>
          <w:p w14:paraId="4A9A3F7B" w14:textId="77777777" w:rsidR="00DC72CC" w:rsidRPr="00DC72CC" w:rsidRDefault="00DC72CC" w:rsidP="00DC72CC">
            <w:pPr>
              <w:pStyle w:val="Body"/>
              <w:spacing w:after="0"/>
              <w:rPr>
                <w:rFonts w:ascii="Arial" w:hAnsi="Arial" w:cs="Arial"/>
              </w:rPr>
            </w:pPr>
            <w:r w:rsidRPr="00DC72CC">
              <w:rPr>
                <w:rFonts w:ascii="Arial" w:hAnsi="Arial" w:cs="Arial"/>
                <w:lang w:val="en-ID"/>
              </w:rPr>
              <w:t>63,0734</w:t>
            </w:r>
          </w:p>
        </w:tc>
      </w:tr>
    </w:tbl>
    <w:p w14:paraId="1019F65A" w14:textId="77777777" w:rsidR="00DC72CC" w:rsidRPr="00DC72CC" w:rsidRDefault="00DC72CC" w:rsidP="00DC72CC">
      <w:pPr>
        <w:pStyle w:val="Body"/>
        <w:spacing w:after="0"/>
        <w:ind w:left="567"/>
        <w:rPr>
          <w:rFonts w:ascii="Arial" w:hAnsi="Arial" w:cs="Arial"/>
          <w:lang w:val="id"/>
        </w:rPr>
      </w:pPr>
      <w:r w:rsidRPr="00DC72CC">
        <w:rPr>
          <w:rFonts w:ascii="Arial" w:hAnsi="Arial" w:cs="Arial"/>
          <w:lang w:val="id"/>
        </w:rPr>
        <w:t>Sumber: dta diolah SPSS</w:t>
      </w:r>
    </w:p>
    <w:p w14:paraId="414E7CEF" w14:textId="77777777" w:rsidR="009C0683" w:rsidRPr="009C0683" w:rsidRDefault="009C0683" w:rsidP="009C0683">
      <w:pPr>
        <w:pStyle w:val="Body"/>
        <w:spacing w:after="0"/>
        <w:rPr>
          <w:rFonts w:ascii="Arial" w:hAnsi="Arial" w:cs="Arial"/>
          <w:lang w:val="id"/>
        </w:rPr>
      </w:pPr>
    </w:p>
    <w:p w14:paraId="7DD8555D" w14:textId="34EB0EC5" w:rsidR="00DC72CC" w:rsidRDefault="00931CAE" w:rsidP="009C0683">
      <w:pPr>
        <w:pStyle w:val="Body"/>
        <w:spacing w:after="0"/>
        <w:rPr>
          <w:rFonts w:ascii="Arial" w:hAnsi="Arial" w:cs="Arial"/>
        </w:rPr>
      </w:pPr>
      <w:r w:rsidRPr="00931CAE">
        <w:rPr>
          <w:rFonts w:ascii="Arial" w:hAnsi="Arial" w:cs="Arial"/>
          <w:lang w:val="id"/>
        </w:rPr>
        <w:t xml:space="preserve">The internationalization variable, which is represented by the weighted average of Foreign Assets to Total Assets (FATA), produced an average of 1.463636. The standard deviation of 2.780232 indicates a noteworthy variation in FATA values between companies. The lowest FATA value of 0.0022 was noted by PT. WEHA Transportasi Indonesia Tbk in 2023, while the highest FATA value of 10.8544 was observed for Garuda Indonesia (Persero) Tbk in 2015. The Sustainability Value (SV) variable resulted in an average score of -4.6236. The standard deviation of 45.78935 reveals a considerable variability in SV data across companies. The minimum SV value of -366.714 was reported by PT Dewata Freightinternational Tbk in 2019, </w:t>
      </w:r>
      <w:r w:rsidRPr="00931CAE">
        <w:rPr>
          <w:rFonts w:ascii="Arial" w:hAnsi="Arial" w:cs="Arial"/>
          <w:lang w:val="id"/>
        </w:rPr>
        <w:lastRenderedPageBreak/>
        <w:t>and the highest FATA value of 63.0734 was noted by PT Blue Bird Tbk in 2021. Figure 1 illustrates that the average SV for companies from 2014 to 2023 demonstrates significant fluctuations.</w:t>
      </w:r>
    </w:p>
    <w:p w14:paraId="26B28F6C" w14:textId="77777777" w:rsidR="00956382" w:rsidRDefault="00956382" w:rsidP="00956382">
      <w:pPr>
        <w:pStyle w:val="Body"/>
        <w:spacing w:after="0"/>
        <w:rPr>
          <w:rFonts w:ascii="Arial" w:hAnsi="Arial" w:cs="Arial"/>
        </w:rPr>
      </w:pPr>
      <w:r w:rsidRPr="009C0683">
        <w:rPr>
          <w:rFonts w:ascii="Arial" w:hAnsi="Arial" w:cs="Arial"/>
        </w:rPr>
        <w:t xml:space="preserve">The results show a coefficient value of 0.989197, meaning that an increase in company ownership will increase technical efficiency, and conversely, a decrease in company ownership will decrease technical efficiency. The p-value is 0.0000 &lt; 0.05, meaning that Ho is rejected and Ha is accepted, so it can be concluded that company ownership has a positive effect on technical efficiency. </w:t>
      </w:r>
    </w:p>
    <w:p w14:paraId="47E19D4D" w14:textId="77777777" w:rsidR="00DC72CC" w:rsidRDefault="00DC72CC" w:rsidP="00441B6F">
      <w:pPr>
        <w:pStyle w:val="Body"/>
        <w:spacing w:after="0"/>
        <w:rPr>
          <w:rFonts w:ascii="Arial" w:hAnsi="Arial" w:cs="Arial"/>
        </w:rPr>
      </w:pPr>
    </w:p>
    <w:p w14:paraId="360DC117" w14:textId="5916EA33" w:rsidR="00DC72CC" w:rsidRDefault="00DC72CC" w:rsidP="004A4F3F">
      <w:pPr>
        <w:tabs>
          <w:tab w:val="left" w:pos="1080"/>
        </w:tabs>
        <w:jc w:val="both"/>
        <w:rPr>
          <w:rFonts w:ascii="Arial" w:hAnsi="Arial"/>
          <w:b/>
        </w:rPr>
      </w:pPr>
      <w:bookmarkStart w:id="4" w:name="_Toc205443620"/>
      <w:r w:rsidRPr="004A4F3F">
        <w:rPr>
          <w:rFonts w:ascii="Arial" w:hAnsi="Arial"/>
          <w:b/>
        </w:rPr>
        <w:t>Tabl</w:t>
      </w:r>
      <w:r w:rsidR="009C0683">
        <w:rPr>
          <w:rFonts w:ascii="Arial" w:hAnsi="Arial"/>
          <w:b/>
        </w:rPr>
        <w:t>e</w:t>
      </w:r>
      <w:r w:rsidRPr="004A4F3F">
        <w:rPr>
          <w:rFonts w:ascii="Arial" w:hAnsi="Arial"/>
          <w:b/>
        </w:rPr>
        <w:t xml:space="preserve"> </w:t>
      </w:r>
      <w:r w:rsidR="004A4F3F">
        <w:rPr>
          <w:rFonts w:ascii="Arial" w:hAnsi="Arial"/>
          <w:b/>
        </w:rPr>
        <w:t>6</w:t>
      </w:r>
      <w:r w:rsidR="004A4F3F">
        <w:rPr>
          <w:rFonts w:ascii="Arial" w:hAnsi="Arial"/>
          <w:b/>
        </w:rPr>
        <w:tab/>
      </w:r>
      <w:bookmarkEnd w:id="4"/>
      <w:r w:rsidR="009C0683" w:rsidRPr="009C0683">
        <w:rPr>
          <w:rFonts w:ascii="Arial" w:hAnsi="Arial"/>
          <w:b/>
        </w:rPr>
        <w:t>Hypothesis Testing</w:t>
      </w:r>
    </w:p>
    <w:p w14:paraId="3CD7D7C3" w14:textId="77777777" w:rsidR="004A4F3F" w:rsidRPr="004A4F3F" w:rsidRDefault="004A4F3F" w:rsidP="004A4F3F">
      <w:pPr>
        <w:tabs>
          <w:tab w:val="left" w:pos="1080"/>
        </w:tabs>
        <w:jc w:val="both"/>
        <w:rPr>
          <w:rFonts w:ascii="Arial" w:hAnsi="Arial"/>
          <w:b/>
        </w:rPr>
      </w:pPr>
    </w:p>
    <w:tbl>
      <w:tblPr>
        <w:tblW w:w="824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67"/>
        <w:gridCol w:w="3823"/>
        <w:gridCol w:w="1247"/>
        <w:gridCol w:w="1018"/>
        <w:gridCol w:w="1590"/>
      </w:tblGrid>
      <w:tr w:rsidR="00DC72CC" w:rsidRPr="00DC72CC" w14:paraId="38DEFD12" w14:textId="77777777" w:rsidTr="009C0683">
        <w:trPr>
          <w:tblHeader/>
        </w:trPr>
        <w:tc>
          <w:tcPr>
            <w:tcW w:w="4390" w:type="dxa"/>
            <w:gridSpan w:val="2"/>
            <w:tcBorders>
              <w:bottom w:val="single" w:sz="4" w:space="0" w:color="auto"/>
            </w:tcBorders>
            <w:shd w:val="clear" w:color="auto" w:fill="D9D9D9" w:themeFill="background1" w:themeFillShade="D9"/>
          </w:tcPr>
          <w:p w14:paraId="48B55749" w14:textId="2E8163E7" w:rsidR="00DC72CC" w:rsidRPr="00DC72CC" w:rsidRDefault="009C0683" w:rsidP="009C0683">
            <w:pPr>
              <w:widowControl w:val="0"/>
              <w:autoSpaceDE w:val="0"/>
              <w:autoSpaceDN w:val="0"/>
              <w:jc w:val="center"/>
              <w:rPr>
                <w:rFonts w:ascii="Arial" w:hAnsi="Arial" w:cs="Arial"/>
              </w:rPr>
            </w:pPr>
            <w:r w:rsidRPr="009C0683">
              <w:rPr>
                <w:rFonts w:ascii="Arial" w:hAnsi="Arial" w:cs="Arial"/>
              </w:rPr>
              <w:t xml:space="preserve">Hypothesis    </w:t>
            </w:r>
          </w:p>
        </w:tc>
        <w:tc>
          <w:tcPr>
            <w:tcW w:w="1247" w:type="dxa"/>
            <w:tcBorders>
              <w:bottom w:val="single" w:sz="4" w:space="0" w:color="auto"/>
            </w:tcBorders>
            <w:shd w:val="clear" w:color="auto" w:fill="D9D9D9" w:themeFill="background1" w:themeFillShade="D9"/>
          </w:tcPr>
          <w:p w14:paraId="6FE273BE" w14:textId="49D119F1" w:rsidR="00DC72CC" w:rsidRPr="00DC72CC" w:rsidRDefault="009C0683" w:rsidP="009C0683">
            <w:pPr>
              <w:widowControl w:val="0"/>
              <w:autoSpaceDE w:val="0"/>
              <w:autoSpaceDN w:val="0"/>
              <w:jc w:val="center"/>
              <w:rPr>
                <w:rFonts w:ascii="Arial" w:hAnsi="Arial" w:cs="Arial"/>
              </w:rPr>
            </w:pPr>
            <w:r w:rsidRPr="009C0683">
              <w:rPr>
                <w:rFonts w:ascii="Arial" w:hAnsi="Arial" w:cs="Arial"/>
              </w:rPr>
              <w:t xml:space="preserve">Coefficient    </w:t>
            </w:r>
          </w:p>
        </w:tc>
        <w:tc>
          <w:tcPr>
            <w:tcW w:w="1018" w:type="dxa"/>
            <w:tcBorders>
              <w:bottom w:val="single" w:sz="4" w:space="0" w:color="auto"/>
            </w:tcBorders>
            <w:shd w:val="clear" w:color="auto" w:fill="D9D9D9" w:themeFill="background1" w:themeFillShade="D9"/>
          </w:tcPr>
          <w:p w14:paraId="5D7F3343" w14:textId="77777777" w:rsidR="00DC72CC" w:rsidRPr="00DC72CC" w:rsidRDefault="00DC72CC" w:rsidP="009C0683">
            <w:pPr>
              <w:widowControl w:val="0"/>
              <w:autoSpaceDE w:val="0"/>
              <w:autoSpaceDN w:val="0"/>
              <w:jc w:val="center"/>
              <w:rPr>
                <w:rFonts w:ascii="Arial" w:hAnsi="Arial" w:cs="Arial"/>
              </w:rPr>
            </w:pPr>
            <w:r w:rsidRPr="00DC72CC">
              <w:rPr>
                <w:rFonts w:ascii="Arial" w:hAnsi="Arial" w:cs="Arial"/>
              </w:rPr>
              <w:t>P-value</w:t>
            </w:r>
          </w:p>
        </w:tc>
        <w:tc>
          <w:tcPr>
            <w:tcW w:w="1590" w:type="dxa"/>
            <w:tcBorders>
              <w:bottom w:val="single" w:sz="4" w:space="0" w:color="auto"/>
            </w:tcBorders>
            <w:shd w:val="clear" w:color="auto" w:fill="D9D9D9" w:themeFill="background1" w:themeFillShade="D9"/>
          </w:tcPr>
          <w:p w14:paraId="73DE7943" w14:textId="7C090A98" w:rsidR="00DC72CC" w:rsidRPr="00DC72CC" w:rsidRDefault="009C0683" w:rsidP="009C0683">
            <w:pPr>
              <w:widowControl w:val="0"/>
              <w:autoSpaceDE w:val="0"/>
              <w:autoSpaceDN w:val="0"/>
              <w:jc w:val="center"/>
              <w:rPr>
                <w:rFonts w:ascii="Arial" w:hAnsi="Arial" w:cs="Arial"/>
              </w:rPr>
            </w:pPr>
            <w:r w:rsidRPr="009C0683">
              <w:rPr>
                <w:rFonts w:ascii="Arial" w:hAnsi="Arial" w:cs="Arial"/>
              </w:rPr>
              <w:t>Conclusion</w:t>
            </w:r>
          </w:p>
        </w:tc>
      </w:tr>
      <w:tr w:rsidR="009C0683" w:rsidRPr="00DC72CC" w14:paraId="2391AD8A" w14:textId="77777777" w:rsidTr="0040421D">
        <w:tc>
          <w:tcPr>
            <w:tcW w:w="567" w:type="dxa"/>
            <w:tcBorders>
              <w:bottom w:val="nil"/>
            </w:tcBorders>
            <w:vAlign w:val="center"/>
          </w:tcPr>
          <w:p w14:paraId="5D9F6D96" w14:textId="77777777" w:rsidR="009C0683" w:rsidRPr="00DC72CC" w:rsidRDefault="009C0683" w:rsidP="009C0683">
            <w:pPr>
              <w:widowControl w:val="0"/>
              <w:autoSpaceDE w:val="0"/>
              <w:autoSpaceDN w:val="0"/>
              <w:jc w:val="both"/>
              <w:rPr>
                <w:rFonts w:ascii="Arial" w:hAnsi="Arial" w:cs="Arial"/>
                <w:bCs/>
                <w:lang w:val="en-ID"/>
              </w:rPr>
            </w:pPr>
            <w:r w:rsidRPr="00DC72CC">
              <w:rPr>
                <w:rFonts w:ascii="Arial" w:hAnsi="Arial" w:cs="Arial"/>
                <w:bCs/>
                <w:lang w:val="en-ID"/>
              </w:rPr>
              <w:t>H</w:t>
            </w:r>
            <w:r w:rsidRPr="00DC72CC">
              <w:rPr>
                <w:rFonts w:ascii="Arial" w:hAnsi="Arial" w:cs="Arial"/>
                <w:bCs/>
                <w:vertAlign w:val="subscript"/>
                <w:lang w:val="en-ID"/>
              </w:rPr>
              <w:t>1</w:t>
            </w:r>
          </w:p>
        </w:tc>
        <w:tc>
          <w:tcPr>
            <w:tcW w:w="3823" w:type="dxa"/>
            <w:tcBorders>
              <w:bottom w:val="nil"/>
            </w:tcBorders>
          </w:tcPr>
          <w:p w14:paraId="483BE95C" w14:textId="433384F3" w:rsidR="009C0683" w:rsidRPr="00DC72CC" w:rsidRDefault="009C0683" w:rsidP="009C0683">
            <w:pPr>
              <w:widowControl w:val="0"/>
              <w:autoSpaceDE w:val="0"/>
              <w:autoSpaceDN w:val="0"/>
              <w:jc w:val="both"/>
              <w:rPr>
                <w:rFonts w:ascii="Arial" w:hAnsi="Arial" w:cs="Arial"/>
                <w:bCs/>
              </w:rPr>
            </w:pPr>
            <w:r w:rsidRPr="009C0683">
              <w:rPr>
                <w:rFonts w:ascii="Arial" w:hAnsi="Arial" w:cs="Arial"/>
                <w:bCs/>
                <w:lang w:val="en-ID"/>
              </w:rPr>
              <w:t>Company ownership has a positive effect on technical efficiency</w:t>
            </w:r>
          </w:p>
        </w:tc>
        <w:tc>
          <w:tcPr>
            <w:tcW w:w="1247" w:type="dxa"/>
            <w:tcBorders>
              <w:bottom w:val="nil"/>
            </w:tcBorders>
            <w:vAlign w:val="center"/>
          </w:tcPr>
          <w:p w14:paraId="3D744E68" w14:textId="77777777" w:rsidR="009C0683" w:rsidRPr="00DC72CC" w:rsidRDefault="009C0683" w:rsidP="009C0683">
            <w:pPr>
              <w:widowControl w:val="0"/>
              <w:autoSpaceDE w:val="0"/>
              <w:autoSpaceDN w:val="0"/>
              <w:jc w:val="both"/>
              <w:rPr>
                <w:rFonts w:ascii="Arial" w:hAnsi="Arial" w:cs="Arial"/>
              </w:rPr>
            </w:pPr>
            <w:r w:rsidRPr="00DC72CC">
              <w:rPr>
                <w:rFonts w:ascii="Arial" w:hAnsi="Arial" w:cs="Arial"/>
                <w:lang w:val="en-ID"/>
              </w:rPr>
              <w:t>0.989197</w:t>
            </w:r>
          </w:p>
        </w:tc>
        <w:tc>
          <w:tcPr>
            <w:tcW w:w="1018" w:type="dxa"/>
            <w:tcBorders>
              <w:bottom w:val="nil"/>
            </w:tcBorders>
            <w:vAlign w:val="center"/>
          </w:tcPr>
          <w:p w14:paraId="31F0B968" w14:textId="77777777" w:rsidR="009C0683" w:rsidRPr="00DC72CC" w:rsidRDefault="009C0683" w:rsidP="009C0683">
            <w:pPr>
              <w:widowControl w:val="0"/>
              <w:autoSpaceDE w:val="0"/>
              <w:autoSpaceDN w:val="0"/>
              <w:jc w:val="both"/>
              <w:rPr>
                <w:rFonts w:ascii="Arial" w:hAnsi="Arial" w:cs="Arial"/>
              </w:rPr>
            </w:pPr>
            <w:r w:rsidRPr="00DC72CC">
              <w:rPr>
                <w:rFonts w:ascii="Arial" w:hAnsi="Arial" w:cs="Arial"/>
              </w:rPr>
              <w:t>0.0000</w:t>
            </w:r>
          </w:p>
        </w:tc>
        <w:tc>
          <w:tcPr>
            <w:tcW w:w="1590" w:type="dxa"/>
            <w:tcBorders>
              <w:bottom w:val="nil"/>
            </w:tcBorders>
          </w:tcPr>
          <w:p w14:paraId="7B05AB83" w14:textId="31D2D891" w:rsidR="009C0683" w:rsidRPr="00DC72CC" w:rsidRDefault="009C0683" w:rsidP="009C0683">
            <w:pPr>
              <w:widowControl w:val="0"/>
              <w:autoSpaceDE w:val="0"/>
              <w:autoSpaceDN w:val="0"/>
              <w:jc w:val="both"/>
              <w:rPr>
                <w:rFonts w:ascii="Arial" w:hAnsi="Arial" w:cs="Arial"/>
              </w:rPr>
            </w:pPr>
            <w:r w:rsidRPr="00687ED6">
              <w:t>Hypothesis supported</w:t>
            </w:r>
          </w:p>
        </w:tc>
      </w:tr>
      <w:tr w:rsidR="009C0683" w:rsidRPr="00DC72CC" w14:paraId="6E68D413" w14:textId="77777777" w:rsidTr="0040421D">
        <w:tc>
          <w:tcPr>
            <w:tcW w:w="567" w:type="dxa"/>
            <w:tcBorders>
              <w:top w:val="nil"/>
              <w:bottom w:val="nil"/>
            </w:tcBorders>
            <w:vAlign w:val="center"/>
          </w:tcPr>
          <w:p w14:paraId="26BB3ECE" w14:textId="77777777" w:rsidR="009C0683" w:rsidRPr="00DC72CC" w:rsidRDefault="009C0683" w:rsidP="009C0683">
            <w:pPr>
              <w:widowControl w:val="0"/>
              <w:autoSpaceDE w:val="0"/>
              <w:autoSpaceDN w:val="0"/>
              <w:jc w:val="both"/>
              <w:rPr>
                <w:rFonts w:ascii="Arial" w:hAnsi="Arial" w:cs="Arial"/>
                <w:bCs/>
              </w:rPr>
            </w:pPr>
            <w:r w:rsidRPr="00DC72CC">
              <w:rPr>
                <w:rFonts w:ascii="Arial" w:hAnsi="Arial" w:cs="Arial"/>
                <w:bCs/>
              </w:rPr>
              <w:t>H</w:t>
            </w:r>
            <w:r w:rsidRPr="00DC72CC">
              <w:rPr>
                <w:rFonts w:ascii="Arial" w:hAnsi="Arial" w:cs="Arial"/>
                <w:bCs/>
                <w:vertAlign w:val="subscript"/>
              </w:rPr>
              <w:t>2</w:t>
            </w:r>
          </w:p>
        </w:tc>
        <w:tc>
          <w:tcPr>
            <w:tcW w:w="3823" w:type="dxa"/>
            <w:tcBorders>
              <w:top w:val="nil"/>
              <w:bottom w:val="nil"/>
            </w:tcBorders>
          </w:tcPr>
          <w:p w14:paraId="78653D19" w14:textId="52267CA7" w:rsidR="009C0683" w:rsidRPr="00DC72CC" w:rsidRDefault="009C0683" w:rsidP="009C0683">
            <w:pPr>
              <w:widowControl w:val="0"/>
              <w:autoSpaceDE w:val="0"/>
              <w:autoSpaceDN w:val="0"/>
              <w:jc w:val="both"/>
              <w:rPr>
                <w:rFonts w:ascii="Arial" w:hAnsi="Arial" w:cs="Arial"/>
                <w:bCs/>
              </w:rPr>
            </w:pPr>
            <w:r w:rsidRPr="009C0683">
              <w:rPr>
                <w:rFonts w:ascii="Arial" w:hAnsi="Arial" w:cs="Arial"/>
                <w:bCs/>
                <w:lang w:val="en-ID"/>
              </w:rPr>
              <w:t>Internationalization has a negative effect on technical efficiency</w:t>
            </w:r>
            <w:r w:rsidRPr="009C0683">
              <w:rPr>
                <w:rFonts w:ascii="Arial" w:hAnsi="Arial" w:cs="Arial"/>
                <w:bCs/>
                <w:lang w:val="en-ID"/>
              </w:rPr>
              <w:tab/>
            </w:r>
          </w:p>
        </w:tc>
        <w:tc>
          <w:tcPr>
            <w:tcW w:w="1247" w:type="dxa"/>
            <w:tcBorders>
              <w:top w:val="nil"/>
              <w:bottom w:val="nil"/>
            </w:tcBorders>
            <w:vAlign w:val="center"/>
          </w:tcPr>
          <w:p w14:paraId="5EE5E73C" w14:textId="77777777" w:rsidR="009C0683" w:rsidRPr="00DC72CC" w:rsidRDefault="009C0683" w:rsidP="009C0683">
            <w:pPr>
              <w:widowControl w:val="0"/>
              <w:autoSpaceDE w:val="0"/>
              <w:autoSpaceDN w:val="0"/>
              <w:jc w:val="both"/>
              <w:rPr>
                <w:rFonts w:ascii="Arial" w:hAnsi="Arial" w:cs="Arial"/>
              </w:rPr>
            </w:pPr>
            <w:r w:rsidRPr="00DC72CC">
              <w:rPr>
                <w:rFonts w:ascii="Arial" w:hAnsi="Arial" w:cs="Arial"/>
                <w:lang w:val="en-ID"/>
              </w:rPr>
              <w:t>-8.04825</w:t>
            </w:r>
          </w:p>
        </w:tc>
        <w:tc>
          <w:tcPr>
            <w:tcW w:w="1018" w:type="dxa"/>
            <w:tcBorders>
              <w:top w:val="nil"/>
              <w:bottom w:val="nil"/>
            </w:tcBorders>
            <w:vAlign w:val="center"/>
          </w:tcPr>
          <w:p w14:paraId="34E4CC14" w14:textId="77777777" w:rsidR="009C0683" w:rsidRPr="00DC72CC" w:rsidRDefault="009C0683" w:rsidP="009C0683">
            <w:pPr>
              <w:widowControl w:val="0"/>
              <w:autoSpaceDE w:val="0"/>
              <w:autoSpaceDN w:val="0"/>
              <w:jc w:val="both"/>
              <w:rPr>
                <w:rFonts w:ascii="Arial" w:hAnsi="Arial" w:cs="Arial"/>
              </w:rPr>
            </w:pPr>
            <w:r w:rsidRPr="00DC72CC">
              <w:rPr>
                <w:rFonts w:ascii="Arial" w:hAnsi="Arial" w:cs="Arial"/>
              </w:rPr>
              <w:t>0.00005</w:t>
            </w:r>
          </w:p>
        </w:tc>
        <w:tc>
          <w:tcPr>
            <w:tcW w:w="1590" w:type="dxa"/>
            <w:tcBorders>
              <w:top w:val="nil"/>
              <w:bottom w:val="nil"/>
            </w:tcBorders>
          </w:tcPr>
          <w:p w14:paraId="4875E897" w14:textId="06C34B9D" w:rsidR="009C0683" w:rsidRPr="00DC72CC" w:rsidRDefault="009C0683" w:rsidP="009C0683">
            <w:pPr>
              <w:widowControl w:val="0"/>
              <w:autoSpaceDE w:val="0"/>
              <w:autoSpaceDN w:val="0"/>
              <w:jc w:val="both"/>
              <w:rPr>
                <w:rFonts w:ascii="Arial" w:hAnsi="Arial" w:cs="Arial"/>
              </w:rPr>
            </w:pPr>
            <w:r w:rsidRPr="00687ED6">
              <w:t>Hypothesis supported</w:t>
            </w:r>
          </w:p>
        </w:tc>
      </w:tr>
      <w:tr w:rsidR="009C0683" w:rsidRPr="00DC72CC" w14:paraId="28C87E34" w14:textId="77777777" w:rsidTr="0040421D">
        <w:tc>
          <w:tcPr>
            <w:tcW w:w="567" w:type="dxa"/>
            <w:tcBorders>
              <w:top w:val="nil"/>
            </w:tcBorders>
            <w:vAlign w:val="center"/>
          </w:tcPr>
          <w:p w14:paraId="469CDA55" w14:textId="77777777" w:rsidR="009C0683" w:rsidRPr="00DC72CC" w:rsidRDefault="009C0683" w:rsidP="009C0683">
            <w:pPr>
              <w:widowControl w:val="0"/>
              <w:autoSpaceDE w:val="0"/>
              <w:autoSpaceDN w:val="0"/>
              <w:jc w:val="both"/>
              <w:rPr>
                <w:rFonts w:ascii="Arial" w:hAnsi="Arial" w:cs="Arial"/>
                <w:bCs/>
              </w:rPr>
            </w:pPr>
            <w:r w:rsidRPr="00DC72CC">
              <w:rPr>
                <w:rFonts w:ascii="Arial" w:hAnsi="Arial" w:cs="Arial"/>
                <w:bCs/>
              </w:rPr>
              <w:t>H</w:t>
            </w:r>
            <w:r w:rsidRPr="00DC72CC">
              <w:rPr>
                <w:rFonts w:ascii="Arial" w:hAnsi="Arial" w:cs="Arial"/>
                <w:bCs/>
                <w:vertAlign w:val="subscript"/>
              </w:rPr>
              <w:t>3</w:t>
            </w:r>
          </w:p>
        </w:tc>
        <w:tc>
          <w:tcPr>
            <w:tcW w:w="3823" w:type="dxa"/>
            <w:tcBorders>
              <w:top w:val="nil"/>
            </w:tcBorders>
          </w:tcPr>
          <w:p w14:paraId="0A70CB6B" w14:textId="7C490F82" w:rsidR="009C0683" w:rsidRPr="00DC72CC" w:rsidRDefault="009C0683" w:rsidP="009C0683">
            <w:pPr>
              <w:widowControl w:val="0"/>
              <w:autoSpaceDE w:val="0"/>
              <w:autoSpaceDN w:val="0"/>
              <w:jc w:val="both"/>
              <w:rPr>
                <w:rFonts w:ascii="Arial" w:hAnsi="Arial" w:cs="Arial"/>
                <w:bCs/>
                <w:lang w:val="en-ID"/>
              </w:rPr>
            </w:pPr>
            <w:r w:rsidRPr="009C0683">
              <w:rPr>
                <w:rFonts w:ascii="Arial" w:hAnsi="Arial" w:cs="Arial"/>
                <w:bCs/>
                <w:lang w:val="en-ID"/>
              </w:rPr>
              <w:t>Sustainability value has a positive effect on technical efficiency</w:t>
            </w:r>
          </w:p>
        </w:tc>
        <w:tc>
          <w:tcPr>
            <w:tcW w:w="1247" w:type="dxa"/>
            <w:tcBorders>
              <w:top w:val="nil"/>
            </w:tcBorders>
            <w:vAlign w:val="center"/>
          </w:tcPr>
          <w:p w14:paraId="243887DD" w14:textId="77777777" w:rsidR="009C0683" w:rsidRPr="00DC72CC" w:rsidRDefault="009C0683" w:rsidP="009C0683">
            <w:pPr>
              <w:widowControl w:val="0"/>
              <w:autoSpaceDE w:val="0"/>
              <w:autoSpaceDN w:val="0"/>
              <w:jc w:val="both"/>
              <w:rPr>
                <w:rFonts w:ascii="Arial" w:hAnsi="Arial" w:cs="Arial"/>
              </w:rPr>
            </w:pPr>
            <w:r w:rsidRPr="00DC72CC">
              <w:rPr>
                <w:rFonts w:ascii="Arial" w:hAnsi="Arial" w:cs="Arial"/>
                <w:lang w:val="en-ID"/>
              </w:rPr>
              <w:t>0.150660</w:t>
            </w:r>
          </w:p>
        </w:tc>
        <w:tc>
          <w:tcPr>
            <w:tcW w:w="1018" w:type="dxa"/>
            <w:tcBorders>
              <w:top w:val="nil"/>
            </w:tcBorders>
            <w:vAlign w:val="center"/>
          </w:tcPr>
          <w:p w14:paraId="27C0E169" w14:textId="77777777" w:rsidR="009C0683" w:rsidRPr="00DC72CC" w:rsidRDefault="009C0683" w:rsidP="009C0683">
            <w:pPr>
              <w:widowControl w:val="0"/>
              <w:autoSpaceDE w:val="0"/>
              <w:autoSpaceDN w:val="0"/>
              <w:jc w:val="both"/>
              <w:rPr>
                <w:rFonts w:ascii="Arial" w:hAnsi="Arial" w:cs="Arial"/>
              </w:rPr>
            </w:pPr>
            <w:r w:rsidRPr="00DC72CC">
              <w:rPr>
                <w:rFonts w:ascii="Arial" w:hAnsi="Arial" w:cs="Arial"/>
                <w:lang w:val="en-ID"/>
              </w:rPr>
              <w:t>0.00015</w:t>
            </w:r>
          </w:p>
        </w:tc>
        <w:tc>
          <w:tcPr>
            <w:tcW w:w="1590" w:type="dxa"/>
            <w:tcBorders>
              <w:top w:val="nil"/>
            </w:tcBorders>
          </w:tcPr>
          <w:p w14:paraId="2D942E7F" w14:textId="4C0A6336" w:rsidR="009C0683" w:rsidRPr="00DC72CC" w:rsidRDefault="009C0683" w:rsidP="009C0683">
            <w:pPr>
              <w:widowControl w:val="0"/>
              <w:autoSpaceDE w:val="0"/>
              <w:autoSpaceDN w:val="0"/>
              <w:jc w:val="both"/>
              <w:rPr>
                <w:rFonts w:ascii="Arial" w:hAnsi="Arial" w:cs="Arial"/>
              </w:rPr>
            </w:pPr>
            <w:r w:rsidRPr="00687ED6">
              <w:t>Hypothesis supported</w:t>
            </w:r>
          </w:p>
        </w:tc>
      </w:tr>
    </w:tbl>
    <w:p w14:paraId="1057C1D4" w14:textId="0B4C5615" w:rsidR="00DC72CC" w:rsidRDefault="00D67874" w:rsidP="00441B6F">
      <w:pPr>
        <w:pStyle w:val="Body"/>
        <w:spacing w:after="0"/>
        <w:rPr>
          <w:rFonts w:ascii="Arial" w:hAnsi="Arial" w:cs="Arial"/>
        </w:rPr>
      </w:pPr>
      <w:r w:rsidRPr="00D67874">
        <w:rPr>
          <w:rFonts w:ascii="Arial" w:hAnsi="Arial" w:cs="Arial"/>
        </w:rPr>
        <w:t xml:space="preserve">Source: data processed with </w:t>
      </w:r>
      <w:proofErr w:type="spellStart"/>
      <w:r w:rsidRPr="00D67874">
        <w:rPr>
          <w:rFonts w:ascii="Arial" w:hAnsi="Arial" w:cs="Arial"/>
        </w:rPr>
        <w:t>Eviews</w:t>
      </w:r>
      <w:proofErr w:type="spellEnd"/>
    </w:p>
    <w:p w14:paraId="33067B32" w14:textId="77777777" w:rsidR="00956382" w:rsidRDefault="00956382" w:rsidP="00441B6F">
      <w:pPr>
        <w:pStyle w:val="Body"/>
        <w:spacing w:after="0"/>
        <w:rPr>
          <w:rFonts w:ascii="Arial" w:hAnsi="Arial" w:cs="Arial"/>
        </w:rPr>
      </w:pPr>
    </w:p>
    <w:p w14:paraId="4C2CB0D7" w14:textId="79B1BF58" w:rsidR="004A4F3F" w:rsidRDefault="009C0683" w:rsidP="00441B6F">
      <w:pPr>
        <w:pStyle w:val="Body"/>
        <w:spacing w:after="0"/>
        <w:rPr>
          <w:rFonts w:ascii="Arial" w:hAnsi="Arial" w:cs="Arial"/>
        </w:rPr>
      </w:pPr>
      <w:r w:rsidRPr="009C0683">
        <w:rPr>
          <w:rFonts w:ascii="Arial" w:hAnsi="Arial" w:cs="Arial"/>
        </w:rPr>
        <w:t>The results are shown with a coefficient value of -8.048255, meaning that an increase in internationalization will decrease technical efficiency and vice versa, a decrease in internationalization will decrease technical efficiency. The p-value of the t-statistic is 0.00005 &lt; 0.05, so Ho is rejected and Ha is accepted, concluding that internationalization has a negative effect on technical efficiency. The results are shown by a coefficient value of 0.150660, which means that an increase in the sustainability value proposition will increase technical efficiency and, conversely, a decrease in the sustainability value proposition will decrease technical efficiency. The p-value is 0.00015 &lt; 0.05, meaning that Ho is rejected and Ha is accepted, so it can be concluded that the sustainability proposition value has a positive effect on technical efficiency.</w:t>
      </w:r>
    </w:p>
    <w:p w14:paraId="36EAA787" w14:textId="77777777" w:rsidR="00790ADA" w:rsidRDefault="00790ADA" w:rsidP="00441B6F">
      <w:pPr>
        <w:pStyle w:val="Body"/>
        <w:spacing w:after="0"/>
        <w:rPr>
          <w:rFonts w:ascii="Arial" w:hAnsi="Arial" w:cs="Arial"/>
        </w:rPr>
      </w:pPr>
    </w:p>
    <w:p w14:paraId="26F119D9" w14:textId="350AD2FD" w:rsidR="004A4F3F" w:rsidRDefault="004A4F3F" w:rsidP="004A4F3F">
      <w:pPr>
        <w:pStyle w:val="Body"/>
        <w:numPr>
          <w:ilvl w:val="1"/>
          <w:numId w:val="37"/>
        </w:numPr>
        <w:spacing w:after="0"/>
        <w:rPr>
          <w:rFonts w:ascii="Arial" w:hAnsi="Arial" w:cs="Arial"/>
          <w:b/>
          <w:caps/>
          <w:sz w:val="22"/>
        </w:rPr>
      </w:pPr>
      <w:r w:rsidRPr="004A4F3F">
        <w:rPr>
          <w:rFonts w:ascii="Arial" w:hAnsi="Arial" w:cs="Arial"/>
          <w:b/>
          <w:caps/>
          <w:sz w:val="22"/>
        </w:rPr>
        <w:t>discussion</w:t>
      </w:r>
    </w:p>
    <w:p w14:paraId="15403E21" w14:textId="77777777" w:rsidR="00A02CC4" w:rsidRPr="00A02CC4" w:rsidRDefault="00A02CC4" w:rsidP="00A02CC4">
      <w:pPr>
        <w:pStyle w:val="Body"/>
        <w:spacing w:after="0"/>
        <w:rPr>
          <w:rFonts w:ascii="Arial" w:hAnsi="Arial" w:cs="Arial"/>
          <w:b/>
          <w:caps/>
          <w:szCs w:val="18"/>
        </w:rPr>
      </w:pPr>
    </w:p>
    <w:p w14:paraId="22E0CDDB" w14:textId="227147C4" w:rsidR="00A02CC4" w:rsidRDefault="00A02CC4" w:rsidP="00A02CC4">
      <w:pPr>
        <w:pStyle w:val="Body"/>
        <w:spacing w:after="0"/>
        <w:rPr>
          <w:rFonts w:ascii="Arial" w:hAnsi="Arial" w:cs="Arial"/>
          <w:b/>
          <w:u w:val="single"/>
        </w:rPr>
      </w:pPr>
      <w:r>
        <w:rPr>
          <w:rFonts w:ascii="Arial" w:hAnsi="Arial" w:cs="Arial"/>
          <w:b/>
          <w:u w:val="single"/>
        </w:rPr>
        <w:t>3.2.1</w:t>
      </w:r>
      <w:r>
        <w:rPr>
          <w:rFonts w:ascii="Arial" w:hAnsi="Arial" w:cs="Arial"/>
          <w:b/>
          <w:u w:val="single"/>
        </w:rPr>
        <w:tab/>
      </w:r>
      <w:r w:rsidR="009C0683" w:rsidRPr="009C0683">
        <w:rPr>
          <w:rFonts w:ascii="Arial" w:hAnsi="Arial" w:cs="Arial"/>
          <w:b/>
          <w:u w:val="single"/>
        </w:rPr>
        <w:t>Company Ownership and Technical Efficiency</w:t>
      </w:r>
    </w:p>
    <w:p w14:paraId="50D989B5" w14:textId="77777777" w:rsidR="00A02CC4" w:rsidRDefault="00A02CC4" w:rsidP="00A02CC4">
      <w:pPr>
        <w:pStyle w:val="Body"/>
        <w:spacing w:after="0"/>
        <w:rPr>
          <w:rFonts w:ascii="Arial" w:hAnsi="Arial" w:cs="Arial"/>
          <w:bCs/>
        </w:rPr>
      </w:pPr>
    </w:p>
    <w:p w14:paraId="605754F1" w14:textId="082E9959" w:rsidR="00A02CC4" w:rsidRPr="00A02CC4" w:rsidRDefault="00907F2F" w:rsidP="009C0683">
      <w:pPr>
        <w:pStyle w:val="Body"/>
        <w:spacing w:after="0"/>
        <w:rPr>
          <w:rFonts w:ascii="Arial" w:hAnsi="Arial" w:cs="Arial"/>
          <w:bCs/>
        </w:rPr>
      </w:pPr>
      <w:r w:rsidRPr="00907F2F">
        <w:rPr>
          <w:rFonts w:ascii="Arial" w:hAnsi="Arial" w:cs="Arial"/>
          <w:bCs/>
        </w:rPr>
        <w:t>The outcomes from the initial hypothesis examination (H1) reveal that corporate ownership positively and significantly influences technical efficiency. This suggests that an increase in ownership correlates with enhanced technical efficiency within the company. This observation aligns with earlier studies conducted by H. Zheng et al. (2021) and Zhu et al. (2021), which demonstrated that corporate ownership significantly boosts technical efficiency, particularly when the ownership framework is aimed at optimizing the use of resources.</w:t>
      </w:r>
      <w:r w:rsidR="009C0683" w:rsidRPr="009C0683">
        <w:rPr>
          <w:rFonts w:ascii="Arial" w:hAnsi="Arial" w:cs="Arial"/>
          <w:bCs/>
        </w:rPr>
        <w:t xml:space="preserve"> </w:t>
      </w:r>
      <w:r w:rsidR="0071351C">
        <w:rPr>
          <w:rFonts w:ascii="Arial" w:hAnsi="Arial" w:cs="Arial"/>
          <w:bCs/>
        </w:rPr>
        <w:t xml:space="preserve"> </w:t>
      </w:r>
      <w:r w:rsidRPr="00907F2F">
        <w:rPr>
          <w:rFonts w:ascii="Arial" w:hAnsi="Arial" w:cs="Arial"/>
          <w:bCs/>
        </w:rPr>
        <w:t>Higher levels of ownership often foster a better alignment of interests between owners and managers. When owners possess a substantial portion of the company, they become more inclined to enhance efficiency since the performance of the company directly affects them (H. Wang and Zhang, 2025). Major stakeholders usually prioritize long-term investment returns and, as a result, are more inclined to concentrate on advancing technical efficiency as a pathway to sustainable profitability. Furthermore, concentrated ownership facilitates more rigorous oversight of managerial performance. This oversight helps to diminish resource wastage and enhances the effective application of inputs (Y. Zheng, 2025).</w:t>
      </w:r>
    </w:p>
    <w:p w14:paraId="2664C0D7" w14:textId="77777777" w:rsidR="00A02CC4" w:rsidRDefault="00A02CC4" w:rsidP="00A02CC4">
      <w:pPr>
        <w:pStyle w:val="Body"/>
        <w:spacing w:after="0"/>
        <w:rPr>
          <w:rFonts w:ascii="Arial" w:hAnsi="Arial" w:cs="Arial"/>
          <w:b/>
          <w:u w:val="single"/>
        </w:rPr>
      </w:pPr>
    </w:p>
    <w:p w14:paraId="120C4A8F" w14:textId="6D7FABD1" w:rsidR="00A02CC4" w:rsidRDefault="00A02CC4" w:rsidP="00A02CC4">
      <w:pPr>
        <w:pStyle w:val="Body"/>
        <w:spacing w:after="0"/>
        <w:rPr>
          <w:rFonts w:ascii="Arial" w:hAnsi="Arial" w:cs="Arial"/>
          <w:b/>
          <w:u w:val="single"/>
        </w:rPr>
      </w:pPr>
      <w:r>
        <w:rPr>
          <w:rFonts w:ascii="Arial" w:hAnsi="Arial" w:cs="Arial"/>
          <w:b/>
          <w:u w:val="single"/>
        </w:rPr>
        <w:t xml:space="preserve">3.2.2 </w:t>
      </w:r>
      <w:r>
        <w:rPr>
          <w:rFonts w:ascii="Arial" w:hAnsi="Arial" w:cs="Arial"/>
          <w:b/>
          <w:u w:val="single"/>
        </w:rPr>
        <w:tab/>
      </w:r>
      <w:r w:rsidR="009C0683" w:rsidRPr="009C0683">
        <w:rPr>
          <w:rFonts w:ascii="Arial" w:hAnsi="Arial" w:cs="Arial"/>
          <w:b/>
          <w:u w:val="single"/>
        </w:rPr>
        <w:t>Internationalization on Technical Efficiency</w:t>
      </w:r>
    </w:p>
    <w:p w14:paraId="45D95264" w14:textId="77777777" w:rsidR="00A02CC4" w:rsidRPr="00A02CC4" w:rsidRDefault="00A02CC4" w:rsidP="00A02CC4">
      <w:pPr>
        <w:pStyle w:val="Body"/>
        <w:spacing w:after="0"/>
        <w:rPr>
          <w:rFonts w:ascii="Arial" w:hAnsi="Arial" w:cs="Arial"/>
          <w:bCs/>
        </w:rPr>
      </w:pPr>
    </w:p>
    <w:p w14:paraId="73ECB558" w14:textId="0ABC9218" w:rsidR="00A02CC4" w:rsidRPr="00A02CC4" w:rsidRDefault="00907F2F" w:rsidP="009C0683">
      <w:pPr>
        <w:pStyle w:val="Body"/>
        <w:spacing w:after="0"/>
        <w:rPr>
          <w:rFonts w:ascii="Arial" w:hAnsi="Arial" w:cs="Arial"/>
          <w:bCs/>
        </w:rPr>
      </w:pPr>
      <w:r w:rsidRPr="00907F2F">
        <w:rPr>
          <w:rFonts w:ascii="Arial" w:hAnsi="Arial" w:cs="Arial"/>
          <w:bCs/>
        </w:rPr>
        <w:lastRenderedPageBreak/>
        <w:t xml:space="preserve">The findings from examining the second hypothesis (H2) reveal that internationalization negatively impacts technical efficiency in a significant way. This indicates that as a company's level of internationalization increases, its technical efficiency tends to decrease. Such a result aligns with findings from earlier studies conducted by Novoselova (2021), S. Lee et al. (2020), </w:t>
      </w:r>
      <w:proofErr w:type="spellStart"/>
      <w:r w:rsidRPr="00907F2F">
        <w:rPr>
          <w:rFonts w:ascii="Arial" w:hAnsi="Arial" w:cs="Arial"/>
          <w:bCs/>
        </w:rPr>
        <w:t>Puthusserry</w:t>
      </w:r>
      <w:proofErr w:type="spellEnd"/>
      <w:r w:rsidRPr="00907F2F">
        <w:rPr>
          <w:rFonts w:ascii="Arial" w:hAnsi="Arial" w:cs="Arial"/>
          <w:bCs/>
        </w:rPr>
        <w:t xml:space="preserve"> et al. (2020), and Zahra et al. (2020). According to </w:t>
      </w:r>
      <w:proofErr w:type="spellStart"/>
      <w:r w:rsidRPr="00907F2F">
        <w:rPr>
          <w:rFonts w:ascii="Arial" w:hAnsi="Arial" w:cs="Arial"/>
          <w:bCs/>
        </w:rPr>
        <w:t>Novoselova</w:t>
      </w:r>
      <w:proofErr w:type="spellEnd"/>
      <w:r w:rsidRPr="00907F2F">
        <w:rPr>
          <w:rFonts w:ascii="Arial" w:hAnsi="Arial" w:cs="Arial"/>
          <w:bCs/>
        </w:rPr>
        <w:t xml:space="preserve"> (2021), </w:t>
      </w:r>
      <w:proofErr w:type="spellStart"/>
      <w:r w:rsidRPr="00907F2F">
        <w:rPr>
          <w:rFonts w:ascii="Arial" w:hAnsi="Arial" w:cs="Arial"/>
          <w:bCs/>
        </w:rPr>
        <w:t>Astadiyani</w:t>
      </w:r>
      <w:proofErr w:type="spellEnd"/>
      <w:r w:rsidRPr="00907F2F">
        <w:rPr>
          <w:rFonts w:ascii="Arial" w:hAnsi="Arial" w:cs="Arial"/>
          <w:bCs/>
        </w:rPr>
        <w:t xml:space="preserve"> and Pan (2022), and Ibrahim and Falkenbach (2023), the connection between internationalization and technical efficiency resembles an inverted U-shape.</w:t>
      </w:r>
      <w:r w:rsidR="0071351C">
        <w:rPr>
          <w:rFonts w:ascii="Arial" w:hAnsi="Arial" w:cs="Arial"/>
          <w:bCs/>
        </w:rPr>
        <w:t xml:space="preserve"> </w:t>
      </w:r>
      <w:r w:rsidRPr="00907F2F">
        <w:rPr>
          <w:rFonts w:ascii="Arial" w:hAnsi="Arial" w:cs="Arial"/>
          <w:bCs/>
        </w:rPr>
        <w:t xml:space="preserve">In the early phases of internationalization, companies enjoy advantages like access to more affordable or superior resources and opportunities for organizational learning. Yet, as they go beyond a specific level of internationalization, the escalating costs of coordination, increased managerial challenges, and information overload start to erode these advantages (Lee </w:t>
      </w:r>
      <w:proofErr w:type="gramStart"/>
      <w:r w:rsidRPr="00907F2F">
        <w:rPr>
          <w:rFonts w:ascii="Arial" w:hAnsi="Arial" w:cs="Arial"/>
          <w:bCs/>
        </w:rPr>
        <w:t>et al. ,</w:t>
      </w:r>
      <w:proofErr w:type="gramEnd"/>
      <w:r w:rsidRPr="00907F2F">
        <w:rPr>
          <w:rFonts w:ascii="Arial" w:hAnsi="Arial" w:cs="Arial"/>
          <w:bCs/>
        </w:rPr>
        <w:t xml:space="preserve"> 2020). Consequently, firm performance may suffer when internationalization or expansion becomes excessive. Difficulties emerge when companies go beyond their optimal limits for international growth. Elevated complexity in operations and reduced managerial effectiveness can significantly hinder overall company performance (</w:t>
      </w:r>
      <w:proofErr w:type="spellStart"/>
      <w:r w:rsidRPr="00907F2F">
        <w:rPr>
          <w:rFonts w:ascii="Arial" w:hAnsi="Arial" w:cs="Arial"/>
          <w:bCs/>
        </w:rPr>
        <w:t>Puthusserry</w:t>
      </w:r>
      <w:proofErr w:type="spellEnd"/>
      <w:r w:rsidRPr="00907F2F">
        <w:rPr>
          <w:rFonts w:ascii="Arial" w:hAnsi="Arial" w:cs="Arial"/>
          <w:bCs/>
        </w:rPr>
        <w:t xml:space="preserve"> </w:t>
      </w:r>
      <w:proofErr w:type="gramStart"/>
      <w:r w:rsidRPr="00907F2F">
        <w:rPr>
          <w:rFonts w:ascii="Arial" w:hAnsi="Arial" w:cs="Arial"/>
          <w:bCs/>
        </w:rPr>
        <w:t>et al. ,</w:t>
      </w:r>
      <w:proofErr w:type="gramEnd"/>
      <w:r w:rsidRPr="00907F2F">
        <w:rPr>
          <w:rFonts w:ascii="Arial" w:hAnsi="Arial" w:cs="Arial"/>
          <w:bCs/>
        </w:rPr>
        <w:t xml:space="preserve"> 2020; Zahra et al. , 2020). At this stage, the additional costs begin to surpass the advantages seen from entering new markets or accessing new resources.</w:t>
      </w:r>
    </w:p>
    <w:p w14:paraId="591C376B" w14:textId="77777777" w:rsidR="00A02CC4" w:rsidRPr="00A02CC4" w:rsidRDefault="00A02CC4" w:rsidP="00A02CC4">
      <w:pPr>
        <w:pStyle w:val="Body"/>
        <w:spacing w:after="0"/>
        <w:rPr>
          <w:rFonts w:ascii="Arial" w:hAnsi="Arial" w:cs="Arial"/>
          <w:bCs/>
        </w:rPr>
      </w:pPr>
    </w:p>
    <w:p w14:paraId="1098C8EA" w14:textId="7F7EE87F" w:rsidR="00A02CC4" w:rsidRDefault="00A02CC4" w:rsidP="00A02CC4">
      <w:pPr>
        <w:pStyle w:val="Body"/>
        <w:spacing w:after="0"/>
        <w:rPr>
          <w:rFonts w:ascii="Arial" w:hAnsi="Arial" w:cs="Arial"/>
          <w:b/>
          <w:u w:val="single"/>
        </w:rPr>
      </w:pPr>
      <w:r>
        <w:rPr>
          <w:rFonts w:ascii="Arial" w:hAnsi="Arial" w:cs="Arial"/>
          <w:b/>
          <w:u w:val="single"/>
        </w:rPr>
        <w:t>3,2,3</w:t>
      </w:r>
      <w:r>
        <w:rPr>
          <w:rFonts w:ascii="Arial" w:hAnsi="Arial" w:cs="Arial"/>
          <w:b/>
          <w:u w:val="single"/>
        </w:rPr>
        <w:tab/>
      </w:r>
      <w:r w:rsidR="009C0683" w:rsidRPr="009C0683">
        <w:rPr>
          <w:rFonts w:ascii="Arial" w:hAnsi="Arial" w:cs="Arial"/>
          <w:b/>
          <w:u w:val="single"/>
        </w:rPr>
        <w:t>The Value of Sustainability on Technical Efficiency</w:t>
      </w:r>
    </w:p>
    <w:p w14:paraId="7CE4D4D4" w14:textId="77777777" w:rsidR="00A02CC4" w:rsidRPr="00A02CC4" w:rsidRDefault="00A02CC4" w:rsidP="00A02CC4">
      <w:pPr>
        <w:pStyle w:val="Body"/>
        <w:spacing w:after="0"/>
        <w:rPr>
          <w:rFonts w:ascii="Arial" w:hAnsi="Arial" w:cs="Arial"/>
          <w:b/>
          <w:u w:val="single"/>
        </w:rPr>
      </w:pPr>
    </w:p>
    <w:p w14:paraId="4A25F5DD" w14:textId="227A4C00" w:rsidR="00A02CC4" w:rsidRPr="00A02CC4" w:rsidRDefault="00907F2F" w:rsidP="009C0683">
      <w:pPr>
        <w:pStyle w:val="Body"/>
        <w:spacing w:after="0"/>
        <w:rPr>
          <w:rFonts w:ascii="Arial" w:hAnsi="Arial" w:cs="Arial"/>
          <w:bCs/>
        </w:rPr>
      </w:pPr>
      <w:r w:rsidRPr="00907F2F">
        <w:rPr>
          <w:rFonts w:ascii="Arial" w:hAnsi="Arial" w:cs="Arial"/>
          <w:bCs/>
        </w:rPr>
        <w:t xml:space="preserve">The findings from the evaluation of the third hypothesis (H3) reveal that the sustainability value proposition positively influences technical efficiency and this effect is significant. Essentially, this means that a company's enhanced sustainability value proposition correlates with improved technical efficiency. This observation aligns with earlier studies conducted by Wu and Dong (2021); Ilyas and </w:t>
      </w:r>
      <w:proofErr w:type="spellStart"/>
      <w:r w:rsidRPr="00907F2F">
        <w:rPr>
          <w:rFonts w:ascii="Arial" w:hAnsi="Arial" w:cs="Arial"/>
          <w:bCs/>
        </w:rPr>
        <w:t>Osiyevskyy</w:t>
      </w:r>
      <w:proofErr w:type="spellEnd"/>
      <w:r w:rsidRPr="00907F2F">
        <w:rPr>
          <w:rFonts w:ascii="Arial" w:hAnsi="Arial" w:cs="Arial"/>
          <w:bCs/>
        </w:rPr>
        <w:t xml:space="preserve"> (2022); </w:t>
      </w:r>
      <w:proofErr w:type="spellStart"/>
      <w:r w:rsidRPr="00907F2F">
        <w:rPr>
          <w:rFonts w:ascii="Arial" w:hAnsi="Arial" w:cs="Arial"/>
          <w:bCs/>
        </w:rPr>
        <w:t>Huo</w:t>
      </w:r>
      <w:proofErr w:type="spellEnd"/>
      <w:r w:rsidRPr="00907F2F">
        <w:rPr>
          <w:rFonts w:ascii="Arial" w:hAnsi="Arial" w:cs="Arial"/>
          <w:bCs/>
        </w:rPr>
        <w:t xml:space="preserve"> et al. (2024); Alem (2021); and Niu et al. (2023).</w:t>
      </w:r>
      <w:r w:rsidR="0071351C">
        <w:rPr>
          <w:rFonts w:ascii="Arial" w:hAnsi="Arial" w:cs="Arial"/>
          <w:bCs/>
        </w:rPr>
        <w:t xml:space="preserve"> </w:t>
      </w:r>
      <w:r w:rsidRPr="00907F2F">
        <w:rPr>
          <w:rFonts w:ascii="Arial" w:hAnsi="Arial" w:cs="Arial"/>
          <w:bCs/>
        </w:rPr>
        <w:t>Sustainable value propositions, which are essential components of business models focused on sustainability, have been shown to offer strategic benefits to organizations. By embracing sustainable practices, businesses can make better use of resources like energy, raw materials, and water, consequently lowering waste and operational expenses (Wu and Dong, 2021). Moreover, while investing in renewable energy technologies may involve substantial upfront costs, it can lead to long-term financial savings and mitigate the risks associated with volatility in natural resource pricing (</w:t>
      </w:r>
      <w:proofErr w:type="spellStart"/>
      <w:r w:rsidRPr="00907F2F">
        <w:rPr>
          <w:rFonts w:ascii="Arial" w:hAnsi="Arial" w:cs="Arial"/>
          <w:bCs/>
        </w:rPr>
        <w:t>Delapedra</w:t>
      </w:r>
      <w:proofErr w:type="spellEnd"/>
      <w:r w:rsidRPr="00907F2F">
        <w:rPr>
          <w:rFonts w:ascii="Arial" w:hAnsi="Arial" w:cs="Arial"/>
          <w:bCs/>
        </w:rPr>
        <w:t xml:space="preserve">-Silva </w:t>
      </w:r>
      <w:proofErr w:type="gramStart"/>
      <w:r w:rsidRPr="00907F2F">
        <w:rPr>
          <w:rFonts w:ascii="Arial" w:hAnsi="Arial" w:cs="Arial"/>
          <w:bCs/>
        </w:rPr>
        <w:t>et al. ,</w:t>
      </w:r>
      <w:proofErr w:type="gramEnd"/>
      <w:r w:rsidRPr="00907F2F">
        <w:rPr>
          <w:rFonts w:ascii="Arial" w:hAnsi="Arial" w:cs="Arial"/>
          <w:bCs/>
        </w:rPr>
        <w:t xml:space="preserve"> 2022).</w:t>
      </w:r>
      <w:r w:rsidR="0071351C">
        <w:rPr>
          <w:rFonts w:ascii="Arial" w:hAnsi="Arial" w:cs="Arial"/>
          <w:bCs/>
        </w:rPr>
        <w:t xml:space="preserve"> </w:t>
      </w:r>
      <w:r w:rsidRPr="00907F2F">
        <w:rPr>
          <w:rFonts w:ascii="Arial" w:hAnsi="Arial" w:cs="Arial"/>
          <w:bCs/>
        </w:rPr>
        <w:t>Adopting a sustainability-focused strategy not only yields immediate efficiency improvements but also fosters innovation in creating more eco-friendly technologies and processes. This innovation supports the streamlining of internal systems, extending from production to logistics, which reduces environmental harm and enhances technical efficiency (</w:t>
      </w:r>
      <w:proofErr w:type="spellStart"/>
      <w:r w:rsidRPr="00907F2F">
        <w:rPr>
          <w:rFonts w:ascii="Arial" w:hAnsi="Arial" w:cs="Arial"/>
          <w:bCs/>
        </w:rPr>
        <w:t>Biosci</w:t>
      </w:r>
      <w:proofErr w:type="spellEnd"/>
      <w:r w:rsidRPr="00907F2F">
        <w:rPr>
          <w:rFonts w:ascii="Arial" w:hAnsi="Arial" w:cs="Arial"/>
          <w:bCs/>
        </w:rPr>
        <w:t xml:space="preserve"> </w:t>
      </w:r>
      <w:proofErr w:type="gramStart"/>
      <w:r w:rsidRPr="00907F2F">
        <w:rPr>
          <w:rFonts w:ascii="Arial" w:hAnsi="Arial" w:cs="Arial"/>
          <w:bCs/>
        </w:rPr>
        <w:t>et al. ,</w:t>
      </w:r>
      <w:proofErr w:type="gramEnd"/>
      <w:r w:rsidRPr="00907F2F">
        <w:rPr>
          <w:rFonts w:ascii="Arial" w:hAnsi="Arial" w:cs="Arial"/>
          <w:bCs/>
        </w:rPr>
        <w:t xml:space="preserve"> 2023; Tan and Zhu, 2024). Furthermore, prioritizing sustainability allows companies to develop products and services that are both environmentally responsible and more economical over time (Alem, 2021; F. Niu </w:t>
      </w:r>
      <w:proofErr w:type="gramStart"/>
      <w:r w:rsidRPr="00907F2F">
        <w:rPr>
          <w:rFonts w:ascii="Arial" w:hAnsi="Arial" w:cs="Arial"/>
          <w:bCs/>
        </w:rPr>
        <w:t>et al. ,</w:t>
      </w:r>
      <w:proofErr w:type="gramEnd"/>
      <w:r w:rsidRPr="00907F2F">
        <w:rPr>
          <w:rFonts w:ascii="Arial" w:hAnsi="Arial" w:cs="Arial"/>
          <w:bCs/>
        </w:rPr>
        <w:t xml:space="preserve"> 2023).</w:t>
      </w:r>
    </w:p>
    <w:p w14:paraId="7DABCB1B" w14:textId="77777777" w:rsidR="00790ADA" w:rsidRPr="00FB3A86" w:rsidRDefault="00790ADA" w:rsidP="00441B6F">
      <w:pPr>
        <w:pStyle w:val="Body"/>
        <w:spacing w:after="0"/>
        <w:rPr>
          <w:rFonts w:ascii="Arial" w:hAnsi="Arial" w:cs="Arial"/>
        </w:rPr>
      </w:pPr>
    </w:p>
    <w:p w14:paraId="429BC08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C3595F1" w14:textId="77777777" w:rsidR="00790ADA" w:rsidRPr="00FB3A86" w:rsidRDefault="00790ADA" w:rsidP="00441B6F">
      <w:pPr>
        <w:pStyle w:val="ConcHead"/>
        <w:spacing w:after="0"/>
        <w:jc w:val="both"/>
        <w:rPr>
          <w:rFonts w:ascii="Arial" w:hAnsi="Arial" w:cs="Arial"/>
        </w:rPr>
      </w:pPr>
    </w:p>
    <w:p w14:paraId="4FCA7CDC" w14:textId="5730EC6F" w:rsidR="0041027F" w:rsidRDefault="00907F2F" w:rsidP="00A02CC4">
      <w:pPr>
        <w:pStyle w:val="Body"/>
        <w:spacing w:after="0"/>
        <w:rPr>
          <w:rFonts w:ascii="Arial" w:hAnsi="Arial" w:cs="Arial"/>
        </w:rPr>
      </w:pPr>
      <w:r w:rsidRPr="00907F2F">
        <w:rPr>
          <w:rFonts w:ascii="Arial" w:hAnsi="Arial" w:cs="Arial"/>
        </w:rPr>
        <w:t xml:space="preserve">Based on the findings of this research, several key insights can be gathered regarding how company ownership, international engagement, and sustainability principles affect technical efficiency in Indonesia's transportation and logistics industry. The structure of company ownership plays a crucial role in determining technical efficiency. Enterprises that are state-owned generally find it easier to tap into government resources that facilitate enhancements in technical efficiency, whereas privately owned firms focus more on operational efficiency and market results. The effect of internationalization on technical efficiency is minimal. This suggests that although internationalization can boost competitiveness, difficulties in managing global operations can hinder technical efficiency. Adopting sustainability principles has been shown to enhance technical efficiency, particularly when businesses effectively incorporate sustainability into their operational frameworks. Technical efficiency maximizes the interplay </w:t>
      </w:r>
      <w:r w:rsidRPr="00907F2F">
        <w:rPr>
          <w:rFonts w:ascii="Arial" w:hAnsi="Arial" w:cs="Arial"/>
        </w:rPr>
        <w:lastRenderedPageBreak/>
        <w:t>between sustainability principles and corporate values, assisting organizations in minimizing waste and boosting productivity.</w:t>
      </w:r>
    </w:p>
    <w:p w14:paraId="625307F7" w14:textId="77777777" w:rsidR="001D002B" w:rsidRDefault="001D002B" w:rsidP="00A02CC4">
      <w:pPr>
        <w:pStyle w:val="Body"/>
        <w:spacing w:after="0"/>
        <w:rPr>
          <w:rFonts w:ascii="Arial" w:hAnsi="Arial" w:cs="Arial"/>
        </w:rPr>
      </w:pPr>
    </w:p>
    <w:p w14:paraId="3EEC2BE9" w14:textId="5EABC231" w:rsidR="001D002B" w:rsidRDefault="001D002B" w:rsidP="00A02CC4">
      <w:pPr>
        <w:pStyle w:val="Body"/>
        <w:spacing w:after="0"/>
        <w:rPr>
          <w:rFonts w:ascii="Arial" w:hAnsi="Arial" w:cs="Arial"/>
        </w:rPr>
      </w:pPr>
      <w:r w:rsidRPr="001D002B">
        <w:rPr>
          <w:rFonts w:ascii="Arial" w:hAnsi="Arial" w:cs="Arial"/>
        </w:rPr>
        <w:t>This study highlights that optimizing ownership structure can enhance technical efficiency through stronger managerial monitoring, while internationalization should be pursued cautiously as it may reduce efficiency if not supported by effective supply chain coordination. Sustainability programs also require proper market communication strategies to deliver long-term value. From a policy perspective, the findings suggest the need for regulations that strengthen domestic strategic ownership, measurable sustainability incentives, and supportive internationalization policies to reduce coordination costs. Theoretically, this research extends empirical evidence on ownership and efficiency, reveals the complexity of internationalization’s negative impact, and shows that sustainability does not always increase firm value without effective management and communication.</w:t>
      </w:r>
    </w:p>
    <w:p w14:paraId="12E63C15" w14:textId="77777777" w:rsidR="001D002B" w:rsidRDefault="001D002B" w:rsidP="00A02CC4">
      <w:pPr>
        <w:pStyle w:val="Body"/>
        <w:spacing w:after="0"/>
        <w:rPr>
          <w:rFonts w:ascii="Arial" w:hAnsi="Arial" w:cs="Arial"/>
        </w:rPr>
      </w:pPr>
    </w:p>
    <w:p w14:paraId="140969C2" w14:textId="54AD8AC9" w:rsidR="001D002B" w:rsidRPr="00A02CC4" w:rsidRDefault="001D002B" w:rsidP="00A02CC4">
      <w:pPr>
        <w:pStyle w:val="Body"/>
        <w:spacing w:after="0"/>
        <w:rPr>
          <w:rFonts w:ascii="Arial" w:hAnsi="Arial" w:cs="Arial"/>
        </w:rPr>
      </w:pPr>
      <w:r w:rsidRPr="001D002B">
        <w:rPr>
          <w:rFonts w:ascii="Arial" w:hAnsi="Arial" w:cs="Arial"/>
        </w:rPr>
        <w:t>Future studies are recommended to expand the indicators of internationalization and sustainability to capture broader variations. Researchers could also introduce moderating variables, such as geopolitical risks and digital technology adoption, to enrich the understanding of variable relationships. Cross-sectoral analyses would be valuable in testing the consistency of results across different industries. Moreover, employing a mixed-methods approach may provide deeper insights into the significant negative relationships observed in this study.</w:t>
      </w:r>
    </w:p>
    <w:p w14:paraId="2624D406" w14:textId="77777777" w:rsidR="00860000" w:rsidRDefault="00860000" w:rsidP="00441B6F">
      <w:pPr>
        <w:pStyle w:val="ReferHead"/>
        <w:spacing w:after="0"/>
        <w:jc w:val="both"/>
        <w:rPr>
          <w:rFonts w:ascii="Arial" w:hAnsi="Arial" w:cs="Arial"/>
        </w:rPr>
      </w:pPr>
    </w:p>
    <w:p w14:paraId="73C0F855" w14:textId="77777777" w:rsidR="001D002B" w:rsidRDefault="001D002B" w:rsidP="00441B6F">
      <w:pPr>
        <w:pStyle w:val="ReferHead"/>
        <w:spacing w:after="0"/>
        <w:jc w:val="both"/>
        <w:rPr>
          <w:rFonts w:ascii="Arial" w:hAnsi="Arial" w:cs="Arial"/>
        </w:rPr>
      </w:pPr>
    </w:p>
    <w:p w14:paraId="6DE6A45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823944A" w14:textId="77777777" w:rsidR="00790ADA" w:rsidRDefault="00790ADA" w:rsidP="00441B6F">
      <w:pPr>
        <w:pStyle w:val="Body"/>
        <w:spacing w:after="0"/>
        <w:rPr>
          <w:rFonts w:ascii="Arial" w:hAnsi="Arial" w:cs="Arial"/>
        </w:rPr>
      </w:pPr>
    </w:p>
    <w:sdt>
      <w:sdtPr>
        <w:rPr>
          <w:rFonts w:ascii="Arial" w:hAnsi="Arial" w:cs="Arial"/>
          <w:u w:val="single"/>
          <w:lang w:val="id"/>
        </w:rPr>
        <w:tag w:val="MENDELEY_BIBLIOGRAPHY"/>
        <w:id w:val="-933586391"/>
        <w:placeholder>
          <w:docPart w:val="468B43D6CC2544AEB47931E23AEFB908"/>
        </w:placeholder>
      </w:sdtPr>
      <w:sdtEndPr/>
      <w:sdtContent>
        <w:p w14:paraId="5453FC5D" w14:textId="77777777" w:rsidR="00B6187D" w:rsidRDefault="00B6187D" w:rsidP="00B6187D">
          <w:pPr>
            <w:pStyle w:val="Body"/>
            <w:spacing w:after="0"/>
            <w:rPr>
              <w:rFonts w:ascii="Arial" w:hAnsi="Arial" w:cs="Arial"/>
              <w:lang w:val="id"/>
            </w:rPr>
          </w:pPr>
          <w:r w:rsidRPr="00460587">
            <w:rPr>
              <w:rFonts w:ascii="Arial" w:hAnsi="Arial" w:cs="Arial"/>
              <w:lang w:val="id"/>
            </w:rPr>
            <w:t>Abdullah</w:t>
          </w:r>
          <w:r>
            <w:rPr>
              <w:rFonts w:ascii="Arial" w:hAnsi="Arial" w:cs="Arial"/>
              <w:lang w:val="id"/>
            </w:rPr>
            <w:t>,</w:t>
          </w:r>
          <w:r w:rsidRPr="00460587">
            <w:rPr>
              <w:rFonts w:ascii="Arial" w:hAnsi="Arial" w:cs="Arial"/>
              <w:lang w:val="id"/>
            </w:rPr>
            <w:t xml:space="preserve"> Mohd Fahmy-, Rahmah Ismail, Noorasiah Sulaiman, &amp; Basri Abdul Talib. (2017). Technical Efficiency In Transport Manufacturing Firms: Evidence From Malaysia. </w:t>
          </w:r>
          <w:r w:rsidRPr="00460587">
            <w:rPr>
              <w:rFonts w:ascii="Arial" w:hAnsi="Arial" w:cs="Arial"/>
              <w:i/>
              <w:iCs/>
              <w:lang w:val="id"/>
            </w:rPr>
            <w:t>Asian Academy of Management Journal</w:t>
          </w:r>
          <w:r w:rsidRPr="00460587">
            <w:rPr>
              <w:rFonts w:ascii="Arial" w:hAnsi="Arial" w:cs="Arial"/>
              <w:lang w:val="id"/>
            </w:rPr>
            <w:t xml:space="preserve">, </w:t>
          </w:r>
          <w:r w:rsidRPr="00460587">
            <w:rPr>
              <w:rFonts w:ascii="Arial" w:hAnsi="Arial" w:cs="Arial"/>
              <w:i/>
              <w:iCs/>
              <w:lang w:val="id"/>
            </w:rPr>
            <w:t>22</w:t>
          </w:r>
          <w:r w:rsidRPr="00460587">
            <w:rPr>
              <w:rFonts w:ascii="Arial" w:hAnsi="Arial" w:cs="Arial"/>
              <w:lang w:val="id"/>
            </w:rPr>
            <w:t xml:space="preserve">(1), 57–77. </w:t>
          </w:r>
          <w:hyperlink r:id="rId12" w:history="1">
            <w:r w:rsidRPr="00460587">
              <w:rPr>
                <w:rStyle w:val="Hyperlink"/>
                <w:rFonts w:ascii="Arial" w:hAnsi="Arial" w:cs="Arial"/>
                <w:lang w:val="id"/>
              </w:rPr>
              <w:t>https://doi.org/10.21315/aamj2017.22.1.3</w:t>
            </w:r>
          </w:hyperlink>
        </w:p>
        <w:p w14:paraId="3505521B" w14:textId="77777777" w:rsidR="00B6187D" w:rsidRPr="00460587" w:rsidRDefault="00B6187D" w:rsidP="00B6187D">
          <w:pPr>
            <w:pStyle w:val="Body"/>
            <w:spacing w:after="0"/>
            <w:rPr>
              <w:rFonts w:ascii="Arial" w:hAnsi="Arial" w:cs="Arial"/>
              <w:lang w:val="id"/>
            </w:rPr>
          </w:pPr>
        </w:p>
        <w:p w14:paraId="7FF95AF3" w14:textId="282B92E0" w:rsidR="00460587" w:rsidRDefault="00460587" w:rsidP="00460587">
          <w:pPr>
            <w:pStyle w:val="Body"/>
            <w:spacing w:after="0"/>
            <w:rPr>
              <w:rFonts w:ascii="Arial" w:hAnsi="Arial" w:cs="Arial"/>
              <w:lang w:val="id"/>
            </w:rPr>
          </w:pPr>
          <w:r w:rsidRPr="00460587">
            <w:rPr>
              <w:rFonts w:ascii="Arial" w:hAnsi="Arial" w:cs="Arial"/>
              <w:lang w:val="id"/>
            </w:rPr>
            <w:t xml:space="preserve">Alem, H. (2021). The role of technical efficiency achieving sustainable development: A dynamic analysis of norwegian dairy farms. </w:t>
          </w:r>
          <w:r w:rsidRPr="00460587">
            <w:rPr>
              <w:rFonts w:ascii="Arial" w:hAnsi="Arial" w:cs="Arial"/>
              <w:i/>
              <w:iCs/>
              <w:lang w:val="id"/>
            </w:rPr>
            <w:t>Sustainability (Switzerland)</w:t>
          </w:r>
          <w:r w:rsidRPr="00460587">
            <w:rPr>
              <w:rFonts w:ascii="Arial" w:hAnsi="Arial" w:cs="Arial"/>
              <w:lang w:val="id"/>
            </w:rPr>
            <w:t xml:space="preserve">, </w:t>
          </w:r>
          <w:r w:rsidRPr="00460587">
            <w:rPr>
              <w:rFonts w:ascii="Arial" w:hAnsi="Arial" w:cs="Arial"/>
              <w:i/>
              <w:iCs/>
              <w:lang w:val="id"/>
            </w:rPr>
            <w:t>13</w:t>
          </w:r>
          <w:r w:rsidRPr="00460587">
            <w:rPr>
              <w:rFonts w:ascii="Arial" w:hAnsi="Arial" w:cs="Arial"/>
              <w:lang w:val="id"/>
            </w:rPr>
            <w:t xml:space="preserve">(4), 1–11. </w:t>
          </w:r>
          <w:hyperlink r:id="rId13" w:history="1">
            <w:r w:rsidRPr="00460587">
              <w:rPr>
                <w:rStyle w:val="Hyperlink"/>
                <w:rFonts w:ascii="Arial" w:hAnsi="Arial" w:cs="Arial"/>
                <w:lang w:val="id"/>
              </w:rPr>
              <w:t>https://doi.org/10.3390/su13041841</w:t>
            </w:r>
          </w:hyperlink>
        </w:p>
        <w:p w14:paraId="0792F1EB" w14:textId="77777777" w:rsidR="00460587" w:rsidRPr="00460587" w:rsidRDefault="00460587" w:rsidP="00460587">
          <w:pPr>
            <w:pStyle w:val="Body"/>
            <w:spacing w:after="0"/>
            <w:rPr>
              <w:rFonts w:ascii="Arial" w:hAnsi="Arial" w:cs="Arial"/>
              <w:lang w:val="id"/>
            </w:rPr>
          </w:pPr>
        </w:p>
        <w:p w14:paraId="1C231763" w14:textId="341A7B36" w:rsidR="00460587" w:rsidRDefault="00460587" w:rsidP="00460587">
          <w:pPr>
            <w:pStyle w:val="Body"/>
            <w:spacing w:after="0"/>
            <w:rPr>
              <w:rFonts w:ascii="Arial" w:hAnsi="Arial" w:cs="Arial"/>
              <w:lang w:val="id"/>
            </w:rPr>
          </w:pPr>
          <w:r w:rsidRPr="00460587">
            <w:rPr>
              <w:rFonts w:ascii="Arial" w:hAnsi="Arial" w:cs="Arial"/>
              <w:lang w:val="id"/>
            </w:rPr>
            <w:t xml:space="preserve">Andersson, M., &amp; Stone, T. A. (2017). Global sourcing and technical efficiency–a firm-level study on the ICT industry in Sweden. </w:t>
          </w:r>
          <w:r w:rsidRPr="00460587">
            <w:rPr>
              <w:rFonts w:ascii="Arial" w:hAnsi="Arial" w:cs="Arial"/>
              <w:i/>
              <w:iCs/>
              <w:lang w:val="id"/>
            </w:rPr>
            <w:t>Journal of Business Economics and Management</w:t>
          </w:r>
          <w:r w:rsidRPr="00460587">
            <w:rPr>
              <w:rFonts w:ascii="Arial" w:hAnsi="Arial" w:cs="Arial"/>
              <w:lang w:val="id"/>
            </w:rPr>
            <w:t xml:space="preserve">, </w:t>
          </w:r>
          <w:r w:rsidRPr="00460587">
            <w:rPr>
              <w:rFonts w:ascii="Arial" w:hAnsi="Arial" w:cs="Arial"/>
              <w:i/>
              <w:iCs/>
              <w:lang w:val="id"/>
            </w:rPr>
            <w:t>18</w:t>
          </w:r>
          <w:r w:rsidRPr="00460587">
            <w:rPr>
              <w:rFonts w:ascii="Arial" w:hAnsi="Arial" w:cs="Arial"/>
              <w:lang w:val="id"/>
            </w:rPr>
            <w:t xml:space="preserve">(5), 877–896. </w:t>
          </w:r>
          <w:hyperlink r:id="rId14" w:history="1">
            <w:r w:rsidRPr="00460587">
              <w:rPr>
                <w:rStyle w:val="Hyperlink"/>
                <w:rFonts w:ascii="Arial" w:hAnsi="Arial" w:cs="Arial"/>
                <w:lang w:val="id"/>
              </w:rPr>
              <w:t>https://doi.org/10.3846/16111699.2017.1356367</w:t>
            </w:r>
          </w:hyperlink>
        </w:p>
        <w:p w14:paraId="2D6BE756" w14:textId="77777777" w:rsidR="00460587" w:rsidRPr="00460587" w:rsidRDefault="00460587" w:rsidP="00460587">
          <w:pPr>
            <w:pStyle w:val="Body"/>
            <w:spacing w:after="0"/>
            <w:rPr>
              <w:rFonts w:ascii="Arial" w:hAnsi="Arial" w:cs="Arial"/>
              <w:lang w:val="id"/>
            </w:rPr>
          </w:pPr>
        </w:p>
        <w:p w14:paraId="0944F53A" w14:textId="05D1C215" w:rsidR="00460587" w:rsidRDefault="00460587" w:rsidP="00460587">
          <w:pPr>
            <w:pStyle w:val="Body"/>
            <w:spacing w:after="0"/>
            <w:rPr>
              <w:rFonts w:ascii="Arial" w:hAnsi="Arial" w:cs="Arial"/>
              <w:lang w:val="id"/>
            </w:rPr>
          </w:pPr>
          <w:r w:rsidRPr="00460587">
            <w:rPr>
              <w:rFonts w:ascii="Arial" w:hAnsi="Arial" w:cs="Arial"/>
              <w:lang w:val="id"/>
            </w:rPr>
            <w:t xml:space="preserve">Astadiyani, E. K., &amp; Pan, W.-H. (2022). Examine the Effect of State Ownership on the Relationship Between Internationalization and Technical Efficiency During 2015 ASEAN Economic Community: Evidence from Singapore-Listed Firms. </w:t>
          </w:r>
          <w:r w:rsidRPr="00460587">
            <w:rPr>
              <w:rFonts w:ascii="Arial" w:hAnsi="Arial" w:cs="Arial"/>
              <w:i/>
              <w:iCs/>
              <w:lang w:val="id"/>
            </w:rPr>
            <w:t>Proceedings of the International Conference on Economics, Management and Accounting (ICEMAC 2021)</w:t>
          </w:r>
          <w:r w:rsidRPr="00460587">
            <w:rPr>
              <w:rFonts w:ascii="Arial" w:hAnsi="Arial" w:cs="Arial"/>
              <w:lang w:val="id"/>
            </w:rPr>
            <w:t xml:space="preserve">, </w:t>
          </w:r>
          <w:r w:rsidRPr="00460587">
            <w:rPr>
              <w:rFonts w:ascii="Arial" w:hAnsi="Arial" w:cs="Arial"/>
              <w:i/>
              <w:iCs/>
              <w:lang w:val="id"/>
            </w:rPr>
            <w:t>207</w:t>
          </w:r>
          <w:r w:rsidRPr="00460587">
            <w:rPr>
              <w:rFonts w:ascii="Arial" w:hAnsi="Arial" w:cs="Arial"/>
              <w:lang w:val="id"/>
            </w:rPr>
            <w:t xml:space="preserve">(Icemac 2021), 44–55. </w:t>
          </w:r>
          <w:hyperlink r:id="rId15" w:history="1">
            <w:r w:rsidRPr="00460587">
              <w:rPr>
                <w:rStyle w:val="Hyperlink"/>
                <w:rFonts w:ascii="Arial" w:hAnsi="Arial" w:cs="Arial"/>
                <w:lang w:val="id"/>
              </w:rPr>
              <w:t>https://doi.org/10.2991/aebmr.k.220204.006</w:t>
            </w:r>
          </w:hyperlink>
        </w:p>
        <w:p w14:paraId="70BF48C6" w14:textId="77777777" w:rsidR="00460587" w:rsidRPr="00460587" w:rsidRDefault="00460587" w:rsidP="00460587">
          <w:pPr>
            <w:pStyle w:val="Body"/>
            <w:spacing w:after="0"/>
            <w:rPr>
              <w:rFonts w:ascii="Arial" w:hAnsi="Arial" w:cs="Arial"/>
              <w:lang w:val="id"/>
            </w:rPr>
          </w:pPr>
        </w:p>
        <w:p w14:paraId="358077C1" w14:textId="77777777" w:rsidR="00460587" w:rsidRDefault="00460587" w:rsidP="00460587">
          <w:pPr>
            <w:pStyle w:val="Body"/>
            <w:spacing w:after="0"/>
            <w:rPr>
              <w:rFonts w:ascii="Arial" w:hAnsi="Arial" w:cs="Arial"/>
              <w:lang w:val="id"/>
            </w:rPr>
          </w:pPr>
          <w:r w:rsidRPr="00460587">
            <w:rPr>
              <w:rFonts w:ascii="Arial" w:hAnsi="Arial" w:cs="Arial"/>
              <w:lang w:val="id"/>
            </w:rPr>
            <w:t xml:space="preserve">Baah, C., Amponsah, K. T., Issau, K. Ofori, D., Acquah, I. S. K., &amp; Agyeman, D. O. (2021). </w:t>
          </w:r>
          <w:r w:rsidRPr="00460587">
            <w:rPr>
              <w:rFonts w:ascii="Arial" w:hAnsi="Arial" w:cs="Arial"/>
              <w:i/>
              <w:iCs/>
              <w:lang w:val="id"/>
            </w:rPr>
            <w:t>Examining The Interconnections between sustainable logistics practices, environmental reputation and financial perfomance: A mediation Approach. Vision: The journal of business perspective, 25(1), 47-64</w:t>
          </w:r>
          <w:r w:rsidRPr="00460587">
            <w:rPr>
              <w:rFonts w:ascii="Arial" w:hAnsi="Arial" w:cs="Arial"/>
              <w:lang w:val="id"/>
            </w:rPr>
            <w:t>.</w:t>
          </w:r>
        </w:p>
        <w:p w14:paraId="7236C8F3" w14:textId="77777777" w:rsidR="00460587" w:rsidRPr="00460587" w:rsidRDefault="00460587" w:rsidP="00460587">
          <w:pPr>
            <w:pStyle w:val="Body"/>
            <w:spacing w:after="0"/>
            <w:rPr>
              <w:rFonts w:ascii="Arial" w:hAnsi="Arial" w:cs="Arial"/>
              <w:lang w:val="id"/>
            </w:rPr>
          </w:pPr>
        </w:p>
        <w:p w14:paraId="1C7EFE1C" w14:textId="77777777" w:rsidR="00460587" w:rsidRDefault="00460587" w:rsidP="00460587">
          <w:pPr>
            <w:pStyle w:val="Body"/>
            <w:spacing w:after="0"/>
            <w:rPr>
              <w:rFonts w:ascii="Arial" w:hAnsi="Arial" w:cs="Arial"/>
              <w:lang w:val="id"/>
            </w:rPr>
          </w:pPr>
          <w:r w:rsidRPr="00460587">
            <w:rPr>
              <w:rFonts w:ascii="Arial" w:hAnsi="Arial" w:cs="Arial"/>
              <w:lang w:val="id"/>
            </w:rPr>
            <w:t xml:space="preserve">Balk, B. M. (2021). Productivity: Concepts, measurement, aggregation, and decomposition. </w:t>
          </w:r>
          <w:r w:rsidRPr="00460587">
            <w:rPr>
              <w:rFonts w:ascii="Arial" w:hAnsi="Arial" w:cs="Arial"/>
              <w:i/>
              <w:iCs/>
              <w:lang w:val="id"/>
            </w:rPr>
            <w:t>Springer Nature</w:t>
          </w:r>
          <w:r w:rsidRPr="00460587">
            <w:rPr>
              <w:rFonts w:ascii="Arial" w:hAnsi="Arial" w:cs="Arial"/>
              <w:lang w:val="id"/>
            </w:rPr>
            <w:t>.</w:t>
          </w:r>
        </w:p>
        <w:p w14:paraId="64F1C182" w14:textId="77777777" w:rsidR="00460587" w:rsidRPr="00460587" w:rsidRDefault="00460587" w:rsidP="00460587">
          <w:pPr>
            <w:pStyle w:val="Body"/>
            <w:spacing w:after="0"/>
            <w:rPr>
              <w:rFonts w:ascii="Arial" w:hAnsi="Arial" w:cs="Arial"/>
              <w:lang w:val="id"/>
            </w:rPr>
          </w:pPr>
        </w:p>
        <w:p w14:paraId="4EE7273A" w14:textId="16405D93" w:rsidR="00460587" w:rsidRDefault="00460587" w:rsidP="00460587">
          <w:pPr>
            <w:pStyle w:val="Body"/>
            <w:spacing w:after="0"/>
            <w:rPr>
              <w:rFonts w:ascii="Arial" w:hAnsi="Arial" w:cs="Arial"/>
              <w:lang w:val="id"/>
            </w:rPr>
          </w:pPr>
          <w:r w:rsidRPr="00460587">
            <w:rPr>
              <w:rFonts w:ascii="Arial" w:hAnsi="Arial" w:cs="Arial"/>
              <w:lang w:val="id"/>
            </w:rPr>
            <w:t xml:space="preserve">Biosci, I. J., Ayele, F., Bonkola, M., &amp; Ragassa, M. (2023). Analysis of Economic efficiency of coffee production technologies in the case of smallholder farmers in the selected districts of </w:t>
          </w:r>
          <w:r w:rsidRPr="00460587">
            <w:rPr>
              <w:rFonts w:ascii="Arial" w:hAnsi="Arial" w:cs="Arial"/>
              <w:lang w:val="id"/>
            </w:rPr>
            <w:lastRenderedPageBreak/>
            <w:t xml:space="preserve">Hadiya Zone, Southern Ethiopia. </w:t>
          </w:r>
          <w:r w:rsidRPr="00460587">
            <w:rPr>
              <w:rFonts w:ascii="Arial" w:hAnsi="Arial" w:cs="Arial"/>
              <w:i/>
              <w:iCs/>
              <w:lang w:val="id"/>
            </w:rPr>
            <w:t>International Journal of Biosciences (IJB)</w:t>
          </w:r>
          <w:r w:rsidRPr="00460587">
            <w:rPr>
              <w:rFonts w:ascii="Arial" w:hAnsi="Arial" w:cs="Arial"/>
              <w:lang w:val="id"/>
            </w:rPr>
            <w:t xml:space="preserve">. </w:t>
          </w:r>
          <w:hyperlink r:id="rId16" w:history="1">
            <w:r w:rsidRPr="00460587">
              <w:rPr>
                <w:rStyle w:val="Hyperlink"/>
                <w:rFonts w:ascii="Arial" w:hAnsi="Arial" w:cs="Arial"/>
                <w:lang w:val="id"/>
              </w:rPr>
              <w:t>https://doi.org/10.12692/ijb/22.1.95-111</w:t>
            </w:r>
          </w:hyperlink>
        </w:p>
        <w:p w14:paraId="76C7A285" w14:textId="77777777" w:rsidR="00460587" w:rsidRPr="00460587" w:rsidRDefault="00460587" w:rsidP="00460587">
          <w:pPr>
            <w:pStyle w:val="Body"/>
            <w:spacing w:after="0"/>
            <w:rPr>
              <w:rFonts w:ascii="Arial" w:hAnsi="Arial" w:cs="Arial"/>
              <w:lang w:val="id"/>
            </w:rPr>
          </w:pPr>
        </w:p>
        <w:p w14:paraId="14D8B89C" w14:textId="77777777" w:rsidR="00460587" w:rsidRDefault="00460587" w:rsidP="00460587">
          <w:pPr>
            <w:pStyle w:val="Body"/>
            <w:spacing w:after="0"/>
            <w:rPr>
              <w:rFonts w:ascii="Arial" w:hAnsi="Arial" w:cs="Arial"/>
              <w:lang w:val="id"/>
            </w:rPr>
          </w:pPr>
          <w:r w:rsidRPr="00460587">
            <w:rPr>
              <w:rFonts w:ascii="Arial" w:hAnsi="Arial" w:cs="Arial"/>
              <w:lang w:val="id"/>
            </w:rPr>
            <w:t xml:space="preserve">Chambers, R. G., &amp; Ray, S. C. (2021). </w:t>
          </w:r>
          <w:r w:rsidRPr="00460587">
            <w:rPr>
              <w:rFonts w:ascii="Arial" w:hAnsi="Arial" w:cs="Arial"/>
              <w:i/>
              <w:iCs/>
              <w:lang w:val="id"/>
            </w:rPr>
            <w:t xml:space="preserve">Neoclassical production economics: An introduction. In S. C. Ray &amp; R. G. Chambers </w:t>
          </w:r>
          <w:r w:rsidRPr="00460587">
            <w:rPr>
              <w:rFonts w:ascii="Arial" w:hAnsi="Arial" w:cs="Arial"/>
              <w:lang w:val="id"/>
            </w:rPr>
            <w:t>. Handbook of production economics.</w:t>
          </w:r>
        </w:p>
        <w:p w14:paraId="59245EDB" w14:textId="77777777" w:rsidR="00460587" w:rsidRPr="00460587" w:rsidRDefault="00460587" w:rsidP="00460587">
          <w:pPr>
            <w:pStyle w:val="Body"/>
            <w:spacing w:after="0"/>
            <w:rPr>
              <w:rFonts w:ascii="Arial" w:hAnsi="Arial" w:cs="Arial"/>
              <w:lang w:val="id"/>
            </w:rPr>
          </w:pPr>
        </w:p>
        <w:p w14:paraId="592EF8A9" w14:textId="25A1F0D5" w:rsidR="00460587" w:rsidRDefault="00460587" w:rsidP="00460587">
          <w:pPr>
            <w:pStyle w:val="Body"/>
            <w:spacing w:after="0"/>
            <w:rPr>
              <w:rFonts w:ascii="Arial" w:hAnsi="Arial" w:cs="Arial"/>
              <w:lang w:val="id"/>
            </w:rPr>
          </w:pPr>
          <w:r w:rsidRPr="00460587">
            <w:rPr>
              <w:rFonts w:ascii="Arial" w:hAnsi="Arial" w:cs="Arial"/>
              <w:lang w:val="id"/>
            </w:rPr>
            <w:t xml:space="preserve">Cheng, X., &amp; Feng, C. (2023). Does environmental information disclosure affect corporate cash flow? An analysis by taking media attentions into consideration. </w:t>
          </w:r>
          <w:r w:rsidRPr="00460587">
            <w:rPr>
              <w:rFonts w:ascii="Arial" w:hAnsi="Arial" w:cs="Arial"/>
              <w:i/>
              <w:iCs/>
              <w:lang w:val="id"/>
            </w:rPr>
            <w:t>Journal of Environmental Management</w:t>
          </w:r>
          <w:r w:rsidRPr="00460587">
            <w:rPr>
              <w:rFonts w:ascii="Arial" w:hAnsi="Arial" w:cs="Arial"/>
              <w:lang w:val="id"/>
            </w:rPr>
            <w:t xml:space="preserve">, </w:t>
          </w:r>
          <w:r w:rsidRPr="00460587">
            <w:rPr>
              <w:rFonts w:ascii="Arial" w:hAnsi="Arial" w:cs="Arial"/>
              <w:i/>
              <w:iCs/>
              <w:lang w:val="id"/>
            </w:rPr>
            <w:t>342</w:t>
          </w:r>
          <w:r w:rsidRPr="00460587">
            <w:rPr>
              <w:rFonts w:ascii="Arial" w:hAnsi="Arial" w:cs="Arial"/>
              <w:lang w:val="id"/>
            </w:rPr>
            <w:t xml:space="preserve">, 118295. </w:t>
          </w:r>
          <w:hyperlink r:id="rId17" w:history="1">
            <w:r w:rsidRPr="00460587">
              <w:rPr>
                <w:rStyle w:val="Hyperlink"/>
                <w:rFonts w:ascii="Arial" w:hAnsi="Arial" w:cs="Arial"/>
                <w:lang w:val="id"/>
              </w:rPr>
              <w:t>https://doi.org/10.1016/j.jenvman.2023.118295</w:t>
            </w:r>
          </w:hyperlink>
        </w:p>
        <w:p w14:paraId="775566D5" w14:textId="77777777" w:rsidR="00460587" w:rsidRPr="00460587" w:rsidRDefault="00460587" w:rsidP="00460587">
          <w:pPr>
            <w:pStyle w:val="Body"/>
            <w:spacing w:after="0"/>
            <w:rPr>
              <w:rFonts w:ascii="Arial" w:hAnsi="Arial" w:cs="Arial"/>
              <w:lang w:val="id"/>
            </w:rPr>
          </w:pPr>
        </w:p>
        <w:p w14:paraId="7A0649E0" w14:textId="57C8288C" w:rsidR="00460587" w:rsidRDefault="00460587" w:rsidP="00460587">
          <w:pPr>
            <w:pStyle w:val="Body"/>
            <w:spacing w:after="0"/>
            <w:rPr>
              <w:rFonts w:ascii="Arial" w:hAnsi="Arial" w:cs="Arial"/>
              <w:lang w:val="id"/>
            </w:rPr>
          </w:pPr>
          <w:r w:rsidRPr="00460587">
            <w:rPr>
              <w:rFonts w:ascii="Arial" w:hAnsi="Arial" w:cs="Arial"/>
              <w:lang w:val="id"/>
            </w:rPr>
            <w:t xml:space="preserve">Chong-Chuo Chang, &amp; Han Yang. (2022). The role of cash holdings during financial crises. </w:t>
          </w:r>
          <w:r w:rsidRPr="00460587">
            <w:rPr>
              <w:rFonts w:ascii="Arial" w:hAnsi="Arial" w:cs="Arial"/>
              <w:i/>
              <w:iCs/>
              <w:lang w:val="id"/>
            </w:rPr>
            <w:t>Pacific-Basin Finance Journal</w:t>
          </w:r>
          <w:r w:rsidRPr="00460587">
            <w:rPr>
              <w:rFonts w:ascii="Arial" w:hAnsi="Arial" w:cs="Arial"/>
              <w:lang w:val="id"/>
            </w:rPr>
            <w:t xml:space="preserve">, </w:t>
          </w:r>
          <w:r w:rsidRPr="00460587">
            <w:rPr>
              <w:rFonts w:ascii="Arial" w:hAnsi="Arial" w:cs="Arial"/>
              <w:i/>
              <w:iCs/>
              <w:lang w:val="id"/>
            </w:rPr>
            <w:t>72</w:t>
          </w:r>
          <w:r w:rsidRPr="00460587">
            <w:rPr>
              <w:rFonts w:ascii="Arial" w:hAnsi="Arial" w:cs="Arial"/>
              <w:lang w:val="id"/>
            </w:rPr>
            <w:t xml:space="preserve">(101733). </w:t>
          </w:r>
          <w:hyperlink r:id="rId18" w:history="1">
            <w:r w:rsidRPr="00460587">
              <w:rPr>
                <w:rStyle w:val="Hyperlink"/>
                <w:rFonts w:ascii="Arial" w:hAnsi="Arial" w:cs="Arial"/>
                <w:lang w:val="id"/>
              </w:rPr>
              <w:t>https://doi.org/https://doi.org/10.1016/j.pacfin.2022.101733</w:t>
            </w:r>
          </w:hyperlink>
        </w:p>
        <w:p w14:paraId="699C2361" w14:textId="77777777" w:rsidR="00460587" w:rsidRPr="00460587" w:rsidRDefault="00460587" w:rsidP="00460587">
          <w:pPr>
            <w:pStyle w:val="Body"/>
            <w:spacing w:after="0"/>
            <w:rPr>
              <w:rFonts w:ascii="Arial" w:hAnsi="Arial" w:cs="Arial"/>
              <w:lang w:val="id"/>
            </w:rPr>
          </w:pPr>
        </w:p>
        <w:p w14:paraId="5E4D1873" w14:textId="77777777" w:rsidR="00460587" w:rsidRDefault="00460587" w:rsidP="00460587">
          <w:pPr>
            <w:pStyle w:val="Body"/>
            <w:spacing w:after="0"/>
            <w:rPr>
              <w:rFonts w:ascii="Arial" w:hAnsi="Arial" w:cs="Arial"/>
              <w:lang w:val="id"/>
            </w:rPr>
          </w:pPr>
          <w:r w:rsidRPr="00460587">
            <w:rPr>
              <w:rFonts w:ascii="Arial" w:hAnsi="Arial" w:cs="Arial"/>
              <w:lang w:val="id"/>
            </w:rPr>
            <w:t xml:space="preserve">DasGupta, R., Kumar, S., &amp; Pathak, R. (2022). Multinational enterprises’ internationalization and adoption of sustainable development goals. </w:t>
          </w:r>
          <w:r w:rsidRPr="00460587">
            <w:rPr>
              <w:rFonts w:ascii="Arial" w:hAnsi="Arial" w:cs="Arial"/>
              <w:i/>
              <w:iCs/>
              <w:lang w:val="id"/>
            </w:rPr>
            <w:t>International Journal of Managerial Finance</w:t>
          </w:r>
          <w:r w:rsidRPr="00460587">
            <w:rPr>
              <w:rFonts w:ascii="Arial" w:hAnsi="Arial" w:cs="Arial"/>
              <w:lang w:val="id"/>
            </w:rPr>
            <w:t xml:space="preserve">, </w:t>
          </w:r>
          <w:r w:rsidRPr="00460587">
            <w:rPr>
              <w:rFonts w:ascii="Arial" w:hAnsi="Arial" w:cs="Arial"/>
              <w:i/>
              <w:iCs/>
              <w:lang w:val="id"/>
            </w:rPr>
            <w:t>18</w:t>
          </w:r>
          <w:r w:rsidRPr="00460587">
            <w:rPr>
              <w:rFonts w:ascii="Arial" w:hAnsi="Arial" w:cs="Arial"/>
              <w:lang w:val="id"/>
            </w:rPr>
            <w:t>(4), 617–638.</w:t>
          </w:r>
        </w:p>
        <w:p w14:paraId="1A94A8E2" w14:textId="77777777" w:rsidR="00460587" w:rsidRPr="00460587" w:rsidRDefault="00460587" w:rsidP="00460587">
          <w:pPr>
            <w:pStyle w:val="Body"/>
            <w:spacing w:after="0"/>
            <w:rPr>
              <w:rFonts w:ascii="Arial" w:hAnsi="Arial" w:cs="Arial"/>
              <w:lang w:val="id"/>
            </w:rPr>
          </w:pPr>
        </w:p>
        <w:p w14:paraId="4EAFDA34" w14:textId="5E5A3835" w:rsidR="00460587" w:rsidRDefault="00460587" w:rsidP="00460587">
          <w:pPr>
            <w:pStyle w:val="Body"/>
            <w:spacing w:after="0"/>
            <w:rPr>
              <w:rFonts w:ascii="Arial" w:hAnsi="Arial" w:cs="Arial"/>
              <w:lang w:val="id"/>
            </w:rPr>
          </w:pPr>
          <w:r w:rsidRPr="00460587">
            <w:rPr>
              <w:rFonts w:ascii="Arial" w:hAnsi="Arial" w:cs="Arial"/>
              <w:lang w:val="id"/>
            </w:rPr>
            <w:t xml:space="preserve">Delapedra-Silva, V., Ferreira, P., Cunha, J., &amp; Kimura, H. (2022). Methods for Financial Assessment of Renewable Energy Projects: A Review. </w:t>
          </w:r>
          <w:r w:rsidRPr="00460587">
            <w:rPr>
              <w:rFonts w:ascii="Arial" w:hAnsi="Arial" w:cs="Arial"/>
              <w:i/>
              <w:iCs/>
              <w:lang w:val="id"/>
            </w:rPr>
            <w:t>Processes</w:t>
          </w:r>
          <w:r w:rsidRPr="00460587">
            <w:rPr>
              <w:rFonts w:ascii="Arial" w:hAnsi="Arial" w:cs="Arial"/>
              <w:lang w:val="id"/>
            </w:rPr>
            <w:t xml:space="preserve">, </w:t>
          </w:r>
          <w:r w:rsidRPr="00460587">
            <w:rPr>
              <w:rFonts w:ascii="Arial" w:hAnsi="Arial" w:cs="Arial"/>
              <w:i/>
              <w:iCs/>
              <w:lang w:val="id"/>
            </w:rPr>
            <w:t>10</w:t>
          </w:r>
          <w:r w:rsidRPr="00460587">
            <w:rPr>
              <w:rFonts w:ascii="Arial" w:hAnsi="Arial" w:cs="Arial"/>
              <w:lang w:val="id"/>
            </w:rPr>
            <w:t xml:space="preserve">(2), 184. </w:t>
          </w:r>
          <w:hyperlink r:id="rId19" w:history="1">
            <w:r w:rsidRPr="00460587">
              <w:rPr>
                <w:rStyle w:val="Hyperlink"/>
                <w:rFonts w:ascii="Arial" w:hAnsi="Arial" w:cs="Arial"/>
                <w:lang w:val="id"/>
              </w:rPr>
              <w:t>https://doi.org/10.3390/pr10020184</w:t>
            </w:r>
          </w:hyperlink>
        </w:p>
        <w:p w14:paraId="78427E6A" w14:textId="77777777" w:rsidR="00460587" w:rsidRPr="00460587" w:rsidRDefault="00460587" w:rsidP="00460587">
          <w:pPr>
            <w:pStyle w:val="Body"/>
            <w:spacing w:after="0"/>
            <w:rPr>
              <w:rFonts w:ascii="Arial" w:hAnsi="Arial" w:cs="Arial"/>
              <w:lang w:val="id"/>
            </w:rPr>
          </w:pPr>
        </w:p>
        <w:p w14:paraId="4B52E258" w14:textId="77777777" w:rsidR="00460587" w:rsidRPr="00460587" w:rsidRDefault="00460587" w:rsidP="00460587">
          <w:pPr>
            <w:pStyle w:val="Body"/>
            <w:spacing w:after="0"/>
            <w:rPr>
              <w:rFonts w:ascii="Arial" w:hAnsi="Arial" w:cs="Arial"/>
              <w:lang w:val="id"/>
            </w:rPr>
          </w:pPr>
          <w:r w:rsidRPr="00460587">
            <w:rPr>
              <w:rFonts w:ascii="Arial" w:hAnsi="Arial" w:cs="Arial"/>
              <w:lang w:val="id"/>
            </w:rPr>
            <w:t xml:space="preserve">Ettalibi, Nouhaila and Hunjra, Ahmed Imran and Bruna, M. G. (2025). The impact of institutional void on the internationalization of multinational corporations. Journal of Organizational Change Management}, 1–28. </w:t>
          </w:r>
          <w:hyperlink r:id="rId20" w:history="1">
            <w:r w:rsidRPr="00460587">
              <w:rPr>
                <w:rStyle w:val="Hyperlink"/>
                <w:rFonts w:ascii="Arial" w:hAnsi="Arial" w:cs="Arial"/>
                <w:lang w:val="id"/>
              </w:rPr>
              <w:t>https://doi.org/10.1108/JOCM-01-2024-0057</w:t>
            </w:r>
          </w:hyperlink>
          <w:r w:rsidRPr="00460587">
            <w:rPr>
              <w:rFonts w:ascii="Arial" w:hAnsi="Arial" w:cs="Arial"/>
              <w:lang w:val="id"/>
            </w:rPr>
            <w:t>}</w:t>
          </w:r>
        </w:p>
        <w:p w14:paraId="3683F244" w14:textId="77777777" w:rsidR="0071351C" w:rsidRDefault="0071351C" w:rsidP="00460587">
          <w:pPr>
            <w:pStyle w:val="Body"/>
            <w:spacing w:after="0"/>
            <w:rPr>
              <w:rFonts w:ascii="Arial" w:hAnsi="Arial" w:cs="Arial"/>
              <w:lang w:val="id"/>
            </w:rPr>
          </w:pPr>
        </w:p>
        <w:p w14:paraId="45C2218F" w14:textId="7016D205" w:rsidR="00460587" w:rsidRDefault="00460587" w:rsidP="00460587">
          <w:pPr>
            <w:pStyle w:val="Body"/>
            <w:spacing w:after="0"/>
            <w:rPr>
              <w:rFonts w:ascii="Arial" w:hAnsi="Arial" w:cs="Arial"/>
              <w:lang w:val="id"/>
            </w:rPr>
          </w:pPr>
          <w:r w:rsidRPr="00460587">
            <w:rPr>
              <w:rFonts w:ascii="Arial" w:hAnsi="Arial" w:cs="Arial"/>
              <w:lang w:val="id"/>
            </w:rPr>
            <w:t>Fazri1, M., &amp; Hermanto Siregar2 Nunung Nuryartono2. (2017). Efisiensi Teknis, Pertumbuhan Teknologi Dan Total Faktor Produktivitas Pada Industri Menengah Dan Besar Di Indonesia. Ekonomi, Jurnal Pembangunan, Kebijakan, 6(2), 111–135.</w:t>
          </w:r>
        </w:p>
        <w:p w14:paraId="3D20AAC5" w14:textId="77777777" w:rsidR="00460587" w:rsidRPr="00460587" w:rsidRDefault="00460587" w:rsidP="00460587">
          <w:pPr>
            <w:pStyle w:val="Body"/>
            <w:spacing w:after="0"/>
            <w:rPr>
              <w:rFonts w:ascii="Arial" w:hAnsi="Arial" w:cs="Arial"/>
              <w:lang w:val="id"/>
            </w:rPr>
          </w:pPr>
        </w:p>
        <w:p w14:paraId="438E51C0" w14:textId="3AC63CCC" w:rsidR="00460587" w:rsidRDefault="00460587" w:rsidP="00460587">
          <w:pPr>
            <w:pStyle w:val="Body"/>
            <w:spacing w:after="0"/>
            <w:rPr>
              <w:rFonts w:ascii="Arial" w:hAnsi="Arial" w:cs="Arial"/>
              <w:lang w:val="id"/>
            </w:rPr>
          </w:pPr>
          <w:r w:rsidRPr="00460587">
            <w:rPr>
              <w:rFonts w:ascii="Arial" w:hAnsi="Arial" w:cs="Arial"/>
              <w:lang w:val="id"/>
            </w:rPr>
            <w:t xml:space="preserve">Fu, W., &amp; Su, C. (Jack). (2021). The implications of efficiency differences in sustainable development: An empirical study in the consumer product industry. </w:t>
          </w:r>
          <w:r w:rsidRPr="00460587">
            <w:rPr>
              <w:rFonts w:ascii="Arial" w:hAnsi="Arial" w:cs="Arial"/>
              <w:i/>
              <w:iCs/>
              <w:lang w:val="id"/>
            </w:rPr>
            <w:t>Business Strategy and the Environment</w:t>
          </w:r>
          <w:r w:rsidRPr="00460587">
            <w:rPr>
              <w:rFonts w:ascii="Arial" w:hAnsi="Arial" w:cs="Arial"/>
              <w:lang w:val="id"/>
            </w:rPr>
            <w:t xml:space="preserve">, </w:t>
          </w:r>
          <w:r w:rsidRPr="00460587">
            <w:rPr>
              <w:rFonts w:ascii="Arial" w:hAnsi="Arial" w:cs="Arial"/>
              <w:i/>
              <w:iCs/>
              <w:lang w:val="id"/>
            </w:rPr>
            <w:t>30</w:t>
          </w:r>
          <w:r w:rsidRPr="00460587">
            <w:rPr>
              <w:rFonts w:ascii="Arial" w:hAnsi="Arial" w:cs="Arial"/>
              <w:lang w:val="id"/>
            </w:rPr>
            <w:t xml:space="preserve">(5), 2489–2504. https://doi.org/DOI: </w:t>
          </w:r>
          <w:hyperlink r:id="rId21" w:history="1">
            <w:r w:rsidRPr="00460587">
              <w:rPr>
                <w:rStyle w:val="Hyperlink"/>
                <w:rFonts w:ascii="Arial" w:hAnsi="Arial" w:cs="Arial"/>
                <w:lang w:val="id"/>
              </w:rPr>
              <w:t>https://doi.org/10.24857/rgsa.v18n6-169</w:t>
            </w:r>
          </w:hyperlink>
        </w:p>
        <w:p w14:paraId="1756EE80" w14:textId="77777777" w:rsidR="00460587" w:rsidRPr="00460587" w:rsidRDefault="00460587" w:rsidP="00460587">
          <w:pPr>
            <w:pStyle w:val="Body"/>
            <w:spacing w:after="0"/>
            <w:rPr>
              <w:rFonts w:ascii="Arial" w:hAnsi="Arial" w:cs="Arial"/>
              <w:lang w:val="id"/>
            </w:rPr>
          </w:pPr>
        </w:p>
        <w:p w14:paraId="45E314AE" w14:textId="1A1D3792" w:rsidR="00460587" w:rsidRDefault="00460587" w:rsidP="00460587">
          <w:pPr>
            <w:pStyle w:val="Body"/>
            <w:spacing w:after="0"/>
            <w:rPr>
              <w:rFonts w:ascii="Arial" w:hAnsi="Arial" w:cs="Arial"/>
              <w:lang w:val="id"/>
            </w:rPr>
          </w:pPr>
          <w:r w:rsidRPr="00460587">
            <w:rPr>
              <w:rFonts w:ascii="Arial" w:hAnsi="Arial" w:cs="Arial"/>
              <w:lang w:val="id"/>
            </w:rPr>
            <w:t xml:space="preserve">Hausmann, L., Mittal, A., &amp; Rome, G. (2021). Lessons from growth outperformers in logistics. </w:t>
          </w:r>
          <w:r w:rsidRPr="00460587">
            <w:rPr>
              <w:rFonts w:ascii="Arial" w:hAnsi="Arial" w:cs="Arial"/>
              <w:i/>
              <w:iCs/>
              <w:lang w:val="id"/>
            </w:rPr>
            <w:t>McKinsey &amp; Company</w:t>
          </w:r>
          <w:r w:rsidRPr="00460587">
            <w:rPr>
              <w:rFonts w:ascii="Arial" w:hAnsi="Arial" w:cs="Arial"/>
              <w:lang w:val="id"/>
            </w:rPr>
            <w:t xml:space="preserve">, </w:t>
          </w:r>
          <w:r w:rsidRPr="00460587">
            <w:rPr>
              <w:rFonts w:ascii="Arial" w:hAnsi="Arial" w:cs="Arial"/>
              <w:i/>
              <w:iCs/>
              <w:lang w:val="id"/>
            </w:rPr>
            <w:t>January</w:t>
          </w:r>
          <w:r w:rsidRPr="00460587">
            <w:rPr>
              <w:rFonts w:ascii="Arial" w:hAnsi="Arial" w:cs="Arial"/>
              <w:lang w:val="id"/>
            </w:rPr>
            <w:t xml:space="preserve">, 1–8. </w:t>
          </w:r>
        </w:p>
        <w:p w14:paraId="5DF364A7" w14:textId="77777777" w:rsidR="00460587" w:rsidRPr="00460587" w:rsidRDefault="00460587" w:rsidP="00460587">
          <w:pPr>
            <w:pStyle w:val="Body"/>
            <w:spacing w:after="0"/>
            <w:rPr>
              <w:rFonts w:ascii="Arial" w:hAnsi="Arial" w:cs="Arial"/>
              <w:lang w:val="id"/>
            </w:rPr>
          </w:pPr>
        </w:p>
        <w:p w14:paraId="339D4090" w14:textId="3C906A12" w:rsidR="00460587" w:rsidRDefault="00460587" w:rsidP="00460587">
          <w:pPr>
            <w:pStyle w:val="Body"/>
            <w:spacing w:after="0"/>
            <w:rPr>
              <w:rFonts w:ascii="Arial" w:hAnsi="Arial" w:cs="Arial"/>
              <w:lang w:val="id"/>
            </w:rPr>
          </w:pPr>
          <w:r w:rsidRPr="00460587">
            <w:rPr>
              <w:rFonts w:ascii="Arial" w:hAnsi="Arial" w:cs="Arial"/>
              <w:lang w:val="id"/>
            </w:rPr>
            <w:t xml:space="preserve">Huo, X., Zhao, Y., &amp; Dong, Z. (2024). How mixed ownership affects investment efficiency? evidence from state-owned enterprises in China. </w:t>
          </w:r>
          <w:r w:rsidRPr="00460587">
            <w:rPr>
              <w:rFonts w:ascii="Arial" w:hAnsi="Arial" w:cs="Arial"/>
              <w:i/>
              <w:iCs/>
              <w:lang w:val="id"/>
            </w:rPr>
            <w:t>PLoS ONE</w:t>
          </w:r>
          <w:r w:rsidRPr="00460587">
            <w:rPr>
              <w:rFonts w:ascii="Arial" w:hAnsi="Arial" w:cs="Arial"/>
              <w:lang w:val="id"/>
            </w:rPr>
            <w:t xml:space="preserve">, </w:t>
          </w:r>
          <w:r w:rsidRPr="00460587">
            <w:rPr>
              <w:rFonts w:ascii="Arial" w:hAnsi="Arial" w:cs="Arial"/>
              <w:i/>
              <w:iCs/>
              <w:lang w:val="id"/>
            </w:rPr>
            <w:t>19</w:t>
          </w:r>
          <w:r w:rsidRPr="00460587">
            <w:rPr>
              <w:rFonts w:ascii="Arial" w:hAnsi="Arial" w:cs="Arial"/>
              <w:lang w:val="id"/>
            </w:rPr>
            <w:t xml:space="preserve">(6 June), 1–25. </w:t>
          </w:r>
          <w:hyperlink r:id="rId22" w:history="1">
            <w:r w:rsidRPr="00460587">
              <w:rPr>
                <w:rStyle w:val="Hyperlink"/>
                <w:rFonts w:ascii="Arial" w:hAnsi="Arial" w:cs="Arial"/>
                <w:lang w:val="id"/>
              </w:rPr>
              <w:t>https://doi.org/10.1371/journal.pone.0306190</w:t>
            </w:r>
          </w:hyperlink>
        </w:p>
        <w:p w14:paraId="7A8B7904" w14:textId="77777777" w:rsidR="00460587" w:rsidRPr="00460587" w:rsidRDefault="00460587" w:rsidP="00460587">
          <w:pPr>
            <w:pStyle w:val="Body"/>
            <w:spacing w:after="0"/>
            <w:rPr>
              <w:rFonts w:ascii="Arial" w:hAnsi="Arial" w:cs="Arial"/>
              <w:lang w:val="id"/>
            </w:rPr>
          </w:pPr>
        </w:p>
        <w:p w14:paraId="32C296A0" w14:textId="4BC2DF43" w:rsidR="00460587" w:rsidRDefault="00460587" w:rsidP="00460587">
          <w:pPr>
            <w:pStyle w:val="Body"/>
            <w:spacing w:after="0"/>
            <w:rPr>
              <w:rFonts w:ascii="Arial" w:hAnsi="Arial" w:cs="Arial"/>
              <w:lang w:val="id"/>
            </w:rPr>
          </w:pPr>
          <w:r w:rsidRPr="00460587">
            <w:rPr>
              <w:rFonts w:ascii="Arial" w:hAnsi="Arial" w:cs="Arial"/>
              <w:lang w:val="id"/>
            </w:rPr>
            <w:t xml:space="preserve">Huyler, D., &amp; McGill, C. M. (2019). Review of Research Design: Qualitative, Quantitative, and Mixed Methods Approaches, by John Creswell &amp; J. David Creswell. </w:t>
          </w:r>
          <w:r w:rsidRPr="00460587">
            <w:rPr>
              <w:rFonts w:ascii="Arial" w:hAnsi="Arial" w:cs="Arial"/>
              <w:i/>
              <w:iCs/>
              <w:lang w:val="id"/>
            </w:rPr>
            <w:t>New Horizons in Adult Education and Human Resource Development</w:t>
          </w:r>
          <w:r w:rsidRPr="00460587">
            <w:rPr>
              <w:rFonts w:ascii="Arial" w:hAnsi="Arial" w:cs="Arial"/>
              <w:lang w:val="id"/>
            </w:rPr>
            <w:t xml:space="preserve">, </w:t>
          </w:r>
          <w:r w:rsidRPr="00460587">
            <w:rPr>
              <w:rFonts w:ascii="Arial" w:hAnsi="Arial" w:cs="Arial"/>
              <w:i/>
              <w:iCs/>
              <w:lang w:val="id"/>
            </w:rPr>
            <w:t>31</w:t>
          </w:r>
          <w:r w:rsidRPr="00460587">
            <w:rPr>
              <w:rFonts w:ascii="Arial" w:hAnsi="Arial" w:cs="Arial"/>
              <w:lang w:val="id"/>
            </w:rPr>
            <w:t xml:space="preserve">(3), 75–77. </w:t>
          </w:r>
          <w:hyperlink r:id="rId23" w:history="1">
            <w:r w:rsidRPr="00460587">
              <w:rPr>
                <w:rStyle w:val="Hyperlink"/>
                <w:rFonts w:ascii="Arial" w:hAnsi="Arial" w:cs="Arial"/>
                <w:lang w:val="id"/>
              </w:rPr>
              <w:t>https://doi.org/10.1002/nha3.20258</w:t>
            </w:r>
          </w:hyperlink>
        </w:p>
        <w:p w14:paraId="5BBE3F3C" w14:textId="77777777" w:rsidR="00460587" w:rsidRPr="00460587" w:rsidRDefault="00460587" w:rsidP="00460587">
          <w:pPr>
            <w:pStyle w:val="Body"/>
            <w:spacing w:after="0"/>
            <w:rPr>
              <w:rFonts w:ascii="Arial" w:hAnsi="Arial" w:cs="Arial"/>
              <w:lang w:val="id"/>
            </w:rPr>
          </w:pPr>
        </w:p>
        <w:p w14:paraId="6E194872" w14:textId="03251BD1" w:rsidR="00460587" w:rsidRDefault="00460587" w:rsidP="00460587">
          <w:pPr>
            <w:pStyle w:val="Body"/>
            <w:spacing w:after="0"/>
            <w:rPr>
              <w:rFonts w:ascii="Arial" w:hAnsi="Arial" w:cs="Arial"/>
              <w:lang w:val="id"/>
            </w:rPr>
          </w:pPr>
          <w:r w:rsidRPr="00460587">
            <w:rPr>
              <w:rFonts w:ascii="Arial" w:hAnsi="Arial" w:cs="Arial"/>
              <w:lang w:val="id"/>
            </w:rPr>
            <w:t xml:space="preserve">Ibrahim, I., &amp; Falkenbach, H. (2023). International diversification and European firm value: the role of operating efficiency. </w:t>
          </w:r>
          <w:r w:rsidRPr="00460587">
            <w:rPr>
              <w:rFonts w:ascii="Arial" w:hAnsi="Arial" w:cs="Arial"/>
              <w:i/>
              <w:iCs/>
              <w:lang w:val="id"/>
            </w:rPr>
            <w:t>Journal of European Real Estate Research</w:t>
          </w:r>
          <w:r w:rsidRPr="00460587">
            <w:rPr>
              <w:rFonts w:ascii="Arial" w:hAnsi="Arial" w:cs="Arial"/>
              <w:lang w:val="id"/>
            </w:rPr>
            <w:t xml:space="preserve">, </w:t>
          </w:r>
          <w:r w:rsidRPr="00460587">
            <w:rPr>
              <w:rFonts w:ascii="Arial" w:hAnsi="Arial" w:cs="Arial"/>
              <w:i/>
              <w:iCs/>
              <w:lang w:val="id"/>
            </w:rPr>
            <w:t>16</w:t>
          </w:r>
          <w:r w:rsidRPr="00460587">
            <w:rPr>
              <w:rFonts w:ascii="Arial" w:hAnsi="Arial" w:cs="Arial"/>
              <w:lang w:val="id"/>
            </w:rPr>
            <w:t xml:space="preserve">(3), 381–397. </w:t>
          </w:r>
          <w:hyperlink r:id="rId24" w:history="1">
            <w:r w:rsidRPr="00460587">
              <w:rPr>
                <w:rStyle w:val="Hyperlink"/>
                <w:rFonts w:ascii="Arial" w:hAnsi="Arial" w:cs="Arial"/>
                <w:lang w:val="id"/>
              </w:rPr>
              <w:t>https://doi.org/10.1108/JERER-07-2023-0025</w:t>
            </w:r>
          </w:hyperlink>
        </w:p>
        <w:p w14:paraId="18DA556E" w14:textId="77777777" w:rsidR="00460587" w:rsidRPr="00460587" w:rsidRDefault="00460587" w:rsidP="00460587">
          <w:pPr>
            <w:pStyle w:val="Body"/>
            <w:spacing w:after="0"/>
            <w:rPr>
              <w:rFonts w:ascii="Arial" w:hAnsi="Arial" w:cs="Arial"/>
              <w:lang w:val="id"/>
            </w:rPr>
          </w:pPr>
        </w:p>
        <w:p w14:paraId="5AFD32D3" w14:textId="57ADC7FC" w:rsidR="00460587" w:rsidRDefault="00460587" w:rsidP="00460587">
          <w:pPr>
            <w:pStyle w:val="Body"/>
            <w:spacing w:after="0"/>
            <w:rPr>
              <w:rFonts w:ascii="Arial" w:hAnsi="Arial" w:cs="Arial"/>
              <w:lang w:val="id"/>
            </w:rPr>
          </w:pPr>
          <w:r w:rsidRPr="00460587">
            <w:rPr>
              <w:rFonts w:ascii="Arial" w:hAnsi="Arial" w:cs="Arial"/>
              <w:lang w:val="id"/>
            </w:rPr>
            <w:t xml:space="preserve">Ilyas, I. M., &amp; Osiyevskyy, O. (2022). Exploring the impact of sustainable value proposition on firm performance. </w:t>
          </w:r>
          <w:r w:rsidRPr="00460587">
            <w:rPr>
              <w:rFonts w:ascii="Arial" w:hAnsi="Arial" w:cs="Arial"/>
              <w:i/>
              <w:iCs/>
              <w:lang w:val="id"/>
            </w:rPr>
            <w:t>European Management Journal</w:t>
          </w:r>
          <w:r w:rsidRPr="00460587">
            <w:rPr>
              <w:rFonts w:ascii="Arial" w:hAnsi="Arial" w:cs="Arial"/>
              <w:lang w:val="id"/>
            </w:rPr>
            <w:t xml:space="preserve">, </w:t>
          </w:r>
          <w:r w:rsidRPr="00460587">
            <w:rPr>
              <w:rFonts w:ascii="Arial" w:hAnsi="Arial" w:cs="Arial"/>
              <w:i/>
              <w:iCs/>
              <w:lang w:val="id"/>
            </w:rPr>
            <w:t>40</w:t>
          </w:r>
          <w:r w:rsidRPr="00460587">
            <w:rPr>
              <w:rFonts w:ascii="Arial" w:hAnsi="Arial" w:cs="Arial"/>
              <w:lang w:val="id"/>
            </w:rPr>
            <w:t xml:space="preserve">(5), 729–740. </w:t>
          </w:r>
          <w:hyperlink r:id="rId25" w:history="1">
            <w:r w:rsidRPr="00460587">
              <w:rPr>
                <w:rStyle w:val="Hyperlink"/>
                <w:rFonts w:ascii="Arial" w:hAnsi="Arial" w:cs="Arial"/>
                <w:lang w:val="id"/>
              </w:rPr>
              <w:t>https://doi.org/10.1016/j.emj.2021.09.009</w:t>
            </w:r>
          </w:hyperlink>
        </w:p>
        <w:p w14:paraId="3F6770E3" w14:textId="77777777" w:rsidR="00460587" w:rsidRPr="00460587" w:rsidRDefault="00460587" w:rsidP="00460587">
          <w:pPr>
            <w:pStyle w:val="Body"/>
            <w:spacing w:after="0"/>
            <w:rPr>
              <w:rFonts w:ascii="Arial" w:hAnsi="Arial" w:cs="Arial"/>
              <w:lang w:val="id"/>
            </w:rPr>
          </w:pPr>
        </w:p>
        <w:p w14:paraId="3E93BAC5" w14:textId="209FF5E7" w:rsidR="00460587" w:rsidRDefault="00460587" w:rsidP="00460587">
          <w:pPr>
            <w:pStyle w:val="Body"/>
            <w:spacing w:after="0"/>
            <w:rPr>
              <w:rFonts w:ascii="Arial" w:hAnsi="Arial" w:cs="Arial"/>
              <w:lang w:val="id"/>
            </w:rPr>
          </w:pPr>
          <w:r w:rsidRPr="00460587">
            <w:rPr>
              <w:rFonts w:ascii="Arial" w:hAnsi="Arial" w:cs="Arial"/>
              <w:lang w:val="id"/>
            </w:rPr>
            <w:t xml:space="preserve">Kabak, Ö., Önsel Ekici, Ş., &amp; Ülengin, F. (2020). Analyzing two-way interaction between the competitiveness and logistics performance of countries. </w:t>
          </w:r>
          <w:r w:rsidRPr="00460587">
            <w:rPr>
              <w:rFonts w:ascii="Arial" w:hAnsi="Arial" w:cs="Arial"/>
              <w:i/>
              <w:iCs/>
              <w:lang w:val="id"/>
            </w:rPr>
            <w:t>Transport Policy</w:t>
          </w:r>
          <w:r w:rsidRPr="00460587">
            <w:rPr>
              <w:rFonts w:ascii="Arial" w:hAnsi="Arial" w:cs="Arial"/>
              <w:lang w:val="id"/>
            </w:rPr>
            <w:t xml:space="preserve">, </w:t>
          </w:r>
          <w:r w:rsidRPr="00460587">
            <w:rPr>
              <w:rFonts w:ascii="Arial" w:hAnsi="Arial" w:cs="Arial"/>
              <w:i/>
              <w:iCs/>
              <w:lang w:val="id"/>
            </w:rPr>
            <w:t>98</w:t>
          </w:r>
          <w:r w:rsidRPr="00460587">
            <w:rPr>
              <w:rFonts w:ascii="Arial" w:hAnsi="Arial" w:cs="Arial"/>
              <w:lang w:val="id"/>
            </w:rPr>
            <w:t xml:space="preserve">, 238–246. </w:t>
          </w:r>
          <w:hyperlink r:id="rId26" w:history="1">
            <w:r w:rsidRPr="00460587">
              <w:rPr>
                <w:rStyle w:val="Hyperlink"/>
                <w:rFonts w:ascii="Arial" w:hAnsi="Arial" w:cs="Arial"/>
                <w:lang w:val="id"/>
              </w:rPr>
              <w:t>https://doi.org/10.1016/j.tranpol.2019.10.007</w:t>
            </w:r>
          </w:hyperlink>
        </w:p>
        <w:p w14:paraId="1FD53289" w14:textId="77777777" w:rsidR="00460587" w:rsidRPr="00460587" w:rsidRDefault="00460587" w:rsidP="00460587">
          <w:pPr>
            <w:pStyle w:val="Body"/>
            <w:spacing w:after="0"/>
            <w:rPr>
              <w:rFonts w:ascii="Arial" w:hAnsi="Arial" w:cs="Arial"/>
              <w:lang w:val="id"/>
            </w:rPr>
          </w:pPr>
        </w:p>
        <w:p w14:paraId="4470E38B" w14:textId="0E9F36C5" w:rsidR="00460587" w:rsidRDefault="00460587" w:rsidP="00460587">
          <w:pPr>
            <w:pStyle w:val="Body"/>
            <w:spacing w:after="0"/>
            <w:rPr>
              <w:rFonts w:ascii="Arial" w:hAnsi="Arial" w:cs="Arial"/>
              <w:lang w:val="id"/>
            </w:rPr>
          </w:pPr>
          <w:r w:rsidRPr="00460587">
            <w:rPr>
              <w:rFonts w:ascii="Arial" w:hAnsi="Arial" w:cs="Arial"/>
              <w:lang w:val="id"/>
            </w:rPr>
            <w:t xml:space="preserve">Kalasin, K., Cuervo-Cazurra, A., &amp; Ramamurti, R. (2020). State ownership and international expansion: The S-curve relationship. </w:t>
          </w:r>
          <w:r w:rsidRPr="00460587">
            <w:rPr>
              <w:rFonts w:ascii="Arial" w:hAnsi="Arial" w:cs="Arial"/>
              <w:i/>
              <w:iCs/>
              <w:lang w:val="id"/>
            </w:rPr>
            <w:t>Global Strategy Journal</w:t>
          </w:r>
          <w:r w:rsidRPr="00460587">
            <w:rPr>
              <w:rFonts w:ascii="Arial" w:hAnsi="Arial" w:cs="Arial"/>
              <w:lang w:val="id"/>
            </w:rPr>
            <w:t xml:space="preserve">, </w:t>
          </w:r>
          <w:r w:rsidRPr="00460587">
            <w:rPr>
              <w:rFonts w:ascii="Arial" w:hAnsi="Arial" w:cs="Arial"/>
              <w:i/>
              <w:iCs/>
              <w:lang w:val="id"/>
            </w:rPr>
            <w:t>10</w:t>
          </w:r>
          <w:r w:rsidRPr="00460587">
            <w:rPr>
              <w:rFonts w:ascii="Arial" w:hAnsi="Arial" w:cs="Arial"/>
              <w:lang w:val="id"/>
            </w:rPr>
            <w:t xml:space="preserve">(2), 386–418. </w:t>
          </w:r>
          <w:hyperlink r:id="rId27" w:history="1">
            <w:r w:rsidRPr="00460587">
              <w:rPr>
                <w:rStyle w:val="Hyperlink"/>
                <w:rFonts w:ascii="Arial" w:hAnsi="Arial" w:cs="Arial"/>
                <w:lang w:val="id"/>
              </w:rPr>
              <w:t>https://doi.org/10.1002/gsj.1339</w:t>
            </w:r>
          </w:hyperlink>
        </w:p>
        <w:p w14:paraId="50C335B8" w14:textId="77777777" w:rsidR="00460587" w:rsidRPr="00460587" w:rsidRDefault="00460587" w:rsidP="00460587">
          <w:pPr>
            <w:pStyle w:val="Body"/>
            <w:spacing w:after="0"/>
            <w:rPr>
              <w:rFonts w:ascii="Arial" w:hAnsi="Arial" w:cs="Arial"/>
              <w:lang w:val="id"/>
            </w:rPr>
          </w:pPr>
        </w:p>
        <w:p w14:paraId="2D159E2A" w14:textId="77777777" w:rsidR="00460587" w:rsidRDefault="00460587" w:rsidP="00460587">
          <w:pPr>
            <w:pStyle w:val="Body"/>
            <w:spacing w:after="0"/>
            <w:rPr>
              <w:rFonts w:ascii="Arial" w:hAnsi="Arial" w:cs="Arial"/>
              <w:lang w:val="id"/>
            </w:rPr>
          </w:pPr>
          <w:r w:rsidRPr="00460587">
            <w:rPr>
              <w:rFonts w:ascii="Arial" w:hAnsi="Arial" w:cs="Arial"/>
              <w:lang w:val="id"/>
            </w:rPr>
            <w:t xml:space="preserve">Kiesel, A., Ries, M., &amp; Tielmann, T. (2023). Customer expectations and service quality in the modern economy. </w:t>
          </w:r>
          <w:r w:rsidRPr="00460587">
            <w:rPr>
              <w:rFonts w:ascii="Arial" w:hAnsi="Arial" w:cs="Arial"/>
              <w:i/>
              <w:iCs/>
              <w:lang w:val="id"/>
            </w:rPr>
            <w:t>Journal of Service Management</w:t>
          </w:r>
          <w:r w:rsidRPr="00460587">
            <w:rPr>
              <w:rFonts w:ascii="Arial" w:hAnsi="Arial" w:cs="Arial"/>
              <w:lang w:val="id"/>
            </w:rPr>
            <w:t xml:space="preserve">, </w:t>
          </w:r>
          <w:r w:rsidRPr="00460587">
            <w:rPr>
              <w:rFonts w:ascii="Arial" w:hAnsi="Arial" w:cs="Arial"/>
              <w:i/>
              <w:iCs/>
              <w:lang w:val="id"/>
            </w:rPr>
            <w:t>34</w:t>
          </w:r>
          <w:r w:rsidRPr="00460587">
            <w:rPr>
              <w:rFonts w:ascii="Arial" w:hAnsi="Arial" w:cs="Arial"/>
              <w:lang w:val="id"/>
            </w:rPr>
            <w:t>(2), 112–135</w:t>
          </w:r>
        </w:p>
        <w:p w14:paraId="39D62C61" w14:textId="3E85C64F" w:rsidR="00460587" w:rsidRPr="00460587" w:rsidRDefault="00460587" w:rsidP="00460587">
          <w:pPr>
            <w:pStyle w:val="Body"/>
            <w:spacing w:after="0"/>
            <w:rPr>
              <w:rFonts w:ascii="Arial" w:hAnsi="Arial" w:cs="Arial"/>
              <w:lang w:val="id"/>
            </w:rPr>
          </w:pPr>
          <w:r w:rsidRPr="00460587">
            <w:rPr>
              <w:rFonts w:ascii="Arial" w:hAnsi="Arial" w:cs="Arial"/>
              <w:lang w:val="id"/>
            </w:rPr>
            <w:t>.</w:t>
          </w:r>
        </w:p>
        <w:p w14:paraId="687159C1" w14:textId="0A996774" w:rsidR="00460587" w:rsidRDefault="00460587" w:rsidP="00460587">
          <w:pPr>
            <w:pStyle w:val="Body"/>
            <w:spacing w:after="0"/>
            <w:rPr>
              <w:rFonts w:ascii="Arial" w:hAnsi="Arial" w:cs="Arial"/>
              <w:lang w:val="id"/>
            </w:rPr>
          </w:pPr>
          <w:r w:rsidRPr="00460587">
            <w:rPr>
              <w:rFonts w:ascii="Arial" w:hAnsi="Arial" w:cs="Arial"/>
              <w:lang w:val="id"/>
            </w:rPr>
            <w:t xml:space="preserve">Lee, C. C., Atukeren, E., &amp; Kim, H. (2024). Knowledge Capital and Stock Returns during Crises in the Manufacturing Sector: Moderating Role of Market Share, Tobin’s Q, and Cash Holdings. </w:t>
          </w:r>
          <w:r w:rsidRPr="00460587">
            <w:rPr>
              <w:rFonts w:ascii="Arial" w:hAnsi="Arial" w:cs="Arial"/>
              <w:i/>
              <w:iCs/>
              <w:lang w:val="id"/>
            </w:rPr>
            <w:t>Risks</w:t>
          </w:r>
          <w:r w:rsidRPr="00460587">
            <w:rPr>
              <w:rFonts w:ascii="Arial" w:hAnsi="Arial" w:cs="Arial"/>
              <w:lang w:val="id"/>
            </w:rPr>
            <w:t xml:space="preserve">, </w:t>
          </w:r>
          <w:r w:rsidRPr="00460587">
            <w:rPr>
              <w:rFonts w:ascii="Arial" w:hAnsi="Arial" w:cs="Arial"/>
              <w:i/>
              <w:iCs/>
              <w:lang w:val="id"/>
            </w:rPr>
            <w:t>12</w:t>
          </w:r>
          <w:r w:rsidRPr="00460587">
            <w:rPr>
              <w:rFonts w:ascii="Arial" w:hAnsi="Arial" w:cs="Arial"/>
              <w:lang w:val="id"/>
            </w:rPr>
            <w:t xml:space="preserve">(6). </w:t>
          </w:r>
          <w:hyperlink r:id="rId28" w:history="1">
            <w:r w:rsidRPr="00460587">
              <w:rPr>
                <w:rStyle w:val="Hyperlink"/>
                <w:rFonts w:ascii="Arial" w:hAnsi="Arial" w:cs="Arial"/>
                <w:lang w:val="id"/>
              </w:rPr>
              <w:t>https://doi.org/10.3390/risks12060100</w:t>
            </w:r>
          </w:hyperlink>
        </w:p>
        <w:p w14:paraId="76A6FCC0" w14:textId="77777777" w:rsidR="00460587" w:rsidRPr="00460587" w:rsidRDefault="00460587" w:rsidP="00460587">
          <w:pPr>
            <w:pStyle w:val="Body"/>
            <w:spacing w:after="0"/>
            <w:rPr>
              <w:rFonts w:ascii="Arial" w:hAnsi="Arial" w:cs="Arial"/>
              <w:lang w:val="id"/>
            </w:rPr>
          </w:pPr>
        </w:p>
        <w:p w14:paraId="5F8D3D1E" w14:textId="77777777" w:rsidR="00460587" w:rsidRDefault="00460587" w:rsidP="00460587">
          <w:pPr>
            <w:pStyle w:val="Body"/>
            <w:spacing w:after="0"/>
            <w:rPr>
              <w:rFonts w:ascii="Arial" w:hAnsi="Arial" w:cs="Arial"/>
              <w:lang w:val="id"/>
            </w:rPr>
          </w:pPr>
          <w:r w:rsidRPr="00460587">
            <w:rPr>
              <w:rFonts w:ascii="Arial" w:hAnsi="Arial" w:cs="Arial"/>
              <w:lang w:val="id"/>
            </w:rPr>
            <w:t xml:space="preserve">Lee, S., Kim, H., &amp; Yang, J. (2020). Internationalization and operational efficiency in emerging market firms. </w:t>
          </w:r>
          <w:r w:rsidRPr="00460587">
            <w:rPr>
              <w:rFonts w:ascii="Arial" w:hAnsi="Arial" w:cs="Arial"/>
              <w:i/>
              <w:iCs/>
              <w:lang w:val="id"/>
            </w:rPr>
            <w:t>Journal of World Business</w:t>
          </w:r>
          <w:r w:rsidRPr="00460587">
            <w:rPr>
              <w:rFonts w:ascii="Arial" w:hAnsi="Arial" w:cs="Arial"/>
              <w:lang w:val="id"/>
            </w:rPr>
            <w:t xml:space="preserve">, </w:t>
          </w:r>
          <w:r w:rsidRPr="00460587">
            <w:rPr>
              <w:rFonts w:ascii="Arial" w:hAnsi="Arial" w:cs="Arial"/>
              <w:i/>
              <w:iCs/>
              <w:lang w:val="id"/>
            </w:rPr>
            <w:t>55</w:t>
          </w:r>
          <w:r w:rsidRPr="00460587">
            <w:rPr>
              <w:rFonts w:ascii="Arial" w:hAnsi="Arial" w:cs="Arial"/>
              <w:lang w:val="id"/>
            </w:rPr>
            <w:t>(4), 101–123.</w:t>
          </w:r>
        </w:p>
        <w:p w14:paraId="773432BB" w14:textId="77777777" w:rsidR="00460587" w:rsidRPr="00460587" w:rsidRDefault="00460587" w:rsidP="00460587">
          <w:pPr>
            <w:pStyle w:val="Body"/>
            <w:spacing w:after="0"/>
            <w:rPr>
              <w:rFonts w:ascii="Arial" w:hAnsi="Arial" w:cs="Arial"/>
              <w:lang w:val="id"/>
            </w:rPr>
          </w:pPr>
        </w:p>
        <w:p w14:paraId="7420A2C4" w14:textId="77777777" w:rsidR="00460587" w:rsidRDefault="00460587" w:rsidP="00460587">
          <w:pPr>
            <w:pStyle w:val="Body"/>
            <w:spacing w:after="0"/>
            <w:rPr>
              <w:rFonts w:ascii="Arial" w:hAnsi="Arial" w:cs="Arial"/>
              <w:lang w:val="id"/>
            </w:rPr>
          </w:pPr>
          <w:r w:rsidRPr="00460587">
            <w:rPr>
              <w:rFonts w:ascii="Arial" w:hAnsi="Arial" w:cs="Arial"/>
              <w:lang w:val="id"/>
            </w:rPr>
            <w:t xml:space="preserve">Nguyen, Q. T. K., &amp; Kim, S. (2020). The multinationality and performance relationship: Revisiting the literature and exploring the implications. </w:t>
          </w:r>
          <w:r w:rsidRPr="00460587">
            <w:rPr>
              <w:rFonts w:ascii="Arial" w:hAnsi="Arial" w:cs="Arial"/>
              <w:i/>
              <w:iCs/>
              <w:lang w:val="id"/>
            </w:rPr>
            <w:t>International Business Review</w:t>
          </w:r>
          <w:r w:rsidRPr="00460587">
            <w:rPr>
              <w:rFonts w:ascii="Arial" w:hAnsi="Arial" w:cs="Arial"/>
              <w:lang w:val="id"/>
            </w:rPr>
            <w:t xml:space="preserve">, </w:t>
          </w:r>
          <w:r w:rsidRPr="00460587">
            <w:rPr>
              <w:rFonts w:ascii="Arial" w:hAnsi="Arial" w:cs="Arial"/>
              <w:i/>
              <w:iCs/>
              <w:lang w:val="id"/>
            </w:rPr>
            <w:t>101682</w:t>
          </w:r>
          <w:r w:rsidRPr="00460587">
            <w:rPr>
              <w:rFonts w:ascii="Arial" w:hAnsi="Arial" w:cs="Arial"/>
              <w:lang w:val="id"/>
            </w:rPr>
            <w:t>, 29–2</w:t>
          </w:r>
        </w:p>
        <w:p w14:paraId="55FD7898" w14:textId="75D3B787" w:rsidR="00460587" w:rsidRPr="00460587" w:rsidRDefault="00460587" w:rsidP="00460587">
          <w:pPr>
            <w:pStyle w:val="Body"/>
            <w:spacing w:after="0"/>
            <w:rPr>
              <w:rFonts w:ascii="Arial" w:hAnsi="Arial" w:cs="Arial"/>
              <w:lang w:val="id"/>
            </w:rPr>
          </w:pPr>
        </w:p>
        <w:p w14:paraId="0DA7F0E0" w14:textId="46EC355C" w:rsidR="009350E4" w:rsidRDefault="009350E4" w:rsidP="00460587">
          <w:pPr>
            <w:pStyle w:val="Body"/>
            <w:spacing w:after="0"/>
            <w:rPr>
              <w:rFonts w:ascii="Arial" w:hAnsi="Arial" w:cs="Arial"/>
              <w:lang w:val="id"/>
            </w:rPr>
          </w:pPr>
          <w:r w:rsidRPr="009350E4">
            <w:rPr>
              <w:rFonts w:ascii="Arial" w:hAnsi="Arial" w:cs="Arial"/>
              <w:lang w:val="id"/>
            </w:rPr>
            <w:t>Ni, X., He, Y., Peng, F., &amp; Ou, M. (2022). A study on the impact of mixed ownership reform on the profitability of state-owned enterprises and its path. Management Review, 34(02), 33–45.</w:t>
          </w:r>
        </w:p>
        <w:p w14:paraId="0E43FFED" w14:textId="77777777" w:rsidR="009350E4" w:rsidRDefault="009350E4" w:rsidP="00460587">
          <w:pPr>
            <w:pStyle w:val="Body"/>
            <w:spacing w:after="0"/>
            <w:rPr>
              <w:rFonts w:ascii="Arial" w:hAnsi="Arial" w:cs="Arial"/>
              <w:lang w:val="id"/>
            </w:rPr>
          </w:pPr>
        </w:p>
        <w:p w14:paraId="78083ED3" w14:textId="00DF36BF" w:rsidR="00460587" w:rsidRDefault="00460587" w:rsidP="00460587">
          <w:pPr>
            <w:pStyle w:val="Body"/>
            <w:spacing w:after="0"/>
            <w:rPr>
              <w:rFonts w:ascii="Arial" w:hAnsi="Arial" w:cs="Arial"/>
              <w:lang w:val="id"/>
            </w:rPr>
          </w:pPr>
          <w:r w:rsidRPr="00460587">
            <w:rPr>
              <w:rFonts w:ascii="Arial" w:hAnsi="Arial" w:cs="Arial"/>
              <w:lang w:val="id"/>
            </w:rPr>
            <w:t xml:space="preserve">Niu, F., Zhang, L., &amp; Su, W. (2023). Association between state ownership participation and the performance of private firms: Evidence from China. </w:t>
          </w:r>
          <w:r w:rsidRPr="00460587">
            <w:rPr>
              <w:rFonts w:ascii="Arial" w:hAnsi="Arial" w:cs="Arial"/>
              <w:i/>
              <w:iCs/>
              <w:lang w:val="id"/>
            </w:rPr>
            <w:t>Economics of Transition and Institutional Change</w:t>
          </w:r>
          <w:r w:rsidRPr="00460587">
            <w:rPr>
              <w:rFonts w:ascii="Arial" w:hAnsi="Arial" w:cs="Arial"/>
              <w:lang w:val="id"/>
            </w:rPr>
            <w:t xml:space="preserve">, </w:t>
          </w:r>
          <w:r w:rsidRPr="00460587">
            <w:rPr>
              <w:rFonts w:ascii="Arial" w:hAnsi="Arial" w:cs="Arial"/>
              <w:i/>
              <w:iCs/>
              <w:lang w:val="id"/>
            </w:rPr>
            <w:t>31</w:t>
          </w:r>
          <w:r w:rsidRPr="00460587">
            <w:rPr>
              <w:rFonts w:ascii="Arial" w:hAnsi="Arial" w:cs="Arial"/>
              <w:lang w:val="id"/>
            </w:rPr>
            <w:t xml:space="preserve">(4), 979–1006. </w:t>
          </w:r>
          <w:hyperlink r:id="rId29" w:history="1">
            <w:r w:rsidRPr="00460587">
              <w:rPr>
                <w:rStyle w:val="Hyperlink"/>
                <w:rFonts w:ascii="Arial" w:hAnsi="Arial" w:cs="Arial"/>
                <w:lang w:val="id"/>
              </w:rPr>
              <w:t>https://doi.org/10.1111/ecot.12362</w:t>
            </w:r>
          </w:hyperlink>
        </w:p>
        <w:p w14:paraId="15A3B33A" w14:textId="77777777" w:rsidR="00460587" w:rsidRPr="00460587" w:rsidRDefault="00460587" w:rsidP="00460587">
          <w:pPr>
            <w:pStyle w:val="Body"/>
            <w:spacing w:after="0"/>
            <w:rPr>
              <w:rFonts w:ascii="Arial" w:hAnsi="Arial" w:cs="Arial"/>
              <w:lang w:val="id"/>
            </w:rPr>
          </w:pPr>
        </w:p>
        <w:p w14:paraId="6F5F1C29" w14:textId="77777777" w:rsidR="00460587" w:rsidRDefault="00460587" w:rsidP="00460587">
          <w:pPr>
            <w:pStyle w:val="Body"/>
            <w:spacing w:after="0"/>
            <w:rPr>
              <w:rFonts w:ascii="Arial" w:hAnsi="Arial" w:cs="Arial"/>
              <w:lang w:val="id"/>
            </w:rPr>
          </w:pPr>
          <w:r w:rsidRPr="00460587">
            <w:rPr>
              <w:rFonts w:ascii="Arial" w:hAnsi="Arial" w:cs="Arial"/>
              <w:lang w:val="id"/>
            </w:rPr>
            <w:t>Novoselova, A. (2021). Internationalization and firm technical efficiency: evidence of an inverted U</w:t>
          </w:r>
          <w:r w:rsidRPr="00460587">
            <w:rPr>
              <w:rFonts w:ascii="Arial" w:hAnsi="Arial" w:cs="Arial"/>
              <w:lang w:val="id"/>
            </w:rPr>
            <w:noBreakHyphen/>
            <w:t xml:space="preserve">curve relationship. </w:t>
          </w:r>
          <w:r w:rsidRPr="00460587">
            <w:rPr>
              <w:rFonts w:ascii="Arial" w:hAnsi="Arial" w:cs="Arial"/>
              <w:i/>
              <w:iCs/>
              <w:lang w:val="id"/>
            </w:rPr>
            <w:t>International Business Review</w:t>
          </w:r>
          <w:r w:rsidRPr="00460587">
            <w:rPr>
              <w:rFonts w:ascii="Arial" w:hAnsi="Arial" w:cs="Arial"/>
              <w:lang w:val="id"/>
            </w:rPr>
            <w:t xml:space="preserve">, </w:t>
          </w:r>
          <w:r w:rsidRPr="00460587">
            <w:rPr>
              <w:rFonts w:ascii="Arial" w:hAnsi="Arial" w:cs="Arial"/>
              <w:i/>
              <w:iCs/>
              <w:lang w:val="id"/>
            </w:rPr>
            <w:t>30</w:t>
          </w:r>
          <w:r w:rsidRPr="00460587">
            <w:rPr>
              <w:rFonts w:ascii="Arial" w:hAnsi="Arial" w:cs="Arial"/>
              <w:lang w:val="id"/>
            </w:rPr>
            <w:t>(6), 101852.</w:t>
          </w:r>
        </w:p>
        <w:p w14:paraId="22018FEC" w14:textId="77777777" w:rsidR="00460587" w:rsidRPr="00460587" w:rsidRDefault="00460587" w:rsidP="00460587">
          <w:pPr>
            <w:pStyle w:val="Body"/>
            <w:spacing w:after="0"/>
            <w:rPr>
              <w:rFonts w:ascii="Arial" w:hAnsi="Arial" w:cs="Arial"/>
              <w:lang w:val="id"/>
            </w:rPr>
          </w:pPr>
        </w:p>
        <w:p w14:paraId="2EC8464F" w14:textId="6C3436C7" w:rsidR="00460587" w:rsidRDefault="00460587" w:rsidP="00460587">
          <w:pPr>
            <w:pStyle w:val="Body"/>
            <w:spacing w:after="0"/>
            <w:rPr>
              <w:rFonts w:ascii="Arial" w:hAnsi="Arial" w:cs="Arial"/>
              <w:lang w:val="id"/>
            </w:rPr>
          </w:pPr>
          <w:r w:rsidRPr="00460587">
            <w:rPr>
              <w:rFonts w:ascii="Arial" w:hAnsi="Arial" w:cs="Arial"/>
              <w:lang w:val="id"/>
            </w:rPr>
            <w:t xml:space="preserve">Patala, S., Jalkala, A., Keränen, J., Väisänen, S., Tuominen, V., &amp; Soukka, R. (2016). Sustainable value propositions: Framework and implications for technology suppliers. </w:t>
          </w:r>
          <w:r w:rsidRPr="00460587">
            <w:rPr>
              <w:rFonts w:ascii="Arial" w:hAnsi="Arial" w:cs="Arial"/>
              <w:i/>
              <w:iCs/>
              <w:lang w:val="id"/>
            </w:rPr>
            <w:t>Industrial Marketing Management</w:t>
          </w:r>
          <w:r w:rsidRPr="00460587">
            <w:rPr>
              <w:rFonts w:ascii="Arial" w:hAnsi="Arial" w:cs="Arial"/>
              <w:lang w:val="id"/>
            </w:rPr>
            <w:t xml:space="preserve">, </w:t>
          </w:r>
          <w:r w:rsidRPr="00460587">
            <w:rPr>
              <w:rFonts w:ascii="Arial" w:hAnsi="Arial" w:cs="Arial"/>
              <w:i/>
              <w:iCs/>
              <w:lang w:val="id"/>
            </w:rPr>
            <w:t>59</w:t>
          </w:r>
          <w:r w:rsidRPr="00460587">
            <w:rPr>
              <w:rFonts w:ascii="Arial" w:hAnsi="Arial" w:cs="Arial"/>
              <w:lang w:val="id"/>
            </w:rPr>
            <w:t xml:space="preserve">, 144–156. </w:t>
          </w:r>
          <w:hyperlink r:id="rId30" w:history="1">
            <w:r w:rsidRPr="00460587">
              <w:rPr>
                <w:rStyle w:val="Hyperlink"/>
                <w:rFonts w:ascii="Arial" w:hAnsi="Arial" w:cs="Arial"/>
                <w:lang w:val="id"/>
              </w:rPr>
              <w:t>https://doi.org/10.1016/j.indmarman.2016.03.001</w:t>
            </w:r>
          </w:hyperlink>
        </w:p>
        <w:p w14:paraId="141EEF49" w14:textId="77777777" w:rsidR="00460587" w:rsidRPr="00460587" w:rsidRDefault="00460587" w:rsidP="00460587">
          <w:pPr>
            <w:pStyle w:val="Body"/>
            <w:spacing w:after="0"/>
            <w:rPr>
              <w:rFonts w:ascii="Arial" w:hAnsi="Arial" w:cs="Arial"/>
              <w:lang w:val="id"/>
            </w:rPr>
          </w:pPr>
        </w:p>
        <w:p w14:paraId="543E1073" w14:textId="6947F2B9" w:rsidR="00460587" w:rsidRDefault="00460587" w:rsidP="00460587">
          <w:pPr>
            <w:pStyle w:val="Body"/>
            <w:spacing w:after="0"/>
            <w:rPr>
              <w:rFonts w:ascii="Arial" w:hAnsi="Arial" w:cs="Arial"/>
              <w:lang w:val="id"/>
            </w:rPr>
          </w:pPr>
          <w:r w:rsidRPr="00460587">
            <w:rPr>
              <w:rFonts w:ascii="Arial" w:hAnsi="Arial" w:cs="Arial"/>
              <w:lang w:val="id"/>
            </w:rPr>
            <w:t xml:space="preserve">Piran, F. A. S., De Paris, A., Lacerda, D. P., Camargo, L. F. R., Serrano, R., &amp; Cassel, R. A. (2020). Overall Equipment Effectiveness: Required but not Enough—An Analysis Integrating Overall Equipment Effect and Data Envelopment Analysis. </w:t>
          </w:r>
          <w:r w:rsidRPr="00460587">
            <w:rPr>
              <w:rFonts w:ascii="Arial" w:hAnsi="Arial" w:cs="Arial"/>
              <w:i/>
              <w:iCs/>
              <w:lang w:val="id"/>
            </w:rPr>
            <w:t>Global Journal of Flexible Systems Management</w:t>
          </w:r>
          <w:r w:rsidRPr="00460587">
            <w:rPr>
              <w:rFonts w:ascii="Arial" w:hAnsi="Arial" w:cs="Arial"/>
              <w:lang w:val="id"/>
            </w:rPr>
            <w:t xml:space="preserve">, </w:t>
          </w:r>
          <w:r w:rsidRPr="00460587">
            <w:rPr>
              <w:rFonts w:ascii="Arial" w:hAnsi="Arial" w:cs="Arial"/>
              <w:i/>
              <w:iCs/>
              <w:lang w:val="id"/>
            </w:rPr>
            <w:t>21</w:t>
          </w:r>
          <w:r w:rsidRPr="00460587">
            <w:rPr>
              <w:rFonts w:ascii="Arial" w:hAnsi="Arial" w:cs="Arial"/>
              <w:lang w:val="id"/>
            </w:rPr>
            <w:t xml:space="preserve">(2), 191–206. </w:t>
          </w:r>
          <w:hyperlink r:id="rId31" w:history="1">
            <w:r w:rsidRPr="00460587">
              <w:rPr>
                <w:rStyle w:val="Hyperlink"/>
                <w:rFonts w:ascii="Arial" w:hAnsi="Arial" w:cs="Arial"/>
                <w:lang w:val="id"/>
              </w:rPr>
              <w:t>https://doi.org/10.1007/s40171-020-00238-6</w:t>
            </w:r>
          </w:hyperlink>
        </w:p>
        <w:p w14:paraId="48873F14" w14:textId="77777777" w:rsidR="00460587" w:rsidRPr="00460587" w:rsidRDefault="00460587" w:rsidP="00460587">
          <w:pPr>
            <w:pStyle w:val="Body"/>
            <w:spacing w:after="0"/>
            <w:rPr>
              <w:rFonts w:ascii="Arial" w:hAnsi="Arial" w:cs="Arial"/>
              <w:lang w:val="id"/>
            </w:rPr>
          </w:pPr>
        </w:p>
        <w:p w14:paraId="6C09FE1E" w14:textId="77777777" w:rsidR="00460587" w:rsidRDefault="00460587" w:rsidP="00460587">
          <w:pPr>
            <w:pStyle w:val="Body"/>
            <w:spacing w:after="0"/>
            <w:rPr>
              <w:rFonts w:ascii="Arial" w:hAnsi="Arial" w:cs="Arial"/>
              <w:lang w:val="id"/>
            </w:rPr>
          </w:pPr>
          <w:r w:rsidRPr="00460587">
            <w:rPr>
              <w:rFonts w:ascii="Arial" w:hAnsi="Arial" w:cs="Arial"/>
              <w:lang w:val="id"/>
            </w:rPr>
            <w:t xml:space="preserve">Puthusserry, P., Lim, L., &amp; Seetharaman, A. (2020). Exploring the effects of international expansion on operational efficiency: evidence from logistics firms. </w:t>
          </w:r>
          <w:r w:rsidRPr="00460587">
            <w:rPr>
              <w:rFonts w:ascii="Arial" w:hAnsi="Arial" w:cs="Arial"/>
              <w:i/>
              <w:iCs/>
              <w:lang w:val="id"/>
            </w:rPr>
            <w:t>International Journal of Logistics Research and Applications</w:t>
          </w:r>
          <w:r w:rsidRPr="00460587">
            <w:rPr>
              <w:rFonts w:ascii="Arial" w:hAnsi="Arial" w:cs="Arial"/>
              <w:lang w:val="id"/>
            </w:rPr>
            <w:t xml:space="preserve">, </w:t>
          </w:r>
          <w:r w:rsidRPr="00460587">
            <w:rPr>
              <w:rFonts w:ascii="Arial" w:hAnsi="Arial" w:cs="Arial"/>
              <w:i/>
              <w:iCs/>
              <w:lang w:val="id"/>
            </w:rPr>
            <w:t>23</w:t>
          </w:r>
          <w:r w:rsidRPr="00460587">
            <w:rPr>
              <w:rFonts w:ascii="Arial" w:hAnsi="Arial" w:cs="Arial"/>
              <w:lang w:val="id"/>
            </w:rPr>
            <w:t>(5), 450–469.</w:t>
          </w:r>
        </w:p>
        <w:p w14:paraId="4B882A1D" w14:textId="77777777" w:rsidR="00460587" w:rsidRPr="00460587" w:rsidRDefault="00460587" w:rsidP="00460587">
          <w:pPr>
            <w:pStyle w:val="Body"/>
            <w:spacing w:after="0"/>
            <w:rPr>
              <w:rFonts w:ascii="Arial" w:hAnsi="Arial" w:cs="Arial"/>
              <w:lang w:val="id"/>
            </w:rPr>
          </w:pPr>
        </w:p>
        <w:p w14:paraId="5666A5C8" w14:textId="614276CD" w:rsidR="00460587" w:rsidRDefault="00460587" w:rsidP="00460587">
          <w:pPr>
            <w:pStyle w:val="Body"/>
            <w:spacing w:after="0"/>
            <w:rPr>
              <w:rFonts w:ascii="Arial" w:hAnsi="Arial" w:cs="Arial"/>
              <w:lang w:val="id"/>
            </w:rPr>
          </w:pPr>
          <w:r w:rsidRPr="00460587">
            <w:rPr>
              <w:rFonts w:ascii="Arial" w:hAnsi="Arial" w:cs="Arial"/>
              <w:lang w:val="id"/>
            </w:rPr>
            <w:t xml:space="preserve">Rubio-Mozos, E., García-Muiña, F. E., &amp; Fuentes-Moraleda, L. (2020). Sustainable Strategic Management Model for Hotel Companies: A Multi-Stakeholder Proposal to “Walk the Talk” toward SDGs. </w:t>
          </w:r>
          <w:r w:rsidRPr="00460587">
            <w:rPr>
              <w:rFonts w:ascii="Arial" w:hAnsi="Arial" w:cs="Arial"/>
              <w:i/>
              <w:iCs/>
              <w:lang w:val="id"/>
            </w:rPr>
            <w:t>Sustainability</w:t>
          </w:r>
          <w:r w:rsidRPr="00460587">
            <w:rPr>
              <w:rFonts w:ascii="Arial" w:hAnsi="Arial" w:cs="Arial"/>
              <w:lang w:val="id"/>
            </w:rPr>
            <w:t xml:space="preserve">, </w:t>
          </w:r>
          <w:r w:rsidRPr="00460587">
            <w:rPr>
              <w:rFonts w:ascii="Arial" w:hAnsi="Arial" w:cs="Arial"/>
              <w:i/>
              <w:iCs/>
              <w:lang w:val="id"/>
            </w:rPr>
            <w:t>12</w:t>
          </w:r>
          <w:r w:rsidRPr="00460587">
            <w:rPr>
              <w:rFonts w:ascii="Arial" w:hAnsi="Arial" w:cs="Arial"/>
              <w:lang w:val="id"/>
            </w:rPr>
            <w:t xml:space="preserve">(20), 8652. </w:t>
          </w:r>
          <w:hyperlink r:id="rId32" w:history="1">
            <w:r w:rsidRPr="00460587">
              <w:rPr>
                <w:rStyle w:val="Hyperlink"/>
                <w:rFonts w:ascii="Arial" w:hAnsi="Arial" w:cs="Arial"/>
                <w:lang w:val="id"/>
              </w:rPr>
              <w:t>https://doi.org/10.3390/su12208652</w:t>
            </w:r>
          </w:hyperlink>
        </w:p>
        <w:p w14:paraId="6163EDD7" w14:textId="77777777" w:rsidR="00460587" w:rsidRPr="00460587" w:rsidRDefault="00460587" w:rsidP="00460587">
          <w:pPr>
            <w:pStyle w:val="Body"/>
            <w:spacing w:after="0"/>
            <w:rPr>
              <w:rFonts w:ascii="Arial" w:hAnsi="Arial" w:cs="Arial"/>
              <w:lang w:val="id"/>
            </w:rPr>
          </w:pPr>
        </w:p>
        <w:p w14:paraId="3AF2BE40" w14:textId="77777777" w:rsidR="00460587" w:rsidRDefault="00460587" w:rsidP="00460587">
          <w:pPr>
            <w:pStyle w:val="Body"/>
            <w:spacing w:after="0"/>
            <w:rPr>
              <w:rFonts w:ascii="Arial" w:hAnsi="Arial" w:cs="Arial"/>
              <w:lang w:val="id"/>
            </w:rPr>
          </w:pPr>
          <w:r w:rsidRPr="00460587">
            <w:rPr>
              <w:rFonts w:ascii="Arial" w:hAnsi="Arial" w:cs="Arial"/>
              <w:lang w:val="id"/>
            </w:rPr>
            <w:lastRenderedPageBreak/>
            <w:t xml:space="preserve">Samal, L., Tripathy, P., &amp; Mishra, B. R. (2024). Does carbon intensity affect technical efficiency? An empirical assessment of manufacturing industries in Maharashtra, Odisha, and India. </w:t>
          </w:r>
          <w:r w:rsidRPr="00460587">
            <w:rPr>
              <w:rFonts w:ascii="Arial" w:hAnsi="Arial" w:cs="Arial"/>
              <w:i/>
              <w:iCs/>
              <w:lang w:val="id"/>
            </w:rPr>
            <w:t>Discover Sustainability</w:t>
          </w:r>
          <w:r w:rsidRPr="00460587">
            <w:rPr>
              <w:rFonts w:ascii="Arial" w:hAnsi="Arial" w:cs="Arial"/>
              <w:lang w:val="id"/>
            </w:rPr>
            <w:t xml:space="preserve">, </w:t>
          </w:r>
          <w:r w:rsidRPr="00460587">
            <w:rPr>
              <w:rFonts w:ascii="Arial" w:hAnsi="Arial" w:cs="Arial"/>
              <w:i/>
              <w:iCs/>
              <w:lang w:val="id"/>
            </w:rPr>
            <w:t>5</w:t>
          </w:r>
          <w:r w:rsidRPr="00460587">
            <w:rPr>
              <w:rFonts w:ascii="Arial" w:hAnsi="Arial" w:cs="Arial"/>
              <w:lang w:val="id"/>
            </w:rPr>
            <w:t>(1).</w:t>
          </w:r>
        </w:p>
        <w:p w14:paraId="62C2D0E4" w14:textId="77777777" w:rsidR="00460587" w:rsidRPr="00460587" w:rsidRDefault="00460587" w:rsidP="00460587">
          <w:pPr>
            <w:pStyle w:val="Body"/>
            <w:spacing w:after="0"/>
            <w:rPr>
              <w:rFonts w:ascii="Arial" w:hAnsi="Arial" w:cs="Arial"/>
              <w:lang w:val="id"/>
            </w:rPr>
          </w:pPr>
        </w:p>
        <w:p w14:paraId="0D7979DD" w14:textId="77777777" w:rsidR="00460587" w:rsidRDefault="00460587" w:rsidP="00460587">
          <w:pPr>
            <w:pStyle w:val="Body"/>
            <w:spacing w:after="0"/>
            <w:rPr>
              <w:rFonts w:ascii="Arial" w:hAnsi="Arial" w:cs="Arial"/>
            </w:rPr>
          </w:pPr>
          <w:r w:rsidRPr="00460587">
            <w:rPr>
              <w:rFonts w:ascii="Arial" w:hAnsi="Arial" w:cs="Arial"/>
              <w:lang w:val="id"/>
            </w:rPr>
            <w:t xml:space="preserve">Silva, P. M., Moutinho, V. F., &amp; Moreira, A. C. (2022). Do social and economic factors affect the technical efficiency in entrepreneurship activities? Evidence from European countries using a two-stage DEA model. </w:t>
          </w:r>
          <w:r w:rsidRPr="00460587">
            <w:rPr>
              <w:rFonts w:ascii="Arial" w:hAnsi="Arial" w:cs="Arial"/>
              <w:i/>
              <w:iCs/>
              <w:lang w:val="id"/>
            </w:rPr>
            <w:t>Socio-Economic Planning Sciences</w:t>
          </w:r>
          <w:r w:rsidRPr="00460587">
            <w:rPr>
              <w:rFonts w:ascii="Arial" w:hAnsi="Arial" w:cs="Arial"/>
              <w:lang w:val="id"/>
            </w:rPr>
            <w:t xml:space="preserve">, </w:t>
          </w:r>
          <w:r w:rsidRPr="00460587">
            <w:rPr>
              <w:rFonts w:ascii="Arial" w:hAnsi="Arial" w:cs="Arial"/>
              <w:i/>
              <w:iCs/>
              <w:lang w:val="id"/>
            </w:rPr>
            <w:t>82</w:t>
          </w:r>
          <w:r w:rsidRPr="00460587">
            <w:rPr>
              <w:rFonts w:ascii="Arial" w:hAnsi="Arial" w:cs="Arial"/>
              <w:lang w:val="id"/>
            </w:rPr>
            <w:t xml:space="preserve">, 101314. </w:t>
          </w:r>
          <w:hyperlink r:id="rId33" w:history="1">
            <w:r w:rsidRPr="00460587">
              <w:rPr>
                <w:rStyle w:val="Hyperlink"/>
                <w:rFonts w:ascii="Arial" w:hAnsi="Arial" w:cs="Arial"/>
                <w:lang w:val="id"/>
              </w:rPr>
              <w:t>https://doi.org/10.1016/j.seps.2022.101314</w:t>
            </w:r>
          </w:hyperlink>
        </w:p>
        <w:p w14:paraId="2AB0CF20" w14:textId="77777777" w:rsidR="00460587" w:rsidRPr="00460587" w:rsidRDefault="00460587" w:rsidP="00460587">
          <w:pPr>
            <w:pStyle w:val="Body"/>
            <w:spacing w:after="0"/>
            <w:rPr>
              <w:rFonts w:ascii="Arial" w:hAnsi="Arial" w:cs="Arial"/>
              <w:lang w:val="id"/>
            </w:rPr>
          </w:pPr>
        </w:p>
        <w:p w14:paraId="0844DA3F" w14:textId="3B6A032E" w:rsidR="00460587" w:rsidRDefault="00460587" w:rsidP="00460587">
          <w:pPr>
            <w:pStyle w:val="Body"/>
            <w:spacing w:after="0"/>
            <w:rPr>
              <w:rFonts w:ascii="Arial" w:hAnsi="Arial" w:cs="Arial"/>
              <w:lang w:val="id"/>
            </w:rPr>
          </w:pPr>
          <w:r w:rsidRPr="00460587">
            <w:rPr>
              <w:rFonts w:ascii="Arial" w:hAnsi="Arial" w:cs="Arial"/>
              <w:lang w:val="id"/>
            </w:rPr>
            <w:t xml:space="preserve">Tan, Y., &amp; Zhu, Z. (2024). The internationalization of capital market and corporate innovation capabilities: A quasi-natural experiment on the inclusion of China’s A-shares in the MSCI index. </w:t>
          </w:r>
          <w:r w:rsidRPr="00460587">
            <w:rPr>
              <w:rFonts w:ascii="Arial" w:hAnsi="Arial" w:cs="Arial"/>
              <w:i/>
              <w:iCs/>
              <w:lang w:val="id"/>
            </w:rPr>
            <w:t>International Review of Economics &amp; Finance</w:t>
          </w:r>
          <w:r w:rsidRPr="00460587">
            <w:rPr>
              <w:rFonts w:ascii="Arial" w:hAnsi="Arial" w:cs="Arial"/>
              <w:lang w:val="id"/>
            </w:rPr>
            <w:t xml:space="preserve">, </w:t>
          </w:r>
          <w:r w:rsidRPr="00460587">
            <w:rPr>
              <w:rFonts w:ascii="Arial" w:hAnsi="Arial" w:cs="Arial"/>
              <w:i/>
              <w:iCs/>
              <w:lang w:val="id"/>
            </w:rPr>
            <w:t>93</w:t>
          </w:r>
          <w:r w:rsidRPr="00460587">
            <w:rPr>
              <w:rFonts w:ascii="Arial" w:hAnsi="Arial" w:cs="Arial"/>
              <w:lang w:val="id"/>
            </w:rPr>
            <w:t xml:space="preserve">, 1021–1038. </w:t>
          </w:r>
          <w:hyperlink r:id="rId34" w:history="1">
            <w:r w:rsidRPr="00460587">
              <w:rPr>
                <w:rStyle w:val="Hyperlink"/>
                <w:rFonts w:ascii="Arial" w:hAnsi="Arial" w:cs="Arial"/>
                <w:lang w:val="id"/>
              </w:rPr>
              <w:t>https://doi.org/10.1016/j.iref.2024.03.060</w:t>
            </w:r>
          </w:hyperlink>
        </w:p>
        <w:p w14:paraId="044E2567" w14:textId="77777777" w:rsidR="00460587" w:rsidRPr="00460587" w:rsidRDefault="00460587" w:rsidP="00460587">
          <w:pPr>
            <w:pStyle w:val="Body"/>
            <w:spacing w:after="0"/>
            <w:rPr>
              <w:rFonts w:ascii="Arial" w:hAnsi="Arial" w:cs="Arial"/>
              <w:lang w:val="id"/>
            </w:rPr>
          </w:pPr>
        </w:p>
        <w:p w14:paraId="547556E3" w14:textId="77777777" w:rsidR="00460587" w:rsidRDefault="00460587" w:rsidP="00460587">
          <w:pPr>
            <w:pStyle w:val="Body"/>
            <w:spacing w:after="0"/>
            <w:rPr>
              <w:rFonts w:ascii="Arial" w:hAnsi="Arial" w:cs="Arial"/>
              <w:lang w:val="id"/>
            </w:rPr>
          </w:pPr>
          <w:r w:rsidRPr="00460587">
            <w:rPr>
              <w:rFonts w:ascii="Arial" w:hAnsi="Arial" w:cs="Arial"/>
              <w:lang w:val="id"/>
            </w:rPr>
            <w:t xml:space="preserve">Wang, H., &amp; Zhang, Z. (2025). Green Technology Innovation and Corporate Carbon Performance: Evidence from China. </w:t>
          </w:r>
          <w:r w:rsidRPr="00460587">
            <w:rPr>
              <w:rFonts w:ascii="Arial" w:hAnsi="Arial" w:cs="Arial"/>
              <w:i/>
              <w:iCs/>
              <w:lang w:val="id"/>
            </w:rPr>
            <w:t>Sustainability</w:t>
          </w:r>
          <w:r w:rsidRPr="00460587">
            <w:rPr>
              <w:rFonts w:ascii="Arial" w:hAnsi="Arial" w:cs="Arial"/>
              <w:lang w:val="id"/>
            </w:rPr>
            <w:t xml:space="preserve">, </w:t>
          </w:r>
          <w:r w:rsidRPr="00460587">
            <w:rPr>
              <w:rFonts w:ascii="Arial" w:hAnsi="Arial" w:cs="Arial"/>
              <w:i/>
              <w:iCs/>
              <w:lang w:val="id"/>
            </w:rPr>
            <w:t>17</w:t>
          </w:r>
          <w:r w:rsidRPr="00460587">
            <w:rPr>
              <w:rFonts w:ascii="Arial" w:hAnsi="Arial" w:cs="Arial"/>
              <w:lang w:val="id"/>
            </w:rPr>
            <w:t>(12), 53–57.</w:t>
          </w:r>
        </w:p>
        <w:p w14:paraId="48C1FF03" w14:textId="77777777" w:rsidR="00460587" w:rsidRPr="00460587" w:rsidRDefault="00460587" w:rsidP="00460587">
          <w:pPr>
            <w:pStyle w:val="Body"/>
            <w:spacing w:after="0"/>
            <w:rPr>
              <w:rFonts w:ascii="Arial" w:hAnsi="Arial" w:cs="Arial"/>
              <w:lang w:val="id"/>
            </w:rPr>
          </w:pPr>
        </w:p>
        <w:p w14:paraId="34931E8E" w14:textId="60CB8E34" w:rsidR="00460587" w:rsidRDefault="00460587" w:rsidP="00460587">
          <w:pPr>
            <w:pStyle w:val="Body"/>
            <w:spacing w:after="0"/>
            <w:rPr>
              <w:rFonts w:ascii="Arial" w:hAnsi="Arial" w:cs="Arial"/>
              <w:lang w:val="id"/>
            </w:rPr>
          </w:pPr>
          <w:r w:rsidRPr="00460587">
            <w:rPr>
              <w:rFonts w:ascii="Arial" w:hAnsi="Arial" w:cs="Arial"/>
              <w:lang w:val="id"/>
            </w:rPr>
            <w:t xml:space="preserve">Wu, Y., &amp; Dong, B. (2021). The value of independent directors: Evidence from China. </w:t>
          </w:r>
          <w:r w:rsidRPr="00460587">
            <w:rPr>
              <w:rFonts w:ascii="Arial" w:hAnsi="Arial" w:cs="Arial"/>
              <w:i/>
              <w:iCs/>
              <w:lang w:val="id"/>
            </w:rPr>
            <w:t>Emerging Markets Review</w:t>
          </w:r>
          <w:r w:rsidRPr="00460587">
            <w:rPr>
              <w:rFonts w:ascii="Arial" w:hAnsi="Arial" w:cs="Arial"/>
              <w:lang w:val="id"/>
            </w:rPr>
            <w:t xml:space="preserve">, </w:t>
          </w:r>
          <w:r w:rsidRPr="00460587">
            <w:rPr>
              <w:rFonts w:ascii="Arial" w:hAnsi="Arial" w:cs="Arial"/>
              <w:i/>
              <w:iCs/>
              <w:lang w:val="id"/>
            </w:rPr>
            <w:t>49</w:t>
          </w:r>
          <w:r w:rsidRPr="00460587">
            <w:rPr>
              <w:rFonts w:ascii="Arial" w:hAnsi="Arial" w:cs="Arial"/>
              <w:lang w:val="id"/>
            </w:rPr>
            <w:t xml:space="preserve">, 100763. </w:t>
          </w:r>
          <w:hyperlink r:id="rId35" w:history="1">
            <w:r w:rsidRPr="00460587">
              <w:rPr>
                <w:rStyle w:val="Hyperlink"/>
                <w:rFonts w:ascii="Arial" w:hAnsi="Arial" w:cs="Arial"/>
                <w:lang w:val="id"/>
              </w:rPr>
              <w:t>https://doi.org/10.1016/j.ememar.2020.100763</w:t>
            </w:r>
          </w:hyperlink>
        </w:p>
        <w:p w14:paraId="461DBCE1" w14:textId="77777777" w:rsidR="00460587" w:rsidRPr="00460587" w:rsidRDefault="00460587" w:rsidP="00460587">
          <w:pPr>
            <w:pStyle w:val="Body"/>
            <w:spacing w:after="0"/>
            <w:rPr>
              <w:rFonts w:ascii="Arial" w:hAnsi="Arial" w:cs="Arial"/>
              <w:lang w:val="id"/>
            </w:rPr>
          </w:pPr>
        </w:p>
        <w:p w14:paraId="0B07EA22" w14:textId="22D44C78" w:rsidR="00460587" w:rsidRDefault="00460587" w:rsidP="00460587">
          <w:pPr>
            <w:pStyle w:val="Body"/>
            <w:spacing w:after="0"/>
            <w:rPr>
              <w:rFonts w:ascii="Arial" w:hAnsi="Arial" w:cs="Arial"/>
              <w:lang w:val="id"/>
            </w:rPr>
          </w:pPr>
          <w:r w:rsidRPr="00460587">
            <w:rPr>
              <w:rFonts w:ascii="Arial" w:hAnsi="Arial" w:cs="Arial"/>
              <w:lang w:val="id"/>
            </w:rPr>
            <w:t>Owusu</w:t>
          </w:r>
          <w:r>
            <w:rPr>
              <w:rFonts w:ascii="Arial" w:hAnsi="Arial" w:cs="Arial"/>
              <w:lang w:val="id"/>
            </w:rPr>
            <w:t>.</w:t>
          </w:r>
          <w:r w:rsidRPr="00460587">
            <w:rPr>
              <w:rFonts w:ascii="Arial" w:hAnsi="Arial" w:cs="Arial"/>
              <w:lang w:val="id"/>
            </w:rPr>
            <w:t xml:space="preserve"> Yeboaa Yeboah A., Bashiru Jibril, A., &amp; Novak, P. (2022). A strategic framework for developing sustainable value propositions. </w:t>
          </w:r>
          <w:r w:rsidRPr="00460587">
            <w:rPr>
              <w:rFonts w:ascii="Arial" w:hAnsi="Arial" w:cs="Arial"/>
              <w:i/>
              <w:iCs/>
              <w:lang w:val="id"/>
            </w:rPr>
            <w:t>Problems and Perspectives in Management</w:t>
          </w:r>
          <w:r w:rsidRPr="00460587">
            <w:rPr>
              <w:rFonts w:ascii="Arial" w:hAnsi="Arial" w:cs="Arial"/>
              <w:lang w:val="id"/>
            </w:rPr>
            <w:t xml:space="preserve">, </w:t>
          </w:r>
          <w:r w:rsidRPr="00460587">
            <w:rPr>
              <w:rFonts w:ascii="Arial" w:hAnsi="Arial" w:cs="Arial"/>
              <w:i/>
              <w:iCs/>
              <w:lang w:val="id"/>
            </w:rPr>
            <w:t>20</w:t>
          </w:r>
          <w:r w:rsidRPr="00460587">
            <w:rPr>
              <w:rFonts w:ascii="Arial" w:hAnsi="Arial" w:cs="Arial"/>
              <w:lang w:val="id"/>
            </w:rPr>
            <w:t xml:space="preserve">(4), 407–421. </w:t>
          </w:r>
          <w:hyperlink r:id="rId36" w:history="1">
            <w:r w:rsidRPr="00460587">
              <w:rPr>
                <w:rStyle w:val="Hyperlink"/>
                <w:rFonts w:ascii="Arial" w:hAnsi="Arial" w:cs="Arial"/>
                <w:lang w:val="id"/>
              </w:rPr>
              <w:t>https://doi.org/10.21511/ppm.20(4).2022.31</w:t>
            </w:r>
          </w:hyperlink>
        </w:p>
        <w:p w14:paraId="49ADC4D6" w14:textId="3C508AA5" w:rsidR="00460587" w:rsidRDefault="00460587" w:rsidP="00460587">
          <w:pPr>
            <w:pStyle w:val="Body"/>
            <w:spacing w:after="0"/>
            <w:rPr>
              <w:rFonts w:ascii="Arial" w:hAnsi="Arial" w:cs="Arial"/>
              <w:lang w:val="id"/>
            </w:rPr>
          </w:pPr>
          <w:r w:rsidRPr="00460587">
            <w:rPr>
              <w:rFonts w:ascii="Arial" w:hAnsi="Arial" w:cs="Arial"/>
              <w:lang w:val="id"/>
            </w:rPr>
            <w:t xml:space="preserve">Yildiz, H. E., Morgulis-Yakushev, S., Holm, U., &amp; Eriksson, M. (2022). How do the source and context of experiential knowledge affect firms’ degree of internationalization? </w:t>
          </w:r>
          <w:r w:rsidRPr="00460587">
            <w:rPr>
              <w:rFonts w:ascii="Arial" w:hAnsi="Arial" w:cs="Arial"/>
              <w:i/>
              <w:iCs/>
              <w:lang w:val="id"/>
            </w:rPr>
            <w:t>Journal of Business Research</w:t>
          </w:r>
          <w:r w:rsidRPr="00460587">
            <w:rPr>
              <w:rFonts w:ascii="Arial" w:hAnsi="Arial" w:cs="Arial"/>
              <w:lang w:val="id"/>
            </w:rPr>
            <w:t xml:space="preserve">, </w:t>
          </w:r>
          <w:r w:rsidRPr="00460587">
            <w:rPr>
              <w:rFonts w:ascii="Arial" w:hAnsi="Arial" w:cs="Arial"/>
              <w:i/>
              <w:iCs/>
              <w:lang w:val="id"/>
            </w:rPr>
            <w:t>153</w:t>
          </w:r>
          <w:r w:rsidRPr="00460587">
            <w:rPr>
              <w:rFonts w:ascii="Arial" w:hAnsi="Arial" w:cs="Arial"/>
              <w:lang w:val="id"/>
            </w:rPr>
            <w:t xml:space="preserve">, 378–391. </w:t>
          </w:r>
          <w:hyperlink r:id="rId37" w:history="1">
            <w:r w:rsidRPr="00460587">
              <w:rPr>
                <w:rStyle w:val="Hyperlink"/>
                <w:rFonts w:ascii="Arial" w:hAnsi="Arial" w:cs="Arial"/>
                <w:lang w:val="id"/>
              </w:rPr>
              <w:t>https://doi.org/https://doi.org/10.1016/j.jbusres.2022.08.044</w:t>
            </w:r>
          </w:hyperlink>
        </w:p>
        <w:p w14:paraId="49331796" w14:textId="77777777" w:rsidR="00460587" w:rsidRPr="00460587" w:rsidRDefault="00460587" w:rsidP="00460587">
          <w:pPr>
            <w:pStyle w:val="Body"/>
            <w:spacing w:after="0"/>
            <w:rPr>
              <w:rFonts w:ascii="Arial" w:hAnsi="Arial" w:cs="Arial"/>
              <w:lang w:val="id"/>
            </w:rPr>
          </w:pPr>
        </w:p>
        <w:p w14:paraId="2A651F35" w14:textId="77777777" w:rsidR="00460587" w:rsidRDefault="00460587" w:rsidP="00460587">
          <w:pPr>
            <w:pStyle w:val="Body"/>
            <w:spacing w:after="0"/>
            <w:rPr>
              <w:rFonts w:ascii="Arial" w:hAnsi="Arial" w:cs="Arial"/>
              <w:lang w:val="id"/>
            </w:rPr>
          </w:pPr>
          <w:r w:rsidRPr="00460587">
            <w:rPr>
              <w:rFonts w:ascii="Arial" w:hAnsi="Arial" w:cs="Arial"/>
              <w:lang w:val="id"/>
            </w:rPr>
            <w:t xml:space="preserve">Zahra, S. A., Ireland, R. D., &amp; Hitt, M. A. (2020). International expansion and firm efficiency: examining nonlinear patterns in dynamic markets. </w:t>
          </w:r>
          <w:r w:rsidRPr="00460587">
            <w:rPr>
              <w:rFonts w:ascii="Arial" w:hAnsi="Arial" w:cs="Arial"/>
              <w:i/>
              <w:iCs/>
              <w:lang w:val="id"/>
            </w:rPr>
            <w:t>Strategic Management Journal</w:t>
          </w:r>
          <w:r w:rsidRPr="00460587">
            <w:rPr>
              <w:rFonts w:ascii="Arial" w:hAnsi="Arial" w:cs="Arial"/>
              <w:lang w:val="id"/>
            </w:rPr>
            <w:t xml:space="preserve">, </w:t>
          </w:r>
          <w:r w:rsidRPr="00460587">
            <w:rPr>
              <w:rFonts w:ascii="Arial" w:hAnsi="Arial" w:cs="Arial"/>
              <w:i/>
              <w:iCs/>
              <w:lang w:val="id"/>
            </w:rPr>
            <w:t>41</w:t>
          </w:r>
          <w:r w:rsidRPr="00460587">
            <w:rPr>
              <w:rFonts w:ascii="Arial" w:hAnsi="Arial" w:cs="Arial"/>
              <w:lang w:val="id"/>
            </w:rPr>
            <w:t>(7), 1287–1309.</w:t>
          </w:r>
        </w:p>
        <w:p w14:paraId="0487E2BC" w14:textId="77777777" w:rsidR="00460587" w:rsidRPr="00460587" w:rsidRDefault="00460587" w:rsidP="00460587">
          <w:pPr>
            <w:pStyle w:val="Body"/>
            <w:spacing w:after="0"/>
            <w:rPr>
              <w:rFonts w:ascii="Arial" w:hAnsi="Arial" w:cs="Arial"/>
              <w:lang w:val="id"/>
            </w:rPr>
          </w:pPr>
        </w:p>
        <w:p w14:paraId="52DBDE75" w14:textId="77777777" w:rsidR="00460587" w:rsidRDefault="00460587" w:rsidP="00460587">
          <w:pPr>
            <w:pStyle w:val="Body"/>
            <w:spacing w:after="0"/>
            <w:rPr>
              <w:rFonts w:ascii="Arial" w:hAnsi="Arial" w:cs="Arial"/>
              <w:lang w:val="id"/>
            </w:rPr>
          </w:pPr>
          <w:r w:rsidRPr="00460587">
            <w:rPr>
              <w:rFonts w:ascii="Arial" w:hAnsi="Arial" w:cs="Arial"/>
              <w:lang w:val="id"/>
            </w:rPr>
            <w:t xml:space="preserve">Zeng, Y., Zhai, L., &amp; Zhang, W. (2023). Internationalization, cross-border acquisitions, and firm innovation performance. </w:t>
          </w:r>
          <w:r w:rsidRPr="00460587">
            <w:rPr>
              <w:rFonts w:ascii="Arial" w:hAnsi="Arial" w:cs="Arial"/>
              <w:i/>
              <w:iCs/>
              <w:lang w:val="id"/>
            </w:rPr>
            <w:t>International Business Review</w:t>
          </w:r>
          <w:r w:rsidRPr="00460587">
            <w:rPr>
              <w:rFonts w:ascii="Arial" w:hAnsi="Arial" w:cs="Arial"/>
              <w:lang w:val="id"/>
            </w:rPr>
            <w:t xml:space="preserve">, </w:t>
          </w:r>
          <w:r w:rsidRPr="00460587">
            <w:rPr>
              <w:rFonts w:ascii="Arial" w:hAnsi="Arial" w:cs="Arial"/>
              <w:i/>
              <w:iCs/>
              <w:lang w:val="id"/>
            </w:rPr>
            <w:t>32</w:t>
          </w:r>
          <w:r w:rsidRPr="00460587">
            <w:rPr>
              <w:rFonts w:ascii="Arial" w:hAnsi="Arial" w:cs="Arial"/>
              <w:lang w:val="id"/>
            </w:rPr>
            <w:t>(5), 101–151</w:t>
          </w:r>
        </w:p>
        <w:p w14:paraId="046B0974" w14:textId="4E0938FB" w:rsidR="00460587" w:rsidRPr="00460587" w:rsidRDefault="00460587" w:rsidP="00460587">
          <w:pPr>
            <w:pStyle w:val="Body"/>
            <w:spacing w:after="0"/>
            <w:rPr>
              <w:rFonts w:ascii="Arial" w:hAnsi="Arial" w:cs="Arial"/>
              <w:lang w:val="id"/>
            </w:rPr>
          </w:pPr>
          <w:r w:rsidRPr="00460587">
            <w:rPr>
              <w:rFonts w:ascii="Arial" w:hAnsi="Arial" w:cs="Arial"/>
              <w:lang w:val="id"/>
            </w:rPr>
            <w:t>.</w:t>
          </w:r>
        </w:p>
        <w:p w14:paraId="19564869" w14:textId="77777777" w:rsidR="00460587" w:rsidRDefault="00460587" w:rsidP="00460587">
          <w:pPr>
            <w:pStyle w:val="Body"/>
            <w:spacing w:after="0"/>
            <w:rPr>
              <w:rFonts w:ascii="Arial" w:hAnsi="Arial" w:cs="Arial"/>
              <w:lang w:val="id"/>
            </w:rPr>
          </w:pPr>
          <w:r w:rsidRPr="00460587">
            <w:rPr>
              <w:rFonts w:ascii="Arial" w:hAnsi="Arial" w:cs="Arial"/>
              <w:lang w:val="id"/>
            </w:rPr>
            <w:t xml:space="preserve">Zhao, S., Gooderham, P., Harzing, A. W., &amp; Papanastassiou, M. (2021). Do multinational enterprises contribute to, or reduce global inequality? . </w:t>
          </w:r>
          <w:r w:rsidRPr="00460587">
            <w:rPr>
              <w:rFonts w:ascii="Arial" w:hAnsi="Arial" w:cs="Arial"/>
              <w:i/>
              <w:iCs/>
              <w:lang w:val="id"/>
            </w:rPr>
            <w:t>Critical Perspectives on International Business</w:t>
          </w:r>
          <w:r w:rsidRPr="00460587">
            <w:rPr>
              <w:rFonts w:ascii="Arial" w:hAnsi="Arial" w:cs="Arial"/>
              <w:lang w:val="id"/>
            </w:rPr>
            <w:t xml:space="preserve">, </w:t>
          </w:r>
          <w:r w:rsidRPr="00460587">
            <w:rPr>
              <w:rFonts w:ascii="Arial" w:hAnsi="Arial" w:cs="Arial"/>
              <w:i/>
              <w:iCs/>
              <w:lang w:val="id"/>
            </w:rPr>
            <w:t>17</w:t>
          </w:r>
          <w:r w:rsidRPr="00460587">
            <w:rPr>
              <w:rFonts w:ascii="Arial" w:hAnsi="Arial" w:cs="Arial"/>
              <w:lang w:val="id"/>
            </w:rPr>
            <w:t>(1), 1–7.</w:t>
          </w:r>
        </w:p>
        <w:p w14:paraId="73FA5BC0" w14:textId="77777777" w:rsidR="00460587" w:rsidRPr="00460587" w:rsidRDefault="00460587" w:rsidP="00460587">
          <w:pPr>
            <w:pStyle w:val="Body"/>
            <w:spacing w:after="0"/>
            <w:rPr>
              <w:rFonts w:ascii="Arial" w:hAnsi="Arial" w:cs="Arial"/>
              <w:lang w:val="id"/>
            </w:rPr>
          </w:pPr>
        </w:p>
        <w:p w14:paraId="1E24B080" w14:textId="77777777" w:rsidR="00460587" w:rsidRDefault="00460587" w:rsidP="00460587">
          <w:pPr>
            <w:pStyle w:val="Body"/>
            <w:spacing w:after="0"/>
            <w:rPr>
              <w:rFonts w:ascii="Arial" w:hAnsi="Arial" w:cs="Arial"/>
              <w:lang w:val="id"/>
            </w:rPr>
          </w:pPr>
          <w:r w:rsidRPr="00460587">
            <w:rPr>
              <w:rFonts w:ascii="Arial" w:hAnsi="Arial" w:cs="Arial"/>
              <w:lang w:val="id"/>
            </w:rPr>
            <w:t xml:space="preserve">Zheng, Y. (2025). Ownership concentration and independent director effectiveness: Governance challenges under China’s new company law. </w:t>
          </w:r>
          <w:r w:rsidRPr="00460587">
            <w:rPr>
              <w:rFonts w:ascii="Arial" w:hAnsi="Arial" w:cs="Arial"/>
              <w:i/>
              <w:iCs/>
              <w:lang w:val="id"/>
            </w:rPr>
            <w:t>China Economic Review</w:t>
          </w:r>
          <w:r w:rsidRPr="00460587">
            <w:rPr>
              <w:rFonts w:ascii="Arial" w:hAnsi="Arial" w:cs="Arial"/>
              <w:lang w:val="id"/>
            </w:rPr>
            <w:t>.</w:t>
          </w:r>
        </w:p>
        <w:p w14:paraId="6A554C3C" w14:textId="77777777" w:rsidR="00460587" w:rsidRPr="00460587" w:rsidRDefault="00460587" w:rsidP="00460587">
          <w:pPr>
            <w:pStyle w:val="Body"/>
            <w:spacing w:after="0"/>
            <w:rPr>
              <w:rFonts w:ascii="Arial" w:hAnsi="Arial" w:cs="Arial"/>
              <w:lang w:val="id"/>
            </w:rPr>
          </w:pPr>
        </w:p>
        <w:p w14:paraId="0093D580" w14:textId="77777777" w:rsidR="00460587" w:rsidRPr="00460587" w:rsidRDefault="00460587" w:rsidP="00460587">
          <w:pPr>
            <w:pStyle w:val="Body"/>
            <w:spacing w:after="0"/>
            <w:rPr>
              <w:rFonts w:ascii="Arial" w:hAnsi="Arial" w:cs="Arial"/>
              <w:lang w:val="id"/>
            </w:rPr>
          </w:pPr>
          <w:r w:rsidRPr="00460587">
            <w:rPr>
              <w:rFonts w:ascii="Arial" w:hAnsi="Arial" w:cs="Arial"/>
              <w:lang w:val="id"/>
            </w:rPr>
            <w:t xml:space="preserve">Zhu, X., Hu, R., Zhang, C., &amp; Shi, G. (2021). Does Internet use improve technical efficiency? Evidence from apple production in China. </w:t>
          </w:r>
          <w:r w:rsidRPr="00460587">
            <w:rPr>
              <w:rFonts w:ascii="Arial" w:hAnsi="Arial" w:cs="Arial"/>
              <w:i/>
              <w:iCs/>
              <w:lang w:val="id"/>
            </w:rPr>
            <w:t>Technological Forecasting and Social Change</w:t>
          </w:r>
          <w:r w:rsidRPr="00460587">
            <w:rPr>
              <w:rFonts w:ascii="Arial" w:hAnsi="Arial" w:cs="Arial"/>
              <w:lang w:val="id"/>
            </w:rPr>
            <w:t xml:space="preserve">, </w:t>
          </w:r>
          <w:r w:rsidRPr="00460587">
            <w:rPr>
              <w:rFonts w:ascii="Arial" w:hAnsi="Arial" w:cs="Arial"/>
              <w:i/>
              <w:iCs/>
              <w:lang w:val="id"/>
            </w:rPr>
            <w:t>166</w:t>
          </w:r>
          <w:r w:rsidRPr="00460587">
            <w:rPr>
              <w:rFonts w:ascii="Arial" w:hAnsi="Arial" w:cs="Arial"/>
              <w:lang w:val="id"/>
            </w:rPr>
            <w:t>(February). https://doi.org/10.1016/j.techfore.2021.120662</w:t>
          </w:r>
        </w:p>
        <w:p w14:paraId="7AEE14DB" w14:textId="19732882" w:rsidR="00790ADA" w:rsidRPr="0071351C" w:rsidRDefault="00156A11" w:rsidP="00441B6F">
          <w:pPr>
            <w:pStyle w:val="Body"/>
            <w:spacing w:after="0"/>
            <w:rPr>
              <w:rFonts w:ascii="Arial" w:hAnsi="Arial" w:cs="Arial"/>
              <w:u w:val="single"/>
              <w:lang w:val="id"/>
            </w:rPr>
          </w:pPr>
        </w:p>
      </w:sdtContent>
    </w:sdt>
    <w:p w14:paraId="1AA32127" w14:textId="6F6589B1" w:rsidR="004D4277" w:rsidRPr="00FB3A86" w:rsidRDefault="004D4277" w:rsidP="00441B6F">
      <w:pPr>
        <w:pStyle w:val="Appendix"/>
        <w:spacing w:after="0"/>
        <w:jc w:val="both"/>
        <w:rPr>
          <w:rFonts w:ascii="Arial" w:hAnsi="Arial" w:cs="Arial"/>
          <w:b w:val="0"/>
        </w:rPr>
        <w:sectPr w:rsidR="004D4277" w:rsidRPr="00FB3A86" w:rsidSect="00727B8A">
          <w:footerReference w:type="default" r:id="rId38"/>
          <w:type w:val="continuous"/>
          <w:pgSz w:w="12240" w:h="15840"/>
          <w:pgMar w:top="1440" w:right="2016" w:bottom="2016" w:left="2016" w:header="720" w:footer="1123" w:gutter="0"/>
          <w:cols w:space="720"/>
          <w:docGrid w:linePitch="272"/>
        </w:sectPr>
      </w:pPr>
    </w:p>
    <w:p w14:paraId="7F3B97ED" w14:textId="77777777" w:rsidR="00B01FCD" w:rsidRPr="00FB3A86" w:rsidRDefault="00B01FCD" w:rsidP="00441B6F">
      <w:pPr>
        <w:pStyle w:val="Appendix"/>
        <w:spacing w:after="0"/>
        <w:jc w:val="both"/>
        <w:rPr>
          <w:rFonts w:ascii="Arial" w:hAnsi="Arial" w:cs="Arial"/>
          <w:b w:val="0"/>
        </w:rPr>
      </w:pPr>
    </w:p>
    <w:sectPr w:rsidR="00B01FCD" w:rsidRPr="00FB3A86" w:rsidSect="00727B8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780E8" w14:textId="77777777" w:rsidR="00156A11" w:rsidRDefault="00156A11" w:rsidP="00C37E61">
      <w:r>
        <w:separator/>
      </w:r>
    </w:p>
  </w:endnote>
  <w:endnote w:type="continuationSeparator" w:id="0">
    <w:p w14:paraId="0E6EC9DF" w14:textId="77777777" w:rsidR="00156A11" w:rsidRDefault="00156A1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5F9A4" w14:textId="0C82ABA0" w:rsidR="00754C9A" w:rsidRPr="00727B8A" w:rsidRDefault="00754C9A" w:rsidP="00727B8A">
    <w:pPr>
      <w:pStyle w:val="Footer"/>
    </w:pPr>
    <w:bookmarkStart w:id="0" w:name="_GoBack"/>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00A3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687CA" w14:textId="77777777" w:rsidR="00156A11" w:rsidRDefault="00156A11" w:rsidP="00C37E61">
      <w:r>
        <w:separator/>
      </w:r>
    </w:p>
  </w:footnote>
  <w:footnote w:type="continuationSeparator" w:id="0">
    <w:p w14:paraId="4CDD9943" w14:textId="77777777" w:rsidR="00156A11" w:rsidRDefault="00156A1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A7A8D" w14:textId="77777777" w:rsidR="00296529" w:rsidRPr="00296529" w:rsidRDefault="00296529" w:rsidP="00296529">
    <w:pPr>
      <w:ind w:left="2160"/>
      <w:jc w:val="center"/>
      <w:rPr>
        <w:rFonts w:ascii="Times New Roman" w:eastAsia="Calibri" w:hAnsi="Times New Roman"/>
        <w:i/>
        <w:sz w:val="18"/>
        <w:szCs w:val="22"/>
      </w:rPr>
    </w:pPr>
  </w:p>
  <w:p w14:paraId="080C43C6" w14:textId="649C9F61"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00056E">
      <w:rPr>
        <w:rFonts w:ascii="Times New Roman" w:eastAsia="Calibri" w:hAnsi="Times New Roman"/>
        <w:i/>
        <w:sz w:val="18"/>
        <w:szCs w:val="22"/>
      </w:rPr>
      <w:t xml:space="preserve"> </w:t>
    </w:r>
  </w:p>
  <w:p w14:paraId="5990C08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13693FF" w14:textId="43C9A093" w:rsidR="00296529" w:rsidRPr="00296529" w:rsidRDefault="0000056E"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00296529" w:rsidRPr="00296529">
      <w:rPr>
        <w:rFonts w:ascii="Times New Roman" w:eastAsia="Calibri" w:hAnsi="Times New Roman"/>
        <w:b/>
        <w:i/>
        <w:sz w:val="32"/>
        <w:szCs w:val="22"/>
      </w:rPr>
      <w:t xml:space="preserve"> </w:t>
    </w:r>
  </w:p>
  <w:p w14:paraId="45D863C5" w14:textId="14E36F02" w:rsidR="00296529" w:rsidRDefault="0000056E" w:rsidP="0029652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1978570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8AEA46B"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70B2B71"/>
    <w:multiLevelType w:val="multilevel"/>
    <w:tmpl w:val="61AEE23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w w:val="100"/>
        <w:sz w:val="24"/>
        <w:szCs w:val="24"/>
      </w:rPr>
    </w:lvl>
    <w:lvl w:ilvl="2">
      <w:start w:val="1"/>
      <w:numFmt w:val="decimal"/>
      <w:lvlText w:val="%1.%2.%3."/>
      <w:lvlJc w:val="left"/>
      <w:pPr>
        <w:ind w:left="1224" w:hanging="504"/>
      </w:pPr>
      <w:rPr>
        <w:rFonts w:hint="default"/>
        <w:b/>
        <w:bCs w:val="0"/>
        <w:i w:val="0"/>
        <w:iCs/>
      </w:rPr>
    </w:lvl>
    <w:lvl w:ilvl="3">
      <w:start w:val="1"/>
      <w:numFmt w:val="lowerLetter"/>
      <w:lvlText w:val="%4."/>
      <w:lvlJc w:val="left"/>
      <w:pPr>
        <w:ind w:left="1440" w:hanging="360"/>
      </w:pPr>
      <w:rPr>
        <w:rFonts w:ascii="Times New Roman" w:eastAsia="Times New Roman" w:hAnsi="Times New Roman" w:cs="Times New Roman" w:hint="default"/>
        <w:spacing w:val="-1"/>
        <w:w w:val="100"/>
        <w:sz w:val="24"/>
        <w:szCs w:val="24"/>
      </w:rPr>
    </w:lvl>
    <w:lvl w:ilvl="4">
      <w:start w:val="1"/>
      <w:numFmt w:val="decimal"/>
      <w:lvlText w:val="%1.%2.%3.%4.%5."/>
      <w:lvlJc w:val="left"/>
      <w:pPr>
        <w:ind w:left="2232" w:hanging="792"/>
      </w:pPr>
      <w:rPr>
        <w:rFonts w:hint="default"/>
        <w:w w:val="99"/>
        <w:sz w:val="24"/>
        <w:szCs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413D63"/>
    <w:multiLevelType w:val="multilevel"/>
    <w:tmpl w:val="65A83C90"/>
    <w:styleLink w:val="CurrentList1"/>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24768C3"/>
    <w:multiLevelType w:val="multilevel"/>
    <w:tmpl w:val="BBBCA68A"/>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4D3A5F44"/>
    <w:multiLevelType w:val="hybridMultilevel"/>
    <w:tmpl w:val="3BF464A0"/>
    <w:lvl w:ilvl="0" w:tplc="8A345A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842B4"/>
    <w:multiLevelType w:val="hybridMultilevel"/>
    <w:tmpl w:val="26364624"/>
    <w:lvl w:ilvl="0" w:tplc="0436077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F51E84"/>
    <w:multiLevelType w:val="hybridMultilevel"/>
    <w:tmpl w:val="ECECD190"/>
    <w:lvl w:ilvl="0" w:tplc="B3B48140">
      <w:start w:val="14"/>
      <w:numFmt w:val="decimal"/>
      <w:lvlText w:val="%1"/>
      <w:lvlJc w:val="left"/>
      <w:pPr>
        <w:ind w:left="467" w:hanging="360"/>
      </w:pPr>
      <w:rPr>
        <w:rFonts w:hint="default"/>
      </w:rPr>
    </w:lvl>
    <w:lvl w:ilvl="1" w:tplc="38090019" w:tentative="1">
      <w:start w:val="1"/>
      <w:numFmt w:val="lowerLetter"/>
      <w:lvlText w:val="%2."/>
      <w:lvlJc w:val="left"/>
      <w:pPr>
        <w:ind w:left="1187" w:hanging="360"/>
      </w:pPr>
    </w:lvl>
    <w:lvl w:ilvl="2" w:tplc="3809001B" w:tentative="1">
      <w:start w:val="1"/>
      <w:numFmt w:val="lowerRoman"/>
      <w:lvlText w:val="%3."/>
      <w:lvlJc w:val="right"/>
      <w:pPr>
        <w:ind w:left="1907" w:hanging="180"/>
      </w:pPr>
    </w:lvl>
    <w:lvl w:ilvl="3" w:tplc="3809000F" w:tentative="1">
      <w:start w:val="1"/>
      <w:numFmt w:val="decimal"/>
      <w:lvlText w:val="%4."/>
      <w:lvlJc w:val="left"/>
      <w:pPr>
        <w:ind w:left="2627" w:hanging="360"/>
      </w:pPr>
    </w:lvl>
    <w:lvl w:ilvl="4" w:tplc="38090019" w:tentative="1">
      <w:start w:val="1"/>
      <w:numFmt w:val="lowerLetter"/>
      <w:lvlText w:val="%5."/>
      <w:lvlJc w:val="left"/>
      <w:pPr>
        <w:ind w:left="3347" w:hanging="360"/>
      </w:pPr>
    </w:lvl>
    <w:lvl w:ilvl="5" w:tplc="3809001B" w:tentative="1">
      <w:start w:val="1"/>
      <w:numFmt w:val="lowerRoman"/>
      <w:lvlText w:val="%6."/>
      <w:lvlJc w:val="right"/>
      <w:pPr>
        <w:ind w:left="4067" w:hanging="180"/>
      </w:pPr>
    </w:lvl>
    <w:lvl w:ilvl="6" w:tplc="3809000F" w:tentative="1">
      <w:start w:val="1"/>
      <w:numFmt w:val="decimal"/>
      <w:lvlText w:val="%7."/>
      <w:lvlJc w:val="left"/>
      <w:pPr>
        <w:ind w:left="4787" w:hanging="360"/>
      </w:pPr>
    </w:lvl>
    <w:lvl w:ilvl="7" w:tplc="38090019" w:tentative="1">
      <w:start w:val="1"/>
      <w:numFmt w:val="lowerLetter"/>
      <w:lvlText w:val="%8."/>
      <w:lvlJc w:val="left"/>
      <w:pPr>
        <w:ind w:left="5507" w:hanging="360"/>
      </w:pPr>
    </w:lvl>
    <w:lvl w:ilvl="8" w:tplc="3809001B" w:tentative="1">
      <w:start w:val="1"/>
      <w:numFmt w:val="lowerRoman"/>
      <w:lvlText w:val="%9."/>
      <w:lvlJc w:val="right"/>
      <w:pPr>
        <w:ind w:left="6227" w:hanging="180"/>
      </w:pPr>
    </w:lvl>
  </w:abstractNum>
  <w:abstractNum w:abstractNumId="23" w15:restartNumberingAfterBreak="0">
    <w:nsid w:val="5D346E6B"/>
    <w:multiLevelType w:val="multilevel"/>
    <w:tmpl w:val="BBBCA68A"/>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FB62D03"/>
    <w:multiLevelType w:val="multilevel"/>
    <w:tmpl w:val="4A5ADA82"/>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b/>
        <w:bCs/>
        <w:sz w:val="22"/>
        <w:szCs w:val="22"/>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32"/>
  </w:num>
  <w:num w:numId="10">
    <w:abstractNumId w:val="2"/>
  </w:num>
  <w:num w:numId="11">
    <w:abstractNumId w:val="25"/>
  </w:num>
  <w:num w:numId="12">
    <w:abstractNumId w:val="3"/>
  </w:num>
  <w:num w:numId="13">
    <w:abstractNumId w:val="24"/>
  </w:num>
  <w:num w:numId="14">
    <w:abstractNumId w:val="9"/>
  </w:num>
  <w:num w:numId="15">
    <w:abstractNumId w:val="28"/>
  </w:num>
  <w:num w:numId="16">
    <w:abstractNumId w:val="5"/>
  </w:num>
  <w:num w:numId="17">
    <w:abstractNumId w:val="29"/>
  </w:num>
  <w:num w:numId="18">
    <w:abstractNumId w:val="15"/>
  </w:num>
  <w:num w:numId="19">
    <w:abstractNumId w:val="35"/>
  </w:num>
  <w:num w:numId="20">
    <w:abstractNumId w:val="12"/>
  </w:num>
  <w:num w:numId="21">
    <w:abstractNumId w:val="10"/>
  </w:num>
  <w:num w:numId="22">
    <w:abstractNumId w:val="14"/>
  </w:num>
  <w:num w:numId="23">
    <w:abstractNumId w:val="26"/>
  </w:num>
  <w:num w:numId="24">
    <w:abstractNumId w:val="33"/>
  </w:num>
  <w:num w:numId="25">
    <w:abstractNumId w:val="4"/>
  </w:num>
  <w:num w:numId="26">
    <w:abstractNumId w:val="21"/>
  </w:num>
  <w:num w:numId="27">
    <w:abstractNumId w:val="27"/>
  </w:num>
  <w:num w:numId="28">
    <w:abstractNumId w:val="34"/>
  </w:num>
  <w:num w:numId="29">
    <w:abstractNumId w:val="31"/>
  </w:num>
  <w:num w:numId="30">
    <w:abstractNumId w:val="11"/>
  </w:num>
  <w:num w:numId="31">
    <w:abstractNumId w:val="22"/>
  </w:num>
  <w:num w:numId="32">
    <w:abstractNumId w:val="7"/>
  </w:num>
  <w:num w:numId="33">
    <w:abstractNumId w:val="19"/>
  </w:num>
  <w:num w:numId="34">
    <w:abstractNumId w:val="20"/>
  </w:num>
  <w:num w:numId="35">
    <w:abstractNumId w:val="17"/>
  </w:num>
  <w:num w:numId="36">
    <w:abstractNumId w:val="23"/>
  </w:num>
  <w:num w:numId="37">
    <w:abstractNumId w:val="36"/>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56E"/>
    <w:rsid w:val="00000F8F"/>
    <w:rsid w:val="00030174"/>
    <w:rsid w:val="00036883"/>
    <w:rsid w:val="0004579C"/>
    <w:rsid w:val="00084575"/>
    <w:rsid w:val="000A47FA"/>
    <w:rsid w:val="000A65D3"/>
    <w:rsid w:val="000B1E33"/>
    <w:rsid w:val="000D689F"/>
    <w:rsid w:val="000E7B7B"/>
    <w:rsid w:val="000E7D62"/>
    <w:rsid w:val="000F280A"/>
    <w:rsid w:val="00103357"/>
    <w:rsid w:val="00123C9F"/>
    <w:rsid w:val="00126190"/>
    <w:rsid w:val="00130F17"/>
    <w:rsid w:val="001320BF"/>
    <w:rsid w:val="00132B1E"/>
    <w:rsid w:val="00156A11"/>
    <w:rsid w:val="00163BC4"/>
    <w:rsid w:val="00191062"/>
    <w:rsid w:val="00192B72"/>
    <w:rsid w:val="001A29D8"/>
    <w:rsid w:val="001A5CAA"/>
    <w:rsid w:val="001B0427"/>
    <w:rsid w:val="001D002B"/>
    <w:rsid w:val="001D3A51"/>
    <w:rsid w:val="001D4FAA"/>
    <w:rsid w:val="001E10D2"/>
    <w:rsid w:val="001E168F"/>
    <w:rsid w:val="001E25B4"/>
    <w:rsid w:val="001E44FE"/>
    <w:rsid w:val="00200595"/>
    <w:rsid w:val="00204835"/>
    <w:rsid w:val="002106FF"/>
    <w:rsid w:val="00231920"/>
    <w:rsid w:val="0023195C"/>
    <w:rsid w:val="0024282C"/>
    <w:rsid w:val="002460DC"/>
    <w:rsid w:val="00250985"/>
    <w:rsid w:val="002556F6"/>
    <w:rsid w:val="00273B6A"/>
    <w:rsid w:val="00283105"/>
    <w:rsid w:val="00284C4C"/>
    <w:rsid w:val="00287E68"/>
    <w:rsid w:val="00296529"/>
    <w:rsid w:val="002B27FB"/>
    <w:rsid w:val="002B685A"/>
    <w:rsid w:val="002C1E07"/>
    <w:rsid w:val="002C57D2"/>
    <w:rsid w:val="002C7AA8"/>
    <w:rsid w:val="002E0D56"/>
    <w:rsid w:val="00315186"/>
    <w:rsid w:val="0033343E"/>
    <w:rsid w:val="003512C2"/>
    <w:rsid w:val="00366AFC"/>
    <w:rsid w:val="00371F40"/>
    <w:rsid w:val="00371FB6"/>
    <w:rsid w:val="003763C1"/>
    <w:rsid w:val="00376BBE"/>
    <w:rsid w:val="0039224F"/>
    <w:rsid w:val="003A3E37"/>
    <w:rsid w:val="003A43A4"/>
    <w:rsid w:val="003A7E18"/>
    <w:rsid w:val="003C4C86"/>
    <w:rsid w:val="003C6258"/>
    <w:rsid w:val="003D468A"/>
    <w:rsid w:val="003E2904"/>
    <w:rsid w:val="00401927"/>
    <w:rsid w:val="0041027F"/>
    <w:rsid w:val="00412475"/>
    <w:rsid w:val="00423789"/>
    <w:rsid w:val="00440F43"/>
    <w:rsid w:val="00441B6F"/>
    <w:rsid w:val="00446221"/>
    <w:rsid w:val="00450E62"/>
    <w:rsid w:val="004539DB"/>
    <w:rsid w:val="00460587"/>
    <w:rsid w:val="00461731"/>
    <w:rsid w:val="00471A80"/>
    <w:rsid w:val="004928BC"/>
    <w:rsid w:val="004A4F3F"/>
    <w:rsid w:val="004D305E"/>
    <w:rsid w:val="004D4277"/>
    <w:rsid w:val="00502516"/>
    <w:rsid w:val="00505F06"/>
    <w:rsid w:val="00506828"/>
    <w:rsid w:val="0053056E"/>
    <w:rsid w:val="0054790B"/>
    <w:rsid w:val="00554FDA"/>
    <w:rsid w:val="00570AE2"/>
    <w:rsid w:val="0057564F"/>
    <w:rsid w:val="0059516F"/>
    <w:rsid w:val="005C784C"/>
    <w:rsid w:val="005D17F6"/>
    <w:rsid w:val="005E5539"/>
    <w:rsid w:val="005F3663"/>
    <w:rsid w:val="00602BF5"/>
    <w:rsid w:val="00617FDD"/>
    <w:rsid w:val="00633614"/>
    <w:rsid w:val="00633F68"/>
    <w:rsid w:val="00636EB2"/>
    <w:rsid w:val="006375B8"/>
    <w:rsid w:val="00651AE5"/>
    <w:rsid w:val="0066510A"/>
    <w:rsid w:val="00673F9F"/>
    <w:rsid w:val="00686953"/>
    <w:rsid w:val="00687DEA"/>
    <w:rsid w:val="00687E67"/>
    <w:rsid w:val="006967F7"/>
    <w:rsid w:val="006A250C"/>
    <w:rsid w:val="006B21D3"/>
    <w:rsid w:val="006B57D0"/>
    <w:rsid w:val="006C4BA7"/>
    <w:rsid w:val="006D30FF"/>
    <w:rsid w:val="006D3F88"/>
    <w:rsid w:val="006D6940"/>
    <w:rsid w:val="006F11EC"/>
    <w:rsid w:val="0070082C"/>
    <w:rsid w:val="0071351C"/>
    <w:rsid w:val="00727B8A"/>
    <w:rsid w:val="007369E6"/>
    <w:rsid w:val="00746E59"/>
    <w:rsid w:val="00754C9A"/>
    <w:rsid w:val="0075599A"/>
    <w:rsid w:val="00761D52"/>
    <w:rsid w:val="0077749E"/>
    <w:rsid w:val="00790ADA"/>
    <w:rsid w:val="007D2288"/>
    <w:rsid w:val="007E088F"/>
    <w:rsid w:val="007F7B32"/>
    <w:rsid w:val="008015B8"/>
    <w:rsid w:val="00804BC2"/>
    <w:rsid w:val="0081431A"/>
    <w:rsid w:val="0083216F"/>
    <w:rsid w:val="00840422"/>
    <w:rsid w:val="00860000"/>
    <w:rsid w:val="00863BD3"/>
    <w:rsid w:val="00863C6E"/>
    <w:rsid w:val="008641ED"/>
    <w:rsid w:val="00866D66"/>
    <w:rsid w:val="008671C6"/>
    <w:rsid w:val="00875803"/>
    <w:rsid w:val="008B2DAF"/>
    <w:rsid w:val="008B459E"/>
    <w:rsid w:val="008E13AE"/>
    <w:rsid w:val="008E1506"/>
    <w:rsid w:val="008E710C"/>
    <w:rsid w:val="008F2332"/>
    <w:rsid w:val="008F69D6"/>
    <w:rsid w:val="00902823"/>
    <w:rsid w:val="00907F2F"/>
    <w:rsid w:val="00915CA6"/>
    <w:rsid w:val="00927834"/>
    <w:rsid w:val="00931CAE"/>
    <w:rsid w:val="009350E4"/>
    <w:rsid w:val="009500A6"/>
    <w:rsid w:val="00956382"/>
    <w:rsid w:val="00957C18"/>
    <w:rsid w:val="009659BA"/>
    <w:rsid w:val="00966A90"/>
    <w:rsid w:val="00977174"/>
    <w:rsid w:val="00983040"/>
    <w:rsid w:val="009A12A2"/>
    <w:rsid w:val="009B3FB9"/>
    <w:rsid w:val="009C0683"/>
    <w:rsid w:val="009C2465"/>
    <w:rsid w:val="009D35A0"/>
    <w:rsid w:val="009D7EB7"/>
    <w:rsid w:val="009E048A"/>
    <w:rsid w:val="009E08E9"/>
    <w:rsid w:val="009E374B"/>
    <w:rsid w:val="009E3DB9"/>
    <w:rsid w:val="009E6E35"/>
    <w:rsid w:val="009F0EDA"/>
    <w:rsid w:val="00A02CC4"/>
    <w:rsid w:val="00A03B96"/>
    <w:rsid w:val="00A05B19"/>
    <w:rsid w:val="00A1134E"/>
    <w:rsid w:val="00A24E7E"/>
    <w:rsid w:val="00A258C3"/>
    <w:rsid w:val="00A3404A"/>
    <w:rsid w:val="00A347C0"/>
    <w:rsid w:val="00A51431"/>
    <w:rsid w:val="00A539AD"/>
    <w:rsid w:val="00A743BC"/>
    <w:rsid w:val="00A94063"/>
    <w:rsid w:val="00AA557C"/>
    <w:rsid w:val="00AA6219"/>
    <w:rsid w:val="00AA74E0"/>
    <w:rsid w:val="00AB703F"/>
    <w:rsid w:val="00AC6BB8"/>
    <w:rsid w:val="00AE008F"/>
    <w:rsid w:val="00B01FCD"/>
    <w:rsid w:val="00B1776C"/>
    <w:rsid w:val="00B52583"/>
    <w:rsid w:val="00B52896"/>
    <w:rsid w:val="00B6187D"/>
    <w:rsid w:val="00B75250"/>
    <w:rsid w:val="00B87F3F"/>
    <w:rsid w:val="00B92EA4"/>
    <w:rsid w:val="00B95236"/>
    <w:rsid w:val="00B96BD9"/>
    <w:rsid w:val="00BA1B01"/>
    <w:rsid w:val="00BA2641"/>
    <w:rsid w:val="00BB37AA"/>
    <w:rsid w:val="00BC53A0"/>
    <w:rsid w:val="00BD5008"/>
    <w:rsid w:val="00BE62AD"/>
    <w:rsid w:val="00BF121F"/>
    <w:rsid w:val="00BF1F80"/>
    <w:rsid w:val="00C00692"/>
    <w:rsid w:val="00C05C67"/>
    <w:rsid w:val="00C166EF"/>
    <w:rsid w:val="00C17EB0"/>
    <w:rsid w:val="00C22ADE"/>
    <w:rsid w:val="00C27F5F"/>
    <w:rsid w:val="00C30A0F"/>
    <w:rsid w:val="00C37E61"/>
    <w:rsid w:val="00C70F1B"/>
    <w:rsid w:val="00C71A47"/>
    <w:rsid w:val="00C7464C"/>
    <w:rsid w:val="00C85588"/>
    <w:rsid w:val="00CD6755"/>
    <w:rsid w:val="00CD6856"/>
    <w:rsid w:val="00CE0089"/>
    <w:rsid w:val="00CE793C"/>
    <w:rsid w:val="00CF193C"/>
    <w:rsid w:val="00D173F1"/>
    <w:rsid w:val="00D21628"/>
    <w:rsid w:val="00D67874"/>
    <w:rsid w:val="00D74CB0"/>
    <w:rsid w:val="00D806A0"/>
    <w:rsid w:val="00D8295D"/>
    <w:rsid w:val="00DC2A65"/>
    <w:rsid w:val="00DC6B14"/>
    <w:rsid w:val="00DC72CC"/>
    <w:rsid w:val="00DE15F0"/>
    <w:rsid w:val="00DE5663"/>
    <w:rsid w:val="00DE78AA"/>
    <w:rsid w:val="00E04693"/>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39BF"/>
    <w:rsid w:val="00EE52CB"/>
    <w:rsid w:val="00EF581D"/>
    <w:rsid w:val="00EF7FD8"/>
    <w:rsid w:val="00F06F59"/>
    <w:rsid w:val="00F17988"/>
    <w:rsid w:val="00F469F0"/>
    <w:rsid w:val="00F53273"/>
    <w:rsid w:val="00F755E4"/>
    <w:rsid w:val="00F77D02"/>
    <w:rsid w:val="00FB3A86"/>
    <w:rsid w:val="00FD36C8"/>
    <w:rsid w:val="00FE3912"/>
    <w:rsid w:val="00FF3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25AFE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72CC"/>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D2162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D21628"/>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C05C67"/>
    <w:pPr>
      <w:ind w:left="720"/>
      <w:contextualSpacing/>
    </w:pPr>
  </w:style>
  <w:style w:type="paragraph" w:styleId="Caption">
    <w:name w:val="caption"/>
    <w:basedOn w:val="Normal"/>
    <w:next w:val="Normal"/>
    <w:semiHidden/>
    <w:unhideWhenUsed/>
    <w:qFormat/>
    <w:rsid w:val="00366AFC"/>
    <w:pPr>
      <w:spacing w:after="200"/>
    </w:pPr>
    <w:rPr>
      <w:i/>
      <w:iCs/>
      <w:color w:val="1F497D" w:themeColor="text2"/>
      <w:sz w:val="18"/>
      <w:szCs w:val="18"/>
    </w:rPr>
  </w:style>
  <w:style w:type="numbering" w:customStyle="1" w:styleId="CurrentList1">
    <w:name w:val="Current List1"/>
    <w:uiPriority w:val="99"/>
    <w:rsid w:val="00A02CC4"/>
    <w:pPr>
      <w:numPr>
        <w:numId w:val="38"/>
      </w:numPr>
    </w:pPr>
  </w:style>
  <w:style w:type="character" w:styleId="PlaceholderText">
    <w:name w:val="Placeholder Text"/>
    <w:basedOn w:val="DefaultParagraphFont"/>
    <w:uiPriority w:val="99"/>
    <w:semiHidden/>
    <w:rsid w:val="00966A9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2187036">
      <w:marLeft w:val="48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56962598">
      <w:marLeft w:val="480"/>
      <w:marRight w:val="0"/>
      <w:marTop w:val="0"/>
      <w:marBottom w:val="0"/>
      <w:divBdr>
        <w:top w:val="none" w:sz="0" w:space="0" w:color="auto"/>
        <w:left w:val="none" w:sz="0" w:space="0" w:color="auto"/>
        <w:bottom w:val="none" w:sz="0" w:space="0" w:color="auto"/>
        <w:right w:val="none" w:sz="0" w:space="0" w:color="auto"/>
      </w:divBdr>
    </w:div>
    <w:div w:id="943923814">
      <w:marLeft w:val="48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8730125">
      <w:marLeft w:val="48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su13041841" TargetMode="External"/><Relationship Id="rId18" Type="http://schemas.openxmlformats.org/officeDocument/2006/relationships/hyperlink" Target="https://doi.org/https://doi.org/10.1016/j.pacfin.2022.101733" TargetMode="External"/><Relationship Id="rId26" Type="http://schemas.openxmlformats.org/officeDocument/2006/relationships/hyperlink" Target="https://doi.org/10.1016/j.tranpol.2019.10.007" TargetMode="External"/><Relationship Id="rId39" Type="http://schemas.openxmlformats.org/officeDocument/2006/relationships/fontTable" Target="fontTable.xml"/><Relationship Id="rId21" Type="http://schemas.openxmlformats.org/officeDocument/2006/relationships/hyperlink" Target="https://doi.org/10.24857/rgsa.v18n6-169" TargetMode="External"/><Relationship Id="rId34" Type="http://schemas.openxmlformats.org/officeDocument/2006/relationships/hyperlink" Target="https://doi.org/10.1016/j.iref.2024.03.06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2692/ijb/22.1.95-111" TargetMode="External"/><Relationship Id="rId20" Type="http://schemas.openxmlformats.org/officeDocument/2006/relationships/hyperlink" Target="https://doi.org/10.1108/JOCM-01-2024-0057" TargetMode="External"/><Relationship Id="rId29" Type="http://schemas.openxmlformats.org/officeDocument/2006/relationships/hyperlink" Target="https://doi.org/10.1111/ecot.1236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1108/JERER-07-2023-0025" TargetMode="External"/><Relationship Id="rId32" Type="http://schemas.openxmlformats.org/officeDocument/2006/relationships/hyperlink" Target="https://doi.org/10.3390/su12208652" TargetMode="External"/><Relationship Id="rId37" Type="http://schemas.openxmlformats.org/officeDocument/2006/relationships/hyperlink" Target="https://doi.org/https://doi.org/10.1016/j.jbusres.2022.08.044" TargetMode="Externa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doi.org/10.2991/aebmr.k.220204.006" TargetMode="External"/><Relationship Id="rId23" Type="http://schemas.openxmlformats.org/officeDocument/2006/relationships/hyperlink" Target="https://doi.org/10.1002/nha3.20258" TargetMode="External"/><Relationship Id="rId28" Type="http://schemas.openxmlformats.org/officeDocument/2006/relationships/hyperlink" Target="https://doi.org/10.3390/risks12060100" TargetMode="External"/><Relationship Id="rId36" Type="http://schemas.openxmlformats.org/officeDocument/2006/relationships/hyperlink" Target="https://doi.org/10.21511/ppm.20(4).2022.31" TargetMode="External"/><Relationship Id="rId10" Type="http://schemas.openxmlformats.org/officeDocument/2006/relationships/image" Target="media/image1.png"/><Relationship Id="rId19" Type="http://schemas.openxmlformats.org/officeDocument/2006/relationships/hyperlink" Target="https://doi.org/10.3390/pr10020184" TargetMode="External"/><Relationship Id="rId31" Type="http://schemas.openxmlformats.org/officeDocument/2006/relationships/hyperlink" Target="https://doi.org/10.1007/s40171-020-00238-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3846/16111699.2017.1356367" TargetMode="External"/><Relationship Id="rId22" Type="http://schemas.openxmlformats.org/officeDocument/2006/relationships/hyperlink" Target="https://doi.org/10.1371/journal.pone.0306190" TargetMode="External"/><Relationship Id="rId27" Type="http://schemas.openxmlformats.org/officeDocument/2006/relationships/hyperlink" Target="https://doi.org/10.1002/gsj.1339" TargetMode="External"/><Relationship Id="rId30" Type="http://schemas.openxmlformats.org/officeDocument/2006/relationships/hyperlink" Target="https://doi.org/10.1016/j.indmarman.2016.03.001" TargetMode="External"/><Relationship Id="rId35" Type="http://schemas.openxmlformats.org/officeDocument/2006/relationships/hyperlink" Target="https://doi.org/10.1016/j.ememar.2020.100763"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doi.org/10.21315/aamj2017.22.1.3" TargetMode="External"/><Relationship Id="rId17" Type="http://schemas.openxmlformats.org/officeDocument/2006/relationships/hyperlink" Target="https://doi.org/10.1016/j.jenvman.2023.118295" TargetMode="External"/><Relationship Id="rId25" Type="http://schemas.openxmlformats.org/officeDocument/2006/relationships/hyperlink" Target="https://doi.org/10.1016/j.emj.2021.09.009" TargetMode="External"/><Relationship Id="rId33" Type="http://schemas.openxmlformats.org/officeDocument/2006/relationships/hyperlink" Target="https://doi.org/10.1016/j.seps.2022.101314" TargetMode="External"/><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8B43D6CC2544AEB47931E23AEFB908"/>
        <w:category>
          <w:name w:val="General"/>
          <w:gallery w:val="placeholder"/>
        </w:category>
        <w:types>
          <w:type w:val="bbPlcHdr"/>
        </w:types>
        <w:behaviors>
          <w:behavior w:val="content"/>
        </w:behaviors>
        <w:guid w:val="{90F776A2-AD76-4325-AECA-07FA0A11A67A}"/>
      </w:docPartPr>
      <w:docPartBody>
        <w:p w:rsidR="000F1249" w:rsidRDefault="002C5504" w:rsidP="002C5504">
          <w:pPr>
            <w:pStyle w:val="468B43D6CC2544AEB47931E23AEFB908"/>
          </w:pPr>
          <w:r w:rsidRPr="006D7D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13"/>
    <w:rsid w:val="000849EF"/>
    <w:rsid w:val="000F1249"/>
    <w:rsid w:val="001D4FAA"/>
    <w:rsid w:val="002C5504"/>
    <w:rsid w:val="003416A2"/>
    <w:rsid w:val="00426B43"/>
    <w:rsid w:val="0059516F"/>
    <w:rsid w:val="005B7238"/>
    <w:rsid w:val="009A12A2"/>
    <w:rsid w:val="009E374B"/>
    <w:rsid w:val="00A26E13"/>
    <w:rsid w:val="00A3404A"/>
    <w:rsid w:val="00AA557C"/>
    <w:rsid w:val="00AE2AB3"/>
    <w:rsid w:val="00CE0C23"/>
    <w:rsid w:val="00D45DDA"/>
    <w:rsid w:val="00F15D33"/>
    <w:rsid w:val="00F860B0"/>
    <w:rsid w:val="00FD6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60B0"/>
    <w:rPr>
      <w:color w:val="666666"/>
    </w:rPr>
  </w:style>
  <w:style w:type="paragraph" w:customStyle="1" w:styleId="468B43D6CC2544AEB47931E23AEFB908">
    <w:name w:val="468B43D6CC2544AEB47931E23AEFB908"/>
    <w:rsid w:val="002C55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97796ED-6634-4F36-BD51-0CB9FAC495B3}">
  <we:reference id="wa104382081" version="1.55.1.0" store="en-US" storeType="OMEX"/>
  <we:alternateReferences>
    <we:reference id="wa104382081" version="1.55.1.0" store="wa104382081" storeType="OMEX"/>
  </we:alternateReferences>
  <we:properties>
    <we:property name="MENDELEY_CITATIONS" value="[{&quot;citationID&quot;:&quot;MENDELEY_CITATION_67577153-c6c4-4a93-838f-755205e7686e&quot;,&quot;properties&quot;:{&quot;noteIndex&quot;:0},&quot;isEdited&quot;:false,&quot;manualOverride&quot;:{&quot;isManuallyOverridden&quot;:false,&quot;citeprocText&quot;:&quot;(Liu et al., 2022)&quot;,&quot;manualOverrideText&quot;:&quot;&quot;},&quot;citationTag&quot;:&quot;MENDELEY_CITATION_v3_eyJjaXRhdGlvbklEIjoiTUVOREVMRVlfQ0lUQVRJT05fNjc1NzcxNTMtYzZjNC00YTkzLTgzOGYtNzU1MjA1ZTc2ODZlIiwicHJvcGVydGllcyI6eyJub3RlSW5kZXgiOjB9LCJpc0VkaXRlZCI6ZmFsc2UsIm1hbnVhbE92ZXJyaWRlIjp7ImlzTWFudWFsbHlPdmVycmlkZGVuIjpmYWxzZSwiY2l0ZXByb2NUZXh0IjoiKExpdSBldCBhbC4sIDIwMjIpIiwibWFudWFsT3ZlcnJpZGVUZXh0IjoiIn0sImNpdGF0aW9uSXRlbXMiOlt7ImlkIjoiNmUyNDYwYjgtOTY3ZC0zY2I1LWFiZDUtY2UyZGE4NTQ5YTdjIiwiaXRlbURhdGEiOnsidHlwZSI6ImFydGljbGUtam91cm5hbCIsImlkIjoiNmUyNDYwYjgtOTY3ZC0zY2I1LWFiZDUtY2UyZGE4NTQ5YTdjIiwidGl0bGUiOiJUaGUgaW5mbHVlbmNlIG9mIG93bmVyc2hpcCBzdHJ1Y3R1cmUgb24gY29ycG9yYXRlIHBlcmZvcm1hbmNlOiBBIGNvbXBhcmF0aXZlIHN0dWR5IiwiYXV0aG9yIjpbeyJmYW1pbHkiOiJMaXUiLCJnaXZlbiI6IlkuIiwicGFyc2UtbmFtZXMiOmZhbHNlLCJkcm9wcGluZy1wYXJ0aWNsZSI6IiIsIm5vbi1kcm9wcGluZy1wYXJ0aWNsZSI6IiJ9LHsiZmFtaWx5IjoiV3UiLCJnaXZlbiI6IkguIiwicGFyc2UtbmFtZXMiOmZhbHNlLCJkcm9wcGluZy1wYXJ0aWNsZSI6IiIsIm5vbi1kcm9wcGluZy1wYXJ0aWNsZSI6IiJ9LHsiZmFtaWx5IjoiWWFvIiwiZ2l2ZW4iOiJKLiIsInBhcnNlLW5hbWVzIjpmYWxzZSwiZHJvcHBpbmctcGFydGljbGUiOiIiLCJub24tZHJvcHBpbmctcGFydGljbGUiOiIifV0sImNvbnRhaW5lci10aXRsZSI6IkpvdXJuYWwgb2YgQnVzaW5lc3MgYW5kIEVjb25vbWljcyIsImlzc3VlZCI6eyJkYXRlLXBhcnRzIjpbWzIwMjJdXX0sInBhZ2UiOiIzMjAtMzQ1IiwiaXNzdWUiOiIzIiwidm9sdW1lIjoiMjgiLCJjb250YWluZXItdGl0bGUtc2hvcnQiOiIifSwiaXNUZW1wb3JhcnkiOmZhbHNlfV19&quot;,&quot;citationItems&quot;:[{&quot;id&quot;:&quot;6e2460b8-967d-3cb5-abd5-ce2da8549a7c&quot;,&quot;itemData&quot;:{&quot;type&quot;:&quot;article-journal&quot;,&quot;id&quot;:&quot;6e2460b8-967d-3cb5-abd5-ce2da8549a7c&quot;,&quot;title&quot;:&quot;The influence of ownership structure on corporate performance: A comparative study&quot;,&quot;author&quot;:[{&quot;family&quot;:&quot;Liu&quot;,&quot;given&quot;:&quot;Y.&quot;,&quot;parse-names&quot;:false,&quot;dropping-particle&quot;:&quot;&quot;,&quot;non-dropping-particle&quot;:&quot;&quot;},{&quot;family&quot;:&quot;Wu&quot;,&quot;given&quot;:&quot;H.&quot;,&quot;parse-names&quot;:false,&quot;dropping-particle&quot;:&quot;&quot;,&quot;non-dropping-particle&quot;:&quot;&quot;},{&quot;family&quot;:&quot;Yao&quot;,&quot;given&quot;:&quot;J.&quot;,&quot;parse-names&quot;:false,&quot;dropping-particle&quot;:&quot;&quot;,&quot;non-dropping-particle&quot;:&quot;&quot;}],&quot;container-title&quot;:&quot;Journal of Business and Economics&quot;,&quot;issued&quot;:{&quot;date-parts&quot;:[[2022]]},&quot;page&quot;:&quot;320-345&quot;,&quot;issue&quot;:&quot;3&quot;,&quot;volume&quot;:&quot;28&quot;,&quot;container-title-short&quot;:&quot;&quot;},&quot;isTemporary&quot;:false}]},{&quot;citationID&quot;:&quot;MENDELEY_CITATION_5698bb31-19c4-4260-8835-d8ad8c55d343&quot;,&quot;properties&quot;:{&quot;noteIndex&quot;:0},&quot;isEdited&quot;:false,&quot;manualOverride&quot;:{&quot;isManuallyOverridden&quot;:false,&quot;citeprocText&quot;:&quot;(Cheng &amp;#38; Feng, 2023)&quot;,&quot;manualOverrideText&quot;:&quot;&quot;},&quot;citationTag&quot;:&quot;MENDELEY_CITATION_v3_eyJjaXRhdGlvbklEIjoiTUVOREVMRVlfQ0lUQVRJT05fNTY5OGJiMzEtMTljNC00MjYwLTg4MzUtZDhhZDhjNTVkMzQzIiwicHJvcGVydGllcyI6eyJub3RlSW5kZXgiOjB9LCJpc0VkaXRlZCI6ZmFsc2UsIm1hbnVhbE92ZXJyaWRlIjp7ImlzTWFudWFsbHlPdmVycmlkZGVuIjpmYWxzZSwiY2l0ZXByb2NUZXh0IjoiKENoZW5nICYjMzg7IEZlbmcsIDIwMjMpIiwibWFudWFsT3ZlcnJpZGVUZXh0IjoiIn0sImNpdGF0aW9uSXRlbXMiOlt7ImlkIjoiZDc3MjJmNjQtN2FkZC0zNjFmLWJlODMtZDFjMTU1YWE3OTA5IiwiaXRlbURhdGEiOnsidHlwZSI6ImFydGljbGUtam91cm5hbCIsImlkIjoiZDc3MjJmNjQtN2FkZC0zNjFmLWJlODMtZDFjMTU1YWE3OTA5IiwidGl0bGUiOiJEb2VzIGVudmlyb25tZW50YWwgaW5mb3JtYXRpb24gZGlzY2xvc3VyZSBhZmZlY3QgY29ycG9yYXRlIGNhc2ggZmxvdz8gQW4gYW5hbHlzaXMgYnkgdGFraW5nIG1lZGlhIGF0dGVudGlvbnMgaW50byBjb25zaWRlcmF0aW9uIiwiYXV0aG9yIjpbeyJmYW1pbHkiOiJDaGVuZyIsImdpdmVuIjoiWGkiLCJwYXJzZS1uYW1lcyI6ZmFsc2UsImRyb3BwaW5nLXBhcnRpY2xlIjoiIiwibm9uLWRyb3BwaW5nLXBhcnRpY2xlIjoiIn0seyJmYW1pbHkiOiJGZW5nIiwiZ2l2ZW4iOiJDaGFvIiwicGFyc2UtbmFtZXMiOmZhbHNlLCJkcm9wcGluZy1wYXJ0aWNsZSI6IiIsIm5vbi1kcm9wcGluZy1wYXJ0aWNsZSI6IiJ9XSwiY29udGFpbmVyLXRpdGxlIjoiSm91cm5hbCBvZiBFbnZpcm9ubWVudGFsIE1hbmFnZW1lbnQiLCJjb250YWluZXItdGl0bGUtc2hvcnQiOiJKIEVudmlyb24gTWFuYWdlIiwiRE9JIjoiMTAuMTAxNi9qLmplbnZtYW4uMjAyMy4xMTgyOTUiLCJJU1NOIjoiMDMwMTQ3OTciLCJpc3N1ZWQiOnsiZGF0ZS1wYXJ0cyI6W1syMDIzLDldXX0sInBhZ2UiOiIxMTgyOTUiLCJ2b2x1bWUiOiIzNDIifSwiaXNUZW1wb3JhcnkiOmZhbHNlfV19&quot;,&quot;citationItems&quot;:[{&quot;id&quot;:&quot;d7722f64-7add-361f-be83-d1c155aa7909&quot;,&quot;itemData&quot;:{&quot;type&quot;:&quot;article-journal&quot;,&quot;id&quot;:&quot;d7722f64-7add-361f-be83-d1c155aa7909&quot;,&quot;title&quot;:&quot;Does environmental information disclosure affect corporate cash flow? An analysis by taking media attentions into consideration&quot;,&quot;author&quot;:[{&quot;family&quot;:&quot;Cheng&quot;,&quot;given&quot;:&quot;Xi&quot;,&quot;parse-names&quot;:false,&quot;dropping-particle&quot;:&quot;&quot;,&quot;non-dropping-particle&quot;:&quot;&quot;},{&quot;family&quot;:&quot;Feng&quot;,&quot;given&quot;:&quot;Chao&quot;,&quot;parse-names&quot;:false,&quot;dropping-particle&quot;:&quot;&quot;,&quot;non-dropping-particle&quot;:&quot;&quot;}],&quot;container-title&quot;:&quot;Journal of Environmental Management&quot;,&quot;container-title-short&quot;:&quot;J Environ Manage&quot;,&quot;DOI&quot;:&quot;10.1016/j.jenvman.2023.118295&quot;,&quot;ISSN&quot;:&quot;03014797&quot;,&quot;issued&quot;:{&quot;date-parts&quot;:[[2023,9]]},&quot;page&quot;:&quot;118295&quot;,&quot;volume&quot;:&quot;342&quot;},&quot;isTemporary&quot;:false}]},{&quot;citationID&quot;:&quot;MENDELEY_CITATION_4b345318-1d78-4256-91d3-b7f607e5254b&quot;,&quot;properties&quot;:{&quot;noteIndex&quot;:0},&quot;isEdited&quot;:false,&quot;manualOverride&quot;:{&quot;isManuallyOverridden&quot;:false,&quot;citeprocText&quot;:&quot;(Nguyen &amp;#38; Kim, 2020)&quot;,&quot;manualOverrideText&quot;:&quot;&quot;},&quot;citationTag&quot;:&quot;MENDELEY_CITATION_v3_eyJjaXRhdGlvbklEIjoiTUVOREVMRVlfQ0lUQVRJT05fNGIzNDUzMTgtMWQ3OC00MjU2LTkxZDMtYjdmNjA3ZTUyNTRiIiwicHJvcGVydGllcyI6eyJub3RlSW5kZXgiOjB9LCJpc0VkaXRlZCI6ZmFsc2UsIm1hbnVhbE92ZXJyaWRlIjp7ImlzTWFudWFsbHlPdmVycmlkZGVuIjpmYWxzZSwiY2l0ZXByb2NUZXh0IjoiKE5ndXllbiAmIzM4OyBLaW0sIDIwMjApIiwibWFudWFsT3ZlcnJpZGVUZXh0IjoiIn0sImNpdGF0aW9uSXRlbXMiOlt7ImlkIjoiYjUwZmUxNDctMWJmYi0zNGYwLTk0YzItNjM0ZTIxYWUwNzdlIiwiaXRlbURhdGEiOnsidHlwZSI6ImFydGljbGUtam91cm5hbCIsImlkIjoiYjUwZmUxNDctMWJmYi0zNGYwLTk0YzItNjM0ZTIxYWUwNzdlIiwidGl0bGUiOiJUaGUgbXVsdGluYXRpb25hbGl0eSBhbmQgcGVyZm9ybWFuY2UgcmVsYXRpb25zaGlwOiBSZXZpc2l0aW5nIHRoZSBsaXRlcmF0dXJlIGFuZCBleHBsb3JpbmcgdGhlIGltcGxpY2F0aW9ucyIsImF1dGhvciI6W3siZmFtaWx5IjoiTmd1eWVuIiwiZ2l2ZW4iOiJRLiBULiBLLiIsInBhcnNlLW5hbWVzIjpmYWxzZSwiZHJvcHBpbmctcGFydGljbGUiOiIiLCJub24tZHJvcHBpbmctcGFydGljbGUiOiIifSx7ImZhbWlseSI6IktpbSIsImdpdmVuIjoiUy4iLCJwYXJzZS1uYW1lcyI6ZmFsc2UsImRyb3BwaW5nLXBhcnRpY2xlIjoiIiwibm9uLWRyb3BwaW5nLXBhcnRpY2xlIjoiIn1dLCJjb250YWluZXItdGl0bGUiOiJJbnRlcm5hdGlvbmFsIEJ1c2luZXNzIFJldmlldyIsImlzc3VlZCI6eyJkYXRlLXBhcnRzIjpbWzIwMjBdXX0sInBhZ2UiOiIyOS0yIiwidm9sdW1lIjoiMTAxNjgyIiwiY29udGFpbmVyLXRpdGxlLXNob3J0IjoiIn0sImlzVGVtcG9yYXJ5IjpmYWxzZX1dfQ==&quot;,&quot;citationItems&quot;:[{&quot;id&quot;:&quot;b50fe147-1bfb-34f0-94c2-634e21ae077e&quot;,&quot;itemData&quot;:{&quot;type&quot;:&quot;article-journal&quot;,&quot;id&quot;:&quot;b50fe147-1bfb-34f0-94c2-634e21ae077e&quot;,&quot;title&quot;:&quot;The multinationality and performance relationship: Revisiting the literature and exploring the implications&quot;,&quot;author&quot;:[{&quot;family&quot;:&quot;Nguyen&quot;,&quot;given&quot;:&quot;Q. T. K.&quot;,&quot;parse-names&quot;:false,&quot;dropping-particle&quot;:&quot;&quot;,&quot;non-dropping-particle&quot;:&quot;&quot;},{&quot;family&quot;:&quot;Kim&quot;,&quot;given&quot;:&quot;S.&quot;,&quot;parse-names&quot;:false,&quot;dropping-particle&quot;:&quot;&quot;,&quot;non-dropping-particle&quot;:&quot;&quot;}],&quot;container-title&quot;:&quot;International Business Review&quot;,&quot;issued&quot;:{&quot;date-parts&quot;:[[2020]]},&quot;page&quot;:&quot;29-2&quot;,&quot;volume&quot;:&quot;101682&quot;,&quot;container-title-short&quot;:&quot;&quot;},&quot;isTemporary&quot;:false}]},{&quot;citationID&quot;:&quot;MENDELEY_CITATION_c73929ea-ea98-4789-9d1c-836b18931f58&quot;,&quot;properties&quot;:{&quot;noteIndex&quot;:0},&quot;isEdited&quot;:false,&quot;manualOverride&quot;:{&quot;isManuallyOverridden&quot;:false,&quot;citeprocText&quot;:&quot;(Patala et al., 2016)&quot;,&quot;manualOverrideText&quot;:&quot;&quot;},&quot;citationTag&quot;:&quot;MENDELEY_CITATION_v3_eyJjaXRhdGlvbklEIjoiTUVOREVMRVlfQ0lUQVRJT05fYzczOTI5ZWEtZWE5OC00Nzg5LTlkMWMtODM2YjE4OTMxZjU4IiwicHJvcGVydGllcyI6eyJub3RlSW5kZXgiOjB9LCJpc0VkaXRlZCI6ZmFsc2UsIm1hbnVhbE92ZXJyaWRlIjp7ImlzTWFudWFsbHlPdmVycmlkZGVuIjpmYWxzZSwiY2l0ZXByb2NUZXh0IjoiKFBhdGFsYSBldCBhbC4sIDIwMTYpIiwibWFudWFsT3ZlcnJpZGVUZXh0IjoiIn0sImNpdGF0aW9uSXRlbXMiOlt7ImlkIjoiYmZmYWZhNTQtZDNjYy0zNWVjLTgyZTctZDljMzc0NjdjZTM0IiwiaXRlbURhdGEiOnsidHlwZSI6ImFydGljbGUtam91cm5hbCIsImlkIjoiYmZmYWZhNTQtZDNjYy0zNWVjLTgyZTctZDljMzc0NjdjZTM0IiwidGl0bGUiOiJTdXN0YWluYWJsZSB2YWx1ZSBwcm9wb3NpdGlvbnM6IEZyYW1ld29yayBhbmQgaW1wbGljYXRpb25zIGZvciB0ZWNobm9sb2d5IHN1cHBsaWVycyIsImF1dGhvciI6W3siZmFtaWx5IjoiUGF0YWxhIiwiZ2l2ZW4iOiJTYW11bGkiLCJwYXJzZS1uYW1lcyI6ZmFsc2UsImRyb3BwaW5nLXBhcnRpY2xlIjoiIiwibm9uLWRyb3BwaW5nLXBhcnRpY2xlIjoiIn0seyJmYW1pbHkiOiJKYWxrYWxhIiwiZ2l2ZW4iOiJBbm5lIiwicGFyc2UtbmFtZXMiOmZhbHNlLCJkcm9wcGluZy1wYXJ0aWNsZSI6IiIsIm5vbi1kcm9wcGluZy1wYXJ0aWNsZSI6IiJ9LHsiZmFtaWx5IjoiS2Vyw6RuZW4iLCJnaXZlbiI6Ikpvb25hIiwicGFyc2UtbmFtZXMiOmZhbHNlLCJkcm9wcGluZy1wYXJ0aWNsZSI6IiIsIm5vbi1kcm9wcGluZy1wYXJ0aWNsZSI6IiJ9LHsiZmFtaWx5IjoiVsOkaXPDpG5lbiIsImdpdmVuIjoiU2FubmkiLCJwYXJzZS1uYW1lcyI6ZmFsc2UsImRyb3BwaW5nLXBhcnRpY2xlIjoiIiwibm9uLWRyb3BwaW5nLXBhcnRpY2xlIjoiIn0seyJmYW1pbHkiOiJUdW9taW5lbiIsImdpdmVuIjoiVmFsdHRlcmkiLCJwYXJzZS1uYW1lcyI6ZmFsc2UsImRyb3BwaW5nLXBhcnRpY2xlIjoiIiwibm9uLWRyb3BwaW5nLXBhcnRpY2xlIjoiIn0seyJmYW1pbHkiOiJTb3Vra2EiLCJnaXZlbiI6IlJpc3RvIiwicGFyc2UtbmFtZXMiOmZhbHNlLCJkcm9wcGluZy1wYXJ0aWNsZSI6IiIsIm5vbi1kcm9wcGluZy1wYXJ0aWNsZSI6IiJ9XSwiY29udGFpbmVyLXRpdGxlIjoiSW5kdXN0cmlhbCBNYXJrZXRpbmcgTWFuYWdlbWVudCIsIkRPSSI6IjEwLjEwMTYvai5pbmRtYXJtYW4uMjAxNi4wMy4wMDEiLCJJU1NOIjoiMDAxOTg1MDEiLCJpc3N1ZWQiOnsiZGF0ZS1wYXJ0cyI6W1syMDE2LDExXV19LCJwYWdlIjoiMTQ0LTE1NiIsInZvbHVtZSI6IjU5IiwiY29udGFpbmVyLXRpdGxlLXNob3J0IjoiIn0sImlzVGVtcG9yYXJ5IjpmYWxzZX1dfQ==&quot;,&quot;citationItems&quot;:[{&quot;id&quot;:&quot;bffafa54-d3cc-35ec-82e7-d9c37467ce34&quot;,&quot;itemData&quot;:{&quot;type&quot;:&quot;article-journal&quot;,&quot;id&quot;:&quot;bffafa54-d3cc-35ec-82e7-d9c37467ce34&quot;,&quot;title&quot;:&quot;Sustainable value propositions: Framework and implications for technology suppliers&quot;,&quot;author&quot;:[{&quot;family&quot;:&quot;Patala&quot;,&quot;given&quot;:&quot;Samuli&quot;,&quot;parse-names&quot;:false,&quot;dropping-particle&quot;:&quot;&quot;,&quot;non-dropping-particle&quot;:&quot;&quot;},{&quot;family&quot;:&quot;Jalkala&quot;,&quot;given&quot;:&quot;Anne&quot;,&quot;parse-names&quot;:false,&quot;dropping-particle&quot;:&quot;&quot;,&quot;non-dropping-particle&quot;:&quot;&quot;},{&quot;family&quot;:&quot;Keränen&quot;,&quot;given&quot;:&quot;Joona&quot;,&quot;parse-names&quot;:false,&quot;dropping-particle&quot;:&quot;&quot;,&quot;non-dropping-particle&quot;:&quot;&quot;},{&quot;family&quot;:&quot;Väisänen&quot;,&quot;given&quot;:&quot;Sanni&quot;,&quot;parse-names&quot;:false,&quot;dropping-particle&quot;:&quot;&quot;,&quot;non-dropping-particle&quot;:&quot;&quot;},{&quot;family&quot;:&quot;Tuominen&quot;,&quot;given&quot;:&quot;Valtteri&quot;,&quot;parse-names&quot;:false,&quot;dropping-particle&quot;:&quot;&quot;,&quot;non-dropping-particle&quot;:&quot;&quot;},{&quot;family&quot;:&quot;Soukka&quot;,&quot;given&quot;:&quot;Risto&quot;,&quot;parse-names&quot;:false,&quot;dropping-particle&quot;:&quot;&quot;,&quot;non-dropping-particle&quot;:&quot;&quot;}],&quot;container-title&quot;:&quot;Industrial Marketing Management&quot;,&quot;DOI&quot;:&quot;10.1016/j.indmarman.2016.03.001&quot;,&quot;ISSN&quot;:&quot;00198501&quot;,&quot;issued&quot;:{&quot;date-parts&quot;:[[2016,11]]},&quot;page&quot;:&quot;144-156&quot;,&quot;volume&quot;:&quot;59&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A4A17-D885-41A7-82DD-B5F28F887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14</Pages>
  <Words>6112</Words>
  <Characters>34844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40875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1999-07-06T11:00:00Z</cp:lastPrinted>
  <dcterms:created xsi:type="dcterms:W3CDTF">2025-08-26T01:29:00Z</dcterms:created>
  <dcterms:modified xsi:type="dcterms:W3CDTF">2025-08-26T12:29:00Z</dcterms:modified>
</cp:coreProperties>
</file>