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F397A" w14:textId="77777777" w:rsidR="0081233D" w:rsidRDefault="0081233D" w:rsidP="00702BBB">
      <w:pPr>
        <w:pStyle w:val="Author"/>
        <w:spacing w:line="240" w:lineRule="auto"/>
        <w:jc w:val="left"/>
        <w:rPr>
          <w:rFonts w:ascii="Arial" w:hAnsi="Arial" w:cs="Arial"/>
          <w:szCs w:val="24"/>
        </w:rPr>
      </w:pPr>
      <w:r w:rsidRPr="0081233D">
        <w:rPr>
          <w:rFonts w:ascii="Arial" w:hAnsi="Arial" w:cs="Arial"/>
          <w:szCs w:val="24"/>
        </w:rPr>
        <w:t xml:space="preserve">Original Research Article </w:t>
      </w:r>
    </w:p>
    <w:p w14:paraId="37FA5130" w14:textId="6D977638" w:rsidR="00A258C3" w:rsidRPr="00AA3FCE" w:rsidRDefault="00675F16" w:rsidP="00702BBB">
      <w:pPr>
        <w:pStyle w:val="Author"/>
        <w:spacing w:line="240" w:lineRule="auto"/>
        <w:jc w:val="left"/>
        <w:rPr>
          <w:rFonts w:ascii="Arial" w:hAnsi="Arial" w:cs="Arial"/>
          <w:szCs w:val="24"/>
        </w:rPr>
      </w:pPr>
      <w:r w:rsidRPr="00AA3FCE">
        <w:rPr>
          <w:rFonts w:ascii="Arial" w:hAnsi="Arial" w:cs="Arial"/>
          <w:szCs w:val="24"/>
        </w:rPr>
        <w:t>Synergistic Effect of Organic, Inorganic, and Biofertilizers on G</w:t>
      </w:r>
      <w:r w:rsidR="00932538" w:rsidRPr="00AA3FCE">
        <w:rPr>
          <w:rFonts w:ascii="Arial" w:hAnsi="Arial" w:cs="Arial"/>
          <w:szCs w:val="24"/>
        </w:rPr>
        <w:t xml:space="preserve">rowth and Productivity of </w:t>
      </w:r>
      <w:proofErr w:type="spellStart"/>
      <w:r w:rsidR="00932538" w:rsidRPr="00AA3FCE">
        <w:rPr>
          <w:rFonts w:ascii="Arial" w:hAnsi="Arial" w:cs="Arial"/>
          <w:szCs w:val="24"/>
        </w:rPr>
        <w:t>Chilli</w:t>
      </w:r>
      <w:proofErr w:type="spellEnd"/>
    </w:p>
    <w:p w14:paraId="4F770A0A" w14:textId="3BEA9F37" w:rsidR="0002294E" w:rsidRDefault="0002294E" w:rsidP="0002294E">
      <w:pPr>
        <w:pStyle w:val="Affiliation"/>
        <w:spacing w:after="0" w:line="240" w:lineRule="auto"/>
        <w:rPr>
          <w:rFonts w:ascii="Arial" w:hAnsi="Arial" w:cs="Arial"/>
          <w:sz w:val="22"/>
        </w:rPr>
      </w:pPr>
    </w:p>
    <w:p w14:paraId="32EACC82" w14:textId="74B474A9" w:rsidR="004E0274" w:rsidRDefault="004E0274" w:rsidP="0002294E">
      <w:pPr>
        <w:pStyle w:val="Affiliation"/>
        <w:spacing w:after="0" w:line="240" w:lineRule="auto"/>
        <w:rPr>
          <w:rFonts w:ascii="Arial" w:hAnsi="Arial" w:cs="Arial"/>
          <w:sz w:val="22"/>
        </w:rPr>
      </w:pPr>
    </w:p>
    <w:p w14:paraId="49EC64A4" w14:textId="77777777" w:rsidR="004E0274" w:rsidRPr="00AA3FCE" w:rsidRDefault="004E0274" w:rsidP="0002294E">
      <w:pPr>
        <w:pStyle w:val="Affiliation"/>
        <w:spacing w:after="0" w:line="240" w:lineRule="auto"/>
        <w:rPr>
          <w:rFonts w:ascii="Arial" w:hAnsi="Arial" w:cs="Arial"/>
          <w:sz w:val="22"/>
        </w:rPr>
      </w:pPr>
    </w:p>
    <w:tbl>
      <w:tblP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071"/>
      </w:tblGrid>
      <w:tr w:rsidR="00296529" w:rsidRPr="00AA3FCE" w14:paraId="3B8F5789" w14:textId="77777777" w:rsidTr="00411434">
        <w:trPr>
          <w:trHeight w:val="8821"/>
        </w:trPr>
        <w:tc>
          <w:tcPr>
            <w:tcW w:w="10071" w:type="dxa"/>
            <w:shd w:val="clear" w:color="auto" w:fill="F2F2F2"/>
          </w:tcPr>
          <w:p w14:paraId="24C909DC" w14:textId="77777777" w:rsidR="00411434" w:rsidRPr="00AA3FCE" w:rsidRDefault="00FB3A86" w:rsidP="00411434">
            <w:pPr>
              <w:pStyle w:val="Heading3"/>
              <w:rPr>
                <w:rFonts w:ascii="Arial" w:hAnsi="Arial" w:cs="Arial"/>
                <w:color w:val="auto"/>
                <w:sz w:val="22"/>
                <w:szCs w:val="22"/>
              </w:rPr>
            </w:pPr>
            <w:proofErr w:type="gramStart"/>
            <w:r w:rsidRPr="00AA3FCE">
              <w:rPr>
                <w:rFonts w:ascii="Arial" w:hAnsi="Arial" w:cs="Arial"/>
                <w:color w:val="auto"/>
                <w:sz w:val="22"/>
                <w:szCs w:val="22"/>
              </w:rPr>
              <w:t>.</w:t>
            </w:r>
            <w:r w:rsidR="00B01FCD" w:rsidRPr="00AA3FCE">
              <w:rPr>
                <w:rFonts w:ascii="Arial" w:hAnsi="Arial" w:cs="Arial"/>
                <w:color w:val="auto"/>
                <w:sz w:val="22"/>
                <w:szCs w:val="22"/>
              </w:rPr>
              <w:t>ABSTRACT</w:t>
            </w:r>
            <w:proofErr w:type="gramEnd"/>
            <w:r w:rsidR="0066510A" w:rsidRPr="00AA3FCE">
              <w:rPr>
                <w:rFonts w:ascii="Arial" w:hAnsi="Arial" w:cs="Arial"/>
                <w:color w:val="auto"/>
                <w:sz w:val="22"/>
                <w:szCs w:val="22"/>
              </w:rPr>
              <w:t xml:space="preserve"> </w:t>
            </w:r>
          </w:p>
          <w:p w14:paraId="4F8C09CC" w14:textId="77777777" w:rsidR="00F9223A" w:rsidRPr="00AA3FCE" w:rsidRDefault="00F9223A" w:rsidP="00411434">
            <w:pPr>
              <w:pStyle w:val="Heading3"/>
              <w:rPr>
                <w:rFonts w:ascii="Arial" w:hAnsi="Arial" w:cs="Arial"/>
                <w:color w:val="auto"/>
                <w:sz w:val="22"/>
                <w:szCs w:val="22"/>
              </w:rPr>
            </w:pPr>
            <w:r w:rsidRPr="00AA3FCE">
              <w:rPr>
                <w:rStyle w:val="Strong"/>
                <w:rFonts w:ascii="Arial" w:hAnsi="Arial" w:cs="Arial"/>
                <w:color w:val="auto"/>
                <w:sz w:val="22"/>
                <w:szCs w:val="22"/>
              </w:rPr>
              <w:t>Aims:</w:t>
            </w:r>
            <w:r w:rsidRPr="00AA3FCE">
              <w:rPr>
                <w:rFonts w:ascii="Arial" w:hAnsi="Arial" w:cs="Arial"/>
                <w:color w:val="auto"/>
                <w:sz w:val="22"/>
                <w:szCs w:val="22"/>
              </w:rPr>
              <w:br/>
              <w:t xml:space="preserve">To evaluate the effect of integrated nutrient management on growth and yield attributes of </w:t>
            </w:r>
            <w:proofErr w:type="spellStart"/>
            <w:r w:rsidRPr="00AA3FCE">
              <w:rPr>
                <w:rFonts w:ascii="Arial" w:hAnsi="Arial" w:cs="Arial"/>
                <w:color w:val="auto"/>
                <w:sz w:val="22"/>
                <w:szCs w:val="22"/>
              </w:rPr>
              <w:t>chilli</w:t>
            </w:r>
            <w:proofErr w:type="spellEnd"/>
            <w:r w:rsidRPr="00AA3FCE">
              <w:rPr>
                <w:rFonts w:ascii="Arial" w:hAnsi="Arial" w:cs="Arial"/>
                <w:color w:val="auto"/>
                <w:sz w:val="22"/>
                <w:szCs w:val="22"/>
              </w:rPr>
              <w:t xml:space="preserve"> (</w:t>
            </w:r>
            <w:r w:rsidRPr="00AA3FCE">
              <w:rPr>
                <w:rStyle w:val="Emphasis"/>
                <w:rFonts w:ascii="Arial" w:hAnsi="Arial" w:cs="Arial"/>
                <w:color w:val="auto"/>
                <w:sz w:val="22"/>
                <w:szCs w:val="22"/>
              </w:rPr>
              <w:t>Capsicum annuum</w:t>
            </w:r>
            <w:r w:rsidRPr="00AA3FCE">
              <w:rPr>
                <w:rFonts w:ascii="Arial" w:hAnsi="Arial" w:cs="Arial"/>
                <w:color w:val="auto"/>
                <w:sz w:val="22"/>
                <w:szCs w:val="22"/>
              </w:rPr>
              <w:t xml:space="preserve"> L.) under subtropical conditions of Uttar Pradesh, India.</w:t>
            </w:r>
          </w:p>
          <w:p w14:paraId="4A60BEE2" w14:textId="77777777" w:rsidR="00F9223A" w:rsidRPr="00AA3FCE" w:rsidRDefault="00F9223A" w:rsidP="004C6D0B">
            <w:pPr>
              <w:pStyle w:val="NormalWeb"/>
              <w:rPr>
                <w:rFonts w:ascii="Arial" w:hAnsi="Arial" w:cs="Arial"/>
                <w:sz w:val="22"/>
                <w:szCs w:val="22"/>
              </w:rPr>
            </w:pPr>
            <w:r w:rsidRPr="00AA3FCE">
              <w:rPr>
                <w:rStyle w:val="Strong"/>
                <w:rFonts w:ascii="Arial" w:hAnsi="Arial" w:cs="Arial"/>
                <w:sz w:val="22"/>
                <w:szCs w:val="22"/>
              </w:rPr>
              <w:t>Study design:</w:t>
            </w:r>
            <w:r w:rsidRPr="00AA3FCE">
              <w:rPr>
                <w:rFonts w:ascii="Arial" w:hAnsi="Arial" w:cs="Arial"/>
                <w:sz w:val="22"/>
                <w:szCs w:val="22"/>
              </w:rPr>
              <w:br/>
              <w:t>Field experiment in a randomized block design</w:t>
            </w:r>
            <w:r w:rsidR="004F3A82" w:rsidRPr="00AA3FCE">
              <w:rPr>
                <w:rFonts w:ascii="Arial" w:hAnsi="Arial" w:cs="Arial"/>
                <w:sz w:val="22"/>
                <w:szCs w:val="22"/>
              </w:rPr>
              <w:t xml:space="preserve"> </w:t>
            </w:r>
            <w:r w:rsidRPr="00AA3FCE">
              <w:rPr>
                <w:rFonts w:ascii="Arial" w:hAnsi="Arial" w:cs="Arial"/>
                <w:sz w:val="22"/>
                <w:szCs w:val="22"/>
              </w:rPr>
              <w:t xml:space="preserve">with three replications conducted over two consecutive </w:t>
            </w:r>
            <w:r w:rsidRPr="00AA3FCE">
              <w:rPr>
                <w:rFonts w:ascii="Arial" w:hAnsi="Arial" w:cs="Arial"/>
                <w:i/>
                <w:sz w:val="22"/>
                <w:szCs w:val="22"/>
              </w:rPr>
              <w:t xml:space="preserve">Rabi </w:t>
            </w:r>
            <w:r w:rsidRPr="00AA3FCE">
              <w:rPr>
                <w:rFonts w:ascii="Arial" w:hAnsi="Arial" w:cs="Arial"/>
                <w:sz w:val="22"/>
                <w:szCs w:val="22"/>
              </w:rPr>
              <w:t>seasons.</w:t>
            </w:r>
          </w:p>
          <w:p w14:paraId="7C87D3E4" w14:textId="77777777" w:rsidR="00F9223A" w:rsidRPr="00AA3FCE" w:rsidRDefault="00F9223A" w:rsidP="004C6D0B">
            <w:pPr>
              <w:pStyle w:val="NormalWeb"/>
              <w:rPr>
                <w:rFonts w:ascii="Arial" w:hAnsi="Arial" w:cs="Arial"/>
                <w:sz w:val="22"/>
                <w:szCs w:val="22"/>
              </w:rPr>
            </w:pPr>
            <w:r w:rsidRPr="00AA3FCE">
              <w:rPr>
                <w:rStyle w:val="Strong"/>
                <w:rFonts w:ascii="Arial" w:hAnsi="Arial" w:cs="Arial"/>
                <w:sz w:val="22"/>
                <w:szCs w:val="22"/>
              </w:rPr>
              <w:t>Place and Duration of Study:</w:t>
            </w:r>
            <w:r w:rsidRPr="00AA3FCE">
              <w:rPr>
                <w:rFonts w:ascii="Arial" w:hAnsi="Arial" w:cs="Arial"/>
                <w:sz w:val="22"/>
                <w:szCs w:val="22"/>
              </w:rPr>
              <w:br/>
              <w:t>Vegetable Research Farm, Department of Horticulture, Institute of Agricultural Sciences, Banaras Hindu University (BHU), Varanasi, India, during 2022–2023 and 2023–2024.</w:t>
            </w:r>
          </w:p>
          <w:p w14:paraId="01D8D256" w14:textId="77777777" w:rsidR="00F9223A" w:rsidRPr="00AA3FCE" w:rsidRDefault="00F9223A" w:rsidP="004C6D0B">
            <w:pPr>
              <w:pStyle w:val="NormalWeb"/>
              <w:rPr>
                <w:rFonts w:ascii="Arial" w:hAnsi="Arial" w:cs="Arial"/>
                <w:sz w:val="22"/>
                <w:szCs w:val="22"/>
              </w:rPr>
            </w:pPr>
            <w:r w:rsidRPr="00AA3FCE">
              <w:rPr>
                <w:rStyle w:val="Strong"/>
                <w:rFonts w:ascii="Arial" w:hAnsi="Arial" w:cs="Arial"/>
                <w:sz w:val="22"/>
                <w:szCs w:val="22"/>
              </w:rPr>
              <w:t>Methodology:</w:t>
            </w:r>
            <w:r w:rsidRPr="00AA3FCE">
              <w:rPr>
                <w:rFonts w:ascii="Arial" w:hAnsi="Arial" w:cs="Arial"/>
                <w:sz w:val="22"/>
                <w:szCs w:val="22"/>
              </w:rPr>
              <w:br/>
              <w:t>Thirteen treatments combining inorganic fertilizers, organic manures (vermicompost, f</w:t>
            </w:r>
            <w:r w:rsidR="004F3A82" w:rsidRPr="00AA3FCE">
              <w:rPr>
                <w:rFonts w:ascii="Arial" w:hAnsi="Arial" w:cs="Arial"/>
                <w:sz w:val="22"/>
                <w:szCs w:val="22"/>
              </w:rPr>
              <w:t>armyard manure, poultry manure)</w:t>
            </w:r>
            <w:r w:rsidRPr="00AA3FCE">
              <w:rPr>
                <w:rFonts w:ascii="Arial" w:hAnsi="Arial" w:cs="Arial"/>
                <w:sz w:val="22"/>
                <w:szCs w:val="22"/>
              </w:rPr>
              <w:t xml:space="preserve"> and biofertilizers (</w:t>
            </w:r>
            <w:proofErr w:type="spellStart"/>
            <w:r w:rsidRPr="00AA3FCE">
              <w:rPr>
                <w:rFonts w:ascii="Arial" w:hAnsi="Arial" w:cs="Arial"/>
                <w:sz w:val="22"/>
                <w:szCs w:val="22"/>
              </w:rPr>
              <w:t>Azospirillum</w:t>
            </w:r>
            <w:proofErr w:type="spellEnd"/>
            <w:r w:rsidRPr="00AA3FCE">
              <w:rPr>
                <w:rFonts w:ascii="Arial" w:hAnsi="Arial" w:cs="Arial"/>
                <w:sz w:val="22"/>
                <w:szCs w:val="22"/>
              </w:rPr>
              <w:t xml:space="preserve"> + phosphate solubilizing bacteria) were evaluated. Growth parameters (plant height, primary branches, leaf area index, internodal length)</w:t>
            </w:r>
            <w:r w:rsidR="00E23C11" w:rsidRPr="00AA3FCE">
              <w:rPr>
                <w:rFonts w:ascii="Arial" w:hAnsi="Arial" w:cs="Arial"/>
                <w:sz w:val="22"/>
                <w:szCs w:val="22"/>
              </w:rPr>
              <w:t xml:space="preserve"> at 30DAT</w:t>
            </w:r>
            <w:r w:rsidRPr="00AA3FCE">
              <w:rPr>
                <w:rFonts w:ascii="Arial" w:hAnsi="Arial" w:cs="Arial"/>
                <w:sz w:val="22"/>
                <w:szCs w:val="22"/>
              </w:rPr>
              <w:t xml:space="preserve">, reproductive traits (number of fruits per plant), and fruit yield per plot were recorded. Data were </w:t>
            </w:r>
            <w:proofErr w:type="spellStart"/>
            <w:r w:rsidRPr="00AA3FCE">
              <w:rPr>
                <w:rFonts w:ascii="Arial" w:hAnsi="Arial" w:cs="Arial"/>
                <w:sz w:val="22"/>
                <w:szCs w:val="22"/>
              </w:rPr>
              <w:t>analyz</w:t>
            </w:r>
            <w:r w:rsidR="004C6D0B" w:rsidRPr="00AA3FCE">
              <w:rPr>
                <w:rFonts w:ascii="Arial" w:hAnsi="Arial" w:cs="Arial"/>
                <w:sz w:val="22"/>
                <w:szCs w:val="22"/>
              </w:rPr>
              <w:t>ed</w:t>
            </w:r>
            <w:proofErr w:type="spellEnd"/>
            <w:r w:rsidR="004C6D0B" w:rsidRPr="00AA3FCE">
              <w:rPr>
                <w:rFonts w:ascii="Arial" w:hAnsi="Arial" w:cs="Arial"/>
                <w:sz w:val="22"/>
                <w:szCs w:val="22"/>
              </w:rPr>
              <w:t xml:space="preserve"> using pooled ANOVA, with </w:t>
            </w:r>
            <w:proofErr w:type="spellStart"/>
            <w:r w:rsidR="004C6D0B" w:rsidRPr="00AA3FCE">
              <w:rPr>
                <w:rFonts w:ascii="Arial" w:hAnsi="Arial" w:cs="Arial"/>
                <w:sz w:val="22"/>
                <w:szCs w:val="22"/>
              </w:rPr>
              <w:t>SEm</w:t>
            </w:r>
            <w:proofErr w:type="spellEnd"/>
            <w:r w:rsidRPr="00AA3FCE">
              <w:rPr>
                <w:rFonts w:ascii="Arial" w:hAnsi="Arial" w:cs="Arial"/>
                <w:sz w:val="22"/>
                <w:szCs w:val="22"/>
              </w:rPr>
              <w:t xml:space="preserve"> and</w:t>
            </w:r>
            <w:r w:rsidR="004C6D0B" w:rsidRPr="00AA3FCE">
              <w:rPr>
                <w:rFonts w:ascii="Arial" w:hAnsi="Arial" w:cs="Arial"/>
                <w:sz w:val="22"/>
                <w:szCs w:val="22"/>
              </w:rPr>
              <w:t xml:space="preserve"> LSD</w:t>
            </w:r>
            <w:r w:rsidR="004F3A82" w:rsidRPr="00AA3FCE">
              <w:rPr>
                <w:rFonts w:ascii="Arial" w:hAnsi="Arial" w:cs="Arial"/>
                <w:sz w:val="22"/>
                <w:szCs w:val="22"/>
              </w:rPr>
              <w:t>,</w:t>
            </w:r>
            <w:r w:rsidRPr="00AA3FCE">
              <w:rPr>
                <w:rFonts w:ascii="Arial" w:hAnsi="Arial" w:cs="Arial"/>
                <w:sz w:val="22"/>
                <w:szCs w:val="22"/>
              </w:rPr>
              <w:t xml:space="preserve"> calculated. Line graphs and heatmaps visualized treatment responses.</w:t>
            </w:r>
          </w:p>
          <w:p w14:paraId="7609CE22" w14:textId="77777777" w:rsidR="00F9223A" w:rsidRPr="00AA3FCE" w:rsidRDefault="00F9223A" w:rsidP="004C6D0B">
            <w:pPr>
              <w:pStyle w:val="NormalWeb"/>
              <w:rPr>
                <w:rFonts w:ascii="Arial" w:hAnsi="Arial" w:cs="Arial"/>
                <w:sz w:val="22"/>
                <w:szCs w:val="22"/>
              </w:rPr>
            </w:pPr>
            <w:r w:rsidRPr="00AA3FCE">
              <w:rPr>
                <w:rStyle w:val="Strong"/>
                <w:rFonts w:ascii="Arial" w:hAnsi="Arial" w:cs="Arial"/>
                <w:sz w:val="22"/>
                <w:szCs w:val="22"/>
              </w:rPr>
              <w:t>Results:</w:t>
            </w:r>
            <w:r w:rsidRPr="00AA3FCE">
              <w:rPr>
                <w:rFonts w:ascii="Arial" w:hAnsi="Arial" w:cs="Arial"/>
                <w:sz w:val="22"/>
                <w:szCs w:val="22"/>
              </w:rPr>
              <w:br/>
              <w:t>INM significantly enhanced vegetative and reproductive traits compared to sole organic, inorganic, or no fertilizer. Treatments T</w:t>
            </w:r>
            <w:r w:rsidRPr="00AA3FCE">
              <w:rPr>
                <w:rFonts w:ascii="Cambria Math" w:hAnsi="Cambria Math" w:cs="Cambria Math"/>
                <w:sz w:val="22"/>
                <w:szCs w:val="22"/>
              </w:rPr>
              <w:t>₅</w:t>
            </w:r>
            <w:r w:rsidRPr="00AA3FCE">
              <w:rPr>
                <w:rFonts w:ascii="Arial" w:hAnsi="Arial" w:cs="Arial"/>
                <w:sz w:val="22"/>
                <w:szCs w:val="22"/>
              </w:rPr>
              <w:t xml:space="preserve"> (RDF 50% + vermicompost 50% + biofertilizers) and T</w:t>
            </w:r>
            <w:r w:rsidRPr="00AA3FCE">
              <w:rPr>
                <w:rFonts w:ascii="Cambria Math" w:hAnsi="Cambria Math" w:cs="Cambria Math"/>
                <w:sz w:val="22"/>
                <w:szCs w:val="22"/>
              </w:rPr>
              <w:t>₇</w:t>
            </w:r>
            <w:r w:rsidRPr="00AA3FCE">
              <w:rPr>
                <w:rFonts w:ascii="Arial" w:hAnsi="Arial" w:cs="Arial"/>
                <w:sz w:val="22"/>
                <w:szCs w:val="22"/>
              </w:rPr>
              <w:t xml:space="preserve"> (RDF 50% + poultry manure 50% + biofertilizers) produced the tallest plants (24.02 cm), highest branching (4.87), greater leaf area index (0.70), more fruits per plant (210), and highest fruit yield per plot (21.54 kg), whereas the control (T</w:t>
            </w:r>
            <w:r w:rsidRPr="00AA3FCE">
              <w:rPr>
                <w:rFonts w:ascii="Cambria Math" w:hAnsi="Cambria Math" w:cs="Cambria Math"/>
                <w:sz w:val="22"/>
                <w:szCs w:val="22"/>
              </w:rPr>
              <w:t>₁₃</w:t>
            </w:r>
            <w:r w:rsidRPr="00AA3FCE">
              <w:rPr>
                <w:rFonts w:ascii="Arial" w:hAnsi="Arial" w:cs="Arial"/>
                <w:sz w:val="22"/>
                <w:szCs w:val="22"/>
              </w:rPr>
              <w:t>) recorded the lowest values. Year-wise trends and heatmaps confirmed the consistency of INM effects.</w:t>
            </w:r>
          </w:p>
          <w:p w14:paraId="7135E497" w14:textId="77777777" w:rsidR="00505F06" w:rsidRPr="00AA3FCE" w:rsidRDefault="00F9223A" w:rsidP="00411434">
            <w:pPr>
              <w:pStyle w:val="NormalWeb"/>
              <w:rPr>
                <w:rFonts w:ascii="Arial" w:hAnsi="Arial" w:cs="Arial"/>
                <w:sz w:val="22"/>
                <w:szCs w:val="22"/>
              </w:rPr>
            </w:pPr>
            <w:r w:rsidRPr="00AA3FCE">
              <w:rPr>
                <w:rStyle w:val="Strong"/>
                <w:rFonts w:ascii="Arial" w:hAnsi="Arial" w:cs="Arial"/>
                <w:sz w:val="22"/>
                <w:szCs w:val="22"/>
              </w:rPr>
              <w:t>Conclusion:</w:t>
            </w:r>
            <w:r w:rsidRPr="00AA3FCE">
              <w:rPr>
                <w:rFonts w:ascii="Arial" w:hAnsi="Arial" w:cs="Arial"/>
                <w:sz w:val="22"/>
                <w:szCs w:val="22"/>
              </w:rPr>
              <w:br/>
              <w:t>Combining organi</w:t>
            </w:r>
            <w:r w:rsidR="00411434" w:rsidRPr="00AA3FCE">
              <w:rPr>
                <w:rFonts w:ascii="Arial" w:hAnsi="Arial" w:cs="Arial"/>
                <w:sz w:val="22"/>
                <w:szCs w:val="22"/>
              </w:rPr>
              <w:t>c manures, chemical fertilizer</w:t>
            </w:r>
            <w:r w:rsidRPr="00AA3FCE">
              <w:rPr>
                <w:rFonts w:ascii="Arial" w:hAnsi="Arial" w:cs="Arial"/>
                <w:sz w:val="22"/>
                <w:szCs w:val="22"/>
              </w:rPr>
              <w:t xml:space="preserve"> and biofertilizers effectively improves chilli growth, fruit set, and yield. INM is a sustainable strategy for enhancing productivity and maintaining soil fertility under subtropical conditions.</w:t>
            </w:r>
          </w:p>
        </w:tc>
      </w:tr>
    </w:tbl>
    <w:p w14:paraId="051E0528" w14:textId="77777777" w:rsidR="00636EB2" w:rsidRPr="00AA3FCE" w:rsidRDefault="00636EB2" w:rsidP="00441B6F">
      <w:pPr>
        <w:pStyle w:val="Body"/>
        <w:spacing w:after="0"/>
        <w:rPr>
          <w:rFonts w:ascii="Arial" w:hAnsi="Arial" w:cs="Arial"/>
          <w:i/>
          <w:sz w:val="22"/>
          <w:szCs w:val="22"/>
        </w:rPr>
      </w:pPr>
    </w:p>
    <w:p w14:paraId="6BB86F99" w14:textId="77777777" w:rsidR="00790ADA" w:rsidRPr="00AA3FCE" w:rsidRDefault="00A24E7E" w:rsidP="00441B6F">
      <w:pPr>
        <w:pStyle w:val="Body"/>
        <w:spacing w:after="0"/>
        <w:rPr>
          <w:rFonts w:ascii="Arial" w:hAnsi="Arial" w:cs="Arial"/>
          <w:i/>
          <w:sz w:val="22"/>
          <w:szCs w:val="22"/>
        </w:rPr>
      </w:pPr>
      <w:r w:rsidRPr="00AA3FCE">
        <w:rPr>
          <w:rFonts w:ascii="Arial" w:hAnsi="Arial" w:cs="Arial"/>
          <w:i/>
          <w:sz w:val="22"/>
          <w:szCs w:val="22"/>
        </w:rPr>
        <w:t xml:space="preserve">Keywords: </w:t>
      </w:r>
      <w:r w:rsidR="004F3A82" w:rsidRPr="00AA3FCE">
        <w:rPr>
          <w:rFonts w:ascii="Arial" w:hAnsi="Arial" w:cs="Arial"/>
          <w:i/>
          <w:sz w:val="22"/>
          <w:szCs w:val="22"/>
        </w:rPr>
        <w:t xml:space="preserve">Integrated nutrient management, </w:t>
      </w:r>
      <w:proofErr w:type="spellStart"/>
      <w:r w:rsidR="004F3A82" w:rsidRPr="00AA3FCE">
        <w:rPr>
          <w:rFonts w:ascii="Arial" w:hAnsi="Arial" w:cs="Arial"/>
          <w:i/>
          <w:sz w:val="22"/>
          <w:szCs w:val="22"/>
        </w:rPr>
        <w:t>chilli</w:t>
      </w:r>
      <w:proofErr w:type="spellEnd"/>
      <w:r w:rsidR="004F3A82" w:rsidRPr="00AA3FCE">
        <w:rPr>
          <w:rFonts w:ascii="Arial" w:hAnsi="Arial" w:cs="Arial"/>
          <w:i/>
          <w:sz w:val="22"/>
          <w:szCs w:val="22"/>
        </w:rPr>
        <w:t>, organic manures, biofertilizers, soil fertility, yield attributes, sustainable agriculture, vegetative growth</w:t>
      </w:r>
    </w:p>
    <w:p w14:paraId="1D9E36E5" w14:textId="77777777" w:rsidR="00505F06" w:rsidRPr="00AA3FCE" w:rsidRDefault="00505F06" w:rsidP="00441B6F">
      <w:pPr>
        <w:pStyle w:val="Body"/>
        <w:spacing w:after="0"/>
        <w:rPr>
          <w:rFonts w:ascii="Arial" w:hAnsi="Arial" w:cs="Arial"/>
          <w:i/>
          <w:sz w:val="22"/>
          <w:szCs w:val="22"/>
        </w:rPr>
      </w:pPr>
    </w:p>
    <w:p w14:paraId="59ACC1D6" w14:textId="77777777" w:rsidR="007F7B32" w:rsidRPr="00AA3FCE" w:rsidRDefault="00902823" w:rsidP="00441B6F">
      <w:pPr>
        <w:pStyle w:val="AbstHead"/>
        <w:spacing w:after="0"/>
        <w:jc w:val="both"/>
        <w:rPr>
          <w:rFonts w:ascii="Arial" w:hAnsi="Arial" w:cs="Arial"/>
          <w:szCs w:val="22"/>
        </w:rPr>
      </w:pPr>
      <w:r w:rsidRPr="00AA3FCE">
        <w:rPr>
          <w:rFonts w:ascii="Arial" w:hAnsi="Arial" w:cs="Arial"/>
          <w:szCs w:val="22"/>
        </w:rPr>
        <w:t xml:space="preserve">1. </w:t>
      </w:r>
      <w:r w:rsidR="00B01FCD" w:rsidRPr="00AA3FCE">
        <w:rPr>
          <w:rFonts w:ascii="Arial" w:hAnsi="Arial" w:cs="Arial"/>
          <w:szCs w:val="22"/>
        </w:rPr>
        <w:t>INTRODUCTION</w:t>
      </w:r>
      <w:r w:rsidR="007F7B32" w:rsidRPr="00AA3FCE">
        <w:rPr>
          <w:rFonts w:ascii="Arial" w:hAnsi="Arial" w:cs="Arial"/>
          <w:szCs w:val="22"/>
        </w:rPr>
        <w:t xml:space="preserve"> </w:t>
      </w:r>
    </w:p>
    <w:p w14:paraId="539515FE" w14:textId="77777777" w:rsidR="00D452E0" w:rsidRPr="00AA3FCE" w:rsidRDefault="00D452E0" w:rsidP="00D452E0">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Soil fertility depletion is one of the major factors limiting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productivity in India and many other tropical and subtropical regions (</w:t>
      </w:r>
      <w:proofErr w:type="spellStart"/>
      <w:r w:rsidRPr="00AA3FCE">
        <w:rPr>
          <w:rFonts w:ascii="Arial" w:hAnsi="Arial" w:cs="Arial"/>
          <w:sz w:val="22"/>
          <w:szCs w:val="22"/>
          <w:lang w:eastAsia="en-IN"/>
        </w:rPr>
        <w:t>Votava</w:t>
      </w:r>
      <w:proofErr w:type="spellEnd"/>
      <w:r w:rsidRPr="00AA3FCE">
        <w:rPr>
          <w:rFonts w:ascii="Arial" w:hAnsi="Arial" w:cs="Arial"/>
          <w:sz w:val="22"/>
          <w:szCs w:val="22"/>
          <w:lang w:eastAsia="en-IN"/>
        </w:rPr>
        <w:t xml:space="preserve"> and </w:t>
      </w:r>
      <w:proofErr w:type="spellStart"/>
      <w:r w:rsidRPr="00AA3FCE">
        <w:rPr>
          <w:rFonts w:ascii="Arial" w:hAnsi="Arial" w:cs="Arial"/>
          <w:sz w:val="22"/>
          <w:szCs w:val="22"/>
          <w:lang w:eastAsia="en-IN"/>
        </w:rPr>
        <w:t>Bosland</w:t>
      </w:r>
      <w:proofErr w:type="spellEnd"/>
      <w:r w:rsidRPr="00AA3FCE">
        <w:rPr>
          <w:rFonts w:ascii="Arial" w:hAnsi="Arial" w:cs="Arial"/>
          <w:sz w:val="22"/>
          <w:szCs w:val="22"/>
          <w:lang w:eastAsia="en-IN"/>
        </w:rPr>
        <w:t xml:space="preserve">, 2002). Soils is </w:t>
      </w:r>
      <w:r w:rsidRPr="00AA3FCE">
        <w:rPr>
          <w:rFonts w:ascii="Arial" w:hAnsi="Arial" w:cs="Arial"/>
          <w:sz w:val="22"/>
          <w:szCs w:val="22"/>
          <w:lang w:eastAsia="en-IN"/>
        </w:rPr>
        <w:lastRenderedPageBreak/>
        <w:t xml:space="preserve">often deficient in essential macro- and micronutrients and have low organic matter content, which adversely affects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growth and yield. Studies have shown that imbalanced nutrient removal through harvest and continuous cultivation has led to depletion of nitrogen (N), phosphorus (P), potassium (K) and micronutrients such as zinc (Zn) and boron (B), reducing soil fertility and productivity.</w:t>
      </w:r>
    </w:p>
    <w:p w14:paraId="197996A7" w14:textId="77777777" w:rsidR="00D452E0" w:rsidRPr="00AA3FCE" w:rsidRDefault="00D452E0" w:rsidP="00D452E0">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The application of chemical fertilizers such as urea (46% N), di-ammonium phosphate (DAP: 18% N, 46% P</w:t>
      </w:r>
      <w:r w:rsidRPr="00AA3FCE">
        <w:rPr>
          <w:rFonts w:ascii="Arial" w:hAnsi="Arial" w:cs="Arial"/>
          <w:sz w:val="22"/>
          <w:szCs w:val="22"/>
          <w:vertAlign w:val="subscript"/>
          <w:lang w:eastAsia="en-IN"/>
        </w:rPr>
        <w:t>2</w:t>
      </w:r>
      <w:r w:rsidRPr="00AA3FCE">
        <w:rPr>
          <w:rFonts w:ascii="Arial" w:hAnsi="Arial" w:cs="Arial"/>
          <w:sz w:val="22"/>
          <w:szCs w:val="22"/>
          <w:lang w:eastAsia="en-IN"/>
        </w:rPr>
        <w:t>O</w:t>
      </w:r>
      <w:r w:rsidRPr="00AA3FCE">
        <w:rPr>
          <w:rFonts w:ascii="Arial" w:hAnsi="Arial" w:cs="Arial"/>
          <w:sz w:val="22"/>
          <w:szCs w:val="22"/>
          <w:vertAlign w:val="subscript"/>
          <w:lang w:eastAsia="en-IN"/>
        </w:rPr>
        <w:t>5</w:t>
      </w:r>
      <w:r w:rsidRPr="00AA3FCE">
        <w:rPr>
          <w:rFonts w:ascii="Arial" w:hAnsi="Arial" w:cs="Arial"/>
          <w:sz w:val="22"/>
          <w:szCs w:val="22"/>
          <w:lang w:eastAsia="en-IN"/>
        </w:rPr>
        <w:t xml:space="preserve">) and </w:t>
      </w:r>
      <w:proofErr w:type="spellStart"/>
      <w:r w:rsidRPr="00AA3FCE">
        <w:rPr>
          <w:rFonts w:ascii="Arial" w:hAnsi="Arial" w:cs="Arial"/>
          <w:sz w:val="22"/>
          <w:szCs w:val="22"/>
          <w:lang w:eastAsia="en-IN"/>
        </w:rPr>
        <w:t>muriate</w:t>
      </w:r>
      <w:proofErr w:type="spellEnd"/>
      <w:r w:rsidRPr="00AA3FCE">
        <w:rPr>
          <w:rFonts w:ascii="Arial" w:hAnsi="Arial" w:cs="Arial"/>
          <w:sz w:val="22"/>
          <w:szCs w:val="22"/>
          <w:lang w:eastAsia="en-IN"/>
        </w:rPr>
        <w:t xml:space="preserve"> of potash (MOP: 60% K</w:t>
      </w:r>
      <w:r w:rsidRPr="00AA3FCE">
        <w:rPr>
          <w:rFonts w:ascii="Arial" w:hAnsi="Arial" w:cs="Arial"/>
          <w:sz w:val="22"/>
          <w:szCs w:val="22"/>
          <w:vertAlign w:val="subscript"/>
          <w:lang w:eastAsia="en-IN"/>
        </w:rPr>
        <w:t>2</w:t>
      </w:r>
      <w:r w:rsidRPr="00AA3FCE">
        <w:rPr>
          <w:rFonts w:ascii="Arial" w:hAnsi="Arial" w:cs="Arial"/>
          <w:sz w:val="22"/>
          <w:szCs w:val="22"/>
          <w:lang w:eastAsia="en-IN"/>
        </w:rPr>
        <w:t xml:space="preserve">O) is the common practice to maintain soil fertility for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production (</w:t>
      </w:r>
      <w:proofErr w:type="spellStart"/>
      <w:r w:rsidRPr="00AA3FCE">
        <w:rPr>
          <w:rFonts w:ascii="Arial" w:hAnsi="Arial" w:cs="Arial"/>
          <w:sz w:val="22"/>
          <w:szCs w:val="22"/>
          <w:lang w:eastAsia="en-IN"/>
        </w:rPr>
        <w:t>Shashidhara</w:t>
      </w:r>
      <w:proofErr w:type="spellEnd"/>
      <w:r w:rsidRPr="00AA3FCE">
        <w:rPr>
          <w:rFonts w:ascii="Arial" w:hAnsi="Arial" w:cs="Arial"/>
          <w:sz w:val="22"/>
          <w:szCs w:val="22"/>
          <w:lang w:eastAsia="en-IN"/>
        </w:rPr>
        <w:t xml:space="preserve"> et al., 2007). However, many smallholder farmers apply fertilizers at sub-optimal rates due to high cost, limited access and lack of soil- and crop-specific recommendations (</w:t>
      </w:r>
      <w:proofErr w:type="spellStart"/>
      <w:r w:rsidRPr="00AA3FCE">
        <w:rPr>
          <w:rFonts w:ascii="Arial" w:hAnsi="Arial" w:cs="Arial"/>
          <w:sz w:val="22"/>
          <w:szCs w:val="22"/>
          <w:lang w:eastAsia="en-IN"/>
        </w:rPr>
        <w:t>Sujana</w:t>
      </w:r>
      <w:proofErr w:type="spellEnd"/>
      <w:r w:rsidRPr="00AA3FCE">
        <w:rPr>
          <w:rFonts w:ascii="Arial" w:hAnsi="Arial" w:cs="Arial"/>
          <w:sz w:val="22"/>
          <w:szCs w:val="22"/>
          <w:lang w:eastAsia="en-IN"/>
        </w:rPr>
        <w:t xml:space="preserve"> et al., 2019). Nationally, average fertilizer application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is far below the recommended dose, which limits yield potential and leads to further depletion of secondary and micronutrients when N and P are applied alone (Khurshid et al., 2021). Although blended fertilizers containing S, Zn and B have been introduced, continuous reliance on chemical fertilizers alone is unsustainable and may result in soil acidification, loss of organic matter and deterioration of soil health (Liu et al., 2010).</w:t>
      </w:r>
    </w:p>
    <w:p w14:paraId="6895554A" w14:textId="77777777" w:rsidR="00D452E0" w:rsidRPr="00AA3FCE" w:rsidRDefault="00D452E0" w:rsidP="00D452E0">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Evidence suggests that organic amendments such as farmyard manure, poultry manure, compost and vermicompost improve soil physical, chemical and biological properties, increase water-holding capacity, nutrient availability and enhance crop growth and yield (</w:t>
      </w:r>
      <w:proofErr w:type="spellStart"/>
      <w:r w:rsidRPr="00AA3FCE">
        <w:rPr>
          <w:rFonts w:ascii="Arial" w:hAnsi="Arial" w:cs="Arial"/>
          <w:sz w:val="22"/>
          <w:szCs w:val="22"/>
          <w:lang w:eastAsia="en-IN"/>
        </w:rPr>
        <w:t>Arancon</w:t>
      </w:r>
      <w:proofErr w:type="spellEnd"/>
      <w:r w:rsidRPr="00AA3FCE">
        <w:rPr>
          <w:rFonts w:ascii="Arial" w:hAnsi="Arial" w:cs="Arial"/>
          <w:sz w:val="22"/>
          <w:szCs w:val="22"/>
          <w:lang w:eastAsia="en-IN"/>
        </w:rPr>
        <w:t xml:space="preserve"> et al., 2005; </w:t>
      </w:r>
      <w:proofErr w:type="spellStart"/>
      <w:r w:rsidRPr="00AA3FCE">
        <w:rPr>
          <w:rFonts w:ascii="Arial" w:hAnsi="Arial" w:cs="Arial"/>
          <w:sz w:val="22"/>
          <w:szCs w:val="22"/>
          <w:lang w:eastAsia="en-IN"/>
        </w:rPr>
        <w:t>Densilin</w:t>
      </w:r>
      <w:proofErr w:type="spellEnd"/>
      <w:r w:rsidRPr="00AA3FCE">
        <w:rPr>
          <w:rFonts w:ascii="Arial" w:hAnsi="Arial" w:cs="Arial"/>
          <w:sz w:val="22"/>
          <w:szCs w:val="22"/>
          <w:lang w:eastAsia="en-IN"/>
        </w:rPr>
        <w:t xml:space="preserve"> et al., 2011). Nevertheless, small-scale farmers face limitations in using adequate quantities of organic inputs due to scarcity of materials, competing uses as animal feed or fuel, </w:t>
      </w:r>
      <w:proofErr w:type="spellStart"/>
      <w:r w:rsidRPr="00AA3FCE">
        <w:rPr>
          <w:rFonts w:ascii="Arial" w:hAnsi="Arial" w:cs="Arial"/>
          <w:sz w:val="22"/>
          <w:szCs w:val="22"/>
          <w:lang w:eastAsia="en-IN"/>
        </w:rPr>
        <w:t>labour</w:t>
      </w:r>
      <w:proofErr w:type="spellEnd"/>
      <w:r w:rsidRPr="00AA3FCE">
        <w:rPr>
          <w:rFonts w:ascii="Arial" w:hAnsi="Arial" w:cs="Arial"/>
          <w:sz w:val="22"/>
          <w:szCs w:val="22"/>
          <w:lang w:eastAsia="en-IN"/>
        </w:rPr>
        <w:t xml:space="preserve"> constraints and bulkiness of organic fertilizers (</w:t>
      </w:r>
      <w:proofErr w:type="spellStart"/>
      <w:r w:rsidRPr="00AA3FCE">
        <w:rPr>
          <w:rFonts w:ascii="Arial" w:hAnsi="Arial" w:cs="Arial"/>
          <w:sz w:val="22"/>
          <w:szCs w:val="22"/>
          <w:lang w:eastAsia="en-IN"/>
        </w:rPr>
        <w:t>Abunyewa</w:t>
      </w:r>
      <w:proofErr w:type="spellEnd"/>
      <w:r w:rsidRPr="00AA3FCE">
        <w:rPr>
          <w:rFonts w:ascii="Arial" w:hAnsi="Arial" w:cs="Arial"/>
          <w:sz w:val="22"/>
          <w:szCs w:val="22"/>
          <w:lang w:eastAsia="en-IN"/>
        </w:rPr>
        <w:t xml:space="preserve"> et al., 2007; Rao and Tilak, 1977). Therefore, the use of organic amendments alone cannot meet the nutrient demand of a high-value crop like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sz w:val="22"/>
          <w:szCs w:val="22"/>
        </w:rPr>
        <w:t>In this context, the integration of biofertilizers such as phosphate solubilizing bacteria (PSB) and other beneficial microbial inoculants offers a sustainable option, as they not only improve nutrient solubilization and availability (particularly phosphorus), but also stimulate root growth, enhance microbial activity, and complement the nutrient supply from organic and inorganic sources, thereby improving crop productivity in a cost-effective and eco-friendly manner</w:t>
      </w:r>
      <w:r w:rsidRPr="00AA3FCE">
        <w:rPr>
          <w:rFonts w:ascii="Arial" w:hAnsi="Arial" w:cs="Arial"/>
          <w:sz w:val="22"/>
          <w:szCs w:val="22"/>
          <w:lang w:eastAsia="en-IN"/>
        </w:rPr>
        <w:t xml:space="preserve"> (</w:t>
      </w:r>
      <w:proofErr w:type="spellStart"/>
      <w:r w:rsidRPr="00AA3FCE">
        <w:rPr>
          <w:rFonts w:ascii="Arial" w:hAnsi="Arial" w:cs="Arial"/>
          <w:sz w:val="22"/>
          <w:szCs w:val="22"/>
          <w:lang w:eastAsia="en-IN"/>
        </w:rPr>
        <w:t>Vanlauwe</w:t>
      </w:r>
      <w:proofErr w:type="spellEnd"/>
      <w:r w:rsidRPr="00AA3FCE">
        <w:rPr>
          <w:rFonts w:ascii="Arial" w:hAnsi="Arial" w:cs="Arial"/>
          <w:sz w:val="22"/>
          <w:szCs w:val="22"/>
          <w:lang w:eastAsia="en-IN"/>
        </w:rPr>
        <w:t xml:space="preserve"> et al., 2010; </w:t>
      </w:r>
      <w:proofErr w:type="spellStart"/>
      <w:r w:rsidRPr="00AA3FCE">
        <w:rPr>
          <w:rFonts w:ascii="Arial" w:hAnsi="Arial" w:cs="Arial"/>
          <w:sz w:val="22"/>
          <w:szCs w:val="22"/>
          <w:lang w:eastAsia="en-IN"/>
        </w:rPr>
        <w:t>Sujana</w:t>
      </w:r>
      <w:proofErr w:type="spellEnd"/>
      <w:r w:rsidRPr="00AA3FCE">
        <w:rPr>
          <w:rFonts w:ascii="Arial" w:hAnsi="Arial" w:cs="Arial"/>
          <w:sz w:val="22"/>
          <w:szCs w:val="22"/>
          <w:lang w:eastAsia="en-IN"/>
        </w:rPr>
        <w:t xml:space="preserve"> et al., 2019). However, adoption of INM practices for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is still low in many regions, and location-specific recommendations for optimal combinations of organic manures, inorganic fertilizers and biological nutrient sources are lacking. Therefore, this study was designed to evaluate the effect of integrated nutrient management on growth and yield attributes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in Uttar Pradesh.</w:t>
      </w:r>
    </w:p>
    <w:p w14:paraId="43F5E2CE" w14:textId="77777777" w:rsidR="007F7B32" w:rsidRPr="00AA3FCE" w:rsidRDefault="00902823" w:rsidP="00441B6F">
      <w:pPr>
        <w:pStyle w:val="AbstHead"/>
        <w:spacing w:after="0"/>
        <w:jc w:val="both"/>
        <w:rPr>
          <w:rFonts w:ascii="Arial" w:hAnsi="Arial" w:cs="Arial"/>
          <w:szCs w:val="22"/>
        </w:rPr>
      </w:pPr>
      <w:r w:rsidRPr="00AA3FCE">
        <w:rPr>
          <w:rFonts w:ascii="Arial" w:hAnsi="Arial" w:cs="Arial"/>
          <w:szCs w:val="22"/>
        </w:rPr>
        <w:lastRenderedPageBreak/>
        <w:t xml:space="preserve">2. </w:t>
      </w:r>
      <w:r w:rsidR="00000F8F" w:rsidRPr="00AA3FCE">
        <w:rPr>
          <w:rFonts w:ascii="Arial" w:hAnsi="Arial" w:cs="Arial"/>
          <w:szCs w:val="22"/>
        </w:rPr>
        <w:t>experimental details</w:t>
      </w:r>
    </w:p>
    <w:p w14:paraId="4B0ADA64" w14:textId="77777777" w:rsidR="00790ADA" w:rsidRPr="00AA3FCE" w:rsidRDefault="00790ADA" w:rsidP="00441B6F">
      <w:pPr>
        <w:pStyle w:val="AbstHead"/>
        <w:spacing w:after="0"/>
        <w:jc w:val="both"/>
        <w:rPr>
          <w:rFonts w:ascii="Arial" w:hAnsi="Arial" w:cs="Arial"/>
          <w:szCs w:val="22"/>
        </w:rPr>
      </w:pPr>
    </w:p>
    <w:p w14:paraId="7A691B32" w14:textId="77777777" w:rsidR="000B45F3" w:rsidRPr="00AA3FCE" w:rsidRDefault="000B45F3" w:rsidP="000B45F3">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2.1 Study Area</w:t>
      </w:r>
    </w:p>
    <w:p w14:paraId="2D454A72" w14:textId="7A90E4EE" w:rsidR="000B45F3" w:rsidRPr="00AA3FCE" w:rsidRDefault="00FD7A15" w:rsidP="000B45F3">
      <w:pPr>
        <w:pStyle w:val="NormalWeb"/>
        <w:spacing w:line="360" w:lineRule="auto"/>
        <w:jc w:val="both"/>
        <w:rPr>
          <w:rFonts w:ascii="Arial" w:hAnsi="Arial" w:cs="Arial"/>
          <w:sz w:val="22"/>
          <w:szCs w:val="22"/>
        </w:rPr>
      </w:pPr>
      <w:r>
        <w:rPr>
          <w:rFonts w:ascii="Arial" w:hAnsi="Arial" w:cs="Arial"/>
          <w:noProof/>
        </w:rPr>
        <w:pict w14:anchorId="2EAC5EBF">
          <v:shapetype id="_x0000_t202" coordsize="21600,21600" o:spt="202" path="m,l,21600r21600,l21600,xe">
            <v:stroke joinstyle="miter"/>
            <v:path gradientshapeok="t" o:connecttype="rect"/>
          </v:shapetype>
          <v:shape id="_x0000_s1030" type="#_x0000_t202" style="position:absolute;left:0;text-align:left;margin-left:.15pt;margin-top:483.85pt;width:495.55pt;height:.05pt;z-index:251665408;mso-position-horizontal-relative:text;mso-position-vertical-relative:text" stroked="f">
            <v:textbox style="mso-fit-shape-to-text:t" inset="0,0,0,0">
              <w:txbxContent>
                <w:p w14:paraId="03DAEA3C" w14:textId="525A481B" w:rsidR="0023235B" w:rsidRPr="0002294E" w:rsidRDefault="0023235B" w:rsidP="0002294E">
                  <w:pPr>
                    <w:pStyle w:val="Caption"/>
                    <w:rPr>
                      <w:rFonts w:ascii="Arial" w:hAnsi="Arial" w:cs="Arial"/>
                      <w:noProof/>
                      <w:lang w:val="en-IN"/>
                    </w:rPr>
                  </w:pPr>
                </w:p>
              </w:txbxContent>
            </v:textbox>
            <w10:wrap type="square"/>
          </v:shape>
        </w:pict>
      </w:r>
      <w:r w:rsidR="000B45F3" w:rsidRPr="00AA3FCE">
        <w:rPr>
          <w:rFonts w:ascii="Arial" w:hAnsi="Arial" w:cs="Arial"/>
          <w:sz w:val="22"/>
          <w:szCs w:val="22"/>
        </w:rPr>
        <w:t>The study was conducted at the Vegetable Research Farm, Department of Horticulture, Institute of Agricultural Sciences, Banaras Hindu University (BHU), Varanasi, Uttar Pradesh, India, during the Rabi seasons of 2022–2023 and 2023–2024. Varanasi is located at 25°10′ N latitude and 83°03′ E longitude at an elevation of 86 m above mean sea level. The experimental site lies in the North Gangetic Alluvial Plain and features well-drained alluvial soils with uniform topography, making it ideal for horticultural experimentation. The region experiences a humid subtropical climate, with hot summers (April–June), a monsoon period (July–mid October), and cool winters (late October–February). During the study period, maximum and minimum temperatures ranged from 32–45°C and 6–9°C, respectively, with an annual rainfall o</w:t>
      </w:r>
      <w:r w:rsidR="0002294E" w:rsidRPr="00AA3FCE">
        <w:rPr>
          <w:rFonts w:ascii="Arial" w:hAnsi="Arial" w:cs="Arial"/>
          <w:sz w:val="22"/>
          <w:szCs w:val="22"/>
        </w:rPr>
        <w:t>f approximately 1,110 mm (Fig.</w:t>
      </w:r>
      <w:r w:rsidR="000B45F3" w:rsidRPr="00AA3FCE">
        <w:rPr>
          <w:rFonts w:ascii="Arial" w:hAnsi="Arial" w:cs="Arial"/>
          <w:sz w:val="22"/>
          <w:szCs w:val="22"/>
        </w:rPr>
        <w:t xml:space="preserve"> 1). Weekly meteorological data, including temperature and rainfall, were recorded at the BHU meteorological observatory.</w:t>
      </w:r>
    </w:p>
    <w:p w14:paraId="5645C5DD" w14:textId="77777777" w:rsidR="000B45F3" w:rsidRPr="00AA3FCE" w:rsidRDefault="000B45F3" w:rsidP="000B45F3">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2.2 Soil Characteristics</w:t>
      </w:r>
    </w:p>
    <w:p w14:paraId="0D573750" w14:textId="1FE97EB8" w:rsidR="00FF46C9" w:rsidRDefault="000B45F3" w:rsidP="000B45F3">
      <w:pPr>
        <w:pStyle w:val="NormalWeb"/>
        <w:spacing w:line="360" w:lineRule="auto"/>
        <w:jc w:val="both"/>
        <w:rPr>
          <w:rFonts w:ascii="Arial" w:hAnsi="Arial" w:cs="Arial"/>
          <w:sz w:val="22"/>
          <w:szCs w:val="22"/>
        </w:rPr>
      </w:pPr>
      <w:r w:rsidRPr="00AA3FCE">
        <w:rPr>
          <w:rFonts w:ascii="Arial" w:hAnsi="Arial" w:cs="Arial"/>
          <w:sz w:val="22"/>
          <w:szCs w:val="22"/>
        </w:rPr>
        <w:t>Before planting, composite soil samples were collected from 0–15 cm depth and analysed for physical and chemical properties. The soil was sandy clay loam, slightly alkaline (pH 7.78–7.85), with 0.44–0.45% organic carbon and low to medium levels of available nitrogen (200–205 kg ha</w:t>
      </w:r>
      <w:r w:rsidRPr="00AA3FCE">
        <w:rPr>
          <w:rFonts w:ascii="Cambria Math" w:hAnsi="Cambria Math" w:cs="Cambria Math"/>
          <w:sz w:val="22"/>
          <w:szCs w:val="22"/>
        </w:rPr>
        <w:t>⁻</w:t>
      </w:r>
      <w:r w:rsidRPr="00AA3FCE">
        <w:rPr>
          <w:rFonts w:ascii="Arial" w:hAnsi="Arial" w:cs="Arial"/>
          <w:sz w:val="22"/>
          <w:szCs w:val="22"/>
        </w:rPr>
        <w:t>¹), phosphorus (26.5–27.8 kg ha</w:t>
      </w:r>
      <w:r w:rsidRPr="00AA3FCE">
        <w:rPr>
          <w:rFonts w:ascii="Cambria Math" w:hAnsi="Cambria Math" w:cs="Cambria Math"/>
          <w:sz w:val="22"/>
          <w:szCs w:val="22"/>
        </w:rPr>
        <w:t>⁻</w:t>
      </w:r>
      <w:r w:rsidRPr="00AA3FCE">
        <w:rPr>
          <w:rFonts w:ascii="Arial" w:hAnsi="Arial" w:cs="Arial"/>
          <w:sz w:val="22"/>
          <w:szCs w:val="22"/>
        </w:rPr>
        <w:t>¹), and potassium (190–192 kg ha</w:t>
      </w:r>
      <w:r w:rsidRPr="00AA3FCE">
        <w:rPr>
          <w:rFonts w:ascii="Cambria Math" w:hAnsi="Cambria Math" w:cs="Cambria Math"/>
          <w:sz w:val="22"/>
          <w:szCs w:val="22"/>
        </w:rPr>
        <w:t>⁻</w:t>
      </w:r>
      <w:r w:rsidRPr="00AA3FCE">
        <w:rPr>
          <w:rFonts w:ascii="Arial" w:hAnsi="Arial" w:cs="Arial"/>
          <w:sz w:val="22"/>
          <w:szCs w:val="22"/>
        </w:rPr>
        <w:t>¹). Post-harvest soil samples were also collected from each plot to assess changes in nutrient status due to integrated nutrient management (INM). All analyses were performed following standard laboratory methods (</w:t>
      </w:r>
      <w:proofErr w:type="spellStart"/>
      <w:r w:rsidRPr="00AA3FCE">
        <w:rPr>
          <w:rFonts w:ascii="Arial" w:hAnsi="Arial" w:cs="Arial"/>
          <w:sz w:val="22"/>
          <w:szCs w:val="22"/>
        </w:rPr>
        <w:t>Bremner</w:t>
      </w:r>
      <w:proofErr w:type="spellEnd"/>
      <w:r w:rsidRPr="00AA3FCE">
        <w:rPr>
          <w:rFonts w:ascii="Arial" w:hAnsi="Arial" w:cs="Arial"/>
          <w:sz w:val="22"/>
          <w:szCs w:val="22"/>
        </w:rPr>
        <w:t xml:space="preserve"> </w:t>
      </w:r>
      <w:r w:rsidR="00411434" w:rsidRPr="00AA3FCE">
        <w:rPr>
          <w:rFonts w:ascii="Arial" w:hAnsi="Arial" w:cs="Arial"/>
          <w:sz w:val="22"/>
          <w:szCs w:val="22"/>
        </w:rPr>
        <w:t>and</w:t>
      </w:r>
      <w:r w:rsidRPr="00AA3FCE">
        <w:rPr>
          <w:rFonts w:ascii="Arial" w:hAnsi="Arial" w:cs="Arial"/>
          <w:sz w:val="22"/>
          <w:szCs w:val="22"/>
        </w:rPr>
        <w:t xml:space="preserve"> Mulvaney, 1982; Olsen et al., 1954; </w:t>
      </w:r>
      <w:proofErr w:type="spellStart"/>
      <w:r w:rsidRPr="00AA3FCE">
        <w:rPr>
          <w:rFonts w:ascii="Arial" w:hAnsi="Arial" w:cs="Arial"/>
          <w:sz w:val="22"/>
          <w:szCs w:val="22"/>
        </w:rPr>
        <w:t>Mehlich</w:t>
      </w:r>
      <w:proofErr w:type="spellEnd"/>
      <w:r w:rsidRPr="00AA3FCE">
        <w:rPr>
          <w:rFonts w:ascii="Arial" w:hAnsi="Arial" w:cs="Arial"/>
          <w:sz w:val="22"/>
          <w:szCs w:val="22"/>
        </w:rPr>
        <w:t>, 1984; Van</w:t>
      </w:r>
    </w:p>
    <w:p w14:paraId="584E0E4C" w14:textId="77777777" w:rsidR="00B716B3" w:rsidRDefault="000B45F3" w:rsidP="00FF46C9">
      <w:pPr>
        <w:pStyle w:val="Heading3"/>
        <w:spacing w:line="360" w:lineRule="auto"/>
        <w:jc w:val="both"/>
        <w:rPr>
          <w:rFonts w:ascii="Arial" w:hAnsi="Arial" w:cs="Arial"/>
          <w:sz w:val="22"/>
          <w:szCs w:val="22"/>
        </w:rPr>
      </w:pPr>
      <w:r w:rsidRPr="00AA3FCE">
        <w:rPr>
          <w:rFonts w:ascii="Arial" w:hAnsi="Arial" w:cs="Arial"/>
          <w:sz w:val="22"/>
          <w:szCs w:val="22"/>
        </w:rPr>
        <w:t xml:space="preserve"> </w:t>
      </w:r>
      <w:proofErr w:type="spellStart"/>
      <w:r w:rsidRPr="00AA3FCE">
        <w:rPr>
          <w:rFonts w:ascii="Arial" w:hAnsi="Arial" w:cs="Arial"/>
          <w:sz w:val="22"/>
          <w:szCs w:val="22"/>
        </w:rPr>
        <w:t>Reeuwijk</w:t>
      </w:r>
      <w:proofErr w:type="spellEnd"/>
      <w:r w:rsidRPr="00AA3FCE">
        <w:rPr>
          <w:rFonts w:ascii="Arial" w:hAnsi="Arial" w:cs="Arial"/>
          <w:sz w:val="22"/>
          <w:szCs w:val="22"/>
        </w:rPr>
        <w:t>, 2002).</w:t>
      </w:r>
    </w:p>
    <w:p w14:paraId="29738F9F" w14:textId="77777777" w:rsidR="00B716B3" w:rsidRDefault="00B716B3" w:rsidP="00FF46C9">
      <w:pPr>
        <w:pStyle w:val="Heading3"/>
        <w:spacing w:line="360" w:lineRule="auto"/>
        <w:jc w:val="both"/>
        <w:rPr>
          <w:rFonts w:ascii="Arial" w:hAnsi="Arial" w:cs="Arial"/>
          <w:sz w:val="22"/>
          <w:szCs w:val="22"/>
        </w:rPr>
      </w:pPr>
    </w:p>
    <w:p w14:paraId="37874AB0" w14:textId="77777777" w:rsidR="00B716B3" w:rsidRDefault="00B716B3" w:rsidP="00FF46C9">
      <w:pPr>
        <w:pStyle w:val="Heading3"/>
        <w:spacing w:line="360" w:lineRule="auto"/>
        <w:jc w:val="both"/>
        <w:rPr>
          <w:rFonts w:ascii="Arial" w:hAnsi="Arial" w:cs="Arial"/>
          <w:sz w:val="22"/>
          <w:szCs w:val="22"/>
        </w:rPr>
      </w:pPr>
    </w:p>
    <w:p w14:paraId="22877482" w14:textId="1562C9C5" w:rsidR="00B716B3" w:rsidRDefault="00B716B3" w:rsidP="00FF46C9">
      <w:pPr>
        <w:pStyle w:val="Heading3"/>
        <w:spacing w:line="360" w:lineRule="auto"/>
        <w:jc w:val="both"/>
        <w:rPr>
          <w:rFonts w:ascii="Arial" w:hAnsi="Arial" w:cs="Arial"/>
          <w:sz w:val="22"/>
          <w:szCs w:val="22"/>
        </w:rPr>
      </w:pPr>
      <w:r w:rsidRPr="00AA3FCE">
        <w:rPr>
          <w:rFonts w:ascii="Arial" w:hAnsi="Arial" w:cs="Arial"/>
          <w:noProof/>
          <w:sz w:val="22"/>
          <w:szCs w:val="22"/>
        </w:rPr>
        <w:lastRenderedPageBreak/>
        <w:drawing>
          <wp:anchor distT="0" distB="0" distL="114300" distR="114300" simplePos="0" relativeHeight="251667456" behindDoc="0" locked="0" layoutInCell="1" allowOverlap="1" wp14:anchorId="09E3386D" wp14:editId="6CF8675D">
            <wp:simplePos x="0" y="0"/>
            <wp:positionH relativeFrom="margin">
              <wp:posOffset>0</wp:posOffset>
            </wp:positionH>
            <wp:positionV relativeFrom="margin">
              <wp:posOffset>1046480</wp:posOffset>
            </wp:positionV>
            <wp:extent cx="6293485" cy="27222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ather data.png"/>
                    <pic:cNvPicPr/>
                  </pic:nvPicPr>
                  <pic:blipFill>
                    <a:blip r:embed="rId8">
                      <a:extLst>
                        <a:ext uri="{28A0092B-C50C-407E-A947-70E740481C1C}">
                          <a14:useLocalDpi xmlns:a14="http://schemas.microsoft.com/office/drawing/2010/main" val="0"/>
                        </a:ext>
                      </a:extLst>
                    </a:blip>
                    <a:stretch>
                      <a:fillRect/>
                    </a:stretch>
                  </pic:blipFill>
                  <pic:spPr>
                    <a:xfrm>
                      <a:off x="0" y="0"/>
                      <a:ext cx="6293485" cy="2722245"/>
                    </a:xfrm>
                    <a:prstGeom prst="rect">
                      <a:avLst/>
                    </a:prstGeom>
                  </pic:spPr>
                </pic:pic>
              </a:graphicData>
            </a:graphic>
            <wp14:sizeRelH relativeFrom="margin">
              <wp14:pctWidth>0</wp14:pctWidth>
            </wp14:sizeRelH>
            <wp14:sizeRelV relativeFrom="margin">
              <wp14:pctHeight>0</wp14:pctHeight>
            </wp14:sizeRelV>
          </wp:anchor>
        </w:drawing>
      </w:r>
    </w:p>
    <w:p w14:paraId="712939D6" w14:textId="77777777" w:rsidR="00B716B3" w:rsidRDefault="00B716B3" w:rsidP="00FF46C9">
      <w:pPr>
        <w:pStyle w:val="Heading3"/>
        <w:spacing w:line="360" w:lineRule="auto"/>
        <w:jc w:val="both"/>
        <w:rPr>
          <w:rFonts w:ascii="Arial" w:hAnsi="Arial" w:cs="Arial"/>
          <w:sz w:val="22"/>
          <w:szCs w:val="22"/>
        </w:rPr>
      </w:pPr>
    </w:p>
    <w:p w14:paraId="25B9A104" w14:textId="77777777" w:rsidR="00B716B3" w:rsidRDefault="00B716B3" w:rsidP="00FF46C9">
      <w:pPr>
        <w:pStyle w:val="Heading3"/>
        <w:spacing w:line="360" w:lineRule="auto"/>
        <w:jc w:val="both"/>
        <w:rPr>
          <w:rFonts w:ascii="Arial" w:hAnsi="Arial" w:cs="Arial"/>
          <w:sz w:val="22"/>
          <w:szCs w:val="22"/>
        </w:rPr>
      </w:pPr>
    </w:p>
    <w:p w14:paraId="38C84283" w14:textId="77777777" w:rsidR="00B716B3" w:rsidRDefault="00B716B3" w:rsidP="00FF46C9">
      <w:pPr>
        <w:pStyle w:val="Heading3"/>
        <w:spacing w:line="360" w:lineRule="auto"/>
        <w:jc w:val="both"/>
        <w:rPr>
          <w:rFonts w:ascii="Arial" w:hAnsi="Arial" w:cs="Arial"/>
          <w:sz w:val="22"/>
          <w:szCs w:val="22"/>
        </w:rPr>
      </w:pPr>
    </w:p>
    <w:p w14:paraId="19A965E0" w14:textId="77777777" w:rsidR="00B716B3" w:rsidRPr="00FF46C9" w:rsidRDefault="00FF46C9" w:rsidP="00B716B3">
      <w:pPr>
        <w:rPr>
          <w:i/>
          <w:iCs/>
          <w:lang w:val="en-IN"/>
        </w:rPr>
      </w:pPr>
      <w:r w:rsidRPr="00FF46C9">
        <w:rPr>
          <w:rFonts w:ascii="Arial" w:hAnsi="Arial" w:cs="Arial"/>
          <w:b/>
          <w:sz w:val="22"/>
          <w:szCs w:val="22"/>
        </w:rPr>
        <w:t xml:space="preserve"> </w:t>
      </w:r>
      <w:r w:rsidR="00B716B3" w:rsidRPr="00FF46C9">
        <w:rPr>
          <w:i/>
          <w:iCs/>
          <w:lang w:val="en-IN"/>
        </w:rPr>
        <w:t xml:space="preserve">Fig. 1. </w:t>
      </w:r>
      <w:r w:rsidR="00B716B3" w:rsidRPr="00FF46C9">
        <w:rPr>
          <w:i/>
          <w:iCs/>
        </w:rPr>
        <w:t xml:space="preserve">Weekly distribution of rainfall (mm), maximum temperature (°C), and minimum temperature (°C) during the cropping seasons of </w:t>
      </w:r>
      <w:proofErr w:type="spellStart"/>
      <w:r w:rsidR="00B716B3" w:rsidRPr="00FF46C9">
        <w:rPr>
          <w:i/>
          <w:iCs/>
        </w:rPr>
        <w:t>chilli</w:t>
      </w:r>
      <w:proofErr w:type="spellEnd"/>
      <w:r w:rsidR="00B716B3" w:rsidRPr="00FF46C9">
        <w:rPr>
          <w:i/>
          <w:iCs/>
        </w:rPr>
        <w:t xml:space="preserve"> in 2022–23 and 2023–24.</w:t>
      </w:r>
    </w:p>
    <w:p w14:paraId="39291046" w14:textId="12B5FA59" w:rsidR="00B716B3" w:rsidRDefault="00B716B3" w:rsidP="00FF46C9">
      <w:pPr>
        <w:pStyle w:val="Heading3"/>
        <w:spacing w:line="360" w:lineRule="auto"/>
        <w:jc w:val="both"/>
        <w:rPr>
          <w:rFonts w:ascii="Arial" w:hAnsi="Arial" w:cs="Arial"/>
          <w:b/>
          <w:color w:val="auto"/>
          <w:sz w:val="22"/>
          <w:szCs w:val="22"/>
        </w:rPr>
      </w:pPr>
    </w:p>
    <w:p w14:paraId="69CD6EB7" w14:textId="77777777" w:rsidR="00B716B3" w:rsidRDefault="00B716B3" w:rsidP="00FF46C9">
      <w:pPr>
        <w:pStyle w:val="Heading3"/>
        <w:spacing w:line="360" w:lineRule="auto"/>
        <w:jc w:val="both"/>
        <w:rPr>
          <w:rFonts w:ascii="Arial" w:hAnsi="Arial" w:cs="Arial"/>
          <w:b/>
          <w:color w:val="auto"/>
          <w:sz w:val="22"/>
          <w:szCs w:val="22"/>
        </w:rPr>
      </w:pPr>
    </w:p>
    <w:p w14:paraId="6D17D054" w14:textId="77777777" w:rsidR="00B716B3" w:rsidRDefault="00B716B3" w:rsidP="00FF46C9">
      <w:pPr>
        <w:pStyle w:val="Heading3"/>
        <w:spacing w:line="360" w:lineRule="auto"/>
        <w:jc w:val="both"/>
        <w:rPr>
          <w:rFonts w:ascii="Arial" w:hAnsi="Arial" w:cs="Arial"/>
          <w:b/>
          <w:color w:val="auto"/>
          <w:sz w:val="22"/>
          <w:szCs w:val="22"/>
        </w:rPr>
      </w:pPr>
    </w:p>
    <w:p w14:paraId="67AE226B" w14:textId="58206036" w:rsidR="00FF46C9" w:rsidRDefault="00FF46C9" w:rsidP="00FF46C9">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2.3 Experimental Material, Treatments and Experimental Design</w:t>
      </w:r>
    </w:p>
    <w:p w14:paraId="2B64D3E3" w14:textId="77777777" w:rsidR="00FF46C9" w:rsidRPr="00FF46C9" w:rsidRDefault="00FF46C9" w:rsidP="00FF46C9"/>
    <w:p w14:paraId="20487B0D" w14:textId="6A5A5433" w:rsidR="000B45F3" w:rsidRPr="00AA3FCE" w:rsidRDefault="000B45F3" w:rsidP="000B45F3">
      <w:pPr>
        <w:pStyle w:val="NormalWeb"/>
        <w:spacing w:line="360" w:lineRule="auto"/>
        <w:jc w:val="both"/>
        <w:rPr>
          <w:rFonts w:ascii="Arial" w:hAnsi="Arial" w:cs="Arial"/>
          <w:sz w:val="22"/>
          <w:szCs w:val="22"/>
        </w:rPr>
      </w:pPr>
      <w:r w:rsidRPr="00AA3FCE">
        <w:rPr>
          <w:rFonts w:ascii="Arial" w:hAnsi="Arial" w:cs="Arial"/>
          <w:sz w:val="22"/>
          <w:szCs w:val="22"/>
        </w:rPr>
        <w:t>The experiment was conducted on chilli (</w:t>
      </w:r>
      <w:r w:rsidRPr="00AA3FCE">
        <w:rPr>
          <w:rStyle w:val="Emphasis"/>
          <w:rFonts w:ascii="Arial" w:hAnsi="Arial" w:cs="Arial"/>
          <w:sz w:val="22"/>
          <w:szCs w:val="22"/>
        </w:rPr>
        <w:t>Capsicum annuum</w:t>
      </w:r>
      <w:r w:rsidRPr="00AA3FCE">
        <w:rPr>
          <w:rFonts w:ascii="Arial" w:hAnsi="Arial" w:cs="Arial"/>
          <w:sz w:val="22"/>
          <w:szCs w:val="22"/>
        </w:rPr>
        <w:t xml:space="preserve"> L.) variety </w:t>
      </w:r>
      <w:r w:rsidRPr="00AA3FCE">
        <w:rPr>
          <w:rStyle w:val="Strong"/>
          <w:rFonts w:ascii="Arial" w:hAnsi="Arial" w:cs="Arial"/>
          <w:b w:val="0"/>
          <w:sz w:val="22"/>
          <w:szCs w:val="22"/>
        </w:rPr>
        <w:t>Kashi Anmol</w:t>
      </w:r>
      <w:r w:rsidRPr="00AA3FCE">
        <w:rPr>
          <w:rFonts w:ascii="Arial" w:hAnsi="Arial" w:cs="Arial"/>
          <w:sz w:val="22"/>
          <w:szCs w:val="22"/>
        </w:rPr>
        <w:t>, known for its high yield potential and adaptability to subtropical conditions. The experiment consisted of 13 treatments (Table 1), combining inorganic fertilizers, organic manures, and biofertilizers (</w:t>
      </w:r>
      <w:proofErr w:type="spellStart"/>
      <w:r w:rsidRPr="00AA3FCE">
        <w:rPr>
          <w:rFonts w:ascii="Arial" w:hAnsi="Arial" w:cs="Arial"/>
          <w:sz w:val="22"/>
          <w:szCs w:val="22"/>
        </w:rPr>
        <w:t>Azospirillum</w:t>
      </w:r>
      <w:proofErr w:type="spellEnd"/>
      <w:r w:rsidRPr="00AA3FCE">
        <w:rPr>
          <w:rFonts w:ascii="Arial" w:hAnsi="Arial" w:cs="Arial"/>
          <w:sz w:val="22"/>
          <w:szCs w:val="22"/>
        </w:rPr>
        <w:t xml:space="preserve"> + Phosphate Solubilizing Bacteria). Treatments were arranged in a Randomized Block Design (RBD) with three replications. Each treatment was applied to a 3 × 3 m plot containing 25 plants, planted at 60 × 45 cm spacing to ensure uniform growth, aeration, and nutrient uptake.</w:t>
      </w:r>
    </w:p>
    <w:p w14:paraId="17A56BAE" w14:textId="78DA38BD" w:rsidR="000B45F3" w:rsidRPr="00AA3FCE" w:rsidRDefault="000B45F3" w:rsidP="000B45F3">
      <w:pPr>
        <w:jc w:val="both"/>
        <w:rPr>
          <w:rFonts w:ascii="Arial" w:hAnsi="Arial" w:cs="Arial"/>
          <w:b/>
          <w:sz w:val="22"/>
          <w:szCs w:val="22"/>
        </w:rPr>
      </w:pPr>
      <w:r w:rsidRPr="00AA3FCE">
        <w:rPr>
          <w:rFonts w:ascii="Arial" w:hAnsi="Arial" w:cs="Arial"/>
          <w:b/>
          <w:sz w:val="22"/>
          <w:szCs w:val="22"/>
        </w:rPr>
        <w:t>Table 1: List of Treatment Details</w:t>
      </w:r>
    </w:p>
    <w:tbl>
      <w:tblPr>
        <w:tblStyle w:val="TableGrid"/>
        <w:tblW w:w="0" w:type="auto"/>
        <w:tblLook w:val="04A0" w:firstRow="1" w:lastRow="0" w:firstColumn="1" w:lastColumn="0" w:noHBand="0" w:noVBand="1"/>
      </w:tblPr>
      <w:tblGrid>
        <w:gridCol w:w="1011"/>
        <w:gridCol w:w="8565"/>
      </w:tblGrid>
      <w:tr w:rsidR="000B45F3" w:rsidRPr="00AA3FCE" w14:paraId="716EBA6C" w14:textId="77777777" w:rsidTr="00487C38">
        <w:tc>
          <w:tcPr>
            <w:tcW w:w="0" w:type="auto"/>
            <w:hideMark/>
          </w:tcPr>
          <w:p w14:paraId="4020B067" w14:textId="77777777" w:rsidR="000B45F3" w:rsidRPr="00AA3FCE" w:rsidRDefault="000B45F3" w:rsidP="00487C38">
            <w:pPr>
              <w:jc w:val="center"/>
              <w:rPr>
                <w:rFonts w:ascii="Arial" w:eastAsia="Times New Roman" w:hAnsi="Arial" w:cs="Arial"/>
                <w:b/>
                <w:bCs/>
                <w:lang w:eastAsia="en-IN"/>
              </w:rPr>
            </w:pPr>
            <w:r w:rsidRPr="00AA3FCE">
              <w:rPr>
                <w:rFonts w:ascii="Arial" w:eastAsia="Times New Roman" w:hAnsi="Arial" w:cs="Arial"/>
                <w:b/>
                <w:bCs/>
                <w:lang w:eastAsia="en-IN"/>
              </w:rPr>
              <w:t>Symbol</w:t>
            </w:r>
          </w:p>
        </w:tc>
        <w:tc>
          <w:tcPr>
            <w:tcW w:w="0" w:type="auto"/>
            <w:hideMark/>
          </w:tcPr>
          <w:p w14:paraId="411C301E" w14:textId="77777777" w:rsidR="000B45F3" w:rsidRPr="00AA3FCE" w:rsidRDefault="000B45F3" w:rsidP="00487C38">
            <w:pPr>
              <w:jc w:val="center"/>
              <w:rPr>
                <w:rFonts w:ascii="Arial" w:eastAsia="Times New Roman" w:hAnsi="Arial" w:cs="Arial"/>
                <w:b/>
                <w:bCs/>
                <w:lang w:eastAsia="en-IN"/>
              </w:rPr>
            </w:pPr>
            <w:r w:rsidRPr="00AA3FCE">
              <w:rPr>
                <w:rFonts w:ascii="Arial" w:eastAsia="Times New Roman" w:hAnsi="Arial" w:cs="Arial"/>
                <w:b/>
                <w:bCs/>
                <w:lang w:eastAsia="en-IN"/>
              </w:rPr>
              <w:t>Treatment Description</w:t>
            </w:r>
          </w:p>
        </w:tc>
      </w:tr>
      <w:tr w:rsidR="000B45F3" w:rsidRPr="00AA3FCE" w14:paraId="7404D86E" w14:textId="77777777" w:rsidTr="00487C38">
        <w:tc>
          <w:tcPr>
            <w:tcW w:w="0" w:type="auto"/>
            <w:hideMark/>
          </w:tcPr>
          <w:p w14:paraId="3FF2C509"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1</w:t>
            </w:r>
          </w:p>
        </w:tc>
        <w:tc>
          <w:tcPr>
            <w:tcW w:w="0" w:type="auto"/>
            <w:hideMark/>
          </w:tcPr>
          <w:p w14:paraId="5F7DB13A"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Vermicompost (100% @ 6 t/ha)</w:t>
            </w:r>
          </w:p>
        </w:tc>
      </w:tr>
      <w:tr w:rsidR="000B45F3" w:rsidRPr="00AA3FCE" w14:paraId="5B178C84" w14:textId="77777777" w:rsidTr="00487C38">
        <w:tc>
          <w:tcPr>
            <w:tcW w:w="0" w:type="auto"/>
            <w:hideMark/>
          </w:tcPr>
          <w:p w14:paraId="78EFF668"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2</w:t>
            </w:r>
          </w:p>
        </w:tc>
        <w:tc>
          <w:tcPr>
            <w:tcW w:w="0" w:type="auto"/>
            <w:hideMark/>
          </w:tcPr>
          <w:p w14:paraId="28CCFD20"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Farmyard Manure (100% @ 25 t/ha)</w:t>
            </w:r>
          </w:p>
        </w:tc>
      </w:tr>
      <w:tr w:rsidR="000B45F3" w:rsidRPr="00AA3FCE" w14:paraId="2F44D6A7" w14:textId="77777777" w:rsidTr="00487C38">
        <w:tc>
          <w:tcPr>
            <w:tcW w:w="0" w:type="auto"/>
            <w:hideMark/>
          </w:tcPr>
          <w:p w14:paraId="31768044"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3</w:t>
            </w:r>
          </w:p>
        </w:tc>
        <w:tc>
          <w:tcPr>
            <w:tcW w:w="0" w:type="auto"/>
            <w:hideMark/>
          </w:tcPr>
          <w:p w14:paraId="2A238227"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Poultry Manure (100% @ 5 t/ha)</w:t>
            </w:r>
          </w:p>
        </w:tc>
      </w:tr>
      <w:tr w:rsidR="000B45F3" w:rsidRPr="00AA3FCE" w14:paraId="0C981DDB" w14:textId="77777777" w:rsidTr="00487C38">
        <w:tc>
          <w:tcPr>
            <w:tcW w:w="0" w:type="auto"/>
            <w:hideMark/>
          </w:tcPr>
          <w:p w14:paraId="7EEB9F41" w14:textId="77777777" w:rsidR="000B45F3" w:rsidRPr="00AA3FCE" w:rsidRDefault="000B45F3" w:rsidP="00487C38">
            <w:pPr>
              <w:jc w:val="both"/>
              <w:rPr>
                <w:rFonts w:ascii="Arial" w:hAnsi="Arial" w:cs="Arial"/>
              </w:rPr>
            </w:pPr>
            <w:r w:rsidRPr="00AA3FCE">
              <w:rPr>
                <w:rFonts w:ascii="Arial" w:hAnsi="Arial" w:cs="Arial"/>
              </w:rPr>
              <w:lastRenderedPageBreak/>
              <w:t>T</w:t>
            </w:r>
            <w:r w:rsidRPr="00AA3FCE">
              <w:rPr>
                <w:rFonts w:ascii="Arial" w:hAnsi="Arial" w:cs="Arial"/>
                <w:vertAlign w:val="subscript"/>
              </w:rPr>
              <w:t>4</w:t>
            </w:r>
          </w:p>
        </w:tc>
        <w:tc>
          <w:tcPr>
            <w:tcW w:w="0" w:type="auto"/>
            <w:hideMark/>
          </w:tcPr>
          <w:p w14:paraId="3049719B"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RDF (100% @ 150 kg N, 60 kg P</w:t>
            </w:r>
            <w:r w:rsidRPr="00AA3FCE">
              <w:rPr>
                <w:rFonts w:ascii="Cambria Math" w:eastAsia="Times New Roman" w:hAnsi="Cambria Math" w:cs="Cambria Math"/>
                <w:lang w:eastAsia="en-IN"/>
              </w:rPr>
              <w:t>₂</w:t>
            </w:r>
            <w:r w:rsidRPr="00AA3FCE">
              <w:rPr>
                <w:rFonts w:ascii="Arial" w:eastAsia="Times New Roman" w:hAnsi="Arial" w:cs="Arial"/>
                <w:lang w:eastAsia="en-IN"/>
              </w:rPr>
              <w:t>O</w:t>
            </w:r>
            <w:r w:rsidRPr="00AA3FCE">
              <w:rPr>
                <w:rFonts w:ascii="Cambria Math" w:eastAsia="Times New Roman" w:hAnsi="Cambria Math" w:cs="Cambria Math"/>
                <w:lang w:eastAsia="en-IN"/>
              </w:rPr>
              <w:t>₅</w:t>
            </w:r>
            <w:r w:rsidRPr="00AA3FCE">
              <w:rPr>
                <w:rFonts w:ascii="Arial" w:eastAsia="Times New Roman" w:hAnsi="Arial" w:cs="Arial"/>
                <w:lang w:eastAsia="en-IN"/>
              </w:rPr>
              <w:t>, 60 kg K</w:t>
            </w:r>
            <w:r w:rsidRPr="00AA3FCE">
              <w:rPr>
                <w:rFonts w:ascii="Cambria Math" w:eastAsia="Times New Roman" w:hAnsi="Cambria Math" w:cs="Cambria Math"/>
                <w:lang w:eastAsia="en-IN"/>
              </w:rPr>
              <w:t>₂</w:t>
            </w:r>
            <w:r w:rsidRPr="00AA3FCE">
              <w:rPr>
                <w:rFonts w:ascii="Arial" w:eastAsia="Times New Roman" w:hAnsi="Arial" w:cs="Arial"/>
                <w:lang w:eastAsia="en-IN"/>
              </w:rPr>
              <w:t>O/ha)</w:t>
            </w:r>
          </w:p>
        </w:tc>
      </w:tr>
      <w:tr w:rsidR="000B45F3" w:rsidRPr="00AA3FCE" w14:paraId="783FC86B" w14:textId="77777777" w:rsidTr="00487C38">
        <w:tc>
          <w:tcPr>
            <w:tcW w:w="0" w:type="auto"/>
            <w:hideMark/>
          </w:tcPr>
          <w:p w14:paraId="42BE062B"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5</w:t>
            </w:r>
          </w:p>
        </w:tc>
        <w:tc>
          <w:tcPr>
            <w:tcW w:w="0" w:type="auto"/>
            <w:hideMark/>
          </w:tcPr>
          <w:p w14:paraId="0EFF6E86"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(50%) + VC (50%)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5ACCFE08" w14:textId="77777777" w:rsidTr="00487C38">
        <w:tc>
          <w:tcPr>
            <w:tcW w:w="0" w:type="auto"/>
            <w:hideMark/>
          </w:tcPr>
          <w:p w14:paraId="41F8A47C"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6</w:t>
            </w:r>
          </w:p>
        </w:tc>
        <w:tc>
          <w:tcPr>
            <w:tcW w:w="0" w:type="auto"/>
            <w:hideMark/>
          </w:tcPr>
          <w:p w14:paraId="7ACB0D5F"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(50%) + FYM (50%)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209D9A77" w14:textId="77777777" w:rsidTr="00487C38">
        <w:tc>
          <w:tcPr>
            <w:tcW w:w="0" w:type="auto"/>
            <w:hideMark/>
          </w:tcPr>
          <w:p w14:paraId="053A50F3"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7</w:t>
            </w:r>
          </w:p>
        </w:tc>
        <w:tc>
          <w:tcPr>
            <w:tcW w:w="0" w:type="auto"/>
            <w:hideMark/>
          </w:tcPr>
          <w:p w14:paraId="29403E2A"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(50%) + PM (50%)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7C5A8E12" w14:textId="77777777" w:rsidTr="00487C38">
        <w:tc>
          <w:tcPr>
            <w:tcW w:w="0" w:type="auto"/>
            <w:hideMark/>
          </w:tcPr>
          <w:p w14:paraId="593B8C77"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8</w:t>
            </w:r>
          </w:p>
        </w:tc>
        <w:tc>
          <w:tcPr>
            <w:tcW w:w="0" w:type="auto"/>
            <w:hideMark/>
          </w:tcPr>
          <w:p w14:paraId="5C8884C6"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(50%) + 16.6% VC + 16.6% FYM + 16.6% PM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0A3E4B46" w14:textId="77777777" w:rsidTr="00487C38">
        <w:tc>
          <w:tcPr>
            <w:tcW w:w="0" w:type="auto"/>
            <w:hideMark/>
          </w:tcPr>
          <w:p w14:paraId="39094931"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9</w:t>
            </w:r>
          </w:p>
        </w:tc>
        <w:tc>
          <w:tcPr>
            <w:tcW w:w="0" w:type="auto"/>
            <w:hideMark/>
          </w:tcPr>
          <w:p w14:paraId="3449B1FF"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(25%) + VC (75%)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648A3DB5" w14:textId="77777777" w:rsidTr="00487C38">
        <w:tc>
          <w:tcPr>
            <w:tcW w:w="0" w:type="auto"/>
            <w:hideMark/>
          </w:tcPr>
          <w:p w14:paraId="12DA626C"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10</w:t>
            </w:r>
          </w:p>
        </w:tc>
        <w:tc>
          <w:tcPr>
            <w:tcW w:w="0" w:type="auto"/>
            <w:hideMark/>
          </w:tcPr>
          <w:p w14:paraId="5EFE803B"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(25%) + FYM (75%)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4B8CE3A0" w14:textId="77777777" w:rsidTr="00487C38">
        <w:tc>
          <w:tcPr>
            <w:tcW w:w="0" w:type="auto"/>
            <w:hideMark/>
          </w:tcPr>
          <w:p w14:paraId="266E46A3"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11</w:t>
            </w:r>
          </w:p>
        </w:tc>
        <w:tc>
          <w:tcPr>
            <w:tcW w:w="0" w:type="auto"/>
            <w:hideMark/>
          </w:tcPr>
          <w:p w14:paraId="6F9894AF"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(25%) + PM (75%)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52BA25A7" w14:textId="77777777" w:rsidTr="00487C38">
        <w:tc>
          <w:tcPr>
            <w:tcW w:w="0" w:type="auto"/>
            <w:hideMark/>
          </w:tcPr>
          <w:p w14:paraId="77055A3F"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12</w:t>
            </w:r>
          </w:p>
        </w:tc>
        <w:tc>
          <w:tcPr>
            <w:tcW w:w="0" w:type="auto"/>
            <w:hideMark/>
          </w:tcPr>
          <w:p w14:paraId="23641D06"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(25%) + 25% VC + 25% FYM + 25% PM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5347B0FE" w14:textId="77777777" w:rsidTr="00487C38">
        <w:tc>
          <w:tcPr>
            <w:tcW w:w="0" w:type="auto"/>
            <w:hideMark/>
          </w:tcPr>
          <w:p w14:paraId="4A435388"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13</w:t>
            </w:r>
          </w:p>
        </w:tc>
        <w:tc>
          <w:tcPr>
            <w:tcW w:w="0" w:type="auto"/>
            <w:hideMark/>
          </w:tcPr>
          <w:p w14:paraId="13E85669"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Control (no fertilizer or manure)</w:t>
            </w:r>
          </w:p>
        </w:tc>
      </w:tr>
    </w:tbl>
    <w:p w14:paraId="005DD89E" w14:textId="77777777" w:rsidR="000B45F3" w:rsidRPr="00AA3FCE" w:rsidRDefault="000B45F3" w:rsidP="000B45F3">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2.5 Agronomic Practices and Observations</w:t>
      </w:r>
    </w:p>
    <w:p w14:paraId="2B4BDECC" w14:textId="77777777" w:rsidR="000B45F3" w:rsidRPr="00AA3FCE" w:rsidRDefault="000B45F3" w:rsidP="000B45F3">
      <w:pPr>
        <w:pStyle w:val="NormalWeb"/>
        <w:spacing w:line="360" w:lineRule="auto"/>
        <w:jc w:val="both"/>
        <w:rPr>
          <w:rFonts w:ascii="Arial" w:hAnsi="Arial" w:cs="Arial"/>
          <w:sz w:val="22"/>
          <w:szCs w:val="22"/>
        </w:rPr>
      </w:pPr>
      <w:r w:rsidRPr="00AA3FCE">
        <w:rPr>
          <w:rFonts w:ascii="Arial" w:hAnsi="Arial" w:cs="Arial"/>
          <w:sz w:val="22"/>
          <w:szCs w:val="22"/>
        </w:rPr>
        <w:t>Uniform agronomic practices, including irrigation, weeding, staking, and pest management, were followed across all treatments. Bio-fertilizers were applied at 2.5 kg ha</w:t>
      </w:r>
      <w:r w:rsidRPr="00AA3FCE">
        <w:rPr>
          <w:rFonts w:ascii="Cambria Math" w:hAnsi="Cambria Math" w:cs="Cambria Math"/>
          <w:sz w:val="22"/>
          <w:szCs w:val="22"/>
        </w:rPr>
        <w:t>⁻</w:t>
      </w:r>
      <w:r w:rsidRPr="00AA3FCE">
        <w:rPr>
          <w:rFonts w:ascii="Arial" w:hAnsi="Arial" w:cs="Arial"/>
          <w:sz w:val="22"/>
          <w:szCs w:val="22"/>
        </w:rPr>
        <w:t>¹ according to the treatment schedule. Fruits were harvested at full maturity for yield and quality assessment. Growth, yield, and yield-contributing traits were recorded, including plant height at 30 days after transplanting (PH30DAT, cm), number of primary branches per plant (NPB30DAT), leaf area index (LAI30DAT, m²), inter-nodal length (IL30DAT, cm), number of fruits per plant (NFPP), and fruit yield per plot (FYPP, kg). These parameters provided comprehensive insights into the performance and productivity of chilli under different nutrient management strategies.</w:t>
      </w:r>
    </w:p>
    <w:p w14:paraId="18AEF0D6" w14:textId="77777777" w:rsidR="000B45F3" w:rsidRPr="00AA3FCE" w:rsidRDefault="000B45F3" w:rsidP="000B45F3">
      <w:pPr>
        <w:pStyle w:val="NormalWeb"/>
        <w:spacing w:line="360" w:lineRule="auto"/>
        <w:jc w:val="both"/>
        <w:rPr>
          <w:rFonts w:ascii="Arial" w:hAnsi="Arial" w:cs="Arial"/>
          <w:b/>
          <w:sz w:val="22"/>
          <w:szCs w:val="22"/>
        </w:rPr>
      </w:pPr>
      <w:r w:rsidRPr="00AA3FCE">
        <w:rPr>
          <w:rFonts w:ascii="Arial" w:hAnsi="Arial" w:cs="Arial"/>
          <w:b/>
          <w:sz w:val="22"/>
          <w:szCs w:val="22"/>
        </w:rPr>
        <w:t xml:space="preserve">2.6 Statistical Analysis </w:t>
      </w:r>
    </w:p>
    <w:p w14:paraId="0A59F080" w14:textId="77777777" w:rsidR="000B45F3" w:rsidRPr="00AA3FCE" w:rsidRDefault="000B45F3" w:rsidP="000B45F3">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The experimental data recorded on growth and yield attributes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under different integrated nutrient management (INM) treatments were subjected to analysis of variance (ANOVA) following the standard procedure for randomized block design (RBD) as described by </w:t>
      </w:r>
      <w:proofErr w:type="spellStart"/>
      <w:r w:rsidRPr="00AA3FCE">
        <w:rPr>
          <w:rFonts w:ascii="Arial" w:hAnsi="Arial" w:cs="Arial"/>
          <w:sz w:val="22"/>
          <w:szCs w:val="22"/>
          <w:lang w:eastAsia="en-IN"/>
        </w:rPr>
        <w:t>Panse</w:t>
      </w:r>
      <w:proofErr w:type="spellEnd"/>
      <w:r w:rsidRPr="00AA3FCE">
        <w:rPr>
          <w:rFonts w:ascii="Arial" w:hAnsi="Arial" w:cs="Arial"/>
          <w:sz w:val="22"/>
          <w:szCs w:val="22"/>
          <w:lang w:eastAsia="en-IN"/>
        </w:rPr>
        <w:t xml:space="preserve"> and </w:t>
      </w:r>
      <w:proofErr w:type="spellStart"/>
      <w:r w:rsidRPr="00AA3FCE">
        <w:rPr>
          <w:rFonts w:ascii="Arial" w:hAnsi="Arial" w:cs="Arial"/>
          <w:sz w:val="22"/>
          <w:szCs w:val="22"/>
          <w:lang w:eastAsia="en-IN"/>
        </w:rPr>
        <w:t>Sukhatme</w:t>
      </w:r>
      <w:proofErr w:type="spellEnd"/>
      <w:r w:rsidRPr="00AA3FCE">
        <w:rPr>
          <w:rFonts w:ascii="Arial" w:hAnsi="Arial" w:cs="Arial"/>
          <w:sz w:val="22"/>
          <w:szCs w:val="22"/>
          <w:lang w:eastAsia="en-IN"/>
        </w:rPr>
        <w:t xml:space="preserve"> (1985). Pooled analysis of variance was performed over two years to evaluate the consistency of treatment effects across environments.</w:t>
      </w:r>
      <w:r w:rsidR="00411434" w:rsidRPr="00AA3FCE">
        <w:rPr>
          <w:rFonts w:ascii="Arial" w:hAnsi="Arial" w:cs="Arial"/>
          <w:sz w:val="22"/>
          <w:szCs w:val="22"/>
          <w:lang w:eastAsia="en-IN"/>
        </w:rPr>
        <w:t xml:space="preserve"> </w:t>
      </w:r>
      <w:r w:rsidRPr="00AA3FCE">
        <w:rPr>
          <w:rFonts w:ascii="Arial" w:hAnsi="Arial" w:cs="Arial"/>
          <w:sz w:val="22"/>
          <w:szCs w:val="22"/>
          <w:lang w:eastAsia="en-IN"/>
        </w:rPr>
        <w:t xml:space="preserve">The significance of treatment differences was tested using the </w:t>
      </w:r>
      <w:r w:rsidRPr="00AA3FCE">
        <w:rPr>
          <w:rFonts w:ascii="Arial" w:hAnsi="Arial" w:cs="Arial"/>
          <w:i/>
          <w:iCs/>
          <w:sz w:val="22"/>
          <w:szCs w:val="22"/>
          <w:lang w:eastAsia="en-IN"/>
        </w:rPr>
        <w:t>F</w:t>
      </w:r>
      <w:r w:rsidRPr="00AA3FCE">
        <w:rPr>
          <w:rFonts w:ascii="Arial" w:hAnsi="Arial" w:cs="Arial"/>
          <w:sz w:val="22"/>
          <w:szCs w:val="22"/>
          <w:lang w:eastAsia="en-IN"/>
        </w:rPr>
        <w:t>-test at 5% probability level. The standard error of mean (</w:t>
      </w:r>
      <w:proofErr w:type="spellStart"/>
      <w:r w:rsidRPr="00AA3FCE">
        <w:rPr>
          <w:rFonts w:ascii="Arial" w:hAnsi="Arial" w:cs="Arial"/>
          <w:sz w:val="22"/>
          <w:szCs w:val="22"/>
          <w:lang w:eastAsia="en-IN"/>
        </w:rPr>
        <w:t>SEm</w:t>
      </w:r>
      <w:proofErr w:type="spellEnd"/>
      <w:r w:rsidRPr="00AA3FCE">
        <w:rPr>
          <w:rFonts w:ascii="Arial" w:hAnsi="Arial" w:cs="Arial"/>
          <w:sz w:val="22"/>
          <w:szCs w:val="22"/>
          <w:lang w:eastAsia="en-IN"/>
        </w:rPr>
        <w:t xml:space="preserve"> ±) and least significant difference (LSD) at 5% probability level were calculated to facilitate comparison of treatment means wherever the </w:t>
      </w:r>
      <w:r w:rsidRPr="00AA3FCE">
        <w:rPr>
          <w:rFonts w:ascii="Arial" w:hAnsi="Arial" w:cs="Arial"/>
          <w:i/>
          <w:iCs/>
          <w:sz w:val="22"/>
          <w:szCs w:val="22"/>
          <w:lang w:eastAsia="en-IN"/>
        </w:rPr>
        <w:t>F</w:t>
      </w:r>
      <w:r w:rsidRPr="00AA3FCE">
        <w:rPr>
          <w:rFonts w:ascii="Arial" w:hAnsi="Arial" w:cs="Arial"/>
          <w:sz w:val="22"/>
          <w:szCs w:val="22"/>
          <w:lang w:eastAsia="en-IN"/>
        </w:rPr>
        <w:t>-test was significant. The critical difference (CD) values were also computed to identify the magnitude of difference required for statistical significance. Statistical computations were carried out using OPSTAT and R-studio.</w:t>
      </w:r>
    </w:p>
    <w:p w14:paraId="376C1F2A" w14:textId="77777777" w:rsidR="00902823" w:rsidRDefault="00000F8F" w:rsidP="00411434">
      <w:pPr>
        <w:pStyle w:val="Head1"/>
        <w:spacing w:after="0" w:line="360" w:lineRule="auto"/>
        <w:jc w:val="both"/>
        <w:rPr>
          <w:rFonts w:ascii="Arial" w:hAnsi="Arial" w:cs="Arial"/>
          <w:szCs w:val="22"/>
        </w:rPr>
      </w:pPr>
      <w:r w:rsidRPr="00AA3FCE">
        <w:rPr>
          <w:rFonts w:ascii="Arial" w:hAnsi="Arial" w:cs="Arial"/>
          <w:szCs w:val="22"/>
        </w:rPr>
        <w:lastRenderedPageBreak/>
        <w:t>3</w:t>
      </w:r>
      <w:r w:rsidR="00902823" w:rsidRPr="00AA3FCE">
        <w:rPr>
          <w:rFonts w:ascii="Arial" w:hAnsi="Arial" w:cs="Arial"/>
          <w:szCs w:val="22"/>
        </w:rPr>
        <w:t xml:space="preserve">. </w:t>
      </w:r>
      <w:r w:rsidRPr="00AA3FCE">
        <w:rPr>
          <w:rFonts w:ascii="Arial" w:hAnsi="Arial" w:cs="Arial"/>
          <w:szCs w:val="22"/>
        </w:rPr>
        <w:t>results and discussion</w:t>
      </w:r>
    </w:p>
    <w:p w14:paraId="49F45EBB" w14:textId="026F11DE" w:rsidR="00281901" w:rsidRPr="00281901" w:rsidRDefault="00281901" w:rsidP="00281901">
      <w:pPr>
        <w:pStyle w:val="Head1"/>
        <w:spacing w:after="0" w:line="360" w:lineRule="auto"/>
        <w:jc w:val="both"/>
        <w:rPr>
          <w:rFonts w:ascii="Arial" w:hAnsi="Arial" w:cs="Arial"/>
          <w:b w:val="0"/>
          <w:szCs w:val="22"/>
        </w:rPr>
      </w:pPr>
      <w:r w:rsidRPr="00281901">
        <w:rPr>
          <w:rFonts w:ascii="Arial" w:hAnsi="Arial" w:cs="Arial"/>
          <w:b w:val="0"/>
          <w:caps w:val="0"/>
          <w:szCs w:val="22"/>
        </w:rPr>
        <w:t xml:space="preserve">The effect of different combinations of integrated nutrient management had significantly </w:t>
      </w:r>
      <w:r>
        <w:rPr>
          <w:rFonts w:ascii="Arial" w:hAnsi="Arial" w:cs="Arial"/>
          <w:b w:val="0"/>
          <w:caps w:val="0"/>
          <w:szCs w:val="22"/>
        </w:rPr>
        <w:t>affected</w:t>
      </w:r>
      <w:r w:rsidRPr="00281901">
        <w:rPr>
          <w:rFonts w:ascii="Arial" w:hAnsi="Arial" w:cs="Arial"/>
          <w:b w:val="0"/>
          <w:caps w:val="0"/>
          <w:szCs w:val="22"/>
        </w:rPr>
        <w:t xml:space="preserve"> the </w:t>
      </w:r>
      <w:r>
        <w:rPr>
          <w:rFonts w:ascii="Arial" w:hAnsi="Arial" w:cs="Arial"/>
          <w:b w:val="0"/>
          <w:caps w:val="0"/>
          <w:szCs w:val="22"/>
        </w:rPr>
        <w:t>growth and yield attributes</w:t>
      </w:r>
      <w:r w:rsidRPr="00281901">
        <w:rPr>
          <w:rFonts w:ascii="Arial" w:hAnsi="Arial" w:cs="Arial"/>
          <w:b w:val="0"/>
          <w:caps w:val="0"/>
          <w:szCs w:val="22"/>
        </w:rPr>
        <w:t xml:space="preserve">. The observations are presented in </w:t>
      </w:r>
      <w:r>
        <w:rPr>
          <w:rFonts w:ascii="Arial" w:hAnsi="Arial" w:cs="Arial"/>
          <w:b w:val="0"/>
          <w:caps w:val="0"/>
          <w:szCs w:val="22"/>
        </w:rPr>
        <w:t>T</w:t>
      </w:r>
      <w:r w:rsidRPr="00281901">
        <w:rPr>
          <w:rFonts w:ascii="Arial" w:hAnsi="Arial" w:cs="Arial"/>
          <w:b w:val="0"/>
          <w:caps w:val="0"/>
          <w:szCs w:val="22"/>
        </w:rPr>
        <w:t xml:space="preserve">able </w:t>
      </w:r>
      <w:r w:rsidR="00AD2003">
        <w:rPr>
          <w:rFonts w:ascii="Arial" w:hAnsi="Arial" w:cs="Arial"/>
          <w:b w:val="0"/>
          <w:caps w:val="0"/>
          <w:szCs w:val="22"/>
        </w:rPr>
        <w:t>2</w:t>
      </w:r>
    </w:p>
    <w:p w14:paraId="3EE308EC" w14:textId="77777777" w:rsidR="008259F9" w:rsidRPr="00AA3FCE" w:rsidRDefault="003D1061" w:rsidP="00411434">
      <w:pPr>
        <w:pStyle w:val="Heading3"/>
        <w:spacing w:line="360" w:lineRule="auto"/>
        <w:jc w:val="both"/>
        <w:rPr>
          <w:rFonts w:ascii="Arial" w:hAnsi="Arial" w:cs="Arial"/>
          <w:b/>
          <w:color w:val="auto"/>
          <w:sz w:val="22"/>
          <w:szCs w:val="22"/>
        </w:rPr>
      </w:pPr>
      <w:r w:rsidRPr="00AA3FCE">
        <w:rPr>
          <w:rFonts w:ascii="Arial" w:eastAsia="Times New Roman" w:hAnsi="Arial" w:cs="Arial"/>
          <w:b/>
          <w:caps/>
          <w:color w:val="auto"/>
          <w:sz w:val="22"/>
          <w:szCs w:val="22"/>
        </w:rPr>
        <w:t xml:space="preserve">3.1 </w:t>
      </w:r>
      <w:r w:rsidR="008259F9" w:rsidRPr="00AA3FCE">
        <w:rPr>
          <w:rFonts w:ascii="Arial" w:hAnsi="Arial" w:cs="Arial"/>
          <w:b/>
          <w:color w:val="auto"/>
          <w:sz w:val="22"/>
          <w:szCs w:val="22"/>
        </w:rPr>
        <w:t>Plant Height (PH) at 30 DAT</w:t>
      </w:r>
    </w:p>
    <w:p w14:paraId="26DA092C" w14:textId="77777777" w:rsidR="00716842" w:rsidRPr="00AA3FCE" w:rsidRDefault="00716842" w:rsidP="00716842">
      <w:pPr>
        <w:pStyle w:val="NormalWeb"/>
        <w:spacing w:line="360" w:lineRule="auto"/>
        <w:jc w:val="both"/>
        <w:rPr>
          <w:rFonts w:ascii="Arial" w:hAnsi="Arial" w:cs="Arial"/>
          <w:sz w:val="22"/>
          <w:szCs w:val="22"/>
        </w:rPr>
      </w:pPr>
      <w:r w:rsidRPr="00AA3FCE">
        <w:rPr>
          <w:rFonts w:ascii="Arial" w:hAnsi="Arial" w:cs="Arial"/>
          <w:sz w:val="22"/>
          <w:szCs w:val="22"/>
        </w:rPr>
        <w:t>During 2022–23, PH ranged from 18.39 cm (T</w:t>
      </w:r>
      <w:r w:rsidRPr="00AA3FCE">
        <w:rPr>
          <w:rFonts w:ascii="Cambria Math" w:hAnsi="Cambria Math" w:cs="Cambria Math"/>
          <w:sz w:val="22"/>
          <w:szCs w:val="22"/>
        </w:rPr>
        <w:t>₁₃</w:t>
      </w:r>
      <w:r w:rsidRPr="00AA3FCE">
        <w:rPr>
          <w:rFonts w:ascii="Arial" w:hAnsi="Arial" w:cs="Arial"/>
          <w:sz w:val="22"/>
          <w:szCs w:val="22"/>
        </w:rPr>
        <w:t>) to 24.20 cm (T</w:t>
      </w:r>
      <w:r w:rsidRPr="00AA3FCE">
        <w:rPr>
          <w:rFonts w:ascii="Cambria Math" w:hAnsi="Cambria Math" w:cs="Cambria Math"/>
          <w:sz w:val="22"/>
          <w:szCs w:val="22"/>
        </w:rPr>
        <w:t>₄</w:t>
      </w:r>
      <w:r w:rsidRPr="00AA3FCE">
        <w:rPr>
          <w:rFonts w:ascii="Arial" w:hAnsi="Arial" w:cs="Arial"/>
          <w:sz w:val="22"/>
          <w:szCs w:val="22"/>
        </w:rPr>
        <w:t>). Treatments T</w:t>
      </w:r>
      <w:r w:rsidRPr="00AA3FCE">
        <w:rPr>
          <w:rFonts w:ascii="Cambria Math" w:hAnsi="Cambria Math" w:cs="Cambria Math"/>
          <w:sz w:val="22"/>
          <w:szCs w:val="22"/>
        </w:rPr>
        <w:t>₈</w:t>
      </w:r>
      <w:r w:rsidRPr="00AA3FCE">
        <w:rPr>
          <w:rFonts w:ascii="Arial" w:hAnsi="Arial" w:cs="Arial"/>
          <w:sz w:val="22"/>
          <w:szCs w:val="22"/>
        </w:rPr>
        <w:t xml:space="preserve"> (23.00 cm), T</w:t>
      </w:r>
      <w:r w:rsidRPr="00AA3FCE">
        <w:rPr>
          <w:rFonts w:ascii="Cambria Math" w:hAnsi="Cambria Math" w:cs="Cambria Math"/>
          <w:sz w:val="22"/>
          <w:szCs w:val="22"/>
        </w:rPr>
        <w:t>₃</w:t>
      </w:r>
      <w:r w:rsidRPr="00AA3FCE">
        <w:rPr>
          <w:rFonts w:ascii="Arial" w:hAnsi="Arial" w:cs="Arial"/>
          <w:sz w:val="22"/>
          <w:szCs w:val="22"/>
        </w:rPr>
        <w:t xml:space="preserve"> (22.03 cm), T</w:t>
      </w:r>
      <w:r w:rsidRPr="00AA3FCE">
        <w:rPr>
          <w:rFonts w:ascii="Cambria Math" w:hAnsi="Cambria Math" w:cs="Cambria Math"/>
          <w:sz w:val="22"/>
          <w:szCs w:val="22"/>
        </w:rPr>
        <w:t>₁₀</w:t>
      </w:r>
      <w:r w:rsidRPr="00AA3FCE">
        <w:rPr>
          <w:rFonts w:ascii="Arial" w:hAnsi="Arial" w:cs="Arial"/>
          <w:sz w:val="22"/>
          <w:szCs w:val="22"/>
        </w:rPr>
        <w:t xml:space="preserve"> (22.64 cm), T</w:t>
      </w:r>
      <w:r w:rsidRPr="00AA3FCE">
        <w:rPr>
          <w:rFonts w:ascii="Cambria Math" w:hAnsi="Cambria Math" w:cs="Cambria Math"/>
          <w:sz w:val="22"/>
          <w:szCs w:val="22"/>
        </w:rPr>
        <w:t>₁</w:t>
      </w:r>
      <w:r w:rsidRPr="00AA3FCE">
        <w:rPr>
          <w:rFonts w:ascii="Arial" w:hAnsi="Arial" w:cs="Arial"/>
          <w:sz w:val="22"/>
          <w:szCs w:val="22"/>
        </w:rPr>
        <w:t xml:space="preserve"> (22.01 cm), and T</w:t>
      </w:r>
      <w:r w:rsidRPr="00AA3FCE">
        <w:rPr>
          <w:rFonts w:ascii="Cambria Math" w:hAnsi="Cambria Math" w:cs="Cambria Math"/>
          <w:sz w:val="22"/>
          <w:szCs w:val="22"/>
        </w:rPr>
        <w:t>₅</w:t>
      </w:r>
      <w:r w:rsidRPr="00AA3FCE">
        <w:rPr>
          <w:rFonts w:ascii="Arial" w:hAnsi="Arial" w:cs="Arial"/>
          <w:sz w:val="22"/>
          <w:szCs w:val="22"/>
        </w:rPr>
        <w:t xml:space="preserve"> (22.41 cm) were statistically comparable to the maximum. In 2023–24, PH varied from 18.47 cm (T</w:t>
      </w:r>
      <w:r w:rsidRPr="00AA3FCE">
        <w:rPr>
          <w:rFonts w:ascii="Cambria Math" w:hAnsi="Cambria Math" w:cs="Cambria Math"/>
          <w:sz w:val="22"/>
          <w:szCs w:val="22"/>
        </w:rPr>
        <w:t>₁₂</w:t>
      </w:r>
      <w:r w:rsidRPr="00AA3FCE">
        <w:rPr>
          <w:rFonts w:ascii="Arial" w:hAnsi="Arial" w:cs="Arial"/>
          <w:sz w:val="22"/>
          <w:szCs w:val="22"/>
        </w:rPr>
        <w:t>) to 24.20 cm (T</w:t>
      </w:r>
      <w:r w:rsidRPr="00AA3FCE">
        <w:rPr>
          <w:rFonts w:ascii="Cambria Math" w:hAnsi="Cambria Math" w:cs="Cambria Math"/>
          <w:sz w:val="22"/>
          <w:szCs w:val="22"/>
        </w:rPr>
        <w:t>₄</w:t>
      </w:r>
      <w:r w:rsidRPr="00AA3FCE">
        <w:rPr>
          <w:rFonts w:ascii="Arial" w:hAnsi="Arial" w:cs="Arial"/>
          <w:sz w:val="22"/>
          <w:szCs w:val="22"/>
        </w:rPr>
        <w:t>). The tallest plants were recorded in T</w:t>
      </w:r>
      <w:r w:rsidRPr="00AA3FCE">
        <w:rPr>
          <w:rFonts w:ascii="Cambria Math" w:hAnsi="Cambria Math" w:cs="Cambria Math"/>
          <w:sz w:val="22"/>
          <w:szCs w:val="22"/>
        </w:rPr>
        <w:t>₄</w:t>
      </w:r>
      <w:r w:rsidRPr="00AA3FCE">
        <w:rPr>
          <w:rFonts w:ascii="Arial" w:hAnsi="Arial" w:cs="Arial"/>
          <w:sz w:val="22"/>
          <w:szCs w:val="22"/>
        </w:rPr>
        <w:t xml:space="preserve"> (24.20 cm), followed by T</w:t>
      </w:r>
      <w:r w:rsidRPr="00AA3FCE">
        <w:rPr>
          <w:rFonts w:ascii="Cambria Math" w:hAnsi="Cambria Math" w:cs="Cambria Math"/>
          <w:sz w:val="22"/>
          <w:szCs w:val="22"/>
        </w:rPr>
        <w:t>₈</w:t>
      </w:r>
      <w:r w:rsidRPr="00AA3FCE">
        <w:rPr>
          <w:rFonts w:ascii="Arial" w:hAnsi="Arial" w:cs="Arial"/>
          <w:sz w:val="22"/>
          <w:szCs w:val="22"/>
        </w:rPr>
        <w:t xml:space="preserve"> (23.00 cm), T</w:t>
      </w:r>
      <w:r w:rsidRPr="00AA3FCE">
        <w:rPr>
          <w:rFonts w:ascii="Cambria Math" w:hAnsi="Cambria Math" w:cs="Cambria Math"/>
          <w:sz w:val="22"/>
          <w:szCs w:val="22"/>
        </w:rPr>
        <w:t>₁₀</w:t>
      </w:r>
      <w:r w:rsidRPr="00AA3FCE">
        <w:rPr>
          <w:rFonts w:ascii="Arial" w:hAnsi="Arial" w:cs="Arial"/>
          <w:sz w:val="22"/>
          <w:szCs w:val="22"/>
        </w:rPr>
        <w:t xml:space="preserve"> (22.64 cm), T</w:t>
      </w:r>
      <w:r w:rsidRPr="00AA3FCE">
        <w:rPr>
          <w:rFonts w:ascii="Cambria Math" w:hAnsi="Cambria Math" w:cs="Cambria Math"/>
          <w:sz w:val="22"/>
          <w:szCs w:val="22"/>
        </w:rPr>
        <w:t>₅</w:t>
      </w:r>
      <w:r w:rsidRPr="00AA3FCE">
        <w:rPr>
          <w:rFonts w:ascii="Arial" w:hAnsi="Arial" w:cs="Arial"/>
          <w:sz w:val="22"/>
          <w:szCs w:val="22"/>
        </w:rPr>
        <w:t xml:space="preserve"> (22.41 cm), and T</w:t>
      </w:r>
      <w:r w:rsidRPr="00AA3FCE">
        <w:rPr>
          <w:rFonts w:ascii="Cambria Math" w:hAnsi="Cambria Math" w:cs="Cambria Math"/>
          <w:sz w:val="22"/>
          <w:szCs w:val="22"/>
        </w:rPr>
        <w:t>₉</w:t>
      </w:r>
      <w:r w:rsidRPr="00AA3FCE">
        <w:rPr>
          <w:rFonts w:ascii="Arial" w:hAnsi="Arial" w:cs="Arial"/>
          <w:sz w:val="22"/>
          <w:szCs w:val="22"/>
        </w:rPr>
        <w:t xml:space="preserve"> (22.30 cm), all statistically similar. The F-test (p = 0.10) confirmed homogeneity of error variance, supporting pooled analysis. Pooled data showed the maximum PH in T</w:t>
      </w:r>
      <w:r w:rsidRPr="00AA3FCE">
        <w:rPr>
          <w:rFonts w:ascii="Cambria Math" w:hAnsi="Cambria Math" w:cs="Cambria Math"/>
          <w:sz w:val="22"/>
          <w:szCs w:val="22"/>
        </w:rPr>
        <w:t>₄</w:t>
      </w:r>
      <w:r w:rsidRPr="00AA3FCE">
        <w:rPr>
          <w:rFonts w:ascii="Arial" w:hAnsi="Arial" w:cs="Arial"/>
          <w:sz w:val="22"/>
          <w:szCs w:val="22"/>
        </w:rPr>
        <w:t xml:space="preserve"> (24.02 cm), followed by T</w:t>
      </w:r>
      <w:r w:rsidRPr="00AA3FCE">
        <w:rPr>
          <w:rFonts w:ascii="Cambria Math" w:hAnsi="Cambria Math" w:cs="Cambria Math"/>
          <w:sz w:val="22"/>
          <w:szCs w:val="22"/>
        </w:rPr>
        <w:t>₈</w:t>
      </w:r>
      <w:r w:rsidRPr="00AA3FCE">
        <w:rPr>
          <w:rFonts w:ascii="Arial" w:hAnsi="Arial" w:cs="Arial"/>
          <w:sz w:val="22"/>
          <w:szCs w:val="22"/>
        </w:rPr>
        <w:t xml:space="preserve"> (22.45 cm), both statistically at par. The lowest PH was observed in T</w:t>
      </w:r>
      <w:r w:rsidRPr="00AA3FCE">
        <w:rPr>
          <w:rFonts w:ascii="Cambria Math" w:hAnsi="Cambria Math" w:cs="Cambria Math"/>
          <w:sz w:val="22"/>
          <w:szCs w:val="22"/>
        </w:rPr>
        <w:t>₁₃</w:t>
      </w:r>
      <w:r w:rsidRPr="00AA3FCE">
        <w:rPr>
          <w:rFonts w:ascii="Arial" w:hAnsi="Arial" w:cs="Arial"/>
          <w:sz w:val="22"/>
          <w:szCs w:val="22"/>
        </w:rPr>
        <w:t xml:space="preserve"> (18.51 cm), with an overall pooled mean of 21.18 cm. These results indicate enhanced early growth under nutrient-managed conditions.</w:t>
      </w:r>
    </w:p>
    <w:p w14:paraId="159EA2BF" w14:textId="77777777" w:rsidR="00716842" w:rsidRPr="00AA3FCE" w:rsidRDefault="00716842" w:rsidP="00716842">
      <w:pPr>
        <w:pStyle w:val="NormalWeb"/>
        <w:spacing w:line="360" w:lineRule="auto"/>
        <w:jc w:val="both"/>
        <w:rPr>
          <w:rFonts w:ascii="Arial" w:hAnsi="Arial" w:cs="Arial"/>
          <w:sz w:val="22"/>
          <w:szCs w:val="22"/>
        </w:rPr>
      </w:pPr>
      <w:r w:rsidRPr="00AA3FCE">
        <w:rPr>
          <w:rFonts w:ascii="Arial" w:hAnsi="Arial" w:cs="Arial"/>
          <w:sz w:val="22"/>
          <w:szCs w:val="22"/>
        </w:rPr>
        <w:t xml:space="preserve">These findings </w:t>
      </w:r>
      <w:proofErr w:type="gramStart"/>
      <w:r w:rsidRPr="00AA3FCE">
        <w:rPr>
          <w:rFonts w:ascii="Arial" w:hAnsi="Arial" w:cs="Arial"/>
          <w:sz w:val="22"/>
          <w:szCs w:val="22"/>
        </w:rPr>
        <w:t>are in agreement</w:t>
      </w:r>
      <w:proofErr w:type="gramEnd"/>
      <w:r w:rsidRPr="00AA3FCE">
        <w:rPr>
          <w:rFonts w:ascii="Arial" w:hAnsi="Arial" w:cs="Arial"/>
          <w:sz w:val="22"/>
          <w:szCs w:val="22"/>
        </w:rPr>
        <w:t xml:space="preserve"> with earlier reports where combined application of chemical fertilizers and organic amendments significantly improved plant height and vegetative traits in tomato and chilli. The improvement in PH under INM is attributed to enhanced nutrient availability, particularly nitrogen, which promotes cell division and elongation, and phosphorus, which supports root development and overall </w:t>
      </w:r>
      <w:proofErr w:type="spellStart"/>
      <w:r w:rsidRPr="00AA3FCE">
        <w:rPr>
          <w:rFonts w:ascii="Arial" w:hAnsi="Arial" w:cs="Arial"/>
          <w:sz w:val="22"/>
          <w:szCs w:val="22"/>
        </w:rPr>
        <w:t>vigor</w:t>
      </w:r>
      <w:proofErr w:type="spellEnd"/>
      <w:r w:rsidRPr="00AA3FCE">
        <w:rPr>
          <w:rFonts w:ascii="Arial" w:hAnsi="Arial" w:cs="Arial"/>
          <w:sz w:val="22"/>
          <w:szCs w:val="22"/>
        </w:rPr>
        <w:t xml:space="preserve"> (Singh et al., 2020). Biofertilizers such as </w:t>
      </w:r>
      <w:proofErr w:type="spellStart"/>
      <w:r w:rsidRPr="00AA3FCE">
        <w:rPr>
          <w:rStyle w:val="Emphasis"/>
          <w:rFonts w:ascii="Arial" w:hAnsi="Arial" w:cs="Arial"/>
          <w:sz w:val="22"/>
          <w:szCs w:val="22"/>
        </w:rPr>
        <w:t>Azospirillum</w:t>
      </w:r>
      <w:proofErr w:type="spellEnd"/>
      <w:r w:rsidRPr="00AA3FCE">
        <w:rPr>
          <w:rFonts w:ascii="Arial" w:hAnsi="Arial" w:cs="Arial"/>
          <w:sz w:val="22"/>
          <w:szCs w:val="22"/>
        </w:rPr>
        <w:t xml:space="preserve"> and phosphate solubilizing bacteria (PSB) may also have contributed by improving nitrogen fixation and phosphorus solubilization, thus enhancing nutrient uptake efficiency (Kumar et al., 2019).</w:t>
      </w:r>
    </w:p>
    <w:p w14:paraId="01D630FD" w14:textId="77777777" w:rsidR="008259F9" w:rsidRPr="00AA3FCE" w:rsidRDefault="00411434" w:rsidP="008259F9">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 xml:space="preserve">3.2 </w:t>
      </w:r>
      <w:r w:rsidR="008259F9" w:rsidRPr="00AA3FCE">
        <w:rPr>
          <w:rFonts w:ascii="Arial" w:hAnsi="Arial" w:cs="Arial"/>
          <w:b/>
          <w:color w:val="auto"/>
          <w:sz w:val="22"/>
          <w:szCs w:val="22"/>
        </w:rPr>
        <w:t>Number of Primary Branches (NPB) at 30 DAT</w:t>
      </w:r>
    </w:p>
    <w:p w14:paraId="112204D9" w14:textId="608280BF" w:rsidR="008259F9" w:rsidRPr="00AA3FCE" w:rsidRDefault="008259F9" w:rsidP="008259F9">
      <w:pPr>
        <w:pStyle w:val="NormalWeb"/>
        <w:spacing w:line="360" w:lineRule="auto"/>
        <w:jc w:val="both"/>
        <w:rPr>
          <w:rFonts w:ascii="Arial" w:hAnsi="Arial" w:cs="Arial"/>
          <w:sz w:val="22"/>
          <w:szCs w:val="22"/>
        </w:rPr>
      </w:pPr>
      <w:r w:rsidRPr="00AA3FCE">
        <w:rPr>
          <w:rFonts w:ascii="Arial" w:hAnsi="Arial" w:cs="Arial"/>
          <w:sz w:val="22"/>
          <w:szCs w:val="22"/>
        </w:rPr>
        <w:t>The number of primary branches per plant is a critical vegetative trait that influences canopy a</w:t>
      </w:r>
      <w:r w:rsidR="00411434" w:rsidRPr="00AA3FCE">
        <w:rPr>
          <w:rFonts w:ascii="Arial" w:hAnsi="Arial" w:cs="Arial"/>
          <w:sz w:val="22"/>
          <w:szCs w:val="22"/>
        </w:rPr>
        <w:t>rchitecture, light interception</w:t>
      </w:r>
      <w:r w:rsidRPr="00AA3FCE">
        <w:rPr>
          <w:rFonts w:ascii="Arial" w:hAnsi="Arial" w:cs="Arial"/>
          <w:sz w:val="22"/>
          <w:szCs w:val="22"/>
        </w:rPr>
        <w:t xml:space="preserve"> and potential fruit-bearing sites in chilli</w:t>
      </w:r>
      <w:r w:rsidR="003139EA">
        <w:rPr>
          <w:rFonts w:ascii="Arial" w:hAnsi="Arial" w:cs="Arial"/>
          <w:sz w:val="22"/>
          <w:szCs w:val="22"/>
        </w:rPr>
        <w:t xml:space="preserve"> (Table </w:t>
      </w:r>
      <w:r w:rsidR="00AD2003">
        <w:rPr>
          <w:rFonts w:ascii="Arial" w:hAnsi="Arial" w:cs="Arial"/>
          <w:sz w:val="22"/>
          <w:szCs w:val="22"/>
        </w:rPr>
        <w:t>2</w:t>
      </w:r>
      <w:r w:rsidR="003139EA">
        <w:rPr>
          <w:rFonts w:ascii="Arial" w:hAnsi="Arial" w:cs="Arial"/>
          <w:sz w:val="22"/>
          <w:szCs w:val="22"/>
        </w:rPr>
        <w:t>)</w:t>
      </w:r>
      <w:r w:rsidRPr="00AA3FCE">
        <w:rPr>
          <w:rFonts w:ascii="Arial" w:hAnsi="Arial" w:cs="Arial"/>
          <w:sz w:val="22"/>
          <w:szCs w:val="22"/>
        </w:rPr>
        <w:t>. During 2022–23, NPB ranged from 2.59 (T</w:t>
      </w:r>
      <w:r w:rsidRPr="00AA3FCE">
        <w:rPr>
          <w:rFonts w:ascii="Cambria Math" w:hAnsi="Cambria Math" w:cs="Cambria Math"/>
          <w:sz w:val="22"/>
          <w:szCs w:val="22"/>
        </w:rPr>
        <w:t>₁₃</w:t>
      </w:r>
      <w:r w:rsidRPr="00AA3FCE">
        <w:rPr>
          <w:rFonts w:ascii="Arial" w:hAnsi="Arial" w:cs="Arial"/>
          <w:sz w:val="22"/>
          <w:szCs w:val="22"/>
        </w:rPr>
        <w:t>) to 4.07 (T</w:t>
      </w:r>
      <w:r w:rsidRPr="00AA3FCE">
        <w:rPr>
          <w:rFonts w:ascii="Cambria Math" w:hAnsi="Cambria Math" w:cs="Cambria Math"/>
          <w:sz w:val="22"/>
          <w:szCs w:val="22"/>
        </w:rPr>
        <w:t>₅</w:t>
      </w:r>
      <w:r w:rsidRPr="00AA3FCE">
        <w:rPr>
          <w:rFonts w:ascii="Arial" w:hAnsi="Arial" w:cs="Arial"/>
          <w:sz w:val="22"/>
          <w:szCs w:val="22"/>
        </w:rPr>
        <w:t>). Treatments T</w:t>
      </w:r>
      <w:r w:rsidRPr="00AA3FCE">
        <w:rPr>
          <w:rFonts w:ascii="Cambria Math" w:hAnsi="Cambria Math" w:cs="Cambria Math"/>
          <w:sz w:val="22"/>
          <w:szCs w:val="22"/>
        </w:rPr>
        <w:t>₉</w:t>
      </w:r>
      <w:r w:rsidRPr="00AA3FCE">
        <w:rPr>
          <w:rFonts w:ascii="Arial" w:hAnsi="Arial" w:cs="Arial"/>
          <w:sz w:val="22"/>
          <w:szCs w:val="22"/>
        </w:rPr>
        <w:t xml:space="preserve"> (3.93), T</w:t>
      </w:r>
      <w:r w:rsidRPr="00AA3FCE">
        <w:rPr>
          <w:rFonts w:ascii="Cambria Math" w:hAnsi="Cambria Math" w:cs="Cambria Math"/>
          <w:sz w:val="22"/>
          <w:szCs w:val="22"/>
        </w:rPr>
        <w:t>₁₁</w:t>
      </w:r>
      <w:r w:rsidRPr="00AA3FCE">
        <w:rPr>
          <w:rFonts w:ascii="Arial" w:hAnsi="Arial" w:cs="Arial"/>
          <w:sz w:val="22"/>
          <w:szCs w:val="22"/>
        </w:rPr>
        <w:t xml:space="preserve"> (3.89), T</w:t>
      </w:r>
      <w:r w:rsidRPr="00AA3FCE">
        <w:rPr>
          <w:rFonts w:ascii="Cambria Math" w:hAnsi="Cambria Math" w:cs="Cambria Math"/>
          <w:sz w:val="22"/>
          <w:szCs w:val="22"/>
        </w:rPr>
        <w:t>₆</w:t>
      </w:r>
      <w:r w:rsidRPr="00AA3FCE">
        <w:rPr>
          <w:rFonts w:ascii="Arial" w:hAnsi="Arial" w:cs="Arial"/>
          <w:sz w:val="22"/>
          <w:szCs w:val="22"/>
        </w:rPr>
        <w:t xml:space="preserve"> (3.88), T</w:t>
      </w:r>
      <w:r w:rsidRPr="00AA3FCE">
        <w:rPr>
          <w:rFonts w:ascii="Cambria Math" w:hAnsi="Cambria Math" w:cs="Cambria Math"/>
          <w:sz w:val="22"/>
          <w:szCs w:val="22"/>
        </w:rPr>
        <w:t>₄</w:t>
      </w:r>
      <w:r w:rsidRPr="00AA3FCE">
        <w:rPr>
          <w:rFonts w:ascii="Arial" w:hAnsi="Arial" w:cs="Arial"/>
          <w:sz w:val="22"/>
          <w:szCs w:val="22"/>
        </w:rPr>
        <w:t xml:space="preserve"> (3.81), T</w:t>
      </w:r>
      <w:r w:rsidRPr="00AA3FCE">
        <w:rPr>
          <w:rFonts w:ascii="Cambria Math" w:hAnsi="Cambria Math" w:cs="Cambria Math"/>
          <w:sz w:val="22"/>
          <w:szCs w:val="22"/>
        </w:rPr>
        <w:t>₁</w:t>
      </w:r>
      <w:r w:rsidRPr="00AA3FCE">
        <w:rPr>
          <w:rFonts w:ascii="Arial" w:hAnsi="Arial" w:cs="Arial"/>
          <w:sz w:val="22"/>
          <w:szCs w:val="22"/>
        </w:rPr>
        <w:t xml:space="preserve"> (3.73), T</w:t>
      </w:r>
      <w:r w:rsidRPr="00AA3FCE">
        <w:rPr>
          <w:rFonts w:ascii="Cambria Math" w:hAnsi="Cambria Math" w:cs="Cambria Math"/>
          <w:sz w:val="22"/>
          <w:szCs w:val="22"/>
        </w:rPr>
        <w:t>₈</w:t>
      </w:r>
      <w:r w:rsidRPr="00AA3FCE">
        <w:rPr>
          <w:rFonts w:ascii="Arial" w:hAnsi="Arial" w:cs="Arial"/>
          <w:sz w:val="22"/>
          <w:szCs w:val="22"/>
        </w:rPr>
        <w:t xml:space="preserve"> (3.65), T</w:t>
      </w:r>
      <w:r w:rsidRPr="00AA3FCE">
        <w:rPr>
          <w:rFonts w:ascii="Cambria Math" w:hAnsi="Cambria Math" w:cs="Cambria Math"/>
          <w:sz w:val="22"/>
          <w:szCs w:val="22"/>
        </w:rPr>
        <w:t>₇</w:t>
      </w:r>
      <w:r w:rsidRPr="00AA3FCE">
        <w:rPr>
          <w:rFonts w:ascii="Arial" w:hAnsi="Arial" w:cs="Arial"/>
          <w:sz w:val="22"/>
          <w:szCs w:val="22"/>
        </w:rPr>
        <w:t xml:space="preserve"> (3.56), T</w:t>
      </w:r>
      <w:r w:rsidRPr="00AA3FCE">
        <w:rPr>
          <w:rFonts w:ascii="Cambria Math" w:hAnsi="Cambria Math" w:cs="Cambria Math"/>
          <w:sz w:val="22"/>
          <w:szCs w:val="22"/>
        </w:rPr>
        <w:t>₃</w:t>
      </w:r>
      <w:r w:rsidRPr="00AA3FCE">
        <w:rPr>
          <w:rFonts w:ascii="Arial" w:hAnsi="Arial" w:cs="Arial"/>
          <w:sz w:val="22"/>
          <w:szCs w:val="22"/>
        </w:rPr>
        <w:t xml:space="preserve"> (3.55), T</w:t>
      </w:r>
      <w:r w:rsidRPr="00AA3FCE">
        <w:rPr>
          <w:rFonts w:ascii="Cambria Math" w:hAnsi="Cambria Math" w:cs="Cambria Math"/>
          <w:sz w:val="22"/>
          <w:szCs w:val="22"/>
        </w:rPr>
        <w:t>₂</w:t>
      </w:r>
      <w:r w:rsidRPr="00AA3FCE">
        <w:rPr>
          <w:rFonts w:ascii="Arial" w:hAnsi="Arial" w:cs="Arial"/>
          <w:sz w:val="22"/>
          <w:szCs w:val="22"/>
        </w:rPr>
        <w:t xml:space="preserve"> (3.45), and T</w:t>
      </w:r>
      <w:r w:rsidRPr="00AA3FCE">
        <w:rPr>
          <w:rFonts w:ascii="Cambria Math" w:hAnsi="Cambria Math" w:cs="Cambria Math"/>
          <w:sz w:val="22"/>
          <w:szCs w:val="22"/>
        </w:rPr>
        <w:t>₁₀</w:t>
      </w:r>
      <w:r w:rsidRPr="00AA3FCE">
        <w:rPr>
          <w:rFonts w:ascii="Arial" w:hAnsi="Arial" w:cs="Arial"/>
          <w:sz w:val="22"/>
          <w:szCs w:val="22"/>
        </w:rPr>
        <w:t xml:space="preserve"> (3.44) were statistically comparable to the maximum. In 2023–24, NPB ranged from 3.26 (T</w:t>
      </w:r>
      <w:r w:rsidRPr="00AA3FCE">
        <w:rPr>
          <w:rFonts w:ascii="Cambria Math" w:hAnsi="Cambria Math" w:cs="Cambria Math"/>
          <w:sz w:val="22"/>
          <w:szCs w:val="22"/>
        </w:rPr>
        <w:t>₁₃</w:t>
      </w:r>
      <w:r w:rsidRPr="00AA3FCE">
        <w:rPr>
          <w:rFonts w:ascii="Arial" w:hAnsi="Arial" w:cs="Arial"/>
          <w:sz w:val="22"/>
          <w:szCs w:val="22"/>
        </w:rPr>
        <w:t>) to 5.67 (T</w:t>
      </w:r>
      <w:r w:rsidRPr="00AA3FCE">
        <w:rPr>
          <w:rFonts w:ascii="Cambria Math" w:hAnsi="Cambria Math" w:cs="Cambria Math"/>
          <w:sz w:val="22"/>
          <w:szCs w:val="22"/>
        </w:rPr>
        <w:t>₅</w:t>
      </w:r>
      <w:r w:rsidRPr="00AA3FCE">
        <w:rPr>
          <w:rFonts w:ascii="Arial" w:hAnsi="Arial" w:cs="Arial"/>
          <w:sz w:val="22"/>
          <w:szCs w:val="22"/>
        </w:rPr>
        <w:t>), followed by T</w:t>
      </w:r>
      <w:r w:rsidRPr="00AA3FCE">
        <w:rPr>
          <w:rFonts w:ascii="Cambria Math" w:hAnsi="Cambria Math" w:cs="Cambria Math"/>
          <w:sz w:val="22"/>
          <w:szCs w:val="22"/>
        </w:rPr>
        <w:t>₇</w:t>
      </w:r>
      <w:r w:rsidRPr="00AA3FCE">
        <w:rPr>
          <w:rFonts w:ascii="Arial" w:hAnsi="Arial" w:cs="Arial"/>
          <w:sz w:val="22"/>
          <w:szCs w:val="22"/>
        </w:rPr>
        <w:t xml:space="preserve"> (4.70) and T</w:t>
      </w:r>
      <w:r w:rsidRPr="00AA3FCE">
        <w:rPr>
          <w:rFonts w:ascii="Cambria Math" w:hAnsi="Cambria Math" w:cs="Cambria Math"/>
          <w:sz w:val="22"/>
          <w:szCs w:val="22"/>
        </w:rPr>
        <w:t>₈</w:t>
      </w:r>
      <w:r w:rsidRPr="00AA3FCE">
        <w:rPr>
          <w:rFonts w:ascii="Arial" w:hAnsi="Arial" w:cs="Arial"/>
          <w:sz w:val="22"/>
          <w:szCs w:val="22"/>
        </w:rPr>
        <w:t xml:space="preserve"> (4.17). None of the treatments were statistically at par with T</w:t>
      </w:r>
      <w:r w:rsidRPr="00AA3FCE">
        <w:rPr>
          <w:rFonts w:ascii="Cambria Math" w:hAnsi="Cambria Math" w:cs="Cambria Math"/>
          <w:sz w:val="22"/>
          <w:szCs w:val="22"/>
        </w:rPr>
        <w:t>₅</w:t>
      </w:r>
      <w:r w:rsidRPr="00AA3FCE">
        <w:rPr>
          <w:rFonts w:ascii="Arial" w:hAnsi="Arial" w:cs="Arial"/>
          <w:sz w:val="22"/>
          <w:szCs w:val="22"/>
        </w:rPr>
        <w:t>. The F-test (</w:t>
      </w:r>
      <w:r w:rsidRPr="00AA3FCE">
        <w:rPr>
          <w:rFonts w:ascii="Arial" w:hAnsi="Arial" w:cs="Arial"/>
          <w:i/>
          <w:sz w:val="22"/>
          <w:szCs w:val="22"/>
        </w:rPr>
        <w:t xml:space="preserve">P </w:t>
      </w:r>
      <w:r w:rsidRPr="00AA3FCE">
        <w:rPr>
          <w:rFonts w:ascii="Arial" w:hAnsi="Arial" w:cs="Arial"/>
          <w:sz w:val="22"/>
          <w:szCs w:val="22"/>
        </w:rPr>
        <w:t>= 0.23) confirmed homogeneity of error variance, supporting pooled analysis. Pooled data showed the maximum NPB in T</w:t>
      </w:r>
      <w:r w:rsidRPr="00AA3FCE">
        <w:rPr>
          <w:rFonts w:ascii="Cambria Math" w:hAnsi="Cambria Math" w:cs="Cambria Math"/>
          <w:sz w:val="22"/>
          <w:szCs w:val="22"/>
        </w:rPr>
        <w:t>₄</w:t>
      </w:r>
      <w:r w:rsidRPr="00AA3FCE">
        <w:rPr>
          <w:rFonts w:ascii="Arial" w:hAnsi="Arial" w:cs="Arial"/>
          <w:sz w:val="22"/>
          <w:szCs w:val="22"/>
        </w:rPr>
        <w:t xml:space="preserve"> (4.87), followed by T</w:t>
      </w:r>
      <w:r w:rsidRPr="00AA3FCE">
        <w:rPr>
          <w:rFonts w:ascii="Cambria Math" w:hAnsi="Cambria Math" w:cs="Cambria Math"/>
          <w:sz w:val="22"/>
          <w:szCs w:val="22"/>
        </w:rPr>
        <w:t>₇</w:t>
      </w:r>
      <w:r w:rsidRPr="00AA3FCE">
        <w:rPr>
          <w:rFonts w:ascii="Arial" w:hAnsi="Arial" w:cs="Arial"/>
          <w:sz w:val="22"/>
          <w:szCs w:val="22"/>
        </w:rPr>
        <w:t xml:space="preserve"> (4.13) and T</w:t>
      </w:r>
      <w:r w:rsidRPr="00AA3FCE">
        <w:rPr>
          <w:rFonts w:ascii="Cambria Math" w:hAnsi="Cambria Math" w:cs="Cambria Math"/>
          <w:sz w:val="22"/>
          <w:szCs w:val="22"/>
        </w:rPr>
        <w:t>₉</w:t>
      </w:r>
      <w:r w:rsidRPr="00AA3FCE">
        <w:rPr>
          <w:rFonts w:ascii="Arial" w:hAnsi="Arial" w:cs="Arial"/>
          <w:sz w:val="22"/>
          <w:szCs w:val="22"/>
        </w:rPr>
        <w:t xml:space="preserve"> (4.02). The lowest was consistently </w:t>
      </w:r>
      <w:r w:rsidRPr="00AA3FCE">
        <w:rPr>
          <w:rFonts w:ascii="Arial" w:hAnsi="Arial" w:cs="Arial"/>
          <w:sz w:val="22"/>
          <w:szCs w:val="22"/>
        </w:rPr>
        <w:lastRenderedPageBreak/>
        <w:t>observed in T</w:t>
      </w:r>
      <w:r w:rsidRPr="00AA3FCE">
        <w:rPr>
          <w:rFonts w:ascii="Cambria Math" w:hAnsi="Cambria Math" w:cs="Cambria Math"/>
          <w:sz w:val="22"/>
          <w:szCs w:val="22"/>
        </w:rPr>
        <w:t>₁₃</w:t>
      </w:r>
      <w:r w:rsidRPr="00AA3FCE">
        <w:rPr>
          <w:rFonts w:ascii="Arial" w:hAnsi="Arial" w:cs="Arial"/>
          <w:sz w:val="22"/>
          <w:szCs w:val="22"/>
        </w:rPr>
        <w:t xml:space="preserve"> (2.93). The overall pooled mean was 3.80 branches, indicating moderate branching under nutrient-managed conditions.</w:t>
      </w:r>
    </w:p>
    <w:p w14:paraId="6120AF61" w14:textId="77777777" w:rsidR="008259F9" w:rsidRPr="00AA3FCE" w:rsidRDefault="008259F9" w:rsidP="008259F9">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The observed increase in primary branches under INM can be explained by the balanced supply of nutrients, particularly nitrogen, which stimulates axillary bud differentiation and elongation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plants (Kumar et al., 2020). Organic amendments such as vermicompost and poultry manure improve soil structure, moisture retention, and microbial activity, which indirectly promotes vegetative growth and branch proliferation (Singh et al., 2018). Biofertilizers like </w:t>
      </w:r>
      <w:proofErr w:type="spellStart"/>
      <w:r w:rsidRPr="00AA3FCE">
        <w:rPr>
          <w:rFonts w:ascii="Arial" w:hAnsi="Arial" w:cs="Arial"/>
          <w:sz w:val="22"/>
          <w:szCs w:val="22"/>
          <w:lang w:eastAsia="en-IN"/>
        </w:rPr>
        <w:t>Azospirillum</w:t>
      </w:r>
      <w:proofErr w:type="spellEnd"/>
      <w:r w:rsidRPr="00AA3FCE">
        <w:rPr>
          <w:rFonts w:ascii="Arial" w:hAnsi="Arial" w:cs="Arial"/>
          <w:sz w:val="22"/>
          <w:szCs w:val="22"/>
          <w:lang w:eastAsia="en-IN"/>
        </w:rPr>
        <w:t xml:space="preserve"> and PSB enhance root development and nutrient uptake efficiency, further supporting the formation of additional branches (Ramesh et al., 2021).</w:t>
      </w:r>
      <w:r w:rsidR="00363CAA" w:rsidRPr="00AA3FCE">
        <w:rPr>
          <w:rFonts w:ascii="Arial" w:hAnsi="Arial" w:cs="Arial"/>
          <w:sz w:val="22"/>
          <w:szCs w:val="22"/>
          <w:lang w:eastAsia="en-IN"/>
        </w:rPr>
        <w:t xml:space="preserve"> </w:t>
      </w:r>
      <w:r w:rsidRPr="00AA3FCE">
        <w:rPr>
          <w:rFonts w:ascii="Arial" w:hAnsi="Arial" w:cs="Arial"/>
          <w:sz w:val="22"/>
          <w:szCs w:val="22"/>
          <w:lang w:eastAsia="en-IN"/>
        </w:rPr>
        <w:t>The pooled analysis across two growing seasons confirmed the consistency of INM effects under varying environmental conditions. Treatments that ensured adequate and balanced nutrient supply resulted in improved canopy development, while nutrient omission (control) restricted branching, potentially limiting light interception and subsequent photosynthesis.</w:t>
      </w:r>
      <w:r w:rsidR="00411434" w:rsidRPr="00AA3FCE">
        <w:rPr>
          <w:rFonts w:ascii="Arial" w:hAnsi="Arial" w:cs="Arial"/>
          <w:sz w:val="22"/>
          <w:szCs w:val="22"/>
          <w:lang w:eastAsia="en-IN"/>
        </w:rPr>
        <w:t xml:space="preserve"> </w:t>
      </w:r>
      <w:r w:rsidRPr="00AA3FCE">
        <w:rPr>
          <w:rFonts w:ascii="Arial" w:hAnsi="Arial" w:cs="Arial"/>
          <w:sz w:val="22"/>
          <w:szCs w:val="22"/>
          <w:lang w:eastAsia="en-IN"/>
        </w:rPr>
        <w:t xml:space="preserve">These findings align with previous reports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where INM combining organic and inorganic sources of nutrients improved vegetative growth, including the number of primary branches, ultimately supporting higher flowering and fruit set (Jain et al., 2019; Sharma et al., 2022). Enhanced branching is directly correlated with higher flowering sites and fruit-bearing potential, thereby contributing to improved yield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w:t>
      </w:r>
    </w:p>
    <w:p w14:paraId="3DF51612" w14:textId="77777777" w:rsidR="008259F9" w:rsidRPr="00AA3FCE" w:rsidRDefault="00411434" w:rsidP="008259F9">
      <w:pPr>
        <w:pStyle w:val="Heading3"/>
        <w:spacing w:line="360" w:lineRule="auto"/>
        <w:jc w:val="both"/>
        <w:rPr>
          <w:rFonts w:ascii="Arial" w:hAnsi="Arial" w:cs="Arial"/>
          <w:b/>
          <w:sz w:val="22"/>
          <w:szCs w:val="22"/>
        </w:rPr>
      </w:pPr>
      <w:r w:rsidRPr="00AA3FCE">
        <w:rPr>
          <w:rFonts w:ascii="Arial" w:hAnsi="Arial" w:cs="Arial"/>
          <w:b/>
          <w:sz w:val="22"/>
          <w:szCs w:val="22"/>
        </w:rPr>
        <w:t xml:space="preserve">3.3 </w:t>
      </w:r>
      <w:r w:rsidR="008259F9" w:rsidRPr="00AA3FCE">
        <w:rPr>
          <w:rFonts w:ascii="Arial" w:hAnsi="Arial" w:cs="Arial"/>
          <w:b/>
          <w:sz w:val="22"/>
          <w:szCs w:val="22"/>
        </w:rPr>
        <w:t>Leaf Area Index (LAI, m²) at 30 DAT</w:t>
      </w:r>
    </w:p>
    <w:p w14:paraId="7E5C97B6" w14:textId="27D75B7F" w:rsidR="008259F9" w:rsidRPr="00AA3FCE" w:rsidRDefault="008259F9" w:rsidP="008259F9">
      <w:pPr>
        <w:pStyle w:val="NormalWeb"/>
        <w:spacing w:line="360" w:lineRule="auto"/>
        <w:jc w:val="both"/>
        <w:rPr>
          <w:rFonts w:ascii="Arial" w:hAnsi="Arial" w:cs="Arial"/>
          <w:sz w:val="22"/>
          <w:szCs w:val="22"/>
        </w:rPr>
      </w:pPr>
      <w:r w:rsidRPr="00AA3FCE">
        <w:rPr>
          <w:rFonts w:ascii="Arial" w:hAnsi="Arial" w:cs="Arial"/>
          <w:sz w:val="22"/>
          <w:szCs w:val="22"/>
        </w:rPr>
        <w:t>Leaf area index (LAI) reflects the canopy development and photosynthetic potential of chilli plants. In this study, INM treatments significantly increased LAI compared to control, indicating improved leaf expansion and light interception</w:t>
      </w:r>
      <w:r w:rsidR="003139EA">
        <w:rPr>
          <w:rFonts w:ascii="Arial" w:hAnsi="Arial" w:cs="Arial"/>
          <w:sz w:val="22"/>
          <w:szCs w:val="22"/>
        </w:rPr>
        <w:t xml:space="preserve"> (Table </w:t>
      </w:r>
      <w:r w:rsidR="00AD2003">
        <w:rPr>
          <w:rFonts w:ascii="Arial" w:hAnsi="Arial" w:cs="Arial"/>
          <w:sz w:val="22"/>
          <w:szCs w:val="22"/>
        </w:rPr>
        <w:t>2</w:t>
      </w:r>
      <w:r w:rsidR="003139EA">
        <w:rPr>
          <w:rFonts w:ascii="Arial" w:hAnsi="Arial" w:cs="Arial"/>
          <w:sz w:val="22"/>
          <w:szCs w:val="22"/>
        </w:rPr>
        <w:t>)</w:t>
      </w:r>
      <w:r w:rsidRPr="00AA3FCE">
        <w:rPr>
          <w:rFonts w:ascii="Arial" w:hAnsi="Arial" w:cs="Arial"/>
          <w:sz w:val="22"/>
          <w:szCs w:val="22"/>
        </w:rPr>
        <w:t>. During 2022–23, LAI ranged from 0.66 (T</w:t>
      </w:r>
      <w:r w:rsidRPr="00AA3FCE">
        <w:rPr>
          <w:rFonts w:ascii="Cambria Math" w:hAnsi="Cambria Math" w:cs="Cambria Math"/>
          <w:sz w:val="22"/>
          <w:szCs w:val="22"/>
        </w:rPr>
        <w:t>₁₃</w:t>
      </w:r>
      <w:r w:rsidRPr="00AA3FCE">
        <w:rPr>
          <w:rFonts w:ascii="Arial" w:hAnsi="Arial" w:cs="Arial"/>
          <w:sz w:val="22"/>
          <w:szCs w:val="22"/>
        </w:rPr>
        <w:t>) to 0.72 (T</w:t>
      </w:r>
      <w:r w:rsidRPr="00AA3FCE">
        <w:rPr>
          <w:rFonts w:ascii="Cambria Math" w:hAnsi="Cambria Math" w:cs="Cambria Math"/>
          <w:sz w:val="22"/>
          <w:szCs w:val="22"/>
        </w:rPr>
        <w:t>₅</w:t>
      </w:r>
      <w:r w:rsidRPr="00AA3FCE">
        <w:rPr>
          <w:rFonts w:ascii="Arial" w:hAnsi="Arial" w:cs="Arial"/>
          <w:sz w:val="22"/>
          <w:szCs w:val="22"/>
        </w:rPr>
        <w:t>). Treatments T</w:t>
      </w:r>
      <w:r w:rsidRPr="00AA3FCE">
        <w:rPr>
          <w:rFonts w:ascii="Cambria Math" w:hAnsi="Cambria Math" w:cs="Cambria Math"/>
          <w:sz w:val="22"/>
          <w:szCs w:val="22"/>
        </w:rPr>
        <w:t>₇</w:t>
      </w:r>
      <w:r w:rsidRPr="00AA3FCE">
        <w:rPr>
          <w:rFonts w:ascii="Arial" w:hAnsi="Arial" w:cs="Arial"/>
          <w:sz w:val="22"/>
          <w:szCs w:val="22"/>
        </w:rPr>
        <w:t xml:space="preserve"> (0.72), T</w:t>
      </w:r>
      <w:r w:rsidRPr="00AA3FCE">
        <w:rPr>
          <w:rFonts w:ascii="Cambria Math" w:hAnsi="Cambria Math" w:cs="Cambria Math"/>
          <w:sz w:val="22"/>
          <w:szCs w:val="22"/>
        </w:rPr>
        <w:t>₆</w:t>
      </w:r>
      <w:r w:rsidRPr="00AA3FCE">
        <w:rPr>
          <w:rFonts w:ascii="Arial" w:hAnsi="Arial" w:cs="Arial"/>
          <w:sz w:val="22"/>
          <w:szCs w:val="22"/>
        </w:rPr>
        <w:t xml:space="preserve"> (0.71), and T</w:t>
      </w:r>
      <w:r w:rsidRPr="00AA3FCE">
        <w:rPr>
          <w:rFonts w:ascii="Cambria Math" w:hAnsi="Cambria Math" w:cs="Cambria Math"/>
          <w:sz w:val="22"/>
          <w:szCs w:val="22"/>
        </w:rPr>
        <w:t>₄</w:t>
      </w:r>
      <w:r w:rsidRPr="00AA3FCE">
        <w:rPr>
          <w:rFonts w:ascii="Arial" w:hAnsi="Arial" w:cs="Arial"/>
          <w:sz w:val="22"/>
          <w:szCs w:val="22"/>
        </w:rPr>
        <w:t xml:space="preserve"> (0.70) were statistically comparable to the maximum. Treatments T</w:t>
      </w:r>
      <w:r w:rsidRPr="00AA3FCE">
        <w:rPr>
          <w:rFonts w:ascii="Cambria Math" w:hAnsi="Cambria Math" w:cs="Cambria Math"/>
          <w:sz w:val="22"/>
          <w:szCs w:val="22"/>
        </w:rPr>
        <w:t>₉</w:t>
      </w:r>
      <w:r w:rsidRPr="00AA3FCE">
        <w:rPr>
          <w:rFonts w:ascii="Arial" w:hAnsi="Arial" w:cs="Arial"/>
          <w:sz w:val="22"/>
          <w:szCs w:val="22"/>
        </w:rPr>
        <w:t>, T</w:t>
      </w:r>
      <w:r w:rsidRPr="00AA3FCE">
        <w:rPr>
          <w:rFonts w:ascii="Cambria Math" w:hAnsi="Cambria Math" w:cs="Cambria Math"/>
          <w:sz w:val="22"/>
          <w:szCs w:val="22"/>
        </w:rPr>
        <w:t>₁₀</w:t>
      </w:r>
      <w:r w:rsidRPr="00AA3FCE">
        <w:rPr>
          <w:rFonts w:ascii="Arial" w:hAnsi="Arial" w:cs="Arial"/>
          <w:sz w:val="22"/>
          <w:szCs w:val="22"/>
        </w:rPr>
        <w:t>, T</w:t>
      </w:r>
      <w:r w:rsidRPr="00AA3FCE">
        <w:rPr>
          <w:rFonts w:ascii="Cambria Math" w:hAnsi="Cambria Math" w:cs="Cambria Math"/>
          <w:sz w:val="22"/>
          <w:szCs w:val="22"/>
        </w:rPr>
        <w:t>₁₁</w:t>
      </w:r>
      <w:r w:rsidRPr="00AA3FCE">
        <w:rPr>
          <w:rFonts w:ascii="Arial" w:hAnsi="Arial" w:cs="Arial"/>
          <w:sz w:val="22"/>
          <w:szCs w:val="22"/>
        </w:rPr>
        <w:t xml:space="preserve"> (0.69) and T</w:t>
      </w:r>
      <w:r w:rsidRPr="00AA3FCE">
        <w:rPr>
          <w:rFonts w:ascii="Cambria Math" w:hAnsi="Cambria Math" w:cs="Cambria Math"/>
          <w:sz w:val="22"/>
          <w:szCs w:val="22"/>
        </w:rPr>
        <w:t>₁</w:t>
      </w:r>
      <w:r w:rsidRPr="00AA3FCE">
        <w:rPr>
          <w:rFonts w:ascii="Arial" w:hAnsi="Arial" w:cs="Arial"/>
          <w:sz w:val="22"/>
          <w:szCs w:val="22"/>
        </w:rPr>
        <w:t>, T</w:t>
      </w:r>
      <w:r w:rsidRPr="00AA3FCE">
        <w:rPr>
          <w:rFonts w:ascii="Cambria Math" w:hAnsi="Cambria Math" w:cs="Cambria Math"/>
          <w:sz w:val="22"/>
          <w:szCs w:val="22"/>
        </w:rPr>
        <w:t>₃</w:t>
      </w:r>
      <w:r w:rsidRPr="00AA3FCE">
        <w:rPr>
          <w:rFonts w:ascii="Arial" w:hAnsi="Arial" w:cs="Arial"/>
          <w:sz w:val="22"/>
          <w:szCs w:val="22"/>
        </w:rPr>
        <w:t>, T</w:t>
      </w:r>
      <w:r w:rsidRPr="00AA3FCE">
        <w:rPr>
          <w:rFonts w:ascii="Cambria Math" w:hAnsi="Cambria Math" w:cs="Cambria Math"/>
          <w:sz w:val="22"/>
          <w:szCs w:val="22"/>
        </w:rPr>
        <w:t>₈</w:t>
      </w:r>
      <w:r w:rsidRPr="00AA3FCE">
        <w:rPr>
          <w:rFonts w:ascii="Arial" w:hAnsi="Arial" w:cs="Arial"/>
          <w:sz w:val="22"/>
          <w:szCs w:val="22"/>
        </w:rPr>
        <w:t>, T</w:t>
      </w:r>
      <w:r w:rsidRPr="00AA3FCE">
        <w:rPr>
          <w:rFonts w:ascii="Cambria Math" w:hAnsi="Cambria Math" w:cs="Cambria Math"/>
          <w:sz w:val="22"/>
          <w:szCs w:val="22"/>
        </w:rPr>
        <w:t>₁₂</w:t>
      </w:r>
      <w:r w:rsidRPr="00AA3FCE">
        <w:rPr>
          <w:rFonts w:ascii="Arial" w:hAnsi="Arial" w:cs="Arial"/>
          <w:sz w:val="22"/>
          <w:szCs w:val="22"/>
        </w:rPr>
        <w:t xml:space="preserve"> (0.67) formed a second statistical group. In 2023–24, LAI ranged from 0.56 (T</w:t>
      </w:r>
      <w:r w:rsidRPr="00AA3FCE">
        <w:rPr>
          <w:rFonts w:ascii="Cambria Math" w:hAnsi="Cambria Math" w:cs="Cambria Math"/>
          <w:sz w:val="22"/>
          <w:szCs w:val="22"/>
        </w:rPr>
        <w:t>₁₃</w:t>
      </w:r>
      <w:r w:rsidRPr="00AA3FCE">
        <w:rPr>
          <w:rFonts w:ascii="Arial" w:hAnsi="Arial" w:cs="Arial"/>
          <w:sz w:val="22"/>
          <w:szCs w:val="22"/>
        </w:rPr>
        <w:t>) to 0.69 (T</w:t>
      </w:r>
      <w:r w:rsidRPr="00AA3FCE">
        <w:rPr>
          <w:rFonts w:ascii="Cambria Math" w:hAnsi="Cambria Math" w:cs="Cambria Math"/>
          <w:sz w:val="22"/>
          <w:szCs w:val="22"/>
        </w:rPr>
        <w:t>₅</w:t>
      </w:r>
      <w:r w:rsidRPr="00AA3FCE">
        <w:rPr>
          <w:rFonts w:ascii="Arial" w:hAnsi="Arial" w:cs="Arial"/>
          <w:sz w:val="22"/>
          <w:szCs w:val="22"/>
        </w:rPr>
        <w:t>, T</w:t>
      </w:r>
      <w:r w:rsidRPr="00AA3FCE">
        <w:rPr>
          <w:rFonts w:ascii="Cambria Math" w:hAnsi="Cambria Math" w:cs="Cambria Math"/>
          <w:sz w:val="22"/>
          <w:szCs w:val="22"/>
        </w:rPr>
        <w:t>₇</w:t>
      </w:r>
      <w:r w:rsidRPr="00AA3FCE">
        <w:rPr>
          <w:rFonts w:ascii="Arial" w:hAnsi="Arial" w:cs="Arial"/>
          <w:sz w:val="22"/>
          <w:szCs w:val="22"/>
        </w:rPr>
        <w:t>), followed by T</w:t>
      </w:r>
      <w:r w:rsidRPr="00AA3FCE">
        <w:rPr>
          <w:rFonts w:ascii="Cambria Math" w:hAnsi="Cambria Math" w:cs="Cambria Math"/>
          <w:sz w:val="22"/>
          <w:szCs w:val="22"/>
        </w:rPr>
        <w:t>₆</w:t>
      </w:r>
      <w:r w:rsidRPr="00AA3FCE">
        <w:rPr>
          <w:rFonts w:ascii="Arial" w:hAnsi="Arial" w:cs="Arial"/>
          <w:sz w:val="22"/>
          <w:szCs w:val="22"/>
        </w:rPr>
        <w:t xml:space="preserve"> (0.68). Treatments T</w:t>
      </w:r>
      <w:r w:rsidRPr="00AA3FCE">
        <w:rPr>
          <w:rFonts w:ascii="Cambria Math" w:hAnsi="Cambria Math" w:cs="Cambria Math"/>
          <w:sz w:val="22"/>
          <w:szCs w:val="22"/>
        </w:rPr>
        <w:t>₄</w:t>
      </w:r>
      <w:r w:rsidRPr="00AA3FCE">
        <w:rPr>
          <w:rFonts w:ascii="Arial" w:hAnsi="Arial" w:cs="Arial"/>
          <w:sz w:val="22"/>
          <w:szCs w:val="22"/>
        </w:rPr>
        <w:t>, T</w:t>
      </w:r>
      <w:r w:rsidRPr="00AA3FCE">
        <w:rPr>
          <w:rFonts w:ascii="Cambria Math" w:hAnsi="Cambria Math" w:cs="Cambria Math"/>
          <w:sz w:val="22"/>
          <w:szCs w:val="22"/>
        </w:rPr>
        <w:t>₉</w:t>
      </w:r>
      <w:r w:rsidRPr="00AA3FCE">
        <w:rPr>
          <w:rFonts w:ascii="Arial" w:hAnsi="Arial" w:cs="Arial"/>
          <w:sz w:val="22"/>
          <w:szCs w:val="22"/>
        </w:rPr>
        <w:t xml:space="preserve"> (0.68) and T</w:t>
      </w:r>
      <w:r w:rsidRPr="00AA3FCE">
        <w:rPr>
          <w:rFonts w:ascii="Cambria Math" w:hAnsi="Cambria Math" w:cs="Cambria Math"/>
          <w:sz w:val="22"/>
          <w:szCs w:val="22"/>
        </w:rPr>
        <w:t>₁₀</w:t>
      </w:r>
      <w:r w:rsidRPr="00AA3FCE">
        <w:rPr>
          <w:rFonts w:ascii="Arial" w:hAnsi="Arial" w:cs="Arial"/>
          <w:sz w:val="22"/>
          <w:szCs w:val="22"/>
        </w:rPr>
        <w:t>, T</w:t>
      </w:r>
      <w:r w:rsidRPr="00AA3FCE">
        <w:rPr>
          <w:rFonts w:ascii="Cambria Math" w:hAnsi="Cambria Math" w:cs="Cambria Math"/>
          <w:sz w:val="22"/>
          <w:szCs w:val="22"/>
        </w:rPr>
        <w:t>₁</w:t>
      </w:r>
      <w:r w:rsidRPr="00AA3FCE">
        <w:rPr>
          <w:rFonts w:ascii="Arial" w:hAnsi="Arial" w:cs="Arial"/>
          <w:sz w:val="22"/>
          <w:szCs w:val="22"/>
        </w:rPr>
        <w:t>, T</w:t>
      </w:r>
      <w:r w:rsidRPr="00AA3FCE">
        <w:rPr>
          <w:rFonts w:ascii="Cambria Math" w:hAnsi="Cambria Math" w:cs="Cambria Math"/>
          <w:sz w:val="22"/>
          <w:szCs w:val="22"/>
        </w:rPr>
        <w:t>₃</w:t>
      </w:r>
      <w:r w:rsidRPr="00AA3FCE">
        <w:rPr>
          <w:rFonts w:ascii="Arial" w:hAnsi="Arial" w:cs="Arial"/>
          <w:sz w:val="22"/>
          <w:szCs w:val="22"/>
        </w:rPr>
        <w:t>, T</w:t>
      </w:r>
      <w:r w:rsidRPr="00AA3FCE">
        <w:rPr>
          <w:rFonts w:ascii="Cambria Math" w:hAnsi="Cambria Math" w:cs="Cambria Math"/>
          <w:sz w:val="22"/>
          <w:szCs w:val="22"/>
        </w:rPr>
        <w:t>₈</w:t>
      </w:r>
      <w:r w:rsidRPr="00AA3FCE">
        <w:rPr>
          <w:rFonts w:ascii="Arial" w:hAnsi="Arial" w:cs="Arial"/>
          <w:sz w:val="22"/>
          <w:szCs w:val="22"/>
        </w:rPr>
        <w:t>, T</w:t>
      </w:r>
      <w:r w:rsidRPr="00AA3FCE">
        <w:rPr>
          <w:rFonts w:ascii="Cambria Math" w:hAnsi="Cambria Math" w:cs="Cambria Math"/>
          <w:sz w:val="22"/>
          <w:szCs w:val="22"/>
        </w:rPr>
        <w:t>₁₁</w:t>
      </w:r>
      <w:r w:rsidRPr="00AA3FCE">
        <w:rPr>
          <w:rFonts w:ascii="Arial" w:hAnsi="Arial" w:cs="Arial"/>
          <w:sz w:val="22"/>
          <w:szCs w:val="22"/>
        </w:rPr>
        <w:t>, T</w:t>
      </w:r>
      <w:r w:rsidRPr="00AA3FCE">
        <w:rPr>
          <w:rFonts w:ascii="Cambria Math" w:hAnsi="Cambria Math" w:cs="Cambria Math"/>
          <w:sz w:val="22"/>
          <w:szCs w:val="22"/>
        </w:rPr>
        <w:t>₁₂</w:t>
      </w:r>
      <w:r w:rsidRPr="00AA3FCE">
        <w:rPr>
          <w:rFonts w:ascii="Arial" w:hAnsi="Arial" w:cs="Arial"/>
          <w:sz w:val="22"/>
          <w:szCs w:val="22"/>
        </w:rPr>
        <w:t xml:space="preserve"> (0.67) were statistically comparable. The F-test (</w:t>
      </w:r>
      <w:r w:rsidRPr="00AA3FCE">
        <w:rPr>
          <w:rFonts w:ascii="Arial" w:hAnsi="Arial" w:cs="Arial"/>
          <w:i/>
          <w:sz w:val="22"/>
          <w:szCs w:val="22"/>
        </w:rPr>
        <w:t xml:space="preserve">P </w:t>
      </w:r>
      <w:r w:rsidRPr="00AA3FCE">
        <w:rPr>
          <w:rFonts w:ascii="Arial" w:hAnsi="Arial" w:cs="Arial"/>
          <w:sz w:val="22"/>
          <w:szCs w:val="22"/>
        </w:rPr>
        <w:t>= 0.26) confirmed homogeneity of error variance, supporting pooled analysis. Pooled data showed the highest LAI in T</w:t>
      </w:r>
      <w:r w:rsidRPr="00AA3FCE">
        <w:rPr>
          <w:rFonts w:ascii="Cambria Math" w:hAnsi="Cambria Math" w:cs="Cambria Math"/>
          <w:sz w:val="22"/>
          <w:szCs w:val="22"/>
        </w:rPr>
        <w:t>₅</w:t>
      </w:r>
      <w:r w:rsidRPr="00AA3FCE">
        <w:rPr>
          <w:rFonts w:ascii="Arial" w:hAnsi="Arial" w:cs="Arial"/>
          <w:sz w:val="22"/>
          <w:szCs w:val="22"/>
        </w:rPr>
        <w:t>, T</w:t>
      </w:r>
      <w:r w:rsidRPr="00AA3FCE">
        <w:rPr>
          <w:rFonts w:ascii="Cambria Math" w:hAnsi="Cambria Math" w:cs="Cambria Math"/>
          <w:sz w:val="22"/>
          <w:szCs w:val="22"/>
        </w:rPr>
        <w:t>₆</w:t>
      </w:r>
      <w:r w:rsidRPr="00AA3FCE">
        <w:rPr>
          <w:rFonts w:ascii="Arial" w:hAnsi="Arial" w:cs="Arial"/>
          <w:sz w:val="22"/>
          <w:szCs w:val="22"/>
        </w:rPr>
        <w:t>, and T</w:t>
      </w:r>
      <w:r w:rsidRPr="00AA3FCE">
        <w:rPr>
          <w:rFonts w:ascii="Cambria Math" w:hAnsi="Cambria Math" w:cs="Cambria Math"/>
          <w:sz w:val="22"/>
          <w:szCs w:val="22"/>
        </w:rPr>
        <w:t>₇</w:t>
      </w:r>
      <w:r w:rsidRPr="00AA3FCE">
        <w:rPr>
          <w:rFonts w:ascii="Arial" w:hAnsi="Arial" w:cs="Arial"/>
          <w:sz w:val="22"/>
          <w:szCs w:val="22"/>
        </w:rPr>
        <w:t xml:space="preserve"> (0.70), followed by T</w:t>
      </w:r>
      <w:r w:rsidRPr="00AA3FCE">
        <w:rPr>
          <w:rFonts w:ascii="Cambria Math" w:hAnsi="Cambria Math" w:cs="Cambria Math"/>
          <w:sz w:val="22"/>
          <w:szCs w:val="22"/>
        </w:rPr>
        <w:t>₄</w:t>
      </w:r>
      <w:r w:rsidRPr="00AA3FCE">
        <w:rPr>
          <w:rFonts w:ascii="Arial" w:hAnsi="Arial" w:cs="Arial"/>
          <w:sz w:val="22"/>
          <w:szCs w:val="22"/>
        </w:rPr>
        <w:t xml:space="preserve"> (0.69), all statistically similar. Treatments T</w:t>
      </w:r>
      <w:r w:rsidRPr="00AA3FCE">
        <w:rPr>
          <w:rFonts w:ascii="Cambria Math" w:hAnsi="Cambria Math" w:cs="Cambria Math"/>
          <w:sz w:val="22"/>
          <w:szCs w:val="22"/>
        </w:rPr>
        <w:t>₉</w:t>
      </w:r>
      <w:r w:rsidRPr="00AA3FCE">
        <w:rPr>
          <w:rFonts w:ascii="Arial" w:hAnsi="Arial" w:cs="Arial"/>
          <w:sz w:val="22"/>
          <w:szCs w:val="22"/>
        </w:rPr>
        <w:t>, T</w:t>
      </w:r>
      <w:r w:rsidRPr="00AA3FCE">
        <w:rPr>
          <w:rFonts w:ascii="Cambria Math" w:hAnsi="Cambria Math" w:cs="Cambria Math"/>
          <w:sz w:val="22"/>
          <w:szCs w:val="22"/>
        </w:rPr>
        <w:t>₁₀</w:t>
      </w:r>
      <w:r w:rsidRPr="00AA3FCE">
        <w:rPr>
          <w:rFonts w:ascii="Arial" w:hAnsi="Arial" w:cs="Arial"/>
          <w:sz w:val="22"/>
          <w:szCs w:val="22"/>
        </w:rPr>
        <w:t>, T</w:t>
      </w:r>
      <w:r w:rsidRPr="00AA3FCE">
        <w:rPr>
          <w:rFonts w:ascii="Cambria Math" w:hAnsi="Cambria Math" w:cs="Cambria Math"/>
          <w:sz w:val="22"/>
          <w:szCs w:val="22"/>
        </w:rPr>
        <w:t>₁₁</w:t>
      </w:r>
      <w:r w:rsidRPr="00AA3FCE">
        <w:rPr>
          <w:rFonts w:ascii="Arial" w:hAnsi="Arial" w:cs="Arial"/>
          <w:sz w:val="22"/>
          <w:szCs w:val="22"/>
        </w:rPr>
        <w:t xml:space="preserve"> (0.68) and T</w:t>
      </w:r>
      <w:r w:rsidRPr="00AA3FCE">
        <w:rPr>
          <w:rFonts w:ascii="Cambria Math" w:hAnsi="Cambria Math" w:cs="Cambria Math"/>
          <w:sz w:val="22"/>
          <w:szCs w:val="22"/>
        </w:rPr>
        <w:t>₁</w:t>
      </w:r>
      <w:r w:rsidRPr="00AA3FCE">
        <w:rPr>
          <w:rFonts w:ascii="Arial" w:hAnsi="Arial" w:cs="Arial"/>
          <w:sz w:val="22"/>
          <w:szCs w:val="22"/>
        </w:rPr>
        <w:t>, T</w:t>
      </w:r>
      <w:r w:rsidRPr="00AA3FCE">
        <w:rPr>
          <w:rFonts w:ascii="Cambria Math" w:hAnsi="Cambria Math" w:cs="Cambria Math"/>
          <w:sz w:val="22"/>
          <w:szCs w:val="22"/>
        </w:rPr>
        <w:t>₃</w:t>
      </w:r>
      <w:r w:rsidRPr="00AA3FCE">
        <w:rPr>
          <w:rFonts w:ascii="Arial" w:hAnsi="Arial" w:cs="Arial"/>
          <w:sz w:val="22"/>
          <w:szCs w:val="22"/>
        </w:rPr>
        <w:t>, T</w:t>
      </w:r>
      <w:r w:rsidRPr="00AA3FCE">
        <w:rPr>
          <w:rFonts w:ascii="Cambria Math" w:hAnsi="Cambria Math" w:cs="Cambria Math"/>
          <w:sz w:val="22"/>
          <w:szCs w:val="22"/>
        </w:rPr>
        <w:t>₈</w:t>
      </w:r>
      <w:r w:rsidRPr="00AA3FCE">
        <w:rPr>
          <w:rFonts w:ascii="Arial" w:hAnsi="Arial" w:cs="Arial"/>
          <w:sz w:val="22"/>
          <w:szCs w:val="22"/>
        </w:rPr>
        <w:t>, T</w:t>
      </w:r>
      <w:r w:rsidRPr="00AA3FCE">
        <w:rPr>
          <w:rFonts w:ascii="Cambria Math" w:hAnsi="Cambria Math" w:cs="Cambria Math"/>
          <w:sz w:val="22"/>
          <w:szCs w:val="22"/>
        </w:rPr>
        <w:t>₁₂</w:t>
      </w:r>
      <w:r w:rsidRPr="00AA3FCE">
        <w:rPr>
          <w:rFonts w:ascii="Arial" w:hAnsi="Arial" w:cs="Arial"/>
          <w:sz w:val="22"/>
          <w:szCs w:val="22"/>
        </w:rPr>
        <w:t xml:space="preserve"> (0.67) formed the next group, significantly higher than T</w:t>
      </w:r>
      <w:r w:rsidRPr="00AA3FCE">
        <w:rPr>
          <w:rFonts w:ascii="Cambria Math" w:hAnsi="Cambria Math" w:cs="Cambria Math"/>
          <w:sz w:val="22"/>
          <w:szCs w:val="22"/>
        </w:rPr>
        <w:t>₁₃</w:t>
      </w:r>
      <w:r w:rsidRPr="00AA3FCE">
        <w:rPr>
          <w:rFonts w:ascii="Arial" w:hAnsi="Arial" w:cs="Arial"/>
          <w:sz w:val="22"/>
          <w:szCs w:val="22"/>
        </w:rPr>
        <w:t xml:space="preserve"> (0.61). The overall pooled mean LAI was 0.68, indicating moderate leaf development under nutrient-managed conditions.</w:t>
      </w:r>
      <w:r w:rsidR="00363CAA" w:rsidRPr="00AA3FCE">
        <w:rPr>
          <w:rFonts w:ascii="Arial" w:hAnsi="Arial" w:cs="Arial"/>
          <w:sz w:val="22"/>
          <w:szCs w:val="22"/>
        </w:rPr>
        <w:t xml:space="preserve"> </w:t>
      </w:r>
      <w:r w:rsidRPr="00AA3FCE">
        <w:rPr>
          <w:rFonts w:ascii="Arial" w:hAnsi="Arial" w:cs="Arial"/>
          <w:sz w:val="22"/>
          <w:szCs w:val="22"/>
        </w:rPr>
        <w:t xml:space="preserve">Enhanced LAI under INM can be attributed to improved nutrient availability, particularly nitrogen and potassium, which promote </w:t>
      </w:r>
      <w:r w:rsidRPr="00AA3FCE">
        <w:rPr>
          <w:rFonts w:ascii="Arial" w:hAnsi="Arial" w:cs="Arial"/>
          <w:sz w:val="22"/>
          <w:szCs w:val="22"/>
        </w:rPr>
        <w:lastRenderedPageBreak/>
        <w:t>leaf expansion and chlorophyll synthesis (Kumar et al., 2020). Organic amendments improve soil structure and water retention, supporting sustained leaf growth, while biofertilizers enhance nutrient uptake efficiency (Ramesh et al., 2021). Higher LAI contributes to better light interception, increased photosynthesis, and ultimately higher reproductive success in chilli (Singh et al., 2018).</w:t>
      </w:r>
    </w:p>
    <w:p w14:paraId="413525E4" w14:textId="77777777" w:rsidR="008259F9" w:rsidRPr="00AA3FCE" w:rsidRDefault="00411434" w:rsidP="008259F9">
      <w:pPr>
        <w:spacing w:before="100" w:beforeAutospacing="1" w:after="100" w:afterAutospacing="1" w:line="360" w:lineRule="auto"/>
        <w:jc w:val="both"/>
        <w:rPr>
          <w:rFonts w:ascii="Arial" w:hAnsi="Arial" w:cs="Arial"/>
          <w:b/>
          <w:sz w:val="22"/>
          <w:szCs w:val="22"/>
        </w:rPr>
      </w:pPr>
      <w:r w:rsidRPr="00AA3FCE">
        <w:rPr>
          <w:rFonts w:ascii="Arial" w:hAnsi="Arial" w:cs="Arial"/>
          <w:b/>
          <w:sz w:val="22"/>
          <w:szCs w:val="22"/>
        </w:rPr>
        <w:t xml:space="preserve">3.4 </w:t>
      </w:r>
      <w:r w:rsidR="008259F9" w:rsidRPr="00AA3FCE">
        <w:rPr>
          <w:rFonts w:ascii="Arial" w:hAnsi="Arial" w:cs="Arial"/>
          <w:b/>
          <w:sz w:val="22"/>
          <w:szCs w:val="22"/>
        </w:rPr>
        <w:t>Inter-nodal Length (IL, cm)</w:t>
      </w:r>
    </w:p>
    <w:p w14:paraId="2EFB7093" w14:textId="50ED55CD" w:rsidR="008259F9" w:rsidRPr="00AA3FCE" w:rsidRDefault="008259F9" w:rsidP="008259F9">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rPr>
        <w:t xml:space="preserve">Inter-nodal length is a key indicator of stem elongation and canopy architecture. </w:t>
      </w:r>
      <w:r w:rsidRPr="00AA3FCE">
        <w:rPr>
          <w:rFonts w:ascii="Arial" w:hAnsi="Arial" w:cs="Arial"/>
          <w:sz w:val="22"/>
          <w:szCs w:val="22"/>
          <w:lang w:eastAsia="en-IN"/>
        </w:rPr>
        <w:t>The effect of integrated nutrient management on inter-nodal length was evaluated at 30 DAT over two years (2022–23 and 2023–24)</w:t>
      </w:r>
      <w:r w:rsidR="003139EA">
        <w:rPr>
          <w:rFonts w:ascii="Arial" w:hAnsi="Arial" w:cs="Arial"/>
          <w:sz w:val="22"/>
          <w:szCs w:val="22"/>
          <w:lang w:eastAsia="en-IN"/>
        </w:rPr>
        <w:t xml:space="preserve"> </w:t>
      </w:r>
      <w:r w:rsidR="003139EA">
        <w:rPr>
          <w:rFonts w:ascii="Arial" w:hAnsi="Arial" w:cs="Arial"/>
          <w:sz w:val="22"/>
          <w:szCs w:val="22"/>
        </w:rPr>
        <w:t xml:space="preserve">(Table </w:t>
      </w:r>
      <w:r w:rsidR="00AD2003">
        <w:rPr>
          <w:rFonts w:ascii="Arial" w:hAnsi="Arial" w:cs="Arial"/>
          <w:sz w:val="22"/>
          <w:szCs w:val="22"/>
        </w:rPr>
        <w:t>2</w:t>
      </w:r>
      <w:r w:rsidR="003139EA">
        <w:rPr>
          <w:rFonts w:ascii="Arial" w:hAnsi="Arial" w:cs="Arial"/>
          <w:sz w:val="22"/>
          <w:szCs w:val="22"/>
        </w:rPr>
        <w:t>)</w:t>
      </w:r>
      <w:r w:rsidRPr="00AA3FCE">
        <w:rPr>
          <w:rFonts w:ascii="Arial" w:hAnsi="Arial" w:cs="Arial"/>
          <w:sz w:val="22"/>
          <w:szCs w:val="22"/>
          <w:lang w:eastAsia="en-IN"/>
        </w:rPr>
        <w:t>. During 2022–23, internodal length ranged from 3.36 cm (T</w:t>
      </w:r>
      <w:r w:rsidRPr="00AA3FCE">
        <w:rPr>
          <w:rFonts w:ascii="Cambria Math" w:hAnsi="Cambria Math" w:cs="Cambria Math"/>
          <w:sz w:val="22"/>
          <w:szCs w:val="22"/>
          <w:lang w:eastAsia="en-IN"/>
        </w:rPr>
        <w:t>₁₀</w:t>
      </w:r>
      <w:r w:rsidRPr="00AA3FCE">
        <w:rPr>
          <w:rFonts w:ascii="Arial" w:hAnsi="Arial" w:cs="Arial"/>
          <w:sz w:val="22"/>
          <w:szCs w:val="22"/>
          <w:lang w:eastAsia="en-IN"/>
        </w:rPr>
        <w:t>) to 3.82 cm (T</w:t>
      </w:r>
      <w:r w:rsidRPr="00AA3FCE">
        <w:rPr>
          <w:rFonts w:ascii="Cambria Math" w:hAnsi="Cambria Math" w:cs="Cambria Math"/>
          <w:sz w:val="22"/>
          <w:szCs w:val="22"/>
          <w:lang w:eastAsia="en-IN"/>
        </w:rPr>
        <w:t>₁₃</w:t>
      </w:r>
      <w:r w:rsidRPr="00AA3FCE">
        <w:rPr>
          <w:rFonts w:ascii="Arial" w:hAnsi="Arial" w:cs="Arial"/>
          <w:sz w:val="22"/>
          <w:szCs w:val="22"/>
          <w:lang w:eastAsia="en-IN"/>
        </w:rPr>
        <w:t>). Treatments T</w:t>
      </w:r>
      <w:r w:rsidRPr="00AA3FCE">
        <w:rPr>
          <w:rFonts w:ascii="Cambria Math" w:hAnsi="Cambria Math" w:cs="Cambria Math"/>
          <w:sz w:val="22"/>
          <w:szCs w:val="22"/>
          <w:lang w:eastAsia="en-IN"/>
        </w:rPr>
        <w:t>₄</w:t>
      </w:r>
      <w:r w:rsidRPr="00AA3FCE">
        <w:rPr>
          <w:rFonts w:ascii="Arial" w:hAnsi="Arial" w:cs="Arial"/>
          <w:sz w:val="22"/>
          <w:szCs w:val="22"/>
          <w:lang w:eastAsia="en-IN"/>
        </w:rPr>
        <w:t xml:space="preserve"> (3.78), T</w:t>
      </w:r>
      <w:r w:rsidRPr="00AA3FCE">
        <w:rPr>
          <w:rFonts w:ascii="Cambria Math" w:hAnsi="Cambria Math" w:cs="Cambria Math"/>
          <w:sz w:val="22"/>
          <w:szCs w:val="22"/>
          <w:lang w:eastAsia="en-IN"/>
        </w:rPr>
        <w:t>₆</w:t>
      </w:r>
      <w:r w:rsidRPr="00AA3FCE">
        <w:rPr>
          <w:rFonts w:ascii="Arial" w:hAnsi="Arial" w:cs="Arial"/>
          <w:sz w:val="22"/>
          <w:szCs w:val="22"/>
          <w:lang w:eastAsia="en-IN"/>
        </w:rPr>
        <w:t xml:space="preserve"> (3.77), T</w:t>
      </w:r>
      <w:r w:rsidRPr="00AA3FCE">
        <w:rPr>
          <w:rFonts w:ascii="Cambria Math" w:hAnsi="Cambria Math" w:cs="Cambria Math"/>
          <w:sz w:val="22"/>
          <w:szCs w:val="22"/>
          <w:lang w:eastAsia="en-IN"/>
        </w:rPr>
        <w:t>₅</w:t>
      </w:r>
      <w:r w:rsidRPr="00AA3FCE">
        <w:rPr>
          <w:rFonts w:ascii="Arial" w:hAnsi="Arial" w:cs="Arial"/>
          <w:sz w:val="22"/>
          <w:szCs w:val="22"/>
          <w:lang w:eastAsia="en-IN"/>
        </w:rPr>
        <w:t xml:space="preserve"> (3.74), T</w:t>
      </w:r>
      <w:r w:rsidRPr="00AA3FCE">
        <w:rPr>
          <w:rFonts w:ascii="Cambria Math" w:hAnsi="Cambria Math" w:cs="Cambria Math"/>
          <w:sz w:val="22"/>
          <w:szCs w:val="22"/>
          <w:lang w:eastAsia="en-IN"/>
        </w:rPr>
        <w:t>₁₂</w:t>
      </w:r>
      <w:r w:rsidRPr="00AA3FCE">
        <w:rPr>
          <w:rFonts w:ascii="Arial" w:hAnsi="Arial" w:cs="Arial"/>
          <w:sz w:val="22"/>
          <w:szCs w:val="22"/>
          <w:lang w:eastAsia="en-IN"/>
        </w:rPr>
        <w:t xml:space="preserve"> (3.72), T</w:t>
      </w:r>
      <w:r w:rsidRPr="00AA3FCE">
        <w:rPr>
          <w:rFonts w:ascii="Cambria Math" w:hAnsi="Cambria Math" w:cs="Cambria Math"/>
          <w:sz w:val="22"/>
          <w:szCs w:val="22"/>
          <w:lang w:eastAsia="en-IN"/>
        </w:rPr>
        <w:t>₁₁</w:t>
      </w:r>
      <w:r w:rsidRPr="00AA3FCE">
        <w:rPr>
          <w:rFonts w:ascii="Arial" w:hAnsi="Arial" w:cs="Arial"/>
          <w:sz w:val="22"/>
          <w:szCs w:val="22"/>
          <w:lang w:eastAsia="en-IN"/>
        </w:rPr>
        <w:t xml:space="preserve"> (3.71), T</w:t>
      </w:r>
      <w:r w:rsidRPr="00AA3FCE">
        <w:rPr>
          <w:rFonts w:ascii="Cambria Math" w:hAnsi="Cambria Math" w:cs="Cambria Math"/>
          <w:sz w:val="22"/>
          <w:szCs w:val="22"/>
          <w:lang w:eastAsia="en-IN"/>
        </w:rPr>
        <w:t>₁</w:t>
      </w:r>
      <w:r w:rsidRPr="00AA3FCE">
        <w:rPr>
          <w:rFonts w:ascii="Arial" w:hAnsi="Arial" w:cs="Arial"/>
          <w:sz w:val="22"/>
          <w:szCs w:val="22"/>
          <w:lang w:eastAsia="en-IN"/>
        </w:rPr>
        <w:t xml:space="preserve"> (3.70), T</w:t>
      </w:r>
      <w:r w:rsidRPr="00AA3FCE">
        <w:rPr>
          <w:rFonts w:ascii="Cambria Math" w:hAnsi="Cambria Math" w:cs="Cambria Math"/>
          <w:sz w:val="22"/>
          <w:szCs w:val="22"/>
          <w:lang w:eastAsia="en-IN"/>
        </w:rPr>
        <w:t>₃</w:t>
      </w:r>
      <w:r w:rsidRPr="00AA3FCE">
        <w:rPr>
          <w:rFonts w:ascii="Arial" w:hAnsi="Arial" w:cs="Arial"/>
          <w:sz w:val="22"/>
          <w:szCs w:val="22"/>
          <w:lang w:eastAsia="en-IN"/>
        </w:rPr>
        <w:t xml:space="preserve"> (3.69), T</w:t>
      </w:r>
      <w:r w:rsidRPr="00AA3FCE">
        <w:rPr>
          <w:rFonts w:ascii="Cambria Math" w:hAnsi="Cambria Math" w:cs="Cambria Math"/>
          <w:sz w:val="22"/>
          <w:szCs w:val="22"/>
          <w:lang w:eastAsia="en-IN"/>
        </w:rPr>
        <w:t>₉</w:t>
      </w:r>
      <w:r w:rsidRPr="00AA3FCE">
        <w:rPr>
          <w:rFonts w:ascii="Arial" w:hAnsi="Arial" w:cs="Arial"/>
          <w:sz w:val="22"/>
          <w:szCs w:val="22"/>
          <w:lang w:eastAsia="en-IN"/>
        </w:rPr>
        <w:t xml:space="preserve"> (3.68), T</w:t>
      </w:r>
      <w:r w:rsidRPr="00AA3FCE">
        <w:rPr>
          <w:rFonts w:ascii="Cambria Math" w:hAnsi="Cambria Math" w:cs="Cambria Math"/>
          <w:sz w:val="22"/>
          <w:szCs w:val="22"/>
          <w:lang w:eastAsia="en-IN"/>
        </w:rPr>
        <w:t>₈</w:t>
      </w:r>
      <w:r w:rsidRPr="00AA3FCE">
        <w:rPr>
          <w:rFonts w:ascii="Arial" w:hAnsi="Arial" w:cs="Arial"/>
          <w:sz w:val="22"/>
          <w:szCs w:val="22"/>
          <w:lang w:eastAsia="en-IN"/>
        </w:rPr>
        <w:t xml:space="preserve"> (3.66), and T</w:t>
      </w:r>
      <w:r w:rsidRPr="00AA3FCE">
        <w:rPr>
          <w:rFonts w:ascii="Cambria Math" w:hAnsi="Cambria Math" w:cs="Cambria Math"/>
          <w:sz w:val="22"/>
          <w:szCs w:val="22"/>
          <w:lang w:eastAsia="en-IN"/>
        </w:rPr>
        <w:t>₇</w:t>
      </w:r>
      <w:r w:rsidRPr="00AA3FCE">
        <w:rPr>
          <w:rFonts w:ascii="Arial" w:hAnsi="Arial" w:cs="Arial"/>
          <w:sz w:val="22"/>
          <w:szCs w:val="22"/>
          <w:lang w:eastAsia="en-IN"/>
        </w:rPr>
        <w:t xml:space="preserve"> (3.64) were statistically comparable to the control (T</w:t>
      </w:r>
      <w:r w:rsidRPr="00AA3FCE">
        <w:rPr>
          <w:rFonts w:ascii="Cambria Math" w:hAnsi="Cambria Math" w:cs="Cambria Math"/>
          <w:sz w:val="22"/>
          <w:szCs w:val="22"/>
          <w:lang w:eastAsia="en-IN"/>
        </w:rPr>
        <w:t>₁₃</w:t>
      </w:r>
      <w:r w:rsidRPr="00AA3FCE">
        <w:rPr>
          <w:rFonts w:ascii="Arial" w:hAnsi="Arial" w:cs="Arial"/>
          <w:sz w:val="22"/>
          <w:szCs w:val="22"/>
          <w:lang w:eastAsia="en-IN"/>
        </w:rPr>
        <w:t>). In 2023–24, internodal length ranged from 3.49 cm (T</w:t>
      </w:r>
      <w:r w:rsidRPr="00AA3FCE">
        <w:rPr>
          <w:rFonts w:ascii="Cambria Math" w:hAnsi="Cambria Math" w:cs="Cambria Math"/>
          <w:sz w:val="22"/>
          <w:szCs w:val="22"/>
          <w:lang w:eastAsia="en-IN"/>
        </w:rPr>
        <w:t>₁</w:t>
      </w:r>
      <w:r w:rsidRPr="00AA3FCE">
        <w:rPr>
          <w:rFonts w:ascii="Arial" w:hAnsi="Arial" w:cs="Arial"/>
          <w:sz w:val="22"/>
          <w:szCs w:val="22"/>
          <w:lang w:eastAsia="en-IN"/>
        </w:rPr>
        <w:t>, T</w:t>
      </w:r>
      <w:r w:rsidRPr="00AA3FCE">
        <w:rPr>
          <w:rFonts w:ascii="Cambria Math" w:hAnsi="Cambria Math" w:cs="Cambria Math"/>
          <w:sz w:val="22"/>
          <w:szCs w:val="22"/>
          <w:lang w:eastAsia="en-IN"/>
        </w:rPr>
        <w:t>₄</w:t>
      </w:r>
      <w:r w:rsidRPr="00AA3FCE">
        <w:rPr>
          <w:rFonts w:ascii="Arial" w:hAnsi="Arial" w:cs="Arial"/>
          <w:sz w:val="22"/>
          <w:szCs w:val="22"/>
          <w:lang w:eastAsia="en-IN"/>
        </w:rPr>
        <w:t>) to 3.82 cm (T</w:t>
      </w:r>
      <w:r w:rsidRPr="00AA3FCE">
        <w:rPr>
          <w:rFonts w:ascii="Cambria Math" w:hAnsi="Cambria Math" w:cs="Cambria Math"/>
          <w:sz w:val="22"/>
          <w:szCs w:val="22"/>
          <w:lang w:eastAsia="en-IN"/>
        </w:rPr>
        <w:t>₁₃</w:t>
      </w:r>
      <w:r w:rsidRPr="00AA3FCE">
        <w:rPr>
          <w:rFonts w:ascii="Arial" w:hAnsi="Arial" w:cs="Arial"/>
          <w:sz w:val="22"/>
          <w:szCs w:val="22"/>
          <w:lang w:eastAsia="en-IN"/>
        </w:rPr>
        <w:t>). Treatments T</w:t>
      </w:r>
      <w:r w:rsidRPr="00AA3FCE">
        <w:rPr>
          <w:rFonts w:ascii="Cambria Math" w:hAnsi="Cambria Math" w:cs="Cambria Math"/>
          <w:sz w:val="22"/>
          <w:szCs w:val="22"/>
          <w:lang w:eastAsia="en-IN"/>
        </w:rPr>
        <w:t>₁₂</w:t>
      </w:r>
      <w:r w:rsidRPr="00AA3FCE">
        <w:rPr>
          <w:rFonts w:ascii="Arial" w:hAnsi="Arial" w:cs="Arial"/>
          <w:sz w:val="22"/>
          <w:szCs w:val="22"/>
          <w:lang w:eastAsia="en-IN"/>
        </w:rPr>
        <w:t xml:space="preserve"> (3.68), T</w:t>
      </w:r>
      <w:r w:rsidRPr="00AA3FCE">
        <w:rPr>
          <w:rFonts w:ascii="Cambria Math" w:hAnsi="Cambria Math" w:cs="Cambria Math"/>
          <w:sz w:val="22"/>
          <w:szCs w:val="22"/>
          <w:lang w:eastAsia="en-IN"/>
        </w:rPr>
        <w:t>₃</w:t>
      </w:r>
      <w:r w:rsidRPr="00AA3FCE">
        <w:rPr>
          <w:rFonts w:ascii="Arial" w:hAnsi="Arial" w:cs="Arial"/>
          <w:sz w:val="22"/>
          <w:szCs w:val="22"/>
          <w:lang w:eastAsia="en-IN"/>
        </w:rPr>
        <w:t xml:space="preserve"> (3.51), T</w:t>
      </w:r>
      <w:r w:rsidRPr="00AA3FCE">
        <w:rPr>
          <w:rFonts w:ascii="Cambria Math" w:hAnsi="Cambria Math" w:cs="Cambria Math"/>
          <w:sz w:val="22"/>
          <w:szCs w:val="22"/>
          <w:lang w:eastAsia="en-IN"/>
        </w:rPr>
        <w:t>₈</w:t>
      </w:r>
      <w:r w:rsidRPr="00AA3FCE">
        <w:rPr>
          <w:rFonts w:ascii="Arial" w:hAnsi="Arial" w:cs="Arial"/>
          <w:sz w:val="22"/>
          <w:szCs w:val="22"/>
          <w:lang w:eastAsia="en-IN"/>
        </w:rPr>
        <w:t xml:space="preserve"> (3.51), T</w:t>
      </w:r>
      <w:r w:rsidRPr="00AA3FCE">
        <w:rPr>
          <w:rFonts w:ascii="Cambria Math" w:hAnsi="Cambria Math" w:cs="Cambria Math"/>
          <w:sz w:val="22"/>
          <w:szCs w:val="22"/>
          <w:lang w:eastAsia="en-IN"/>
        </w:rPr>
        <w:t>₄</w:t>
      </w:r>
      <w:r w:rsidRPr="00AA3FCE">
        <w:rPr>
          <w:rFonts w:ascii="Arial" w:hAnsi="Arial" w:cs="Arial"/>
          <w:sz w:val="22"/>
          <w:szCs w:val="22"/>
          <w:lang w:eastAsia="en-IN"/>
        </w:rPr>
        <w:t xml:space="preserve"> (3.49), and T</w:t>
      </w:r>
      <w:r w:rsidRPr="00AA3FCE">
        <w:rPr>
          <w:rFonts w:ascii="Cambria Math" w:hAnsi="Cambria Math" w:cs="Cambria Math"/>
          <w:sz w:val="22"/>
          <w:szCs w:val="22"/>
          <w:lang w:eastAsia="en-IN"/>
        </w:rPr>
        <w:t>₁</w:t>
      </w:r>
      <w:r w:rsidRPr="00AA3FCE">
        <w:rPr>
          <w:rFonts w:ascii="Arial" w:hAnsi="Arial" w:cs="Arial"/>
          <w:sz w:val="22"/>
          <w:szCs w:val="22"/>
          <w:lang w:eastAsia="en-IN"/>
        </w:rPr>
        <w:t xml:space="preserve"> (3.49) were statistically at par with the control. The F-test (</w:t>
      </w:r>
      <w:r w:rsidRPr="00AA3FCE">
        <w:rPr>
          <w:rFonts w:ascii="Arial" w:hAnsi="Arial" w:cs="Arial"/>
          <w:i/>
          <w:sz w:val="22"/>
          <w:szCs w:val="22"/>
        </w:rPr>
        <w:t>P</w:t>
      </w:r>
      <w:r w:rsidRPr="00AA3FCE">
        <w:rPr>
          <w:rFonts w:ascii="Arial" w:hAnsi="Arial" w:cs="Arial"/>
          <w:sz w:val="22"/>
          <w:szCs w:val="22"/>
          <w:lang w:eastAsia="en-IN"/>
        </w:rPr>
        <w:t xml:space="preserve"> = 0.17) indicated homogeneous error variance, supporting pooled analysis. Pooled data showed the highest internodal length in T</w:t>
      </w:r>
      <w:r w:rsidRPr="00AA3FCE">
        <w:rPr>
          <w:rFonts w:ascii="Cambria Math" w:hAnsi="Cambria Math" w:cs="Cambria Math"/>
          <w:sz w:val="22"/>
          <w:szCs w:val="22"/>
          <w:lang w:eastAsia="en-IN"/>
        </w:rPr>
        <w:t>₁₃</w:t>
      </w:r>
      <w:r w:rsidRPr="00AA3FCE">
        <w:rPr>
          <w:rFonts w:ascii="Arial" w:hAnsi="Arial" w:cs="Arial"/>
          <w:sz w:val="22"/>
          <w:szCs w:val="22"/>
          <w:lang w:eastAsia="en-IN"/>
        </w:rPr>
        <w:t xml:space="preserve"> (3.82), followed by T</w:t>
      </w:r>
      <w:r w:rsidRPr="00AA3FCE">
        <w:rPr>
          <w:rFonts w:ascii="Cambria Math" w:hAnsi="Cambria Math" w:cs="Cambria Math"/>
          <w:sz w:val="22"/>
          <w:szCs w:val="22"/>
          <w:lang w:eastAsia="en-IN"/>
        </w:rPr>
        <w:t>₁₂</w:t>
      </w:r>
      <w:r w:rsidRPr="00AA3FCE">
        <w:rPr>
          <w:rFonts w:ascii="Arial" w:hAnsi="Arial" w:cs="Arial"/>
          <w:sz w:val="22"/>
          <w:szCs w:val="22"/>
          <w:lang w:eastAsia="en-IN"/>
        </w:rPr>
        <w:t xml:space="preserve"> (3.70) and T</w:t>
      </w:r>
      <w:r w:rsidRPr="00AA3FCE">
        <w:rPr>
          <w:rFonts w:ascii="Cambria Math" w:hAnsi="Cambria Math" w:cs="Cambria Math"/>
          <w:sz w:val="22"/>
          <w:szCs w:val="22"/>
          <w:lang w:eastAsia="en-IN"/>
        </w:rPr>
        <w:t>₄</w:t>
      </w:r>
      <w:r w:rsidRPr="00AA3FCE">
        <w:rPr>
          <w:rFonts w:ascii="Arial" w:hAnsi="Arial" w:cs="Arial"/>
          <w:sz w:val="22"/>
          <w:szCs w:val="22"/>
          <w:lang w:eastAsia="en-IN"/>
        </w:rPr>
        <w:t xml:space="preserve"> (3.63), all statistically similar. The lowest was observed in T</w:t>
      </w:r>
      <w:r w:rsidRPr="00AA3FCE">
        <w:rPr>
          <w:rFonts w:ascii="Cambria Math" w:hAnsi="Cambria Math" w:cs="Cambria Math"/>
          <w:sz w:val="22"/>
          <w:szCs w:val="22"/>
          <w:lang w:eastAsia="en-IN"/>
        </w:rPr>
        <w:t>₂</w:t>
      </w:r>
      <w:r w:rsidRPr="00AA3FCE">
        <w:rPr>
          <w:rFonts w:ascii="Arial" w:hAnsi="Arial" w:cs="Arial"/>
          <w:sz w:val="22"/>
          <w:szCs w:val="22"/>
          <w:lang w:eastAsia="en-IN"/>
        </w:rPr>
        <w:t xml:space="preserve"> (3.02), with a pooled mean of 3.54 cm.</w:t>
      </w:r>
    </w:p>
    <w:p w14:paraId="7F1A7B95" w14:textId="77777777" w:rsidR="008259F9" w:rsidRPr="00AA3FCE" w:rsidRDefault="008259F9" w:rsidP="008259F9">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In the present study, the control (T</w:t>
      </w:r>
      <w:r w:rsidRPr="00AA3FCE">
        <w:rPr>
          <w:rFonts w:ascii="Cambria Math" w:hAnsi="Cambria Math" w:cs="Cambria Math"/>
          <w:sz w:val="22"/>
          <w:szCs w:val="22"/>
          <w:lang w:eastAsia="en-IN"/>
        </w:rPr>
        <w:t>₁₃</w:t>
      </w:r>
      <w:r w:rsidRPr="00AA3FCE">
        <w:rPr>
          <w:rFonts w:ascii="Arial" w:hAnsi="Arial" w:cs="Arial"/>
          <w:sz w:val="22"/>
          <w:szCs w:val="22"/>
          <w:lang w:eastAsia="en-IN"/>
        </w:rPr>
        <w:t>) exhibited the longest internodes, while treatments with balanced nutrient management showed moderate internodal length. Excessive internode elongation in control may reflect etiolation due to nutrient deficiency (particularly nitrogen and potassium) that limits balanced vegetative development (Sharma et al., 2022).</w:t>
      </w:r>
      <w:r w:rsidR="00363CAA" w:rsidRPr="00AA3FCE">
        <w:rPr>
          <w:rFonts w:ascii="Arial" w:hAnsi="Arial" w:cs="Arial"/>
          <w:sz w:val="22"/>
          <w:szCs w:val="22"/>
          <w:lang w:eastAsia="en-IN"/>
        </w:rPr>
        <w:t xml:space="preserve"> </w:t>
      </w:r>
      <w:r w:rsidRPr="00AA3FCE">
        <w:rPr>
          <w:rFonts w:ascii="Arial" w:hAnsi="Arial" w:cs="Arial"/>
          <w:sz w:val="22"/>
          <w:szCs w:val="22"/>
          <w:lang w:eastAsia="en-IN"/>
        </w:rPr>
        <w:t>Moderate internodal length in INM treatments ensures compact canopy architecture, improving mechanical support and reducing lodging risk. The combined use of organic manures and biofertilizers likely contributed to better nutrient uptake and uniform vegetative growth, as also reported by Kumar et al. (2020) and Ramesh et al. (2021). Properly spaced internodes optimize leaf display and light penetration, enhancing photosynthetic efficiency and reproductive success.</w:t>
      </w:r>
    </w:p>
    <w:p w14:paraId="36040E92" w14:textId="77777777" w:rsidR="008259F9" w:rsidRPr="00AA3FCE" w:rsidRDefault="00411434" w:rsidP="008259F9">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 xml:space="preserve">3.5 </w:t>
      </w:r>
      <w:r w:rsidR="008259F9" w:rsidRPr="00AA3FCE">
        <w:rPr>
          <w:rFonts w:ascii="Arial" w:hAnsi="Arial" w:cs="Arial"/>
          <w:b/>
          <w:color w:val="auto"/>
          <w:sz w:val="22"/>
          <w:szCs w:val="22"/>
        </w:rPr>
        <w:t>Number of Fruits per Plant (NFP)</w:t>
      </w:r>
    </w:p>
    <w:p w14:paraId="54AFD23A" w14:textId="33E3E0D5" w:rsidR="008259F9" w:rsidRPr="00AA3FCE" w:rsidRDefault="008259F9" w:rsidP="00363CAA">
      <w:pPr>
        <w:pStyle w:val="NormalWeb"/>
        <w:spacing w:line="360" w:lineRule="auto"/>
        <w:jc w:val="both"/>
        <w:rPr>
          <w:rFonts w:ascii="Arial" w:hAnsi="Arial" w:cs="Arial"/>
          <w:sz w:val="22"/>
          <w:szCs w:val="22"/>
        </w:rPr>
      </w:pPr>
      <w:r w:rsidRPr="00AA3FCE">
        <w:rPr>
          <w:rFonts w:ascii="Arial" w:hAnsi="Arial" w:cs="Arial"/>
          <w:sz w:val="22"/>
          <w:szCs w:val="22"/>
        </w:rPr>
        <w:t xml:space="preserve">The effect of integrated nutrient management on the number of fruits per plant (NFP) was </w:t>
      </w:r>
      <w:r w:rsidR="003139EA">
        <w:rPr>
          <w:rFonts w:ascii="Arial" w:hAnsi="Arial" w:cs="Arial"/>
          <w:sz w:val="22"/>
          <w:szCs w:val="22"/>
        </w:rPr>
        <w:t>d</w:t>
      </w:r>
      <w:r w:rsidRPr="00AA3FCE">
        <w:rPr>
          <w:rFonts w:ascii="Arial" w:hAnsi="Arial" w:cs="Arial"/>
          <w:sz w:val="22"/>
          <w:szCs w:val="22"/>
        </w:rPr>
        <w:t xml:space="preserve">evaluated over two consecutive years (2022–23 and 2023–24). </w:t>
      </w:r>
      <w:r w:rsidR="003139EA">
        <w:rPr>
          <w:rFonts w:ascii="Arial" w:hAnsi="Arial" w:cs="Arial"/>
          <w:sz w:val="22"/>
          <w:szCs w:val="22"/>
        </w:rPr>
        <w:t xml:space="preserve">Table </w:t>
      </w:r>
      <w:r w:rsidR="00AD2003">
        <w:rPr>
          <w:rFonts w:ascii="Arial" w:hAnsi="Arial" w:cs="Arial"/>
          <w:sz w:val="22"/>
          <w:szCs w:val="22"/>
        </w:rPr>
        <w:t>2</w:t>
      </w:r>
      <w:r w:rsidR="003139EA">
        <w:rPr>
          <w:rFonts w:ascii="Arial" w:hAnsi="Arial" w:cs="Arial"/>
          <w:sz w:val="22"/>
          <w:szCs w:val="22"/>
        </w:rPr>
        <w:t xml:space="preserve"> presents that d</w:t>
      </w:r>
      <w:r w:rsidRPr="00AA3FCE">
        <w:rPr>
          <w:rFonts w:ascii="Arial" w:hAnsi="Arial" w:cs="Arial"/>
          <w:sz w:val="22"/>
          <w:szCs w:val="22"/>
        </w:rPr>
        <w:t>uring 2022–23, NFP ranged from 195.33 (T</w:t>
      </w:r>
      <w:r w:rsidRPr="00AA3FCE">
        <w:rPr>
          <w:rFonts w:ascii="Cambria Math" w:hAnsi="Cambria Math" w:cs="Cambria Math"/>
          <w:sz w:val="22"/>
          <w:szCs w:val="22"/>
        </w:rPr>
        <w:t>₁₃</w:t>
      </w:r>
      <w:r w:rsidRPr="00AA3FCE">
        <w:rPr>
          <w:rFonts w:ascii="Arial" w:hAnsi="Arial" w:cs="Arial"/>
          <w:sz w:val="22"/>
          <w:szCs w:val="22"/>
        </w:rPr>
        <w:t>) to 211 (T</w:t>
      </w:r>
      <w:r w:rsidRPr="00AA3FCE">
        <w:rPr>
          <w:rFonts w:ascii="Cambria Math" w:hAnsi="Cambria Math" w:cs="Cambria Math"/>
          <w:sz w:val="22"/>
          <w:szCs w:val="22"/>
        </w:rPr>
        <w:t>₅</w:t>
      </w:r>
      <w:r w:rsidRPr="00AA3FCE">
        <w:rPr>
          <w:rFonts w:ascii="Arial" w:hAnsi="Arial" w:cs="Arial"/>
          <w:sz w:val="22"/>
          <w:szCs w:val="22"/>
        </w:rPr>
        <w:t>). The highest NFP was observed in T</w:t>
      </w:r>
      <w:r w:rsidRPr="00AA3FCE">
        <w:rPr>
          <w:rFonts w:ascii="Cambria Math" w:hAnsi="Cambria Math" w:cs="Cambria Math"/>
          <w:sz w:val="22"/>
          <w:szCs w:val="22"/>
        </w:rPr>
        <w:t>₅</w:t>
      </w:r>
      <w:r w:rsidRPr="00AA3FCE">
        <w:rPr>
          <w:rFonts w:ascii="Arial" w:hAnsi="Arial" w:cs="Arial"/>
          <w:sz w:val="22"/>
          <w:szCs w:val="22"/>
        </w:rPr>
        <w:t xml:space="preserve"> </w:t>
      </w:r>
      <w:r w:rsidRPr="00AA3FCE">
        <w:rPr>
          <w:rFonts w:ascii="Arial" w:hAnsi="Arial" w:cs="Arial"/>
          <w:sz w:val="22"/>
          <w:szCs w:val="22"/>
        </w:rPr>
        <w:lastRenderedPageBreak/>
        <w:t>(211), followed by T</w:t>
      </w:r>
      <w:r w:rsidRPr="00AA3FCE">
        <w:rPr>
          <w:rFonts w:ascii="Cambria Math" w:hAnsi="Cambria Math" w:cs="Cambria Math"/>
          <w:sz w:val="22"/>
          <w:szCs w:val="22"/>
        </w:rPr>
        <w:t>₆</w:t>
      </w:r>
      <w:r w:rsidRPr="00AA3FCE">
        <w:rPr>
          <w:rFonts w:ascii="Arial" w:hAnsi="Arial" w:cs="Arial"/>
          <w:sz w:val="22"/>
          <w:szCs w:val="22"/>
        </w:rPr>
        <w:t xml:space="preserve"> (210.33), T</w:t>
      </w:r>
      <w:r w:rsidRPr="00AA3FCE">
        <w:rPr>
          <w:rFonts w:ascii="Cambria Math" w:hAnsi="Cambria Math" w:cs="Cambria Math"/>
          <w:sz w:val="22"/>
          <w:szCs w:val="22"/>
        </w:rPr>
        <w:t>₇</w:t>
      </w:r>
      <w:r w:rsidRPr="00AA3FCE">
        <w:rPr>
          <w:rFonts w:ascii="Arial" w:hAnsi="Arial" w:cs="Arial"/>
          <w:sz w:val="22"/>
          <w:szCs w:val="22"/>
        </w:rPr>
        <w:t xml:space="preserve"> (210.33), T</w:t>
      </w:r>
      <w:r w:rsidRPr="00AA3FCE">
        <w:rPr>
          <w:rFonts w:ascii="Cambria Math" w:hAnsi="Cambria Math" w:cs="Cambria Math"/>
          <w:sz w:val="22"/>
          <w:szCs w:val="22"/>
        </w:rPr>
        <w:t>₄</w:t>
      </w:r>
      <w:r w:rsidRPr="00AA3FCE">
        <w:rPr>
          <w:rFonts w:ascii="Arial" w:hAnsi="Arial" w:cs="Arial"/>
          <w:sz w:val="22"/>
          <w:szCs w:val="22"/>
        </w:rPr>
        <w:t xml:space="preserve"> (210), T</w:t>
      </w:r>
      <w:r w:rsidRPr="00AA3FCE">
        <w:rPr>
          <w:rFonts w:ascii="Cambria Math" w:hAnsi="Cambria Math" w:cs="Cambria Math"/>
          <w:sz w:val="22"/>
          <w:szCs w:val="22"/>
        </w:rPr>
        <w:t>₉</w:t>
      </w:r>
      <w:r w:rsidRPr="00AA3FCE">
        <w:rPr>
          <w:rFonts w:ascii="Arial" w:hAnsi="Arial" w:cs="Arial"/>
          <w:sz w:val="22"/>
          <w:szCs w:val="22"/>
        </w:rPr>
        <w:t xml:space="preserve"> (210), and T</w:t>
      </w:r>
      <w:r w:rsidRPr="00AA3FCE">
        <w:rPr>
          <w:rFonts w:ascii="Cambria Math" w:hAnsi="Cambria Math" w:cs="Cambria Math"/>
          <w:sz w:val="22"/>
          <w:szCs w:val="22"/>
        </w:rPr>
        <w:t>₁₁</w:t>
      </w:r>
      <w:r w:rsidRPr="00AA3FCE">
        <w:rPr>
          <w:rFonts w:ascii="Arial" w:hAnsi="Arial" w:cs="Arial"/>
          <w:sz w:val="22"/>
          <w:szCs w:val="22"/>
        </w:rPr>
        <w:t xml:space="preserve"> (210), which were statistically at par. The lowest NFP was recorded in T</w:t>
      </w:r>
      <w:r w:rsidRPr="00AA3FCE">
        <w:rPr>
          <w:rFonts w:ascii="Cambria Math" w:hAnsi="Cambria Math" w:cs="Cambria Math"/>
          <w:sz w:val="22"/>
          <w:szCs w:val="22"/>
        </w:rPr>
        <w:t>₁₃</w:t>
      </w:r>
      <w:r w:rsidRPr="00AA3FCE">
        <w:rPr>
          <w:rFonts w:ascii="Arial" w:hAnsi="Arial" w:cs="Arial"/>
          <w:sz w:val="22"/>
          <w:szCs w:val="22"/>
        </w:rPr>
        <w:t xml:space="preserve"> (195.33). The year mean was 207.44. In 2023–24, NFP ranged from 192.67 (T</w:t>
      </w:r>
      <w:r w:rsidRPr="00AA3FCE">
        <w:rPr>
          <w:rFonts w:ascii="Cambria Math" w:hAnsi="Cambria Math" w:cs="Cambria Math"/>
          <w:sz w:val="22"/>
          <w:szCs w:val="22"/>
        </w:rPr>
        <w:t>₁₃</w:t>
      </w:r>
      <w:r w:rsidRPr="00AA3FCE">
        <w:rPr>
          <w:rFonts w:ascii="Arial" w:hAnsi="Arial" w:cs="Arial"/>
          <w:sz w:val="22"/>
          <w:szCs w:val="22"/>
        </w:rPr>
        <w:t>) to 209 (T</w:t>
      </w:r>
      <w:r w:rsidRPr="00AA3FCE">
        <w:rPr>
          <w:rFonts w:ascii="Cambria Math" w:hAnsi="Cambria Math" w:cs="Cambria Math"/>
          <w:sz w:val="22"/>
          <w:szCs w:val="22"/>
        </w:rPr>
        <w:t>₅</w:t>
      </w:r>
      <w:r w:rsidRPr="00AA3FCE">
        <w:rPr>
          <w:rFonts w:ascii="Arial" w:hAnsi="Arial" w:cs="Arial"/>
          <w:sz w:val="22"/>
          <w:szCs w:val="22"/>
        </w:rPr>
        <w:t>). The highest NFP was recorded in T</w:t>
      </w:r>
      <w:r w:rsidRPr="00AA3FCE">
        <w:rPr>
          <w:rFonts w:ascii="Cambria Math" w:hAnsi="Cambria Math" w:cs="Cambria Math"/>
          <w:sz w:val="22"/>
          <w:szCs w:val="22"/>
        </w:rPr>
        <w:t>₅</w:t>
      </w:r>
      <w:r w:rsidRPr="00AA3FCE">
        <w:rPr>
          <w:rFonts w:ascii="Arial" w:hAnsi="Arial" w:cs="Arial"/>
          <w:sz w:val="22"/>
          <w:szCs w:val="22"/>
        </w:rPr>
        <w:t xml:space="preserve"> (209), followed by T</w:t>
      </w:r>
      <w:r w:rsidRPr="00AA3FCE">
        <w:rPr>
          <w:rFonts w:ascii="Cambria Math" w:hAnsi="Cambria Math" w:cs="Cambria Math"/>
          <w:sz w:val="22"/>
          <w:szCs w:val="22"/>
        </w:rPr>
        <w:t>₇</w:t>
      </w:r>
      <w:r w:rsidRPr="00AA3FCE">
        <w:rPr>
          <w:rFonts w:ascii="Arial" w:hAnsi="Arial" w:cs="Arial"/>
          <w:sz w:val="22"/>
          <w:szCs w:val="22"/>
        </w:rPr>
        <w:t xml:space="preserve"> (207), T</w:t>
      </w:r>
      <w:r w:rsidRPr="00AA3FCE">
        <w:rPr>
          <w:rFonts w:ascii="Cambria Math" w:hAnsi="Cambria Math" w:cs="Cambria Math"/>
          <w:sz w:val="22"/>
          <w:szCs w:val="22"/>
        </w:rPr>
        <w:t>₆</w:t>
      </w:r>
      <w:r w:rsidRPr="00AA3FCE">
        <w:rPr>
          <w:rFonts w:ascii="Arial" w:hAnsi="Arial" w:cs="Arial"/>
          <w:sz w:val="22"/>
          <w:szCs w:val="22"/>
        </w:rPr>
        <w:t xml:space="preserve"> (205.33), T</w:t>
      </w:r>
      <w:r w:rsidRPr="00AA3FCE">
        <w:rPr>
          <w:rFonts w:ascii="Cambria Math" w:hAnsi="Cambria Math" w:cs="Cambria Math"/>
          <w:sz w:val="22"/>
          <w:szCs w:val="22"/>
        </w:rPr>
        <w:t>₄</w:t>
      </w:r>
      <w:r w:rsidRPr="00AA3FCE">
        <w:rPr>
          <w:rFonts w:ascii="Arial" w:hAnsi="Arial" w:cs="Arial"/>
          <w:sz w:val="22"/>
          <w:szCs w:val="22"/>
        </w:rPr>
        <w:t xml:space="preserve"> (204.67), T</w:t>
      </w:r>
      <w:r w:rsidRPr="00AA3FCE">
        <w:rPr>
          <w:rFonts w:ascii="Cambria Math" w:hAnsi="Cambria Math" w:cs="Cambria Math"/>
          <w:sz w:val="22"/>
          <w:szCs w:val="22"/>
        </w:rPr>
        <w:t>₉</w:t>
      </w:r>
      <w:r w:rsidRPr="00AA3FCE">
        <w:rPr>
          <w:rFonts w:ascii="Arial" w:hAnsi="Arial" w:cs="Arial"/>
          <w:sz w:val="22"/>
          <w:szCs w:val="22"/>
        </w:rPr>
        <w:t xml:space="preserve"> (202.67), T</w:t>
      </w:r>
      <w:r w:rsidRPr="00AA3FCE">
        <w:rPr>
          <w:rFonts w:ascii="Cambria Math" w:hAnsi="Cambria Math" w:cs="Cambria Math"/>
          <w:sz w:val="22"/>
          <w:szCs w:val="22"/>
        </w:rPr>
        <w:t>₁₀</w:t>
      </w:r>
      <w:r w:rsidRPr="00AA3FCE">
        <w:rPr>
          <w:rFonts w:ascii="Arial" w:hAnsi="Arial" w:cs="Arial"/>
          <w:sz w:val="22"/>
          <w:szCs w:val="22"/>
        </w:rPr>
        <w:t xml:space="preserve"> (202), and T</w:t>
      </w:r>
      <w:r w:rsidRPr="00AA3FCE">
        <w:rPr>
          <w:rFonts w:ascii="Cambria Math" w:hAnsi="Cambria Math" w:cs="Cambria Math"/>
          <w:sz w:val="22"/>
          <w:szCs w:val="22"/>
        </w:rPr>
        <w:t>₁₁</w:t>
      </w:r>
      <w:r w:rsidRPr="00AA3FCE">
        <w:rPr>
          <w:rFonts w:ascii="Arial" w:hAnsi="Arial" w:cs="Arial"/>
          <w:sz w:val="22"/>
          <w:szCs w:val="22"/>
        </w:rPr>
        <w:t xml:space="preserve"> (202), which were statistically comparable. The lowest NFP was observed in T</w:t>
      </w:r>
      <w:r w:rsidRPr="00AA3FCE">
        <w:rPr>
          <w:rFonts w:ascii="Cambria Math" w:hAnsi="Cambria Math" w:cs="Cambria Math"/>
          <w:sz w:val="22"/>
          <w:szCs w:val="22"/>
        </w:rPr>
        <w:t>₁₃</w:t>
      </w:r>
      <w:r w:rsidRPr="00AA3FCE">
        <w:rPr>
          <w:rFonts w:ascii="Arial" w:hAnsi="Arial" w:cs="Arial"/>
          <w:sz w:val="22"/>
          <w:szCs w:val="22"/>
        </w:rPr>
        <w:t xml:space="preserve"> (192.67). The year mean was 202.1. A non-significant F-test (</w:t>
      </w:r>
      <w:r w:rsidRPr="00AA3FCE">
        <w:rPr>
          <w:rFonts w:ascii="Arial" w:hAnsi="Arial" w:cs="Arial"/>
          <w:i/>
          <w:sz w:val="22"/>
          <w:szCs w:val="22"/>
        </w:rPr>
        <w:t>P</w:t>
      </w:r>
      <w:r w:rsidRPr="00AA3FCE">
        <w:rPr>
          <w:rFonts w:ascii="Arial" w:hAnsi="Arial" w:cs="Arial"/>
          <w:sz w:val="22"/>
          <w:szCs w:val="22"/>
        </w:rPr>
        <w:t xml:space="preserve"> = 0.2</w:t>
      </w:r>
      <w:r w:rsidR="008149B0" w:rsidRPr="00AA3FCE">
        <w:rPr>
          <w:rFonts w:ascii="Arial" w:hAnsi="Arial" w:cs="Arial"/>
          <w:sz w:val="22"/>
          <w:szCs w:val="22"/>
        </w:rPr>
        <w:t>1</w:t>
      </w:r>
      <w:r w:rsidRPr="00AA3FCE">
        <w:rPr>
          <w:rFonts w:ascii="Arial" w:hAnsi="Arial" w:cs="Arial"/>
          <w:sz w:val="22"/>
          <w:szCs w:val="22"/>
        </w:rPr>
        <w:t>) confirmed homogeneous error variance across years, supporting pooled analysis. Pooled data revealed the highest NFP in T</w:t>
      </w:r>
      <w:r w:rsidRPr="00AA3FCE">
        <w:rPr>
          <w:rFonts w:ascii="Cambria Math" w:hAnsi="Cambria Math" w:cs="Cambria Math"/>
          <w:sz w:val="22"/>
          <w:szCs w:val="22"/>
        </w:rPr>
        <w:t>₅</w:t>
      </w:r>
      <w:r w:rsidRPr="00AA3FCE">
        <w:rPr>
          <w:rFonts w:ascii="Arial" w:hAnsi="Arial" w:cs="Arial"/>
          <w:sz w:val="22"/>
          <w:szCs w:val="22"/>
        </w:rPr>
        <w:t xml:space="preserve"> (210), followed by T</w:t>
      </w:r>
      <w:r w:rsidRPr="00AA3FCE">
        <w:rPr>
          <w:rFonts w:ascii="Cambria Math" w:hAnsi="Cambria Math" w:cs="Cambria Math"/>
          <w:sz w:val="22"/>
          <w:szCs w:val="22"/>
        </w:rPr>
        <w:t>₇</w:t>
      </w:r>
      <w:r w:rsidRPr="00AA3FCE">
        <w:rPr>
          <w:rFonts w:ascii="Arial" w:hAnsi="Arial" w:cs="Arial"/>
          <w:sz w:val="22"/>
          <w:szCs w:val="22"/>
        </w:rPr>
        <w:t xml:space="preserve"> (208.67), T</w:t>
      </w:r>
      <w:r w:rsidRPr="00AA3FCE">
        <w:rPr>
          <w:rFonts w:ascii="Cambria Math" w:hAnsi="Cambria Math" w:cs="Cambria Math"/>
          <w:sz w:val="22"/>
          <w:szCs w:val="22"/>
        </w:rPr>
        <w:t>₆</w:t>
      </w:r>
      <w:r w:rsidRPr="00AA3FCE">
        <w:rPr>
          <w:rFonts w:ascii="Arial" w:hAnsi="Arial" w:cs="Arial"/>
          <w:sz w:val="22"/>
          <w:szCs w:val="22"/>
        </w:rPr>
        <w:t xml:space="preserve"> (207.83), T</w:t>
      </w:r>
      <w:r w:rsidRPr="00AA3FCE">
        <w:rPr>
          <w:rFonts w:ascii="Cambria Math" w:hAnsi="Cambria Math" w:cs="Cambria Math"/>
          <w:sz w:val="22"/>
          <w:szCs w:val="22"/>
        </w:rPr>
        <w:t>₄</w:t>
      </w:r>
      <w:r w:rsidRPr="00AA3FCE">
        <w:rPr>
          <w:rFonts w:ascii="Arial" w:hAnsi="Arial" w:cs="Arial"/>
          <w:sz w:val="22"/>
          <w:szCs w:val="22"/>
        </w:rPr>
        <w:t xml:space="preserve"> (207.33), T</w:t>
      </w:r>
      <w:r w:rsidRPr="00AA3FCE">
        <w:rPr>
          <w:rFonts w:ascii="Cambria Math" w:hAnsi="Cambria Math" w:cs="Cambria Math"/>
          <w:sz w:val="22"/>
          <w:szCs w:val="22"/>
        </w:rPr>
        <w:t>₉</w:t>
      </w:r>
      <w:r w:rsidRPr="00AA3FCE">
        <w:rPr>
          <w:rFonts w:ascii="Arial" w:hAnsi="Arial" w:cs="Arial"/>
          <w:sz w:val="22"/>
          <w:szCs w:val="22"/>
        </w:rPr>
        <w:t xml:space="preserve"> (206.3), T</w:t>
      </w:r>
      <w:r w:rsidRPr="00AA3FCE">
        <w:rPr>
          <w:rFonts w:ascii="Cambria Math" w:hAnsi="Cambria Math" w:cs="Cambria Math"/>
          <w:sz w:val="22"/>
          <w:szCs w:val="22"/>
        </w:rPr>
        <w:t>₁₁</w:t>
      </w:r>
      <w:r w:rsidRPr="00AA3FCE">
        <w:rPr>
          <w:rFonts w:ascii="Arial" w:hAnsi="Arial" w:cs="Arial"/>
          <w:sz w:val="22"/>
          <w:szCs w:val="22"/>
        </w:rPr>
        <w:t xml:space="preserve"> (202), and T</w:t>
      </w:r>
      <w:r w:rsidRPr="00AA3FCE">
        <w:rPr>
          <w:rFonts w:ascii="Cambria Math" w:hAnsi="Cambria Math" w:cs="Cambria Math"/>
          <w:sz w:val="22"/>
          <w:szCs w:val="22"/>
        </w:rPr>
        <w:t>₁₀</w:t>
      </w:r>
      <w:r w:rsidRPr="00AA3FCE">
        <w:rPr>
          <w:rFonts w:ascii="Arial" w:hAnsi="Arial" w:cs="Arial"/>
          <w:sz w:val="22"/>
          <w:szCs w:val="22"/>
        </w:rPr>
        <w:t xml:space="preserve"> (202), all statistically at par. The lowest pooled NFP was observed in T</w:t>
      </w:r>
      <w:r w:rsidRPr="00AA3FCE">
        <w:rPr>
          <w:rFonts w:ascii="Cambria Math" w:hAnsi="Cambria Math" w:cs="Cambria Math"/>
          <w:sz w:val="22"/>
          <w:szCs w:val="22"/>
        </w:rPr>
        <w:t>₁₃</w:t>
      </w:r>
      <w:r w:rsidRPr="00AA3FCE">
        <w:rPr>
          <w:rFonts w:ascii="Arial" w:hAnsi="Arial" w:cs="Arial"/>
          <w:sz w:val="22"/>
          <w:szCs w:val="22"/>
        </w:rPr>
        <w:t xml:space="preserve"> (194). The overall pooled mean NFP was 204.77 fruits per plant, with LSD (5%) = 4.72, CV = 1.83%, and </w:t>
      </w:r>
      <w:proofErr w:type="spellStart"/>
      <w:r w:rsidRPr="00AA3FCE">
        <w:rPr>
          <w:rFonts w:ascii="Arial" w:hAnsi="Arial" w:cs="Arial"/>
          <w:sz w:val="22"/>
          <w:szCs w:val="22"/>
        </w:rPr>
        <w:t>SEm</w:t>
      </w:r>
      <w:proofErr w:type="spellEnd"/>
      <w:r w:rsidRPr="00AA3FCE">
        <w:rPr>
          <w:rFonts w:ascii="Arial" w:hAnsi="Arial" w:cs="Arial"/>
          <w:sz w:val="22"/>
          <w:szCs w:val="22"/>
        </w:rPr>
        <w:t xml:space="preserve"> = 1.65, indicating high precision and consistency across years. Enhanced NFP can be attributed to improved vegetative </w:t>
      </w:r>
      <w:proofErr w:type="spellStart"/>
      <w:r w:rsidRPr="00AA3FCE">
        <w:rPr>
          <w:rFonts w:ascii="Arial" w:hAnsi="Arial" w:cs="Arial"/>
          <w:sz w:val="22"/>
          <w:szCs w:val="22"/>
        </w:rPr>
        <w:t>vigor</w:t>
      </w:r>
      <w:proofErr w:type="spellEnd"/>
      <w:r w:rsidRPr="00AA3FCE">
        <w:rPr>
          <w:rFonts w:ascii="Arial" w:hAnsi="Arial" w:cs="Arial"/>
          <w:sz w:val="22"/>
          <w:szCs w:val="22"/>
        </w:rPr>
        <w:t>, higher LAI, and better branching, which together create more potential sites for flowering and fruit set (Jain et al., 2019; Sharma et al., 2022).</w:t>
      </w:r>
      <w:r w:rsidR="00363CAA" w:rsidRPr="00AA3FCE">
        <w:rPr>
          <w:rFonts w:ascii="Arial" w:hAnsi="Arial" w:cs="Arial"/>
          <w:sz w:val="22"/>
          <w:szCs w:val="22"/>
        </w:rPr>
        <w:t xml:space="preserve"> </w:t>
      </w:r>
      <w:r w:rsidRPr="00AA3FCE">
        <w:rPr>
          <w:rFonts w:ascii="Arial" w:hAnsi="Arial" w:cs="Arial"/>
          <w:sz w:val="22"/>
          <w:szCs w:val="22"/>
        </w:rPr>
        <w:t>Biofertilizers improve root development and nutrient uptake, ensuring adequate supply of nitrogen, phosphorus, and potassium during flowering, which is critical for ovule development and fruit set (Ramesh et al., 2021). The pooled data across seasons confirm that INM enhances reproductive efficiency in chilli even under variable environmental conditions.</w:t>
      </w:r>
    </w:p>
    <w:p w14:paraId="7820D714" w14:textId="77777777" w:rsidR="008259F9" w:rsidRPr="00AA3FCE" w:rsidRDefault="00411434" w:rsidP="008259F9">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 xml:space="preserve">3.6 </w:t>
      </w:r>
      <w:r w:rsidR="008259F9" w:rsidRPr="00AA3FCE">
        <w:rPr>
          <w:rFonts w:ascii="Arial" w:hAnsi="Arial" w:cs="Arial"/>
          <w:b/>
          <w:color w:val="auto"/>
          <w:sz w:val="22"/>
          <w:szCs w:val="22"/>
        </w:rPr>
        <w:t>Fruit Yield per Plot (FYPP, kg)</w:t>
      </w:r>
    </w:p>
    <w:p w14:paraId="1EE81C91" w14:textId="11BFFF7A" w:rsidR="008259F9" w:rsidRPr="00AA3FCE" w:rsidRDefault="008259F9" w:rsidP="008259F9">
      <w:pPr>
        <w:pStyle w:val="NormalWeb"/>
        <w:spacing w:line="360" w:lineRule="auto"/>
        <w:jc w:val="both"/>
        <w:rPr>
          <w:rFonts w:ascii="Arial" w:hAnsi="Arial" w:cs="Arial"/>
          <w:sz w:val="22"/>
          <w:szCs w:val="22"/>
        </w:rPr>
      </w:pPr>
      <w:r w:rsidRPr="00AA3FCE">
        <w:rPr>
          <w:rFonts w:ascii="Arial" w:hAnsi="Arial" w:cs="Arial"/>
          <w:sz w:val="22"/>
          <w:szCs w:val="22"/>
        </w:rPr>
        <w:t xml:space="preserve">The effect of integrated nutrient management on fruit yield per plot was evaluated during two growing years </w:t>
      </w:r>
      <w:r w:rsidR="00164114">
        <w:rPr>
          <w:rFonts w:ascii="Arial" w:hAnsi="Arial" w:cs="Arial"/>
          <w:sz w:val="22"/>
          <w:szCs w:val="22"/>
        </w:rPr>
        <w:t xml:space="preserve">are presented in Table </w:t>
      </w:r>
      <w:r w:rsidR="00AD2003">
        <w:rPr>
          <w:rFonts w:ascii="Arial" w:hAnsi="Arial" w:cs="Arial"/>
          <w:sz w:val="22"/>
          <w:szCs w:val="22"/>
        </w:rPr>
        <w:t>2</w:t>
      </w:r>
      <w:r w:rsidRPr="00AA3FCE">
        <w:rPr>
          <w:rFonts w:ascii="Arial" w:hAnsi="Arial" w:cs="Arial"/>
          <w:sz w:val="22"/>
          <w:szCs w:val="22"/>
        </w:rPr>
        <w:t>. During 2022–23, FYPP ranged from 16.19 kg (T</w:t>
      </w:r>
      <w:r w:rsidRPr="00AA3FCE">
        <w:rPr>
          <w:rFonts w:ascii="Cambria Math" w:hAnsi="Cambria Math" w:cs="Cambria Math"/>
          <w:sz w:val="22"/>
          <w:szCs w:val="22"/>
        </w:rPr>
        <w:t>₁₃</w:t>
      </w:r>
      <w:r w:rsidRPr="00AA3FCE">
        <w:rPr>
          <w:rFonts w:ascii="Arial" w:hAnsi="Arial" w:cs="Arial"/>
          <w:sz w:val="22"/>
          <w:szCs w:val="22"/>
        </w:rPr>
        <w:t>) to 21.40 kg (T</w:t>
      </w:r>
      <w:r w:rsidRPr="00AA3FCE">
        <w:rPr>
          <w:rFonts w:ascii="Cambria Math" w:hAnsi="Cambria Math" w:cs="Cambria Math"/>
          <w:sz w:val="22"/>
          <w:szCs w:val="22"/>
        </w:rPr>
        <w:t>₇</w:t>
      </w:r>
      <w:r w:rsidRPr="00AA3FCE">
        <w:rPr>
          <w:rFonts w:ascii="Arial" w:hAnsi="Arial" w:cs="Arial"/>
          <w:sz w:val="22"/>
          <w:szCs w:val="22"/>
        </w:rPr>
        <w:t>). The highest FYPP was observed in T</w:t>
      </w:r>
      <w:r w:rsidRPr="00AA3FCE">
        <w:rPr>
          <w:rFonts w:ascii="Cambria Math" w:hAnsi="Cambria Math" w:cs="Cambria Math"/>
          <w:sz w:val="22"/>
          <w:szCs w:val="22"/>
        </w:rPr>
        <w:t>₇</w:t>
      </w:r>
      <w:r w:rsidRPr="00AA3FCE">
        <w:rPr>
          <w:rFonts w:ascii="Arial" w:hAnsi="Arial" w:cs="Arial"/>
          <w:sz w:val="22"/>
          <w:szCs w:val="22"/>
        </w:rPr>
        <w:t xml:space="preserve"> (21.40 kg), followed by T</w:t>
      </w:r>
      <w:r w:rsidRPr="00AA3FCE">
        <w:rPr>
          <w:rFonts w:ascii="Cambria Math" w:hAnsi="Cambria Math" w:cs="Cambria Math"/>
          <w:sz w:val="22"/>
          <w:szCs w:val="22"/>
        </w:rPr>
        <w:t>₅</w:t>
      </w:r>
      <w:r w:rsidRPr="00AA3FCE">
        <w:rPr>
          <w:rFonts w:ascii="Arial" w:hAnsi="Arial" w:cs="Arial"/>
          <w:sz w:val="22"/>
          <w:szCs w:val="22"/>
        </w:rPr>
        <w:t xml:space="preserve"> (20.67 kg) and T</w:t>
      </w:r>
      <w:r w:rsidRPr="00AA3FCE">
        <w:rPr>
          <w:rFonts w:ascii="Cambria Math" w:hAnsi="Cambria Math" w:cs="Cambria Math"/>
          <w:sz w:val="22"/>
          <w:szCs w:val="22"/>
        </w:rPr>
        <w:t>₉</w:t>
      </w:r>
      <w:r w:rsidRPr="00AA3FCE">
        <w:rPr>
          <w:rFonts w:ascii="Arial" w:hAnsi="Arial" w:cs="Arial"/>
          <w:sz w:val="22"/>
          <w:szCs w:val="22"/>
        </w:rPr>
        <w:t xml:space="preserve"> (20.41 kg), which were statistically similar. The lowest FYPP occurred in T</w:t>
      </w:r>
      <w:r w:rsidRPr="00AA3FCE">
        <w:rPr>
          <w:rFonts w:ascii="Cambria Math" w:hAnsi="Cambria Math" w:cs="Cambria Math"/>
          <w:sz w:val="22"/>
          <w:szCs w:val="22"/>
        </w:rPr>
        <w:t>₁₃</w:t>
      </w:r>
      <w:r w:rsidRPr="00AA3FCE">
        <w:rPr>
          <w:rFonts w:ascii="Arial" w:hAnsi="Arial" w:cs="Arial"/>
          <w:sz w:val="22"/>
          <w:szCs w:val="22"/>
        </w:rPr>
        <w:t xml:space="preserve"> (16.19 kg). The year mean was 18.8 kg, with LSD (5%) = 2.8 kg, CV = 8.85%, and </w:t>
      </w:r>
      <w:proofErr w:type="spellStart"/>
      <w:r w:rsidRPr="00AA3FCE">
        <w:rPr>
          <w:rFonts w:ascii="Arial" w:hAnsi="Arial" w:cs="Arial"/>
          <w:sz w:val="22"/>
          <w:szCs w:val="22"/>
        </w:rPr>
        <w:t>SEm</w:t>
      </w:r>
      <w:proofErr w:type="spellEnd"/>
      <w:r w:rsidRPr="00AA3FCE">
        <w:rPr>
          <w:rFonts w:ascii="Arial" w:hAnsi="Arial" w:cs="Arial"/>
          <w:sz w:val="22"/>
          <w:szCs w:val="22"/>
        </w:rPr>
        <w:t xml:space="preserve"> = 0.96 kg. In 2023–24, FYPP ranged from 14.92 kg (T</w:t>
      </w:r>
      <w:r w:rsidRPr="00AA3FCE">
        <w:rPr>
          <w:rFonts w:ascii="Cambria Math" w:hAnsi="Cambria Math" w:cs="Cambria Math"/>
          <w:sz w:val="22"/>
          <w:szCs w:val="22"/>
        </w:rPr>
        <w:t>₁₃</w:t>
      </w:r>
      <w:r w:rsidRPr="00AA3FCE">
        <w:rPr>
          <w:rFonts w:ascii="Arial" w:hAnsi="Arial" w:cs="Arial"/>
          <w:sz w:val="22"/>
          <w:szCs w:val="22"/>
        </w:rPr>
        <w:t>) to 21.89 kg (T</w:t>
      </w:r>
      <w:r w:rsidRPr="00AA3FCE">
        <w:rPr>
          <w:rFonts w:ascii="Cambria Math" w:hAnsi="Cambria Math" w:cs="Cambria Math"/>
          <w:sz w:val="22"/>
          <w:szCs w:val="22"/>
        </w:rPr>
        <w:t>₅</w:t>
      </w:r>
      <w:r w:rsidRPr="00AA3FCE">
        <w:rPr>
          <w:rFonts w:ascii="Arial" w:hAnsi="Arial" w:cs="Arial"/>
          <w:sz w:val="22"/>
          <w:szCs w:val="22"/>
        </w:rPr>
        <w:t>). The highest FYPP was recorded in T</w:t>
      </w:r>
      <w:r w:rsidRPr="00AA3FCE">
        <w:rPr>
          <w:rFonts w:ascii="Cambria Math" w:hAnsi="Cambria Math" w:cs="Cambria Math"/>
          <w:sz w:val="22"/>
          <w:szCs w:val="22"/>
        </w:rPr>
        <w:t>₅</w:t>
      </w:r>
      <w:r w:rsidRPr="00AA3FCE">
        <w:rPr>
          <w:rFonts w:ascii="Arial" w:hAnsi="Arial" w:cs="Arial"/>
          <w:sz w:val="22"/>
          <w:szCs w:val="22"/>
        </w:rPr>
        <w:t xml:space="preserve"> (21.89 kg), closely followed by T</w:t>
      </w:r>
      <w:r w:rsidRPr="00AA3FCE">
        <w:rPr>
          <w:rFonts w:ascii="Cambria Math" w:hAnsi="Cambria Math" w:cs="Cambria Math"/>
          <w:sz w:val="22"/>
          <w:szCs w:val="22"/>
        </w:rPr>
        <w:t>₇</w:t>
      </w:r>
      <w:r w:rsidRPr="00AA3FCE">
        <w:rPr>
          <w:rFonts w:ascii="Arial" w:hAnsi="Arial" w:cs="Arial"/>
          <w:sz w:val="22"/>
          <w:szCs w:val="22"/>
        </w:rPr>
        <w:t xml:space="preserve"> (21.68 kg) and T</w:t>
      </w:r>
      <w:r w:rsidRPr="00AA3FCE">
        <w:rPr>
          <w:rFonts w:ascii="Cambria Math" w:hAnsi="Cambria Math" w:cs="Cambria Math"/>
          <w:sz w:val="22"/>
          <w:szCs w:val="22"/>
        </w:rPr>
        <w:t>₆</w:t>
      </w:r>
      <w:r w:rsidRPr="00AA3FCE">
        <w:rPr>
          <w:rFonts w:ascii="Arial" w:hAnsi="Arial" w:cs="Arial"/>
          <w:sz w:val="22"/>
          <w:szCs w:val="22"/>
        </w:rPr>
        <w:t xml:space="preserve"> (21.55 kg), which were statistically at par. The lowest FYPP was observed in T</w:t>
      </w:r>
      <w:r w:rsidRPr="00AA3FCE">
        <w:rPr>
          <w:rFonts w:ascii="Cambria Math" w:hAnsi="Cambria Math" w:cs="Cambria Math"/>
          <w:sz w:val="22"/>
          <w:szCs w:val="22"/>
        </w:rPr>
        <w:t>₁₃</w:t>
      </w:r>
      <w:r w:rsidRPr="00AA3FCE">
        <w:rPr>
          <w:rFonts w:ascii="Arial" w:hAnsi="Arial" w:cs="Arial"/>
          <w:sz w:val="22"/>
          <w:szCs w:val="22"/>
        </w:rPr>
        <w:t xml:space="preserve"> (14.92 kg). The year mean was 19.2 kg, with LSD (5%) = 2.43 kg, CV = 7.5%, and </w:t>
      </w:r>
      <w:proofErr w:type="spellStart"/>
      <w:r w:rsidRPr="00AA3FCE">
        <w:rPr>
          <w:rFonts w:ascii="Arial" w:hAnsi="Arial" w:cs="Arial"/>
          <w:sz w:val="22"/>
          <w:szCs w:val="22"/>
        </w:rPr>
        <w:t>SEm</w:t>
      </w:r>
      <w:proofErr w:type="spellEnd"/>
      <w:r w:rsidRPr="00AA3FCE">
        <w:rPr>
          <w:rFonts w:ascii="Arial" w:hAnsi="Arial" w:cs="Arial"/>
          <w:sz w:val="22"/>
          <w:szCs w:val="22"/>
        </w:rPr>
        <w:t xml:space="preserve"> = 0.83 kg, indicating moderate variation and acceptable </w:t>
      </w:r>
      <w:proofErr w:type="spellStart"/>
      <w:proofErr w:type="gramStart"/>
      <w:r w:rsidRPr="00AA3FCE">
        <w:rPr>
          <w:rFonts w:ascii="Arial" w:hAnsi="Arial" w:cs="Arial"/>
          <w:sz w:val="22"/>
          <w:szCs w:val="22"/>
        </w:rPr>
        <w:t>precision.A</w:t>
      </w:r>
      <w:proofErr w:type="spellEnd"/>
      <w:proofErr w:type="gramEnd"/>
      <w:r w:rsidRPr="00AA3FCE">
        <w:rPr>
          <w:rFonts w:ascii="Arial" w:hAnsi="Arial" w:cs="Arial"/>
          <w:sz w:val="22"/>
          <w:szCs w:val="22"/>
        </w:rPr>
        <w:t xml:space="preserve"> non-significant F-test (</w:t>
      </w:r>
      <w:r w:rsidRPr="00AA3FCE">
        <w:rPr>
          <w:rFonts w:ascii="Arial" w:hAnsi="Arial" w:cs="Arial"/>
          <w:i/>
          <w:sz w:val="22"/>
          <w:szCs w:val="22"/>
        </w:rPr>
        <w:t xml:space="preserve">P </w:t>
      </w:r>
      <w:r w:rsidRPr="00AA3FCE">
        <w:rPr>
          <w:rFonts w:ascii="Arial" w:hAnsi="Arial" w:cs="Arial"/>
          <w:sz w:val="22"/>
          <w:szCs w:val="22"/>
        </w:rPr>
        <w:t>= 0.24) confirmed homogeneous error variance across years, validating pooled analysis. Pooled data revealed the highest FYPP in T</w:t>
      </w:r>
      <w:r w:rsidRPr="00AA3FCE">
        <w:rPr>
          <w:rFonts w:ascii="Cambria Math" w:hAnsi="Cambria Math" w:cs="Cambria Math"/>
          <w:sz w:val="22"/>
          <w:szCs w:val="22"/>
        </w:rPr>
        <w:t>₇</w:t>
      </w:r>
      <w:r w:rsidRPr="00AA3FCE">
        <w:rPr>
          <w:rFonts w:ascii="Arial" w:hAnsi="Arial" w:cs="Arial"/>
          <w:sz w:val="22"/>
          <w:szCs w:val="22"/>
        </w:rPr>
        <w:t xml:space="preserve"> (21.54 kg), followed by T</w:t>
      </w:r>
      <w:r w:rsidRPr="00AA3FCE">
        <w:rPr>
          <w:rFonts w:ascii="Cambria Math" w:hAnsi="Cambria Math" w:cs="Cambria Math"/>
          <w:sz w:val="22"/>
          <w:szCs w:val="22"/>
        </w:rPr>
        <w:t>₅</w:t>
      </w:r>
      <w:r w:rsidRPr="00AA3FCE">
        <w:rPr>
          <w:rFonts w:ascii="Arial" w:hAnsi="Arial" w:cs="Arial"/>
          <w:sz w:val="22"/>
          <w:szCs w:val="22"/>
        </w:rPr>
        <w:t xml:space="preserve"> (21.28 kg), T</w:t>
      </w:r>
      <w:r w:rsidRPr="00AA3FCE">
        <w:rPr>
          <w:rFonts w:ascii="Cambria Math" w:hAnsi="Cambria Math" w:cs="Cambria Math"/>
          <w:sz w:val="22"/>
          <w:szCs w:val="22"/>
        </w:rPr>
        <w:t>₆</w:t>
      </w:r>
      <w:r w:rsidRPr="00AA3FCE">
        <w:rPr>
          <w:rFonts w:ascii="Arial" w:hAnsi="Arial" w:cs="Arial"/>
          <w:sz w:val="22"/>
          <w:szCs w:val="22"/>
        </w:rPr>
        <w:t xml:space="preserve"> (20.42 kg), and T</w:t>
      </w:r>
      <w:r w:rsidRPr="00AA3FCE">
        <w:rPr>
          <w:rFonts w:ascii="Cambria Math" w:hAnsi="Cambria Math" w:cs="Cambria Math"/>
          <w:sz w:val="22"/>
          <w:szCs w:val="22"/>
        </w:rPr>
        <w:t>₉</w:t>
      </w:r>
      <w:r w:rsidRPr="00AA3FCE">
        <w:rPr>
          <w:rFonts w:ascii="Arial" w:hAnsi="Arial" w:cs="Arial"/>
          <w:sz w:val="22"/>
          <w:szCs w:val="22"/>
        </w:rPr>
        <w:t xml:space="preserve"> (20.31 kg), which were statistically comparable. The lowest pooled FYPP was recorded in T</w:t>
      </w:r>
      <w:r w:rsidRPr="00AA3FCE">
        <w:rPr>
          <w:rFonts w:ascii="Cambria Math" w:hAnsi="Cambria Math" w:cs="Cambria Math"/>
          <w:sz w:val="22"/>
          <w:szCs w:val="22"/>
        </w:rPr>
        <w:t>₁₃</w:t>
      </w:r>
      <w:r w:rsidRPr="00AA3FCE">
        <w:rPr>
          <w:rFonts w:ascii="Arial" w:hAnsi="Arial" w:cs="Arial"/>
          <w:sz w:val="22"/>
          <w:szCs w:val="22"/>
        </w:rPr>
        <w:t xml:space="preserve"> (15.56 kg). The overall pooled mean FYPP was </w:t>
      </w:r>
      <w:r w:rsidRPr="00AA3FCE">
        <w:rPr>
          <w:rFonts w:ascii="Arial" w:hAnsi="Arial" w:cs="Arial"/>
          <w:sz w:val="22"/>
          <w:szCs w:val="22"/>
        </w:rPr>
        <w:lastRenderedPageBreak/>
        <w:t xml:space="preserve">19.0 kg, with LSD = 1.87 kg, CV = 7.82%, and </w:t>
      </w:r>
      <w:proofErr w:type="spellStart"/>
      <w:r w:rsidRPr="00AA3FCE">
        <w:rPr>
          <w:rFonts w:ascii="Arial" w:hAnsi="Arial" w:cs="Arial"/>
          <w:sz w:val="22"/>
          <w:szCs w:val="22"/>
        </w:rPr>
        <w:t>SEm</w:t>
      </w:r>
      <w:proofErr w:type="spellEnd"/>
      <w:r w:rsidRPr="00AA3FCE">
        <w:rPr>
          <w:rFonts w:ascii="Arial" w:hAnsi="Arial" w:cs="Arial"/>
          <w:sz w:val="22"/>
          <w:szCs w:val="22"/>
        </w:rPr>
        <w:t xml:space="preserve"> = 0.64 kg, confirming consistency and precision across years.</w:t>
      </w:r>
    </w:p>
    <w:p w14:paraId="499CBBB8" w14:textId="77777777" w:rsidR="00BB0239" w:rsidRPr="00AA3FCE" w:rsidRDefault="008259F9" w:rsidP="008259F9">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Fruit yield per plot, the ultimate economic trait, was significantly influenced by integrated nutrient management. Treatments combining inorganic fertilizers with organic manures and biofertilizers (T</w:t>
      </w:r>
      <w:r w:rsidRPr="00AA3FCE">
        <w:rPr>
          <w:rFonts w:ascii="Cambria Math" w:hAnsi="Cambria Math" w:cs="Cambria Math"/>
          <w:sz w:val="22"/>
          <w:szCs w:val="22"/>
          <w:lang w:eastAsia="en-IN"/>
        </w:rPr>
        <w:t>₅</w:t>
      </w:r>
      <w:r w:rsidRPr="00AA3FCE">
        <w:rPr>
          <w:rFonts w:ascii="Arial" w:hAnsi="Arial" w:cs="Arial"/>
          <w:sz w:val="22"/>
          <w:szCs w:val="22"/>
          <w:lang w:eastAsia="en-IN"/>
        </w:rPr>
        <w:t xml:space="preserve"> and T</w:t>
      </w:r>
      <w:r w:rsidRPr="00AA3FCE">
        <w:rPr>
          <w:rFonts w:ascii="Cambria Math" w:hAnsi="Cambria Math" w:cs="Cambria Math"/>
          <w:sz w:val="22"/>
          <w:szCs w:val="22"/>
          <w:lang w:eastAsia="en-IN"/>
        </w:rPr>
        <w:t>₇</w:t>
      </w:r>
      <w:r w:rsidRPr="00AA3FCE">
        <w:rPr>
          <w:rFonts w:ascii="Arial" w:hAnsi="Arial" w:cs="Arial"/>
          <w:sz w:val="22"/>
          <w:szCs w:val="22"/>
          <w:lang w:eastAsia="en-IN"/>
        </w:rPr>
        <w:t>) consistently outperformed control (T</w:t>
      </w:r>
      <w:r w:rsidRPr="00AA3FCE">
        <w:rPr>
          <w:rFonts w:ascii="Cambria Math" w:hAnsi="Cambria Math" w:cs="Cambria Math"/>
          <w:sz w:val="22"/>
          <w:szCs w:val="22"/>
          <w:lang w:eastAsia="en-IN"/>
        </w:rPr>
        <w:t>₁₃</w:t>
      </w:r>
      <w:r w:rsidRPr="00AA3FCE">
        <w:rPr>
          <w:rFonts w:ascii="Arial" w:hAnsi="Arial" w:cs="Arial"/>
          <w:sz w:val="22"/>
          <w:szCs w:val="22"/>
          <w:lang w:eastAsia="en-IN"/>
        </w:rPr>
        <w:t>) across two years and pooled data. Increased FYPP under INM is a direct outcome of improved vegetative growth (plant height, branching, LAI) and higher fruit numbers, creating more sites for fruit development and better assimilate partitioning to fruits (Kumar et al., 2020; Jain et al., 2019).</w:t>
      </w:r>
      <w:r w:rsidR="00363CAA" w:rsidRPr="00AA3FCE">
        <w:rPr>
          <w:rFonts w:ascii="Arial" w:hAnsi="Arial" w:cs="Arial"/>
          <w:sz w:val="22"/>
          <w:szCs w:val="22"/>
          <w:lang w:eastAsia="en-IN"/>
        </w:rPr>
        <w:t xml:space="preserve"> </w:t>
      </w:r>
      <w:r w:rsidRPr="00AA3FCE">
        <w:rPr>
          <w:rFonts w:ascii="Arial" w:hAnsi="Arial" w:cs="Arial"/>
          <w:sz w:val="22"/>
          <w:szCs w:val="22"/>
          <w:lang w:eastAsia="en-IN"/>
        </w:rPr>
        <w:t xml:space="preserve">The synergistic effect of organics, inorganics, and biofertilizers ensures slow and sustained nutrient release, improving flowering, fruit set, and fruit development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(Ramesh et al., 2021). The consistency across years confirms the robustness of INM in enhancing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productivity under variable climatic conditions. These results align with prior studies demonstrating that combined nutrient management significantly improves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yield compared to sole chemical or organic fertilization (Singh et al., 2018; Sharma et al., 2022).</w:t>
      </w:r>
    </w:p>
    <w:p w14:paraId="1CDA61E7" w14:textId="77777777" w:rsidR="00BB0239" w:rsidRPr="00AA3FCE" w:rsidRDefault="00BB0239" w:rsidP="008259F9">
      <w:pPr>
        <w:spacing w:before="100" w:beforeAutospacing="1" w:after="100" w:afterAutospacing="1" w:line="360" w:lineRule="auto"/>
        <w:jc w:val="both"/>
        <w:rPr>
          <w:rFonts w:ascii="Arial" w:hAnsi="Arial" w:cs="Arial"/>
          <w:sz w:val="22"/>
          <w:szCs w:val="22"/>
          <w:lang w:eastAsia="en-IN"/>
        </w:rPr>
      </w:pPr>
    </w:p>
    <w:p w14:paraId="00EAAF84" w14:textId="77777777" w:rsidR="00BB0239" w:rsidRPr="00AA3FCE" w:rsidRDefault="00BB0239" w:rsidP="00BB0239">
      <w:pPr>
        <w:spacing w:before="100" w:beforeAutospacing="1" w:after="100" w:afterAutospacing="1" w:line="360" w:lineRule="auto"/>
        <w:jc w:val="both"/>
        <w:rPr>
          <w:rFonts w:ascii="Arial" w:hAnsi="Arial" w:cs="Arial"/>
          <w:sz w:val="22"/>
          <w:szCs w:val="22"/>
          <w:lang w:eastAsia="en-IN"/>
        </w:rPr>
        <w:sectPr w:rsidR="00BB0239" w:rsidRPr="00AA3FCE" w:rsidSect="004E027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14:paraId="465C1133" w14:textId="5B54F907" w:rsidR="00BB0239" w:rsidRPr="00AA3FCE" w:rsidRDefault="00CE5AC4" w:rsidP="005509E1">
      <w:pPr>
        <w:spacing w:before="100" w:beforeAutospacing="1" w:after="100" w:afterAutospacing="1" w:line="360" w:lineRule="auto"/>
        <w:jc w:val="both"/>
        <w:rPr>
          <w:rFonts w:ascii="Arial" w:hAnsi="Arial" w:cs="Arial"/>
          <w:b/>
          <w:sz w:val="22"/>
          <w:szCs w:val="22"/>
          <w:lang w:eastAsia="en-IN"/>
        </w:rPr>
      </w:pPr>
      <w:r w:rsidRPr="00AA3FCE">
        <w:rPr>
          <w:rFonts w:ascii="Arial" w:hAnsi="Arial" w:cs="Arial"/>
          <w:b/>
          <w:sz w:val="22"/>
          <w:szCs w:val="22"/>
          <w:lang w:eastAsia="en-IN"/>
        </w:rPr>
        <w:lastRenderedPageBreak/>
        <w:t xml:space="preserve">Table </w:t>
      </w:r>
      <w:r w:rsidR="00AD2003">
        <w:rPr>
          <w:rFonts w:ascii="Arial" w:hAnsi="Arial" w:cs="Arial"/>
          <w:b/>
          <w:sz w:val="22"/>
          <w:szCs w:val="22"/>
          <w:lang w:eastAsia="en-IN"/>
        </w:rPr>
        <w:t>2</w:t>
      </w:r>
      <w:r w:rsidR="0023235B" w:rsidRPr="00AA3FCE">
        <w:rPr>
          <w:rFonts w:ascii="Arial" w:hAnsi="Arial" w:cs="Arial"/>
          <w:b/>
          <w:sz w:val="22"/>
          <w:szCs w:val="22"/>
          <w:lang w:eastAsia="en-IN"/>
        </w:rPr>
        <w:t xml:space="preserve">. </w:t>
      </w:r>
      <w:r w:rsidR="00FC2FD9" w:rsidRPr="00AA3FCE">
        <w:rPr>
          <w:rFonts w:ascii="Arial" w:hAnsi="Arial" w:cs="Arial"/>
          <w:b/>
          <w:sz w:val="22"/>
          <w:szCs w:val="22"/>
        </w:rPr>
        <w:t xml:space="preserve">Effect of Integrated Nutrient Management on key growth and quality attributes of </w:t>
      </w:r>
      <w:proofErr w:type="spellStart"/>
      <w:r w:rsidR="00932538" w:rsidRPr="00AA3FCE">
        <w:rPr>
          <w:rFonts w:ascii="Arial" w:hAnsi="Arial" w:cs="Arial"/>
          <w:b/>
          <w:sz w:val="22"/>
          <w:szCs w:val="22"/>
        </w:rPr>
        <w:t>chilli</w:t>
      </w:r>
      <w:proofErr w:type="spellEnd"/>
      <w:r w:rsidR="00FC2FD9" w:rsidRPr="00AA3FCE">
        <w:rPr>
          <w:rFonts w:ascii="Arial" w:hAnsi="Arial" w:cs="Arial"/>
          <w:b/>
          <w:sz w:val="22"/>
          <w:szCs w:val="22"/>
        </w:rPr>
        <w:t xml:space="preserve"> (year wise and pooled data of 2022–23 and 2023–24).</w:t>
      </w:r>
    </w:p>
    <w:tbl>
      <w:tblPr>
        <w:tblW w:w="5000" w:type="pct"/>
        <w:jc w:val="center"/>
        <w:tblLook w:val="04A0" w:firstRow="1" w:lastRow="0" w:firstColumn="1" w:lastColumn="0" w:noHBand="0" w:noVBand="1"/>
      </w:tblPr>
      <w:tblGrid>
        <w:gridCol w:w="999"/>
        <w:gridCol w:w="631"/>
        <w:gridCol w:w="630"/>
        <w:gridCol w:w="756"/>
        <w:gridCol w:w="630"/>
        <w:gridCol w:w="630"/>
        <w:gridCol w:w="756"/>
        <w:gridCol w:w="630"/>
        <w:gridCol w:w="630"/>
        <w:gridCol w:w="756"/>
        <w:gridCol w:w="630"/>
        <w:gridCol w:w="630"/>
        <w:gridCol w:w="756"/>
        <w:gridCol w:w="630"/>
        <w:gridCol w:w="711"/>
        <w:gridCol w:w="756"/>
        <w:gridCol w:w="630"/>
        <w:gridCol w:w="630"/>
        <w:gridCol w:w="731"/>
        <w:gridCol w:w="24"/>
      </w:tblGrid>
      <w:tr w:rsidR="00CE5AC4" w:rsidRPr="00AA3FCE" w14:paraId="452EB5C1" w14:textId="77777777" w:rsidTr="00FF46C9">
        <w:trPr>
          <w:gridAfter w:val="1"/>
          <w:wAfter w:w="9" w:type="pct"/>
          <w:trHeight w:val="831"/>
          <w:jc w:val="center"/>
        </w:trPr>
        <w:tc>
          <w:tcPr>
            <w:tcW w:w="386" w:type="pct"/>
            <w:vMerge w:val="restart"/>
            <w:tcBorders>
              <w:top w:val="single" w:sz="8" w:space="0" w:color="auto"/>
              <w:left w:val="nil"/>
              <w:bottom w:val="nil"/>
              <w:right w:val="nil"/>
            </w:tcBorders>
            <w:vAlign w:val="center"/>
            <w:hideMark/>
          </w:tcPr>
          <w:p w14:paraId="550CBED9"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Treatment</w:t>
            </w:r>
          </w:p>
        </w:tc>
        <w:tc>
          <w:tcPr>
            <w:tcW w:w="764" w:type="pct"/>
            <w:gridSpan w:val="3"/>
            <w:tcBorders>
              <w:top w:val="single" w:sz="8" w:space="0" w:color="auto"/>
              <w:left w:val="nil"/>
              <w:bottom w:val="single" w:sz="4" w:space="0" w:color="auto"/>
              <w:right w:val="nil"/>
            </w:tcBorders>
            <w:vAlign w:val="center"/>
            <w:hideMark/>
          </w:tcPr>
          <w:p w14:paraId="650270A8"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Plant Height at 30 DAT (PH; cm)</w:t>
            </w:r>
          </w:p>
        </w:tc>
        <w:tc>
          <w:tcPr>
            <w:tcW w:w="764" w:type="pct"/>
            <w:gridSpan w:val="3"/>
            <w:tcBorders>
              <w:top w:val="single" w:sz="8" w:space="0" w:color="auto"/>
              <w:left w:val="nil"/>
              <w:bottom w:val="single" w:sz="4" w:space="0" w:color="auto"/>
              <w:right w:val="nil"/>
            </w:tcBorders>
            <w:vAlign w:val="center"/>
            <w:hideMark/>
          </w:tcPr>
          <w:p w14:paraId="29A8D777"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Number of primary branches per plant at 30 DAT (NPB)</w:t>
            </w:r>
          </w:p>
        </w:tc>
        <w:tc>
          <w:tcPr>
            <w:tcW w:w="764" w:type="pct"/>
            <w:gridSpan w:val="3"/>
            <w:tcBorders>
              <w:top w:val="single" w:sz="8" w:space="0" w:color="auto"/>
              <w:left w:val="nil"/>
              <w:bottom w:val="single" w:sz="4" w:space="0" w:color="auto"/>
              <w:right w:val="nil"/>
            </w:tcBorders>
            <w:vAlign w:val="center"/>
            <w:hideMark/>
          </w:tcPr>
          <w:p w14:paraId="4D5EC26D"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Leaf Area Index at 30 DAT (LAI; m</w:t>
            </w:r>
            <w:r w:rsidRPr="00AA3FCE">
              <w:rPr>
                <w:rFonts w:ascii="Arial" w:hAnsi="Arial" w:cs="Arial"/>
                <w:b/>
                <w:bCs/>
                <w:color w:val="000000"/>
                <w:vertAlign w:val="superscript"/>
                <w:lang w:eastAsia="en-IN"/>
              </w:rPr>
              <w:t>2</w:t>
            </w:r>
            <w:r w:rsidRPr="00AA3FCE">
              <w:rPr>
                <w:rFonts w:ascii="Arial" w:hAnsi="Arial" w:cs="Arial"/>
                <w:b/>
                <w:bCs/>
                <w:color w:val="000000"/>
                <w:lang w:eastAsia="en-IN"/>
              </w:rPr>
              <w:t>)</w:t>
            </w:r>
          </w:p>
        </w:tc>
        <w:tc>
          <w:tcPr>
            <w:tcW w:w="764" w:type="pct"/>
            <w:gridSpan w:val="3"/>
            <w:tcBorders>
              <w:top w:val="single" w:sz="8" w:space="0" w:color="auto"/>
              <w:left w:val="nil"/>
              <w:bottom w:val="single" w:sz="4" w:space="0" w:color="auto"/>
              <w:right w:val="nil"/>
            </w:tcBorders>
            <w:vAlign w:val="center"/>
            <w:hideMark/>
          </w:tcPr>
          <w:p w14:paraId="4755B367"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Inter-nodal length at 30 DAT (IL; cm)</w:t>
            </w:r>
          </w:p>
        </w:tc>
        <w:tc>
          <w:tcPr>
            <w:tcW w:w="796" w:type="pct"/>
            <w:gridSpan w:val="3"/>
            <w:tcBorders>
              <w:top w:val="single" w:sz="8" w:space="0" w:color="auto"/>
              <w:left w:val="nil"/>
              <w:bottom w:val="single" w:sz="4" w:space="0" w:color="auto"/>
              <w:right w:val="nil"/>
            </w:tcBorders>
            <w:vAlign w:val="center"/>
            <w:hideMark/>
          </w:tcPr>
          <w:p w14:paraId="3DD04E29"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 xml:space="preserve">Number of </w:t>
            </w:r>
            <w:proofErr w:type="gramStart"/>
            <w:r w:rsidRPr="00AA3FCE">
              <w:rPr>
                <w:rFonts w:ascii="Arial" w:hAnsi="Arial" w:cs="Arial"/>
                <w:b/>
                <w:bCs/>
                <w:color w:val="000000"/>
                <w:lang w:eastAsia="en-IN"/>
              </w:rPr>
              <w:t>fruit</w:t>
            </w:r>
            <w:proofErr w:type="gramEnd"/>
            <w:r w:rsidRPr="00AA3FCE">
              <w:rPr>
                <w:rFonts w:ascii="Arial" w:hAnsi="Arial" w:cs="Arial"/>
                <w:b/>
                <w:bCs/>
                <w:color w:val="000000"/>
                <w:lang w:eastAsia="en-IN"/>
              </w:rPr>
              <w:t xml:space="preserve"> per plant</w:t>
            </w:r>
          </w:p>
        </w:tc>
        <w:tc>
          <w:tcPr>
            <w:tcW w:w="754" w:type="pct"/>
            <w:gridSpan w:val="3"/>
            <w:tcBorders>
              <w:top w:val="single" w:sz="8" w:space="0" w:color="auto"/>
              <w:left w:val="nil"/>
              <w:bottom w:val="single" w:sz="4" w:space="0" w:color="auto"/>
              <w:right w:val="nil"/>
            </w:tcBorders>
            <w:vAlign w:val="center"/>
            <w:hideMark/>
          </w:tcPr>
          <w:p w14:paraId="7B534944"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Fruit yield per plot (FYPP; kg)</w:t>
            </w:r>
          </w:p>
        </w:tc>
      </w:tr>
      <w:tr w:rsidR="00CE5AC4" w:rsidRPr="00AA3FCE" w14:paraId="062A2333" w14:textId="77777777" w:rsidTr="00FF46C9">
        <w:trPr>
          <w:trHeight w:val="645"/>
          <w:jc w:val="center"/>
        </w:trPr>
        <w:tc>
          <w:tcPr>
            <w:tcW w:w="386" w:type="pct"/>
            <w:vMerge/>
            <w:tcBorders>
              <w:top w:val="single" w:sz="8" w:space="0" w:color="auto"/>
              <w:left w:val="nil"/>
              <w:bottom w:val="nil"/>
              <w:right w:val="nil"/>
            </w:tcBorders>
            <w:vAlign w:val="center"/>
            <w:hideMark/>
          </w:tcPr>
          <w:p w14:paraId="2BFF974A" w14:textId="77777777" w:rsidR="00CE5AC4" w:rsidRPr="00AA3FCE" w:rsidRDefault="00CE5AC4" w:rsidP="0023235B">
            <w:pPr>
              <w:rPr>
                <w:rFonts w:ascii="Arial" w:hAnsi="Arial" w:cs="Arial"/>
                <w:b/>
                <w:bCs/>
                <w:color w:val="000000"/>
                <w:lang w:eastAsia="en-IN"/>
              </w:rPr>
            </w:pPr>
          </w:p>
        </w:tc>
        <w:tc>
          <w:tcPr>
            <w:tcW w:w="238" w:type="pct"/>
            <w:tcBorders>
              <w:top w:val="nil"/>
              <w:left w:val="nil"/>
              <w:bottom w:val="single" w:sz="8" w:space="0" w:color="auto"/>
              <w:right w:val="nil"/>
            </w:tcBorders>
            <w:vAlign w:val="center"/>
            <w:hideMark/>
          </w:tcPr>
          <w:p w14:paraId="075BB420"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38" w:type="pct"/>
            <w:tcBorders>
              <w:top w:val="nil"/>
              <w:left w:val="nil"/>
              <w:bottom w:val="single" w:sz="8" w:space="0" w:color="auto"/>
              <w:right w:val="nil"/>
            </w:tcBorders>
            <w:vAlign w:val="center"/>
            <w:hideMark/>
          </w:tcPr>
          <w:p w14:paraId="6419D29D"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tcBorders>
              <w:top w:val="nil"/>
              <w:left w:val="nil"/>
              <w:bottom w:val="single" w:sz="8" w:space="0" w:color="auto"/>
              <w:right w:val="nil"/>
            </w:tcBorders>
            <w:vAlign w:val="center"/>
            <w:hideMark/>
          </w:tcPr>
          <w:p w14:paraId="4DB1CA9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c>
          <w:tcPr>
            <w:tcW w:w="238" w:type="pct"/>
            <w:tcBorders>
              <w:top w:val="nil"/>
              <w:left w:val="nil"/>
              <w:bottom w:val="single" w:sz="8" w:space="0" w:color="auto"/>
              <w:right w:val="nil"/>
            </w:tcBorders>
            <w:vAlign w:val="center"/>
            <w:hideMark/>
          </w:tcPr>
          <w:p w14:paraId="38B50E58"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38" w:type="pct"/>
            <w:tcBorders>
              <w:top w:val="nil"/>
              <w:left w:val="nil"/>
              <w:bottom w:val="single" w:sz="8" w:space="0" w:color="auto"/>
              <w:right w:val="nil"/>
            </w:tcBorders>
            <w:vAlign w:val="center"/>
            <w:hideMark/>
          </w:tcPr>
          <w:p w14:paraId="14F40E8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tcBorders>
              <w:top w:val="nil"/>
              <w:left w:val="nil"/>
              <w:bottom w:val="single" w:sz="8" w:space="0" w:color="auto"/>
              <w:right w:val="nil"/>
            </w:tcBorders>
            <w:vAlign w:val="center"/>
            <w:hideMark/>
          </w:tcPr>
          <w:p w14:paraId="71DD17B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c>
          <w:tcPr>
            <w:tcW w:w="238" w:type="pct"/>
            <w:tcBorders>
              <w:top w:val="nil"/>
              <w:left w:val="nil"/>
              <w:bottom w:val="single" w:sz="8" w:space="0" w:color="auto"/>
              <w:right w:val="nil"/>
            </w:tcBorders>
            <w:vAlign w:val="center"/>
            <w:hideMark/>
          </w:tcPr>
          <w:p w14:paraId="49E4CCA8"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38" w:type="pct"/>
            <w:tcBorders>
              <w:top w:val="nil"/>
              <w:left w:val="nil"/>
              <w:bottom w:val="single" w:sz="8" w:space="0" w:color="auto"/>
              <w:right w:val="nil"/>
            </w:tcBorders>
            <w:vAlign w:val="center"/>
            <w:hideMark/>
          </w:tcPr>
          <w:p w14:paraId="698C33F4"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tcBorders>
              <w:top w:val="nil"/>
              <w:left w:val="nil"/>
              <w:bottom w:val="single" w:sz="8" w:space="0" w:color="auto"/>
              <w:right w:val="nil"/>
            </w:tcBorders>
            <w:vAlign w:val="center"/>
            <w:hideMark/>
          </w:tcPr>
          <w:p w14:paraId="42B1F93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c>
          <w:tcPr>
            <w:tcW w:w="238" w:type="pct"/>
            <w:tcBorders>
              <w:top w:val="nil"/>
              <w:left w:val="nil"/>
              <w:bottom w:val="single" w:sz="8" w:space="0" w:color="auto"/>
              <w:right w:val="nil"/>
            </w:tcBorders>
            <w:vAlign w:val="center"/>
            <w:hideMark/>
          </w:tcPr>
          <w:p w14:paraId="40B1E009"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38" w:type="pct"/>
            <w:tcBorders>
              <w:top w:val="nil"/>
              <w:left w:val="nil"/>
              <w:bottom w:val="single" w:sz="8" w:space="0" w:color="auto"/>
              <w:right w:val="nil"/>
            </w:tcBorders>
            <w:vAlign w:val="center"/>
            <w:hideMark/>
          </w:tcPr>
          <w:p w14:paraId="02EC903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tcBorders>
              <w:top w:val="nil"/>
              <w:left w:val="nil"/>
              <w:bottom w:val="single" w:sz="8" w:space="0" w:color="auto"/>
              <w:right w:val="nil"/>
            </w:tcBorders>
            <w:vAlign w:val="center"/>
            <w:hideMark/>
          </w:tcPr>
          <w:p w14:paraId="48644FE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c>
          <w:tcPr>
            <w:tcW w:w="238" w:type="pct"/>
            <w:tcBorders>
              <w:top w:val="nil"/>
              <w:left w:val="nil"/>
              <w:bottom w:val="single" w:sz="8" w:space="0" w:color="auto"/>
              <w:right w:val="nil"/>
            </w:tcBorders>
            <w:vAlign w:val="center"/>
            <w:hideMark/>
          </w:tcPr>
          <w:p w14:paraId="4B599820"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70" w:type="pct"/>
            <w:tcBorders>
              <w:top w:val="nil"/>
              <w:left w:val="nil"/>
              <w:bottom w:val="single" w:sz="8" w:space="0" w:color="auto"/>
              <w:right w:val="nil"/>
            </w:tcBorders>
            <w:vAlign w:val="center"/>
            <w:hideMark/>
          </w:tcPr>
          <w:p w14:paraId="472DDA3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tcBorders>
              <w:top w:val="nil"/>
              <w:left w:val="nil"/>
              <w:bottom w:val="single" w:sz="8" w:space="0" w:color="auto"/>
              <w:right w:val="nil"/>
            </w:tcBorders>
            <w:vAlign w:val="center"/>
            <w:hideMark/>
          </w:tcPr>
          <w:p w14:paraId="451A5577"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c>
          <w:tcPr>
            <w:tcW w:w="238" w:type="pct"/>
            <w:tcBorders>
              <w:top w:val="nil"/>
              <w:left w:val="nil"/>
              <w:bottom w:val="single" w:sz="4" w:space="0" w:color="auto"/>
              <w:right w:val="nil"/>
            </w:tcBorders>
            <w:vAlign w:val="center"/>
            <w:hideMark/>
          </w:tcPr>
          <w:p w14:paraId="1E4D810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38" w:type="pct"/>
            <w:tcBorders>
              <w:top w:val="nil"/>
              <w:left w:val="nil"/>
              <w:bottom w:val="single" w:sz="4" w:space="0" w:color="auto"/>
              <w:right w:val="nil"/>
            </w:tcBorders>
            <w:vAlign w:val="center"/>
            <w:hideMark/>
          </w:tcPr>
          <w:p w14:paraId="1E5B0E35"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gridSpan w:val="2"/>
            <w:tcBorders>
              <w:top w:val="nil"/>
              <w:left w:val="nil"/>
              <w:bottom w:val="single" w:sz="4" w:space="0" w:color="auto"/>
              <w:right w:val="nil"/>
            </w:tcBorders>
            <w:vAlign w:val="center"/>
            <w:hideMark/>
          </w:tcPr>
          <w:p w14:paraId="263CD0FC"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r>
      <w:tr w:rsidR="00CE5AC4" w:rsidRPr="00AA3FCE" w14:paraId="431FB174" w14:textId="77777777" w:rsidTr="00FF46C9">
        <w:trPr>
          <w:trHeight w:val="345"/>
          <w:jc w:val="center"/>
        </w:trPr>
        <w:tc>
          <w:tcPr>
            <w:tcW w:w="386" w:type="pct"/>
            <w:tcBorders>
              <w:top w:val="nil"/>
              <w:left w:val="nil"/>
              <w:bottom w:val="nil"/>
              <w:right w:val="nil"/>
            </w:tcBorders>
            <w:vAlign w:val="center"/>
            <w:hideMark/>
          </w:tcPr>
          <w:p w14:paraId="1995123A"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1 </w:t>
            </w:r>
          </w:p>
        </w:tc>
        <w:tc>
          <w:tcPr>
            <w:tcW w:w="238" w:type="pct"/>
            <w:tcBorders>
              <w:top w:val="nil"/>
              <w:left w:val="nil"/>
              <w:bottom w:val="nil"/>
              <w:right w:val="nil"/>
            </w:tcBorders>
            <w:vAlign w:val="center"/>
            <w:hideMark/>
          </w:tcPr>
          <w:p w14:paraId="06E9057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21.46</w:t>
            </w:r>
          </w:p>
        </w:tc>
        <w:tc>
          <w:tcPr>
            <w:tcW w:w="238" w:type="pct"/>
            <w:tcBorders>
              <w:top w:val="nil"/>
              <w:left w:val="nil"/>
              <w:bottom w:val="nil"/>
              <w:right w:val="nil"/>
            </w:tcBorders>
            <w:vAlign w:val="center"/>
            <w:hideMark/>
          </w:tcPr>
          <w:p w14:paraId="3483DAF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22.01</w:t>
            </w:r>
          </w:p>
        </w:tc>
        <w:tc>
          <w:tcPr>
            <w:tcW w:w="288" w:type="pct"/>
            <w:tcBorders>
              <w:top w:val="nil"/>
              <w:left w:val="nil"/>
              <w:bottom w:val="nil"/>
              <w:right w:val="nil"/>
            </w:tcBorders>
            <w:vAlign w:val="center"/>
            <w:hideMark/>
          </w:tcPr>
          <w:p w14:paraId="4173C75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21.73</w:t>
            </w:r>
          </w:p>
        </w:tc>
        <w:tc>
          <w:tcPr>
            <w:tcW w:w="238" w:type="pct"/>
            <w:tcBorders>
              <w:top w:val="nil"/>
              <w:left w:val="nil"/>
              <w:bottom w:val="nil"/>
              <w:right w:val="nil"/>
            </w:tcBorders>
            <w:vAlign w:val="center"/>
            <w:hideMark/>
          </w:tcPr>
          <w:p w14:paraId="11B3226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3.73</w:t>
            </w:r>
          </w:p>
        </w:tc>
        <w:tc>
          <w:tcPr>
            <w:tcW w:w="238" w:type="pct"/>
            <w:tcBorders>
              <w:top w:val="nil"/>
              <w:left w:val="nil"/>
              <w:bottom w:val="nil"/>
              <w:right w:val="nil"/>
            </w:tcBorders>
            <w:vAlign w:val="center"/>
            <w:hideMark/>
          </w:tcPr>
          <w:p w14:paraId="203AD1E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3.49</w:t>
            </w:r>
          </w:p>
        </w:tc>
        <w:tc>
          <w:tcPr>
            <w:tcW w:w="288" w:type="pct"/>
            <w:tcBorders>
              <w:top w:val="single" w:sz="4" w:space="0" w:color="auto"/>
              <w:left w:val="nil"/>
              <w:bottom w:val="nil"/>
              <w:right w:val="nil"/>
            </w:tcBorders>
            <w:vAlign w:val="center"/>
            <w:hideMark/>
          </w:tcPr>
          <w:p w14:paraId="0B9395FD"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3.61</w:t>
            </w:r>
          </w:p>
        </w:tc>
        <w:tc>
          <w:tcPr>
            <w:tcW w:w="238" w:type="pct"/>
            <w:tcBorders>
              <w:top w:val="single" w:sz="4" w:space="0" w:color="auto"/>
              <w:left w:val="nil"/>
              <w:bottom w:val="nil"/>
              <w:right w:val="nil"/>
            </w:tcBorders>
            <w:vAlign w:val="center"/>
            <w:hideMark/>
          </w:tcPr>
          <w:p w14:paraId="37EDC32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38" w:type="pct"/>
            <w:tcBorders>
              <w:top w:val="single" w:sz="4" w:space="0" w:color="auto"/>
              <w:left w:val="nil"/>
              <w:bottom w:val="nil"/>
              <w:right w:val="nil"/>
            </w:tcBorders>
            <w:vAlign w:val="center"/>
            <w:hideMark/>
          </w:tcPr>
          <w:p w14:paraId="3765A55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single" w:sz="4" w:space="0" w:color="auto"/>
              <w:left w:val="nil"/>
              <w:bottom w:val="nil"/>
              <w:right w:val="nil"/>
            </w:tcBorders>
            <w:vAlign w:val="center"/>
            <w:hideMark/>
          </w:tcPr>
          <w:p w14:paraId="5185989B"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0.67</w:t>
            </w:r>
          </w:p>
        </w:tc>
        <w:tc>
          <w:tcPr>
            <w:tcW w:w="238" w:type="pct"/>
            <w:tcBorders>
              <w:top w:val="single" w:sz="4" w:space="0" w:color="auto"/>
              <w:left w:val="nil"/>
              <w:bottom w:val="nil"/>
              <w:right w:val="nil"/>
            </w:tcBorders>
            <w:vAlign w:val="center"/>
            <w:hideMark/>
          </w:tcPr>
          <w:p w14:paraId="0D3C588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w:t>
            </w:r>
          </w:p>
        </w:tc>
        <w:tc>
          <w:tcPr>
            <w:tcW w:w="238" w:type="pct"/>
            <w:tcBorders>
              <w:top w:val="single" w:sz="4" w:space="0" w:color="auto"/>
              <w:left w:val="nil"/>
              <w:bottom w:val="nil"/>
              <w:right w:val="nil"/>
            </w:tcBorders>
            <w:vAlign w:val="center"/>
            <w:hideMark/>
          </w:tcPr>
          <w:p w14:paraId="5F1C6A23"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3.49</w:t>
            </w:r>
          </w:p>
        </w:tc>
        <w:tc>
          <w:tcPr>
            <w:tcW w:w="288" w:type="pct"/>
            <w:tcBorders>
              <w:top w:val="single" w:sz="4" w:space="0" w:color="auto"/>
              <w:left w:val="nil"/>
              <w:bottom w:val="nil"/>
              <w:right w:val="nil"/>
            </w:tcBorders>
            <w:vAlign w:val="center"/>
            <w:hideMark/>
          </w:tcPr>
          <w:p w14:paraId="6020A4AB"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w:t>
            </w:r>
          </w:p>
        </w:tc>
        <w:tc>
          <w:tcPr>
            <w:tcW w:w="238" w:type="pct"/>
            <w:tcBorders>
              <w:top w:val="single" w:sz="4" w:space="0" w:color="auto"/>
              <w:left w:val="nil"/>
              <w:bottom w:val="nil"/>
              <w:right w:val="nil"/>
            </w:tcBorders>
            <w:vAlign w:val="center"/>
            <w:hideMark/>
          </w:tcPr>
          <w:p w14:paraId="5F5A19C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200.3</w:t>
            </w:r>
          </w:p>
        </w:tc>
        <w:tc>
          <w:tcPr>
            <w:tcW w:w="270" w:type="pct"/>
            <w:tcBorders>
              <w:top w:val="single" w:sz="4" w:space="0" w:color="auto"/>
              <w:left w:val="nil"/>
              <w:bottom w:val="nil"/>
              <w:right w:val="nil"/>
            </w:tcBorders>
            <w:vAlign w:val="center"/>
            <w:hideMark/>
          </w:tcPr>
          <w:p w14:paraId="1E9C939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206.7</w:t>
            </w:r>
          </w:p>
        </w:tc>
        <w:tc>
          <w:tcPr>
            <w:tcW w:w="288" w:type="pct"/>
            <w:tcBorders>
              <w:top w:val="single" w:sz="4" w:space="0" w:color="auto"/>
              <w:left w:val="nil"/>
              <w:bottom w:val="nil"/>
              <w:right w:val="nil"/>
            </w:tcBorders>
            <w:vAlign w:val="center"/>
            <w:hideMark/>
          </w:tcPr>
          <w:p w14:paraId="77D77BB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203.5</w:t>
            </w:r>
          </w:p>
        </w:tc>
        <w:tc>
          <w:tcPr>
            <w:tcW w:w="238" w:type="pct"/>
            <w:tcBorders>
              <w:top w:val="single" w:sz="4" w:space="0" w:color="auto"/>
              <w:left w:val="nil"/>
              <w:bottom w:val="nil"/>
              <w:right w:val="nil"/>
            </w:tcBorders>
            <w:vAlign w:val="center"/>
            <w:hideMark/>
          </w:tcPr>
          <w:p w14:paraId="20B3317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18.04</w:t>
            </w:r>
          </w:p>
        </w:tc>
        <w:tc>
          <w:tcPr>
            <w:tcW w:w="238" w:type="pct"/>
            <w:tcBorders>
              <w:top w:val="single" w:sz="4" w:space="0" w:color="auto"/>
              <w:left w:val="nil"/>
              <w:bottom w:val="nil"/>
              <w:right w:val="nil"/>
            </w:tcBorders>
            <w:vAlign w:val="center"/>
            <w:hideMark/>
          </w:tcPr>
          <w:p w14:paraId="157C9AF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18.26</w:t>
            </w:r>
          </w:p>
        </w:tc>
        <w:tc>
          <w:tcPr>
            <w:tcW w:w="288" w:type="pct"/>
            <w:gridSpan w:val="2"/>
            <w:tcBorders>
              <w:top w:val="single" w:sz="4" w:space="0" w:color="auto"/>
              <w:left w:val="nil"/>
              <w:bottom w:val="nil"/>
              <w:right w:val="nil"/>
            </w:tcBorders>
            <w:vAlign w:val="center"/>
            <w:hideMark/>
          </w:tcPr>
          <w:p w14:paraId="685294B4"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18.15</w:t>
            </w:r>
          </w:p>
        </w:tc>
      </w:tr>
      <w:tr w:rsidR="00CE5AC4" w:rsidRPr="00AA3FCE" w14:paraId="1C7482D7" w14:textId="77777777" w:rsidTr="00FF46C9">
        <w:trPr>
          <w:trHeight w:val="345"/>
          <w:jc w:val="center"/>
        </w:trPr>
        <w:tc>
          <w:tcPr>
            <w:tcW w:w="386" w:type="pct"/>
            <w:tcBorders>
              <w:top w:val="nil"/>
              <w:left w:val="nil"/>
              <w:bottom w:val="nil"/>
              <w:right w:val="nil"/>
            </w:tcBorders>
            <w:vAlign w:val="center"/>
            <w:hideMark/>
          </w:tcPr>
          <w:p w14:paraId="31E796D8"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2</w:t>
            </w:r>
            <w:r w:rsidRPr="00AA3FCE">
              <w:rPr>
                <w:rFonts w:ascii="Arial" w:hAnsi="Arial" w:cs="Arial"/>
                <w:b/>
                <w:bCs/>
                <w:color w:val="000000"/>
                <w:lang w:eastAsia="en-IN"/>
              </w:rPr>
              <w:t xml:space="preserve"> </w:t>
            </w:r>
          </w:p>
        </w:tc>
        <w:tc>
          <w:tcPr>
            <w:tcW w:w="238" w:type="pct"/>
            <w:tcBorders>
              <w:top w:val="nil"/>
              <w:left w:val="nil"/>
              <w:bottom w:val="nil"/>
              <w:right w:val="nil"/>
            </w:tcBorders>
            <w:vAlign w:val="center"/>
            <w:hideMark/>
          </w:tcPr>
          <w:p w14:paraId="1C929EE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19.73</w:t>
            </w:r>
          </w:p>
        </w:tc>
        <w:tc>
          <w:tcPr>
            <w:tcW w:w="238" w:type="pct"/>
            <w:tcBorders>
              <w:top w:val="nil"/>
              <w:left w:val="nil"/>
              <w:bottom w:val="nil"/>
              <w:right w:val="nil"/>
            </w:tcBorders>
            <w:vAlign w:val="center"/>
            <w:hideMark/>
          </w:tcPr>
          <w:p w14:paraId="3FE7EEB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20.97</w:t>
            </w:r>
          </w:p>
        </w:tc>
        <w:tc>
          <w:tcPr>
            <w:tcW w:w="288" w:type="pct"/>
            <w:tcBorders>
              <w:top w:val="nil"/>
              <w:left w:val="nil"/>
              <w:bottom w:val="nil"/>
              <w:right w:val="nil"/>
            </w:tcBorders>
            <w:vAlign w:val="center"/>
            <w:hideMark/>
          </w:tcPr>
          <w:p w14:paraId="3FBDF604"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20.35</w:t>
            </w:r>
          </w:p>
        </w:tc>
        <w:tc>
          <w:tcPr>
            <w:tcW w:w="238" w:type="pct"/>
            <w:tcBorders>
              <w:top w:val="nil"/>
              <w:left w:val="nil"/>
              <w:bottom w:val="nil"/>
              <w:right w:val="nil"/>
            </w:tcBorders>
            <w:vAlign w:val="center"/>
            <w:hideMark/>
          </w:tcPr>
          <w:p w14:paraId="7593C3E1"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3.45</w:t>
            </w:r>
          </w:p>
        </w:tc>
        <w:tc>
          <w:tcPr>
            <w:tcW w:w="238" w:type="pct"/>
            <w:tcBorders>
              <w:top w:val="nil"/>
              <w:left w:val="nil"/>
              <w:bottom w:val="nil"/>
              <w:right w:val="nil"/>
            </w:tcBorders>
            <w:vAlign w:val="center"/>
            <w:hideMark/>
          </w:tcPr>
          <w:p w14:paraId="40CE7311"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3.67</w:t>
            </w:r>
          </w:p>
        </w:tc>
        <w:tc>
          <w:tcPr>
            <w:tcW w:w="288" w:type="pct"/>
            <w:tcBorders>
              <w:top w:val="nil"/>
              <w:left w:val="nil"/>
              <w:bottom w:val="nil"/>
              <w:right w:val="nil"/>
            </w:tcBorders>
            <w:vAlign w:val="center"/>
            <w:hideMark/>
          </w:tcPr>
          <w:p w14:paraId="4B213568"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3.56</w:t>
            </w:r>
          </w:p>
        </w:tc>
        <w:tc>
          <w:tcPr>
            <w:tcW w:w="238" w:type="pct"/>
            <w:tcBorders>
              <w:top w:val="nil"/>
              <w:left w:val="nil"/>
              <w:bottom w:val="nil"/>
              <w:right w:val="nil"/>
            </w:tcBorders>
            <w:vAlign w:val="center"/>
            <w:hideMark/>
          </w:tcPr>
          <w:p w14:paraId="540AB5A4"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38" w:type="pct"/>
            <w:tcBorders>
              <w:top w:val="nil"/>
              <w:left w:val="nil"/>
              <w:bottom w:val="nil"/>
              <w:right w:val="nil"/>
            </w:tcBorders>
            <w:vAlign w:val="center"/>
            <w:hideMark/>
          </w:tcPr>
          <w:p w14:paraId="39E72CC5"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0.62</w:t>
            </w:r>
          </w:p>
        </w:tc>
        <w:tc>
          <w:tcPr>
            <w:tcW w:w="288" w:type="pct"/>
            <w:tcBorders>
              <w:top w:val="nil"/>
              <w:left w:val="nil"/>
              <w:bottom w:val="nil"/>
              <w:right w:val="nil"/>
            </w:tcBorders>
            <w:vAlign w:val="center"/>
            <w:hideMark/>
          </w:tcPr>
          <w:p w14:paraId="74AD536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0.65</w:t>
            </w:r>
          </w:p>
        </w:tc>
        <w:tc>
          <w:tcPr>
            <w:tcW w:w="238" w:type="pct"/>
            <w:tcBorders>
              <w:top w:val="nil"/>
              <w:left w:val="nil"/>
              <w:bottom w:val="nil"/>
              <w:right w:val="nil"/>
            </w:tcBorders>
            <w:vAlign w:val="center"/>
            <w:hideMark/>
          </w:tcPr>
          <w:p w14:paraId="3864E44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3.53</w:t>
            </w:r>
          </w:p>
        </w:tc>
        <w:tc>
          <w:tcPr>
            <w:tcW w:w="238" w:type="pct"/>
            <w:tcBorders>
              <w:top w:val="nil"/>
              <w:left w:val="nil"/>
              <w:bottom w:val="nil"/>
              <w:right w:val="nil"/>
            </w:tcBorders>
            <w:vAlign w:val="center"/>
            <w:hideMark/>
          </w:tcPr>
          <w:p w14:paraId="1196D74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2.51</w:t>
            </w:r>
          </w:p>
        </w:tc>
        <w:tc>
          <w:tcPr>
            <w:tcW w:w="288" w:type="pct"/>
            <w:tcBorders>
              <w:top w:val="nil"/>
              <w:left w:val="nil"/>
              <w:bottom w:val="nil"/>
              <w:right w:val="nil"/>
            </w:tcBorders>
            <w:vAlign w:val="center"/>
            <w:hideMark/>
          </w:tcPr>
          <w:p w14:paraId="62CE9ECE"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3.02</w:t>
            </w:r>
          </w:p>
        </w:tc>
        <w:tc>
          <w:tcPr>
            <w:tcW w:w="238" w:type="pct"/>
            <w:tcBorders>
              <w:top w:val="nil"/>
              <w:left w:val="nil"/>
              <w:bottom w:val="nil"/>
              <w:right w:val="nil"/>
            </w:tcBorders>
            <w:vAlign w:val="center"/>
            <w:hideMark/>
          </w:tcPr>
          <w:p w14:paraId="2BAF2C04"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199</w:t>
            </w:r>
          </w:p>
        </w:tc>
        <w:tc>
          <w:tcPr>
            <w:tcW w:w="270" w:type="pct"/>
            <w:tcBorders>
              <w:top w:val="nil"/>
              <w:left w:val="nil"/>
              <w:bottom w:val="nil"/>
              <w:right w:val="nil"/>
            </w:tcBorders>
            <w:vAlign w:val="center"/>
            <w:hideMark/>
          </w:tcPr>
          <w:p w14:paraId="7A384D7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203.3</w:t>
            </w:r>
          </w:p>
        </w:tc>
        <w:tc>
          <w:tcPr>
            <w:tcW w:w="288" w:type="pct"/>
            <w:tcBorders>
              <w:top w:val="nil"/>
              <w:left w:val="nil"/>
              <w:bottom w:val="nil"/>
              <w:right w:val="nil"/>
            </w:tcBorders>
            <w:vAlign w:val="center"/>
            <w:hideMark/>
          </w:tcPr>
          <w:p w14:paraId="5D01FC3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201.2</w:t>
            </w:r>
          </w:p>
        </w:tc>
        <w:tc>
          <w:tcPr>
            <w:tcW w:w="238" w:type="pct"/>
            <w:tcBorders>
              <w:top w:val="nil"/>
              <w:left w:val="nil"/>
              <w:bottom w:val="nil"/>
              <w:right w:val="nil"/>
            </w:tcBorders>
            <w:vAlign w:val="center"/>
            <w:hideMark/>
          </w:tcPr>
          <w:p w14:paraId="3036C126"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17.25</w:t>
            </w:r>
          </w:p>
        </w:tc>
        <w:tc>
          <w:tcPr>
            <w:tcW w:w="238" w:type="pct"/>
            <w:tcBorders>
              <w:top w:val="nil"/>
              <w:left w:val="nil"/>
              <w:bottom w:val="nil"/>
              <w:right w:val="nil"/>
            </w:tcBorders>
            <w:vAlign w:val="center"/>
            <w:hideMark/>
          </w:tcPr>
          <w:p w14:paraId="3F9C947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16.65</w:t>
            </w:r>
          </w:p>
        </w:tc>
        <w:tc>
          <w:tcPr>
            <w:tcW w:w="288" w:type="pct"/>
            <w:gridSpan w:val="2"/>
            <w:tcBorders>
              <w:top w:val="nil"/>
              <w:left w:val="nil"/>
              <w:bottom w:val="nil"/>
              <w:right w:val="nil"/>
            </w:tcBorders>
            <w:vAlign w:val="center"/>
            <w:hideMark/>
          </w:tcPr>
          <w:p w14:paraId="74F95666"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16.95</w:t>
            </w:r>
          </w:p>
        </w:tc>
      </w:tr>
      <w:tr w:rsidR="00CE5AC4" w:rsidRPr="00AA3FCE" w14:paraId="1AD97E7D" w14:textId="77777777" w:rsidTr="00FF46C9">
        <w:trPr>
          <w:trHeight w:val="345"/>
          <w:jc w:val="center"/>
        </w:trPr>
        <w:tc>
          <w:tcPr>
            <w:tcW w:w="386" w:type="pct"/>
            <w:tcBorders>
              <w:top w:val="nil"/>
              <w:left w:val="nil"/>
              <w:bottom w:val="nil"/>
              <w:right w:val="nil"/>
            </w:tcBorders>
            <w:vAlign w:val="center"/>
            <w:hideMark/>
          </w:tcPr>
          <w:p w14:paraId="3CCC2847"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3</w:t>
            </w:r>
            <w:r w:rsidRPr="00AA3FCE">
              <w:rPr>
                <w:rFonts w:ascii="Arial" w:hAnsi="Arial" w:cs="Arial"/>
                <w:b/>
                <w:bCs/>
                <w:color w:val="000000"/>
                <w:lang w:eastAsia="en-IN"/>
              </w:rPr>
              <w:t xml:space="preserve"> </w:t>
            </w:r>
          </w:p>
        </w:tc>
        <w:tc>
          <w:tcPr>
            <w:tcW w:w="238" w:type="pct"/>
            <w:tcBorders>
              <w:top w:val="nil"/>
              <w:left w:val="nil"/>
              <w:bottom w:val="nil"/>
              <w:right w:val="nil"/>
            </w:tcBorders>
            <w:vAlign w:val="center"/>
            <w:hideMark/>
          </w:tcPr>
          <w:p w14:paraId="7F32122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21.67</w:t>
            </w:r>
          </w:p>
        </w:tc>
        <w:tc>
          <w:tcPr>
            <w:tcW w:w="238" w:type="pct"/>
            <w:tcBorders>
              <w:top w:val="nil"/>
              <w:left w:val="nil"/>
              <w:bottom w:val="nil"/>
              <w:right w:val="nil"/>
            </w:tcBorders>
            <w:vAlign w:val="center"/>
            <w:hideMark/>
          </w:tcPr>
          <w:p w14:paraId="3EEEF3E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22.03</w:t>
            </w:r>
          </w:p>
        </w:tc>
        <w:tc>
          <w:tcPr>
            <w:tcW w:w="288" w:type="pct"/>
            <w:tcBorders>
              <w:top w:val="nil"/>
              <w:left w:val="nil"/>
              <w:bottom w:val="nil"/>
              <w:right w:val="nil"/>
            </w:tcBorders>
            <w:vAlign w:val="center"/>
            <w:hideMark/>
          </w:tcPr>
          <w:p w14:paraId="7010A6E2"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21.85</w:t>
            </w:r>
          </w:p>
        </w:tc>
        <w:tc>
          <w:tcPr>
            <w:tcW w:w="238" w:type="pct"/>
            <w:tcBorders>
              <w:top w:val="nil"/>
              <w:left w:val="nil"/>
              <w:bottom w:val="nil"/>
              <w:right w:val="nil"/>
            </w:tcBorders>
            <w:vAlign w:val="center"/>
            <w:hideMark/>
          </w:tcPr>
          <w:p w14:paraId="49DF197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3.55</w:t>
            </w:r>
          </w:p>
        </w:tc>
        <w:tc>
          <w:tcPr>
            <w:tcW w:w="238" w:type="pct"/>
            <w:tcBorders>
              <w:top w:val="nil"/>
              <w:left w:val="nil"/>
              <w:bottom w:val="nil"/>
              <w:right w:val="nil"/>
            </w:tcBorders>
            <w:vAlign w:val="center"/>
            <w:hideMark/>
          </w:tcPr>
          <w:p w14:paraId="0EE1FE7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3.55</w:t>
            </w:r>
          </w:p>
        </w:tc>
        <w:tc>
          <w:tcPr>
            <w:tcW w:w="288" w:type="pct"/>
            <w:tcBorders>
              <w:top w:val="nil"/>
              <w:left w:val="nil"/>
              <w:bottom w:val="nil"/>
              <w:right w:val="nil"/>
            </w:tcBorders>
            <w:vAlign w:val="center"/>
            <w:hideMark/>
          </w:tcPr>
          <w:p w14:paraId="0EEC1990"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3.55</w:t>
            </w:r>
          </w:p>
        </w:tc>
        <w:tc>
          <w:tcPr>
            <w:tcW w:w="238" w:type="pct"/>
            <w:tcBorders>
              <w:top w:val="nil"/>
              <w:left w:val="nil"/>
              <w:bottom w:val="nil"/>
              <w:right w:val="nil"/>
            </w:tcBorders>
            <w:vAlign w:val="center"/>
            <w:hideMark/>
          </w:tcPr>
          <w:p w14:paraId="129D663B"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38" w:type="pct"/>
            <w:tcBorders>
              <w:top w:val="nil"/>
              <w:left w:val="nil"/>
              <w:bottom w:val="nil"/>
              <w:right w:val="nil"/>
            </w:tcBorders>
            <w:vAlign w:val="center"/>
            <w:hideMark/>
          </w:tcPr>
          <w:p w14:paraId="3B67B2C3"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nil"/>
              <w:left w:val="nil"/>
              <w:bottom w:val="nil"/>
              <w:right w:val="nil"/>
            </w:tcBorders>
            <w:vAlign w:val="center"/>
            <w:hideMark/>
          </w:tcPr>
          <w:p w14:paraId="1441A7B4"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0.67</w:t>
            </w:r>
          </w:p>
        </w:tc>
        <w:tc>
          <w:tcPr>
            <w:tcW w:w="238" w:type="pct"/>
            <w:tcBorders>
              <w:top w:val="nil"/>
              <w:left w:val="nil"/>
              <w:bottom w:val="nil"/>
              <w:right w:val="nil"/>
            </w:tcBorders>
            <w:vAlign w:val="center"/>
            <w:hideMark/>
          </w:tcPr>
          <w:p w14:paraId="35CB551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3.69</w:t>
            </w:r>
          </w:p>
        </w:tc>
        <w:tc>
          <w:tcPr>
            <w:tcW w:w="238" w:type="pct"/>
            <w:tcBorders>
              <w:top w:val="nil"/>
              <w:left w:val="nil"/>
              <w:bottom w:val="nil"/>
              <w:right w:val="nil"/>
            </w:tcBorders>
            <w:vAlign w:val="center"/>
            <w:hideMark/>
          </w:tcPr>
          <w:p w14:paraId="548C561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3.51</w:t>
            </w:r>
          </w:p>
        </w:tc>
        <w:tc>
          <w:tcPr>
            <w:tcW w:w="288" w:type="pct"/>
            <w:tcBorders>
              <w:top w:val="nil"/>
              <w:left w:val="nil"/>
              <w:bottom w:val="nil"/>
              <w:right w:val="nil"/>
            </w:tcBorders>
            <w:vAlign w:val="center"/>
            <w:hideMark/>
          </w:tcPr>
          <w:p w14:paraId="26D0223A"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w:t>
            </w:r>
          </w:p>
        </w:tc>
        <w:tc>
          <w:tcPr>
            <w:tcW w:w="238" w:type="pct"/>
            <w:tcBorders>
              <w:top w:val="nil"/>
              <w:left w:val="nil"/>
              <w:bottom w:val="nil"/>
              <w:right w:val="nil"/>
            </w:tcBorders>
            <w:vAlign w:val="center"/>
            <w:hideMark/>
          </w:tcPr>
          <w:p w14:paraId="19BDCB70"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200</w:t>
            </w:r>
          </w:p>
        </w:tc>
        <w:tc>
          <w:tcPr>
            <w:tcW w:w="270" w:type="pct"/>
            <w:tcBorders>
              <w:top w:val="nil"/>
              <w:left w:val="nil"/>
              <w:bottom w:val="nil"/>
              <w:right w:val="nil"/>
            </w:tcBorders>
            <w:vAlign w:val="center"/>
            <w:hideMark/>
          </w:tcPr>
          <w:p w14:paraId="21323C4A"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206.3</w:t>
            </w:r>
          </w:p>
        </w:tc>
        <w:tc>
          <w:tcPr>
            <w:tcW w:w="288" w:type="pct"/>
            <w:tcBorders>
              <w:top w:val="nil"/>
              <w:left w:val="nil"/>
              <w:bottom w:val="nil"/>
              <w:right w:val="nil"/>
            </w:tcBorders>
            <w:vAlign w:val="center"/>
            <w:hideMark/>
          </w:tcPr>
          <w:p w14:paraId="1F3FA9F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203.2</w:t>
            </w:r>
          </w:p>
        </w:tc>
        <w:tc>
          <w:tcPr>
            <w:tcW w:w="238" w:type="pct"/>
            <w:tcBorders>
              <w:top w:val="nil"/>
              <w:left w:val="nil"/>
              <w:bottom w:val="nil"/>
              <w:right w:val="nil"/>
            </w:tcBorders>
            <w:vAlign w:val="center"/>
            <w:hideMark/>
          </w:tcPr>
          <w:p w14:paraId="6869373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17.86</w:t>
            </w:r>
          </w:p>
        </w:tc>
        <w:tc>
          <w:tcPr>
            <w:tcW w:w="238" w:type="pct"/>
            <w:tcBorders>
              <w:top w:val="nil"/>
              <w:left w:val="nil"/>
              <w:bottom w:val="nil"/>
              <w:right w:val="nil"/>
            </w:tcBorders>
            <w:vAlign w:val="center"/>
            <w:hideMark/>
          </w:tcPr>
          <w:p w14:paraId="2777E67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17.28</w:t>
            </w:r>
          </w:p>
        </w:tc>
        <w:tc>
          <w:tcPr>
            <w:tcW w:w="288" w:type="pct"/>
            <w:gridSpan w:val="2"/>
            <w:tcBorders>
              <w:top w:val="nil"/>
              <w:left w:val="nil"/>
              <w:bottom w:val="nil"/>
              <w:right w:val="nil"/>
            </w:tcBorders>
            <w:vAlign w:val="center"/>
            <w:hideMark/>
          </w:tcPr>
          <w:p w14:paraId="3DD12086"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17.57</w:t>
            </w:r>
          </w:p>
        </w:tc>
      </w:tr>
      <w:tr w:rsidR="00CE5AC4" w:rsidRPr="00AA3FCE" w14:paraId="592904D2" w14:textId="77777777" w:rsidTr="00FF46C9">
        <w:trPr>
          <w:trHeight w:val="345"/>
          <w:jc w:val="center"/>
        </w:trPr>
        <w:tc>
          <w:tcPr>
            <w:tcW w:w="386" w:type="pct"/>
            <w:tcBorders>
              <w:top w:val="nil"/>
              <w:left w:val="nil"/>
              <w:bottom w:val="nil"/>
              <w:right w:val="nil"/>
            </w:tcBorders>
            <w:vAlign w:val="center"/>
            <w:hideMark/>
          </w:tcPr>
          <w:p w14:paraId="24D631AA"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4</w:t>
            </w:r>
            <w:r w:rsidRPr="00AA3FCE">
              <w:rPr>
                <w:rFonts w:ascii="Arial" w:hAnsi="Arial" w:cs="Arial"/>
                <w:b/>
                <w:bCs/>
                <w:color w:val="000000"/>
                <w:lang w:eastAsia="en-IN"/>
              </w:rPr>
              <w:t xml:space="preserve"> </w:t>
            </w:r>
          </w:p>
        </w:tc>
        <w:tc>
          <w:tcPr>
            <w:tcW w:w="238" w:type="pct"/>
            <w:tcBorders>
              <w:top w:val="nil"/>
              <w:left w:val="nil"/>
              <w:bottom w:val="nil"/>
              <w:right w:val="nil"/>
            </w:tcBorders>
            <w:vAlign w:val="center"/>
            <w:hideMark/>
          </w:tcPr>
          <w:p w14:paraId="483C1FB3"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23.83</w:t>
            </w:r>
          </w:p>
        </w:tc>
        <w:tc>
          <w:tcPr>
            <w:tcW w:w="238" w:type="pct"/>
            <w:tcBorders>
              <w:top w:val="nil"/>
              <w:left w:val="nil"/>
              <w:bottom w:val="nil"/>
              <w:right w:val="nil"/>
            </w:tcBorders>
            <w:vAlign w:val="center"/>
            <w:hideMark/>
          </w:tcPr>
          <w:p w14:paraId="4598E0C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24.2</w:t>
            </w:r>
          </w:p>
        </w:tc>
        <w:tc>
          <w:tcPr>
            <w:tcW w:w="288" w:type="pct"/>
            <w:tcBorders>
              <w:top w:val="nil"/>
              <w:left w:val="nil"/>
              <w:bottom w:val="nil"/>
              <w:right w:val="nil"/>
            </w:tcBorders>
            <w:vAlign w:val="center"/>
            <w:hideMark/>
          </w:tcPr>
          <w:p w14:paraId="14F52351"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24.02</w:t>
            </w:r>
          </w:p>
        </w:tc>
        <w:tc>
          <w:tcPr>
            <w:tcW w:w="238" w:type="pct"/>
            <w:tcBorders>
              <w:top w:val="nil"/>
              <w:left w:val="nil"/>
              <w:bottom w:val="nil"/>
              <w:right w:val="nil"/>
            </w:tcBorders>
            <w:vAlign w:val="center"/>
            <w:hideMark/>
          </w:tcPr>
          <w:p w14:paraId="1B58A42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3.81</w:t>
            </w:r>
          </w:p>
        </w:tc>
        <w:tc>
          <w:tcPr>
            <w:tcW w:w="238" w:type="pct"/>
            <w:tcBorders>
              <w:top w:val="nil"/>
              <w:left w:val="nil"/>
              <w:bottom w:val="nil"/>
              <w:right w:val="nil"/>
            </w:tcBorders>
            <w:vAlign w:val="center"/>
            <w:hideMark/>
          </w:tcPr>
          <w:p w14:paraId="329E622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3.83</w:t>
            </w:r>
          </w:p>
        </w:tc>
        <w:tc>
          <w:tcPr>
            <w:tcW w:w="288" w:type="pct"/>
            <w:tcBorders>
              <w:top w:val="nil"/>
              <w:left w:val="nil"/>
              <w:bottom w:val="nil"/>
              <w:right w:val="nil"/>
            </w:tcBorders>
            <w:vAlign w:val="center"/>
            <w:hideMark/>
          </w:tcPr>
          <w:p w14:paraId="01295BC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3.82</w:t>
            </w:r>
          </w:p>
        </w:tc>
        <w:tc>
          <w:tcPr>
            <w:tcW w:w="238" w:type="pct"/>
            <w:tcBorders>
              <w:top w:val="nil"/>
              <w:left w:val="nil"/>
              <w:bottom w:val="nil"/>
              <w:right w:val="nil"/>
            </w:tcBorders>
            <w:vAlign w:val="center"/>
            <w:hideMark/>
          </w:tcPr>
          <w:p w14:paraId="2AB28556"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0.7</w:t>
            </w:r>
          </w:p>
        </w:tc>
        <w:tc>
          <w:tcPr>
            <w:tcW w:w="238" w:type="pct"/>
            <w:tcBorders>
              <w:top w:val="nil"/>
              <w:left w:val="nil"/>
              <w:bottom w:val="nil"/>
              <w:right w:val="nil"/>
            </w:tcBorders>
            <w:vAlign w:val="center"/>
            <w:hideMark/>
          </w:tcPr>
          <w:p w14:paraId="1DB1F5E2"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88" w:type="pct"/>
            <w:tcBorders>
              <w:top w:val="nil"/>
              <w:left w:val="nil"/>
              <w:bottom w:val="nil"/>
              <w:right w:val="nil"/>
            </w:tcBorders>
            <w:vAlign w:val="center"/>
            <w:hideMark/>
          </w:tcPr>
          <w:p w14:paraId="4F32A29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0.69</w:t>
            </w:r>
          </w:p>
        </w:tc>
        <w:tc>
          <w:tcPr>
            <w:tcW w:w="238" w:type="pct"/>
            <w:tcBorders>
              <w:top w:val="nil"/>
              <w:left w:val="nil"/>
              <w:bottom w:val="nil"/>
              <w:right w:val="nil"/>
            </w:tcBorders>
            <w:vAlign w:val="center"/>
            <w:hideMark/>
          </w:tcPr>
          <w:p w14:paraId="6493BDD3"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3.78</w:t>
            </w:r>
          </w:p>
        </w:tc>
        <w:tc>
          <w:tcPr>
            <w:tcW w:w="238" w:type="pct"/>
            <w:tcBorders>
              <w:top w:val="nil"/>
              <w:left w:val="nil"/>
              <w:bottom w:val="nil"/>
              <w:right w:val="nil"/>
            </w:tcBorders>
            <w:vAlign w:val="center"/>
            <w:hideMark/>
          </w:tcPr>
          <w:p w14:paraId="12E636B3"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3.49</w:t>
            </w:r>
          </w:p>
        </w:tc>
        <w:tc>
          <w:tcPr>
            <w:tcW w:w="288" w:type="pct"/>
            <w:tcBorders>
              <w:top w:val="nil"/>
              <w:left w:val="nil"/>
              <w:bottom w:val="nil"/>
              <w:right w:val="nil"/>
            </w:tcBorders>
            <w:vAlign w:val="center"/>
            <w:hideMark/>
          </w:tcPr>
          <w:p w14:paraId="24CD2BD9"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3.63</w:t>
            </w:r>
          </w:p>
        </w:tc>
        <w:tc>
          <w:tcPr>
            <w:tcW w:w="238" w:type="pct"/>
            <w:tcBorders>
              <w:top w:val="nil"/>
              <w:left w:val="nil"/>
              <w:bottom w:val="nil"/>
              <w:right w:val="nil"/>
            </w:tcBorders>
            <w:vAlign w:val="center"/>
            <w:hideMark/>
          </w:tcPr>
          <w:p w14:paraId="6E17EDD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204.7</w:t>
            </w:r>
          </w:p>
        </w:tc>
        <w:tc>
          <w:tcPr>
            <w:tcW w:w="270" w:type="pct"/>
            <w:tcBorders>
              <w:top w:val="nil"/>
              <w:left w:val="nil"/>
              <w:bottom w:val="nil"/>
              <w:right w:val="nil"/>
            </w:tcBorders>
            <w:vAlign w:val="center"/>
            <w:hideMark/>
          </w:tcPr>
          <w:p w14:paraId="270CFC72"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210</w:t>
            </w:r>
          </w:p>
        </w:tc>
        <w:tc>
          <w:tcPr>
            <w:tcW w:w="288" w:type="pct"/>
            <w:tcBorders>
              <w:top w:val="nil"/>
              <w:left w:val="nil"/>
              <w:bottom w:val="nil"/>
              <w:right w:val="nil"/>
            </w:tcBorders>
            <w:vAlign w:val="center"/>
            <w:hideMark/>
          </w:tcPr>
          <w:p w14:paraId="383D6E1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207.3</w:t>
            </w:r>
          </w:p>
        </w:tc>
        <w:tc>
          <w:tcPr>
            <w:tcW w:w="238" w:type="pct"/>
            <w:tcBorders>
              <w:top w:val="nil"/>
              <w:left w:val="nil"/>
              <w:bottom w:val="nil"/>
              <w:right w:val="nil"/>
            </w:tcBorders>
            <w:vAlign w:val="center"/>
            <w:hideMark/>
          </w:tcPr>
          <w:p w14:paraId="27B4550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18.83</w:t>
            </w:r>
          </w:p>
        </w:tc>
        <w:tc>
          <w:tcPr>
            <w:tcW w:w="238" w:type="pct"/>
            <w:tcBorders>
              <w:top w:val="nil"/>
              <w:left w:val="nil"/>
              <w:bottom w:val="nil"/>
              <w:right w:val="nil"/>
            </w:tcBorders>
            <w:vAlign w:val="center"/>
            <w:hideMark/>
          </w:tcPr>
          <w:p w14:paraId="4C2F832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20.45</w:t>
            </w:r>
          </w:p>
        </w:tc>
        <w:tc>
          <w:tcPr>
            <w:tcW w:w="288" w:type="pct"/>
            <w:gridSpan w:val="2"/>
            <w:tcBorders>
              <w:top w:val="nil"/>
              <w:left w:val="nil"/>
              <w:bottom w:val="nil"/>
              <w:right w:val="nil"/>
            </w:tcBorders>
            <w:vAlign w:val="center"/>
            <w:hideMark/>
          </w:tcPr>
          <w:p w14:paraId="55C7482F"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19.64</w:t>
            </w:r>
          </w:p>
        </w:tc>
      </w:tr>
      <w:tr w:rsidR="00CE5AC4" w:rsidRPr="00AA3FCE" w14:paraId="6B4FF80A" w14:textId="77777777" w:rsidTr="00FF46C9">
        <w:trPr>
          <w:trHeight w:val="345"/>
          <w:jc w:val="center"/>
        </w:trPr>
        <w:tc>
          <w:tcPr>
            <w:tcW w:w="386" w:type="pct"/>
            <w:tcBorders>
              <w:top w:val="nil"/>
              <w:left w:val="nil"/>
              <w:bottom w:val="nil"/>
              <w:right w:val="nil"/>
            </w:tcBorders>
            <w:vAlign w:val="center"/>
            <w:hideMark/>
          </w:tcPr>
          <w:p w14:paraId="15AACCA6"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5 </w:t>
            </w:r>
          </w:p>
        </w:tc>
        <w:tc>
          <w:tcPr>
            <w:tcW w:w="238" w:type="pct"/>
            <w:tcBorders>
              <w:top w:val="nil"/>
              <w:left w:val="nil"/>
              <w:bottom w:val="nil"/>
              <w:right w:val="nil"/>
            </w:tcBorders>
            <w:vAlign w:val="center"/>
            <w:hideMark/>
          </w:tcPr>
          <w:p w14:paraId="5479C66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21.13</w:t>
            </w:r>
          </w:p>
        </w:tc>
        <w:tc>
          <w:tcPr>
            <w:tcW w:w="238" w:type="pct"/>
            <w:tcBorders>
              <w:top w:val="nil"/>
              <w:left w:val="nil"/>
              <w:bottom w:val="nil"/>
              <w:right w:val="nil"/>
            </w:tcBorders>
            <w:vAlign w:val="center"/>
            <w:hideMark/>
          </w:tcPr>
          <w:p w14:paraId="5EBD764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22.41</w:t>
            </w:r>
          </w:p>
        </w:tc>
        <w:tc>
          <w:tcPr>
            <w:tcW w:w="288" w:type="pct"/>
            <w:tcBorders>
              <w:top w:val="nil"/>
              <w:left w:val="nil"/>
              <w:bottom w:val="nil"/>
              <w:right w:val="nil"/>
            </w:tcBorders>
            <w:vAlign w:val="center"/>
            <w:hideMark/>
          </w:tcPr>
          <w:p w14:paraId="256F23E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21.77</w:t>
            </w:r>
          </w:p>
        </w:tc>
        <w:tc>
          <w:tcPr>
            <w:tcW w:w="238" w:type="pct"/>
            <w:tcBorders>
              <w:top w:val="nil"/>
              <w:left w:val="nil"/>
              <w:bottom w:val="nil"/>
              <w:right w:val="nil"/>
            </w:tcBorders>
            <w:vAlign w:val="center"/>
            <w:hideMark/>
          </w:tcPr>
          <w:p w14:paraId="33C087B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4.07</w:t>
            </w:r>
          </w:p>
        </w:tc>
        <w:tc>
          <w:tcPr>
            <w:tcW w:w="238" w:type="pct"/>
            <w:tcBorders>
              <w:top w:val="nil"/>
              <w:left w:val="nil"/>
              <w:bottom w:val="nil"/>
              <w:right w:val="nil"/>
            </w:tcBorders>
            <w:vAlign w:val="center"/>
            <w:hideMark/>
          </w:tcPr>
          <w:p w14:paraId="7C245A6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5.67</w:t>
            </w:r>
          </w:p>
        </w:tc>
        <w:tc>
          <w:tcPr>
            <w:tcW w:w="288" w:type="pct"/>
            <w:tcBorders>
              <w:top w:val="nil"/>
              <w:left w:val="nil"/>
              <w:bottom w:val="nil"/>
              <w:right w:val="nil"/>
            </w:tcBorders>
            <w:vAlign w:val="center"/>
            <w:hideMark/>
          </w:tcPr>
          <w:p w14:paraId="19AD7EE9"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4.87</w:t>
            </w:r>
          </w:p>
        </w:tc>
        <w:tc>
          <w:tcPr>
            <w:tcW w:w="238" w:type="pct"/>
            <w:tcBorders>
              <w:top w:val="nil"/>
              <w:left w:val="nil"/>
              <w:bottom w:val="nil"/>
              <w:right w:val="nil"/>
            </w:tcBorders>
            <w:vAlign w:val="center"/>
            <w:hideMark/>
          </w:tcPr>
          <w:p w14:paraId="2FEA616D"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0.72</w:t>
            </w:r>
          </w:p>
        </w:tc>
        <w:tc>
          <w:tcPr>
            <w:tcW w:w="238" w:type="pct"/>
            <w:tcBorders>
              <w:top w:val="nil"/>
              <w:left w:val="nil"/>
              <w:bottom w:val="nil"/>
              <w:right w:val="nil"/>
            </w:tcBorders>
            <w:vAlign w:val="center"/>
            <w:hideMark/>
          </w:tcPr>
          <w:p w14:paraId="4DA84F97"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0.69</w:t>
            </w:r>
          </w:p>
        </w:tc>
        <w:tc>
          <w:tcPr>
            <w:tcW w:w="288" w:type="pct"/>
            <w:tcBorders>
              <w:top w:val="nil"/>
              <w:left w:val="nil"/>
              <w:bottom w:val="nil"/>
              <w:right w:val="nil"/>
            </w:tcBorders>
            <w:vAlign w:val="center"/>
            <w:hideMark/>
          </w:tcPr>
          <w:p w14:paraId="4D022826"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0.7</w:t>
            </w:r>
          </w:p>
        </w:tc>
        <w:tc>
          <w:tcPr>
            <w:tcW w:w="238" w:type="pct"/>
            <w:tcBorders>
              <w:top w:val="nil"/>
              <w:left w:val="nil"/>
              <w:bottom w:val="nil"/>
              <w:right w:val="nil"/>
            </w:tcBorders>
            <w:vAlign w:val="center"/>
            <w:hideMark/>
          </w:tcPr>
          <w:p w14:paraId="66CB20E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3.74</w:t>
            </w:r>
          </w:p>
        </w:tc>
        <w:tc>
          <w:tcPr>
            <w:tcW w:w="238" w:type="pct"/>
            <w:tcBorders>
              <w:top w:val="nil"/>
              <w:left w:val="nil"/>
              <w:bottom w:val="nil"/>
              <w:right w:val="nil"/>
            </w:tcBorders>
            <w:vAlign w:val="center"/>
            <w:hideMark/>
          </w:tcPr>
          <w:p w14:paraId="19BA3BB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3.28</w:t>
            </w:r>
          </w:p>
        </w:tc>
        <w:tc>
          <w:tcPr>
            <w:tcW w:w="288" w:type="pct"/>
            <w:tcBorders>
              <w:top w:val="nil"/>
              <w:left w:val="nil"/>
              <w:bottom w:val="nil"/>
              <w:right w:val="nil"/>
            </w:tcBorders>
            <w:vAlign w:val="center"/>
            <w:hideMark/>
          </w:tcPr>
          <w:p w14:paraId="1892011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3.51</w:t>
            </w:r>
          </w:p>
        </w:tc>
        <w:tc>
          <w:tcPr>
            <w:tcW w:w="238" w:type="pct"/>
            <w:tcBorders>
              <w:top w:val="nil"/>
              <w:left w:val="nil"/>
              <w:bottom w:val="nil"/>
              <w:right w:val="nil"/>
            </w:tcBorders>
            <w:vAlign w:val="center"/>
            <w:hideMark/>
          </w:tcPr>
          <w:p w14:paraId="343FF9B7"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209</w:t>
            </w:r>
          </w:p>
        </w:tc>
        <w:tc>
          <w:tcPr>
            <w:tcW w:w="270" w:type="pct"/>
            <w:tcBorders>
              <w:top w:val="nil"/>
              <w:left w:val="nil"/>
              <w:bottom w:val="nil"/>
              <w:right w:val="nil"/>
            </w:tcBorders>
            <w:vAlign w:val="center"/>
            <w:hideMark/>
          </w:tcPr>
          <w:p w14:paraId="155BA3B8"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211</w:t>
            </w:r>
          </w:p>
        </w:tc>
        <w:tc>
          <w:tcPr>
            <w:tcW w:w="288" w:type="pct"/>
            <w:tcBorders>
              <w:top w:val="nil"/>
              <w:left w:val="nil"/>
              <w:bottom w:val="nil"/>
              <w:right w:val="nil"/>
            </w:tcBorders>
            <w:vAlign w:val="center"/>
            <w:hideMark/>
          </w:tcPr>
          <w:p w14:paraId="77A49332"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210</w:t>
            </w:r>
          </w:p>
        </w:tc>
        <w:tc>
          <w:tcPr>
            <w:tcW w:w="238" w:type="pct"/>
            <w:tcBorders>
              <w:top w:val="nil"/>
              <w:left w:val="nil"/>
              <w:bottom w:val="nil"/>
              <w:right w:val="nil"/>
            </w:tcBorders>
            <w:vAlign w:val="center"/>
            <w:hideMark/>
          </w:tcPr>
          <w:p w14:paraId="7FAFDEB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20.76</w:t>
            </w:r>
          </w:p>
        </w:tc>
        <w:tc>
          <w:tcPr>
            <w:tcW w:w="238" w:type="pct"/>
            <w:tcBorders>
              <w:top w:val="nil"/>
              <w:left w:val="nil"/>
              <w:bottom w:val="nil"/>
              <w:right w:val="nil"/>
            </w:tcBorders>
            <w:vAlign w:val="center"/>
            <w:hideMark/>
          </w:tcPr>
          <w:p w14:paraId="18FF447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22.31</w:t>
            </w:r>
          </w:p>
        </w:tc>
        <w:tc>
          <w:tcPr>
            <w:tcW w:w="288" w:type="pct"/>
            <w:gridSpan w:val="2"/>
            <w:tcBorders>
              <w:top w:val="nil"/>
              <w:left w:val="nil"/>
              <w:bottom w:val="nil"/>
              <w:right w:val="nil"/>
            </w:tcBorders>
            <w:vAlign w:val="center"/>
            <w:hideMark/>
          </w:tcPr>
          <w:p w14:paraId="13F2F93B"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21.54</w:t>
            </w:r>
          </w:p>
        </w:tc>
      </w:tr>
      <w:tr w:rsidR="00CE5AC4" w:rsidRPr="00AA3FCE" w14:paraId="2491DB84" w14:textId="77777777" w:rsidTr="00FF46C9">
        <w:trPr>
          <w:trHeight w:val="345"/>
          <w:jc w:val="center"/>
        </w:trPr>
        <w:tc>
          <w:tcPr>
            <w:tcW w:w="386" w:type="pct"/>
            <w:tcBorders>
              <w:top w:val="nil"/>
              <w:left w:val="nil"/>
              <w:bottom w:val="nil"/>
              <w:right w:val="nil"/>
            </w:tcBorders>
            <w:vAlign w:val="center"/>
            <w:hideMark/>
          </w:tcPr>
          <w:p w14:paraId="75EB8CE5"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6 </w:t>
            </w:r>
          </w:p>
        </w:tc>
        <w:tc>
          <w:tcPr>
            <w:tcW w:w="238" w:type="pct"/>
            <w:tcBorders>
              <w:top w:val="nil"/>
              <w:left w:val="nil"/>
              <w:bottom w:val="nil"/>
              <w:right w:val="nil"/>
            </w:tcBorders>
            <w:vAlign w:val="center"/>
            <w:hideMark/>
          </w:tcPr>
          <w:p w14:paraId="6889115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20.83</w:t>
            </w:r>
          </w:p>
        </w:tc>
        <w:tc>
          <w:tcPr>
            <w:tcW w:w="238" w:type="pct"/>
            <w:tcBorders>
              <w:top w:val="nil"/>
              <w:left w:val="nil"/>
              <w:bottom w:val="nil"/>
              <w:right w:val="nil"/>
            </w:tcBorders>
            <w:vAlign w:val="center"/>
            <w:hideMark/>
          </w:tcPr>
          <w:p w14:paraId="6D6C3DC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21.41</w:t>
            </w:r>
          </w:p>
        </w:tc>
        <w:tc>
          <w:tcPr>
            <w:tcW w:w="288" w:type="pct"/>
            <w:tcBorders>
              <w:top w:val="nil"/>
              <w:left w:val="nil"/>
              <w:bottom w:val="nil"/>
              <w:right w:val="nil"/>
            </w:tcBorders>
            <w:vAlign w:val="center"/>
            <w:hideMark/>
          </w:tcPr>
          <w:p w14:paraId="6C8BEEEF"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21.12</w:t>
            </w:r>
          </w:p>
        </w:tc>
        <w:tc>
          <w:tcPr>
            <w:tcW w:w="238" w:type="pct"/>
            <w:tcBorders>
              <w:top w:val="nil"/>
              <w:left w:val="nil"/>
              <w:bottom w:val="nil"/>
              <w:right w:val="nil"/>
            </w:tcBorders>
            <w:vAlign w:val="center"/>
            <w:hideMark/>
          </w:tcPr>
          <w:p w14:paraId="4F5A44A1"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3.88</w:t>
            </w:r>
          </w:p>
        </w:tc>
        <w:tc>
          <w:tcPr>
            <w:tcW w:w="238" w:type="pct"/>
            <w:tcBorders>
              <w:top w:val="nil"/>
              <w:left w:val="nil"/>
              <w:bottom w:val="nil"/>
              <w:right w:val="nil"/>
            </w:tcBorders>
            <w:vAlign w:val="center"/>
            <w:hideMark/>
          </w:tcPr>
          <w:p w14:paraId="5507AD6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4.1</w:t>
            </w:r>
          </w:p>
        </w:tc>
        <w:tc>
          <w:tcPr>
            <w:tcW w:w="288" w:type="pct"/>
            <w:tcBorders>
              <w:top w:val="nil"/>
              <w:left w:val="nil"/>
              <w:bottom w:val="nil"/>
              <w:right w:val="nil"/>
            </w:tcBorders>
            <w:vAlign w:val="center"/>
            <w:hideMark/>
          </w:tcPr>
          <w:p w14:paraId="22951FBE"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3.99</w:t>
            </w:r>
          </w:p>
        </w:tc>
        <w:tc>
          <w:tcPr>
            <w:tcW w:w="238" w:type="pct"/>
            <w:tcBorders>
              <w:top w:val="nil"/>
              <w:left w:val="nil"/>
              <w:bottom w:val="nil"/>
              <w:right w:val="nil"/>
            </w:tcBorders>
            <w:vAlign w:val="center"/>
            <w:hideMark/>
          </w:tcPr>
          <w:p w14:paraId="4DEF7A23"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0.71</w:t>
            </w:r>
          </w:p>
        </w:tc>
        <w:tc>
          <w:tcPr>
            <w:tcW w:w="238" w:type="pct"/>
            <w:tcBorders>
              <w:top w:val="nil"/>
              <w:left w:val="nil"/>
              <w:bottom w:val="nil"/>
              <w:right w:val="nil"/>
            </w:tcBorders>
            <w:vAlign w:val="center"/>
            <w:hideMark/>
          </w:tcPr>
          <w:p w14:paraId="772D80CE"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88" w:type="pct"/>
            <w:tcBorders>
              <w:top w:val="nil"/>
              <w:left w:val="nil"/>
              <w:bottom w:val="nil"/>
              <w:right w:val="nil"/>
            </w:tcBorders>
            <w:vAlign w:val="center"/>
            <w:hideMark/>
          </w:tcPr>
          <w:p w14:paraId="27B354DA"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0.7</w:t>
            </w:r>
          </w:p>
        </w:tc>
        <w:tc>
          <w:tcPr>
            <w:tcW w:w="238" w:type="pct"/>
            <w:tcBorders>
              <w:top w:val="nil"/>
              <w:left w:val="nil"/>
              <w:bottom w:val="nil"/>
              <w:right w:val="nil"/>
            </w:tcBorders>
            <w:vAlign w:val="center"/>
            <w:hideMark/>
          </w:tcPr>
          <w:p w14:paraId="25CAE5F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3.77</w:t>
            </w:r>
          </w:p>
        </w:tc>
        <w:tc>
          <w:tcPr>
            <w:tcW w:w="238" w:type="pct"/>
            <w:tcBorders>
              <w:top w:val="nil"/>
              <w:left w:val="nil"/>
              <w:bottom w:val="nil"/>
              <w:right w:val="nil"/>
            </w:tcBorders>
            <w:vAlign w:val="center"/>
            <w:hideMark/>
          </w:tcPr>
          <w:p w14:paraId="73E52C7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3.34</w:t>
            </w:r>
          </w:p>
        </w:tc>
        <w:tc>
          <w:tcPr>
            <w:tcW w:w="288" w:type="pct"/>
            <w:tcBorders>
              <w:top w:val="nil"/>
              <w:left w:val="nil"/>
              <w:bottom w:val="nil"/>
              <w:right w:val="nil"/>
            </w:tcBorders>
            <w:vAlign w:val="center"/>
            <w:hideMark/>
          </w:tcPr>
          <w:p w14:paraId="39E7B51C"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3.55</w:t>
            </w:r>
          </w:p>
        </w:tc>
        <w:tc>
          <w:tcPr>
            <w:tcW w:w="238" w:type="pct"/>
            <w:tcBorders>
              <w:top w:val="nil"/>
              <w:left w:val="nil"/>
              <w:bottom w:val="nil"/>
              <w:right w:val="nil"/>
            </w:tcBorders>
            <w:vAlign w:val="center"/>
            <w:hideMark/>
          </w:tcPr>
          <w:p w14:paraId="091BD1F6"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205.3</w:t>
            </w:r>
          </w:p>
        </w:tc>
        <w:tc>
          <w:tcPr>
            <w:tcW w:w="270" w:type="pct"/>
            <w:tcBorders>
              <w:top w:val="nil"/>
              <w:left w:val="nil"/>
              <w:bottom w:val="nil"/>
              <w:right w:val="nil"/>
            </w:tcBorders>
            <w:vAlign w:val="center"/>
            <w:hideMark/>
          </w:tcPr>
          <w:p w14:paraId="0B52753B"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210.3</w:t>
            </w:r>
          </w:p>
        </w:tc>
        <w:tc>
          <w:tcPr>
            <w:tcW w:w="288" w:type="pct"/>
            <w:tcBorders>
              <w:top w:val="nil"/>
              <w:left w:val="nil"/>
              <w:bottom w:val="nil"/>
              <w:right w:val="nil"/>
            </w:tcBorders>
            <w:vAlign w:val="center"/>
            <w:hideMark/>
          </w:tcPr>
          <w:p w14:paraId="7568080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207.8</w:t>
            </w:r>
          </w:p>
        </w:tc>
        <w:tc>
          <w:tcPr>
            <w:tcW w:w="238" w:type="pct"/>
            <w:tcBorders>
              <w:top w:val="nil"/>
              <w:left w:val="nil"/>
              <w:bottom w:val="nil"/>
              <w:right w:val="nil"/>
            </w:tcBorders>
            <w:vAlign w:val="center"/>
            <w:hideMark/>
          </w:tcPr>
          <w:p w14:paraId="3308420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19.29</w:t>
            </w:r>
          </w:p>
        </w:tc>
        <w:tc>
          <w:tcPr>
            <w:tcW w:w="238" w:type="pct"/>
            <w:tcBorders>
              <w:top w:val="nil"/>
              <w:left w:val="nil"/>
              <w:bottom w:val="nil"/>
              <w:right w:val="nil"/>
            </w:tcBorders>
            <w:vAlign w:val="center"/>
            <w:hideMark/>
          </w:tcPr>
          <w:p w14:paraId="5EDA69A6"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21.55</w:t>
            </w:r>
          </w:p>
        </w:tc>
        <w:tc>
          <w:tcPr>
            <w:tcW w:w="288" w:type="pct"/>
            <w:gridSpan w:val="2"/>
            <w:tcBorders>
              <w:top w:val="nil"/>
              <w:left w:val="nil"/>
              <w:bottom w:val="nil"/>
              <w:right w:val="nil"/>
            </w:tcBorders>
            <w:vAlign w:val="center"/>
            <w:hideMark/>
          </w:tcPr>
          <w:p w14:paraId="7C13F458"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20.42</w:t>
            </w:r>
          </w:p>
        </w:tc>
      </w:tr>
      <w:tr w:rsidR="00CE5AC4" w:rsidRPr="00AA3FCE" w14:paraId="3F7AFFD0" w14:textId="77777777" w:rsidTr="00FF46C9">
        <w:trPr>
          <w:trHeight w:val="345"/>
          <w:jc w:val="center"/>
        </w:trPr>
        <w:tc>
          <w:tcPr>
            <w:tcW w:w="386" w:type="pct"/>
            <w:tcBorders>
              <w:top w:val="nil"/>
              <w:left w:val="nil"/>
              <w:bottom w:val="nil"/>
              <w:right w:val="nil"/>
            </w:tcBorders>
            <w:vAlign w:val="center"/>
            <w:hideMark/>
          </w:tcPr>
          <w:p w14:paraId="0A9F2110"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7 </w:t>
            </w:r>
          </w:p>
        </w:tc>
        <w:tc>
          <w:tcPr>
            <w:tcW w:w="238" w:type="pct"/>
            <w:tcBorders>
              <w:top w:val="nil"/>
              <w:left w:val="nil"/>
              <w:bottom w:val="nil"/>
              <w:right w:val="nil"/>
            </w:tcBorders>
            <w:vAlign w:val="center"/>
            <w:hideMark/>
          </w:tcPr>
          <w:p w14:paraId="15C4089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19.4</w:t>
            </w:r>
          </w:p>
        </w:tc>
        <w:tc>
          <w:tcPr>
            <w:tcW w:w="238" w:type="pct"/>
            <w:tcBorders>
              <w:top w:val="nil"/>
              <w:left w:val="nil"/>
              <w:bottom w:val="nil"/>
              <w:right w:val="nil"/>
            </w:tcBorders>
            <w:vAlign w:val="center"/>
            <w:hideMark/>
          </w:tcPr>
          <w:p w14:paraId="1C89DE3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21.52</w:t>
            </w:r>
          </w:p>
        </w:tc>
        <w:tc>
          <w:tcPr>
            <w:tcW w:w="288" w:type="pct"/>
            <w:tcBorders>
              <w:top w:val="nil"/>
              <w:left w:val="nil"/>
              <w:bottom w:val="nil"/>
              <w:right w:val="nil"/>
            </w:tcBorders>
            <w:vAlign w:val="center"/>
            <w:hideMark/>
          </w:tcPr>
          <w:p w14:paraId="701EFCFB"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20.46</w:t>
            </w:r>
          </w:p>
        </w:tc>
        <w:tc>
          <w:tcPr>
            <w:tcW w:w="238" w:type="pct"/>
            <w:tcBorders>
              <w:top w:val="nil"/>
              <w:left w:val="nil"/>
              <w:bottom w:val="nil"/>
              <w:right w:val="nil"/>
            </w:tcBorders>
            <w:vAlign w:val="center"/>
            <w:hideMark/>
          </w:tcPr>
          <w:p w14:paraId="6FDC25F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3.56</w:t>
            </w:r>
          </w:p>
        </w:tc>
        <w:tc>
          <w:tcPr>
            <w:tcW w:w="238" w:type="pct"/>
            <w:tcBorders>
              <w:top w:val="nil"/>
              <w:left w:val="nil"/>
              <w:bottom w:val="nil"/>
              <w:right w:val="nil"/>
            </w:tcBorders>
            <w:vAlign w:val="center"/>
            <w:hideMark/>
          </w:tcPr>
          <w:p w14:paraId="6BA852A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4.7</w:t>
            </w:r>
          </w:p>
        </w:tc>
        <w:tc>
          <w:tcPr>
            <w:tcW w:w="288" w:type="pct"/>
            <w:tcBorders>
              <w:top w:val="nil"/>
              <w:left w:val="nil"/>
              <w:bottom w:val="nil"/>
              <w:right w:val="nil"/>
            </w:tcBorders>
            <w:vAlign w:val="center"/>
            <w:hideMark/>
          </w:tcPr>
          <w:p w14:paraId="3377FB95"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4.13</w:t>
            </w:r>
          </w:p>
        </w:tc>
        <w:tc>
          <w:tcPr>
            <w:tcW w:w="238" w:type="pct"/>
            <w:tcBorders>
              <w:top w:val="nil"/>
              <w:left w:val="nil"/>
              <w:bottom w:val="nil"/>
              <w:right w:val="nil"/>
            </w:tcBorders>
            <w:vAlign w:val="center"/>
            <w:hideMark/>
          </w:tcPr>
          <w:p w14:paraId="1CFB430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0.72</w:t>
            </w:r>
          </w:p>
        </w:tc>
        <w:tc>
          <w:tcPr>
            <w:tcW w:w="238" w:type="pct"/>
            <w:tcBorders>
              <w:top w:val="nil"/>
              <w:left w:val="nil"/>
              <w:bottom w:val="nil"/>
              <w:right w:val="nil"/>
            </w:tcBorders>
            <w:vAlign w:val="center"/>
            <w:hideMark/>
          </w:tcPr>
          <w:p w14:paraId="6E47D483"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0.69</w:t>
            </w:r>
          </w:p>
        </w:tc>
        <w:tc>
          <w:tcPr>
            <w:tcW w:w="288" w:type="pct"/>
            <w:tcBorders>
              <w:top w:val="nil"/>
              <w:left w:val="nil"/>
              <w:bottom w:val="nil"/>
              <w:right w:val="nil"/>
            </w:tcBorders>
            <w:vAlign w:val="center"/>
            <w:hideMark/>
          </w:tcPr>
          <w:p w14:paraId="54B0856C"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0.7</w:t>
            </w:r>
          </w:p>
        </w:tc>
        <w:tc>
          <w:tcPr>
            <w:tcW w:w="238" w:type="pct"/>
            <w:tcBorders>
              <w:top w:val="nil"/>
              <w:left w:val="nil"/>
              <w:bottom w:val="nil"/>
              <w:right w:val="nil"/>
            </w:tcBorders>
            <w:vAlign w:val="center"/>
            <w:hideMark/>
          </w:tcPr>
          <w:p w14:paraId="12FB665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3.64</w:t>
            </w:r>
          </w:p>
        </w:tc>
        <w:tc>
          <w:tcPr>
            <w:tcW w:w="238" w:type="pct"/>
            <w:tcBorders>
              <w:top w:val="nil"/>
              <w:left w:val="nil"/>
              <w:bottom w:val="nil"/>
              <w:right w:val="nil"/>
            </w:tcBorders>
            <w:vAlign w:val="center"/>
            <w:hideMark/>
          </w:tcPr>
          <w:p w14:paraId="5192C75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3.45</w:t>
            </w:r>
          </w:p>
        </w:tc>
        <w:tc>
          <w:tcPr>
            <w:tcW w:w="288" w:type="pct"/>
            <w:tcBorders>
              <w:top w:val="nil"/>
              <w:left w:val="nil"/>
              <w:bottom w:val="nil"/>
              <w:right w:val="nil"/>
            </w:tcBorders>
            <w:vAlign w:val="center"/>
            <w:hideMark/>
          </w:tcPr>
          <w:p w14:paraId="06F722DD"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3.55</w:t>
            </w:r>
          </w:p>
        </w:tc>
        <w:tc>
          <w:tcPr>
            <w:tcW w:w="238" w:type="pct"/>
            <w:tcBorders>
              <w:top w:val="nil"/>
              <w:left w:val="nil"/>
              <w:bottom w:val="nil"/>
              <w:right w:val="nil"/>
            </w:tcBorders>
            <w:vAlign w:val="center"/>
            <w:hideMark/>
          </w:tcPr>
          <w:p w14:paraId="52013739"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207</w:t>
            </w:r>
          </w:p>
        </w:tc>
        <w:tc>
          <w:tcPr>
            <w:tcW w:w="270" w:type="pct"/>
            <w:tcBorders>
              <w:top w:val="nil"/>
              <w:left w:val="nil"/>
              <w:bottom w:val="nil"/>
              <w:right w:val="nil"/>
            </w:tcBorders>
            <w:vAlign w:val="center"/>
            <w:hideMark/>
          </w:tcPr>
          <w:p w14:paraId="13B075BA"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210.3</w:t>
            </w:r>
          </w:p>
        </w:tc>
        <w:tc>
          <w:tcPr>
            <w:tcW w:w="288" w:type="pct"/>
            <w:tcBorders>
              <w:top w:val="nil"/>
              <w:left w:val="nil"/>
              <w:bottom w:val="nil"/>
              <w:right w:val="nil"/>
            </w:tcBorders>
            <w:vAlign w:val="center"/>
            <w:hideMark/>
          </w:tcPr>
          <w:p w14:paraId="73A1293F"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208.7</w:t>
            </w:r>
          </w:p>
        </w:tc>
        <w:tc>
          <w:tcPr>
            <w:tcW w:w="238" w:type="pct"/>
            <w:tcBorders>
              <w:top w:val="nil"/>
              <w:left w:val="nil"/>
              <w:bottom w:val="nil"/>
              <w:right w:val="nil"/>
            </w:tcBorders>
            <w:vAlign w:val="center"/>
            <w:hideMark/>
          </w:tcPr>
          <w:p w14:paraId="08B85D7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20.88</w:t>
            </w:r>
          </w:p>
        </w:tc>
        <w:tc>
          <w:tcPr>
            <w:tcW w:w="238" w:type="pct"/>
            <w:tcBorders>
              <w:top w:val="nil"/>
              <w:left w:val="nil"/>
              <w:bottom w:val="nil"/>
              <w:right w:val="nil"/>
            </w:tcBorders>
            <w:vAlign w:val="center"/>
            <w:hideMark/>
          </w:tcPr>
          <w:p w14:paraId="23E5356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21.68</w:t>
            </w:r>
          </w:p>
        </w:tc>
        <w:tc>
          <w:tcPr>
            <w:tcW w:w="288" w:type="pct"/>
            <w:gridSpan w:val="2"/>
            <w:tcBorders>
              <w:top w:val="nil"/>
              <w:left w:val="nil"/>
              <w:bottom w:val="nil"/>
              <w:right w:val="nil"/>
            </w:tcBorders>
            <w:vAlign w:val="center"/>
            <w:hideMark/>
          </w:tcPr>
          <w:p w14:paraId="2B3F891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21.28</w:t>
            </w:r>
          </w:p>
        </w:tc>
      </w:tr>
      <w:tr w:rsidR="00CE5AC4" w:rsidRPr="00AA3FCE" w14:paraId="7324B120" w14:textId="77777777" w:rsidTr="00FF46C9">
        <w:trPr>
          <w:trHeight w:val="345"/>
          <w:jc w:val="center"/>
        </w:trPr>
        <w:tc>
          <w:tcPr>
            <w:tcW w:w="386" w:type="pct"/>
            <w:tcBorders>
              <w:top w:val="nil"/>
              <w:left w:val="nil"/>
              <w:bottom w:val="nil"/>
              <w:right w:val="nil"/>
            </w:tcBorders>
            <w:vAlign w:val="center"/>
            <w:hideMark/>
          </w:tcPr>
          <w:p w14:paraId="6CB49AD6"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8 </w:t>
            </w:r>
          </w:p>
        </w:tc>
        <w:tc>
          <w:tcPr>
            <w:tcW w:w="238" w:type="pct"/>
            <w:tcBorders>
              <w:top w:val="nil"/>
              <w:left w:val="nil"/>
              <w:bottom w:val="nil"/>
              <w:right w:val="nil"/>
            </w:tcBorders>
            <w:vAlign w:val="center"/>
            <w:hideMark/>
          </w:tcPr>
          <w:p w14:paraId="67A5007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21.9</w:t>
            </w:r>
          </w:p>
        </w:tc>
        <w:tc>
          <w:tcPr>
            <w:tcW w:w="238" w:type="pct"/>
            <w:tcBorders>
              <w:top w:val="nil"/>
              <w:left w:val="nil"/>
              <w:bottom w:val="nil"/>
              <w:right w:val="nil"/>
            </w:tcBorders>
            <w:vAlign w:val="center"/>
            <w:hideMark/>
          </w:tcPr>
          <w:p w14:paraId="4010F29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23</w:t>
            </w:r>
          </w:p>
        </w:tc>
        <w:tc>
          <w:tcPr>
            <w:tcW w:w="288" w:type="pct"/>
            <w:tcBorders>
              <w:top w:val="nil"/>
              <w:left w:val="nil"/>
              <w:bottom w:val="nil"/>
              <w:right w:val="nil"/>
            </w:tcBorders>
            <w:vAlign w:val="center"/>
            <w:hideMark/>
          </w:tcPr>
          <w:p w14:paraId="653828C8"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22.45</w:t>
            </w:r>
          </w:p>
        </w:tc>
        <w:tc>
          <w:tcPr>
            <w:tcW w:w="238" w:type="pct"/>
            <w:tcBorders>
              <w:top w:val="nil"/>
              <w:left w:val="nil"/>
              <w:bottom w:val="nil"/>
              <w:right w:val="nil"/>
            </w:tcBorders>
            <w:vAlign w:val="center"/>
            <w:hideMark/>
          </w:tcPr>
          <w:p w14:paraId="36815FE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3.65</w:t>
            </w:r>
          </w:p>
        </w:tc>
        <w:tc>
          <w:tcPr>
            <w:tcW w:w="238" w:type="pct"/>
            <w:tcBorders>
              <w:top w:val="nil"/>
              <w:left w:val="nil"/>
              <w:bottom w:val="nil"/>
              <w:right w:val="nil"/>
            </w:tcBorders>
            <w:vAlign w:val="center"/>
            <w:hideMark/>
          </w:tcPr>
          <w:p w14:paraId="1C48828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4.17</w:t>
            </w:r>
          </w:p>
        </w:tc>
        <w:tc>
          <w:tcPr>
            <w:tcW w:w="288" w:type="pct"/>
            <w:tcBorders>
              <w:top w:val="nil"/>
              <w:left w:val="nil"/>
              <w:bottom w:val="nil"/>
              <w:right w:val="nil"/>
            </w:tcBorders>
            <w:vAlign w:val="center"/>
            <w:hideMark/>
          </w:tcPr>
          <w:p w14:paraId="24C325B8"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3.91</w:t>
            </w:r>
          </w:p>
        </w:tc>
        <w:tc>
          <w:tcPr>
            <w:tcW w:w="238" w:type="pct"/>
            <w:tcBorders>
              <w:top w:val="nil"/>
              <w:left w:val="nil"/>
              <w:bottom w:val="nil"/>
              <w:right w:val="nil"/>
            </w:tcBorders>
            <w:vAlign w:val="center"/>
            <w:hideMark/>
          </w:tcPr>
          <w:p w14:paraId="6D8AC6AD"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38" w:type="pct"/>
            <w:tcBorders>
              <w:top w:val="nil"/>
              <w:left w:val="nil"/>
              <w:bottom w:val="nil"/>
              <w:right w:val="nil"/>
            </w:tcBorders>
            <w:vAlign w:val="center"/>
            <w:hideMark/>
          </w:tcPr>
          <w:p w14:paraId="7FF4DBF2"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nil"/>
              <w:left w:val="nil"/>
              <w:bottom w:val="nil"/>
              <w:right w:val="nil"/>
            </w:tcBorders>
            <w:vAlign w:val="center"/>
            <w:hideMark/>
          </w:tcPr>
          <w:p w14:paraId="6FA6D1EA"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0.68</w:t>
            </w:r>
          </w:p>
        </w:tc>
        <w:tc>
          <w:tcPr>
            <w:tcW w:w="238" w:type="pct"/>
            <w:tcBorders>
              <w:top w:val="nil"/>
              <w:left w:val="nil"/>
              <w:bottom w:val="nil"/>
              <w:right w:val="nil"/>
            </w:tcBorders>
            <w:vAlign w:val="center"/>
            <w:hideMark/>
          </w:tcPr>
          <w:p w14:paraId="6DCFF9B6"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3.66</w:t>
            </w:r>
          </w:p>
        </w:tc>
        <w:tc>
          <w:tcPr>
            <w:tcW w:w="238" w:type="pct"/>
            <w:tcBorders>
              <w:top w:val="nil"/>
              <w:left w:val="nil"/>
              <w:bottom w:val="nil"/>
              <w:right w:val="nil"/>
            </w:tcBorders>
            <w:vAlign w:val="center"/>
            <w:hideMark/>
          </w:tcPr>
          <w:p w14:paraId="5EABB71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3.51</w:t>
            </w:r>
          </w:p>
        </w:tc>
        <w:tc>
          <w:tcPr>
            <w:tcW w:w="288" w:type="pct"/>
            <w:tcBorders>
              <w:top w:val="nil"/>
              <w:left w:val="nil"/>
              <w:bottom w:val="nil"/>
              <w:right w:val="nil"/>
            </w:tcBorders>
            <w:vAlign w:val="center"/>
            <w:hideMark/>
          </w:tcPr>
          <w:p w14:paraId="7C9D11C6"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3.59</w:t>
            </w:r>
          </w:p>
        </w:tc>
        <w:tc>
          <w:tcPr>
            <w:tcW w:w="238" w:type="pct"/>
            <w:tcBorders>
              <w:top w:val="nil"/>
              <w:left w:val="nil"/>
              <w:bottom w:val="nil"/>
              <w:right w:val="nil"/>
            </w:tcBorders>
            <w:vAlign w:val="center"/>
            <w:hideMark/>
          </w:tcPr>
          <w:p w14:paraId="30BFE040"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201.3</w:t>
            </w:r>
          </w:p>
        </w:tc>
        <w:tc>
          <w:tcPr>
            <w:tcW w:w="270" w:type="pct"/>
            <w:tcBorders>
              <w:top w:val="nil"/>
              <w:left w:val="nil"/>
              <w:bottom w:val="nil"/>
              <w:right w:val="nil"/>
            </w:tcBorders>
            <w:vAlign w:val="center"/>
            <w:hideMark/>
          </w:tcPr>
          <w:p w14:paraId="4C0AD2E3"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207.7</w:t>
            </w:r>
          </w:p>
        </w:tc>
        <w:tc>
          <w:tcPr>
            <w:tcW w:w="288" w:type="pct"/>
            <w:tcBorders>
              <w:top w:val="nil"/>
              <w:left w:val="nil"/>
              <w:bottom w:val="nil"/>
              <w:right w:val="nil"/>
            </w:tcBorders>
            <w:vAlign w:val="center"/>
            <w:hideMark/>
          </w:tcPr>
          <w:p w14:paraId="56492DEC"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204.5</w:t>
            </w:r>
          </w:p>
        </w:tc>
        <w:tc>
          <w:tcPr>
            <w:tcW w:w="238" w:type="pct"/>
            <w:tcBorders>
              <w:top w:val="nil"/>
              <w:left w:val="nil"/>
              <w:bottom w:val="nil"/>
              <w:right w:val="nil"/>
            </w:tcBorders>
            <w:vAlign w:val="center"/>
            <w:hideMark/>
          </w:tcPr>
          <w:p w14:paraId="5073A04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18.32</w:t>
            </w:r>
          </w:p>
        </w:tc>
        <w:tc>
          <w:tcPr>
            <w:tcW w:w="238" w:type="pct"/>
            <w:tcBorders>
              <w:top w:val="nil"/>
              <w:left w:val="nil"/>
              <w:bottom w:val="nil"/>
              <w:right w:val="nil"/>
            </w:tcBorders>
            <w:vAlign w:val="center"/>
            <w:hideMark/>
          </w:tcPr>
          <w:p w14:paraId="7ED9CDE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18.83</w:t>
            </w:r>
          </w:p>
        </w:tc>
        <w:tc>
          <w:tcPr>
            <w:tcW w:w="288" w:type="pct"/>
            <w:gridSpan w:val="2"/>
            <w:tcBorders>
              <w:top w:val="nil"/>
              <w:left w:val="nil"/>
              <w:bottom w:val="nil"/>
              <w:right w:val="nil"/>
            </w:tcBorders>
            <w:vAlign w:val="center"/>
            <w:hideMark/>
          </w:tcPr>
          <w:p w14:paraId="04BD7456"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18.57</w:t>
            </w:r>
          </w:p>
        </w:tc>
      </w:tr>
      <w:tr w:rsidR="00CE5AC4" w:rsidRPr="00AA3FCE" w14:paraId="1844B6C5" w14:textId="77777777" w:rsidTr="00FF46C9">
        <w:trPr>
          <w:trHeight w:val="345"/>
          <w:jc w:val="center"/>
        </w:trPr>
        <w:tc>
          <w:tcPr>
            <w:tcW w:w="386" w:type="pct"/>
            <w:tcBorders>
              <w:top w:val="nil"/>
              <w:left w:val="nil"/>
              <w:bottom w:val="nil"/>
              <w:right w:val="nil"/>
            </w:tcBorders>
            <w:vAlign w:val="center"/>
            <w:hideMark/>
          </w:tcPr>
          <w:p w14:paraId="61AC0711"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9 </w:t>
            </w:r>
          </w:p>
        </w:tc>
        <w:tc>
          <w:tcPr>
            <w:tcW w:w="238" w:type="pct"/>
            <w:tcBorders>
              <w:top w:val="nil"/>
              <w:left w:val="nil"/>
              <w:bottom w:val="nil"/>
              <w:right w:val="nil"/>
            </w:tcBorders>
            <w:vAlign w:val="center"/>
            <w:hideMark/>
          </w:tcPr>
          <w:p w14:paraId="1F980D7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19.67</w:t>
            </w:r>
          </w:p>
        </w:tc>
        <w:tc>
          <w:tcPr>
            <w:tcW w:w="238" w:type="pct"/>
            <w:tcBorders>
              <w:top w:val="nil"/>
              <w:left w:val="nil"/>
              <w:bottom w:val="nil"/>
              <w:right w:val="nil"/>
            </w:tcBorders>
            <w:vAlign w:val="center"/>
            <w:hideMark/>
          </w:tcPr>
          <w:p w14:paraId="274A46F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22.3</w:t>
            </w:r>
          </w:p>
        </w:tc>
        <w:tc>
          <w:tcPr>
            <w:tcW w:w="288" w:type="pct"/>
            <w:tcBorders>
              <w:top w:val="nil"/>
              <w:left w:val="nil"/>
              <w:bottom w:val="nil"/>
              <w:right w:val="nil"/>
            </w:tcBorders>
            <w:vAlign w:val="center"/>
            <w:hideMark/>
          </w:tcPr>
          <w:p w14:paraId="6791EB7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20.98</w:t>
            </w:r>
          </w:p>
        </w:tc>
        <w:tc>
          <w:tcPr>
            <w:tcW w:w="238" w:type="pct"/>
            <w:tcBorders>
              <w:top w:val="nil"/>
              <w:left w:val="nil"/>
              <w:bottom w:val="nil"/>
              <w:right w:val="nil"/>
            </w:tcBorders>
            <w:vAlign w:val="center"/>
            <w:hideMark/>
          </w:tcPr>
          <w:p w14:paraId="64031DB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3.93</w:t>
            </w:r>
          </w:p>
        </w:tc>
        <w:tc>
          <w:tcPr>
            <w:tcW w:w="238" w:type="pct"/>
            <w:tcBorders>
              <w:top w:val="nil"/>
              <w:left w:val="nil"/>
              <w:bottom w:val="nil"/>
              <w:right w:val="nil"/>
            </w:tcBorders>
            <w:vAlign w:val="center"/>
            <w:hideMark/>
          </w:tcPr>
          <w:p w14:paraId="66985F2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4.1</w:t>
            </w:r>
          </w:p>
        </w:tc>
        <w:tc>
          <w:tcPr>
            <w:tcW w:w="288" w:type="pct"/>
            <w:tcBorders>
              <w:top w:val="nil"/>
              <w:left w:val="nil"/>
              <w:bottom w:val="nil"/>
              <w:right w:val="nil"/>
            </w:tcBorders>
            <w:vAlign w:val="center"/>
            <w:hideMark/>
          </w:tcPr>
          <w:p w14:paraId="7E88562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4.02</w:t>
            </w:r>
          </w:p>
        </w:tc>
        <w:tc>
          <w:tcPr>
            <w:tcW w:w="238" w:type="pct"/>
            <w:tcBorders>
              <w:top w:val="nil"/>
              <w:left w:val="nil"/>
              <w:bottom w:val="nil"/>
              <w:right w:val="nil"/>
            </w:tcBorders>
            <w:vAlign w:val="center"/>
            <w:hideMark/>
          </w:tcPr>
          <w:p w14:paraId="4F5E0C54"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0.69</w:t>
            </w:r>
          </w:p>
        </w:tc>
        <w:tc>
          <w:tcPr>
            <w:tcW w:w="238" w:type="pct"/>
            <w:tcBorders>
              <w:top w:val="nil"/>
              <w:left w:val="nil"/>
              <w:bottom w:val="nil"/>
              <w:right w:val="nil"/>
            </w:tcBorders>
            <w:vAlign w:val="center"/>
            <w:hideMark/>
          </w:tcPr>
          <w:p w14:paraId="660BDD96"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88" w:type="pct"/>
            <w:tcBorders>
              <w:top w:val="nil"/>
              <w:left w:val="nil"/>
              <w:bottom w:val="nil"/>
              <w:right w:val="nil"/>
            </w:tcBorders>
            <w:vAlign w:val="center"/>
            <w:hideMark/>
          </w:tcPr>
          <w:p w14:paraId="7040B2FC"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0.68</w:t>
            </w:r>
          </w:p>
        </w:tc>
        <w:tc>
          <w:tcPr>
            <w:tcW w:w="238" w:type="pct"/>
            <w:tcBorders>
              <w:top w:val="nil"/>
              <w:left w:val="nil"/>
              <w:bottom w:val="nil"/>
              <w:right w:val="nil"/>
            </w:tcBorders>
            <w:vAlign w:val="center"/>
            <w:hideMark/>
          </w:tcPr>
          <w:p w14:paraId="7D1F522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3.68</w:t>
            </w:r>
          </w:p>
        </w:tc>
        <w:tc>
          <w:tcPr>
            <w:tcW w:w="238" w:type="pct"/>
            <w:tcBorders>
              <w:top w:val="nil"/>
              <w:left w:val="nil"/>
              <w:bottom w:val="nil"/>
              <w:right w:val="nil"/>
            </w:tcBorders>
            <w:vAlign w:val="center"/>
            <w:hideMark/>
          </w:tcPr>
          <w:p w14:paraId="35A0601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3.44</w:t>
            </w:r>
          </w:p>
        </w:tc>
        <w:tc>
          <w:tcPr>
            <w:tcW w:w="288" w:type="pct"/>
            <w:tcBorders>
              <w:top w:val="nil"/>
              <w:left w:val="nil"/>
              <w:bottom w:val="nil"/>
              <w:right w:val="nil"/>
            </w:tcBorders>
            <w:vAlign w:val="center"/>
            <w:hideMark/>
          </w:tcPr>
          <w:p w14:paraId="649320CE"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3.56</w:t>
            </w:r>
          </w:p>
        </w:tc>
        <w:tc>
          <w:tcPr>
            <w:tcW w:w="238" w:type="pct"/>
            <w:tcBorders>
              <w:top w:val="nil"/>
              <w:left w:val="nil"/>
              <w:bottom w:val="nil"/>
              <w:right w:val="nil"/>
            </w:tcBorders>
            <w:vAlign w:val="center"/>
            <w:hideMark/>
          </w:tcPr>
          <w:p w14:paraId="7B5E5F7D"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202.7</w:t>
            </w:r>
          </w:p>
        </w:tc>
        <w:tc>
          <w:tcPr>
            <w:tcW w:w="270" w:type="pct"/>
            <w:tcBorders>
              <w:top w:val="nil"/>
              <w:left w:val="nil"/>
              <w:bottom w:val="nil"/>
              <w:right w:val="nil"/>
            </w:tcBorders>
            <w:vAlign w:val="center"/>
            <w:hideMark/>
          </w:tcPr>
          <w:p w14:paraId="6E824AC0"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210</w:t>
            </w:r>
          </w:p>
        </w:tc>
        <w:tc>
          <w:tcPr>
            <w:tcW w:w="288" w:type="pct"/>
            <w:tcBorders>
              <w:top w:val="nil"/>
              <w:left w:val="nil"/>
              <w:bottom w:val="nil"/>
              <w:right w:val="nil"/>
            </w:tcBorders>
            <w:vAlign w:val="center"/>
            <w:hideMark/>
          </w:tcPr>
          <w:p w14:paraId="177A89D5"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206.3</w:t>
            </w:r>
          </w:p>
        </w:tc>
        <w:tc>
          <w:tcPr>
            <w:tcW w:w="238" w:type="pct"/>
            <w:tcBorders>
              <w:top w:val="nil"/>
              <w:left w:val="nil"/>
              <w:bottom w:val="nil"/>
              <w:right w:val="nil"/>
            </w:tcBorders>
            <w:vAlign w:val="center"/>
            <w:hideMark/>
          </w:tcPr>
          <w:p w14:paraId="5306816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20.41</w:t>
            </w:r>
          </w:p>
        </w:tc>
        <w:tc>
          <w:tcPr>
            <w:tcW w:w="238" w:type="pct"/>
            <w:tcBorders>
              <w:top w:val="nil"/>
              <w:left w:val="nil"/>
              <w:bottom w:val="nil"/>
              <w:right w:val="nil"/>
            </w:tcBorders>
            <w:vAlign w:val="center"/>
            <w:hideMark/>
          </w:tcPr>
          <w:p w14:paraId="3B9E274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20.2</w:t>
            </w:r>
          </w:p>
        </w:tc>
        <w:tc>
          <w:tcPr>
            <w:tcW w:w="288" w:type="pct"/>
            <w:gridSpan w:val="2"/>
            <w:tcBorders>
              <w:top w:val="nil"/>
              <w:left w:val="nil"/>
              <w:bottom w:val="nil"/>
              <w:right w:val="nil"/>
            </w:tcBorders>
            <w:vAlign w:val="center"/>
            <w:hideMark/>
          </w:tcPr>
          <w:p w14:paraId="3D559BBF"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20.31</w:t>
            </w:r>
          </w:p>
        </w:tc>
      </w:tr>
      <w:tr w:rsidR="00CE5AC4" w:rsidRPr="00AA3FCE" w14:paraId="2BDA9D87" w14:textId="77777777" w:rsidTr="00FF46C9">
        <w:trPr>
          <w:trHeight w:val="345"/>
          <w:jc w:val="center"/>
        </w:trPr>
        <w:tc>
          <w:tcPr>
            <w:tcW w:w="386" w:type="pct"/>
            <w:tcBorders>
              <w:top w:val="nil"/>
              <w:left w:val="nil"/>
              <w:bottom w:val="nil"/>
              <w:right w:val="nil"/>
            </w:tcBorders>
            <w:vAlign w:val="center"/>
            <w:hideMark/>
          </w:tcPr>
          <w:p w14:paraId="1F2468E1"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10 </w:t>
            </w:r>
          </w:p>
        </w:tc>
        <w:tc>
          <w:tcPr>
            <w:tcW w:w="238" w:type="pct"/>
            <w:tcBorders>
              <w:top w:val="nil"/>
              <w:left w:val="nil"/>
              <w:bottom w:val="nil"/>
              <w:right w:val="nil"/>
            </w:tcBorders>
            <w:vAlign w:val="center"/>
            <w:hideMark/>
          </w:tcPr>
          <w:p w14:paraId="52D833E3"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21.63</w:t>
            </w:r>
          </w:p>
        </w:tc>
        <w:tc>
          <w:tcPr>
            <w:tcW w:w="238" w:type="pct"/>
            <w:tcBorders>
              <w:top w:val="nil"/>
              <w:left w:val="nil"/>
              <w:bottom w:val="nil"/>
              <w:right w:val="nil"/>
            </w:tcBorders>
            <w:vAlign w:val="center"/>
            <w:hideMark/>
          </w:tcPr>
          <w:p w14:paraId="4B4B757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22.64</w:t>
            </w:r>
          </w:p>
        </w:tc>
        <w:tc>
          <w:tcPr>
            <w:tcW w:w="288" w:type="pct"/>
            <w:tcBorders>
              <w:top w:val="nil"/>
              <w:left w:val="nil"/>
              <w:bottom w:val="nil"/>
              <w:right w:val="nil"/>
            </w:tcBorders>
            <w:vAlign w:val="center"/>
            <w:hideMark/>
          </w:tcPr>
          <w:p w14:paraId="28E7171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22.14</w:t>
            </w:r>
          </w:p>
        </w:tc>
        <w:tc>
          <w:tcPr>
            <w:tcW w:w="238" w:type="pct"/>
            <w:tcBorders>
              <w:top w:val="nil"/>
              <w:left w:val="nil"/>
              <w:bottom w:val="nil"/>
              <w:right w:val="nil"/>
            </w:tcBorders>
            <w:vAlign w:val="center"/>
            <w:hideMark/>
          </w:tcPr>
          <w:p w14:paraId="446D058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3.44</w:t>
            </w:r>
          </w:p>
        </w:tc>
        <w:tc>
          <w:tcPr>
            <w:tcW w:w="238" w:type="pct"/>
            <w:tcBorders>
              <w:top w:val="nil"/>
              <w:left w:val="nil"/>
              <w:bottom w:val="nil"/>
              <w:right w:val="nil"/>
            </w:tcBorders>
            <w:vAlign w:val="center"/>
            <w:hideMark/>
          </w:tcPr>
          <w:p w14:paraId="2578D1E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w:t>
            </w:r>
          </w:p>
        </w:tc>
        <w:tc>
          <w:tcPr>
            <w:tcW w:w="288" w:type="pct"/>
            <w:tcBorders>
              <w:top w:val="nil"/>
              <w:left w:val="nil"/>
              <w:bottom w:val="nil"/>
              <w:right w:val="nil"/>
            </w:tcBorders>
            <w:vAlign w:val="center"/>
            <w:hideMark/>
          </w:tcPr>
          <w:p w14:paraId="271A1D15"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3.62</w:t>
            </w:r>
          </w:p>
        </w:tc>
        <w:tc>
          <w:tcPr>
            <w:tcW w:w="238" w:type="pct"/>
            <w:tcBorders>
              <w:top w:val="nil"/>
              <w:left w:val="nil"/>
              <w:bottom w:val="nil"/>
              <w:right w:val="nil"/>
            </w:tcBorders>
            <w:vAlign w:val="center"/>
            <w:hideMark/>
          </w:tcPr>
          <w:p w14:paraId="2FDA7A02"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38" w:type="pct"/>
            <w:tcBorders>
              <w:top w:val="nil"/>
              <w:left w:val="nil"/>
              <w:bottom w:val="nil"/>
              <w:right w:val="nil"/>
            </w:tcBorders>
            <w:vAlign w:val="center"/>
            <w:hideMark/>
          </w:tcPr>
          <w:p w14:paraId="6B876E39"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nil"/>
              <w:left w:val="nil"/>
              <w:bottom w:val="nil"/>
              <w:right w:val="nil"/>
            </w:tcBorders>
            <w:vAlign w:val="center"/>
            <w:hideMark/>
          </w:tcPr>
          <w:p w14:paraId="459C7632"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0.68</w:t>
            </w:r>
          </w:p>
        </w:tc>
        <w:tc>
          <w:tcPr>
            <w:tcW w:w="238" w:type="pct"/>
            <w:tcBorders>
              <w:top w:val="nil"/>
              <w:left w:val="nil"/>
              <w:bottom w:val="nil"/>
              <w:right w:val="nil"/>
            </w:tcBorders>
            <w:vAlign w:val="center"/>
            <w:hideMark/>
          </w:tcPr>
          <w:p w14:paraId="1E6F2ED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3.36</w:t>
            </w:r>
          </w:p>
        </w:tc>
        <w:tc>
          <w:tcPr>
            <w:tcW w:w="238" w:type="pct"/>
            <w:tcBorders>
              <w:top w:val="nil"/>
              <w:left w:val="nil"/>
              <w:bottom w:val="nil"/>
              <w:right w:val="nil"/>
            </w:tcBorders>
            <w:vAlign w:val="center"/>
            <w:hideMark/>
          </w:tcPr>
          <w:p w14:paraId="2A63A27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3.3</w:t>
            </w:r>
          </w:p>
        </w:tc>
        <w:tc>
          <w:tcPr>
            <w:tcW w:w="288" w:type="pct"/>
            <w:tcBorders>
              <w:top w:val="nil"/>
              <w:left w:val="nil"/>
              <w:bottom w:val="nil"/>
              <w:right w:val="nil"/>
            </w:tcBorders>
            <w:vAlign w:val="center"/>
            <w:hideMark/>
          </w:tcPr>
          <w:p w14:paraId="4B5BFB28"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3.33</w:t>
            </w:r>
          </w:p>
        </w:tc>
        <w:tc>
          <w:tcPr>
            <w:tcW w:w="238" w:type="pct"/>
            <w:tcBorders>
              <w:top w:val="nil"/>
              <w:left w:val="nil"/>
              <w:bottom w:val="nil"/>
              <w:right w:val="nil"/>
            </w:tcBorders>
            <w:vAlign w:val="center"/>
            <w:hideMark/>
          </w:tcPr>
          <w:p w14:paraId="22BEFE28"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202</w:t>
            </w:r>
          </w:p>
        </w:tc>
        <w:tc>
          <w:tcPr>
            <w:tcW w:w="270" w:type="pct"/>
            <w:tcBorders>
              <w:top w:val="nil"/>
              <w:left w:val="nil"/>
              <w:bottom w:val="nil"/>
              <w:right w:val="nil"/>
            </w:tcBorders>
            <w:vAlign w:val="center"/>
            <w:hideMark/>
          </w:tcPr>
          <w:p w14:paraId="14290918"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208.7</w:t>
            </w:r>
          </w:p>
        </w:tc>
        <w:tc>
          <w:tcPr>
            <w:tcW w:w="288" w:type="pct"/>
            <w:tcBorders>
              <w:top w:val="nil"/>
              <w:left w:val="nil"/>
              <w:bottom w:val="nil"/>
              <w:right w:val="nil"/>
            </w:tcBorders>
            <w:vAlign w:val="center"/>
            <w:hideMark/>
          </w:tcPr>
          <w:p w14:paraId="054E98EA"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205.3</w:t>
            </w:r>
          </w:p>
        </w:tc>
        <w:tc>
          <w:tcPr>
            <w:tcW w:w="238" w:type="pct"/>
            <w:tcBorders>
              <w:top w:val="nil"/>
              <w:left w:val="nil"/>
              <w:bottom w:val="nil"/>
              <w:right w:val="nil"/>
            </w:tcBorders>
            <w:vAlign w:val="center"/>
            <w:hideMark/>
          </w:tcPr>
          <w:p w14:paraId="334D0F8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18.55</w:t>
            </w:r>
          </w:p>
        </w:tc>
        <w:tc>
          <w:tcPr>
            <w:tcW w:w="238" w:type="pct"/>
            <w:tcBorders>
              <w:top w:val="nil"/>
              <w:left w:val="nil"/>
              <w:bottom w:val="nil"/>
              <w:right w:val="nil"/>
            </w:tcBorders>
            <w:vAlign w:val="center"/>
            <w:hideMark/>
          </w:tcPr>
          <w:p w14:paraId="2E5911D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19.3</w:t>
            </w:r>
          </w:p>
        </w:tc>
        <w:tc>
          <w:tcPr>
            <w:tcW w:w="288" w:type="pct"/>
            <w:gridSpan w:val="2"/>
            <w:tcBorders>
              <w:top w:val="nil"/>
              <w:left w:val="nil"/>
              <w:bottom w:val="nil"/>
              <w:right w:val="nil"/>
            </w:tcBorders>
            <w:vAlign w:val="center"/>
            <w:hideMark/>
          </w:tcPr>
          <w:p w14:paraId="2A0F667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18.93</w:t>
            </w:r>
          </w:p>
        </w:tc>
      </w:tr>
      <w:tr w:rsidR="00CE5AC4" w:rsidRPr="00AA3FCE" w14:paraId="00939DE6" w14:textId="77777777" w:rsidTr="00FF46C9">
        <w:trPr>
          <w:trHeight w:val="345"/>
          <w:jc w:val="center"/>
        </w:trPr>
        <w:tc>
          <w:tcPr>
            <w:tcW w:w="386" w:type="pct"/>
            <w:tcBorders>
              <w:top w:val="nil"/>
              <w:left w:val="nil"/>
              <w:bottom w:val="nil"/>
              <w:right w:val="nil"/>
            </w:tcBorders>
            <w:vAlign w:val="center"/>
            <w:hideMark/>
          </w:tcPr>
          <w:p w14:paraId="7CDA03A7"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11 </w:t>
            </w:r>
          </w:p>
        </w:tc>
        <w:tc>
          <w:tcPr>
            <w:tcW w:w="238" w:type="pct"/>
            <w:tcBorders>
              <w:top w:val="nil"/>
              <w:left w:val="nil"/>
              <w:bottom w:val="nil"/>
              <w:right w:val="nil"/>
            </w:tcBorders>
            <w:vAlign w:val="center"/>
            <w:hideMark/>
          </w:tcPr>
          <w:p w14:paraId="52CB260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20.14</w:t>
            </w:r>
          </w:p>
        </w:tc>
        <w:tc>
          <w:tcPr>
            <w:tcW w:w="238" w:type="pct"/>
            <w:tcBorders>
              <w:top w:val="nil"/>
              <w:left w:val="nil"/>
              <w:bottom w:val="nil"/>
              <w:right w:val="nil"/>
            </w:tcBorders>
            <w:vAlign w:val="center"/>
            <w:hideMark/>
          </w:tcPr>
          <w:p w14:paraId="567F1796"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21.66</w:t>
            </w:r>
          </w:p>
        </w:tc>
        <w:tc>
          <w:tcPr>
            <w:tcW w:w="288" w:type="pct"/>
            <w:tcBorders>
              <w:top w:val="nil"/>
              <w:left w:val="nil"/>
              <w:bottom w:val="nil"/>
              <w:right w:val="nil"/>
            </w:tcBorders>
            <w:vAlign w:val="center"/>
            <w:hideMark/>
          </w:tcPr>
          <w:p w14:paraId="64B8BA0B"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20.9</w:t>
            </w:r>
          </w:p>
        </w:tc>
        <w:tc>
          <w:tcPr>
            <w:tcW w:w="238" w:type="pct"/>
            <w:tcBorders>
              <w:top w:val="nil"/>
              <w:left w:val="nil"/>
              <w:bottom w:val="nil"/>
              <w:right w:val="nil"/>
            </w:tcBorders>
            <w:vAlign w:val="center"/>
            <w:hideMark/>
          </w:tcPr>
          <w:p w14:paraId="1DC62F0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3.89</w:t>
            </w:r>
          </w:p>
        </w:tc>
        <w:tc>
          <w:tcPr>
            <w:tcW w:w="238" w:type="pct"/>
            <w:tcBorders>
              <w:top w:val="nil"/>
              <w:left w:val="nil"/>
              <w:bottom w:val="nil"/>
              <w:right w:val="nil"/>
            </w:tcBorders>
            <w:vAlign w:val="center"/>
            <w:hideMark/>
          </w:tcPr>
          <w:p w14:paraId="57081DF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3.66</w:t>
            </w:r>
          </w:p>
        </w:tc>
        <w:tc>
          <w:tcPr>
            <w:tcW w:w="288" w:type="pct"/>
            <w:tcBorders>
              <w:top w:val="nil"/>
              <w:left w:val="nil"/>
              <w:bottom w:val="nil"/>
              <w:right w:val="nil"/>
            </w:tcBorders>
            <w:vAlign w:val="center"/>
            <w:hideMark/>
          </w:tcPr>
          <w:p w14:paraId="6D72DD41"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3.78</w:t>
            </w:r>
          </w:p>
        </w:tc>
        <w:tc>
          <w:tcPr>
            <w:tcW w:w="238" w:type="pct"/>
            <w:tcBorders>
              <w:top w:val="nil"/>
              <w:left w:val="nil"/>
              <w:bottom w:val="nil"/>
              <w:right w:val="nil"/>
            </w:tcBorders>
            <w:vAlign w:val="center"/>
            <w:hideMark/>
          </w:tcPr>
          <w:p w14:paraId="6A9EF3DB"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0.69</w:t>
            </w:r>
          </w:p>
        </w:tc>
        <w:tc>
          <w:tcPr>
            <w:tcW w:w="238" w:type="pct"/>
            <w:tcBorders>
              <w:top w:val="nil"/>
              <w:left w:val="nil"/>
              <w:bottom w:val="nil"/>
              <w:right w:val="nil"/>
            </w:tcBorders>
            <w:vAlign w:val="center"/>
            <w:hideMark/>
          </w:tcPr>
          <w:p w14:paraId="6EFE1277"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nil"/>
              <w:left w:val="nil"/>
              <w:bottom w:val="nil"/>
              <w:right w:val="nil"/>
            </w:tcBorders>
            <w:vAlign w:val="center"/>
            <w:hideMark/>
          </w:tcPr>
          <w:p w14:paraId="24174D6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0.68</w:t>
            </w:r>
          </w:p>
        </w:tc>
        <w:tc>
          <w:tcPr>
            <w:tcW w:w="238" w:type="pct"/>
            <w:tcBorders>
              <w:top w:val="nil"/>
              <w:left w:val="nil"/>
              <w:bottom w:val="nil"/>
              <w:right w:val="nil"/>
            </w:tcBorders>
            <w:vAlign w:val="center"/>
            <w:hideMark/>
          </w:tcPr>
          <w:p w14:paraId="2D003651"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3.71</w:t>
            </w:r>
          </w:p>
        </w:tc>
        <w:tc>
          <w:tcPr>
            <w:tcW w:w="238" w:type="pct"/>
            <w:tcBorders>
              <w:top w:val="nil"/>
              <w:left w:val="nil"/>
              <w:bottom w:val="nil"/>
              <w:right w:val="nil"/>
            </w:tcBorders>
            <w:vAlign w:val="center"/>
            <w:hideMark/>
          </w:tcPr>
          <w:p w14:paraId="7C307E1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3.45</w:t>
            </w:r>
          </w:p>
        </w:tc>
        <w:tc>
          <w:tcPr>
            <w:tcW w:w="288" w:type="pct"/>
            <w:tcBorders>
              <w:top w:val="nil"/>
              <w:left w:val="nil"/>
              <w:bottom w:val="nil"/>
              <w:right w:val="nil"/>
            </w:tcBorders>
            <w:vAlign w:val="center"/>
            <w:hideMark/>
          </w:tcPr>
          <w:p w14:paraId="6B6323AE"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3.58</w:t>
            </w:r>
          </w:p>
        </w:tc>
        <w:tc>
          <w:tcPr>
            <w:tcW w:w="238" w:type="pct"/>
            <w:tcBorders>
              <w:top w:val="nil"/>
              <w:left w:val="nil"/>
              <w:bottom w:val="nil"/>
              <w:right w:val="nil"/>
            </w:tcBorders>
            <w:vAlign w:val="center"/>
            <w:hideMark/>
          </w:tcPr>
          <w:p w14:paraId="555CC1D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202</w:t>
            </w:r>
          </w:p>
        </w:tc>
        <w:tc>
          <w:tcPr>
            <w:tcW w:w="270" w:type="pct"/>
            <w:tcBorders>
              <w:top w:val="nil"/>
              <w:left w:val="nil"/>
              <w:bottom w:val="nil"/>
              <w:right w:val="nil"/>
            </w:tcBorders>
            <w:vAlign w:val="center"/>
            <w:hideMark/>
          </w:tcPr>
          <w:p w14:paraId="628664F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210</w:t>
            </w:r>
          </w:p>
        </w:tc>
        <w:tc>
          <w:tcPr>
            <w:tcW w:w="288" w:type="pct"/>
            <w:tcBorders>
              <w:top w:val="nil"/>
              <w:left w:val="nil"/>
              <w:bottom w:val="nil"/>
              <w:right w:val="nil"/>
            </w:tcBorders>
            <w:vAlign w:val="center"/>
            <w:hideMark/>
          </w:tcPr>
          <w:p w14:paraId="58DD746F"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206</w:t>
            </w:r>
          </w:p>
        </w:tc>
        <w:tc>
          <w:tcPr>
            <w:tcW w:w="238" w:type="pct"/>
            <w:tcBorders>
              <w:top w:val="nil"/>
              <w:left w:val="nil"/>
              <w:bottom w:val="nil"/>
              <w:right w:val="nil"/>
            </w:tcBorders>
            <w:vAlign w:val="center"/>
            <w:hideMark/>
          </w:tcPr>
          <w:p w14:paraId="42C8B27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19.53</w:t>
            </w:r>
          </w:p>
        </w:tc>
        <w:tc>
          <w:tcPr>
            <w:tcW w:w="238" w:type="pct"/>
            <w:tcBorders>
              <w:top w:val="nil"/>
              <w:left w:val="nil"/>
              <w:bottom w:val="nil"/>
              <w:right w:val="nil"/>
            </w:tcBorders>
            <w:vAlign w:val="center"/>
            <w:hideMark/>
          </w:tcPr>
          <w:p w14:paraId="28729D6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20.12</w:t>
            </w:r>
          </w:p>
        </w:tc>
        <w:tc>
          <w:tcPr>
            <w:tcW w:w="288" w:type="pct"/>
            <w:gridSpan w:val="2"/>
            <w:tcBorders>
              <w:top w:val="nil"/>
              <w:left w:val="nil"/>
              <w:bottom w:val="nil"/>
              <w:right w:val="nil"/>
            </w:tcBorders>
            <w:vAlign w:val="center"/>
            <w:hideMark/>
          </w:tcPr>
          <w:p w14:paraId="500C3D2C"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19.82</w:t>
            </w:r>
          </w:p>
        </w:tc>
      </w:tr>
      <w:tr w:rsidR="00CE5AC4" w:rsidRPr="00AA3FCE" w14:paraId="4588DB9A" w14:textId="77777777" w:rsidTr="00FF46C9">
        <w:trPr>
          <w:trHeight w:val="345"/>
          <w:jc w:val="center"/>
        </w:trPr>
        <w:tc>
          <w:tcPr>
            <w:tcW w:w="386" w:type="pct"/>
            <w:tcBorders>
              <w:top w:val="nil"/>
              <w:left w:val="nil"/>
              <w:bottom w:val="nil"/>
              <w:right w:val="nil"/>
            </w:tcBorders>
            <w:vAlign w:val="center"/>
            <w:hideMark/>
          </w:tcPr>
          <w:p w14:paraId="3A1D3D06"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12</w:t>
            </w:r>
            <w:r w:rsidRPr="00AA3FCE">
              <w:rPr>
                <w:rFonts w:ascii="Arial" w:hAnsi="Arial" w:cs="Arial"/>
                <w:b/>
                <w:bCs/>
                <w:color w:val="000000"/>
                <w:lang w:eastAsia="en-IN"/>
              </w:rPr>
              <w:t xml:space="preserve"> </w:t>
            </w:r>
          </w:p>
        </w:tc>
        <w:tc>
          <w:tcPr>
            <w:tcW w:w="238" w:type="pct"/>
            <w:tcBorders>
              <w:top w:val="nil"/>
              <w:left w:val="nil"/>
              <w:bottom w:val="nil"/>
              <w:right w:val="nil"/>
            </w:tcBorders>
            <w:vAlign w:val="center"/>
            <w:hideMark/>
          </w:tcPr>
          <w:p w14:paraId="0EBAD91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18.47</w:t>
            </w:r>
          </w:p>
        </w:tc>
        <w:tc>
          <w:tcPr>
            <w:tcW w:w="238" w:type="pct"/>
            <w:tcBorders>
              <w:top w:val="nil"/>
              <w:left w:val="nil"/>
              <w:bottom w:val="nil"/>
              <w:right w:val="nil"/>
            </w:tcBorders>
            <w:vAlign w:val="center"/>
            <w:hideMark/>
          </w:tcPr>
          <w:p w14:paraId="3125FD8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19.72</w:t>
            </w:r>
          </w:p>
        </w:tc>
        <w:tc>
          <w:tcPr>
            <w:tcW w:w="288" w:type="pct"/>
            <w:tcBorders>
              <w:top w:val="nil"/>
              <w:left w:val="nil"/>
              <w:bottom w:val="nil"/>
              <w:right w:val="nil"/>
            </w:tcBorders>
            <w:vAlign w:val="center"/>
            <w:hideMark/>
          </w:tcPr>
          <w:p w14:paraId="197AE44E"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19.1</w:t>
            </w:r>
          </w:p>
        </w:tc>
        <w:tc>
          <w:tcPr>
            <w:tcW w:w="238" w:type="pct"/>
            <w:tcBorders>
              <w:top w:val="nil"/>
              <w:left w:val="nil"/>
              <w:bottom w:val="nil"/>
              <w:right w:val="nil"/>
            </w:tcBorders>
            <w:vAlign w:val="center"/>
            <w:hideMark/>
          </w:tcPr>
          <w:p w14:paraId="1A953EC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3.35</w:t>
            </w:r>
          </w:p>
        </w:tc>
        <w:tc>
          <w:tcPr>
            <w:tcW w:w="238" w:type="pct"/>
            <w:tcBorders>
              <w:top w:val="nil"/>
              <w:left w:val="nil"/>
              <w:bottom w:val="nil"/>
              <w:right w:val="nil"/>
            </w:tcBorders>
            <w:vAlign w:val="center"/>
            <w:hideMark/>
          </w:tcPr>
          <w:p w14:paraId="6A964C3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w:t>
            </w:r>
          </w:p>
        </w:tc>
        <w:tc>
          <w:tcPr>
            <w:tcW w:w="288" w:type="pct"/>
            <w:tcBorders>
              <w:top w:val="nil"/>
              <w:left w:val="nil"/>
              <w:bottom w:val="nil"/>
              <w:right w:val="nil"/>
            </w:tcBorders>
            <w:vAlign w:val="center"/>
            <w:hideMark/>
          </w:tcPr>
          <w:p w14:paraId="22F66705"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3.68</w:t>
            </w:r>
          </w:p>
        </w:tc>
        <w:tc>
          <w:tcPr>
            <w:tcW w:w="238" w:type="pct"/>
            <w:tcBorders>
              <w:top w:val="nil"/>
              <w:left w:val="nil"/>
              <w:bottom w:val="nil"/>
              <w:right w:val="nil"/>
            </w:tcBorders>
            <w:vAlign w:val="center"/>
            <w:hideMark/>
          </w:tcPr>
          <w:p w14:paraId="61DAF585"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38" w:type="pct"/>
            <w:tcBorders>
              <w:top w:val="nil"/>
              <w:left w:val="nil"/>
              <w:bottom w:val="nil"/>
              <w:right w:val="nil"/>
            </w:tcBorders>
            <w:vAlign w:val="center"/>
            <w:hideMark/>
          </w:tcPr>
          <w:p w14:paraId="2809CCD4"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nil"/>
              <w:left w:val="nil"/>
              <w:bottom w:val="nil"/>
              <w:right w:val="nil"/>
            </w:tcBorders>
            <w:vAlign w:val="center"/>
            <w:hideMark/>
          </w:tcPr>
          <w:p w14:paraId="1B03AED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0.67</w:t>
            </w:r>
          </w:p>
        </w:tc>
        <w:tc>
          <w:tcPr>
            <w:tcW w:w="238" w:type="pct"/>
            <w:tcBorders>
              <w:top w:val="nil"/>
              <w:left w:val="nil"/>
              <w:bottom w:val="nil"/>
              <w:right w:val="nil"/>
            </w:tcBorders>
            <w:vAlign w:val="center"/>
            <w:hideMark/>
          </w:tcPr>
          <w:p w14:paraId="775849E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3.72</w:t>
            </w:r>
          </w:p>
        </w:tc>
        <w:tc>
          <w:tcPr>
            <w:tcW w:w="238" w:type="pct"/>
            <w:tcBorders>
              <w:top w:val="nil"/>
              <w:left w:val="nil"/>
              <w:bottom w:val="nil"/>
              <w:right w:val="nil"/>
            </w:tcBorders>
            <w:vAlign w:val="center"/>
            <w:hideMark/>
          </w:tcPr>
          <w:p w14:paraId="1118C35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3.68</w:t>
            </w:r>
          </w:p>
        </w:tc>
        <w:tc>
          <w:tcPr>
            <w:tcW w:w="288" w:type="pct"/>
            <w:tcBorders>
              <w:top w:val="nil"/>
              <w:left w:val="nil"/>
              <w:bottom w:val="nil"/>
              <w:right w:val="nil"/>
            </w:tcBorders>
            <w:vAlign w:val="center"/>
            <w:hideMark/>
          </w:tcPr>
          <w:p w14:paraId="7E09D982"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3.7</w:t>
            </w:r>
          </w:p>
        </w:tc>
        <w:tc>
          <w:tcPr>
            <w:tcW w:w="238" w:type="pct"/>
            <w:tcBorders>
              <w:top w:val="nil"/>
              <w:left w:val="nil"/>
              <w:bottom w:val="nil"/>
              <w:right w:val="nil"/>
            </w:tcBorders>
            <w:vAlign w:val="center"/>
            <w:hideMark/>
          </w:tcPr>
          <w:p w14:paraId="5AEA3D52"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201.3</w:t>
            </w:r>
          </w:p>
        </w:tc>
        <w:tc>
          <w:tcPr>
            <w:tcW w:w="270" w:type="pct"/>
            <w:tcBorders>
              <w:top w:val="nil"/>
              <w:left w:val="nil"/>
              <w:bottom w:val="nil"/>
              <w:right w:val="nil"/>
            </w:tcBorders>
            <w:vAlign w:val="center"/>
            <w:hideMark/>
          </w:tcPr>
          <w:p w14:paraId="673F5E9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207</w:t>
            </w:r>
          </w:p>
        </w:tc>
        <w:tc>
          <w:tcPr>
            <w:tcW w:w="288" w:type="pct"/>
            <w:tcBorders>
              <w:top w:val="nil"/>
              <w:left w:val="nil"/>
              <w:bottom w:val="nil"/>
              <w:right w:val="nil"/>
            </w:tcBorders>
            <w:vAlign w:val="center"/>
            <w:hideMark/>
          </w:tcPr>
          <w:p w14:paraId="051D6F20"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204.2</w:t>
            </w:r>
          </w:p>
        </w:tc>
        <w:tc>
          <w:tcPr>
            <w:tcW w:w="238" w:type="pct"/>
            <w:tcBorders>
              <w:top w:val="nil"/>
              <w:left w:val="nil"/>
              <w:bottom w:val="nil"/>
              <w:right w:val="nil"/>
            </w:tcBorders>
            <w:vAlign w:val="center"/>
            <w:hideMark/>
          </w:tcPr>
          <w:p w14:paraId="553CDA0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18.12</w:t>
            </w:r>
          </w:p>
        </w:tc>
        <w:tc>
          <w:tcPr>
            <w:tcW w:w="238" w:type="pct"/>
            <w:tcBorders>
              <w:top w:val="nil"/>
              <w:left w:val="nil"/>
              <w:bottom w:val="nil"/>
              <w:right w:val="nil"/>
            </w:tcBorders>
            <w:vAlign w:val="center"/>
            <w:hideMark/>
          </w:tcPr>
          <w:p w14:paraId="1A85B36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18.49</w:t>
            </w:r>
          </w:p>
        </w:tc>
        <w:tc>
          <w:tcPr>
            <w:tcW w:w="288" w:type="pct"/>
            <w:gridSpan w:val="2"/>
            <w:tcBorders>
              <w:top w:val="nil"/>
              <w:left w:val="nil"/>
              <w:bottom w:val="nil"/>
              <w:right w:val="nil"/>
            </w:tcBorders>
            <w:vAlign w:val="center"/>
            <w:hideMark/>
          </w:tcPr>
          <w:p w14:paraId="16408DB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18.31</w:t>
            </w:r>
          </w:p>
        </w:tc>
      </w:tr>
      <w:tr w:rsidR="00CE5AC4" w:rsidRPr="00AA3FCE" w14:paraId="5071054A" w14:textId="77777777" w:rsidTr="00FF46C9">
        <w:trPr>
          <w:trHeight w:val="615"/>
          <w:jc w:val="center"/>
        </w:trPr>
        <w:tc>
          <w:tcPr>
            <w:tcW w:w="386" w:type="pct"/>
            <w:tcBorders>
              <w:top w:val="nil"/>
              <w:left w:val="nil"/>
              <w:bottom w:val="single" w:sz="8" w:space="0" w:color="auto"/>
              <w:right w:val="nil"/>
            </w:tcBorders>
            <w:vAlign w:val="center"/>
            <w:hideMark/>
          </w:tcPr>
          <w:p w14:paraId="2E5D790A"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13 </w:t>
            </w:r>
            <w:r w:rsidRPr="00AA3FCE">
              <w:rPr>
                <w:rFonts w:ascii="Arial" w:hAnsi="Arial" w:cs="Arial"/>
                <w:b/>
                <w:bCs/>
                <w:color w:val="000000"/>
                <w:lang w:eastAsia="en-IN"/>
              </w:rPr>
              <w:t>(Control)</w:t>
            </w:r>
          </w:p>
        </w:tc>
        <w:tc>
          <w:tcPr>
            <w:tcW w:w="238" w:type="pct"/>
            <w:tcBorders>
              <w:top w:val="nil"/>
              <w:left w:val="nil"/>
              <w:bottom w:val="single" w:sz="8" w:space="0" w:color="auto"/>
              <w:right w:val="nil"/>
            </w:tcBorders>
            <w:vAlign w:val="center"/>
            <w:hideMark/>
          </w:tcPr>
          <w:p w14:paraId="52F9432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18.63</w:t>
            </w:r>
          </w:p>
        </w:tc>
        <w:tc>
          <w:tcPr>
            <w:tcW w:w="238" w:type="pct"/>
            <w:tcBorders>
              <w:top w:val="nil"/>
              <w:left w:val="nil"/>
              <w:bottom w:val="single" w:sz="8" w:space="0" w:color="auto"/>
              <w:right w:val="nil"/>
            </w:tcBorders>
            <w:vAlign w:val="center"/>
            <w:hideMark/>
          </w:tcPr>
          <w:p w14:paraId="3F923D2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18.39</w:t>
            </w:r>
          </w:p>
        </w:tc>
        <w:tc>
          <w:tcPr>
            <w:tcW w:w="288" w:type="pct"/>
            <w:tcBorders>
              <w:top w:val="nil"/>
              <w:left w:val="nil"/>
              <w:bottom w:val="single" w:sz="8" w:space="0" w:color="auto"/>
              <w:right w:val="nil"/>
            </w:tcBorders>
            <w:vAlign w:val="center"/>
            <w:hideMark/>
          </w:tcPr>
          <w:p w14:paraId="6841096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18.51</w:t>
            </w:r>
          </w:p>
        </w:tc>
        <w:tc>
          <w:tcPr>
            <w:tcW w:w="238" w:type="pct"/>
            <w:tcBorders>
              <w:top w:val="nil"/>
              <w:left w:val="nil"/>
              <w:bottom w:val="single" w:sz="8" w:space="0" w:color="auto"/>
              <w:right w:val="nil"/>
            </w:tcBorders>
            <w:vAlign w:val="center"/>
            <w:hideMark/>
          </w:tcPr>
          <w:p w14:paraId="2211FD5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2.59</w:t>
            </w:r>
          </w:p>
        </w:tc>
        <w:tc>
          <w:tcPr>
            <w:tcW w:w="238" w:type="pct"/>
            <w:tcBorders>
              <w:top w:val="nil"/>
              <w:left w:val="nil"/>
              <w:bottom w:val="single" w:sz="8" w:space="0" w:color="auto"/>
              <w:right w:val="nil"/>
            </w:tcBorders>
            <w:vAlign w:val="center"/>
            <w:hideMark/>
          </w:tcPr>
          <w:p w14:paraId="273105C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3.26</w:t>
            </w:r>
          </w:p>
        </w:tc>
        <w:tc>
          <w:tcPr>
            <w:tcW w:w="288" w:type="pct"/>
            <w:tcBorders>
              <w:top w:val="nil"/>
              <w:left w:val="nil"/>
              <w:bottom w:val="single" w:sz="8" w:space="0" w:color="auto"/>
              <w:right w:val="nil"/>
            </w:tcBorders>
            <w:vAlign w:val="center"/>
            <w:hideMark/>
          </w:tcPr>
          <w:p w14:paraId="1EB7002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2.93</w:t>
            </w:r>
          </w:p>
        </w:tc>
        <w:tc>
          <w:tcPr>
            <w:tcW w:w="238" w:type="pct"/>
            <w:tcBorders>
              <w:top w:val="nil"/>
              <w:left w:val="nil"/>
              <w:bottom w:val="single" w:sz="8" w:space="0" w:color="auto"/>
              <w:right w:val="nil"/>
            </w:tcBorders>
            <w:vAlign w:val="center"/>
            <w:hideMark/>
          </w:tcPr>
          <w:p w14:paraId="6D8DAABD"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0.66</w:t>
            </w:r>
          </w:p>
        </w:tc>
        <w:tc>
          <w:tcPr>
            <w:tcW w:w="238" w:type="pct"/>
            <w:tcBorders>
              <w:top w:val="nil"/>
              <w:left w:val="nil"/>
              <w:bottom w:val="single" w:sz="8" w:space="0" w:color="auto"/>
              <w:right w:val="nil"/>
            </w:tcBorders>
            <w:vAlign w:val="center"/>
            <w:hideMark/>
          </w:tcPr>
          <w:p w14:paraId="6EDBF4F1"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0.56</w:t>
            </w:r>
          </w:p>
        </w:tc>
        <w:tc>
          <w:tcPr>
            <w:tcW w:w="288" w:type="pct"/>
            <w:tcBorders>
              <w:top w:val="nil"/>
              <w:left w:val="nil"/>
              <w:bottom w:val="single" w:sz="8" w:space="0" w:color="auto"/>
              <w:right w:val="nil"/>
            </w:tcBorders>
            <w:vAlign w:val="center"/>
            <w:hideMark/>
          </w:tcPr>
          <w:p w14:paraId="0750AB2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0.61</w:t>
            </w:r>
          </w:p>
        </w:tc>
        <w:tc>
          <w:tcPr>
            <w:tcW w:w="238" w:type="pct"/>
            <w:tcBorders>
              <w:top w:val="nil"/>
              <w:left w:val="nil"/>
              <w:bottom w:val="single" w:sz="8" w:space="0" w:color="auto"/>
              <w:right w:val="nil"/>
            </w:tcBorders>
            <w:vAlign w:val="center"/>
            <w:hideMark/>
          </w:tcPr>
          <w:p w14:paraId="3CC1C1E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3.82</w:t>
            </w:r>
          </w:p>
        </w:tc>
        <w:tc>
          <w:tcPr>
            <w:tcW w:w="238" w:type="pct"/>
            <w:tcBorders>
              <w:top w:val="nil"/>
              <w:left w:val="nil"/>
              <w:bottom w:val="single" w:sz="8" w:space="0" w:color="auto"/>
              <w:right w:val="nil"/>
            </w:tcBorders>
            <w:vAlign w:val="center"/>
            <w:hideMark/>
          </w:tcPr>
          <w:p w14:paraId="70391F4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3.82</w:t>
            </w:r>
          </w:p>
        </w:tc>
        <w:tc>
          <w:tcPr>
            <w:tcW w:w="288" w:type="pct"/>
            <w:tcBorders>
              <w:top w:val="nil"/>
              <w:left w:val="nil"/>
              <w:bottom w:val="single" w:sz="8" w:space="0" w:color="auto"/>
              <w:right w:val="nil"/>
            </w:tcBorders>
            <w:vAlign w:val="center"/>
            <w:hideMark/>
          </w:tcPr>
          <w:p w14:paraId="5A729906"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3.82</w:t>
            </w:r>
          </w:p>
        </w:tc>
        <w:tc>
          <w:tcPr>
            <w:tcW w:w="238" w:type="pct"/>
            <w:tcBorders>
              <w:top w:val="nil"/>
              <w:left w:val="nil"/>
              <w:bottom w:val="single" w:sz="8" w:space="0" w:color="auto"/>
              <w:right w:val="nil"/>
            </w:tcBorders>
            <w:vAlign w:val="center"/>
            <w:hideMark/>
          </w:tcPr>
          <w:p w14:paraId="7965631A"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192.7</w:t>
            </w:r>
          </w:p>
        </w:tc>
        <w:tc>
          <w:tcPr>
            <w:tcW w:w="270" w:type="pct"/>
            <w:tcBorders>
              <w:top w:val="nil"/>
              <w:left w:val="nil"/>
              <w:bottom w:val="single" w:sz="8" w:space="0" w:color="auto"/>
              <w:right w:val="nil"/>
            </w:tcBorders>
            <w:vAlign w:val="center"/>
            <w:hideMark/>
          </w:tcPr>
          <w:p w14:paraId="4197DA2D"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195.3</w:t>
            </w:r>
          </w:p>
        </w:tc>
        <w:tc>
          <w:tcPr>
            <w:tcW w:w="288" w:type="pct"/>
            <w:tcBorders>
              <w:top w:val="nil"/>
              <w:left w:val="nil"/>
              <w:bottom w:val="single" w:sz="8" w:space="0" w:color="auto"/>
              <w:right w:val="nil"/>
            </w:tcBorders>
            <w:vAlign w:val="center"/>
            <w:hideMark/>
          </w:tcPr>
          <w:p w14:paraId="7999C264"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194</w:t>
            </w:r>
          </w:p>
        </w:tc>
        <w:tc>
          <w:tcPr>
            <w:tcW w:w="238" w:type="pct"/>
            <w:tcBorders>
              <w:top w:val="nil"/>
              <w:left w:val="nil"/>
              <w:bottom w:val="single" w:sz="8" w:space="0" w:color="auto"/>
              <w:right w:val="nil"/>
            </w:tcBorders>
            <w:vAlign w:val="center"/>
            <w:hideMark/>
          </w:tcPr>
          <w:p w14:paraId="1AC3729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16.19</w:t>
            </w:r>
          </w:p>
        </w:tc>
        <w:tc>
          <w:tcPr>
            <w:tcW w:w="238" w:type="pct"/>
            <w:tcBorders>
              <w:top w:val="nil"/>
              <w:left w:val="nil"/>
              <w:bottom w:val="single" w:sz="8" w:space="0" w:color="auto"/>
              <w:right w:val="nil"/>
            </w:tcBorders>
            <w:vAlign w:val="center"/>
            <w:hideMark/>
          </w:tcPr>
          <w:p w14:paraId="570EB81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14.92</w:t>
            </w:r>
          </w:p>
        </w:tc>
        <w:tc>
          <w:tcPr>
            <w:tcW w:w="288" w:type="pct"/>
            <w:gridSpan w:val="2"/>
            <w:tcBorders>
              <w:top w:val="nil"/>
              <w:left w:val="nil"/>
              <w:bottom w:val="single" w:sz="8" w:space="0" w:color="auto"/>
              <w:right w:val="nil"/>
            </w:tcBorders>
            <w:vAlign w:val="center"/>
            <w:hideMark/>
          </w:tcPr>
          <w:p w14:paraId="6AB8D930"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15.56</w:t>
            </w:r>
          </w:p>
        </w:tc>
      </w:tr>
      <w:tr w:rsidR="00CE5AC4" w:rsidRPr="00AA3FCE" w14:paraId="6812113A" w14:textId="77777777" w:rsidTr="00FF46C9">
        <w:trPr>
          <w:trHeight w:val="300"/>
          <w:jc w:val="center"/>
        </w:trPr>
        <w:tc>
          <w:tcPr>
            <w:tcW w:w="386" w:type="pct"/>
            <w:tcBorders>
              <w:top w:val="nil"/>
              <w:left w:val="nil"/>
              <w:bottom w:val="nil"/>
              <w:right w:val="nil"/>
            </w:tcBorders>
            <w:vAlign w:val="center"/>
            <w:hideMark/>
          </w:tcPr>
          <w:p w14:paraId="1AE4D595"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lastRenderedPageBreak/>
              <w:t xml:space="preserve">Mean </w:t>
            </w:r>
          </w:p>
        </w:tc>
        <w:tc>
          <w:tcPr>
            <w:tcW w:w="238" w:type="pct"/>
            <w:tcBorders>
              <w:top w:val="nil"/>
              <w:left w:val="nil"/>
              <w:bottom w:val="nil"/>
              <w:right w:val="nil"/>
            </w:tcBorders>
            <w:vAlign w:val="center"/>
            <w:hideMark/>
          </w:tcPr>
          <w:p w14:paraId="57E2659B"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20.65</w:t>
            </w:r>
          </w:p>
        </w:tc>
        <w:tc>
          <w:tcPr>
            <w:tcW w:w="238" w:type="pct"/>
            <w:tcBorders>
              <w:top w:val="nil"/>
              <w:left w:val="nil"/>
              <w:bottom w:val="nil"/>
              <w:right w:val="nil"/>
            </w:tcBorders>
            <w:vAlign w:val="center"/>
            <w:hideMark/>
          </w:tcPr>
          <w:p w14:paraId="2360D928"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21.71</w:t>
            </w:r>
          </w:p>
        </w:tc>
        <w:tc>
          <w:tcPr>
            <w:tcW w:w="288" w:type="pct"/>
            <w:tcBorders>
              <w:top w:val="nil"/>
              <w:left w:val="nil"/>
              <w:bottom w:val="nil"/>
              <w:right w:val="nil"/>
            </w:tcBorders>
            <w:vAlign w:val="center"/>
            <w:hideMark/>
          </w:tcPr>
          <w:p w14:paraId="557791F2"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21.18</w:t>
            </w:r>
          </w:p>
        </w:tc>
        <w:tc>
          <w:tcPr>
            <w:tcW w:w="238" w:type="pct"/>
            <w:tcBorders>
              <w:top w:val="nil"/>
              <w:left w:val="nil"/>
              <w:bottom w:val="nil"/>
              <w:right w:val="nil"/>
            </w:tcBorders>
            <w:vAlign w:val="center"/>
            <w:hideMark/>
          </w:tcPr>
          <w:p w14:paraId="6726D684"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3.61</w:t>
            </w:r>
          </w:p>
        </w:tc>
        <w:tc>
          <w:tcPr>
            <w:tcW w:w="238" w:type="pct"/>
            <w:tcBorders>
              <w:top w:val="nil"/>
              <w:left w:val="nil"/>
              <w:bottom w:val="nil"/>
              <w:right w:val="nil"/>
            </w:tcBorders>
            <w:vAlign w:val="center"/>
            <w:hideMark/>
          </w:tcPr>
          <w:p w14:paraId="58006B7B"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4</w:t>
            </w:r>
          </w:p>
        </w:tc>
        <w:tc>
          <w:tcPr>
            <w:tcW w:w="288" w:type="pct"/>
            <w:tcBorders>
              <w:top w:val="nil"/>
              <w:left w:val="nil"/>
              <w:bottom w:val="nil"/>
              <w:right w:val="nil"/>
            </w:tcBorders>
            <w:vAlign w:val="center"/>
            <w:hideMark/>
          </w:tcPr>
          <w:p w14:paraId="23282C3F"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3.8</w:t>
            </w:r>
          </w:p>
        </w:tc>
        <w:tc>
          <w:tcPr>
            <w:tcW w:w="238" w:type="pct"/>
            <w:tcBorders>
              <w:top w:val="nil"/>
              <w:left w:val="nil"/>
              <w:bottom w:val="nil"/>
              <w:right w:val="nil"/>
            </w:tcBorders>
            <w:vAlign w:val="center"/>
            <w:hideMark/>
          </w:tcPr>
          <w:p w14:paraId="57362934" w14:textId="77777777" w:rsidR="00CE5AC4" w:rsidRPr="00AA3FCE" w:rsidRDefault="00CE5AC4" w:rsidP="0023235B">
            <w:pPr>
              <w:jc w:val="center"/>
              <w:rPr>
                <w:rFonts w:ascii="Arial" w:hAnsi="Arial" w:cs="Arial"/>
                <w:b/>
                <w:color w:val="000000"/>
                <w:lang w:eastAsia="en-IN"/>
              </w:rPr>
            </w:pPr>
            <w:r w:rsidRPr="00AA3FCE">
              <w:rPr>
                <w:rFonts w:ascii="Arial" w:hAnsi="Arial" w:cs="Arial"/>
                <w:b/>
                <w:color w:val="000000"/>
                <w:lang w:eastAsia="en-IN"/>
              </w:rPr>
              <w:t>0.69</w:t>
            </w:r>
          </w:p>
        </w:tc>
        <w:tc>
          <w:tcPr>
            <w:tcW w:w="238" w:type="pct"/>
            <w:tcBorders>
              <w:top w:val="nil"/>
              <w:left w:val="nil"/>
              <w:bottom w:val="nil"/>
              <w:right w:val="nil"/>
            </w:tcBorders>
            <w:vAlign w:val="center"/>
            <w:hideMark/>
          </w:tcPr>
          <w:p w14:paraId="53D79232" w14:textId="77777777" w:rsidR="00CE5AC4" w:rsidRPr="00AA3FCE" w:rsidRDefault="00CE5AC4" w:rsidP="0023235B">
            <w:pPr>
              <w:jc w:val="center"/>
              <w:rPr>
                <w:rFonts w:ascii="Arial" w:hAnsi="Arial" w:cs="Arial"/>
                <w:b/>
                <w:color w:val="000000"/>
                <w:lang w:eastAsia="en-IN"/>
              </w:rPr>
            </w:pPr>
            <w:r w:rsidRPr="00AA3FCE">
              <w:rPr>
                <w:rFonts w:ascii="Arial" w:hAnsi="Arial" w:cs="Arial"/>
                <w:b/>
                <w:color w:val="000000"/>
                <w:lang w:eastAsia="en-IN"/>
              </w:rPr>
              <w:t>0.66</w:t>
            </w:r>
          </w:p>
        </w:tc>
        <w:tc>
          <w:tcPr>
            <w:tcW w:w="288" w:type="pct"/>
            <w:tcBorders>
              <w:top w:val="nil"/>
              <w:left w:val="nil"/>
              <w:bottom w:val="nil"/>
              <w:right w:val="nil"/>
            </w:tcBorders>
            <w:vAlign w:val="center"/>
            <w:hideMark/>
          </w:tcPr>
          <w:p w14:paraId="10106DFF"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0.68</w:t>
            </w:r>
          </w:p>
        </w:tc>
        <w:tc>
          <w:tcPr>
            <w:tcW w:w="238" w:type="pct"/>
            <w:tcBorders>
              <w:top w:val="nil"/>
              <w:left w:val="nil"/>
              <w:bottom w:val="nil"/>
              <w:right w:val="nil"/>
            </w:tcBorders>
            <w:vAlign w:val="center"/>
            <w:hideMark/>
          </w:tcPr>
          <w:p w14:paraId="61587D57"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3.68</w:t>
            </w:r>
          </w:p>
        </w:tc>
        <w:tc>
          <w:tcPr>
            <w:tcW w:w="238" w:type="pct"/>
            <w:tcBorders>
              <w:top w:val="nil"/>
              <w:left w:val="nil"/>
              <w:bottom w:val="nil"/>
              <w:right w:val="nil"/>
            </w:tcBorders>
            <w:vAlign w:val="center"/>
            <w:hideMark/>
          </w:tcPr>
          <w:p w14:paraId="1ACD6B2B"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3.41</w:t>
            </w:r>
          </w:p>
        </w:tc>
        <w:tc>
          <w:tcPr>
            <w:tcW w:w="288" w:type="pct"/>
            <w:tcBorders>
              <w:top w:val="nil"/>
              <w:left w:val="nil"/>
              <w:bottom w:val="nil"/>
              <w:right w:val="nil"/>
            </w:tcBorders>
            <w:vAlign w:val="center"/>
            <w:hideMark/>
          </w:tcPr>
          <w:p w14:paraId="55950E10"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3.54</w:t>
            </w:r>
          </w:p>
        </w:tc>
        <w:tc>
          <w:tcPr>
            <w:tcW w:w="238" w:type="pct"/>
            <w:tcBorders>
              <w:top w:val="nil"/>
              <w:left w:val="nil"/>
              <w:bottom w:val="nil"/>
              <w:right w:val="nil"/>
            </w:tcBorders>
            <w:vAlign w:val="center"/>
            <w:hideMark/>
          </w:tcPr>
          <w:p w14:paraId="5249538E" w14:textId="77777777" w:rsidR="00CE5AC4" w:rsidRPr="00AA3FCE" w:rsidRDefault="00CE5AC4" w:rsidP="0023235B">
            <w:pPr>
              <w:jc w:val="center"/>
              <w:rPr>
                <w:rFonts w:ascii="Arial" w:hAnsi="Arial" w:cs="Arial"/>
                <w:b/>
                <w:lang w:eastAsia="en-IN"/>
              </w:rPr>
            </w:pPr>
            <w:r w:rsidRPr="00AA3FCE">
              <w:rPr>
                <w:rFonts w:ascii="Arial" w:hAnsi="Arial" w:cs="Arial"/>
                <w:b/>
                <w:lang w:eastAsia="en-IN"/>
              </w:rPr>
              <w:t>202.1</w:t>
            </w:r>
          </w:p>
        </w:tc>
        <w:tc>
          <w:tcPr>
            <w:tcW w:w="270" w:type="pct"/>
            <w:tcBorders>
              <w:top w:val="nil"/>
              <w:left w:val="nil"/>
              <w:bottom w:val="nil"/>
              <w:right w:val="nil"/>
            </w:tcBorders>
            <w:vAlign w:val="center"/>
            <w:hideMark/>
          </w:tcPr>
          <w:p w14:paraId="62173CF6" w14:textId="77777777" w:rsidR="00CE5AC4" w:rsidRPr="00AA3FCE" w:rsidRDefault="00CE5AC4" w:rsidP="0023235B">
            <w:pPr>
              <w:jc w:val="center"/>
              <w:rPr>
                <w:rFonts w:ascii="Arial" w:hAnsi="Arial" w:cs="Arial"/>
                <w:b/>
                <w:lang w:eastAsia="en-IN"/>
              </w:rPr>
            </w:pPr>
            <w:r w:rsidRPr="00AA3FCE">
              <w:rPr>
                <w:rFonts w:ascii="Arial" w:hAnsi="Arial" w:cs="Arial"/>
                <w:b/>
                <w:lang w:eastAsia="en-IN"/>
              </w:rPr>
              <w:t>207.44</w:t>
            </w:r>
          </w:p>
        </w:tc>
        <w:tc>
          <w:tcPr>
            <w:tcW w:w="288" w:type="pct"/>
            <w:tcBorders>
              <w:top w:val="nil"/>
              <w:left w:val="nil"/>
              <w:bottom w:val="nil"/>
              <w:right w:val="nil"/>
            </w:tcBorders>
            <w:vAlign w:val="center"/>
            <w:hideMark/>
          </w:tcPr>
          <w:p w14:paraId="308A830F" w14:textId="77777777" w:rsidR="00CE5AC4" w:rsidRPr="00AA3FCE" w:rsidRDefault="00CE5AC4" w:rsidP="0023235B">
            <w:pPr>
              <w:jc w:val="center"/>
              <w:rPr>
                <w:rFonts w:ascii="Arial" w:hAnsi="Arial" w:cs="Arial"/>
                <w:b/>
                <w:bCs/>
                <w:lang w:eastAsia="en-IN"/>
              </w:rPr>
            </w:pPr>
            <w:r w:rsidRPr="00AA3FCE">
              <w:rPr>
                <w:rFonts w:ascii="Arial" w:hAnsi="Arial" w:cs="Arial"/>
                <w:b/>
                <w:bCs/>
                <w:lang w:eastAsia="en-IN"/>
              </w:rPr>
              <w:t>204.77</w:t>
            </w:r>
          </w:p>
        </w:tc>
        <w:tc>
          <w:tcPr>
            <w:tcW w:w="238" w:type="pct"/>
            <w:tcBorders>
              <w:top w:val="nil"/>
              <w:left w:val="nil"/>
              <w:bottom w:val="nil"/>
              <w:right w:val="nil"/>
            </w:tcBorders>
            <w:vAlign w:val="center"/>
            <w:hideMark/>
          </w:tcPr>
          <w:p w14:paraId="4CD29A2F" w14:textId="77777777" w:rsidR="00CE5AC4" w:rsidRPr="00AA3FCE" w:rsidRDefault="00CE5AC4" w:rsidP="0023235B">
            <w:pPr>
              <w:jc w:val="right"/>
              <w:rPr>
                <w:rFonts w:ascii="Arial" w:hAnsi="Arial" w:cs="Arial"/>
                <w:b/>
                <w:lang w:eastAsia="en-IN"/>
              </w:rPr>
            </w:pPr>
            <w:r w:rsidRPr="00AA3FCE">
              <w:rPr>
                <w:rFonts w:ascii="Arial" w:hAnsi="Arial" w:cs="Arial"/>
                <w:b/>
                <w:lang w:eastAsia="en-IN"/>
              </w:rPr>
              <w:t>18.8</w:t>
            </w:r>
          </w:p>
        </w:tc>
        <w:tc>
          <w:tcPr>
            <w:tcW w:w="238" w:type="pct"/>
            <w:tcBorders>
              <w:top w:val="nil"/>
              <w:left w:val="nil"/>
              <w:bottom w:val="nil"/>
              <w:right w:val="nil"/>
            </w:tcBorders>
            <w:vAlign w:val="center"/>
            <w:hideMark/>
          </w:tcPr>
          <w:p w14:paraId="4671DEB5" w14:textId="77777777" w:rsidR="00CE5AC4" w:rsidRPr="00AA3FCE" w:rsidRDefault="00CE5AC4" w:rsidP="0023235B">
            <w:pPr>
              <w:jc w:val="right"/>
              <w:rPr>
                <w:rFonts w:ascii="Arial" w:hAnsi="Arial" w:cs="Arial"/>
                <w:b/>
                <w:lang w:eastAsia="en-IN"/>
              </w:rPr>
            </w:pPr>
            <w:r w:rsidRPr="00AA3FCE">
              <w:rPr>
                <w:rFonts w:ascii="Arial" w:hAnsi="Arial" w:cs="Arial"/>
                <w:b/>
                <w:lang w:eastAsia="en-IN"/>
              </w:rPr>
              <w:t>19.2</w:t>
            </w:r>
          </w:p>
        </w:tc>
        <w:tc>
          <w:tcPr>
            <w:tcW w:w="288" w:type="pct"/>
            <w:gridSpan w:val="2"/>
            <w:tcBorders>
              <w:top w:val="nil"/>
              <w:left w:val="nil"/>
              <w:bottom w:val="nil"/>
              <w:right w:val="nil"/>
            </w:tcBorders>
            <w:vAlign w:val="center"/>
            <w:hideMark/>
          </w:tcPr>
          <w:p w14:paraId="1979933C" w14:textId="77777777" w:rsidR="00CE5AC4" w:rsidRPr="00AA3FCE" w:rsidRDefault="00CE5AC4" w:rsidP="0023235B">
            <w:pPr>
              <w:jc w:val="right"/>
              <w:rPr>
                <w:rFonts w:ascii="Arial" w:hAnsi="Arial" w:cs="Arial"/>
                <w:b/>
                <w:bCs/>
                <w:lang w:eastAsia="en-IN"/>
              </w:rPr>
            </w:pPr>
            <w:r w:rsidRPr="00AA3FCE">
              <w:rPr>
                <w:rFonts w:ascii="Arial" w:hAnsi="Arial" w:cs="Arial"/>
                <w:b/>
                <w:bCs/>
                <w:lang w:eastAsia="en-IN"/>
              </w:rPr>
              <w:t>19</w:t>
            </w:r>
          </w:p>
        </w:tc>
      </w:tr>
      <w:tr w:rsidR="00CE5AC4" w:rsidRPr="00AA3FCE" w14:paraId="0D61D24D" w14:textId="77777777" w:rsidTr="00FF46C9">
        <w:trPr>
          <w:trHeight w:val="600"/>
          <w:jc w:val="center"/>
        </w:trPr>
        <w:tc>
          <w:tcPr>
            <w:tcW w:w="386" w:type="pct"/>
            <w:tcBorders>
              <w:top w:val="nil"/>
              <w:left w:val="nil"/>
              <w:bottom w:val="nil"/>
              <w:right w:val="nil"/>
            </w:tcBorders>
            <w:vAlign w:val="center"/>
            <w:hideMark/>
          </w:tcPr>
          <w:p w14:paraId="182BD343" w14:textId="77777777" w:rsidR="00CE5AC4" w:rsidRPr="00AA3FCE" w:rsidRDefault="00CE5AC4" w:rsidP="0023235B">
            <w:pPr>
              <w:rPr>
                <w:rFonts w:ascii="Arial" w:hAnsi="Arial" w:cs="Arial"/>
                <w:color w:val="000000"/>
                <w:lang w:eastAsia="en-IN"/>
              </w:rPr>
            </w:pPr>
            <w:r w:rsidRPr="00AA3FCE">
              <w:rPr>
                <w:rFonts w:ascii="Arial" w:hAnsi="Arial" w:cs="Arial"/>
                <w:color w:val="000000"/>
                <w:lang w:eastAsia="en-IN"/>
              </w:rPr>
              <w:t>CD at 5%</w:t>
            </w:r>
          </w:p>
        </w:tc>
        <w:tc>
          <w:tcPr>
            <w:tcW w:w="238" w:type="pct"/>
            <w:tcBorders>
              <w:top w:val="nil"/>
              <w:left w:val="nil"/>
              <w:bottom w:val="nil"/>
              <w:right w:val="nil"/>
            </w:tcBorders>
            <w:vAlign w:val="center"/>
            <w:hideMark/>
          </w:tcPr>
          <w:p w14:paraId="6454681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2.75</w:t>
            </w:r>
          </w:p>
        </w:tc>
        <w:tc>
          <w:tcPr>
            <w:tcW w:w="238" w:type="pct"/>
            <w:tcBorders>
              <w:top w:val="nil"/>
              <w:left w:val="nil"/>
              <w:bottom w:val="nil"/>
              <w:right w:val="nil"/>
            </w:tcBorders>
            <w:vAlign w:val="center"/>
            <w:hideMark/>
          </w:tcPr>
          <w:p w14:paraId="152AF1E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2.11</w:t>
            </w:r>
          </w:p>
        </w:tc>
        <w:tc>
          <w:tcPr>
            <w:tcW w:w="288" w:type="pct"/>
            <w:tcBorders>
              <w:top w:val="nil"/>
              <w:left w:val="nil"/>
              <w:bottom w:val="nil"/>
              <w:right w:val="nil"/>
            </w:tcBorders>
            <w:vAlign w:val="center"/>
            <w:hideMark/>
          </w:tcPr>
          <w:p w14:paraId="2B8F352A"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1.7</w:t>
            </w:r>
          </w:p>
        </w:tc>
        <w:tc>
          <w:tcPr>
            <w:tcW w:w="238" w:type="pct"/>
            <w:tcBorders>
              <w:top w:val="nil"/>
              <w:left w:val="nil"/>
              <w:bottom w:val="nil"/>
              <w:right w:val="nil"/>
            </w:tcBorders>
            <w:vAlign w:val="center"/>
            <w:hideMark/>
          </w:tcPr>
          <w:p w14:paraId="2FF7449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0.65</w:t>
            </w:r>
          </w:p>
        </w:tc>
        <w:tc>
          <w:tcPr>
            <w:tcW w:w="238" w:type="pct"/>
            <w:tcBorders>
              <w:top w:val="nil"/>
              <w:left w:val="nil"/>
              <w:bottom w:val="nil"/>
              <w:right w:val="nil"/>
            </w:tcBorders>
            <w:vAlign w:val="center"/>
            <w:hideMark/>
          </w:tcPr>
          <w:p w14:paraId="3C0FB89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0.56</w:t>
            </w:r>
          </w:p>
        </w:tc>
        <w:tc>
          <w:tcPr>
            <w:tcW w:w="288" w:type="pct"/>
            <w:tcBorders>
              <w:top w:val="nil"/>
              <w:left w:val="nil"/>
              <w:bottom w:val="nil"/>
              <w:right w:val="nil"/>
            </w:tcBorders>
            <w:vAlign w:val="center"/>
            <w:hideMark/>
          </w:tcPr>
          <w:p w14:paraId="42284660"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0.82</w:t>
            </w:r>
          </w:p>
        </w:tc>
        <w:tc>
          <w:tcPr>
            <w:tcW w:w="238" w:type="pct"/>
            <w:tcBorders>
              <w:top w:val="nil"/>
              <w:left w:val="nil"/>
              <w:bottom w:val="nil"/>
              <w:right w:val="nil"/>
            </w:tcBorders>
            <w:vAlign w:val="center"/>
            <w:hideMark/>
          </w:tcPr>
          <w:p w14:paraId="1E20B774"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0.04</w:t>
            </w:r>
          </w:p>
        </w:tc>
        <w:tc>
          <w:tcPr>
            <w:tcW w:w="238" w:type="pct"/>
            <w:tcBorders>
              <w:top w:val="nil"/>
              <w:left w:val="nil"/>
              <w:bottom w:val="nil"/>
              <w:right w:val="nil"/>
            </w:tcBorders>
            <w:vAlign w:val="center"/>
            <w:hideMark/>
          </w:tcPr>
          <w:p w14:paraId="682AAA2A"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0.07</w:t>
            </w:r>
          </w:p>
        </w:tc>
        <w:tc>
          <w:tcPr>
            <w:tcW w:w="288" w:type="pct"/>
            <w:tcBorders>
              <w:top w:val="nil"/>
              <w:left w:val="nil"/>
              <w:bottom w:val="nil"/>
              <w:right w:val="nil"/>
            </w:tcBorders>
            <w:vAlign w:val="center"/>
            <w:hideMark/>
          </w:tcPr>
          <w:p w14:paraId="47CF02F8"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0.05</w:t>
            </w:r>
          </w:p>
        </w:tc>
        <w:tc>
          <w:tcPr>
            <w:tcW w:w="238" w:type="pct"/>
            <w:tcBorders>
              <w:top w:val="nil"/>
              <w:left w:val="nil"/>
              <w:bottom w:val="nil"/>
              <w:right w:val="nil"/>
            </w:tcBorders>
            <w:vAlign w:val="center"/>
            <w:hideMark/>
          </w:tcPr>
          <w:p w14:paraId="6BB1CBA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0.28</w:t>
            </w:r>
          </w:p>
        </w:tc>
        <w:tc>
          <w:tcPr>
            <w:tcW w:w="238" w:type="pct"/>
            <w:tcBorders>
              <w:top w:val="nil"/>
              <w:left w:val="nil"/>
              <w:bottom w:val="nil"/>
              <w:right w:val="nil"/>
            </w:tcBorders>
            <w:vAlign w:val="center"/>
            <w:hideMark/>
          </w:tcPr>
          <w:p w14:paraId="1EDE53D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0.34</w:t>
            </w:r>
          </w:p>
        </w:tc>
        <w:tc>
          <w:tcPr>
            <w:tcW w:w="288" w:type="pct"/>
            <w:tcBorders>
              <w:top w:val="nil"/>
              <w:left w:val="nil"/>
              <w:bottom w:val="nil"/>
              <w:right w:val="nil"/>
            </w:tcBorders>
            <w:vAlign w:val="center"/>
            <w:hideMark/>
          </w:tcPr>
          <w:p w14:paraId="5242D29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0.41</w:t>
            </w:r>
          </w:p>
        </w:tc>
        <w:tc>
          <w:tcPr>
            <w:tcW w:w="238" w:type="pct"/>
            <w:tcBorders>
              <w:top w:val="nil"/>
              <w:left w:val="nil"/>
              <w:bottom w:val="nil"/>
              <w:right w:val="nil"/>
            </w:tcBorders>
            <w:vAlign w:val="center"/>
            <w:hideMark/>
          </w:tcPr>
          <w:p w14:paraId="6895DE3E"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7.38</w:t>
            </w:r>
          </w:p>
        </w:tc>
        <w:tc>
          <w:tcPr>
            <w:tcW w:w="270" w:type="pct"/>
            <w:tcBorders>
              <w:top w:val="nil"/>
              <w:left w:val="nil"/>
              <w:bottom w:val="nil"/>
              <w:right w:val="nil"/>
            </w:tcBorders>
            <w:vAlign w:val="center"/>
            <w:hideMark/>
          </w:tcPr>
          <w:p w14:paraId="587BE63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6.22</w:t>
            </w:r>
          </w:p>
        </w:tc>
        <w:tc>
          <w:tcPr>
            <w:tcW w:w="288" w:type="pct"/>
            <w:tcBorders>
              <w:top w:val="nil"/>
              <w:left w:val="nil"/>
              <w:bottom w:val="nil"/>
              <w:right w:val="nil"/>
            </w:tcBorders>
            <w:vAlign w:val="center"/>
            <w:hideMark/>
          </w:tcPr>
          <w:p w14:paraId="243C735A"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4.72</w:t>
            </w:r>
          </w:p>
        </w:tc>
        <w:tc>
          <w:tcPr>
            <w:tcW w:w="238" w:type="pct"/>
            <w:tcBorders>
              <w:top w:val="nil"/>
              <w:left w:val="nil"/>
              <w:bottom w:val="nil"/>
              <w:right w:val="nil"/>
            </w:tcBorders>
            <w:vAlign w:val="center"/>
            <w:hideMark/>
          </w:tcPr>
          <w:p w14:paraId="3E21F83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2.8</w:t>
            </w:r>
          </w:p>
        </w:tc>
        <w:tc>
          <w:tcPr>
            <w:tcW w:w="238" w:type="pct"/>
            <w:tcBorders>
              <w:top w:val="nil"/>
              <w:left w:val="nil"/>
              <w:bottom w:val="nil"/>
              <w:right w:val="nil"/>
            </w:tcBorders>
            <w:vAlign w:val="center"/>
            <w:hideMark/>
          </w:tcPr>
          <w:p w14:paraId="383C62D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2.43</w:t>
            </w:r>
          </w:p>
        </w:tc>
        <w:tc>
          <w:tcPr>
            <w:tcW w:w="288" w:type="pct"/>
            <w:gridSpan w:val="2"/>
            <w:tcBorders>
              <w:top w:val="nil"/>
              <w:left w:val="nil"/>
              <w:bottom w:val="nil"/>
              <w:right w:val="nil"/>
            </w:tcBorders>
            <w:vAlign w:val="center"/>
            <w:hideMark/>
          </w:tcPr>
          <w:p w14:paraId="7FA8E4E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1.87</w:t>
            </w:r>
          </w:p>
        </w:tc>
      </w:tr>
      <w:tr w:rsidR="00CE5AC4" w:rsidRPr="00AA3FCE" w14:paraId="1494E96A" w14:textId="77777777" w:rsidTr="00FF46C9">
        <w:trPr>
          <w:trHeight w:val="300"/>
          <w:jc w:val="center"/>
        </w:trPr>
        <w:tc>
          <w:tcPr>
            <w:tcW w:w="386" w:type="pct"/>
            <w:tcBorders>
              <w:top w:val="nil"/>
              <w:left w:val="nil"/>
              <w:bottom w:val="nil"/>
              <w:right w:val="nil"/>
            </w:tcBorders>
            <w:vAlign w:val="center"/>
            <w:hideMark/>
          </w:tcPr>
          <w:p w14:paraId="7CCD94EF" w14:textId="77777777" w:rsidR="00CE5AC4" w:rsidRPr="00AA3FCE" w:rsidRDefault="00CE5AC4" w:rsidP="0023235B">
            <w:pPr>
              <w:rPr>
                <w:rFonts w:ascii="Arial" w:hAnsi="Arial" w:cs="Arial"/>
                <w:color w:val="000000"/>
                <w:lang w:eastAsia="en-IN"/>
              </w:rPr>
            </w:pPr>
            <w:r w:rsidRPr="00AA3FCE">
              <w:rPr>
                <w:rFonts w:ascii="Arial" w:hAnsi="Arial" w:cs="Arial"/>
                <w:color w:val="000000"/>
                <w:lang w:eastAsia="en-IN"/>
              </w:rPr>
              <w:t>C.V.</w:t>
            </w:r>
          </w:p>
        </w:tc>
        <w:tc>
          <w:tcPr>
            <w:tcW w:w="238" w:type="pct"/>
            <w:tcBorders>
              <w:top w:val="nil"/>
              <w:left w:val="nil"/>
              <w:bottom w:val="nil"/>
              <w:right w:val="nil"/>
            </w:tcBorders>
            <w:vAlign w:val="center"/>
            <w:hideMark/>
          </w:tcPr>
          <w:p w14:paraId="75D7812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7.9</w:t>
            </w:r>
          </w:p>
        </w:tc>
        <w:tc>
          <w:tcPr>
            <w:tcW w:w="238" w:type="pct"/>
            <w:tcBorders>
              <w:top w:val="nil"/>
              <w:left w:val="nil"/>
              <w:bottom w:val="nil"/>
              <w:right w:val="nil"/>
            </w:tcBorders>
            <w:vAlign w:val="center"/>
            <w:hideMark/>
          </w:tcPr>
          <w:p w14:paraId="678341A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5.77</w:t>
            </w:r>
          </w:p>
        </w:tc>
        <w:tc>
          <w:tcPr>
            <w:tcW w:w="288" w:type="pct"/>
            <w:tcBorders>
              <w:top w:val="nil"/>
              <w:left w:val="nil"/>
              <w:bottom w:val="nil"/>
              <w:right w:val="nil"/>
            </w:tcBorders>
            <w:vAlign w:val="center"/>
            <w:hideMark/>
          </w:tcPr>
          <w:p w14:paraId="3179DD29"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6.39</w:t>
            </w:r>
          </w:p>
        </w:tc>
        <w:tc>
          <w:tcPr>
            <w:tcW w:w="238" w:type="pct"/>
            <w:tcBorders>
              <w:top w:val="nil"/>
              <w:left w:val="nil"/>
              <w:bottom w:val="nil"/>
              <w:right w:val="nil"/>
            </w:tcBorders>
            <w:vAlign w:val="center"/>
            <w:hideMark/>
          </w:tcPr>
          <w:p w14:paraId="2B264AA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10.69</w:t>
            </w:r>
          </w:p>
        </w:tc>
        <w:tc>
          <w:tcPr>
            <w:tcW w:w="238" w:type="pct"/>
            <w:tcBorders>
              <w:top w:val="nil"/>
              <w:left w:val="nil"/>
              <w:bottom w:val="nil"/>
              <w:right w:val="nil"/>
            </w:tcBorders>
            <w:vAlign w:val="center"/>
            <w:hideMark/>
          </w:tcPr>
          <w:p w14:paraId="770AE3E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8.3</w:t>
            </w:r>
          </w:p>
        </w:tc>
        <w:tc>
          <w:tcPr>
            <w:tcW w:w="288" w:type="pct"/>
            <w:tcBorders>
              <w:top w:val="nil"/>
              <w:left w:val="nil"/>
              <w:bottom w:val="nil"/>
              <w:right w:val="nil"/>
            </w:tcBorders>
            <w:vAlign w:val="center"/>
            <w:hideMark/>
          </w:tcPr>
          <w:p w14:paraId="77D6CD3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9.35</w:t>
            </w:r>
          </w:p>
        </w:tc>
        <w:tc>
          <w:tcPr>
            <w:tcW w:w="238" w:type="pct"/>
            <w:tcBorders>
              <w:top w:val="nil"/>
              <w:left w:val="nil"/>
              <w:bottom w:val="nil"/>
              <w:right w:val="nil"/>
            </w:tcBorders>
            <w:vAlign w:val="center"/>
            <w:hideMark/>
          </w:tcPr>
          <w:p w14:paraId="068BBA2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3.83</w:t>
            </w:r>
          </w:p>
        </w:tc>
        <w:tc>
          <w:tcPr>
            <w:tcW w:w="238" w:type="pct"/>
            <w:tcBorders>
              <w:top w:val="nil"/>
              <w:left w:val="nil"/>
              <w:bottom w:val="nil"/>
              <w:right w:val="nil"/>
            </w:tcBorders>
            <w:vAlign w:val="center"/>
            <w:hideMark/>
          </w:tcPr>
          <w:p w14:paraId="397252A6"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7.87</w:t>
            </w:r>
          </w:p>
        </w:tc>
        <w:tc>
          <w:tcPr>
            <w:tcW w:w="288" w:type="pct"/>
            <w:tcBorders>
              <w:top w:val="nil"/>
              <w:left w:val="nil"/>
              <w:bottom w:val="nil"/>
              <w:right w:val="nil"/>
            </w:tcBorders>
            <w:vAlign w:val="center"/>
            <w:hideMark/>
          </w:tcPr>
          <w:p w14:paraId="71D97F45"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6.07</w:t>
            </w:r>
          </w:p>
        </w:tc>
        <w:tc>
          <w:tcPr>
            <w:tcW w:w="238" w:type="pct"/>
            <w:tcBorders>
              <w:top w:val="nil"/>
              <w:left w:val="nil"/>
              <w:bottom w:val="nil"/>
              <w:right w:val="nil"/>
            </w:tcBorders>
            <w:vAlign w:val="center"/>
            <w:hideMark/>
          </w:tcPr>
          <w:p w14:paraId="3FF4798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4.53</w:t>
            </w:r>
          </w:p>
        </w:tc>
        <w:tc>
          <w:tcPr>
            <w:tcW w:w="238" w:type="pct"/>
            <w:tcBorders>
              <w:top w:val="nil"/>
              <w:left w:val="nil"/>
              <w:bottom w:val="nil"/>
              <w:right w:val="nil"/>
            </w:tcBorders>
            <w:vAlign w:val="center"/>
            <w:hideMark/>
          </w:tcPr>
          <w:p w14:paraId="20E6BC1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5.99</w:t>
            </w:r>
          </w:p>
        </w:tc>
        <w:tc>
          <w:tcPr>
            <w:tcW w:w="288" w:type="pct"/>
            <w:tcBorders>
              <w:top w:val="nil"/>
              <w:left w:val="nil"/>
              <w:bottom w:val="nil"/>
              <w:right w:val="nil"/>
            </w:tcBorders>
            <w:vAlign w:val="center"/>
            <w:hideMark/>
          </w:tcPr>
          <w:p w14:paraId="4ECB3B0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5.19</w:t>
            </w:r>
          </w:p>
        </w:tc>
        <w:tc>
          <w:tcPr>
            <w:tcW w:w="238" w:type="pct"/>
            <w:tcBorders>
              <w:top w:val="nil"/>
              <w:left w:val="nil"/>
              <w:bottom w:val="nil"/>
              <w:right w:val="nil"/>
            </w:tcBorders>
            <w:vAlign w:val="center"/>
            <w:hideMark/>
          </w:tcPr>
          <w:p w14:paraId="65A3CEC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2.17</w:t>
            </w:r>
          </w:p>
        </w:tc>
        <w:tc>
          <w:tcPr>
            <w:tcW w:w="270" w:type="pct"/>
            <w:tcBorders>
              <w:top w:val="nil"/>
              <w:left w:val="nil"/>
              <w:bottom w:val="nil"/>
              <w:right w:val="nil"/>
            </w:tcBorders>
            <w:vAlign w:val="center"/>
            <w:hideMark/>
          </w:tcPr>
          <w:p w14:paraId="5841CA8B"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1.78</w:t>
            </w:r>
          </w:p>
        </w:tc>
        <w:tc>
          <w:tcPr>
            <w:tcW w:w="288" w:type="pct"/>
            <w:tcBorders>
              <w:top w:val="nil"/>
              <w:left w:val="nil"/>
              <w:bottom w:val="nil"/>
              <w:right w:val="nil"/>
            </w:tcBorders>
            <w:vAlign w:val="center"/>
            <w:hideMark/>
          </w:tcPr>
          <w:p w14:paraId="6F040D30"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1.83</w:t>
            </w:r>
          </w:p>
        </w:tc>
        <w:tc>
          <w:tcPr>
            <w:tcW w:w="238" w:type="pct"/>
            <w:tcBorders>
              <w:top w:val="nil"/>
              <w:left w:val="nil"/>
              <w:bottom w:val="nil"/>
              <w:right w:val="nil"/>
            </w:tcBorders>
            <w:vAlign w:val="center"/>
            <w:hideMark/>
          </w:tcPr>
          <w:p w14:paraId="097ACA5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8.85</w:t>
            </w:r>
          </w:p>
        </w:tc>
        <w:tc>
          <w:tcPr>
            <w:tcW w:w="238" w:type="pct"/>
            <w:tcBorders>
              <w:top w:val="nil"/>
              <w:left w:val="nil"/>
              <w:bottom w:val="nil"/>
              <w:right w:val="nil"/>
            </w:tcBorders>
            <w:vAlign w:val="center"/>
            <w:hideMark/>
          </w:tcPr>
          <w:p w14:paraId="46B17EF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7.5</w:t>
            </w:r>
          </w:p>
        </w:tc>
        <w:tc>
          <w:tcPr>
            <w:tcW w:w="288" w:type="pct"/>
            <w:gridSpan w:val="2"/>
            <w:tcBorders>
              <w:top w:val="nil"/>
              <w:left w:val="nil"/>
              <w:bottom w:val="nil"/>
              <w:right w:val="nil"/>
            </w:tcBorders>
            <w:vAlign w:val="center"/>
            <w:hideMark/>
          </w:tcPr>
          <w:p w14:paraId="226194C4"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7.82</w:t>
            </w:r>
          </w:p>
        </w:tc>
      </w:tr>
      <w:tr w:rsidR="00CE5AC4" w:rsidRPr="00AA3FCE" w14:paraId="7FB9B60D" w14:textId="77777777" w:rsidTr="00FF46C9">
        <w:trPr>
          <w:trHeight w:val="315"/>
          <w:jc w:val="center"/>
        </w:trPr>
        <w:tc>
          <w:tcPr>
            <w:tcW w:w="386" w:type="pct"/>
            <w:tcBorders>
              <w:top w:val="nil"/>
              <w:left w:val="nil"/>
              <w:bottom w:val="single" w:sz="8" w:space="0" w:color="auto"/>
              <w:right w:val="nil"/>
            </w:tcBorders>
            <w:vAlign w:val="center"/>
            <w:hideMark/>
          </w:tcPr>
          <w:p w14:paraId="2FCB428D" w14:textId="77777777" w:rsidR="00CE5AC4" w:rsidRPr="00AA3FCE" w:rsidRDefault="00CE5AC4" w:rsidP="0023235B">
            <w:pPr>
              <w:rPr>
                <w:rFonts w:ascii="Arial" w:hAnsi="Arial" w:cs="Arial"/>
                <w:color w:val="000000"/>
                <w:lang w:eastAsia="en-IN"/>
              </w:rPr>
            </w:pPr>
            <w:proofErr w:type="spellStart"/>
            <w:r w:rsidRPr="00AA3FCE">
              <w:rPr>
                <w:rFonts w:ascii="Arial" w:hAnsi="Arial" w:cs="Arial"/>
                <w:color w:val="000000"/>
                <w:lang w:eastAsia="en-IN"/>
              </w:rPr>
              <w:t>SEm</w:t>
            </w:r>
            <w:proofErr w:type="spellEnd"/>
          </w:p>
        </w:tc>
        <w:tc>
          <w:tcPr>
            <w:tcW w:w="238" w:type="pct"/>
            <w:tcBorders>
              <w:top w:val="nil"/>
              <w:left w:val="nil"/>
              <w:bottom w:val="single" w:sz="8" w:space="0" w:color="auto"/>
              <w:right w:val="nil"/>
            </w:tcBorders>
            <w:vAlign w:val="center"/>
            <w:hideMark/>
          </w:tcPr>
          <w:p w14:paraId="23C4FA2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0.94</w:t>
            </w:r>
          </w:p>
        </w:tc>
        <w:tc>
          <w:tcPr>
            <w:tcW w:w="238" w:type="pct"/>
            <w:tcBorders>
              <w:top w:val="nil"/>
              <w:left w:val="nil"/>
              <w:bottom w:val="single" w:sz="8" w:space="0" w:color="auto"/>
              <w:right w:val="nil"/>
            </w:tcBorders>
            <w:vAlign w:val="center"/>
            <w:hideMark/>
          </w:tcPr>
          <w:p w14:paraId="56BDAFB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0.72</w:t>
            </w:r>
          </w:p>
        </w:tc>
        <w:tc>
          <w:tcPr>
            <w:tcW w:w="288" w:type="pct"/>
            <w:tcBorders>
              <w:top w:val="nil"/>
              <w:left w:val="nil"/>
              <w:bottom w:val="single" w:sz="8" w:space="0" w:color="auto"/>
              <w:right w:val="nil"/>
            </w:tcBorders>
            <w:vAlign w:val="center"/>
            <w:hideMark/>
          </w:tcPr>
          <w:p w14:paraId="4609E700"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0.59</w:t>
            </w:r>
          </w:p>
        </w:tc>
        <w:tc>
          <w:tcPr>
            <w:tcW w:w="238" w:type="pct"/>
            <w:tcBorders>
              <w:top w:val="nil"/>
              <w:left w:val="nil"/>
              <w:bottom w:val="single" w:sz="8" w:space="0" w:color="auto"/>
              <w:right w:val="nil"/>
            </w:tcBorders>
            <w:vAlign w:val="center"/>
            <w:hideMark/>
          </w:tcPr>
          <w:p w14:paraId="04EFD2B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0.22</w:t>
            </w:r>
          </w:p>
        </w:tc>
        <w:tc>
          <w:tcPr>
            <w:tcW w:w="238" w:type="pct"/>
            <w:tcBorders>
              <w:top w:val="nil"/>
              <w:left w:val="nil"/>
              <w:bottom w:val="single" w:sz="8" w:space="0" w:color="auto"/>
              <w:right w:val="nil"/>
            </w:tcBorders>
            <w:vAlign w:val="center"/>
            <w:hideMark/>
          </w:tcPr>
          <w:p w14:paraId="7F7305D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0.19</w:t>
            </w:r>
          </w:p>
        </w:tc>
        <w:tc>
          <w:tcPr>
            <w:tcW w:w="288" w:type="pct"/>
            <w:tcBorders>
              <w:top w:val="nil"/>
              <w:left w:val="nil"/>
              <w:bottom w:val="single" w:sz="8" w:space="0" w:color="auto"/>
              <w:right w:val="nil"/>
            </w:tcBorders>
            <w:vAlign w:val="center"/>
            <w:hideMark/>
          </w:tcPr>
          <w:p w14:paraId="7AB45A74"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0.15</w:t>
            </w:r>
          </w:p>
        </w:tc>
        <w:tc>
          <w:tcPr>
            <w:tcW w:w="238" w:type="pct"/>
            <w:tcBorders>
              <w:top w:val="nil"/>
              <w:left w:val="nil"/>
              <w:bottom w:val="single" w:sz="8" w:space="0" w:color="auto"/>
              <w:right w:val="nil"/>
            </w:tcBorders>
            <w:vAlign w:val="center"/>
            <w:hideMark/>
          </w:tcPr>
          <w:p w14:paraId="73FF0175"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0.015</w:t>
            </w:r>
          </w:p>
        </w:tc>
        <w:tc>
          <w:tcPr>
            <w:tcW w:w="238" w:type="pct"/>
            <w:tcBorders>
              <w:top w:val="nil"/>
              <w:left w:val="nil"/>
              <w:bottom w:val="single" w:sz="8" w:space="0" w:color="auto"/>
              <w:right w:val="nil"/>
            </w:tcBorders>
            <w:vAlign w:val="center"/>
            <w:hideMark/>
          </w:tcPr>
          <w:p w14:paraId="18E7E64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0.043</w:t>
            </w:r>
          </w:p>
        </w:tc>
        <w:tc>
          <w:tcPr>
            <w:tcW w:w="288" w:type="pct"/>
            <w:tcBorders>
              <w:top w:val="nil"/>
              <w:left w:val="nil"/>
              <w:bottom w:val="single" w:sz="8" w:space="0" w:color="auto"/>
              <w:right w:val="nil"/>
            </w:tcBorders>
            <w:vAlign w:val="center"/>
            <w:hideMark/>
          </w:tcPr>
          <w:p w14:paraId="137B2178"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0.017</w:t>
            </w:r>
          </w:p>
        </w:tc>
        <w:tc>
          <w:tcPr>
            <w:tcW w:w="238" w:type="pct"/>
            <w:tcBorders>
              <w:top w:val="nil"/>
              <w:left w:val="nil"/>
              <w:bottom w:val="single" w:sz="8" w:space="0" w:color="auto"/>
              <w:right w:val="nil"/>
            </w:tcBorders>
            <w:vAlign w:val="center"/>
            <w:hideMark/>
          </w:tcPr>
          <w:p w14:paraId="75BFB7F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0.1</w:t>
            </w:r>
          </w:p>
        </w:tc>
        <w:tc>
          <w:tcPr>
            <w:tcW w:w="238" w:type="pct"/>
            <w:tcBorders>
              <w:top w:val="nil"/>
              <w:left w:val="nil"/>
              <w:bottom w:val="single" w:sz="8" w:space="0" w:color="auto"/>
              <w:right w:val="nil"/>
            </w:tcBorders>
            <w:vAlign w:val="center"/>
            <w:hideMark/>
          </w:tcPr>
          <w:p w14:paraId="57020BA6"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0.12</w:t>
            </w:r>
          </w:p>
        </w:tc>
        <w:tc>
          <w:tcPr>
            <w:tcW w:w="288" w:type="pct"/>
            <w:tcBorders>
              <w:top w:val="nil"/>
              <w:left w:val="nil"/>
              <w:bottom w:val="single" w:sz="8" w:space="0" w:color="auto"/>
              <w:right w:val="nil"/>
            </w:tcBorders>
            <w:vAlign w:val="center"/>
            <w:hideMark/>
          </w:tcPr>
          <w:p w14:paraId="0485B5B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0.08</w:t>
            </w:r>
          </w:p>
        </w:tc>
        <w:tc>
          <w:tcPr>
            <w:tcW w:w="238" w:type="pct"/>
            <w:tcBorders>
              <w:top w:val="nil"/>
              <w:left w:val="nil"/>
              <w:bottom w:val="single" w:sz="8" w:space="0" w:color="auto"/>
              <w:right w:val="nil"/>
            </w:tcBorders>
            <w:vAlign w:val="center"/>
            <w:hideMark/>
          </w:tcPr>
          <w:p w14:paraId="18985811"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2.53</w:t>
            </w:r>
          </w:p>
        </w:tc>
        <w:tc>
          <w:tcPr>
            <w:tcW w:w="270" w:type="pct"/>
            <w:tcBorders>
              <w:top w:val="nil"/>
              <w:left w:val="nil"/>
              <w:bottom w:val="single" w:sz="8" w:space="0" w:color="auto"/>
              <w:right w:val="nil"/>
            </w:tcBorders>
            <w:vAlign w:val="center"/>
            <w:hideMark/>
          </w:tcPr>
          <w:p w14:paraId="277734F5"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2.13</w:t>
            </w:r>
          </w:p>
        </w:tc>
        <w:tc>
          <w:tcPr>
            <w:tcW w:w="288" w:type="pct"/>
            <w:tcBorders>
              <w:top w:val="nil"/>
              <w:left w:val="nil"/>
              <w:bottom w:val="single" w:sz="8" w:space="0" w:color="auto"/>
              <w:right w:val="nil"/>
            </w:tcBorders>
            <w:vAlign w:val="center"/>
            <w:hideMark/>
          </w:tcPr>
          <w:p w14:paraId="233757FF"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1.65</w:t>
            </w:r>
          </w:p>
        </w:tc>
        <w:tc>
          <w:tcPr>
            <w:tcW w:w="238" w:type="pct"/>
            <w:tcBorders>
              <w:top w:val="nil"/>
              <w:left w:val="nil"/>
              <w:bottom w:val="single" w:sz="8" w:space="0" w:color="auto"/>
              <w:right w:val="nil"/>
            </w:tcBorders>
            <w:vAlign w:val="center"/>
            <w:hideMark/>
          </w:tcPr>
          <w:p w14:paraId="1D37A5E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0.96</w:t>
            </w:r>
          </w:p>
        </w:tc>
        <w:tc>
          <w:tcPr>
            <w:tcW w:w="238" w:type="pct"/>
            <w:tcBorders>
              <w:top w:val="nil"/>
              <w:left w:val="nil"/>
              <w:bottom w:val="single" w:sz="8" w:space="0" w:color="auto"/>
              <w:right w:val="nil"/>
            </w:tcBorders>
            <w:vAlign w:val="center"/>
            <w:hideMark/>
          </w:tcPr>
          <w:p w14:paraId="7AE5828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0.83</w:t>
            </w:r>
          </w:p>
        </w:tc>
        <w:tc>
          <w:tcPr>
            <w:tcW w:w="288" w:type="pct"/>
            <w:gridSpan w:val="2"/>
            <w:tcBorders>
              <w:top w:val="nil"/>
              <w:left w:val="nil"/>
              <w:bottom w:val="single" w:sz="8" w:space="0" w:color="auto"/>
              <w:right w:val="nil"/>
            </w:tcBorders>
            <w:vAlign w:val="center"/>
            <w:hideMark/>
          </w:tcPr>
          <w:p w14:paraId="51CEA5C1"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0.64</w:t>
            </w:r>
          </w:p>
        </w:tc>
      </w:tr>
    </w:tbl>
    <w:p w14:paraId="128A01DE" w14:textId="77777777" w:rsidR="005509E1" w:rsidRPr="00AA3FCE" w:rsidRDefault="005509E1" w:rsidP="008259F9">
      <w:pPr>
        <w:pStyle w:val="Heading4"/>
        <w:jc w:val="both"/>
        <w:rPr>
          <w:rFonts w:ascii="Arial" w:hAnsi="Arial" w:cs="Arial"/>
          <w:b/>
          <w:i w:val="0"/>
          <w:color w:val="auto"/>
        </w:rPr>
        <w:sectPr w:rsidR="005509E1" w:rsidRPr="00AA3FCE" w:rsidSect="004E0274">
          <w:pgSz w:w="15840" w:h="12240" w:orient="landscape"/>
          <w:pgMar w:top="1440" w:right="1440" w:bottom="1440" w:left="1440" w:header="720" w:footer="720" w:gutter="0"/>
          <w:cols w:space="720"/>
          <w:docGrid w:linePitch="360"/>
        </w:sectPr>
      </w:pPr>
    </w:p>
    <w:p w14:paraId="53765FEA" w14:textId="77777777" w:rsidR="008259F9" w:rsidRPr="00AA3FCE" w:rsidRDefault="00411434" w:rsidP="008259F9">
      <w:pPr>
        <w:pStyle w:val="Heading4"/>
        <w:jc w:val="both"/>
        <w:rPr>
          <w:rFonts w:ascii="Arial" w:hAnsi="Arial" w:cs="Arial"/>
          <w:b/>
          <w:i w:val="0"/>
          <w:color w:val="auto"/>
        </w:rPr>
      </w:pPr>
      <w:r w:rsidRPr="00AA3FCE">
        <w:rPr>
          <w:rFonts w:ascii="Arial" w:hAnsi="Arial" w:cs="Arial"/>
          <w:b/>
          <w:i w:val="0"/>
          <w:color w:val="auto"/>
        </w:rPr>
        <w:lastRenderedPageBreak/>
        <w:t>3.7</w:t>
      </w:r>
      <w:r w:rsidR="008259F9" w:rsidRPr="00AA3FCE">
        <w:rPr>
          <w:rFonts w:ascii="Arial" w:hAnsi="Arial" w:cs="Arial"/>
          <w:b/>
          <w:i w:val="0"/>
          <w:color w:val="auto"/>
        </w:rPr>
        <w:t xml:space="preserve"> Graphical and Heatmap Analysis</w:t>
      </w:r>
    </w:p>
    <w:p w14:paraId="7F4A6BAC" w14:textId="75CEC183" w:rsidR="008259F9" w:rsidRPr="00AA3FCE" w:rsidRDefault="008259F9" w:rsidP="008259F9">
      <w:pPr>
        <w:pStyle w:val="NormalWeb"/>
        <w:spacing w:line="360" w:lineRule="auto"/>
        <w:jc w:val="both"/>
        <w:rPr>
          <w:rFonts w:ascii="Arial" w:hAnsi="Arial" w:cs="Arial"/>
          <w:sz w:val="22"/>
          <w:szCs w:val="22"/>
        </w:rPr>
      </w:pPr>
      <w:r w:rsidRPr="00AA3FCE">
        <w:rPr>
          <w:rFonts w:ascii="Arial" w:hAnsi="Arial" w:cs="Arial"/>
          <w:sz w:val="22"/>
          <w:szCs w:val="22"/>
        </w:rPr>
        <w:t xml:space="preserve">Year-wise line graphs (Figs. </w:t>
      </w:r>
      <w:r w:rsidR="00FF46C9">
        <w:rPr>
          <w:rFonts w:ascii="Arial" w:hAnsi="Arial" w:cs="Arial"/>
          <w:sz w:val="22"/>
          <w:szCs w:val="22"/>
        </w:rPr>
        <w:t>2</w:t>
      </w:r>
      <w:r w:rsidRPr="00AA3FCE">
        <w:rPr>
          <w:rFonts w:ascii="Arial" w:hAnsi="Arial" w:cs="Arial"/>
          <w:sz w:val="22"/>
          <w:szCs w:val="22"/>
        </w:rPr>
        <w:t>) indicated slightly higher plant height and number of fruits per plant in 2023–24 compared to 2022–23, reflecting favourable seasonal conditions. The relative performance of treatments remained consistent, with T</w:t>
      </w:r>
      <w:r w:rsidRPr="00AA3FCE">
        <w:rPr>
          <w:rFonts w:ascii="Cambria Math" w:hAnsi="Cambria Math" w:cs="Cambria Math"/>
          <w:sz w:val="22"/>
          <w:szCs w:val="22"/>
        </w:rPr>
        <w:t>₅</w:t>
      </w:r>
      <w:r w:rsidRPr="00AA3FCE">
        <w:rPr>
          <w:rFonts w:ascii="Arial" w:hAnsi="Arial" w:cs="Arial"/>
          <w:sz w:val="22"/>
          <w:szCs w:val="22"/>
        </w:rPr>
        <w:t xml:space="preserve"> and T</w:t>
      </w:r>
      <w:r w:rsidRPr="00AA3FCE">
        <w:rPr>
          <w:rFonts w:ascii="Cambria Math" w:hAnsi="Cambria Math" w:cs="Cambria Math"/>
          <w:sz w:val="22"/>
          <w:szCs w:val="22"/>
        </w:rPr>
        <w:t>₇</w:t>
      </w:r>
      <w:r w:rsidRPr="00AA3FCE">
        <w:rPr>
          <w:rFonts w:ascii="Arial" w:hAnsi="Arial" w:cs="Arial"/>
          <w:sz w:val="22"/>
          <w:szCs w:val="22"/>
        </w:rPr>
        <w:t xml:space="preserve"> outperforming others in both years.</w:t>
      </w:r>
    </w:p>
    <w:p w14:paraId="65119341" w14:textId="77777777" w:rsidR="00487C38" w:rsidRPr="00AA3FCE" w:rsidRDefault="003D1061" w:rsidP="00487C38">
      <w:pPr>
        <w:pStyle w:val="NormalWeb"/>
        <w:keepNext/>
        <w:spacing w:line="360" w:lineRule="auto"/>
        <w:jc w:val="both"/>
        <w:rPr>
          <w:rFonts w:ascii="Arial" w:hAnsi="Arial" w:cs="Arial"/>
          <w:sz w:val="22"/>
          <w:szCs w:val="22"/>
        </w:rPr>
      </w:pPr>
      <w:r w:rsidRPr="00AA3FCE">
        <w:rPr>
          <w:rFonts w:ascii="Arial" w:hAnsi="Arial" w:cs="Arial"/>
          <w:noProof/>
          <w:sz w:val="22"/>
          <w:szCs w:val="22"/>
        </w:rPr>
        <w:drawing>
          <wp:inline distT="0" distB="0" distL="0" distR="0" wp14:anchorId="0A84AB92" wp14:editId="71F51A14">
            <wp:extent cx="5212080" cy="2499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traits line graph.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2499360"/>
                    </a:xfrm>
                    <a:prstGeom prst="rect">
                      <a:avLst/>
                    </a:prstGeom>
                  </pic:spPr>
                </pic:pic>
              </a:graphicData>
            </a:graphic>
          </wp:inline>
        </w:drawing>
      </w:r>
    </w:p>
    <w:p w14:paraId="6E4B027F" w14:textId="53ED54EF" w:rsidR="003D1061" w:rsidRPr="00AA3FCE" w:rsidRDefault="00487C38" w:rsidP="00487C38">
      <w:pPr>
        <w:pStyle w:val="Caption"/>
        <w:jc w:val="both"/>
        <w:rPr>
          <w:rFonts w:ascii="Arial" w:hAnsi="Arial" w:cs="Arial"/>
          <w:color w:val="auto"/>
          <w:sz w:val="22"/>
          <w:szCs w:val="22"/>
        </w:rPr>
      </w:pPr>
      <w:r w:rsidRPr="00AA3FCE">
        <w:rPr>
          <w:rFonts w:ascii="Arial" w:hAnsi="Arial" w:cs="Arial"/>
          <w:color w:val="auto"/>
          <w:sz w:val="22"/>
          <w:szCs w:val="22"/>
        </w:rPr>
        <w:t xml:space="preserve">Fig. </w:t>
      </w:r>
      <w:r w:rsidR="00A35BB0">
        <w:rPr>
          <w:rFonts w:ascii="Arial" w:hAnsi="Arial" w:cs="Arial"/>
          <w:color w:val="auto"/>
          <w:sz w:val="22"/>
          <w:szCs w:val="22"/>
        </w:rPr>
        <w:t>2</w:t>
      </w:r>
      <w:r w:rsidR="00BB0239" w:rsidRPr="00AA3FCE">
        <w:rPr>
          <w:rFonts w:ascii="Arial" w:hAnsi="Arial" w:cs="Arial"/>
          <w:color w:val="auto"/>
          <w:sz w:val="22"/>
          <w:szCs w:val="22"/>
        </w:rPr>
        <w:t xml:space="preserve">. Year-wise (2022–23, 2023–24) and pooled performance of </w:t>
      </w:r>
      <w:proofErr w:type="spellStart"/>
      <w:r w:rsidR="00BB0239" w:rsidRPr="00AA3FCE">
        <w:rPr>
          <w:rFonts w:ascii="Arial" w:hAnsi="Arial" w:cs="Arial"/>
          <w:color w:val="auto"/>
          <w:sz w:val="22"/>
          <w:szCs w:val="22"/>
        </w:rPr>
        <w:t>chilli</w:t>
      </w:r>
      <w:proofErr w:type="spellEnd"/>
      <w:r w:rsidR="00BB0239" w:rsidRPr="00AA3FCE">
        <w:rPr>
          <w:rFonts w:ascii="Arial" w:hAnsi="Arial" w:cs="Arial"/>
          <w:color w:val="auto"/>
          <w:sz w:val="22"/>
          <w:szCs w:val="22"/>
        </w:rPr>
        <w:t xml:space="preserve"> under different INM treatments for key growth and yield attributes.</w:t>
      </w:r>
    </w:p>
    <w:p w14:paraId="4EABB2D4" w14:textId="1949BF4C" w:rsidR="000C16DC" w:rsidRPr="000C16DC" w:rsidRDefault="008259F9" w:rsidP="000C16DC">
      <w:pPr>
        <w:spacing w:line="360" w:lineRule="auto"/>
        <w:jc w:val="both"/>
        <w:rPr>
          <w:rFonts w:ascii="Arial" w:hAnsi="Arial" w:cs="Arial"/>
          <w:sz w:val="22"/>
        </w:rPr>
      </w:pPr>
      <w:r w:rsidRPr="00AA3FCE">
        <w:rPr>
          <w:rFonts w:ascii="Arial" w:hAnsi="Arial" w:cs="Arial"/>
          <w:sz w:val="22"/>
          <w:szCs w:val="22"/>
        </w:rPr>
        <w:t xml:space="preserve">The pooled heatmap (Fig. </w:t>
      </w:r>
      <w:r w:rsidR="00A35BB0">
        <w:rPr>
          <w:rFonts w:ascii="Arial" w:hAnsi="Arial" w:cs="Arial"/>
          <w:sz w:val="22"/>
          <w:szCs w:val="22"/>
        </w:rPr>
        <w:t>3</w:t>
      </w:r>
      <w:r w:rsidRPr="00AA3FCE">
        <w:rPr>
          <w:rFonts w:ascii="Arial" w:hAnsi="Arial" w:cs="Arial"/>
          <w:sz w:val="22"/>
          <w:szCs w:val="22"/>
        </w:rPr>
        <w:t>) illustrated treatment responses across all traits. T</w:t>
      </w:r>
      <w:r w:rsidRPr="00AA3FCE">
        <w:rPr>
          <w:rFonts w:ascii="Cambria Math" w:hAnsi="Cambria Math" w:cs="Cambria Math"/>
          <w:sz w:val="22"/>
          <w:szCs w:val="22"/>
        </w:rPr>
        <w:t>₅</w:t>
      </w:r>
      <w:r w:rsidRPr="00AA3FCE">
        <w:rPr>
          <w:rFonts w:ascii="Arial" w:hAnsi="Arial" w:cs="Arial"/>
          <w:sz w:val="22"/>
          <w:szCs w:val="22"/>
        </w:rPr>
        <w:t xml:space="preserve"> and T</w:t>
      </w:r>
      <w:r w:rsidRPr="00AA3FCE">
        <w:rPr>
          <w:rFonts w:ascii="Cambria Math" w:hAnsi="Cambria Math" w:cs="Cambria Math"/>
          <w:sz w:val="22"/>
          <w:szCs w:val="22"/>
        </w:rPr>
        <w:t>₇</w:t>
      </w:r>
      <w:r w:rsidRPr="00AA3FCE">
        <w:rPr>
          <w:rFonts w:ascii="Arial" w:hAnsi="Arial" w:cs="Arial"/>
          <w:sz w:val="22"/>
          <w:szCs w:val="22"/>
        </w:rPr>
        <w:t xml:space="preserve"> exhibited darker intensities for NPB, NFP, and FYPP, indicating superior performance, while T</w:t>
      </w:r>
      <w:r w:rsidRPr="00AA3FCE">
        <w:rPr>
          <w:rFonts w:ascii="Cambria Math" w:hAnsi="Cambria Math" w:cs="Cambria Math"/>
          <w:sz w:val="22"/>
          <w:szCs w:val="22"/>
        </w:rPr>
        <w:t>₁₃</w:t>
      </w:r>
      <w:r w:rsidRPr="00AA3FCE">
        <w:rPr>
          <w:rFonts w:ascii="Arial" w:hAnsi="Arial" w:cs="Arial"/>
          <w:sz w:val="22"/>
          <w:szCs w:val="22"/>
        </w:rPr>
        <w:t xml:space="preserve"> consistently showed lighter shades, highlighting poor growth and yield without nutrient supplementation. The heatmap, together with the line graphs, provides a holistic overview, confirming the effectiveness of integrated nutrient management in enhancing early growth and productivity of the crop. Conversely, the control (T</w:t>
      </w:r>
      <w:r w:rsidRPr="00AA3FCE">
        <w:rPr>
          <w:rFonts w:ascii="Arial" w:hAnsi="Arial" w:cs="Arial"/>
          <w:sz w:val="22"/>
          <w:szCs w:val="22"/>
          <w:vertAlign w:val="subscript"/>
        </w:rPr>
        <w:t>13</w:t>
      </w:r>
      <w:r w:rsidRPr="00AA3FCE">
        <w:rPr>
          <w:rFonts w:ascii="Arial" w:hAnsi="Arial" w:cs="Arial"/>
          <w:sz w:val="22"/>
          <w:szCs w:val="22"/>
        </w:rPr>
        <w:t>) consistently exhibited the lowest intensities across most traits, reflecting poor growth and yield without nutrient supplementation.</w:t>
      </w:r>
      <w:r w:rsidR="000C16DC">
        <w:rPr>
          <w:rFonts w:ascii="Arial" w:hAnsi="Arial" w:cs="Arial"/>
          <w:sz w:val="22"/>
          <w:szCs w:val="22"/>
        </w:rPr>
        <w:t xml:space="preserve"> </w:t>
      </w:r>
      <w:proofErr w:type="gramStart"/>
      <w:r w:rsidR="000C16DC" w:rsidRPr="000C16DC">
        <w:rPr>
          <w:rFonts w:ascii="Arial" w:hAnsi="Arial" w:cs="Arial"/>
          <w:sz w:val="22"/>
        </w:rPr>
        <w:t>These</w:t>
      </w:r>
      <w:r w:rsidR="000C16DC">
        <w:rPr>
          <w:rFonts w:ascii="Arial" w:hAnsi="Arial" w:cs="Arial"/>
          <w:sz w:val="22"/>
        </w:rPr>
        <w:t xml:space="preserve">  </w:t>
      </w:r>
      <w:r w:rsidR="000C16DC" w:rsidRPr="000C16DC">
        <w:rPr>
          <w:rFonts w:ascii="Arial" w:hAnsi="Arial" w:cs="Arial"/>
          <w:sz w:val="22"/>
        </w:rPr>
        <w:t>findings</w:t>
      </w:r>
      <w:proofErr w:type="gramEnd"/>
      <w:r w:rsidR="000C16DC" w:rsidRPr="000C16DC">
        <w:rPr>
          <w:rFonts w:ascii="Arial" w:hAnsi="Arial" w:cs="Arial"/>
          <w:sz w:val="22"/>
        </w:rPr>
        <w:t xml:space="preserve"> are in line with Kumar et al. (2020) and Jain et al. (2019).</w:t>
      </w:r>
    </w:p>
    <w:p w14:paraId="2BF8500D" w14:textId="77777777" w:rsidR="00487C38" w:rsidRPr="00AA3FCE" w:rsidRDefault="003D1061" w:rsidP="000C16DC">
      <w:pPr>
        <w:spacing w:line="360" w:lineRule="auto"/>
        <w:jc w:val="both"/>
        <w:rPr>
          <w:rFonts w:ascii="Arial" w:hAnsi="Arial" w:cs="Arial"/>
          <w:sz w:val="22"/>
          <w:szCs w:val="22"/>
        </w:rPr>
      </w:pPr>
      <w:r w:rsidRPr="00AA3FCE">
        <w:rPr>
          <w:rFonts w:ascii="Arial" w:hAnsi="Arial" w:cs="Arial"/>
          <w:noProof/>
          <w:sz w:val="22"/>
          <w:szCs w:val="22"/>
          <w:lang w:val="en-IN" w:eastAsia="en-IN"/>
        </w:rPr>
        <w:lastRenderedPageBreak/>
        <w:drawing>
          <wp:inline distT="0" distB="0" distL="0" distR="0" wp14:anchorId="63F1AB07" wp14:editId="042DF3F8">
            <wp:extent cx="5212080" cy="2282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ggggggggggggggggg.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080" cy="2282825"/>
                    </a:xfrm>
                    <a:prstGeom prst="rect">
                      <a:avLst/>
                    </a:prstGeom>
                  </pic:spPr>
                </pic:pic>
              </a:graphicData>
            </a:graphic>
          </wp:inline>
        </w:drawing>
      </w:r>
    </w:p>
    <w:p w14:paraId="7023BED0" w14:textId="0F6C7CFA" w:rsidR="00487C38" w:rsidRPr="00AA3FCE" w:rsidRDefault="00487C38" w:rsidP="00487C38">
      <w:pPr>
        <w:autoSpaceDE w:val="0"/>
        <w:autoSpaceDN w:val="0"/>
        <w:adjustRightInd w:val="0"/>
        <w:jc w:val="both"/>
        <w:rPr>
          <w:rFonts w:ascii="Arial" w:hAnsi="Arial" w:cs="Arial"/>
          <w:b/>
          <w:bCs/>
          <w:sz w:val="22"/>
          <w:szCs w:val="22"/>
        </w:rPr>
      </w:pPr>
      <w:r w:rsidRPr="000C16DC">
        <w:rPr>
          <w:rFonts w:ascii="Arial" w:hAnsi="Arial" w:cs="Arial"/>
          <w:b/>
          <w:sz w:val="22"/>
          <w:szCs w:val="22"/>
        </w:rPr>
        <w:t xml:space="preserve">Fig. </w:t>
      </w:r>
      <w:r w:rsidR="00A35BB0">
        <w:rPr>
          <w:rFonts w:ascii="Arial" w:hAnsi="Arial" w:cs="Arial"/>
          <w:b/>
          <w:sz w:val="22"/>
          <w:szCs w:val="22"/>
        </w:rPr>
        <w:t>3</w:t>
      </w:r>
      <w:r w:rsidRPr="00AA3FCE">
        <w:rPr>
          <w:rFonts w:ascii="Arial" w:hAnsi="Arial" w:cs="Arial"/>
          <w:sz w:val="22"/>
          <w:szCs w:val="22"/>
        </w:rPr>
        <w:t xml:space="preserve">. </w:t>
      </w:r>
      <w:r w:rsidRPr="00AA3FCE">
        <w:rPr>
          <w:rFonts w:ascii="Arial" w:hAnsi="Arial" w:cs="Arial"/>
          <w:b/>
          <w:bCs/>
          <w:sz w:val="22"/>
          <w:szCs w:val="22"/>
        </w:rPr>
        <w:t xml:space="preserve">Effect of Integrated nutrient management on </w:t>
      </w:r>
      <w:proofErr w:type="spellStart"/>
      <w:r w:rsidR="00932538" w:rsidRPr="00AA3FCE">
        <w:rPr>
          <w:rFonts w:ascii="Arial" w:hAnsi="Arial" w:cs="Arial"/>
          <w:b/>
          <w:bCs/>
          <w:sz w:val="22"/>
          <w:szCs w:val="22"/>
        </w:rPr>
        <w:t>chilli</w:t>
      </w:r>
      <w:proofErr w:type="spellEnd"/>
      <w:r w:rsidRPr="00AA3FCE">
        <w:rPr>
          <w:rFonts w:ascii="Arial" w:hAnsi="Arial" w:cs="Arial"/>
          <w:b/>
          <w:bCs/>
          <w:sz w:val="22"/>
          <w:szCs w:val="22"/>
        </w:rPr>
        <w:t xml:space="preserve"> growth and yield attributes </w:t>
      </w:r>
    </w:p>
    <w:p w14:paraId="265C2554" w14:textId="77777777" w:rsidR="00927834" w:rsidRPr="00AA3FCE" w:rsidRDefault="00927834" w:rsidP="00441B6F">
      <w:pPr>
        <w:autoSpaceDE w:val="0"/>
        <w:autoSpaceDN w:val="0"/>
        <w:adjustRightInd w:val="0"/>
        <w:jc w:val="both"/>
        <w:rPr>
          <w:rFonts w:ascii="Arial" w:hAnsi="Arial" w:cs="Arial"/>
          <w:b/>
          <w:bCs/>
          <w:sz w:val="22"/>
          <w:szCs w:val="22"/>
        </w:rPr>
      </w:pPr>
    </w:p>
    <w:p w14:paraId="3810D36B" w14:textId="77777777" w:rsidR="00B01FCD" w:rsidRPr="00AA3FCE" w:rsidRDefault="00000F8F" w:rsidP="00441B6F">
      <w:pPr>
        <w:pStyle w:val="ConcHead"/>
        <w:spacing w:after="0"/>
        <w:jc w:val="both"/>
        <w:rPr>
          <w:rFonts w:ascii="Arial" w:hAnsi="Arial" w:cs="Arial"/>
          <w:szCs w:val="22"/>
        </w:rPr>
      </w:pPr>
      <w:r w:rsidRPr="00AA3FCE">
        <w:rPr>
          <w:rFonts w:ascii="Arial" w:hAnsi="Arial" w:cs="Arial"/>
          <w:szCs w:val="22"/>
        </w:rPr>
        <w:t xml:space="preserve">4. </w:t>
      </w:r>
      <w:r w:rsidR="00B01FCD" w:rsidRPr="00AA3FCE">
        <w:rPr>
          <w:rFonts w:ascii="Arial" w:hAnsi="Arial" w:cs="Arial"/>
          <w:szCs w:val="22"/>
        </w:rPr>
        <w:t>Conclusion</w:t>
      </w:r>
    </w:p>
    <w:p w14:paraId="788B89C8" w14:textId="77777777" w:rsidR="00790ADA" w:rsidRPr="00AA3FCE" w:rsidRDefault="00790ADA" w:rsidP="00441B6F">
      <w:pPr>
        <w:pStyle w:val="ConcHead"/>
        <w:spacing w:after="0"/>
        <w:jc w:val="both"/>
        <w:rPr>
          <w:rFonts w:ascii="Arial" w:hAnsi="Arial" w:cs="Arial"/>
          <w:szCs w:val="22"/>
        </w:rPr>
      </w:pPr>
    </w:p>
    <w:p w14:paraId="1C31BCAA" w14:textId="77777777" w:rsidR="00790748" w:rsidRPr="00AA3FCE" w:rsidRDefault="00790748" w:rsidP="00F35D3A">
      <w:pPr>
        <w:pStyle w:val="Body"/>
        <w:spacing w:after="0" w:line="360" w:lineRule="auto"/>
        <w:rPr>
          <w:rFonts w:ascii="Arial" w:hAnsi="Arial" w:cs="Arial"/>
          <w:sz w:val="22"/>
          <w:szCs w:val="22"/>
        </w:rPr>
      </w:pPr>
      <w:r w:rsidRPr="00AA3FCE">
        <w:rPr>
          <w:rFonts w:ascii="Arial" w:hAnsi="Arial" w:cs="Arial"/>
          <w:sz w:val="22"/>
          <w:szCs w:val="22"/>
        </w:rPr>
        <w:t xml:space="preserve">Integrated nutrient management (INM) significantly improved the growth and yield attributes of </w:t>
      </w:r>
      <w:proofErr w:type="spellStart"/>
      <w:r w:rsidRPr="00AA3FCE">
        <w:rPr>
          <w:rFonts w:ascii="Arial" w:hAnsi="Arial" w:cs="Arial"/>
          <w:sz w:val="22"/>
          <w:szCs w:val="22"/>
        </w:rPr>
        <w:t>chilli</w:t>
      </w:r>
      <w:proofErr w:type="spellEnd"/>
      <w:r w:rsidRPr="00AA3FCE">
        <w:rPr>
          <w:rFonts w:ascii="Arial" w:hAnsi="Arial" w:cs="Arial"/>
          <w:sz w:val="22"/>
          <w:szCs w:val="22"/>
        </w:rPr>
        <w:t>. Treatments T</w:t>
      </w:r>
      <w:r w:rsidRPr="00AA3FCE">
        <w:rPr>
          <w:rFonts w:ascii="Cambria Math" w:hAnsi="Cambria Math" w:cs="Cambria Math"/>
          <w:sz w:val="22"/>
          <w:szCs w:val="22"/>
        </w:rPr>
        <w:t>₅</w:t>
      </w:r>
      <w:r w:rsidRPr="00AA3FCE">
        <w:rPr>
          <w:rFonts w:ascii="Arial" w:hAnsi="Arial" w:cs="Arial"/>
          <w:sz w:val="22"/>
          <w:szCs w:val="22"/>
        </w:rPr>
        <w:t xml:space="preserve"> (RDF 50% + Vermicompost 50% + Biofertilizers) and T</w:t>
      </w:r>
      <w:r w:rsidRPr="00AA3FCE">
        <w:rPr>
          <w:rFonts w:ascii="Cambria Math" w:hAnsi="Cambria Math" w:cs="Cambria Math"/>
          <w:sz w:val="22"/>
          <w:szCs w:val="22"/>
        </w:rPr>
        <w:t>₇</w:t>
      </w:r>
      <w:r w:rsidRPr="00AA3FCE">
        <w:rPr>
          <w:rFonts w:ascii="Arial" w:hAnsi="Arial" w:cs="Arial"/>
          <w:sz w:val="22"/>
          <w:szCs w:val="22"/>
        </w:rPr>
        <w:t xml:space="preserve"> (RDF 50% + Poultry Manure 50% + Biofertilizers) consistently outperformed others, while the control (T</w:t>
      </w:r>
      <w:r w:rsidRPr="00AA3FCE">
        <w:rPr>
          <w:rFonts w:ascii="Cambria Math" w:hAnsi="Cambria Math" w:cs="Cambria Math"/>
          <w:sz w:val="22"/>
          <w:szCs w:val="22"/>
        </w:rPr>
        <w:t>₁₃</w:t>
      </w:r>
      <w:r w:rsidRPr="00AA3FCE">
        <w:rPr>
          <w:rFonts w:ascii="Arial" w:hAnsi="Arial" w:cs="Arial"/>
          <w:sz w:val="22"/>
          <w:szCs w:val="22"/>
        </w:rPr>
        <w:t xml:space="preserve">) recorded the lowest values. The results confirm that combining organic manures, chemical fertilizers, and biofertilizers enhances </w:t>
      </w:r>
      <w:proofErr w:type="spellStart"/>
      <w:r w:rsidRPr="00AA3FCE">
        <w:rPr>
          <w:rFonts w:ascii="Arial" w:hAnsi="Arial" w:cs="Arial"/>
          <w:sz w:val="22"/>
          <w:szCs w:val="22"/>
        </w:rPr>
        <w:t>chilli</w:t>
      </w:r>
      <w:proofErr w:type="spellEnd"/>
      <w:r w:rsidRPr="00AA3FCE">
        <w:rPr>
          <w:rFonts w:ascii="Arial" w:hAnsi="Arial" w:cs="Arial"/>
          <w:sz w:val="22"/>
          <w:szCs w:val="22"/>
        </w:rPr>
        <w:t xml:space="preserve"> productivity and ensures sustainable nutrient management.</w:t>
      </w:r>
    </w:p>
    <w:p w14:paraId="3B1F74BD" w14:textId="77777777" w:rsidR="00790ADA" w:rsidRPr="00AA3FCE" w:rsidRDefault="00790ADA" w:rsidP="00F35D3A">
      <w:pPr>
        <w:pStyle w:val="Body"/>
        <w:spacing w:after="0" w:line="360" w:lineRule="auto"/>
        <w:rPr>
          <w:rFonts w:ascii="Arial" w:hAnsi="Arial" w:cs="Arial"/>
          <w:sz w:val="22"/>
          <w:szCs w:val="22"/>
        </w:rPr>
      </w:pPr>
    </w:p>
    <w:p w14:paraId="2C371C14" w14:textId="77777777" w:rsidR="001A29D8" w:rsidRPr="00AA3FCE" w:rsidRDefault="001A29D8" w:rsidP="00441B6F">
      <w:pPr>
        <w:pStyle w:val="ReferHead"/>
        <w:spacing w:after="0"/>
        <w:jc w:val="both"/>
        <w:rPr>
          <w:rFonts w:ascii="Arial" w:hAnsi="Arial" w:cs="Arial"/>
          <w:b w:val="0"/>
          <w:caps w:val="0"/>
          <w:szCs w:val="22"/>
        </w:rPr>
      </w:pPr>
      <w:bookmarkStart w:id="0" w:name="_GoBack"/>
      <w:bookmarkEnd w:id="0"/>
    </w:p>
    <w:p w14:paraId="593CFDFC" w14:textId="77777777" w:rsidR="00B01FCD" w:rsidRPr="00AA3FCE" w:rsidRDefault="00B01FCD" w:rsidP="00441B6F">
      <w:pPr>
        <w:pStyle w:val="ReferHead"/>
        <w:spacing w:after="0"/>
        <w:jc w:val="both"/>
        <w:rPr>
          <w:rFonts w:ascii="Arial" w:hAnsi="Arial" w:cs="Arial"/>
          <w:szCs w:val="22"/>
        </w:rPr>
      </w:pPr>
      <w:r w:rsidRPr="00AA3FCE">
        <w:rPr>
          <w:rFonts w:ascii="Arial" w:hAnsi="Arial" w:cs="Arial"/>
          <w:szCs w:val="22"/>
        </w:rPr>
        <w:t>References</w:t>
      </w:r>
    </w:p>
    <w:p w14:paraId="13E89AC5"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Shashidhara</w:t>
      </w:r>
      <w:proofErr w:type="spellEnd"/>
      <w:r w:rsidRPr="00AA3FCE">
        <w:rPr>
          <w:rFonts w:ascii="Arial" w:hAnsi="Arial" w:cs="Arial"/>
          <w:sz w:val="22"/>
          <w:szCs w:val="22"/>
          <w:lang w:eastAsia="en-IN"/>
        </w:rPr>
        <w:t xml:space="preserve">, G. B., </w:t>
      </w:r>
      <w:proofErr w:type="spellStart"/>
      <w:r w:rsidRPr="00AA3FCE">
        <w:rPr>
          <w:rFonts w:ascii="Arial" w:hAnsi="Arial" w:cs="Arial"/>
          <w:sz w:val="22"/>
          <w:szCs w:val="22"/>
          <w:lang w:eastAsia="en-IN"/>
        </w:rPr>
        <w:t>Babu</w:t>
      </w:r>
      <w:proofErr w:type="spellEnd"/>
      <w:r w:rsidRPr="00AA3FCE">
        <w:rPr>
          <w:rFonts w:ascii="Arial" w:hAnsi="Arial" w:cs="Arial"/>
          <w:sz w:val="22"/>
          <w:szCs w:val="22"/>
          <w:lang w:eastAsia="en-IN"/>
        </w:rPr>
        <w:t xml:space="preserve">, R., &amp; Reddy, S. N. (2007). Effect of different levels of nitrogen and phosphorus on growth, yield and quality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Karnataka Journal of Agricultural Sciences</w:t>
      </w:r>
      <w:r w:rsidRPr="00AA3FCE">
        <w:rPr>
          <w:rFonts w:ascii="Arial" w:hAnsi="Arial" w:cs="Arial"/>
          <w:sz w:val="22"/>
          <w:szCs w:val="22"/>
          <w:lang w:eastAsia="en-IN"/>
        </w:rPr>
        <w:t>, 20(2), 385–387.</w:t>
      </w:r>
    </w:p>
    <w:p w14:paraId="5D863275"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Sujana</w:t>
      </w:r>
      <w:proofErr w:type="spellEnd"/>
      <w:r w:rsidRPr="00AA3FCE">
        <w:rPr>
          <w:rFonts w:ascii="Arial" w:hAnsi="Arial" w:cs="Arial"/>
          <w:sz w:val="22"/>
          <w:szCs w:val="22"/>
          <w:lang w:eastAsia="en-IN"/>
        </w:rPr>
        <w:t xml:space="preserve">, P., Kumar, M. R., &amp; Reddy, S. S. (2019). Effect of integrated nutrient management on growth and yield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International Journal of Chemical Studies</w:t>
      </w:r>
      <w:r w:rsidRPr="00AA3FCE">
        <w:rPr>
          <w:rFonts w:ascii="Arial" w:hAnsi="Arial" w:cs="Arial"/>
          <w:sz w:val="22"/>
          <w:szCs w:val="22"/>
          <w:lang w:eastAsia="en-IN"/>
        </w:rPr>
        <w:t>, 7(1), 1182–1186.</w:t>
      </w:r>
    </w:p>
    <w:p w14:paraId="004AA9DE"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Khurshid, A., Singh, R. P., &amp; Kumar, P. (2021). Nutrient management practices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for sustainable production. </w:t>
      </w:r>
      <w:r w:rsidRPr="00AA3FCE">
        <w:rPr>
          <w:rFonts w:ascii="Arial" w:hAnsi="Arial" w:cs="Arial"/>
          <w:i/>
          <w:iCs/>
          <w:sz w:val="22"/>
          <w:szCs w:val="22"/>
          <w:lang w:eastAsia="en-IN"/>
        </w:rPr>
        <w:t>Journal of Pharmacognosy and Phytochemistry</w:t>
      </w:r>
      <w:r w:rsidRPr="00AA3FCE">
        <w:rPr>
          <w:rFonts w:ascii="Arial" w:hAnsi="Arial" w:cs="Arial"/>
          <w:sz w:val="22"/>
          <w:szCs w:val="22"/>
          <w:lang w:eastAsia="en-IN"/>
        </w:rPr>
        <w:t>, 10(1), 1412–1416.</w:t>
      </w:r>
    </w:p>
    <w:p w14:paraId="4B636AB0"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Liu, E., Yan, C., Mei, X., Zhang, Y., Fan, T., &amp; </w:t>
      </w:r>
      <w:proofErr w:type="spellStart"/>
      <w:r w:rsidRPr="00AA3FCE">
        <w:rPr>
          <w:rFonts w:ascii="Arial" w:hAnsi="Arial" w:cs="Arial"/>
          <w:sz w:val="22"/>
          <w:szCs w:val="22"/>
          <w:lang w:eastAsia="en-IN"/>
        </w:rPr>
        <w:t>Ruan</w:t>
      </w:r>
      <w:proofErr w:type="spellEnd"/>
      <w:r w:rsidRPr="00AA3FCE">
        <w:rPr>
          <w:rFonts w:ascii="Arial" w:hAnsi="Arial" w:cs="Arial"/>
          <w:sz w:val="22"/>
          <w:szCs w:val="22"/>
          <w:lang w:eastAsia="en-IN"/>
        </w:rPr>
        <w:t xml:space="preserve">, H. (2010). Long-term effect of chemical fertilizer, straw, and manure on soil chemical and biological properties in </w:t>
      </w:r>
      <w:r w:rsidRPr="00AA3FCE">
        <w:rPr>
          <w:rFonts w:ascii="Arial" w:hAnsi="Arial" w:cs="Arial"/>
          <w:sz w:val="22"/>
          <w:szCs w:val="22"/>
          <w:lang w:eastAsia="en-IN"/>
        </w:rPr>
        <w:lastRenderedPageBreak/>
        <w:t xml:space="preserve">northwest China. </w:t>
      </w:r>
      <w:proofErr w:type="spellStart"/>
      <w:r w:rsidRPr="00AA3FCE">
        <w:rPr>
          <w:rFonts w:ascii="Arial" w:hAnsi="Arial" w:cs="Arial"/>
          <w:i/>
          <w:iCs/>
          <w:sz w:val="22"/>
          <w:szCs w:val="22"/>
          <w:lang w:eastAsia="en-IN"/>
        </w:rPr>
        <w:t>Geoderma</w:t>
      </w:r>
      <w:proofErr w:type="spellEnd"/>
      <w:r w:rsidRPr="00AA3FCE">
        <w:rPr>
          <w:rFonts w:ascii="Arial" w:hAnsi="Arial" w:cs="Arial"/>
          <w:sz w:val="22"/>
          <w:szCs w:val="22"/>
          <w:lang w:eastAsia="en-IN"/>
        </w:rPr>
        <w:t>, 158(3–4), 173–180. https://doi.org/10.1016/j.geoderma.2010.04.029</w:t>
      </w:r>
    </w:p>
    <w:p w14:paraId="4000AEE4"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Arancon</w:t>
      </w:r>
      <w:proofErr w:type="spellEnd"/>
      <w:r w:rsidRPr="00AA3FCE">
        <w:rPr>
          <w:rFonts w:ascii="Arial" w:hAnsi="Arial" w:cs="Arial"/>
          <w:sz w:val="22"/>
          <w:szCs w:val="22"/>
          <w:lang w:eastAsia="en-IN"/>
        </w:rPr>
        <w:t xml:space="preserve">, N. Q., Edwards, C. A., Bierman, P., Welch, C., &amp; Metzger, J. D. (2005). Influences of </w:t>
      </w:r>
      <w:proofErr w:type="spellStart"/>
      <w:r w:rsidRPr="00AA3FCE">
        <w:rPr>
          <w:rFonts w:ascii="Arial" w:hAnsi="Arial" w:cs="Arial"/>
          <w:sz w:val="22"/>
          <w:szCs w:val="22"/>
          <w:lang w:eastAsia="en-IN"/>
        </w:rPr>
        <w:t>vermicomposts</w:t>
      </w:r>
      <w:proofErr w:type="spellEnd"/>
      <w:r w:rsidRPr="00AA3FCE">
        <w:rPr>
          <w:rFonts w:ascii="Arial" w:hAnsi="Arial" w:cs="Arial"/>
          <w:sz w:val="22"/>
          <w:szCs w:val="22"/>
          <w:lang w:eastAsia="en-IN"/>
        </w:rPr>
        <w:t xml:space="preserve"> on field strawberries: 1. Effects on growth and yields. </w:t>
      </w:r>
      <w:r w:rsidRPr="00AA3FCE">
        <w:rPr>
          <w:rFonts w:ascii="Arial" w:hAnsi="Arial" w:cs="Arial"/>
          <w:i/>
          <w:iCs/>
          <w:sz w:val="22"/>
          <w:szCs w:val="22"/>
          <w:lang w:eastAsia="en-IN"/>
        </w:rPr>
        <w:t>Bioresource Technology</w:t>
      </w:r>
      <w:r w:rsidRPr="00AA3FCE">
        <w:rPr>
          <w:rFonts w:ascii="Arial" w:hAnsi="Arial" w:cs="Arial"/>
          <w:sz w:val="22"/>
          <w:szCs w:val="22"/>
          <w:lang w:eastAsia="en-IN"/>
        </w:rPr>
        <w:t>, 93(2), 145–153. https://doi.org/10.1016/j.biortech.2003.10.014</w:t>
      </w:r>
    </w:p>
    <w:p w14:paraId="75423798"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Densilin</w:t>
      </w:r>
      <w:proofErr w:type="spellEnd"/>
      <w:r w:rsidRPr="00AA3FCE">
        <w:rPr>
          <w:rFonts w:ascii="Arial" w:hAnsi="Arial" w:cs="Arial"/>
          <w:sz w:val="22"/>
          <w:szCs w:val="22"/>
          <w:lang w:eastAsia="en-IN"/>
        </w:rPr>
        <w:t xml:space="preserve">, D. M., </w:t>
      </w:r>
      <w:proofErr w:type="spellStart"/>
      <w:r w:rsidRPr="00AA3FCE">
        <w:rPr>
          <w:rFonts w:ascii="Arial" w:hAnsi="Arial" w:cs="Arial"/>
          <w:sz w:val="22"/>
          <w:szCs w:val="22"/>
          <w:lang w:eastAsia="en-IN"/>
        </w:rPr>
        <w:t>Muthumanickam</w:t>
      </w:r>
      <w:proofErr w:type="spellEnd"/>
      <w:r w:rsidRPr="00AA3FCE">
        <w:rPr>
          <w:rFonts w:ascii="Arial" w:hAnsi="Arial" w:cs="Arial"/>
          <w:sz w:val="22"/>
          <w:szCs w:val="22"/>
          <w:lang w:eastAsia="en-IN"/>
        </w:rPr>
        <w:t xml:space="preserve">, D., &amp; </w:t>
      </w:r>
      <w:proofErr w:type="spellStart"/>
      <w:r w:rsidRPr="00AA3FCE">
        <w:rPr>
          <w:rFonts w:ascii="Arial" w:hAnsi="Arial" w:cs="Arial"/>
          <w:sz w:val="22"/>
          <w:szCs w:val="22"/>
          <w:lang w:eastAsia="en-IN"/>
        </w:rPr>
        <w:t>Thamburaj</w:t>
      </w:r>
      <w:proofErr w:type="spellEnd"/>
      <w:r w:rsidRPr="00AA3FCE">
        <w:rPr>
          <w:rFonts w:ascii="Arial" w:hAnsi="Arial" w:cs="Arial"/>
          <w:sz w:val="22"/>
          <w:szCs w:val="22"/>
          <w:lang w:eastAsia="en-IN"/>
        </w:rPr>
        <w:t xml:space="preserve">, S. (2011). Effect of integrated nutrient management on growth, yield and quality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Madras Agricultural Journal</w:t>
      </w:r>
      <w:r w:rsidRPr="00AA3FCE">
        <w:rPr>
          <w:rFonts w:ascii="Arial" w:hAnsi="Arial" w:cs="Arial"/>
          <w:sz w:val="22"/>
          <w:szCs w:val="22"/>
          <w:lang w:eastAsia="en-IN"/>
        </w:rPr>
        <w:t>, 98(4–6), 155–158.</w:t>
      </w:r>
    </w:p>
    <w:p w14:paraId="085BA919"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Abunyewa</w:t>
      </w:r>
      <w:proofErr w:type="spellEnd"/>
      <w:r w:rsidRPr="00AA3FCE">
        <w:rPr>
          <w:rFonts w:ascii="Arial" w:hAnsi="Arial" w:cs="Arial"/>
          <w:sz w:val="22"/>
          <w:szCs w:val="22"/>
          <w:lang w:eastAsia="en-IN"/>
        </w:rPr>
        <w:t xml:space="preserve">, A. A., &amp; Mercer-Quarshie, H. (2007). Response of maize to magnesium and zinc application in the semi-arid zone of West Africa. </w:t>
      </w:r>
      <w:r w:rsidRPr="00AA3FCE">
        <w:rPr>
          <w:rFonts w:ascii="Arial" w:hAnsi="Arial" w:cs="Arial"/>
          <w:i/>
          <w:iCs/>
          <w:sz w:val="22"/>
          <w:szCs w:val="22"/>
          <w:lang w:eastAsia="en-IN"/>
        </w:rPr>
        <w:t>Asian Journal of Plant Sciences</w:t>
      </w:r>
      <w:r w:rsidRPr="00AA3FCE">
        <w:rPr>
          <w:rFonts w:ascii="Arial" w:hAnsi="Arial" w:cs="Arial"/>
          <w:sz w:val="22"/>
          <w:szCs w:val="22"/>
          <w:lang w:eastAsia="en-IN"/>
        </w:rPr>
        <w:t>, 6(5), 787–791.</w:t>
      </w:r>
    </w:p>
    <w:p w14:paraId="3F72E6B2"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Rao, A. V., &amp; Tilak, K. V. B. R. (1977). Bacteria in the rhizosphere and their role in plant growth and yield. </w:t>
      </w:r>
      <w:r w:rsidRPr="00AA3FCE">
        <w:rPr>
          <w:rFonts w:ascii="Arial" w:hAnsi="Arial" w:cs="Arial"/>
          <w:i/>
          <w:iCs/>
          <w:sz w:val="22"/>
          <w:szCs w:val="22"/>
          <w:lang w:eastAsia="en-IN"/>
        </w:rPr>
        <w:t>Plant and Soil</w:t>
      </w:r>
      <w:r w:rsidRPr="00AA3FCE">
        <w:rPr>
          <w:rFonts w:ascii="Arial" w:hAnsi="Arial" w:cs="Arial"/>
          <w:sz w:val="22"/>
          <w:szCs w:val="22"/>
          <w:lang w:eastAsia="en-IN"/>
        </w:rPr>
        <w:t>, 47, 283–292.</w:t>
      </w:r>
    </w:p>
    <w:p w14:paraId="36090080" w14:textId="77777777" w:rsidR="00F35D3A" w:rsidRPr="00AA3FCE" w:rsidRDefault="00F35D3A" w:rsidP="00F35D3A">
      <w:pPr>
        <w:numPr>
          <w:ilvl w:val="0"/>
          <w:numId w:val="31"/>
        </w:numPr>
        <w:spacing w:before="100" w:beforeAutospacing="1"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Vanlauwe</w:t>
      </w:r>
      <w:proofErr w:type="spellEnd"/>
      <w:r w:rsidRPr="00AA3FCE">
        <w:rPr>
          <w:rFonts w:ascii="Arial" w:hAnsi="Arial" w:cs="Arial"/>
          <w:sz w:val="22"/>
          <w:szCs w:val="22"/>
          <w:lang w:eastAsia="en-IN"/>
        </w:rPr>
        <w:t xml:space="preserve">, B., </w:t>
      </w:r>
      <w:proofErr w:type="spellStart"/>
      <w:r w:rsidRPr="00AA3FCE">
        <w:rPr>
          <w:rFonts w:ascii="Arial" w:hAnsi="Arial" w:cs="Arial"/>
          <w:sz w:val="22"/>
          <w:szCs w:val="22"/>
          <w:lang w:eastAsia="en-IN"/>
        </w:rPr>
        <w:t>Descheemaeker</w:t>
      </w:r>
      <w:proofErr w:type="spellEnd"/>
      <w:r w:rsidRPr="00AA3FCE">
        <w:rPr>
          <w:rFonts w:ascii="Arial" w:hAnsi="Arial" w:cs="Arial"/>
          <w:sz w:val="22"/>
          <w:szCs w:val="22"/>
          <w:lang w:eastAsia="en-IN"/>
        </w:rPr>
        <w:t xml:space="preserve">, K., </w:t>
      </w:r>
      <w:proofErr w:type="spellStart"/>
      <w:r w:rsidRPr="00AA3FCE">
        <w:rPr>
          <w:rFonts w:ascii="Arial" w:hAnsi="Arial" w:cs="Arial"/>
          <w:sz w:val="22"/>
          <w:szCs w:val="22"/>
          <w:lang w:eastAsia="en-IN"/>
        </w:rPr>
        <w:t>Giller</w:t>
      </w:r>
      <w:proofErr w:type="spellEnd"/>
      <w:r w:rsidRPr="00AA3FCE">
        <w:rPr>
          <w:rFonts w:ascii="Arial" w:hAnsi="Arial" w:cs="Arial"/>
          <w:sz w:val="22"/>
          <w:szCs w:val="22"/>
          <w:lang w:eastAsia="en-IN"/>
        </w:rPr>
        <w:t xml:space="preserve">, K. E., </w:t>
      </w:r>
      <w:proofErr w:type="spellStart"/>
      <w:r w:rsidRPr="00AA3FCE">
        <w:rPr>
          <w:rFonts w:ascii="Arial" w:hAnsi="Arial" w:cs="Arial"/>
          <w:sz w:val="22"/>
          <w:szCs w:val="22"/>
          <w:lang w:eastAsia="en-IN"/>
        </w:rPr>
        <w:t>Huising</w:t>
      </w:r>
      <w:proofErr w:type="spellEnd"/>
      <w:r w:rsidRPr="00AA3FCE">
        <w:rPr>
          <w:rFonts w:ascii="Arial" w:hAnsi="Arial" w:cs="Arial"/>
          <w:sz w:val="22"/>
          <w:szCs w:val="22"/>
          <w:lang w:eastAsia="en-IN"/>
        </w:rPr>
        <w:t xml:space="preserve">, J., Merckx, R., </w:t>
      </w:r>
      <w:proofErr w:type="spellStart"/>
      <w:r w:rsidRPr="00AA3FCE">
        <w:rPr>
          <w:rFonts w:ascii="Arial" w:hAnsi="Arial" w:cs="Arial"/>
          <w:sz w:val="22"/>
          <w:szCs w:val="22"/>
          <w:lang w:eastAsia="en-IN"/>
        </w:rPr>
        <w:t>Nziguheba</w:t>
      </w:r>
      <w:proofErr w:type="spellEnd"/>
      <w:r w:rsidRPr="00AA3FCE">
        <w:rPr>
          <w:rFonts w:ascii="Arial" w:hAnsi="Arial" w:cs="Arial"/>
          <w:sz w:val="22"/>
          <w:szCs w:val="22"/>
          <w:lang w:eastAsia="en-IN"/>
        </w:rPr>
        <w:t xml:space="preserve">, G., … </w:t>
      </w:r>
      <w:proofErr w:type="spellStart"/>
      <w:r w:rsidRPr="00AA3FCE">
        <w:rPr>
          <w:rFonts w:ascii="Arial" w:hAnsi="Arial" w:cs="Arial"/>
          <w:sz w:val="22"/>
          <w:szCs w:val="22"/>
          <w:lang w:eastAsia="en-IN"/>
        </w:rPr>
        <w:t>Zingore</w:t>
      </w:r>
      <w:proofErr w:type="spellEnd"/>
      <w:r w:rsidRPr="00AA3FCE">
        <w:rPr>
          <w:rFonts w:ascii="Arial" w:hAnsi="Arial" w:cs="Arial"/>
          <w:sz w:val="22"/>
          <w:szCs w:val="22"/>
          <w:lang w:eastAsia="en-IN"/>
        </w:rPr>
        <w:t xml:space="preserve">, S. (2010). Integrated soil fertility management: Operational definition and consequences for implementation and dissemination. </w:t>
      </w:r>
      <w:r w:rsidRPr="00AA3FCE">
        <w:rPr>
          <w:rFonts w:ascii="Arial" w:hAnsi="Arial" w:cs="Arial"/>
          <w:i/>
          <w:iCs/>
          <w:sz w:val="22"/>
          <w:szCs w:val="22"/>
          <w:lang w:eastAsia="en-IN"/>
        </w:rPr>
        <w:t>Outlook on Agriculture</w:t>
      </w:r>
      <w:r w:rsidRPr="00AA3FCE">
        <w:rPr>
          <w:rFonts w:ascii="Arial" w:hAnsi="Arial" w:cs="Arial"/>
          <w:sz w:val="22"/>
          <w:szCs w:val="22"/>
          <w:lang w:eastAsia="en-IN"/>
        </w:rPr>
        <w:t xml:space="preserve">, 39(1), 17–24. </w:t>
      </w:r>
      <w:hyperlink r:id="rId17" w:history="1">
        <w:r w:rsidRPr="00AA3FCE">
          <w:rPr>
            <w:rStyle w:val="Hyperlink"/>
            <w:rFonts w:ascii="Arial" w:hAnsi="Arial" w:cs="Arial"/>
            <w:sz w:val="22"/>
            <w:szCs w:val="22"/>
            <w:lang w:eastAsia="en-IN"/>
          </w:rPr>
          <w:t>https://doi.org/10.5367/000000010791169998</w:t>
        </w:r>
      </w:hyperlink>
    </w:p>
    <w:p w14:paraId="1264ED11"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Votava</w:t>
      </w:r>
      <w:proofErr w:type="spellEnd"/>
      <w:r w:rsidRPr="00AA3FCE">
        <w:rPr>
          <w:rFonts w:ascii="Arial" w:hAnsi="Arial" w:cs="Arial"/>
          <w:sz w:val="22"/>
          <w:szCs w:val="22"/>
          <w:lang w:eastAsia="en-IN"/>
        </w:rPr>
        <w:t xml:space="preserve">, E. J., &amp; </w:t>
      </w:r>
      <w:proofErr w:type="spellStart"/>
      <w:r w:rsidRPr="00AA3FCE">
        <w:rPr>
          <w:rFonts w:ascii="Arial" w:hAnsi="Arial" w:cs="Arial"/>
          <w:sz w:val="22"/>
          <w:szCs w:val="22"/>
          <w:lang w:eastAsia="en-IN"/>
        </w:rPr>
        <w:t>Bosland</w:t>
      </w:r>
      <w:proofErr w:type="spellEnd"/>
      <w:r w:rsidRPr="00AA3FCE">
        <w:rPr>
          <w:rFonts w:ascii="Arial" w:hAnsi="Arial" w:cs="Arial"/>
          <w:sz w:val="22"/>
          <w:szCs w:val="22"/>
          <w:lang w:eastAsia="en-IN"/>
        </w:rPr>
        <w:t xml:space="preserve">, P. W. (2002). </w:t>
      </w:r>
      <w:r w:rsidRPr="00AA3FCE">
        <w:rPr>
          <w:rFonts w:ascii="Arial" w:hAnsi="Arial" w:cs="Arial"/>
          <w:i/>
          <w:iCs/>
          <w:sz w:val="22"/>
          <w:szCs w:val="22"/>
          <w:lang w:eastAsia="en-IN"/>
        </w:rPr>
        <w:t>Peppers: Vegetable and spice capsicums</w:t>
      </w:r>
      <w:r w:rsidRPr="00AA3FCE">
        <w:rPr>
          <w:rFonts w:ascii="Arial" w:hAnsi="Arial" w:cs="Arial"/>
          <w:sz w:val="22"/>
          <w:szCs w:val="22"/>
          <w:lang w:eastAsia="en-IN"/>
        </w:rPr>
        <w:t>. Wallingford: CABI Publishing.</w:t>
      </w:r>
    </w:p>
    <w:p w14:paraId="44E7725A"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Bremner</w:t>
      </w:r>
      <w:proofErr w:type="spellEnd"/>
      <w:r w:rsidRPr="00AA3FCE">
        <w:rPr>
          <w:rFonts w:ascii="Arial" w:hAnsi="Arial" w:cs="Arial"/>
          <w:sz w:val="22"/>
          <w:szCs w:val="22"/>
          <w:lang w:eastAsia="en-IN"/>
        </w:rPr>
        <w:t xml:space="preserve">, J. M., &amp; Mulvaney, C. S. (1982). Nitrogen—Total. In A. L. Page (Ed.), </w:t>
      </w:r>
      <w:r w:rsidRPr="00AA3FCE">
        <w:rPr>
          <w:rFonts w:ascii="Arial" w:hAnsi="Arial" w:cs="Arial"/>
          <w:i/>
          <w:iCs/>
          <w:sz w:val="22"/>
          <w:szCs w:val="22"/>
          <w:lang w:eastAsia="en-IN"/>
        </w:rPr>
        <w:t>Methods of soil analysis, Part 2: Chemical and microbiological properties</w:t>
      </w:r>
      <w:r w:rsidRPr="00AA3FCE">
        <w:rPr>
          <w:rFonts w:ascii="Arial" w:hAnsi="Arial" w:cs="Arial"/>
          <w:sz w:val="22"/>
          <w:szCs w:val="22"/>
          <w:lang w:eastAsia="en-IN"/>
        </w:rPr>
        <w:t xml:space="preserve"> (2nd ed., pp. 595–624). Madison: American Society of Agronomy.</w:t>
      </w:r>
    </w:p>
    <w:p w14:paraId="7E1AC3FA"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Olsen, S. R., Cole, C. V., Watanabe, F. S., &amp; Dean, L. A. (1954). </w:t>
      </w:r>
      <w:r w:rsidRPr="00AA3FCE">
        <w:rPr>
          <w:rFonts w:ascii="Arial" w:hAnsi="Arial" w:cs="Arial"/>
          <w:i/>
          <w:iCs/>
          <w:sz w:val="22"/>
          <w:szCs w:val="22"/>
          <w:lang w:eastAsia="en-IN"/>
        </w:rPr>
        <w:t>Estimation of available phosphorus in soils by extraction with sodium bicarbonate</w:t>
      </w:r>
      <w:r w:rsidRPr="00AA3FCE">
        <w:rPr>
          <w:rFonts w:ascii="Arial" w:hAnsi="Arial" w:cs="Arial"/>
          <w:sz w:val="22"/>
          <w:szCs w:val="22"/>
          <w:lang w:eastAsia="en-IN"/>
        </w:rPr>
        <w:t xml:space="preserve"> (USDA Circular 939). Washington, DC: U.S. Government Printing Office.</w:t>
      </w:r>
    </w:p>
    <w:p w14:paraId="63DD537E"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Mehlich</w:t>
      </w:r>
      <w:proofErr w:type="spellEnd"/>
      <w:r w:rsidRPr="00AA3FCE">
        <w:rPr>
          <w:rFonts w:ascii="Arial" w:hAnsi="Arial" w:cs="Arial"/>
          <w:sz w:val="22"/>
          <w:szCs w:val="22"/>
          <w:lang w:eastAsia="en-IN"/>
        </w:rPr>
        <w:t xml:space="preserve">, A. (1984). </w:t>
      </w:r>
      <w:proofErr w:type="spellStart"/>
      <w:r w:rsidRPr="00AA3FCE">
        <w:rPr>
          <w:rFonts w:ascii="Arial" w:hAnsi="Arial" w:cs="Arial"/>
          <w:sz w:val="22"/>
          <w:szCs w:val="22"/>
          <w:lang w:eastAsia="en-IN"/>
        </w:rPr>
        <w:t>Mehlich</w:t>
      </w:r>
      <w:proofErr w:type="spellEnd"/>
      <w:r w:rsidRPr="00AA3FCE">
        <w:rPr>
          <w:rFonts w:ascii="Arial" w:hAnsi="Arial" w:cs="Arial"/>
          <w:sz w:val="22"/>
          <w:szCs w:val="22"/>
          <w:lang w:eastAsia="en-IN"/>
        </w:rPr>
        <w:t xml:space="preserve"> 3 soil test extractant: A modification of </w:t>
      </w:r>
      <w:proofErr w:type="spellStart"/>
      <w:r w:rsidRPr="00AA3FCE">
        <w:rPr>
          <w:rFonts w:ascii="Arial" w:hAnsi="Arial" w:cs="Arial"/>
          <w:sz w:val="22"/>
          <w:szCs w:val="22"/>
          <w:lang w:eastAsia="en-IN"/>
        </w:rPr>
        <w:t>Mehlich</w:t>
      </w:r>
      <w:proofErr w:type="spellEnd"/>
      <w:r w:rsidRPr="00AA3FCE">
        <w:rPr>
          <w:rFonts w:ascii="Arial" w:hAnsi="Arial" w:cs="Arial"/>
          <w:sz w:val="22"/>
          <w:szCs w:val="22"/>
          <w:lang w:eastAsia="en-IN"/>
        </w:rPr>
        <w:t xml:space="preserve"> 2 extractant. </w:t>
      </w:r>
      <w:r w:rsidRPr="00AA3FCE">
        <w:rPr>
          <w:rFonts w:ascii="Arial" w:hAnsi="Arial" w:cs="Arial"/>
          <w:i/>
          <w:iCs/>
          <w:sz w:val="22"/>
          <w:szCs w:val="22"/>
          <w:lang w:eastAsia="en-IN"/>
        </w:rPr>
        <w:t>Communications in Soil Science and Plant Analysis</w:t>
      </w:r>
      <w:r w:rsidRPr="00AA3FCE">
        <w:rPr>
          <w:rFonts w:ascii="Arial" w:hAnsi="Arial" w:cs="Arial"/>
          <w:sz w:val="22"/>
          <w:szCs w:val="22"/>
          <w:lang w:eastAsia="en-IN"/>
        </w:rPr>
        <w:t xml:space="preserve">, 15(12), 1409–1416. </w:t>
      </w:r>
      <w:hyperlink r:id="rId18" w:history="1">
        <w:r w:rsidRPr="00AA3FCE">
          <w:rPr>
            <w:rStyle w:val="Hyperlink"/>
            <w:rFonts w:ascii="Arial" w:hAnsi="Arial" w:cs="Arial"/>
            <w:sz w:val="22"/>
            <w:szCs w:val="22"/>
            <w:lang w:eastAsia="en-IN"/>
          </w:rPr>
          <w:t>https://doi.org/10.1080/00103628409367568</w:t>
        </w:r>
      </w:hyperlink>
    </w:p>
    <w:p w14:paraId="3CD8E469" w14:textId="77777777" w:rsidR="00F35D3A" w:rsidRPr="00AA3FCE" w:rsidRDefault="00F35D3A" w:rsidP="00F35D3A">
      <w:pPr>
        <w:numPr>
          <w:ilvl w:val="0"/>
          <w:numId w:val="32"/>
        </w:numPr>
        <w:spacing w:before="100" w:beforeAutospacing="1" w:after="100" w:afterAutospacing="1" w:line="360" w:lineRule="auto"/>
        <w:jc w:val="both"/>
        <w:rPr>
          <w:rFonts w:ascii="Arial" w:eastAsiaTheme="minorHAnsi" w:hAnsi="Arial" w:cs="Arial"/>
          <w:sz w:val="22"/>
          <w:szCs w:val="22"/>
        </w:rPr>
      </w:pPr>
      <w:r w:rsidRPr="00AA3FCE">
        <w:rPr>
          <w:rFonts w:ascii="Arial" w:hAnsi="Arial" w:cs="Arial"/>
          <w:sz w:val="22"/>
          <w:szCs w:val="22"/>
          <w:lang w:eastAsia="en-IN"/>
        </w:rPr>
        <w:t xml:space="preserve">Van </w:t>
      </w:r>
      <w:proofErr w:type="spellStart"/>
      <w:r w:rsidRPr="00AA3FCE">
        <w:rPr>
          <w:rFonts w:ascii="Arial" w:hAnsi="Arial" w:cs="Arial"/>
          <w:sz w:val="22"/>
          <w:szCs w:val="22"/>
          <w:lang w:eastAsia="en-IN"/>
        </w:rPr>
        <w:t>Reeuwijk</w:t>
      </w:r>
      <w:proofErr w:type="spellEnd"/>
      <w:r w:rsidRPr="00AA3FCE">
        <w:rPr>
          <w:rFonts w:ascii="Arial" w:hAnsi="Arial" w:cs="Arial"/>
          <w:sz w:val="22"/>
          <w:szCs w:val="22"/>
          <w:lang w:eastAsia="en-IN"/>
        </w:rPr>
        <w:t xml:space="preserve">, L. P. (2002). </w:t>
      </w:r>
      <w:r w:rsidRPr="00AA3FCE">
        <w:rPr>
          <w:rFonts w:ascii="Arial" w:hAnsi="Arial" w:cs="Arial"/>
          <w:i/>
          <w:iCs/>
          <w:sz w:val="22"/>
          <w:szCs w:val="22"/>
          <w:lang w:eastAsia="en-IN"/>
        </w:rPr>
        <w:t>Procedures for soil analysis</w:t>
      </w:r>
      <w:r w:rsidRPr="00AA3FCE">
        <w:rPr>
          <w:rFonts w:ascii="Arial" w:hAnsi="Arial" w:cs="Arial"/>
          <w:sz w:val="22"/>
          <w:szCs w:val="22"/>
          <w:lang w:eastAsia="en-IN"/>
        </w:rPr>
        <w:t xml:space="preserve"> (6th ed.). Wageningen: International Soil Reference and Information Centre (ISRIC).</w:t>
      </w:r>
    </w:p>
    <w:p w14:paraId="67BF6F9A"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P</w:t>
      </w:r>
      <w:r w:rsidRPr="00AA3FCE">
        <w:rPr>
          <w:rFonts w:ascii="Arial" w:hAnsi="Arial" w:cs="Arial"/>
          <w:sz w:val="22"/>
          <w:szCs w:val="22"/>
        </w:rPr>
        <w:t>anse</w:t>
      </w:r>
      <w:proofErr w:type="spellEnd"/>
      <w:r w:rsidRPr="00AA3FCE">
        <w:rPr>
          <w:rFonts w:ascii="Arial" w:hAnsi="Arial" w:cs="Arial"/>
          <w:sz w:val="22"/>
          <w:szCs w:val="22"/>
        </w:rPr>
        <w:t xml:space="preserve">, V. G., &amp; </w:t>
      </w:r>
      <w:proofErr w:type="spellStart"/>
      <w:r w:rsidRPr="00AA3FCE">
        <w:rPr>
          <w:rFonts w:ascii="Arial" w:hAnsi="Arial" w:cs="Arial"/>
          <w:sz w:val="22"/>
          <w:szCs w:val="22"/>
        </w:rPr>
        <w:t>Sukhatme</w:t>
      </w:r>
      <w:proofErr w:type="spellEnd"/>
      <w:r w:rsidRPr="00AA3FCE">
        <w:rPr>
          <w:rFonts w:ascii="Arial" w:hAnsi="Arial" w:cs="Arial"/>
          <w:sz w:val="22"/>
          <w:szCs w:val="22"/>
        </w:rPr>
        <w:t xml:space="preserve">, P. V. (1985). </w:t>
      </w:r>
      <w:r w:rsidRPr="00AA3FCE">
        <w:rPr>
          <w:rStyle w:val="Emphasis"/>
          <w:rFonts w:ascii="Arial" w:hAnsi="Arial" w:cs="Arial"/>
          <w:sz w:val="22"/>
          <w:szCs w:val="22"/>
        </w:rPr>
        <w:t>Statistical methods for agricultural workers</w:t>
      </w:r>
      <w:r w:rsidRPr="00AA3FCE">
        <w:rPr>
          <w:rFonts w:ascii="Arial" w:hAnsi="Arial" w:cs="Arial"/>
          <w:sz w:val="22"/>
          <w:szCs w:val="22"/>
        </w:rPr>
        <w:t xml:space="preserve"> (4th ed.). New Delhi: Indian Council of Agricultural Research.</w:t>
      </w:r>
    </w:p>
    <w:p w14:paraId="36295085"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lastRenderedPageBreak/>
        <w:t xml:space="preserve">Jain, S., Kumar, R., &amp; Sharma, A. (2019). Effect of integrated nutrient management on growth and yield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International Journal of Chemical Studies</w:t>
      </w:r>
      <w:r w:rsidRPr="00AA3FCE">
        <w:rPr>
          <w:rFonts w:ascii="Arial" w:hAnsi="Arial" w:cs="Arial"/>
          <w:sz w:val="22"/>
          <w:szCs w:val="22"/>
          <w:lang w:eastAsia="en-IN"/>
        </w:rPr>
        <w:t>, 7(3), 2290–2294.</w:t>
      </w:r>
    </w:p>
    <w:p w14:paraId="6A02D588"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Sharma, D., Singh, V., &amp; Patel, R. (2022). Influence of integrated nutrient management on growth, yield and quality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Journal of Pharmacognosy and Phytochemistry</w:t>
      </w:r>
      <w:r w:rsidRPr="00AA3FCE">
        <w:rPr>
          <w:rFonts w:ascii="Arial" w:hAnsi="Arial" w:cs="Arial"/>
          <w:sz w:val="22"/>
          <w:szCs w:val="22"/>
          <w:lang w:eastAsia="en-IN"/>
        </w:rPr>
        <w:t>, 11(2), 138–143.</w:t>
      </w:r>
    </w:p>
    <w:p w14:paraId="09C6ACBC"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Singh, P., Meena, R. S., &amp; Choudhary, S. (2018). Integrated nutrient management for sustainable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production. </w:t>
      </w:r>
      <w:r w:rsidRPr="00AA3FCE">
        <w:rPr>
          <w:rFonts w:ascii="Arial" w:hAnsi="Arial" w:cs="Arial"/>
          <w:i/>
          <w:iCs/>
          <w:sz w:val="22"/>
          <w:szCs w:val="22"/>
          <w:lang w:eastAsia="en-IN"/>
        </w:rPr>
        <w:t>International Journal of Current Microbiology and Applied Sciences</w:t>
      </w:r>
      <w:r w:rsidRPr="00AA3FCE">
        <w:rPr>
          <w:rFonts w:ascii="Arial" w:hAnsi="Arial" w:cs="Arial"/>
          <w:sz w:val="22"/>
          <w:szCs w:val="22"/>
          <w:lang w:eastAsia="en-IN"/>
        </w:rPr>
        <w:t>, 7(5), 1452–1460.</w:t>
      </w:r>
    </w:p>
    <w:p w14:paraId="25DD521C"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Ramesh, K., Kumar, M., &amp; Ali, S. (2021). Role of biofertilizers in vegetable production: A review. </w:t>
      </w:r>
      <w:r w:rsidRPr="00AA3FCE">
        <w:rPr>
          <w:rFonts w:ascii="Arial" w:hAnsi="Arial" w:cs="Arial"/>
          <w:i/>
          <w:iCs/>
          <w:sz w:val="22"/>
          <w:szCs w:val="22"/>
          <w:lang w:eastAsia="en-IN"/>
        </w:rPr>
        <w:t>Journal of Applied and Natural Science</w:t>
      </w:r>
      <w:r w:rsidRPr="00AA3FCE">
        <w:rPr>
          <w:rFonts w:ascii="Arial" w:hAnsi="Arial" w:cs="Arial"/>
          <w:sz w:val="22"/>
          <w:szCs w:val="22"/>
          <w:lang w:eastAsia="en-IN"/>
        </w:rPr>
        <w:t>, 13(3), 1052–1060.</w:t>
      </w:r>
    </w:p>
    <w:p w14:paraId="36A3BD49"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 Kumar, R., Singh, A., &amp; Yadav, S. (2020). Effect of organic and inorganic nutrient sources on growth and yield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Indian Journal of Agricultural Research</w:t>
      </w:r>
      <w:r w:rsidRPr="00AA3FCE">
        <w:rPr>
          <w:rFonts w:ascii="Arial" w:hAnsi="Arial" w:cs="Arial"/>
          <w:sz w:val="22"/>
          <w:szCs w:val="22"/>
          <w:lang w:eastAsia="en-IN"/>
        </w:rPr>
        <w:t>, 54(1), 77–82.</w:t>
      </w:r>
    </w:p>
    <w:p w14:paraId="42A16D70"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Kumar, V., Sharma, A., &amp; Singh, B. (2019). Effect of biofertilizers on growth, yield and quality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Plant Archives</w:t>
      </w:r>
      <w:r w:rsidRPr="00AA3FCE">
        <w:rPr>
          <w:rFonts w:ascii="Arial" w:hAnsi="Arial" w:cs="Arial"/>
          <w:sz w:val="22"/>
          <w:szCs w:val="22"/>
          <w:lang w:eastAsia="en-IN"/>
        </w:rPr>
        <w:t>, 19(2), 3071–3074.</w:t>
      </w:r>
    </w:p>
    <w:p w14:paraId="45F04C4F" w14:textId="77777777" w:rsidR="00790ADA" w:rsidRPr="00AA3FCE" w:rsidRDefault="00790ADA" w:rsidP="00F35D3A">
      <w:pPr>
        <w:pStyle w:val="Body"/>
        <w:spacing w:after="0"/>
        <w:rPr>
          <w:rFonts w:ascii="Arial" w:hAnsi="Arial" w:cs="Arial"/>
          <w:sz w:val="22"/>
          <w:szCs w:val="22"/>
        </w:rPr>
      </w:pPr>
    </w:p>
    <w:sectPr w:rsidR="00790ADA" w:rsidRPr="00AA3FCE" w:rsidSect="004E02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CF3A8" w14:textId="77777777" w:rsidR="00FD7A15" w:rsidRDefault="00FD7A15" w:rsidP="00C37E61">
      <w:r>
        <w:separator/>
      </w:r>
    </w:p>
  </w:endnote>
  <w:endnote w:type="continuationSeparator" w:id="0">
    <w:p w14:paraId="409477E6" w14:textId="77777777" w:rsidR="00FD7A15" w:rsidRDefault="00FD7A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F27B" w14:textId="77777777" w:rsidR="004E0274" w:rsidRDefault="004E0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89B0" w14:textId="77777777" w:rsidR="004E0274" w:rsidRDefault="004E0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4816" w14:textId="77777777" w:rsidR="004E0274" w:rsidRDefault="004E0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2798A" w14:textId="77777777" w:rsidR="00FD7A15" w:rsidRDefault="00FD7A15" w:rsidP="00C37E61">
      <w:r>
        <w:separator/>
      </w:r>
    </w:p>
  </w:footnote>
  <w:footnote w:type="continuationSeparator" w:id="0">
    <w:p w14:paraId="05C4AEA6" w14:textId="77777777" w:rsidR="00FD7A15" w:rsidRDefault="00FD7A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C409" w14:textId="608C4E5C" w:rsidR="004E0274" w:rsidRDefault="004E0274">
    <w:pPr>
      <w:pStyle w:val="Header"/>
    </w:pPr>
    <w:r>
      <w:rPr>
        <w:noProof/>
      </w:rPr>
      <w:pict w14:anchorId="1218E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604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2C9F2" w14:textId="6C393DF9" w:rsidR="004E0274" w:rsidRDefault="004E0274">
    <w:pPr>
      <w:pStyle w:val="Header"/>
    </w:pPr>
    <w:r>
      <w:rPr>
        <w:noProof/>
      </w:rPr>
      <w:pict w14:anchorId="06BBC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604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94D8" w14:textId="3981FD56" w:rsidR="004E0274" w:rsidRDefault="004E0274">
    <w:pPr>
      <w:pStyle w:val="Header"/>
    </w:pPr>
    <w:r>
      <w:rPr>
        <w:noProof/>
      </w:rPr>
      <w:pict w14:anchorId="45752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604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9542D"/>
    <w:multiLevelType w:val="multilevel"/>
    <w:tmpl w:val="F3D8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450A1"/>
    <w:multiLevelType w:val="multilevel"/>
    <w:tmpl w:val="DE6C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42FAE"/>
    <w:multiLevelType w:val="hybridMultilevel"/>
    <w:tmpl w:val="4C804AD2"/>
    <w:lvl w:ilvl="0" w:tplc="8E501BB4">
      <w:start w:val="4"/>
      <w:numFmt w:val="bullet"/>
      <w:lvlText w:val=""/>
      <w:lvlJc w:val="left"/>
      <w:pPr>
        <w:ind w:left="420" w:hanging="360"/>
      </w:pPr>
      <w:rPr>
        <w:rFonts w:ascii="Symbol" w:eastAsia="Times New Roman"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8"/>
  </w:num>
  <w:num w:numId="32">
    <w:abstractNumId w:val="1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94E"/>
    <w:rsid w:val="00030174"/>
    <w:rsid w:val="000374F8"/>
    <w:rsid w:val="0004579C"/>
    <w:rsid w:val="000863A8"/>
    <w:rsid w:val="00093102"/>
    <w:rsid w:val="000A47FA"/>
    <w:rsid w:val="000A65D3"/>
    <w:rsid w:val="000B1E33"/>
    <w:rsid w:val="000B45F3"/>
    <w:rsid w:val="000C16DC"/>
    <w:rsid w:val="000D689F"/>
    <w:rsid w:val="000E7B7B"/>
    <w:rsid w:val="000E7D62"/>
    <w:rsid w:val="000F2333"/>
    <w:rsid w:val="000F3ACB"/>
    <w:rsid w:val="00103357"/>
    <w:rsid w:val="00123C9F"/>
    <w:rsid w:val="00126190"/>
    <w:rsid w:val="00130F17"/>
    <w:rsid w:val="001320BF"/>
    <w:rsid w:val="00161EB4"/>
    <w:rsid w:val="00163BC4"/>
    <w:rsid w:val="00164114"/>
    <w:rsid w:val="00187307"/>
    <w:rsid w:val="00191062"/>
    <w:rsid w:val="00192B72"/>
    <w:rsid w:val="001A29D8"/>
    <w:rsid w:val="001A5CAA"/>
    <w:rsid w:val="001B0427"/>
    <w:rsid w:val="001B21BC"/>
    <w:rsid w:val="001B2D72"/>
    <w:rsid w:val="001D3A51"/>
    <w:rsid w:val="001E10D2"/>
    <w:rsid w:val="001E25B4"/>
    <w:rsid w:val="001E44FE"/>
    <w:rsid w:val="00200595"/>
    <w:rsid w:val="00204835"/>
    <w:rsid w:val="00231920"/>
    <w:rsid w:val="0023195C"/>
    <w:rsid w:val="0023235B"/>
    <w:rsid w:val="002323F3"/>
    <w:rsid w:val="0024282C"/>
    <w:rsid w:val="002460DC"/>
    <w:rsid w:val="00250985"/>
    <w:rsid w:val="002556F6"/>
    <w:rsid w:val="00281901"/>
    <w:rsid w:val="00283105"/>
    <w:rsid w:val="00284C4C"/>
    <w:rsid w:val="00287E68"/>
    <w:rsid w:val="00296529"/>
    <w:rsid w:val="002A6461"/>
    <w:rsid w:val="002B27FB"/>
    <w:rsid w:val="002B685A"/>
    <w:rsid w:val="002C57D2"/>
    <w:rsid w:val="002D3425"/>
    <w:rsid w:val="002E0D56"/>
    <w:rsid w:val="003033D0"/>
    <w:rsid w:val="00307FBB"/>
    <w:rsid w:val="003139EA"/>
    <w:rsid w:val="00315186"/>
    <w:rsid w:val="0033343E"/>
    <w:rsid w:val="003512C2"/>
    <w:rsid w:val="00363CAA"/>
    <w:rsid w:val="00371FB6"/>
    <w:rsid w:val="003763C1"/>
    <w:rsid w:val="00376BBE"/>
    <w:rsid w:val="0039224F"/>
    <w:rsid w:val="003A43A4"/>
    <w:rsid w:val="003A5C6E"/>
    <w:rsid w:val="003A746E"/>
    <w:rsid w:val="003A7E18"/>
    <w:rsid w:val="003C4C86"/>
    <w:rsid w:val="003C6258"/>
    <w:rsid w:val="003D1061"/>
    <w:rsid w:val="003E2904"/>
    <w:rsid w:val="00401927"/>
    <w:rsid w:val="0041027F"/>
    <w:rsid w:val="00411434"/>
    <w:rsid w:val="00412475"/>
    <w:rsid w:val="00414B26"/>
    <w:rsid w:val="00423789"/>
    <w:rsid w:val="004311D6"/>
    <w:rsid w:val="00440F43"/>
    <w:rsid w:val="00441B6F"/>
    <w:rsid w:val="00446221"/>
    <w:rsid w:val="00450E62"/>
    <w:rsid w:val="004539DB"/>
    <w:rsid w:val="00471A80"/>
    <w:rsid w:val="00475894"/>
    <w:rsid w:val="00487C38"/>
    <w:rsid w:val="0049210C"/>
    <w:rsid w:val="00494AA9"/>
    <w:rsid w:val="004C6D0B"/>
    <w:rsid w:val="004D305E"/>
    <w:rsid w:val="004D4277"/>
    <w:rsid w:val="004E0274"/>
    <w:rsid w:val="004F3A82"/>
    <w:rsid w:val="00502516"/>
    <w:rsid w:val="00505F06"/>
    <w:rsid w:val="00506828"/>
    <w:rsid w:val="0053056E"/>
    <w:rsid w:val="005509E1"/>
    <w:rsid w:val="00554FDA"/>
    <w:rsid w:val="005C784C"/>
    <w:rsid w:val="005D17F6"/>
    <w:rsid w:val="005E5539"/>
    <w:rsid w:val="00602BF5"/>
    <w:rsid w:val="00615B92"/>
    <w:rsid w:val="00617FDD"/>
    <w:rsid w:val="0062214F"/>
    <w:rsid w:val="00633614"/>
    <w:rsid w:val="00633F68"/>
    <w:rsid w:val="00636EB2"/>
    <w:rsid w:val="006375B8"/>
    <w:rsid w:val="0066510A"/>
    <w:rsid w:val="00666F17"/>
    <w:rsid w:val="00673F9F"/>
    <w:rsid w:val="00675F16"/>
    <w:rsid w:val="00685D6D"/>
    <w:rsid w:val="00686953"/>
    <w:rsid w:val="00687DEA"/>
    <w:rsid w:val="00687E67"/>
    <w:rsid w:val="006967F7"/>
    <w:rsid w:val="006A250C"/>
    <w:rsid w:val="006A46D7"/>
    <w:rsid w:val="006A6790"/>
    <w:rsid w:val="006A7303"/>
    <w:rsid w:val="006B21D3"/>
    <w:rsid w:val="006B57D0"/>
    <w:rsid w:val="006D30FF"/>
    <w:rsid w:val="006D6824"/>
    <w:rsid w:val="006D6940"/>
    <w:rsid w:val="006F11EC"/>
    <w:rsid w:val="0070082C"/>
    <w:rsid w:val="00702BBB"/>
    <w:rsid w:val="00716842"/>
    <w:rsid w:val="007369E6"/>
    <w:rsid w:val="00746E59"/>
    <w:rsid w:val="00754C9A"/>
    <w:rsid w:val="0075599A"/>
    <w:rsid w:val="00761D52"/>
    <w:rsid w:val="0077749E"/>
    <w:rsid w:val="00790748"/>
    <w:rsid w:val="00790ADA"/>
    <w:rsid w:val="007D2288"/>
    <w:rsid w:val="007E088F"/>
    <w:rsid w:val="007F7B32"/>
    <w:rsid w:val="00804BC2"/>
    <w:rsid w:val="0081233D"/>
    <w:rsid w:val="0081431A"/>
    <w:rsid w:val="008149B0"/>
    <w:rsid w:val="008172F6"/>
    <w:rsid w:val="008259F9"/>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2538"/>
    <w:rsid w:val="009500A6"/>
    <w:rsid w:val="00957C18"/>
    <w:rsid w:val="009659BA"/>
    <w:rsid w:val="00983040"/>
    <w:rsid w:val="009A4F49"/>
    <w:rsid w:val="009B23A4"/>
    <w:rsid w:val="009B3FB9"/>
    <w:rsid w:val="009C080A"/>
    <w:rsid w:val="009C2465"/>
    <w:rsid w:val="009C3E54"/>
    <w:rsid w:val="009D35A0"/>
    <w:rsid w:val="009D7EB7"/>
    <w:rsid w:val="009E048A"/>
    <w:rsid w:val="009E08E9"/>
    <w:rsid w:val="009E3DB9"/>
    <w:rsid w:val="009E6E35"/>
    <w:rsid w:val="009F0EDA"/>
    <w:rsid w:val="00A03B96"/>
    <w:rsid w:val="00A05B19"/>
    <w:rsid w:val="00A1134E"/>
    <w:rsid w:val="00A24E7E"/>
    <w:rsid w:val="00A258C3"/>
    <w:rsid w:val="00A347C0"/>
    <w:rsid w:val="00A35BB0"/>
    <w:rsid w:val="00A51431"/>
    <w:rsid w:val="00A539AD"/>
    <w:rsid w:val="00A94063"/>
    <w:rsid w:val="00AA3FCE"/>
    <w:rsid w:val="00AA6219"/>
    <w:rsid w:val="00AA74E0"/>
    <w:rsid w:val="00AB703F"/>
    <w:rsid w:val="00AC6BB8"/>
    <w:rsid w:val="00AD2003"/>
    <w:rsid w:val="00AE008F"/>
    <w:rsid w:val="00B01FCD"/>
    <w:rsid w:val="00B1776C"/>
    <w:rsid w:val="00B17DDD"/>
    <w:rsid w:val="00B35672"/>
    <w:rsid w:val="00B52583"/>
    <w:rsid w:val="00B52896"/>
    <w:rsid w:val="00B716B3"/>
    <w:rsid w:val="00B95236"/>
    <w:rsid w:val="00B96BD9"/>
    <w:rsid w:val="00BA1B01"/>
    <w:rsid w:val="00BA2641"/>
    <w:rsid w:val="00BB0239"/>
    <w:rsid w:val="00BB37AA"/>
    <w:rsid w:val="00BC53A0"/>
    <w:rsid w:val="00BE62AD"/>
    <w:rsid w:val="00BF121F"/>
    <w:rsid w:val="00BF1F80"/>
    <w:rsid w:val="00C166EF"/>
    <w:rsid w:val="00C17EB0"/>
    <w:rsid w:val="00C27F5F"/>
    <w:rsid w:val="00C30A0F"/>
    <w:rsid w:val="00C37E61"/>
    <w:rsid w:val="00C65D2A"/>
    <w:rsid w:val="00C70F1B"/>
    <w:rsid w:val="00C71A47"/>
    <w:rsid w:val="00C7464C"/>
    <w:rsid w:val="00C81221"/>
    <w:rsid w:val="00C85588"/>
    <w:rsid w:val="00CD6755"/>
    <w:rsid w:val="00CD6856"/>
    <w:rsid w:val="00CE0089"/>
    <w:rsid w:val="00CE5AC4"/>
    <w:rsid w:val="00CE793C"/>
    <w:rsid w:val="00CF193C"/>
    <w:rsid w:val="00D173F1"/>
    <w:rsid w:val="00D452E0"/>
    <w:rsid w:val="00D74CB0"/>
    <w:rsid w:val="00D774C4"/>
    <w:rsid w:val="00D8295D"/>
    <w:rsid w:val="00DC2A65"/>
    <w:rsid w:val="00DE15F0"/>
    <w:rsid w:val="00DE32FA"/>
    <w:rsid w:val="00DE5663"/>
    <w:rsid w:val="00DE78AA"/>
    <w:rsid w:val="00DF53C3"/>
    <w:rsid w:val="00E053D0"/>
    <w:rsid w:val="00E15994"/>
    <w:rsid w:val="00E21FAD"/>
    <w:rsid w:val="00E23C11"/>
    <w:rsid w:val="00E3114E"/>
    <w:rsid w:val="00E31A70"/>
    <w:rsid w:val="00E35B02"/>
    <w:rsid w:val="00E66496"/>
    <w:rsid w:val="00E66B35"/>
    <w:rsid w:val="00E66E10"/>
    <w:rsid w:val="00E71A43"/>
    <w:rsid w:val="00E769F6"/>
    <w:rsid w:val="00E8407C"/>
    <w:rsid w:val="00E84F3C"/>
    <w:rsid w:val="00EA012C"/>
    <w:rsid w:val="00EC6A55"/>
    <w:rsid w:val="00ED0288"/>
    <w:rsid w:val="00EE52CB"/>
    <w:rsid w:val="00EF581D"/>
    <w:rsid w:val="00EF7FD8"/>
    <w:rsid w:val="00F06F59"/>
    <w:rsid w:val="00F17988"/>
    <w:rsid w:val="00F2778E"/>
    <w:rsid w:val="00F35D3A"/>
    <w:rsid w:val="00F469F0"/>
    <w:rsid w:val="00F53273"/>
    <w:rsid w:val="00F755E4"/>
    <w:rsid w:val="00F77D02"/>
    <w:rsid w:val="00F85EE4"/>
    <w:rsid w:val="00F9223A"/>
    <w:rsid w:val="00F95F08"/>
    <w:rsid w:val="00FA5852"/>
    <w:rsid w:val="00FB3A86"/>
    <w:rsid w:val="00FC2FD9"/>
    <w:rsid w:val="00FD36C8"/>
    <w:rsid w:val="00FD7A15"/>
    <w:rsid w:val="00FE3A95"/>
    <w:rsid w:val="00FF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9FBE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F922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259F9"/>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rsid w:val="00F9223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9223A"/>
    <w:rPr>
      <w:b/>
      <w:bCs/>
    </w:rPr>
  </w:style>
  <w:style w:type="paragraph" w:styleId="NormalWeb">
    <w:name w:val="Normal (Web)"/>
    <w:basedOn w:val="Normal"/>
    <w:uiPriority w:val="99"/>
    <w:unhideWhenUsed/>
    <w:rsid w:val="00F9223A"/>
    <w:pPr>
      <w:spacing w:before="100" w:beforeAutospacing="1" w:after="100" w:afterAutospacing="1"/>
    </w:pPr>
    <w:rPr>
      <w:rFonts w:ascii="Times New Roman" w:hAnsi="Times New Roman"/>
      <w:sz w:val="24"/>
      <w:szCs w:val="24"/>
      <w:lang w:val="en-IN" w:eastAsia="en-IN"/>
    </w:rPr>
  </w:style>
  <w:style w:type="character" w:customStyle="1" w:styleId="Heading4Char">
    <w:name w:val="Heading 4 Char"/>
    <w:basedOn w:val="DefaultParagraphFont"/>
    <w:link w:val="Heading4"/>
    <w:uiPriority w:val="9"/>
    <w:semiHidden/>
    <w:rsid w:val="008259F9"/>
    <w:rPr>
      <w:rFonts w:asciiTheme="majorHAnsi" w:eastAsiaTheme="majorEastAsia" w:hAnsiTheme="majorHAnsi" w:cstheme="majorBidi"/>
      <w:i/>
      <w:iCs/>
      <w:color w:val="365F91" w:themeColor="accent1" w:themeShade="BF"/>
      <w:sz w:val="22"/>
      <w:szCs w:val="22"/>
      <w:lang w:val="en-IN"/>
    </w:rPr>
  </w:style>
  <w:style w:type="paragraph" w:styleId="Caption">
    <w:name w:val="caption"/>
    <w:basedOn w:val="Normal"/>
    <w:next w:val="Normal"/>
    <w:unhideWhenUsed/>
    <w:qFormat/>
    <w:rsid w:val="00487C38"/>
    <w:pPr>
      <w:spacing w:after="200"/>
    </w:pPr>
    <w:rPr>
      <w:i/>
      <w:iCs/>
      <w:color w:val="1F497D" w:themeColor="text2"/>
      <w:sz w:val="18"/>
      <w:szCs w:val="18"/>
    </w:rPr>
  </w:style>
  <w:style w:type="table" w:customStyle="1" w:styleId="TableGrid1">
    <w:name w:val="Table Grid1"/>
    <w:basedOn w:val="TableNormal"/>
    <w:next w:val="TableGrid"/>
    <w:uiPriority w:val="59"/>
    <w:rsid w:val="006D68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6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18275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02619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7945354">
      <w:bodyDiv w:val="1"/>
      <w:marLeft w:val="0"/>
      <w:marRight w:val="0"/>
      <w:marTop w:val="0"/>
      <w:marBottom w:val="0"/>
      <w:divBdr>
        <w:top w:val="none" w:sz="0" w:space="0" w:color="auto"/>
        <w:left w:val="none" w:sz="0" w:space="0" w:color="auto"/>
        <w:bottom w:val="none" w:sz="0" w:space="0" w:color="auto"/>
        <w:right w:val="none" w:sz="0" w:space="0" w:color="auto"/>
      </w:divBdr>
    </w:div>
    <w:div w:id="59948712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68689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9439953">
      <w:bodyDiv w:val="1"/>
      <w:marLeft w:val="0"/>
      <w:marRight w:val="0"/>
      <w:marTop w:val="0"/>
      <w:marBottom w:val="0"/>
      <w:divBdr>
        <w:top w:val="none" w:sz="0" w:space="0" w:color="auto"/>
        <w:left w:val="none" w:sz="0" w:space="0" w:color="auto"/>
        <w:bottom w:val="none" w:sz="0" w:space="0" w:color="auto"/>
        <w:right w:val="none" w:sz="0" w:space="0" w:color="auto"/>
      </w:divBdr>
    </w:div>
    <w:div w:id="1224945464">
      <w:bodyDiv w:val="1"/>
      <w:marLeft w:val="0"/>
      <w:marRight w:val="0"/>
      <w:marTop w:val="0"/>
      <w:marBottom w:val="0"/>
      <w:divBdr>
        <w:top w:val="none" w:sz="0" w:space="0" w:color="auto"/>
        <w:left w:val="none" w:sz="0" w:space="0" w:color="auto"/>
        <w:bottom w:val="none" w:sz="0" w:space="0" w:color="auto"/>
        <w:right w:val="none" w:sz="0" w:space="0" w:color="auto"/>
      </w:divBdr>
    </w:div>
    <w:div w:id="1652715549">
      <w:bodyDiv w:val="1"/>
      <w:marLeft w:val="0"/>
      <w:marRight w:val="0"/>
      <w:marTop w:val="0"/>
      <w:marBottom w:val="0"/>
      <w:divBdr>
        <w:top w:val="none" w:sz="0" w:space="0" w:color="auto"/>
        <w:left w:val="none" w:sz="0" w:space="0" w:color="auto"/>
        <w:bottom w:val="none" w:sz="0" w:space="0" w:color="auto"/>
        <w:right w:val="none" w:sz="0" w:space="0" w:color="auto"/>
      </w:divBdr>
    </w:div>
    <w:div w:id="1655915742">
      <w:bodyDiv w:val="1"/>
      <w:marLeft w:val="0"/>
      <w:marRight w:val="0"/>
      <w:marTop w:val="0"/>
      <w:marBottom w:val="0"/>
      <w:divBdr>
        <w:top w:val="none" w:sz="0" w:space="0" w:color="auto"/>
        <w:left w:val="none" w:sz="0" w:space="0" w:color="auto"/>
        <w:bottom w:val="none" w:sz="0" w:space="0" w:color="auto"/>
        <w:right w:val="none" w:sz="0" w:space="0" w:color="auto"/>
      </w:divBdr>
    </w:div>
    <w:div w:id="16749926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68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oi.org/10.1080/001036284093675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5367/000000010791169998"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E1A55-5B58-40D3-981E-4250106A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1155</TotalTime>
  <Pages>16</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71</cp:revision>
  <cp:lastPrinted>1999-07-06T11:00:00Z</cp:lastPrinted>
  <dcterms:created xsi:type="dcterms:W3CDTF">2014-10-25T14:34:00Z</dcterms:created>
  <dcterms:modified xsi:type="dcterms:W3CDTF">2025-09-15T13:33:00Z</dcterms:modified>
</cp:coreProperties>
</file>