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6B7F7" w14:textId="4952073E" w:rsidR="00754C9A" w:rsidRDefault="00D02E66" w:rsidP="00441B6F">
      <w:pPr>
        <w:pStyle w:val="Title"/>
        <w:spacing w:after="0"/>
        <w:jc w:val="both"/>
        <w:rPr>
          <w:rFonts w:ascii="Arial" w:hAnsi="Arial" w:cs="Arial"/>
          <w:bCs/>
          <w:i/>
          <w:iCs/>
          <w:u w:val="single"/>
        </w:rPr>
      </w:pPr>
      <w:r w:rsidRPr="00D02E66">
        <w:rPr>
          <w:rFonts w:ascii="Arial" w:hAnsi="Arial" w:cs="Arial"/>
          <w:bCs/>
          <w:i/>
          <w:iCs/>
          <w:u w:val="single"/>
        </w:rPr>
        <w:t>Original Research Article</w:t>
      </w:r>
    </w:p>
    <w:p w14:paraId="303CAF36" w14:textId="77777777" w:rsidR="00D02E66" w:rsidRDefault="00D02E66" w:rsidP="00441B6F">
      <w:pPr>
        <w:pStyle w:val="Title"/>
        <w:spacing w:after="0"/>
        <w:jc w:val="both"/>
        <w:rPr>
          <w:rFonts w:ascii="Arial" w:hAnsi="Arial" w:cs="Arial"/>
        </w:rPr>
      </w:pPr>
    </w:p>
    <w:p w14:paraId="72AC3A12" w14:textId="4C5CE409" w:rsidR="00163BC4" w:rsidRPr="00163BC4" w:rsidRDefault="00085A15" w:rsidP="00441B6F">
      <w:pPr>
        <w:pStyle w:val="Author"/>
        <w:spacing w:line="240" w:lineRule="auto"/>
        <w:rPr>
          <w:rFonts w:ascii="Arial" w:hAnsi="Arial" w:cs="Arial"/>
          <w:bCs/>
          <w:iCs/>
          <w:kern w:val="28"/>
          <w:sz w:val="36"/>
        </w:rPr>
      </w:pPr>
      <w:r w:rsidRPr="00085A15">
        <w:rPr>
          <w:rFonts w:ascii="Arial" w:hAnsi="Arial" w:cs="Arial"/>
          <w:bCs/>
          <w:iCs/>
          <w:kern w:val="28"/>
          <w:sz w:val="36"/>
        </w:rPr>
        <w:t>Agronomic performance and nutritive value of six dual-purpose cowpea fodder cultivars</w:t>
      </w:r>
      <w:r w:rsidR="00B96DC9" w:rsidRPr="00B96DC9">
        <w:rPr>
          <w:rFonts w:ascii="Arial" w:hAnsi="Arial" w:cs="Arial"/>
          <w:bCs/>
          <w:iCs/>
          <w:kern w:val="28"/>
          <w:sz w:val="36"/>
        </w:rPr>
        <w:t xml:space="preserve"> in </w:t>
      </w:r>
      <w:r w:rsidR="00B96DC9">
        <w:rPr>
          <w:rFonts w:ascii="Arial" w:hAnsi="Arial" w:cs="Arial"/>
          <w:bCs/>
          <w:iCs/>
          <w:kern w:val="28"/>
          <w:sz w:val="36"/>
        </w:rPr>
        <w:t>l</w:t>
      </w:r>
      <w:r w:rsidR="00B96DC9" w:rsidRPr="00B96DC9">
        <w:rPr>
          <w:rFonts w:ascii="Arial" w:hAnsi="Arial" w:cs="Arial"/>
          <w:bCs/>
          <w:iCs/>
          <w:kern w:val="28"/>
          <w:sz w:val="36"/>
        </w:rPr>
        <w:t xml:space="preserve">ivestock </w:t>
      </w:r>
      <w:r w:rsidR="00B96DC9">
        <w:rPr>
          <w:rFonts w:ascii="Arial" w:hAnsi="Arial" w:cs="Arial"/>
          <w:bCs/>
          <w:iCs/>
          <w:kern w:val="28"/>
          <w:sz w:val="36"/>
        </w:rPr>
        <w:t>p</w:t>
      </w:r>
      <w:r w:rsidR="00B96DC9" w:rsidRPr="00B96DC9">
        <w:rPr>
          <w:rFonts w:ascii="Arial" w:hAnsi="Arial" w:cs="Arial"/>
          <w:bCs/>
          <w:iCs/>
          <w:kern w:val="28"/>
          <w:sz w:val="36"/>
        </w:rPr>
        <w:t xml:space="preserve">roduction </w:t>
      </w:r>
      <w:r w:rsidR="00B96DC9">
        <w:rPr>
          <w:rFonts w:ascii="Arial" w:hAnsi="Arial" w:cs="Arial"/>
          <w:bCs/>
          <w:iCs/>
          <w:kern w:val="28"/>
          <w:sz w:val="36"/>
        </w:rPr>
        <w:t>s</w:t>
      </w:r>
      <w:r w:rsidR="00B96DC9" w:rsidRPr="00B96DC9">
        <w:rPr>
          <w:rFonts w:ascii="Arial" w:hAnsi="Arial" w:cs="Arial"/>
          <w:bCs/>
          <w:iCs/>
          <w:kern w:val="28"/>
          <w:sz w:val="36"/>
        </w:rPr>
        <w:t>ystems in Burkina Faso</w:t>
      </w:r>
      <w:r w:rsidR="00231920">
        <w:rPr>
          <w:rFonts w:ascii="Arial" w:hAnsi="Arial" w:cs="Arial"/>
          <w:bCs/>
          <w:iCs/>
          <w:kern w:val="28"/>
          <w:sz w:val="36"/>
        </w:rPr>
        <w:t xml:space="preserve"> </w:t>
      </w:r>
    </w:p>
    <w:p w14:paraId="543CBF58" w14:textId="77777777" w:rsidR="00A258C3" w:rsidRPr="00790ADA" w:rsidRDefault="00A258C3" w:rsidP="00441B6F">
      <w:pPr>
        <w:pStyle w:val="Author"/>
        <w:spacing w:line="240" w:lineRule="auto"/>
        <w:jc w:val="both"/>
        <w:rPr>
          <w:rFonts w:ascii="Arial" w:hAnsi="Arial" w:cs="Arial"/>
          <w:sz w:val="36"/>
        </w:rPr>
      </w:pPr>
    </w:p>
    <w:p w14:paraId="2F4F10AF" w14:textId="77777777" w:rsidR="002C57D2" w:rsidRPr="00FB3CFE" w:rsidRDefault="002C57D2" w:rsidP="00441B6F">
      <w:pPr>
        <w:pStyle w:val="Affiliation"/>
        <w:spacing w:after="0" w:line="240" w:lineRule="auto"/>
        <w:jc w:val="both"/>
        <w:rPr>
          <w:rFonts w:ascii="Arial" w:hAnsi="Arial" w:cs="Arial"/>
          <w:lang w:val="fr-FR"/>
        </w:rPr>
      </w:pPr>
    </w:p>
    <w:p w14:paraId="073FDB66" w14:textId="50B69646" w:rsidR="00B01FCD" w:rsidRPr="00FB3A86" w:rsidRDefault="00644276" w:rsidP="00441B6F">
      <w:pPr>
        <w:pStyle w:val="Copyright"/>
        <w:spacing w:after="0" w:line="240" w:lineRule="auto"/>
        <w:jc w:val="both"/>
        <w:rPr>
          <w:rFonts w:ascii="Arial" w:hAnsi="Arial" w:cs="Arial"/>
        </w:rPr>
        <w:sectPr w:rsidR="00B01FCD" w:rsidRPr="00FB3A86" w:rsidSect="001E62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18DB59" wp14:editId="0D21473D">
                <wp:extent cx="5303520" cy="635"/>
                <wp:effectExtent l="13335" t="13335" r="17145" b="15240"/>
                <wp:docPr id="1388320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4D40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D09905" w14:textId="3A2CA684" w:rsidR="00B01FCD" w:rsidRDefault="00B01FCD" w:rsidP="00441B6F">
      <w:pPr>
        <w:pStyle w:val="AbstHead"/>
        <w:spacing w:after="0"/>
        <w:jc w:val="both"/>
        <w:rPr>
          <w:rFonts w:ascii="Arial" w:hAnsi="Arial" w:cs="Arial"/>
        </w:rPr>
      </w:pPr>
      <w:r w:rsidRPr="00FB3A86">
        <w:rPr>
          <w:rFonts w:ascii="Arial" w:hAnsi="Arial" w:cs="Arial"/>
        </w:rPr>
        <w:t>ABSTRACT</w:t>
      </w:r>
    </w:p>
    <w:p w14:paraId="588B1A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171A56" w14:textId="77777777" w:rsidTr="001E44FE">
        <w:tc>
          <w:tcPr>
            <w:tcW w:w="9576" w:type="dxa"/>
            <w:shd w:val="clear" w:color="auto" w:fill="F2F2F2"/>
          </w:tcPr>
          <w:p w14:paraId="1C202DCC" w14:textId="140EBA57" w:rsidR="00BA1B01" w:rsidRPr="00BA1B01" w:rsidRDefault="004C575E" w:rsidP="00E972F4">
            <w:pPr>
              <w:pStyle w:val="Body"/>
              <w:spacing w:after="0"/>
              <w:rPr>
                <w:rFonts w:ascii="Arial" w:eastAsia="Calibri" w:hAnsi="Arial" w:cs="Arial"/>
                <w:szCs w:val="22"/>
              </w:rPr>
            </w:pPr>
            <w:r w:rsidRPr="004C575E">
              <w:rPr>
                <w:rFonts w:ascii="Arial" w:eastAsia="Calibri" w:hAnsi="Arial" w:cs="Arial"/>
                <w:szCs w:val="22"/>
              </w:rPr>
              <w:t>Cowpea (</w:t>
            </w:r>
            <w:r w:rsidRPr="004C575E">
              <w:rPr>
                <w:rFonts w:ascii="Arial" w:eastAsia="Calibri" w:hAnsi="Arial" w:cs="Arial"/>
                <w:i/>
                <w:iCs/>
                <w:szCs w:val="22"/>
              </w:rPr>
              <w:t xml:space="preserve">Vigna </w:t>
            </w:r>
            <w:proofErr w:type="spellStart"/>
            <w:r w:rsidRPr="004C575E">
              <w:rPr>
                <w:rFonts w:ascii="Arial" w:eastAsia="Calibri" w:hAnsi="Arial" w:cs="Arial"/>
                <w:i/>
                <w:iCs/>
                <w:szCs w:val="22"/>
              </w:rPr>
              <w:t>unguiculata</w:t>
            </w:r>
            <w:proofErr w:type="spellEnd"/>
            <w:r w:rsidRPr="004C575E">
              <w:rPr>
                <w:rFonts w:ascii="Arial" w:eastAsia="Calibri" w:hAnsi="Arial" w:cs="Arial"/>
                <w:szCs w:val="22"/>
              </w:rPr>
              <w:t>) is an important legume in Burkina Faso, used both for human consumption and as livestock fodder.</w:t>
            </w:r>
            <w:r w:rsidR="009B55B4">
              <w:rPr>
                <w:rFonts w:ascii="Arial" w:eastAsia="Calibri" w:hAnsi="Arial" w:cs="Arial"/>
                <w:szCs w:val="22"/>
              </w:rPr>
              <w:t xml:space="preserve"> </w:t>
            </w:r>
            <w:r w:rsidRPr="004C575E">
              <w:rPr>
                <w:rFonts w:ascii="Arial" w:eastAsia="Calibri" w:hAnsi="Arial" w:cs="Arial"/>
                <w:szCs w:val="22"/>
              </w:rPr>
              <w:t>The country faces major challenges such as fodder shortages. The objective of this study is to evaluate the agronomic performance, fo</w:t>
            </w:r>
            <w:r>
              <w:rPr>
                <w:rFonts w:ascii="Arial" w:eastAsia="Calibri" w:hAnsi="Arial" w:cs="Arial"/>
                <w:szCs w:val="22"/>
              </w:rPr>
              <w:t>dder</w:t>
            </w:r>
            <w:r w:rsidRPr="004C575E">
              <w:rPr>
                <w:rFonts w:ascii="Arial" w:eastAsia="Calibri" w:hAnsi="Arial" w:cs="Arial"/>
                <w:szCs w:val="22"/>
              </w:rPr>
              <w:t xml:space="preserve"> biomass and grain yield, as well as the nutritional value of six dual-purpose cowpea genotypes grown in Burkina Faso.</w:t>
            </w:r>
          </w:p>
          <w:p w14:paraId="67181BBB" w14:textId="067DE3A7" w:rsidR="009B55B4" w:rsidRDefault="00FE2185" w:rsidP="00E972F4">
            <w:pPr>
              <w:pStyle w:val="Body"/>
              <w:spacing w:after="0"/>
              <w:rPr>
                <w:rFonts w:eastAsia="Calibri" w:cs="Arial"/>
                <w:szCs w:val="22"/>
                <w:lang w:val="en-GB"/>
              </w:rPr>
            </w:pPr>
            <w:r w:rsidRPr="005F18A1">
              <w:rPr>
                <w:rFonts w:ascii="Arial" w:hAnsi="Arial" w:cs="Arial"/>
              </w:rPr>
              <w:t>The study was conducted at the Saria</w:t>
            </w:r>
            <w:r w:rsidR="00E972F4">
              <w:rPr>
                <w:rFonts w:ascii="Arial" w:hAnsi="Arial" w:cs="Arial"/>
              </w:rPr>
              <w:t xml:space="preserve"> in Burkina Faso</w:t>
            </w:r>
            <w:r>
              <w:rPr>
                <w:rFonts w:ascii="Arial" w:hAnsi="Arial" w:cs="Arial"/>
              </w:rPr>
              <w:t xml:space="preserve">. </w:t>
            </w:r>
            <w:r w:rsidR="009B55B4" w:rsidRPr="00AA6472">
              <w:rPr>
                <w:rFonts w:eastAsia="Calibri" w:cs="Arial"/>
                <w:szCs w:val="22"/>
                <w:lang w:val="en-GB"/>
              </w:rPr>
              <w:t xml:space="preserve">The experimental design utilized a randomized Fisher's complement block with three replications to assess varieties including commercial types (Kvx745-11P, </w:t>
            </w:r>
            <w:proofErr w:type="spellStart"/>
            <w:r w:rsidR="009B55B4" w:rsidRPr="00AA6472">
              <w:rPr>
                <w:rFonts w:eastAsia="Calibri" w:cs="Arial"/>
                <w:szCs w:val="22"/>
                <w:lang w:val="en-GB"/>
              </w:rPr>
              <w:t>Tilgré</w:t>
            </w:r>
            <w:proofErr w:type="spellEnd"/>
            <w:r w:rsidR="009B55B4" w:rsidRPr="00AA6472">
              <w:rPr>
                <w:rFonts w:eastAsia="Calibri" w:cs="Arial"/>
                <w:szCs w:val="22"/>
                <w:lang w:val="en-GB"/>
              </w:rPr>
              <w:t xml:space="preserve">, </w:t>
            </w:r>
            <w:proofErr w:type="spellStart"/>
            <w:r w:rsidR="009B55B4" w:rsidRPr="00AA6472">
              <w:rPr>
                <w:rFonts w:eastAsia="Calibri" w:cs="Arial"/>
                <w:szCs w:val="22"/>
                <w:lang w:val="en-GB"/>
              </w:rPr>
              <w:t>Gourgou</w:t>
            </w:r>
            <w:proofErr w:type="spellEnd"/>
            <w:r w:rsidR="009B55B4" w:rsidRPr="00AA6472">
              <w:rPr>
                <w:rFonts w:eastAsia="Calibri" w:cs="Arial"/>
                <w:szCs w:val="22"/>
                <w:lang w:val="en-GB"/>
              </w:rPr>
              <w:t xml:space="preserve">, </w:t>
            </w:r>
            <w:proofErr w:type="spellStart"/>
            <w:r w:rsidR="009B55B4" w:rsidRPr="00AA6472">
              <w:rPr>
                <w:rFonts w:eastAsia="Calibri" w:cs="Arial"/>
                <w:szCs w:val="22"/>
                <w:lang w:val="en-GB"/>
              </w:rPr>
              <w:t>Teek-Songo</w:t>
            </w:r>
            <w:proofErr w:type="spellEnd"/>
            <w:r w:rsidR="009B55B4" w:rsidRPr="00AA6472">
              <w:rPr>
                <w:rFonts w:eastAsia="Calibri" w:cs="Arial"/>
                <w:szCs w:val="22"/>
                <w:lang w:val="en-GB"/>
              </w:rPr>
              <w:t>) and a novel multi-line genotype (BulkF4CS036xCS117-9b)</w:t>
            </w:r>
            <w:r w:rsidR="009B55B4">
              <w:rPr>
                <w:rFonts w:eastAsia="Calibri" w:cs="Arial"/>
                <w:szCs w:val="22"/>
                <w:lang w:val="en-GB"/>
              </w:rPr>
              <w:t xml:space="preserve">. </w:t>
            </w:r>
            <w:r w:rsidR="009B55B4" w:rsidRPr="009B55B4">
              <w:rPr>
                <w:rFonts w:eastAsia="Calibri" w:cs="Arial"/>
                <w:szCs w:val="22"/>
                <w:lang w:val="en-GB"/>
              </w:rPr>
              <w:t xml:space="preserve">Agronomic assessments included monitoring growth parameters and conducting bromatological analyses on leaf samples to ascertain dry matter, crude protein, and </w:t>
            </w:r>
            <w:proofErr w:type="spellStart"/>
            <w:r w:rsidR="009B55B4" w:rsidRPr="009B55B4">
              <w:rPr>
                <w:rFonts w:eastAsia="Calibri" w:cs="Arial"/>
                <w:szCs w:val="22"/>
                <w:lang w:val="en-GB"/>
              </w:rPr>
              <w:t>fiber</w:t>
            </w:r>
            <w:proofErr w:type="spellEnd"/>
            <w:r w:rsidR="009B55B4" w:rsidRPr="009B55B4">
              <w:rPr>
                <w:rFonts w:eastAsia="Calibri" w:cs="Arial"/>
                <w:szCs w:val="22"/>
                <w:lang w:val="en-GB"/>
              </w:rPr>
              <w:t xml:space="preserve"> content.</w:t>
            </w:r>
          </w:p>
          <w:p w14:paraId="43F2CE66" w14:textId="7E6C4EA7" w:rsidR="00FE2185" w:rsidRPr="009B55B4" w:rsidRDefault="009B55B4" w:rsidP="00E972F4">
            <w:pPr>
              <w:pStyle w:val="Body"/>
              <w:spacing w:after="0"/>
              <w:rPr>
                <w:rFonts w:eastAsia="Calibri" w:cs="Arial"/>
                <w:szCs w:val="22"/>
                <w:lang w:val="en-GB"/>
              </w:rPr>
            </w:pPr>
            <w:r w:rsidRPr="009B55B4">
              <w:rPr>
                <w:rFonts w:eastAsia="Calibri" w:cs="Arial"/>
                <w:szCs w:val="22"/>
                <w:lang w:val="en-GB"/>
              </w:rPr>
              <w:t>No significant differences were found in plant height among the genotypes, although phenological stages such as flower emergence, 50% flowering, and maturity differed significantly.</w:t>
            </w:r>
            <w:r>
              <w:rPr>
                <w:rFonts w:eastAsia="Calibri" w:cs="Arial"/>
                <w:szCs w:val="22"/>
                <w:lang w:val="en-GB"/>
              </w:rPr>
              <w:t xml:space="preserve"> </w:t>
            </w:r>
            <w:r w:rsidR="00FE2185" w:rsidRPr="002F5659">
              <w:rPr>
                <w:lang w:val="en-GB"/>
              </w:rPr>
              <w:t>Fo</w:t>
            </w:r>
            <w:r w:rsidR="004D0B59">
              <w:rPr>
                <w:lang w:val="en-GB"/>
              </w:rPr>
              <w:t>dder</w:t>
            </w:r>
            <w:r w:rsidR="00FE2185" w:rsidRPr="002F5659">
              <w:rPr>
                <w:lang w:val="en-GB"/>
              </w:rPr>
              <w:t xml:space="preserve"> biomass yields ranged from 1.74 to 4.67 t/ha, with </w:t>
            </w:r>
            <w:proofErr w:type="spellStart"/>
            <w:r w:rsidR="00FE2185" w:rsidRPr="002F5659">
              <w:rPr>
                <w:lang w:val="en-GB"/>
              </w:rPr>
              <w:t>Teek-Songo</w:t>
            </w:r>
            <w:proofErr w:type="spellEnd"/>
            <w:r w:rsidR="00FE2185" w:rsidRPr="002F5659">
              <w:rPr>
                <w:lang w:val="en-GB"/>
              </w:rPr>
              <w:t xml:space="preserve"> and Kvx745-11P achieving the highest values.</w:t>
            </w:r>
            <w:r w:rsidR="004D0B59">
              <w:rPr>
                <w:lang w:val="en-GB"/>
              </w:rPr>
              <w:t xml:space="preserve"> </w:t>
            </w:r>
            <w:r w:rsidR="00FE2185" w:rsidRPr="002F5659">
              <w:rPr>
                <w:lang w:val="en-GB"/>
              </w:rPr>
              <w:t>Grain yield also varied, with BulkF4CS036xCS117-9b showing the highest productivity.</w:t>
            </w:r>
            <w:r w:rsidR="00FE2185" w:rsidRPr="002F5659">
              <w:rPr>
                <w:lang w:val="en-GB"/>
              </w:rPr>
              <w:br/>
            </w:r>
            <w:r w:rsidR="00795ACA">
              <w:rPr>
                <w:lang w:val="en-GB"/>
              </w:rPr>
              <w:t>Nutritive value of fodder</w:t>
            </w:r>
            <w:r w:rsidR="00FE2185" w:rsidRPr="002F5659">
              <w:rPr>
                <w:lang w:val="en-GB"/>
              </w:rPr>
              <w:t>, the leaves had high dry matter content (~93-94%) and</w:t>
            </w:r>
            <w:r w:rsidRPr="009B55B4">
              <w:rPr>
                <w:lang w:val="en-GB"/>
              </w:rPr>
              <w:t xml:space="preserve"> elevated crude protein levels, particularly in the </w:t>
            </w:r>
            <w:proofErr w:type="spellStart"/>
            <w:r w:rsidRPr="009B55B4">
              <w:rPr>
                <w:i/>
                <w:iCs/>
                <w:lang w:val="en-GB"/>
              </w:rPr>
              <w:t>Dounguri</w:t>
            </w:r>
            <w:proofErr w:type="spellEnd"/>
            <w:r w:rsidRPr="009B55B4">
              <w:rPr>
                <w:i/>
                <w:iCs/>
                <w:lang w:val="en-GB"/>
              </w:rPr>
              <w:t xml:space="preserve"> </w:t>
            </w:r>
            <w:proofErr w:type="spellStart"/>
            <w:r w:rsidRPr="009B55B4">
              <w:rPr>
                <w:i/>
                <w:iCs/>
                <w:lang w:val="en-GB"/>
              </w:rPr>
              <w:t>koirey</w:t>
            </w:r>
            <w:proofErr w:type="spellEnd"/>
            <w:r w:rsidRPr="009B55B4">
              <w:rPr>
                <w:lang w:val="en-GB"/>
              </w:rPr>
              <w:t xml:space="preserve"> and </w:t>
            </w:r>
            <w:proofErr w:type="spellStart"/>
            <w:r w:rsidRPr="009B55B4">
              <w:rPr>
                <w:lang w:val="en-GB"/>
              </w:rPr>
              <w:t>Teek-Songo</w:t>
            </w:r>
            <w:proofErr w:type="spellEnd"/>
            <w:r w:rsidRPr="009B55B4">
              <w:rPr>
                <w:lang w:val="en-GB"/>
              </w:rPr>
              <w:t xml:space="preserve"> genotypes, exceeding 20%</w:t>
            </w:r>
            <w:r w:rsidR="00FE2185" w:rsidRPr="002F5659">
              <w:rPr>
                <w:lang w:val="en-GB"/>
              </w:rPr>
              <w:t>.</w:t>
            </w:r>
          </w:p>
          <w:p w14:paraId="4C645B80" w14:textId="743A0A7C" w:rsidR="00505F06" w:rsidRPr="00BA1B01" w:rsidRDefault="00FE2185" w:rsidP="00E972F4">
            <w:pPr>
              <w:pStyle w:val="Body"/>
              <w:spacing w:after="0"/>
              <w:rPr>
                <w:rFonts w:ascii="Arial" w:eastAsia="Calibri" w:hAnsi="Arial" w:cs="Arial"/>
                <w:szCs w:val="22"/>
              </w:rPr>
            </w:pPr>
            <w:r w:rsidRPr="002F5659">
              <w:rPr>
                <w:lang w:val="en-GB"/>
              </w:rPr>
              <w:t xml:space="preserve">The six genotypes studied </w:t>
            </w:r>
            <w:r w:rsidR="00795ACA">
              <w:rPr>
                <w:lang w:val="en-GB"/>
              </w:rPr>
              <w:t>showed</w:t>
            </w:r>
            <w:r w:rsidRPr="002F5659">
              <w:rPr>
                <w:lang w:val="en-GB"/>
              </w:rPr>
              <w:t xml:space="preserve"> good agronomic and nutritional value for forage production in Burkina Faso's livestock systems. </w:t>
            </w:r>
            <w:proofErr w:type="spellStart"/>
            <w:r w:rsidRPr="002F5659">
              <w:rPr>
                <w:lang w:val="en-GB"/>
              </w:rPr>
              <w:t>Teek-Songo</w:t>
            </w:r>
            <w:proofErr w:type="spellEnd"/>
            <w:r w:rsidRPr="002F5659">
              <w:rPr>
                <w:lang w:val="en-GB"/>
              </w:rPr>
              <w:t xml:space="preserve"> stood out for its </w:t>
            </w:r>
            <w:proofErr w:type="spellStart"/>
            <w:r w:rsidRPr="002F5659">
              <w:rPr>
                <w:lang w:val="en-GB"/>
              </w:rPr>
              <w:t>favorable</w:t>
            </w:r>
            <w:proofErr w:type="spellEnd"/>
            <w:r w:rsidRPr="002F5659">
              <w:rPr>
                <w:lang w:val="en-GB"/>
              </w:rPr>
              <w:t xml:space="preserve"> balance of biomass yield, and nutritional quality. The study confirms cowpea's potential as a protein-rich fodder source to improve ruminant performance.</w:t>
            </w:r>
          </w:p>
        </w:tc>
      </w:tr>
    </w:tbl>
    <w:p w14:paraId="2E5A311B" w14:textId="77777777" w:rsidR="00636EB2" w:rsidRDefault="00636EB2" w:rsidP="00441B6F">
      <w:pPr>
        <w:pStyle w:val="Body"/>
        <w:spacing w:after="0"/>
        <w:rPr>
          <w:rFonts w:ascii="Arial" w:hAnsi="Arial" w:cs="Arial"/>
          <w:i/>
        </w:rPr>
      </w:pPr>
    </w:p>
    <w:p w14:paraId="797EE5CA" w14:textId="347CA102" w:rsidR="00B52896" w:rsidRPr="00FE2185" w:rsidRDefault="00A24E7E" w:rsidP="00FE2185">
      <w:pPr>
        <w:pStyle w:val="Body"/>
        <w:spacing w:after="0"/>
        <w:rPr>
          <w:rFonts w:ascii="Arial" w:hAnsi="Arial" w:cs="Arial"/>
          <w:i/>
        </w:rPr>
      </w:pPr>
      <w:r>
        <w:rPr>
          <w:rFonts w:ascii="Arial" w:hAnsi="Arial" w:cs="Arial"/>
          <w:i/>
        </w:rPr>
        <w:t xml:space="preserve">Keywords: </w:t>
      </w:r>
      <w:r w:rsidR="00E972F4" w:rsidRPr="00E972F4">
        <w:rPr>
          <w:rFonts w:ascii="Arial" w:hAnsi="Arial" w:cs="Arial"/>
          <w:i/>
        </w:rPr>
        <w:t>crop-livestock system, cowpea, lines, performance, yield</w:t>
      </w:r>
      <w:r w:rsidR="00FE2185" w:rsidRPr="00FE2185">
        <w:rPr>
          <w:rFonts w:ascii="Arial" w:hAnsi="Arial" w:cs="Arial"/>
          <w:i/>
        </w:rPr>
        <w:t xml:space="preserve">, Burkina Faso </w:t>
      </w:r>
    </w:p>
    <w:p w14:paraId="14425F5C" w14:textId="77777777" w:rsidR="0024282C" w:rsidRDefault="0024282C" w:rsidP="00441B6F">
      <w:pPr>
        <w:pStyle w:val="Body"/>
        <w:spacing w:after="0"/>
        <w:rPr>
          <w:rFonts w:ascii="Arial" w:hAnsi="Arial" w:cs="Arial"/>
          <w:i/>
          <w:sz w:val="18"/>
        </w:rPr>
      </w:pPr>
    </w:p>
    <w:p w14:paraId="51511254" w14:textId="77777777" w:rsidR="00505F06" w:rsidRPr="00A24E7E" w:rsidRDefault="00505F06" w:rsidP="00441B6F">
      <w:pPr>
        <w:pStyle w:val="Body"/>
        <w:spacing w:after="0"/>
        <w:rPr>
          <w:rFonts w:ascii="Arial" w:hAnsi="Arial" w:cs="Arial"/>
          <w:i/>
        </w:rPr>
      </w:pPr>
    </w:p>
    <w:p w14:paraId="2E390C6A" w14:textId="788F41B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9E1DE2" w14:textId="77777777" w:rsidR="00644276" w:rsidRDefault="00644276" w:rsidP="00441B6F">
      <w:pPr>
        <w:pStyle w:val="Body"/>
        <w:spacing w:after="0"/>
        <w:rPr>
          <w:rFonts w:ascii="Arial" w:hAnsi="Arial" w:cs="Arial"/>
        </w:rPr>
      </w:pPr>
    </w:p>
    <w:p w14:paraId="64AA361D" w14:textId="1B3F633E" w:rsidR="005F18A1" w:rsidRPr="001943D0" w:rsidRDefault="005F18A1" w:rsidP="005F18A1">
      <w:pPr>
        <w:pStyle w:val="Body"/>
        <w:spacing w:after="0"/>
        <w:rPr>
          <w:rFonts w:ascii="Arial" w:hAnsi="Arial" w:cs="Arial"/>
        </w:rPr>
      </w:pPr>
      <w:r w:rsidRPr="001943D0">
        <w:rPr>
          <w:rFonts w:ascii="Arial" w:hAnsi="Arial" w:cs="Arial"/>
        </w:rPr>
        <w:t>Agriculture and livestock farming play crucial roles in Burkina Faso's economic and social development. These two sectors employ more than 85% of the population and contribute approximately 40% to the Gross Domestic Product (GDP) (</w:t>
      </w:r>
      <w:proofErr w:type="spellStart"/>
      <w:r w:rsidRPr="001943D0">
        <w:rPr>
          <w:rFonts w:ascii="Arial" w:hAnsi="Arial" w:cs="Arial"/>
        </w:rPr>
        <w:t>Oudet</w:t>
      </w:r>
      <w:proofErr w:type="spellEnd"/>
      <w:r w:rsidRPr="001943D0">
        <w:rPr>
          <w:rFonts w:ascii="Arial" w:hAnsi="Arial" w:cs="Arial"/>
        </w:rPr>
        <w:t xml:space="preserve">, 2005). Although agriculture is the foundation of Burkina Faso's economy, it faces enormous challenges, as does livestock farming. The major problems facing livestock farming are fodder shortages and conflicts between farmers and herders in the region. To address these issues, cowpea (Vigna </w:t>
      </w:r>
      <w:proofErr w:type="spellStart"/>
      <w:r w:rsidRPr="001943D0">
        <w:rPr>
          <w:rFonts w:ascii="Arial" w:hAnsi="Arial" w:cs="Arial"/>
        </w:rPr>
        <w:t>unguiculata</w:t>
      </w:r>
      <w:proofErr w:type="spellEnd"/>
      <w:r w:rsidRPr="001943D0">
        <w:rPr>
          <w:rFonts w:ascii="Arial" w:hAnsi="Arial" w:cs="Arial"/>
        </w:rPr>
        <w:t xml:space="preserve"> (L) </w:t>
      </w:r>
      <w:proofErr w:type="spellStart"/>
      <w:r w:rsidRPr="001943D0">
        <w:rPr>
          <w:rFonts w:ascii="Arial" w:hAnsi="Arial" w:cs="Arial"/>
        </w:rPr>
        <w:t>Walp</w:t>
      </w:r>
      <w:proofErr w:type="spellEnd"/>
      <w:r w:rsidRPr="001943D0">
        <w:rPr>
          <w:rFonts w:ascii="Arial" w:hAnsi="Arial" w:cs="Arial"/>
        </w:rPr>
        <w:t>.) is the crop of choice. This plant has the potential to serve as a key legume species for intensifying crop production systems by providing protein in human diets, fodder in livestock feed (</w:t>
      </w:r>
      <w:proofErr w:type="spellStart"/>
      <w:r w:rsidRPr="001943D0">
        <w:rPr>
          <w:rFonts w:ascii="Arial" w:hAnsi="Arial" w:cs="Arial"/>
        </w:rPr>
        <w:t>Ogbemudia</w:t>
      </w:r>
      <w:proofErr w:type="spellEnd"/>
      <w:r w:rsidRPr="001943D0">
        <w:rPr>
          <w:rFonts w:ascii="Arial" w:hAnsi="Arial" w:cs="Arial"/>
        </w:rPr>
        <w:t xml:space="preserve"> et al., 2010), and nitrogen in agricultural systems through </w:t>
      </w:r>
      <w:r w:rsidRPr="001943D0">
        <w:rPr>
          <w:rFonts w:ascii="Arial" w:hAnsi="Arial" w:cs="Arial"/>
        </w:rPr>
        <w:lastRenderedPageBreak/>
        <w:t>atmospheric nitrogen fixation (</w:t>
      </w:r>
      <w:proofErr w:type="spellStart"/>
      <w:r w:rsidRPr="001943D0">
        <w:rPr>
          <w:rFonts w:ascii="Arial" w:hAnsi="Arial" w:cs="Arial"/>
        </w:rPr>
        <w:t>Agaza</w:t>
      </w:r>
      <w:proofErr w:type="spellEnd"/>
      <w:r w:rsidRPr="001943D0">
        <w:rPr>
          <w:rFonts w:ascii="Arial" w:hAnsi="Arial" w:cs="Arial"/>
        </w:rPr>
        <w:t xml:space="preserve"> et al., 2012). As crop-livestock integration is a classic pathway for agricultural intensification in tropical countries, dual-purpose varieties are essential for food security and for reducing poverty (</w:t>
      </w:r>
      <w:proofErr w:type="spellStart"/>
      <w:r w:rsidRPr="001943D0">
        <w:rPr>
          <w:rFonts w:ascii="Arial" w:hAnsi="Arial" w:cs="Arial"/>
        </w:rPr>
        <w:t>Ogbemudia</w:t>
      </w:r>
      <w:proofErr w:type="spellEnd"/>
      <w:r w:rsidRPr="001943D0">
        <w:rPr>
          <w:rFonts w:ascii="Arial" w:hAnsi="Arial" w:cs="Arial"/>
        </w:rPr>
        <w:t xml:space="preserve"> et al., 2010). The use of dual-purpose cowpea for human and animal consumption has many advantages as a nutrient-rich fodder for livestock (Marina et al. (2017); </w:t>
      </w:r>
      <w:proofErr w:type="spellStart"/>
      <w:r w:rsidRPr="001943D0">
        <w:rPr>
          <w:rFonts w:ascii="Arial" w:hAnsi="Arial" w:cs="Arial"/>
        </w:rPr>
        <w:t>Owade</w:t>
      </w:r>
      <w:proofErr w:type="spellEnd"/>
      <w:r w:rsidRPr="001943D0">
        <w:rPr>
          <w:rFonts w:ascii="Arial" w:hAnsi="Arial" w:cs="Arial"/>
        </w:rPr>
        <w:t xml:space="preserve"> et al. (2020)).</w:t>
      </w:r>
    </w:p>
    <w:p w14:paraId="70EAECD8" w14:textId="77777777" w:rsidR="005F18A1" w:rsidRPr="005F18A1" w:rsidRDefault="005F18A1" w:rsidP="005F18A1">
      <w:pPr>
        <w:pStyle w:val="Body"/>
        <w:spacing w:after="0"/>
        <w:rPr>
          <w:rFonts w:ascii="Arial" w:hAnsi="Arial" w:cs="Arial"/>
        </w:rPr>
      </w:pPr>
      <w:r w:rsidRPr="005F18A1">
        <w:rPr>
          <w:rFonts w:ascii="Arial" w:hAnsi="Arial" w:cs="Arial"/>
        </w:rPr>
        <w:t>As livestock are fed on natural pastures and crop residues, the cultivation of cowpea fodder can play an important role in this sector.</w:t>
      </w:r>
    </w:p>
    <w:p w14:paraId="07DE0FEC" w14:textId="5C5F507A" w:rsidR="00B01FCD" w:rsidRDefault="005F18A1" w:rsidP="00441B6F">
      <w:pPr>
        <w:pStyle w:val="Body"/>
        <w:spacing w:after="0"/>
        <w:rPr>
          <w:rFonts w:ascii="Arial" w:hAnsi="Arial" w:cs="Arial"/>
        </w:rPr>
      </w:pPr>
      <w:r w:rsidRPr="005F18A1">
        <w:rPr>
          <w:rFonts w:ascii="Arial" w:hAnsi="Arial" w:cs="Arial"/>
        </w:rPr>
        <w:t>Thus, the adoption of new dual-purpose genotypes can be an economic source of income for rural populations. Improved genotypes offer opportunities to increase agricultural production and producer income. They can almost double yields, regardless of the region, compared to traditional genotypes, and as a result, increase incomes. However, the gains provided by these genotypes offset these costs (</w:t>
      </w:r>
      <w:proofErr w:type="spellStart"/>
      <w:r w:rsidRPr="005F18A1">
        <w:rPr>
          <w:rFonts w:ascii="Arial" w:hAnsi="Arial" w:cs="Arial"/>
        </w:rPr>
        <w:t>Ouédraogo</w:t>
      </w:r>
      <w:proofErr w:type="spellEnd"/>
      <w:r w:rsidRPr="005F18A1">
        <w:rPr>
          <w:rFonts w:ascii="Arial" w:hAnsi="Arial" w:cs="Arial"/>
        </w:rPr>
        <w:t xml:space="preserve"> 2003). Farmers who harvest and store fodder for resale during the dry season increase their income by approximately 25% (</w:t>
      </w:r>
      <w:proofErr w:type="spellStart"/>
      <w:r w:rsidRPr="005F18A1">
        <w:rPr>
          <w:rFonts w:ascii="Arial" w:hAnsi="Arial" w:cs="Arial"/>
        </w:rPr>
        <w:t>Dugje</w:t>
      </w:r>
      <w:proofErr w:type="spellEnd"/>
      <w:r w:rsidRPr="005F18A1">
        <w:rPr>
          <w:rFonts w:ascii="Arial" w:hAnsi="Arial" w:cs="Arial"/>
        </w:rPr>
        <w:t xml:space="preserve"> et al., 2009). Therefore, it is essential to test the performance of cowpea genotypes. Consequently, this study was designed to evaluate the </w:t>
      </w:r>
      <w:proofErr w:type="spellStart"/>
      <w:r w:rsidRPr="005F18A1">
        <w:rPr>
          <w:rFonts w:ascii="Arial" w:hAnsi="Arial" w:cs="Arial"/>
        </w:rPr>
        <w:t>agromorphological</w:t>
      </w:r>
      <w:proofErr w:type="spellEnd"/>
      <w:r w:rsidRPr="005F18A1">
        <w:rPr>
          <w:rFonts w:ascii="Arial" w:hAnsi="Arial" w:cs="Arial"/>
        </w:rPr>
        <w:t xml:space="preserve"> characteristics, f</w:t>
      </w:r>
      <w:r w:rsidR="00E972F4">
        <w:rPr>
          <w:rFonts w:ascii="Arial" w:hAnsi="Arial" w:cs="Arial"/>
        </w:rPr>
        <w:t>odder</w:t>
      </w:r>
      <w:r w:rsidRPr="005F18A1">
        <w:rPr>
          <w:rFonts w:ascii="Arial" w:hAnsi="Arial" w:cs="Arial"/>
        </w:rPr>
        <w:t xml:space="preserve"> and grain yield potential, and nutritional value of six (6) dual-purpose cowpea genotypes in Burkina Faso</w:t>
      </w:r>
      <w:r>
        <w:rPr>
          <w:rFonts w:ascii="Arial" w:hAnsi="Arial" w:cs="Arial"/>
        </w:rPr>
        <w:t>.</w:t>
      </w:r>
    </w:p>
    <w:p w14:paraId="6D158BB3" w14:textId="77777777" w:rsidR="00790ADA" w:rsidRPr="00FB3A86" w:rsidRDefault="00790ADA" w:rsidP="00441B6F">
      <w:pPr>
        <w:pStyle w:val="Body"/>
        <w:spacing w:after="0"/>
        <w:rPr>
          <w:rFonts w:ascii="Arial" w:hAnsi="Arial" w:cs="Arial"/>
        </w:rPr>
      </w:pPr>
    </w:p>
    <w:p w14:paraId="2420967E" w14:textId="08EBA758"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E1126E1" w14:textId="77777777" w:rsidR="005F18A1" w:rsidRDefault="005F18A1" w:rsidP="00441B6F">
      <w:pPr>
        <w:pStyle w:val="Body"/>
        <w:spacing w:after="0"/>
        <w:rPr>
          <w:rFonts w:ascii="Arial" w:hAnsi="Arial" w:cs="Arial"/>
        </w:rPr>
      </w:pPr>
    </w:p>
    <w:p w14:paraId="05D68282" w14:textId="60CB43E6" w:rsidR="005F18A1" w:rsidRDefault="005F18A1" w:rsidP="004D0B59">
      <w:pPr>
        <w:pStyle w:val="Body"/>
        <w:spacing w:after="0"/>
        <w:jc w:val="left"/>
        <w:rPr>
          <w:rFonts w:ascii="Arial" w:hAnsi="Arial" w:cs="Arial"/>
          <w:b/>
          <w:bCs/>
          <w:sz w:val="22"/>
          <w:szCs w:val="22"/>
          <w:lang w:val="en-GB"/>
        </w:rPr>
      </w:pPr>
      <w:r w:rsidRPr="005F18A1">
        <w:rPr>
          <w:rFonts w:ascii="Arial" w:hAnsi="Arial" w:cs="Arial"/>
          <w:b/>
          <w:bCs/>
          <w:sz w:val="22"/>
          <w:szCs w:val="22"/>
          <w:lang w:val="en-GB"/>
        </w:rPr>
        <w:t>2.1 Study site</w:t>
      </w:r>
    </w:p>
    <w:p w14:paraId="3F68C0CE" w14:textId="77777777" w:rsidR="004D0B59" w:rsidRPr="005F18A1" w:rsidRDefault="004D0B59" w:rsidP="004D0B59">
      <w:pPr>
        <w:pStyle w:val="Body"/>
        <w:spacing w:after="0"/>
        <w:jc w:val="left"/>
        <w:rPr>
          <w:rFonts w:ascii="Arial" w:hAnsi="Arial" w:cs="Arial"/>
          <w:b/>
          <w:bCs/>
          <w:sz w:val="22"/>
          <w:szCs w:val="22"/>
          <w:lang w:val="en-GB"/>
        </w:rPr>
      </w:pPr>
    </w:p>
    <w:p w14:paraId="115968B5" w14:textId="3B6DBC30" w:rsidR="005F18A1" w:rsidRDefault="005F18A1" w:rsidP="002C5660">
      <w:pPr>
        <w:pStyle w:val="Body"/>
        <w:spacing w:after="0"/>
        <w:rPr>
          <w:rFonts w:ascii="Arial" w:hAnsi="Arial" w:cs="Arial"/>
          <w:lang w:val="en-GB"/>
        </w:rPr>
      </w:pPr>
      <w:r w:rsidRPr="005F18A1">
        <w:rPr>
          <w:rFonts w:ascii="Arial" w:hAnsi="Arial" w:cs="Arial"/>
        </w:rPr>
        <w:t xml:space="preserve">The study was conducted at the Saria. Saria is located 80 km west of Ouagadougou. With geographical coordinates of 12° 16' N and 2° 9' W, the climate is North Sudanese in nature. The soil is ferric </w:t>
      </w:r>
      <w:proofErr w:type="spellStart"/>
      <w:r w:rsidRPr="005F18A1">
        <w:rPr>
          <w:rFonts w:ascii="Arial" w:hAnsi="Arial" w:cs="Arial"/>
        </w:rPr>
        <w:t>lixisol</w:t>
      </w:r>
      <w:proofErr w:type="spellEnd"/>
      <w:r w:rsidRPr="005F18A1">
        <w:rPr>
          <w:rFonts w:ascii="Arial" w:hAnsi="Arial" w:cs="Arial"/>
        </w:rPr>
        <w:t xml:space="preserve"> with an average depth of 50–80 cm. This depth is limited by the presence of a concretionary crust (</w:t>
      </w:r>
      <w:proofErr w:type="spellStart"/>
      <w:r w:rsidRPr="005F18A1">
        <w:rPr>
          <w:rFonts w:ascii="Arial" w:hAnsi="Arial" w:cs="Arial"/>
        </w:rPr>
        <w:t>Zougmoré</w:t>
      </w:r>
      <w:proofErr w:type="spellEnd"/>
      <w:r w:rsidRPr="005F18A1">
        <w:rPr>
          <w:rFonts w:ascii="Arial" w:hAnsi="Arial" w:cs="Arial"/>
        </w:rPr>
        <w:t xml:space="preserve"> et al., 2004). The average annual rainfall recorded over the last ten years was 939.12 ± 175.22 mm</w:t>
      </w:r>
      <w:r w:rsidRPr="005F18A1">
        <w:rPr>
          <w:rFonts w:ascii="Arial" w:hAnsi="Arial" w:cs="Arial"/>
          <w:lang w:val="en-GB"/>
        </w:rPr>
        <w:t>.</w:t>
      </w:r>
    </w:p>
    <w:p w14:paraId="343638AB" w14:textId="77777777" w:rsidR="002C5660" w:rsidRPr="005F18A1" w:rsidRDefault="002C5660" w:rsidP="002C5660">
      <w:pPr>
        <w:pStyle w:val="Body"/>
        <w:spacing w:after="0"/>
        <w:rPr>
          <w:rFonts w:ascii="Arial" w:hAnsi="Arial" w:cs="Arial"/>
          <w:lang w:val="en-GB"/>
        </w:rPr>
      </w:pPr>
    </w:p>
    <w:p w14:paraId="2E129310" w14:textId="52970730" w:rsidR="005F18A1" w:rsidRDefault="005F18A1" w:rsidP="002C5660">
      <w:pPr>
        <w:pStyle w:val="Body"/>
        <w:spacing w:after="0"/>
        <w:jc w:val="left"/>
        <w:rPr>
          <w:rFonts w:ascii="Arial" w:hAnsi="Arial" w:cs="Arial"/>
          <w:b/>
          <w:bCs/>
          <w:sz w:val="22"/>
          <w:szCs w:val="22"/>
          <w:lang w:val="en-GB"/>
        </w:rPr>
      </w:pPr>
      <w:r w:rsidRPr="005F18A1">
        <w:rPr>
          <w:rFonts w:ascii="Arial" w:hAnsi="Arial" w:cs="Arial"/>
          <w:b/>
          <w:bCs/>
          <w:sz w:val="22"/>
          <w:szCs w:val="22"/>
          <w:lang w:val="en-GB"/>
        </w:rPr>
        <w:t>2.</w:t>
      </w:r>
      <w:r w:rsidR="00C44A55">
        <w:rPr>
          <w:rFonts w:ascii="Arial" w:hAnsi="Arial" w:cs="Arial"/>
          <w:b/>
          <w:bCs/>
          <w:sz w:val="22"/>
          <w:szCs w:val="22"/>
          <w:lang w:val="en-GB"/>
        </w:rPr>
        <w:t>2</w:t>
      </w:r>
      <w:r w:rsidRPr="005F18A1">
        <w:rPr>
          <w:rFonts w:ascii="Arial" w:hAnsi="Arial" w:cs="Arial"/>
          <w:b/>
          <w:bCs/>
          <w:sz w:val="22"/>
          <w:szCs w:val="22"/>
          <w:lang w:val="en-GB"/>
        </w:rPr>
        <w:t xml:space="preserve"> Plant material</w:t>
      </w:r>
    </w:p>
    <w:p w14:paraId="7AC1B34E" w14:textId="77777777" w:rsidR="002C5660" w:rsidRPr="005F18A1" w:rsidRDefault="002C5660" w:rsidP="002C5660">
      <w:pPr>
        <w:pStyle w:val="Body"/>
        <w:spacing w:after="0"/>
        <w:jc w:val="left"/>
        <w:rPr>
          <w:rFonts w:ascii="Arial" w:hAnsi="Arial" w:cs="Arial"/>
          <w:b/>
          <w:bCs/>
          <w:sz w:val="22"/>
          <w:szCs w:val="22"/>
          <w:lang w:val="en-GB"/>
        </w:rPr>
      </w:pPr>
    </w:p>
    <w:p w14:paraId="192C4234" w14:textId="77777777" w:rsidR="005F18A1" w:rsidRDefault="005F18A1" w:rsidP="005F18A1">
      <w:pPr>
        <w:pStyle w:val="Body"/>
        <w:spacing w:after="0"/>
        <w:rPr>
          <w:rFonts w:ascii="Arial" w:hAnsi="Arial" w:cs="Arial"/>
        </w:rPr>
      </w:pPr>
      <w:r w:rsidRPr="001943D0">
        <w:rPr>
          <w:rFonts w:ascii="Arial" w:hAnsi="Arial" w:cs="Arial"/>
        </w:rPr>
        <w:t>Six cowpea lines, KVx745-11P, KVx775-33-2G (</w:t>
      </w:r>
      <w:proofErr w:type="spellStart"/>
      <w:r w:rsidRPr="001943D0">
        <w:rPr>
          <w:rFonts w:ascii="Arial" w:hAnsi="Arial" w:cs="Arial"/>
          <w:iCs/>
        </w:rPr>
        <w:t>Tilgré</w:t>
      </w:r>
      <w:proofErr w:type="spellEnd"/>
      <w:r w:rsidRPr="001943D0">
        <w:rPr>
          <w:rFonts w:ascii="Arial" w:hAnsi="Arial" w:cs="Arial"/>
        </w:rPr>
        <w:t xml:space="preserve">), BulkF4CS036xCS117-9b, </w:t>
      </w:r>
      <w:proofErr w:type="spellStart"/>
      <w:r w:rsidRPr="001943D0">
        <w:rPr>
          <w:rFonts w:ascii="Arial" w:hAnsi="Arial" w:cs="Arial"/>
          <w:iCs/>
        </w:rPr>
        <w:t>Teek-Songo</w:t>
      </w:r>
      <w:proofErr w:type="spellEnd"/>
      <w:r w:rsidRPr="001943D0">
        <w:rPr>
          <w:rFonts w:ascii="Arial" w:hAnsi="Arial" w:cs="Arial"/>
        </w:rPr>
        <w:t xml:space="preserve">, </w:t>
      </w:r>
      <w:proofErr w:type="spellStart"/>
      <w:r w:rsidRPr="001943D0">
        <w:rPr>
          <w:rFonts w:ascii="Arial" w:hAnsi="Arial" w:cs="Arial"/>
          <w:i/>
        </w:rPr>
        <w:t>Dounguri</w:t>
      </w:r>
      <w:proofErr w:type="spellEnd"/>
      <w:r w:rsidRPr="001943D0">
        <w:rPr>
          <w:rFonts w:ascii="Arial" w:hAnsi="Arial" w:cs="Arial"/>
          <w:i/>
        </w:rPr>
        <w:t xml:space="preserve"> </w:t>
      </w:r>
      <w:proofErr w:type="spellStart"/>
      <w:r w:rsidRPr="001943D0">
        <w:rPr>
          <w:rFonts w:ascii="Arial" w:hAnsi="Arial" w:cs="Arial"/>
          <w:i/>
        </w:rPr>
        <w:t>koirey</w:t>
      </w:r>
      <w:proofErr w:type="spellEnd"/>
      <w:r w:rsidRPr="001943D0">
        <w:rPr>
          <w:rFonts w:ascii="Arial" w:hAnsi="Arial" w:cs="Arial"/>
        </w:rPr>
        <w:t xml:space="preserve"> and </w:t>
      </w:r>
      <w:proofErr w:type="spellStart"/>
      <w:r w:rsidRPr="001943D0">
        <w:rPr>
          <w:rFonts w:ascii="Arial" w:hAnsi="Arial" w:cs="Arial"/>
          <w:iCs/>
        </w:rPr>
        <w:t>Gourgou</w:t>
      </w:r>
      <w:proofErr w:type="spellEnd"/>
      <w:r w:rsidRPr="001943D0">
        <w:rPr>
          <w:rFonts w:ascii="Arial" w:hAnsi="Arial" w:cs="Arial"/>
        </w:rPr>
        <w:t xml:space="preserve">, constituted the plant material studied by INERA. The BulkF4CS036xCS117-9b genotype is a novel, non-commercialized genotype. It is a multi-line F5 generation genotype derived from a cross between the </w:t>
      </w:r>
      <w:proofErr w:type="spellStart"/>
      <w:r w:rsidRPr="001943D0">
        <w:rPr>
          <w:rFonts w:ascii="Arial" w:hAnsi="Arial" w:cs="Arial"/>
          <w:iCs/>
        </w:rPr>
        <w:t>Gourgou</w:t>
      </w:r>
      <w:proofErr w:type="spellEnd"/>
      <w:r w:rsidRPr="001943D0">
        <w:rPr>
          <w:rFonts w:ascii="Arial" w:hAnsi="Arial" w:cs="Arial"/>
        </w:rPr>
        <w:t xml:space="preserve"> genotype from Burkina Faso and the </w:t>
      </w:r>
      <w:proofErr w:type="spellStart"/>
      <w:r w:rsidRPr="001943D0">
        <w:rPr>
          <w:rFonts w:ascii="Arial" w:hAnsi="Arial" w:cs="Arial"/>
          <w:i/>
        </w:rPr>
        <w:t>Dounguri</w:t>
      </w:r>
      <w:proofErr w:type="spellEnd"/>
      <w:r w:rsidRPr="001943D0">
        <w:rPr>
          <w:rFonts w:ascii="Arial" w:hAnsi="Arial" w:cs="Arial"/>
          <w:i/>
        </w:rPr>
        <w:t xml:space="preserve"> </w:t>
      </w:r>
      <w:proofErr w:type="spellStart"/>
      <w:r w:rsidRPr="001943D0">
        <w:rPr>
          <w:rFonts w:ascii="Arial" w:hAnsi="Arial" w:cs="Arial"/>
          <w:i/>
        </w:rPr>
        <w:t>koirey</w:t>
      </w:r>
      <w:proofErr w:type="spellEnd"/>
      <w:r w:rsidRPr="001943D0">
        <w:rPr>
          <w:rFonts w:ascii="Arial" w:hAnsi="Arial" w:cs="Arial"/>
        </w:rPr>
        <w:t xml:space="preserve"> genotype from Niger. The genotypes Kvx775-33-2G (</w:t>
      </w:r>
      <w:proofErr w:type="spellStart"/>
      <w:r w:rsidRPr="001943D0">
        <w:rPr>
          <w:rFonts w:ascii="Arial" w:hAnsi="Arial" w:cs="Arial"/>
          <w:iCs/>
        </w:rPr>
        <w:t>Tiligré</w:t>
      </w:r>
      <w:proofErr w:type="spellEnd"/>
      <w:r w:rsidRPr="001943D0">
        <w:rPr>
          <w:rFonts w:ascii="Arial" w:hAnsi="Arial" w:cs="Arial"/>
        </w:rPr>
        <w:t xml:space="preserve">), </w:t>
      </w:r>
      <w:proofErr w:type="spellStart"/>
      <w:r w:rsidRPr="001943D0">
        <w:rPr>
          <w:rFonts w:ascii="Arial" w:hAnsi="Arial" w:cs="Arial"/>
          <w:iCs/>
        </w:rPr>
        <w:t>Gourgou</w:t>
      </w:r>
      <w:proofErr w:type="spellEnd"/>
      <w:r w:rsidRPr="001943D0">
        <w:rPr>
          <w:rFonts w:ascii="Arial" w:hAnsi="Arial" w:cs="Arial"/>
        </w:rPr>
        <w:t xml:space="preserve">, </w:t>
      </w:r>
      <w:proofErr w:type="spellStart"/>
      <w:r w:rsidRPr="001943D0">
        <w:rPr>
          <w:rFonts w:ascii="Arial" w:hAnsi="Arial" w:cs="Arial"/>
          <w:iCs/>
        </w:rPr>
        <w:t>Teek-Songo</w:t>
      </w:r>
      <w:proofErr w:type="spellEnd"/>
      <w:r w:rsidRPr="001943D0">
        <w:rPr>
          <w:rFonts w:ascii="Arial" w:hAnsi="Arial" w:cs="Arial"/>
        </w:rPr>
        <w:t xml:space="preserve"> and Kvx745-11P are commercial genotypes. Table I presents the characteristics of the six cowpea lines used in this study.</w:t>
      </w:r>
      <w:r w:rsidRPr="005F18A1">
        <w:rPr>
          <w:rFonts w:ascii="Arial" w:hAnsi="Arial" w:cs="Arial"/>
        </w:rPr>
        <w:t xml:space="preserve"> </w:t>
      </w:r>
    </w:p>
    <w:p w14:paraId="1B0FB093" w14:textId="77777777" w:rsidR="002C5660" w:rsidRDefault="002C5660" w:rsidP="005F18A1">
      <w:pPr>
        <w:pStyle w:val="Body"/>
        <w:spacing w:after="0"/>
        <w:rPr>
          <w:rFonts w:ascii="Arial" w:hAnsi="Arial" w:cs="Arial"/>
        </w:rPr>
      </w:pPr>
    </w:p>
    <w:p w14:paraId="0F641E40" w14:textId="77777777" w:rsidR="00795ACA" w:rsidRDefault="00795ACA" w:rsidP="002C5660">
      <w:pPr>
        <w:pStyle w:val="Body"/>
        <w:spacing w:after="0"/>
        <w:rPr>
          <w:rFonts w:ascii="Arial" w:hAnsi="Arial" w:cs="Arial"/>
          <w:b/>
          <w:bCs/>
          <w:lang w:val="en-GB"/>
        </w:rPr>
      </w:pPr>
    </w:p>
    <w:p w14:paraId="35EF7292" w14:textId="77777777" w:rsidR="00795ACA" w:rsidRDefault="00795ACA" w:rsidP="002C5660">
      <w:pPr>
        <w:pStyle w:val="Body"/>
        <w:spacing w:after="0"/>
        <w:rPr>
          <w:rFonts w:ascii="Arial" w:hAnsi="Arial" w:cs="Arial"/>
          <w:b/>
          <w:bCs/>
          <w:lang w:val="en-GB"/>
        </w:rPr>
      </w:pPr>
    </w:p>
    <w:p w14:paraId="684DB394" w14:textId="77777777" w:rsidR="00795ACA" w:rsidRDefault="00795ACA" w:rsidP="002C5660">
      <w:pPr>
        <w:pStyle w:val="Body"/>
        <w:spacing w:after="0"/>
        <w:rPr>
          <w:rFonts w:ascii="Arial" w:hAnsi="Arial" w:cs="Arial"/>
          <w:b/>
          <w:bCs/>
          <w:lang w:val="en-GB"/>
        </w:rPr>
      </w:pPr>
    </w:p>
    <w:p w14:paraId="2CA94D18" w14:textId="277901FB" w:rsidR="005F18A1" w:rsidRDefault="005F18A1" w:rsidP="002C5660">
      <w:pPr>
        <w:pStyle w:val="Body"/>
        <w:spacing w:after="0"/>
        <w:rPr>
          <w:rFonts w:ascii="Arial" w:hAnsi="Arial" w:cs="Arial"/>
          <w:b/>
          <w:bCs/>
          <w:lang w:val="en-GB"/>
        </w:rPr>
      </w:pPr>
      <w:r w:rsidRPr="005F18A1">
        <w:rPr>
          <w:rFonts w:ascii="Arial" w:hAnsi="Arial" w:cs="Arial"/>
          <w:b/>
          <w:bCs/>
          <w:lang w:val="en-GB"/>
        </w:rPr>
        <w:t>Table 1: Origins and cycles of cowpea lines</w:t>
      </w:r>
    </w:p>
    <w:p w14:paraId="1087187B" w14:textId="77777777" w:rsidR="002C5660" w:rsidRPr="005F18A1" w:rsidRDefault="002C5660" w:rsidP="002C5660">
      <w:pPr>
        <w:pStyle w:val="Body"/>
        <w:spacing w:after="0"/>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2714"/>
        <w:gridCol w:w="1985"/>
      </w:tblGrid>
      <w:tr w:rsidR="005F18A1" w:rsidRPr="005F18A1" w14:paraId="35F1FFE7" w14:textId="77777777" w:rsidTr="0067433C">
        <w:trPr>
          <w:jc w:val="center"/>
        </w:trPr>
        <w:tc>
          <w:tcPr>
            <w:tcW w:w="3093" w:type="dxa"/>
            <w:tcBorders>
              <w:top w:val="single" w:sz="4" w:space="0" w:color="auto"/>
              <w:bottom w:val="single" w:sz="4" w:space="0" w:color="auto"/>
            </w:tcBorders>
          </w:tcPr>
          <w:p w14:paraId="75FF6C87"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en-GB"/>
              </w:rPr>
              <w:t>lines</w:t>
            </w:r>
          </w:p>
        </w:tc>
        <w:tc>
          <w:tcPr>
            <w:tcW w:w="2714" w:type="dxa"/>
            <w:tcBorders>
              <w:top w:val="single" w:sz="4" w:space="0" w:color="auto"/>
              <w:bottom w:val="single" w:sz="4" w:space="0" w:color="auto"/>
            </w:tcBorders>
          </w:tcPr>
          <w:p w14:paraId="62F37CF0"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fr-FR"/>
              </w:rPr>
              <w:t>Cycles (</w:t>
            </w:r>
            <w:proofErr w:type="spellStart"/>
            <w:r w:rsidRPr="005F18A1">
              <w:rPr>
                <w:rFonts w:ascii="Arial" w:hAnsi="Arial" w:cs="Arial"/>
                <w:b/>
                <w:bCs/>
                <w:sz w:val="20"/>
                <w:lang w:val="fr-FR"/>
              </w:rPr>
              <w:t>days</w:t>
            </w:r>
            <w:proofErr w:type="spellEnd"/>
            <w:r w:rsidRPr="005F18A1">
              <w:rPr>
                <w:rFonts w:ascii="Arial" w:hAnsi="Arial" w:cs="Arial"/>
                <w:b/>
                <w:bCs/>
                <w:sz w:val="20"/>
                <w:lang w:val="fr-FR"/>
              </w:rPr>
              <w:t>)  </w:t>
            </w:r>
          </w:p>
        </w:tc>
        <w:tc>
          <w:tcPr>
            <w:tcW w:w="1985" w:type="dxa"/>
            <w:tcBorders>
              <w:top w:val="single" w:sz="4" w:space="0" w:color="auto"/>
              <w:bottom w:val="single" w:sz="4" w:space="0" w:color="auto"/>
            </w:tcBorders>
          </w:tcPr>
          <w:p w14:paraId="320CF3CE"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fr-FR"/>
              </w:rPr>
              <w:t>Origin</w:t>
            </w:r>
          </w:p>
        </w:tc>
      </w:tr>
      <w:tr w:rsidR="005F18A1" w:rsidRPr="005F18A1" w14:paraId="20C72C0C" w14:textId="77777777" w:rsidTr="0067433C">
        <w:trPr>
          <w:jc w:val="center"/>
        </w:trPr>
        <w:tc>
          <w:tcPr>
            <w:tcW w:w="3093" w:type="dxa"/>
            <w:tcBorders>
              <w:top w:val="single" w:sz="4" w:space="0" w:color="auto"/>
            </w:tcBorders>
          </w:tcPr>
          <w:p w14:paraId="1FF30122"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Kvx775-33-2G (</w:t>
            </w:r>
            <w:proofErr w:type="spellStart"/>
            <w:r w:rsidRPr="005F18A1">
              <w:rPr>
                <w:rFonts w:ascii="Arial" w:hAnsi="Arial" w:cs="Arial"/>
                <w:sz w:val="20"/>
                <w:lang w:val="fr-FR"/>
              </w:rPr>
              <w:t>Tiligré</w:t>
            </w:r>
            <w:proofErr w:type="spellEnd"/>
            <w:r w:rsidRPr="005F18A1">
              <w:rPr>
                <w:rFonts w:ascii="Arial" w:hAnsi="Arial" w:cs="Arial"/>
                <w:sz w:val="20"/>
                <w:lang w:val="fr-FR"/>
              </w:rPr>
              <w:t xml:space="preserve">) </w:t>
            </w:r>
          </w:p>
        </w:tc>
        <w:tc>
          <w:tcPr>
            <w:tcW w:w="2714" w:type="dxa"/>
            <w:tcBorders>
              <w:top w:val="single" w:sz="4" w:space="0" w:color="auto"/>
            </w:tcBorders>
          </w:tcPr>
          <w:p w14:paraId="487F4261"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Borders>
              <w:top w:val="single" w:sz="4" w:space="0" w:color="auto"/>
            </w:tcBorders>
          </w:tcPr>
          <w:p w14:paraId="55225296"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2A32399F" w14:textId="77777777" w:rsidTr="0067433C">
        <w:trPr>
          <w:jc w:val="center"/>
        </w:trPr>
        <w:tc>
          <w:tcPr>
            <w:tcW w:w="3093" w:type="dxa"/>
          </w:tcPr>
          <w:p w14:paraId="13F17CE3"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Kvx745-11P</w:t>
            </w:r>
          </w:p>
        </w:tc>
        <w:tc>
          <w:tcPr>
            <w:tcW w:w="2714" w:type="dxa"/>
          </w:tcPr>
          <w:p w14:paraId="3250D09B"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Pr>
          <w:p w14:paraId="615F905D"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4DD1D4E2" w14:textId="77777777" w:rsidTr="0067433C">
        <w:trPr>
          <w:jc w:val="center"/>
        </w:trPr>
        <w:tc>
          <w:tcPr>
            <w:tcW w:w="3093" w:type="dxa"/>
          </w:tcPr>
          <w:p w14:paraId="63D94993" w14:textId="77777777" w:rsidR="005F18A1" w:rsidRPr="005F18A1" w:rsidRDefault="005F18A1" w:rsidP="002C5660">
            <w:pPr>
              <w:pStyle w:val="Body"/>
              <w:rPr>
                <w:rFonts w:ascii="Arial" w:hAnsi="Arial" w:cs="Arial"/>
                <w:sz w:val="20"/>
                <w:lang w:val="fr-FR"/>
              </w:rPr>
            </w:pPr>
            <w:proofErr w:type="spellStart"/>
            <w:r w:rsidRPr="005F18A1">
              <w:rPr>
                <w:rFonts w:ascii="Arial" w:hAnsi="Arial" w:cs="Arial"/>
                <w:sz w:val="20"/>
                <w:lang w:val="fr-FR"/>
              </w:rPr>
              <w:t>Gourgou</w:t>
            </w:r>
            <w:proofErr w:type="spellEnd"/>
            <w:r w:rsidRPr="005F18A1">
              <w:rPr>
                <w:rFonts w:ascii="Arial" w:hAnsi="Arial" w:cs="Arial"/>
                <w:sz w:val="20"/>
                <w:lang w:val="fr-FR"/>
              </w:rPr>
              <w:t xml:space="preserve"> </w:t>
            </w:r>
          </w:p>
        </w:tc>
        <w:tc>
          <w:tcPr>
            <w:tcW w:w="2714" w:type="dxa"/>
          </w:tcPr>
          <w:p w14:paraId="21E86AD0"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75 </w:t>
            </w:r>
          </w:p>
        </w:tc>
        <w:tc>
          <w:tcPr>
            <w:tcW w:w="1985" w:type="dxa"/>
          </w:tcPr>
          <w:p w14:paraId="6C56824E"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2F57CE21" w14:textId="77777777" w:rsidTr="0067433C">
        <w:trPr>
          <w:jc w:val="center"/>
        </w:trPr>
        <w:tc>
          <w:tcPr>
            <w:tcW w:w="3093" w:type="dxa"/>
          </w:tcPr>
          <w:p w14:paraId="05E0C755" w14:textId="77777777" w:rsidR="005F18A1" w:rsidRPr="005F18A1" w:rsidRDefault="005F18A1" w:rsidP="002C5660">
            <w:pPr>
              <w:pStyle w:val="Body"/>
              <w:rPr>
                <w:rFonts w:ascii="Arial" w:hAnsi="Arial" w:cs="Arial"/>
                <w:sz w:val="20"/>
                <w:lang w:val="fr-FR"/>
              </w:rPr>
            </w:pPr>
            <w:proofErr w:type="spellStart"/>
            <w:r w:rsidRPr="005F18A1">
              <w:rPr>
                <w:rFonts w:ascii="Arial" w:hAnsi="Arial" w:cs="Arial"/>
                <w:sz w:val="20"/>
                <w:lang w:val="fr-FR"/>
              </w:rPr>
              <w:t>Teek-Songo</w:t>
            </w:r>
            <w:proofErr w:type="spellEnd"/>
          </w:p>
        </w:tc>
        <w:tc>
          <w:tcPr>
            <w:tcW w:w="2714" w:type="dxa"/>
          </w:tcPr>
          <w:p w14:paraId="1B4BCA91"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Pr>
          <w:p w14:paraId="45A6E97A"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522DA37C" w14:textId="77777777" w:rsidTr="0067433C">
        <w:trPr>
          <w:jc w:val="center"/>
        </w:trPr>
        <w:tc>
          <w:tcPr>
            <w:tcW w:w="3093" w:type="dxa"/>
          </w:tcPr>
          <w:p w14:paraId="568B958A" w14:textId="77777777" w:rsidR="005F18A1" w:rsidRPr="005F18A1" w:rsidRDefault="005F18A1" w:rsidP="002C5660">
            <w:pPr>
              <w:pStyle w:val="Body"/>
              <w:rPr>
                <w:rFonts w:ascii="Arial" w:hAnsi="Arial" w:cs="Arial"/>
                <w:i/>
                <w:iCs/>
                <w:sz w:val="20"/>
                <w:lang w:val="fr-FR"/>
              </w:rPr>
            </w:pPr>
            <w:proofErr w:type="spellStart"/>
            <w:r w:rsidRPr="005F18A1">
              <w:rPr>
                <w:rFonts w:ascii="Arial" w:hAnsi="Arial" w:cs="Arial"/>
                <w:i/>
                <w:iCs/>
                <w:sz w:val="20"/>
                <w:lang w:val="fr-FR"/>
              </w:rPr>
              <w:lastRenderedPageBreak/>
              <w:t>Dounguri</w:t>
            </w:r>
            <w:proofErr w:type="spellEnd"/>
            <w:r w:rsidRPr="005F18A1">
              <w:rPr>
                <w:rFonts w:ascii="Arial" w:hAnsi="Arial" w:cs="Arial"/>
                <w:i/>
                <w:iCs/>
                <w:sz w:val="20"/>
                <w:lang w:val="fr-FR"/>
              </w:rPr>
              <w:t xml:space="preserve"> </w:t>
            </w:r>
            <w:proofErr w:type="spellStart"/>
            <w:r w:rsidRPr="005F18A1">
              <w:rPr>
                <w:rFonts w:ascii="Arial" w:hAnsi="Arial" w:cs="Arial"/>
                <w:i/>
                <w:iCs/>
                <w:sz w:val="20"/>
                <w:lang w:val="fr-FR"/>
              </w:rPr>
              <w:t>koirey</w:t>
            </w:r>
            <w:proofErr w:type="spellEnd"/>
            <w:r w:rsidRPr="005F18A1">
              <w:rPr>
                <w:rFonts w:ascii="Arial" w:hAnsi="Arial" w:cs="Arial"/>
                <w:i/>
                <w:iCs/>
                <w:sz w:val="20"/>
                <w:lang w:val="fr-FR"/>
              </w:rPr>
              <w:t xml:space="preserve"> </w:t>
            </w:r>
          </w:p>
        </w:tc>
        <w:tc>
          <w:tcPr>
            <w:tcW w:w="2714" w:type="dxa"/>
          </w:tcPr>
          <w:p w14:paraId="43F4A8E6"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90 </w:t>
            </w:r>
          </w:p>
        </w:tc>
        <w:tc>
          <w:tcPr>
            <w:tcW w:w="1985" w:type="dxa"/>
          </w:tcPr>
          <w:p w14:paraId="1C004A43"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Niger</w:t>
            </w:r>
          </w:p>
        </w:tc>
      </w:tr>
      <w:tr w:rsidR="005F18A1" w:rsidRPr="005F18A1" w14:paraId="524A187B" w14:textId="77777777" w:rsidTr="0067433C">
        <w:trPr>
          <w:jc w:val="center"/>
        </w:trPr>
        <w:tc>
          <w:tcPr>
            <w:tcW w:w="3093" w:type="dxa"/>
            <w:tcBorders>
              <w:bottom w:val="single" w:sz="4" w:space="0" w:color="auto"/>
            </w:tcBorders>
          </w:tcPr>
          <w:p w14:paraId="3BE5C043"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Bulk F4CS036xCS117-9b</w:t>
            </w:r>
          </w:p>
        </w:tc>
        <w:tc>
          <w:tcPr>
            <w:tcW w:w="2714" w:type="dxa"/>
            <w:tcBorders>
              <w:bottom w:val="single" w:sz="4" w:space="0" w:color="auto"/>
            </w:tcBorders>
          </w:tcPr>
          <w:p w14:paraId="780D999C"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Borders>
              <w:bottom w:val="single" w:sz="4" w:space="0" w:color="auto"/>
            </w:tcBorders>
          </w:tcPr>
          <w:p w14:paraId="3CCAFC9E"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bl>
    <w:p w14:paraId="7F9A13C7" w14:textId="77777777" w:rsidR="005F18A1" w:rsidRPr="005F18A1" w:rsidRDefault="005F18A1" w:rsidP="002C5660">
      <w:pPr>
        <w:pStyle w:val="Body"/>
        <w:spacing w:after="0"/>
        <w:rPr>
          <w:rFonts w:ascii="Arial" w:hAnsi="Arial" w:cs="Arial"/>
          <w:lang w:val="fr-FR"/>
        </w:rPr>
      </w:pPr>
    </w:p>
    <w:p w14:paraId="215609E6" w14:textId="2A708947" w:rsidR="005F18A1" w:rsidRDefault="00C44A55" w:rsidP="002C5660">
      <w:pPr>
        <w:pStyle w:val="Body"/>
        <w:spacing w:after="0"/>
        <w:jc w:val="left"/>
        <w:rPr>
          <w:rFonts w:ascii="Arial" w:hAnsi="Arial" w:cs="Arial"/>
          <w:b/>
          <w:bCs/>
          <w:sz w:val="22"/>
          <w:szCs w:val="22"/>
          <w:lang w:val="en-GB"/>
        </w:rPr>
      </w:pPr>
      <w:r w:rsidRPr="00C44A55">
        <w:rPr>
          <w:rFonts w:ascii="Arial" w:hAnsi="Arial" w:cs="Arial"/>
          <w:b/>
          <w:bCs/>
          <w:sz w:val="22"/>
          <w:szCs w:val="22"/>
          <w:lang w:val="en-GB"/>
        </w:rPr>
        <w:t>2.3 Conduct of the study</w:t>
      </w:r>
    </w:p>
    <w:p w14:paraId="5988249B" w14:textId="77777777" w:rsidR="002C5660" w:rsidRPr="005F18A1" w:rsidRDefault="002C5660" w:rsidP="002C5660">
      <w:pPr>
        <w:pStyle w:val="Body"/>
        <w:spacing w:after="0"/>
        <w:jc w:val="left"/>
        <w:rPr>
          <w:rFonts w:ascii="Arial" w:hAnsi="Arial" w:cs="Arial"/>
          <w:b/>
          <w:bCs/>
          <w:sz w:val="22"/>
          <w:szCs w:val="22"/>
          <w:lang w:val="en-GB"/>
        </w:rPr>
      </w:pPr>
    </w:p>
    <w:p w14:paraId="7CC67E90" w14:textId="77777777" w:rsidR="005F18A1" w:rsidRPr="005F18A1" w:rsidRDefault="005F18A1" w:rsidP="00C44A55">
      <w:pPr>
        <w:pStyle w:val="Body"/>
        <w:spacing w:after="0"/>
        <w:rPr>
          <w:rFonts w:ascii="Arial" w:hAnsi="Arial" w:cs="Arial"/>
        </w:rPr>
      </w:pPr>
      <w:r w:rsidRPr="005F18A1">
        <w:rPr>
          <w:rFonts w:ascii="Arial" w:hAnsi="Arial" w:cs="Arial"/>
        </w:rPr>
        <w:t xml:space="preserve">Six cowpea lines were sown manually in a clearly defined block after plowing, followed by levelling and ridging of the experimental plot. Each line is labelled in its block. </w:t>
      </w:r>
    </w:p>
    <w:p w14:paraId="65F25B7D" w14:textId="4F99FBE2" w:rsidR="005F18A1" w:rsidRPr="005F18A1" w:rsidRDefault="005F18A1" w:rsidP="00C44A55">
      <w:pPr>
        <w:pStyle w:val="Body"/>
        <w:spacing w:after="0"/>
        <w:rPr>
          <w:rFonts w:ascii="Arial" w:hAnsi="Arial" w:cs="Arial"/>
        </w:rPr>
      </w:pPr>
      <w:r w:rsidRPr="005F18A1">
        <w:rPr>
          <w:rFonts w:ascii="Arial" w:hAnsi="Arial" w:cs="Arial"/>
        </w:rPr>
        <w:t xml:space="preserve">Maintenance operations consisted of weeding, application of N14P23K14 fertilizer at a rate of 100 kg per hectare after the first weeding and insecticide treatments. Two insecticide treatments were necessary: one during flower bud formation and the other during pod formation to protect the flowers and pods. The insecticide used was Titan at a dose of 2 ml per </w:t>
      </w:r>
      <w:proofErr w:type="spellStart"/>
      <w:r w:rsidRPr="005F18A1">
        <w:rPr>
          <w:rFonts w:ascii="Arial" w:hAnsi="Arial" w:cs="Arial"/>
        </w:rPr>
        <w:t>lit</w:t>
      </w:r>
      <w:r w:rsidR="00A516DF">
        <w:rPr>
          <w:rFonts w:ascii="Arial" w:hAnsi="Arial" w:cs="Arial"/>
        </w:rPr>
        <w:t>re</w:t>
      </w:r>
      <w:proofErr w:type="spellEnd"/>
      <w:r w:rsidRPr="005F18A1">
        <w:rPr>
          <w:rFonts w:ascii="Arial" w:hAnsi="Arial" w:cs="Arial"/>
        </w:rPr>
        <w:t xml:space="preserve"> of water.  </w:t>
      </w:r>
    </w:p>
    <w:p w14:paraId="1DACA9F2" w14:textId="77777777" w:rsidR="005F18A1" w:rsidRPr="005F18A1" w:rsidRDefault="005F18A1" w:rsidP="00C44A55">
      <w:pPr>
        <w:pStyle w:val="Body"/>
        <w:spacing w:after="0"/>
        <w:rPr>
          <w:rFonts w:ascii="Arial" w:hAnsi="Arial" w:cs="Arial"/>
        </w:rPr>
      </w:pPr>
      <w:r w:rsidRPr="005F18A1">
        <w:rPr>
          <w:rFonts w:ascii="Arial" w:hAnsi="Arial" w:cs="Arial"/>
        </w:rPr>
        <w:t>After sowing, five (5) plants in each experimental unit or micro-plot were selected and labelled for weekly height measurements, starting in the first week after weeding and fertilizer application, that is, 21 days after sowing (DAS).</w:t>
      </w:r>
    </w:p>
    <w:p w14:paraId="204C32D1" w14:textId="1C4856E3" w:rsidR="005F18A1" w:rsidRDefault="005F18A1" w:rsidP="00E972F4">
      <w:pPr>
        <w:pStyle w:val="Body"/>
        <w:spacing w:after="0"/>
        <w:rPr>
          <w:rFonts w:ascii="Arial" w:hAnsi="Arial" w:cs="Arial"/>
        </w:rPr>
      </w:pPr>
      <w:r w:rsidRPr="005F18A1">
        <w:rPr>
          <w:rFonts w:ascii="Arial" w:hAnsi="Arial" w:cs="Arial"/>
        </w:rPr>
        <w:t>The samples were dried in an oven at 105°C for 24 h to determine the dry matter content. The dry matter of the samples was determined according to the AOAC (1990) method, as described above. The dried samples were ground and sieved for chemical analyses. The chemical content of the different samples was determined using near-infrared spectrometry with the NIRS FOSS DS 2500 F spectrometer at the CIRDES laboratory. ILRI prediction equations were used to determine the crude protein (CP), crude cellulose ash, and fiber (neutral detergent fiber (NDF), acid detergent fiber (ADF), and acid detergent lignin (ADL)).</w:t>
      </w:r>
    </w:p>
    <w:p w14:paraId="2578DC78" w14:textId="77777777" w:rsidR="00E972F4" w:rsidRPr="005F18A1" w:rsidRDefault="00E972F4" w:rsidP="00E972F4">
      <w:pPr>
        <w:pStyle w:val="Body"/>
        <w:spacing w:after="0"/>
        <w:rPr>
          <w:rFonts w:ascii="Arial" w:hAnsi="Arial" w:cs="Arial"/>
        </w:rPr>
      </w:pPr>
    </w:p>
    <w:p w14:paraId="26464043" w14:textId="05F2BBEC" w:rsidR="005F18A1" w:rsidRDefault="00C44A55" w:rsidP="002C5660">
      <w:pPr>
        <w:pStyle w:val="Body"/>
        <w:spacing w:after="0"/>
        <w:jc w:val="left"/>
        <w:rPr>
          <w:rFonts w:ascii="Arial" w:hAnsi="Arial" w:cs="Arial"/>
          <w:b/>
          <w:bCs/>
          <w:sz w:val="22"/>
          <w:szCs w:val="22"/>
          <w:lang w:val="en-GB"/>
        </w:rPr>
      </w:pPr>
      <w:r w:rsidRPr="00CE7981">
        <w:rPr>
          <w:rFonts w:ascii="Arial" w:hAnsi="Arial" w:cs="Arial"/>
          <w:b/>
          <w:bCs/>
          <w:sz w:val="22"/>
          <w:szCs w:val="22"/>
          <w:lang w:val="en-GB"/>
        </w:rPr>
        <w:t xml:space="preserve">2.4 </w:t>
      </w:r>
      <w:r w:rsidR="005F18A1" w:rsidRPr="005F18A1">
        <w:rPr>
          <w:rFonts w:ascii="Arial" w:hAnsi="Arial" w:cs="Arial"/>
          <w:b/>
          <w:bCs/>
          <w:sz w:val="22"/>
          <w:szCs w:val="22"/>
          <w:lang w:val="en-GB"/>
        </w:rPr>
        <w:t>Data analysis</w:t>
      </w:r>
    </w:p>
    <w:p w14:paraId="4921C464" w14:textId="77777777" w:rsidR="002C5660" w:rsidRPr="005F18A1" w:rsidRDefault="002C5660" w:rsidP="002C5660">
      <w:pPr>
        <w:pStyle w:val="Body"/>
        <w:spacing w:after="0"/>
        <w:jc w:val="left"/>
        <w:rPr>
          <w:rFonts w:ascii="Arial" w:hAnsi="Arial" w:cs="Arial"/>
          <w:b/>
          <w:bCs/>
          <w:sz w:val="22"/>
          <w:szCs w:val="22"/>
          <w:lang w:val="en-GB"/>
        </w:rPr>
      </w:pPr>
    </w:p>
    <w:p w14:paraId="7DB15FB9" w14:textId="71672C43" w:rsidR="005F18A1" w:rsidRDefault="005F18A1" w:rsidP="005F18A1">
      <w:pPr>
        <w:pStyle w:val="Body"/>
        <w:spacing w:after="0"/>
        <w:rPr>
          <w:rFonts w:ascii="Arial" w:hAnsi="Arial" w:cs="Arial"/>
        </w:rPr>
      </w:pPr>
      <w:r w:rsidRPr="005F18A1">
        <w:rPr>
          <w:rFonts w:ascii="Arial" w:hAnsi="Arial" w:cs="Arial"/>
        </w:rPr>
        <w:t>Excel 2016 was used to process the data, enter and code the collected data, and produce graphs. The processed data were then analyzed using SPSS 22.0 (Statistical Package for the Social Sciences version 22.0). Descriptive statistics were used to determine the mean values, deviations, and standard errors. Analysis of variance (ANOVA) was performed to detect differences between the mean values at the 5% threshold. Duncan's test was used to separate the means</w:t>
      </w:r>
      <w:r>
        <w:rPr>
          <w:rFonts w:ascii="Arial" w:hAnsi="Arial" w:cs="Arial"/>
        </w:rPr>
        <w:t>.</w:t>
      </w:r>
    </w:p>
    <w:p w14:paraId="04128F9F" w14:textId="77777777" w:rsidR="00790ADA" w:rsidRPr="00FB3A86" w:rsidRDefault="00790ADA" w:rsidP="00441B6F">
      <w:pPr>
        <w:pStyle w:val="Body"/>
        <w:spacing w:after="0"/>
        <w:rPr>
          <w:rFonts w:ascii="Arial" w:hAnsi="Arial" w:cs="Arial"/>
        </w:rPr>
      </w:pPr>
    </w:p>
    <w:p w14:paraId="7B0E81E1" w14:textId="096C1B0A"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4926EE" w14:textId="77777777" w:rsidR="00355949" w:rsidRDefault="00355949" w:rsidP="00441B6F">
      <w:pPr>
        <w:pStyle w:val="Body"/>
        <w:spacing w:after="0"/>
        <w:rPr>
          <w:rFonts w:ascii="Arial" w:hAnsi="Arial" w:cs="Arial"/>
        </w:rPr>
      </w:pPr>
    </w:p>
    <w:p w14:paraId="4087E54F" w14:textId="36A34D1C" w:rsidR="00355949" w:rsidRDefault="002C5660" w:rsidP="002C5660">
      <w:pPr>
        <w:pStyle w:val="Body"/>
        <w:spacing w:after="0"/>
        <w:jc w:val="left"/>
        <w:rPr>
          <w:rFonts w:ascii="Arial" w:hAnsi="Arial" w:cs="Arial"/>
          <w:b/>
          <w:bCs/>
          <w:lang w:val="en-GB"/>
        </w:rPr>
      </w:pPr>
      <w:r w:rsidRPr="002C5660">
        <w:rPr>
          <w:rFonts w:ascii="Arial" w:hAnsi="Arial" w:cs="Arial"/>
          <w:b/>
          <w:bCs/>
          <w:sz w:val="22"/>
          <w:szCs w:val="22"/>
          <w:lang w:val="en-GB"/>
        </w:rPr>
        <w:t xml:space="preserve">3.1 </w:t>
      </w:r>
      <w:r w:rsidR="00355949" w:rsidRPr="00355949">
        <w:rPr>
          <w:rFonts w:ascii="Arial" w:hAnsi="Arial" w:cs="Arial"/>
          <w:b/>
          <w:bCs/>
          <w:sz w:val="22"/>
          <w:szCs w:val="22"/>
          <w:lang w:val="en-GB"/>
        </w:rPr>
        <w:t>Variation in characteristics related to growth and phenological cycles of cowpea genotypes</w:t>
      </w:r>
      <w:r w:rsidR="00355949" w:rsidRPr="00355949">
        <w:rPr>
          <w:rFonts w:ascii="Arial" w:hAnsi="Arial" w:cs="Arial"/>
          <w:b/>
          <w:bCs/>
          <w:lang w:val="en-GB"/>
        </w:rPr>
        <w:t xml:space="preserve"> </w:t>
      </w:r>
    </w:p>
    <w:p w14:paraId="6BE658CC" w14:textId="77777777" w:rsidR="002C5660" w:rsidRPr="00355949" w:rsidRDefault="002C5660" w:rsidP="002C5660">
      <w:pPr>
        <w:pStyle w:val="Body"/>
        <w:spacing w:after="0"/>
        <w:jc w:val="left"/>
        <w:rPr>
          <w:rFonts w:ascii="Arial" w:hAnsi="Arial" w:cs="Arial"/>
          <w:b/>
          <w:bCs/>
          <w:lang w:val="en-GB"/>
        </w:rPr>
      </w:pPr>
    </w:p>
    <w:p w14:paraId="3874E8F5" w14:textId="77777777" w:rsidR="00355949" w:rsidRPr="00355949" w:rsidRDefault="00355949" w:rsidP="00355949">
      <w:pPr>
        <w:pStyle w:val="Body"/>
        <w:spacing w:after="0"/>
        <w:rPr>
          <w:rFonts w:ascii="Arial" w:hAnsi="Arial" w:cs="Arial"/>
        </w:rPr>
      </w:pPr>
      <w:r w:rsidRPr="00355949">
        <w:rPr>
          <w:rFonts w:ascii="Arial" w:hAnsi="Arial" w:cs="Arial"/>
        </w:rPr>
        <w:t xml:space="preserve">The results of the variance analysis at the 5% threshold, presented in Table 3, show no significant differences (p˃0.05). The results of the last height measurement, taken at 70 days after sowing, showed that the </w:t>
      </w:r>
      <w:proofErr w:type="spellStart"/>
      <w:r w:rsidRPr="00355949">
        <w:rPr>
          <w:rFonts w:ascii="Arial" w:hAnsi="Arial" w:cs="Arial"/>
        </w:rPr>
        <w:t>Gourgou</w:t>
      </w:r>
      <w:proofErr w:type="spellEnd"/>
      <w:r w:rsidRPr="00355949">
        <w:rPr>
          <w:rFonts w:ascii="Arial" w:hAnsi="Arial" w:cs="Arial"/>
        </w:rPr>
        <w:t xml:space="preserve"> genotype grew taller than the other genotypes, with an average height of 56.50 ± 21 cm. However, the </w:t>
      </w:r>
      <w:proofErr w:type="spellStart"/>
      <w:r w:rsidRPr="00355949">
        <w:rPr>
          <w:rFonts w:ascii="Arial" w:hAnsi="Arial" w:cs="Arial"/>
        </w:rPr>
        <w:t>Tiligré</w:t>
      </w:r>
      <w:proofErr w:type="spellEnd"/>
      <w:r w:rsidRPr="00355949">
        <w:rPr>
          <w:rFonts w:ascii="Arial" w:hAnsi="Arial" w:cs="Arial"/>
        </w:rPr>
        <w:t xml:space="preserve"> genotype had the shortest plant height, with an average of 19.44 ± 0.33 cm (Table 2).</w:t>
      </w:r>
    </w:p>
    <w:p w14:paraId="7819D000" w14:textId="77777777" w:rsidR="00355949" w:rsidRPr="00355949" w:rsidRDefault="00355949" w:rsidP="00355949">
      <w:pPr>
        <w:pStyle w:val="Body"/>
        <w:spacing w:after="0"/>
        <w:rPr>
          <w:rFonts w:ascii="Arial" w:hAnsi="Arial" w:cs="Arial"/>
        </w:rPr>
      </w:pPr>
      <w:r w:rsidRPr="00355949">
        <w:rPr>
          <w:rFonts w:ascii="Arial" w:hAnsi="Arial" w:cs="Arial"/>
        </w:rPr>
        <w:t xml:space="preserve">The results of the analysis of variance conducted with all variables related to phenological cycles are shown in Table 2. The results obtained show a gradually progressive average evolution that is essentially identical from 21 days after sowing to 35 days after sowing. From 42 days after sowing,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genotype showed the highest growth, followed by the Bulk F4CS036XCS117-9b genotype. The </w:t>
      </w:r>
      <w:proofErr w:type="spellStart"/>
      <w:r w:rsidRPr="00355949">
        <w:rPr>
          <w:rFonts w:ascii="Arial" w:hAnsi="Arial" w:cs="Arial"/>
        </w:rPr>
        <w:t>Tiligré</w:t>
      </w:r>
      <w:proofErr w:type="spellEnd"/>
      <w:r w:rsidRPr="00355949">
        <w:rPr>
          <w:rFonts w:ascii="Arial" w:hAnsi="Arial" w:cs="Arial"/>
        </w:rPr>
        <w:t xml:space="preserve"> genotype exhibited the lowest growth.</w:t>
      </w:r>
    </w:p>
    <w:p w14:paraId="114D7767" w14:textId="77777777" w:rsidR="00355949" w:rsidRPr="00355949" w:rsidRDefault="00355949" w:rsidP="00355949">
      <w:pPr>
        <w:pStyle w:val="Body"/>
        <w:spacing w:after="0"/>
        <w:rPr>
          <w:rFonts w:ascii="Arial" w:hAnsi="Arial" w:cs="Arial"/>
        </w:rPr>
      </w:pPr>
      <w:r w:rsidRPr="00355949">
        <w:rPr>
          <w:rFonts w:ascii="Arial" w:hAnsi="Arial" w:cs="Arial"/>
        </w:rPr>
        <w:t xml:space="preserve">Regarding the date of the first flower appearance, the analysis of variance at the 5% threshold showed a significant difference (P≤0.001). The </w:t>
      </w:r>
      <w:proofErr w:type="spellStart"/>
      <w:r w:rsidRPr="00355949">
        <w:rPr>
          <w:rFonts w:ascii="Arial" w:hAnsi="Arial" w:cs="Arial"/>
        </w:rPr>
        <w:t>Tiligré</w:t>
      </w:r>
      <w:proofErr w:type="spellEnd"/>
      <w:r w:rsidRPr="00355949">
        <w:rPr>
          <w:rFonts w:ascii="Arial" w:hAnsi="Arial" w:cs="Arial"/>
        </w:rPr>
        <w:t xml:space="preserve"> line was the earliest, with flowering beginning at 38.33 ±1.20 days after sowing, and the latest was the </w:t>
      </w:r>
      <w:proofErr w:type="spellStart"/>
      <w:r w:rsidRPr="00355949">
        <w:rPr>
          <w:rFonts w:ascii="Arial" w:hAnsi="Arial" w:cs="Arial"/>
        </w:rPr>
        <w:t>Gourgou</w:t>
      </w:r>
      <w:proofErr w:type="spellEnd"/>
      <w:r w:rsidRPr="00355949">
        <w:rPr>
          <w:rFonts w:ascii="Arial" w:hAnsi="Arial" w:cs="Arial"/>
        </w:rPr>
        <w:t xml:space="preserve"> genotype, with </w:t>
      </w:r>
      <w:r w:rsidRPr="00355949">
        <w:rPr>
          <w:rFonts w:ascii="Arial" w:hAnsi="Arial" w:cs="Arial"/>
        </w:rPr>
        <w:lastRenderedPageBreak/>
        <w:t>an average of 45.00 ±0.57 days after sowing compared to the other cowpea genotypes (Table 3).</w:t>
      </w:r>
    </w:p>
    <w:p w14:paraId="63EA775E" w14:textId="77777777" w:rsidR="00355949" w:rsidRPr="00355949" w:rsidRDefault="00355949" w:rsidP="00355949">
      <w:pPr>
        <w:pStyle w:val="Body"/>
        <w:spacing w:after="0"/>
        <w:rPr>
          <w:rFonts w:ascii="Arial" w:hAnsi="Arial" w:cs="Arial"/>
        </w:rPr>
      </w:pPr>
      <w:r w:rsidRPr="00355949">
        <w:rPr>
          <w:rFonts w:ascii="Arial" w:hAnsi="Arial" w:cs="Arial"/>
        </w:rPr>
        <w:t xml:space="preserve">With regard to 50% flowering, the genotypes showed a significant difference (p=0.034). The latest genotype to reach 50% flowering was the </w:t>
      </w:r>
      <w:proofErr w:type="spellStart"/>
      <w:r w:rsidRPr="00355949">
        <w:rPr>
          <w:rFonts w:ascii="Arial" w:hAnsi="Arial" w:cs="Arial"/>
        </w:rPr>
        <w:t>Gourgou</w:t>
      </w:r>
      <w:proofErr w:type="spellEnd"/>
      <w:r w:rsidRPr="00355949">
        <w:rPr>
          <w:rFonts w:ascii="Arial" w:hAnsi="Arial" w:cs="Arial"/>
        </w:rPr>
        <w:t xml:space="preserve"> genotype with an average of 49.33 ±0.88 days after sowing, and the earliest was the </w:t>
      </w:r>
      <w:proofErr w:type="spellStart"/>
      <w:r w:rsidRPr="00355949">
        <w:rPr>
          <w:rFonts w:ascii="Arial" w:hAnsi="Arial" w:cs="Arial"/>
        </w:rPr>
        <w:t>Tiligré</w:t>
      </w:r>
      <w:proofErr w:type="spellEnd"/>
      <w:r w:rsidRPr="00355949">
        <w:rPr>
          <w:rFonts w:ascii="Arial" w:hAnsi="Arial" w:cs="Arial"/>
        </w:rPr>
        <w:t xml:space="preserve"> line with an average of 43.33 ±0.88 days after sowing (Table 3). The Bulk F4CS036xCS117-9b KVx745­11P, </w:t>
      </w:r>
      <w:proofErr w:type="spellStart"/>
      <w:r w:rsidRPr="00355949">
        <w:rPr>
          <w:rFonts w:ascii="Arial" w:hAnsi="Arial" w:cs="Arial"/>
        </w:rPr>
        <w:t>Teek-Songo</w:t>
      </w:r>
      <w:proofErr w:type="spellEnd"/>
      <w:r w:rsidRPr="00355949">
        <w:rPr>
          <w:rFonts w:ascii="Arial" w:hAnsi="Arial" w:cs="Arial"/>
        </w:rPr>
        <w:t xml:space="preserve"> and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genotypes had 50% flowering rates of 45.66 ±1.66, 45.66 ±0.88, 44.53 ±1.68 and 40.66 respectively (Table 3).</w:t>
      </w:r>
    </w:p>
    <w:p w14:paraId="34F23FE5" w14:textId="77777777" w:rsidR="00355949" w:rsidRPr="00355949" w:rsidRDefault="00355949" w:rsidP="00355949">
      <w:pPr>
        <w:pStyle w:val="Body"/>
        <w:spacing w:after="0"/>
        <w:rPr>
          <w:rFonts w:ascii="Arial" w:hAnsi="Arial" w:cs="Arial"/>
        </w:rPr>
      </w:pPr>
      <w:r w:rsidRPr="00355949">
        <w:rPr>
          <w:rFonts w:ascii="Arial" w:hAnsi="Arial" w:cs="Arial"/>
        </w:rPr>
        <w:t>This period corresponds to the number of days after sowing when 95% of the pods were mature.</w:t>
      </w:r>
    </w:p>
    <w:p w14:paraId="7B9F4DC1" w14:textId="36732226" w:rsidR="0066366E" w:rsidRDefault="00355949" w:rsidP="002C5660">
      <w:pPr>
        <w:pStyle w:val="Body"/>
        <w:spacing w:after="0"/>
        <w:rPr>
          <w:rFonts w:ascii="Arial" w:hAnsi="Arial" w:cs="Arial"/>
          <w:lang w:val="en-GB"/>
        </w:rPr>
      </w:pPr>
      <w:r w:rsidRPr="00355949">
        <w:rPr>
          <w:rFonts w:ascii="Arial" w:hAnsi="Arial" w:cs="Arial"/>
        </w:rPr>
        <w:t xml:space="preserve">At maturity, cowpea pods, which are dry dehiscent fruits, take on different colors, namely pale brown, purple, and yellow, depending on the genotype. This resulted in different cycles for each genotype with a highly significant difference (p=0.001). The Bulk F4CS036xCS117 -9b was the earliest genotype, with an average of 69.66 ±1.20 JAS and </w:t>
      </w:r>
      <w:proofErr w:type="spellStart"/>
      <w:r w:rsidRPr="00355949">
        <w:rPr>
          <w:rFonts w:ascii="Arial" w:hAnsi="Arial" w:cs="Arial"/>
        </w:rPr>
        <w:t>Gourgou</w:t>
      </w:r>
      <w:proofErr w:type="spellEnd"/>
      <w:r w:rsidRPr="00355949">
        <w:rPr>
          <w:rFonts w:ascii="Arial" w:hAnsi="Arial" w:cs="Arial"/>
        </w:rPr>
        <w:t xml:space="preserve"> was the latest, with an average of 78.00 ±0.57 days after sowing compared to Kvx745-11P, which had an average of 74.66 ±0.66 days after sowing (Table 3). The </w:t>
      </w:r>
      <w:proofErr w:type="spellStart"/>
      <w:r w:rsidRPr="00355949">
        <w:rPr>
          <w:rFonts w:ascii="Arial" w:hAnsi="Arial" w:cs="Arial"/>
        </w:rPr>
        <w:t>Tiligré</w:t>
      </w:r>
      <w:proofErr w:type="spellEnd"/>
      <w:r w:rsidRPr="00355949">
        <w:rPr>
          <w:rFonts w:ascii="Arial" w:hAnsi="Arial" w:cs="Arial"/>
        </w:rPr>
        <w:t xml:space="preserve"> genotype achieved an average of 72.33 ±0.88 days after sowing (Table 3)</w:t>
      </w:r>
      <w:r w:rsidRPr="00355949">
        <w:rPr>
          <w:rFonts w:ascii="Arial" w:hAnsi="Arial" w:cs="Arial"/>
          <w:lang w:val="en-GB"/>
        </w:rPr>
        <w:t xml:space="preserve">. </w:t>
      </w:r>
    </w:p>
    <w:p w14:paraId="34AB5363" w14:textId="77777777" w:rsidR="00795ACA" w:rsidRDefault="00795ACA" w:rsidP="002C5660">
      <w:pPr>
        <w:pStyle w:val="Body"/>
        <w:spacing w:after="0"/>
        <w:rPr>
          <w:rFonts w:ascii="Arial" w:hAnsi="Arial" w:cs="Arial"/>
          <w:lang w:val="en-GB"/>
        </w:rPr>
      </w:pPr>
    </w:p>
    <w:p w14:paraId="5FEF270D" w14:textId="77777777" w:rsidR="00795ACA" w:rsidRDefault="00795ACA" w:rsidP="002C5660">
      <w:pPr>
        <w:pStyle w:val="Body"/>
        <w:spacing w:after="0"/>
        <w:rPr>
          <w:rFonts w:ascii="Arial" w:hAnsi="Arial" w:cs="Arial"/>
          <w:lang w:val="en-GB"/>
        </w:rPr>
      </w:pPr>
    </w:p>
    <w:p w14:paraId="6BA79E36" w14:textId="77777777" w:rsidR="00795ACA" w:rsidRDefault="00795ACA" w:rsidP="002C5660">
      <w:pPr>
        <w:pStyle w:val="Body"/>
        <w:spacing w:after="0"/>
        <w:rPr>
          <w:rFonts w:ascii="Arial" w:hAnsi="Arial" w:cs="Arial"/>
          <w:lang w:val="en-GB"/>
        </w:rPr>
      </w:pPr>
    </w:p>
    <w:p w14:paraId="79657B89" w14:textId="77777777" w:rsidR="00795ACA" w:rsidRDefault="00795ACA" w:rsidP="002C5660">
      <w:pPr>
        <w:pStyle w:val="Body"/>
        <w:spacing w:after="0"/>
        <w:rPr>
          <w:rFonts w:ascii="Arial" w:hAnsi="Arial" w:cs="Arial"/>
          <w:lang w:val="en-GB"/>
        </w:rPr>
      </w:pPr>
    </w:p>
    <w:p w14:paraId="18BFEA33" w14:textId="22DA1063" w:rsidR="00355949" w:rsidRDefault="00355949" w:rsidP="002C5660">
      <w:pPr>
        <w:pStyle w:val="Body"/>
        <w:spacing w:after="0"/>
        <w:rPr>
          <w:rFonts w:ascii="Arial" w:hAnsi="Arial" w:cs="Arial"/>
          <w:b/>
          <w:bCs/>
          <w:lang w:val="fr-FR"/>
        </w:rPr>
      </w:pPr>
      <w:r w:rsidRPr="00355949">
        <w:rPr>
          <w:rFonts w:ascii="Arial" w:hAnsi="Arial" w:cs="Arial"/>
          <w:b/>
          <w:bCs/>
          <w:lang w:val="fr-FR"/>
        </w:rPr>
        <w:t xml:space="preserve">Table 2 : </w:t>
      </w:r>
      <w:r w:rsidR="00151AA4" w:rsidRPr="00151AA4">
        <w:rPr>
          <w:rFonts w:ascii="Arial" w:hAnsi="Arial" w:cs="Arial"/>
          <w:b/>
          <w:bCs/>
          <w:lang w:val="fr-FR"/>
        </w:rPr>
        <w:t xml:space="preserve">Plant </w:t>
      </w:r>
      <w:proofErr w:type="spellStart"/>
      <w:r w:rsidR="00151AA4" w:rsidRPr="00151AA4">
        <w:rPr>
          <w:rFonts w:ascii="Arial" w:hAnsi="Arial" w:cs="Arial"/>
          <w:b/>
          <w:bCs/>
          <w:lang w:val="fr-FR"/>
        </w:rPr>
        <w:t>Growth</w:t>
      </w:r>
      <w:proofErr w:type="spellEnd"/>
      <w:r w:rsidR="00151AA4" w:rsidRPr="00151AA4">
        <w:rPr>
          <w:rFonts w:ascii="Arial" w:hAnsi="Arial" w:cs="Arial"/>
          <w:b/>
          <w:bCs/>
          <w:lang w:val="fr-FR"/>
        </w:rPr>
        <w:t xml:space="preserve"> </w:t>
      </w:r>
    </w:p>
    <w:p w14:paraId="1615525E" w14:textId="77777777" w:rsidR="00B1442C" w:rsidRDefault="00B1442C" w:rsidP="002C5660">
      <w:pPr>
        <w:pStyle w:val="Body"/>
        <w:spacing w:after="0"/>
        <w:rPr>
          <w:rFonts w:ascii="Arial" w:hAnsi="Arial" w:cs="Arial"/>
          <w:b/>
          <w:bCs/>
          <w:lang w:val="fr-FR"/>
        </w:rPr>
      </w:pPr>
    </w:p>
    <w:p w14:paraId="3A2B24DB" w14:textId="77777777" w:rsidR="00247754" w:rsidRDefault="00247754" w:rsidP="002C5660">
      <w:pPr>
        <w:pStyle w:val="Body"/>
        <w:spacing w:after="0"/>
        <w:rPr>
          <w:rFonts w:ascii="Arial" w:hAnsi="Arial" w:cs="Arial"/>
          <w:b/>
          <w:bCs/>
          <w:lang w:val="fr-FR"/>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932"/>
        <w:gridCol w:w="1014"/>
        <w:gridCol w:w="1014"/>
        <w:gridCol w:w="1014"/>
        <w:gridCol w:w="757"/>
        <w:gridCol w:w="725"/>
        <w:gridCol w:w="725"/>
        <w:gridCol w:w="725"/>
      </w:tblGrid>
      <w:tr w:rsidR="00247754" w:rsidRPr="00247754" w14:paraId="562E03F0" w14:textId="77777777" w:rsidTr="00247754">
        <w:trPr>
          <w:trHeight w:val="288"/>
        </w:trPr>
        <w:tc>
          <w:tcPr>
            <w:tcW w:w="1524" w:type="dxa"/>
            <w:tcBorders>
              <w:top w:val="single" w:sz="4" w:space="0" w:color="auto"/>
              <w:bottom w:val="single" w:sz="4" w:space="0" w:color="auto"/>
            </w:tcBorders>
            <w:noWrap/>
            <w:hideMark/>
          </w:tcPr>
          <w:p w14:paraId="52E875FD"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lang w:val="en-GB"/>
              </w:rPr>
              <w:t>Line</w:t>
            </w:r>
          </w:p>
        </w:tc>
        <w:tc>
          <w:tcPr>
            <w:tcW w:w="889" w:type="dxa"/>
            <w:tcBorders>
              <w:top w:val="single" w:sz="4" w:space="0" w:color="auto"/>
              <w:bottom w:val="single" w:sz="4" w:space="0" w:color="auto"/>
            </w:tcBorders>
            <w:noWrap/>
            <w:hideMark/>
          </w:tcPr>
          <w:p w14:paraId="3B035AB4"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21 DAS </w:t>
            </w:r>
          </w:p>
        </w:tc>
        <w:tc>
          <w:tcPr>
            <w:tcW w:w="968" w:type="dxa"/>
            <w:tcBorders>
              <w:top w:val="single" w:sz="4" w:space="0" w:color="auto"/>
              <w:bottom w:val="single" w:sz="4" w:space="0" w:color="auto"/>
            </w:tcBorders>
            <w:noWrap/>
            <w:hideMark/>
          </w:tcPr>
          <w:p w14:paraId="0ABB8588"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28 DAS</w:t>
            </w:r>
          </w:p>
        </w:tc>
        <w:tc>
          <w:tcPr>
            <w:tcW w:w="968" w:type="dxa"/>
            <w:tcBorders>
              <w:top w:val="single" w:sz="4" w:space="0" w:color="auto"/>
              <w:bottom w:val="single" w:sz="4" w:space="0" w:color="auto"/>
            </w:tcBorders>
            <w:noWrap/>
            <w:hideMark/>
          </w:tcPr>
          <w:p w14:paraId="56FE7996"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35 DAS </w:t>
            </w:r>
          </w:p>
        </w:tc>
        <w:tc>
          <w:tcPr>
            <w:tcW w:w="968" w:type="dxa"/>
            <w:tcBorders>
              <w:top w:val="single" w:sz="4" w:space="0" w:color="auto"/>
              <w:bottom w:val="single" w:sz="4" w:space="0" w:color="auto"/>
            </w:tcBorders>
            <w:noWrap/>
            <w:hideMark/>
          </w:tcPr>
          <w:p w14:paraId="7B8B5EC2"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42 DAS </w:t>
            </w:r>
          </w:p>
        </w:tc>
        <w:tc>
          <w:tcPr>
            <w:tcW w:w="943" w:type="dxa"/>
            <w:tcBorders>
              <w:top w:val="single" w:sz="4" w:space="0" w:color="auto"/>
              <w:bottom w:val="single" w:sz="4" w:space="0" w:color="auto"/>
            </w:tcBorders>
            <w:noWrap/>
            <w:hideMark/>
          </w:tcPr>
          <w:p w14:paraId="2CBF2E91"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49 DAS </w:t>
            </w:r>
          </w:p>
        </w:tc>
        <w:tc>
          <w:tcPr>
            <w:tcW w:w="695" w:type="dxa"/>
            <w:tcBorders>
              <w:top w:val="single" w:sz="4" w:space="0" w:color="auto"/>
              <w:bottom w:val="single" w:sz="4" w:space="0" w:color="auto"/>
            </w:tcBorders>
            <w:noWrap/>
            <w:hideMark/>
          </w:tcPr>
          <w:p w14:paraId="3D6A2E58"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56 DAS </w:t>
            </w:r>
          </w:p>
        </w:tc>
        <w:tc>
          <w:tcPr>
            <w:tcW w:w="695" w:type="dxa"/>
            <w:tcBorders>
              <w:top w:val="single" w:sz="4" w:space="0" w:color="auto"/>
              <w:bottom w:val="single" w:sz="4" w:space="0" w:color="auto"/>
            </w:tcBorders>
            <w:noWrap/>
            <w:hideMark/>
          </w:tcPr>
          <w:p w14:paraId="2D80AC41"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63 DAS </w:t>
            </w:r>
          </w:p>
        </w:tc>
        <w:tc>
          <w:tcPr>
            <w:tcW w:w="695" w:type="dxa"/>
            <w:tcBorders>
              <w:top w:val="single" w:sz="4" w:space="0" w:color="auto"/>
              <w:bottom w:val="single" w:sz="4" w:space="0" w:color="auto"/>
            </w:tcBorders>
            <w:noWrap/>
            <w:hideMark/>
          </w:tcPr>
          <w:p w14:paraId="3C5CFBA0"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70 DAS </w:t>
            </w:r>
          </w:p>
        </w:tc>
      </w:tr>
      <w:tr w:rsidR="00247754" w:rsidRPr="00247754" w14:paraId="33967C3A" w14:textId="77777777" w:rsidTr="00247754">
        <w:trPr>
          <w:trHeight w:val="288"/>
        </w:trPr>
        <w:tc>
          <w:tcPr>
            <w:tcW w:w="1524" w:type="dxa"/>
            <w:tcBorders>
              <w:top w:val="single" w:sz="4" w:space="0" w:color="auto"/>
            </w:tcBorders>
            <w:noWrap/>
            <w:hideMark/>
          </w:tcPr>
          <w:p w14:paraId="3E59EDB9"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Tiligré</w:t>
            </w:r>
            <w:proofErr w:type="spellEnd"/>
            <w:r w:rsidRPr="00247754">
              <w:rPr>
                <w:rFonts w:ascii="Arial" w:hAnsi="Arial" w:cs="Arial"/>
                <w:sz w:val="20"/>
                <w:szCs w:val="20"/>
              </w:rPr>
              <w:t xml:space="preserve"> </w:t>
            </w:r>
          </w:p>
        </w:tc>
        <w:tc>
          <w:tcPr>
            <w:tcW w:w="889" w:type="dxa"/>
            <w:tcBorders>
              <w:top w:val="single" w:sz="4" w:space="0" w:color="auto"/>
            </w:tcBorders>
            <w:noWrap/>
            <w:hideMark/>
          </w:tcPr>
          <w:p w14:paraId="1B019C6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10,73 ±0,69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tcBorders>
              <w:top w:val="single" w:sz="4" w:space="0" w:color="auto"/>
            </w:tcBorders>
            <w:noWrap/>
            <w:hideMark/>
          </w:tcPr>
          <w:p w14:paraId="27D9551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12,20±0,98</w:t>
            </w:r>
            <w:r w:rsidRPr="00247754">
              <w:rPr>
                <w:rFonts w:ascii="Arial" w:hAnsi="Arial" w:cs="Arial"/>
                <w:sz w:val="20"/>
                <w:szCs w:val="20"/>
                <w:vertAlign w:val="superscript"/>
              </w:rPr>
              <w:t>a</w:t>
            </w:r>
          </w:p>
        </w:tc>
        <w:tc>
          <w:tcPr>
            <w:tcW w:w="968" w:type="dxa"/>
            <w:tcBorders>
              <w:top w:val="single" w:sz="4" w:space="0" w:color="auto"/>
            </w:tcBorders>
            <w:noWrap/>
            <w:hideMark/>
          </w:tcPr>
          <w:p w14:paraId="57A10B2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13,80±0,40</w:t>
            </w:r>
            <w:r w:rsidRPr="00247754">
              <w:rPr>
                <w:rFonts w:ascii="Arial" w:hAnsi="Arial" w:cs="Arial"/>
                <w:sz w:val="20"/>
                <w:szCs w:val="20"/>
                <w:vertAlign w:val="superscript"/>
              </w:rPr>
              <w:t>a</w:t>
            </w:r>
          </w:p>
        </w:tc>
        <w:tc>
          <w:tcPr>
            <w:tcW w:w="968" w:type="dxa"/>
            <w:tcBorders>
              <w:top w:val="single" w:sz="4" w:space="0" w:color="auto"/>
            </w:tcBorders>
            <w:noWrap/>
            <w:hideMark/>
          </w:tcPr>
          <w:p w14:paraId="58357D7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17,93±0,58</w:t>
            </w:r>
            <w:r w:rsidRPr="00247754">
              <w:rPr>
                <w:rFonts w:ascii="Arial" w:hAnsi="Arial" w:cs="Arial"/>
                <w:sz w:val="20"/>
                <w:szCs w:val="20"/>
                <w:vertAlign w:val="superscript"/>
              </w:rPr>
              <w:t>a</w:t>
            </w:r>
          </w:p>
        </w:tc>
        <w:tc>
          <w:tcPr>
            <w:tcW w:w="943" w:type="dxa"/>
            <w:tcBorders>
              <w:top w:val="single" w:sz="4" w:space="0" w:color="auto"/>
            </w:tcBorders>
            <w:noWrap/>
            <w:hideMark/>
          </w:tcPr>
          <w:p w14:paraId="171AC46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18,93 ±0,17</w:t>
            </w:r>
            <w:r w:rsidRPr="00247754">
              <w:rPr>
                <w:rFonts w:ascii="Arial" w:hAnsi="Arial" w:cs="Arial"/>
                <w:sz w:val="20"/>
                <w:szCs w:val="20"/>
                <w:vertAlign w:val="superscript"/>
              </w:rPr>
              <w:t xml:space="preserve">a </w:t>
            </w:r>
          </w:p>
        </w:tc>
        <w:tc>
          <w:tcPr>
            <w:tcW w:w="695" w:type="dxa"/>
            <w:tcBorders>
              <w:top w:val="single" w:sz="4" w:space="0" w:color="auto"/>
            </w:tcBorders>
            <w:noWrap/>
            <w:hideMark/>
          </w:tcPr>
          <w:p w14:paraId="78EC6CA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19,36 ±0,31</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tcBorders>
              <w:top w:val="single" w:sz="4" w:space="0" w:color="auto"/>
            </w:tcBorders>
            <w:noWrap/>
            <w:hideMark/>
          </w:tcPr>
          <w:p w14:paraId="2111B52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19,44 ±0,33</w:t>
            </w:r>
            <w:r w:rsidRPr="00247754">
              <w:rPr>
                <w:rFonts w:ascii="Arial" w:hAnsi="Arial" w:cs="Arial"/>
                <w:sz w:val="20"/>
                <w:szCs w:val="20"/>
                <w:vertAlign w:val="superscript"/>
              </w:rPr>
              <w:t xml:space="preserve">a </w:t>
            </w:r>
          </w:p>
        </w:tc>
        <w:tc>
          <w:tcPr>
            <w:tcW w:w="695" w:type="dxa"/>
            <w:tcBorders>
              <w:top w:val="single" w:sz="4" w:space="0" w:color="auto"/>
            </w:tcBorders>
            <w:noWrap/>
            <w:hideMark/>
          </w:tcPr>
          <w:p w14:paraId="3F5ED17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19,44 ±0,33</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62E1E6E4" w14:textId="77777777" w:rsidTr="00247754">
        <w:trPr>
          <w:trHeight w:val="288"/>
        </w:trPr>
        <w:tc>
          <w:tcPr>
            <w:tcW w:w="1524" w:type="dxa"/>
            <w:noWrap/>
            <w:hideMark/>
          </w:tcPr>
          <w:p w14:paraId="2F28872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Bulk F4CS036XCS117-9b  </w:t>
            </w:r>
          </w:p>
        </w:tc>
        <w:tc>
          <w:tcPr>
            <w:tcW w:w="889" w:type="dxa"/>
            <w:noWrap/>
            <w:hideMark/>
          </w:tcPr>
          <w:p w14:paraId="40D695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8,86 ±1,09</w:t>
            </w:r>
            <w:r w:rsidRPr="00247754">
              <w:rPr>
                <w:rFonts w:ascii="Arial" w:hAnsi="Arial" w:cs="Arial"/>
                <w:sz w:val="20"/>
                <w:szCs w:val="20"/>
                <w:vertAlign w:val="superscript"/>
              </w:rPr>
              <w:t>ab</w:t>
            </w:r>
            <w:r w:rsidRPr="00247754">
              <w:rPr>
                <w:rFonts w:ascii="Arial" w:hAnsi="Arial" w:cs="Arial"/>
                <w:sz w:val="20"/>
                <w:szCs w:val="20"/>
              </w:rPr>
              <w:t xml:space="preserve"> </w:t>
            </w:r>
          </w:p>
        </w:tc>
        <w:tc>
          <w:tcPr>
            <w:tcW w:w="968" w:type="dxa"/>
            <w:noWrap/>
            <w:hideMark/>
          </w:tcPr>
          <w:p w14:paraId="033131C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10,33±1,07</w:t>
            </w:r>
            <w:r w:rsidRPr="00247754">
              <w:rPr>
                <w:rFonts w:ascii="Arial" w:hAnsi="Arial" w:cs="Arial"/>
                <w:sz w:val="20"/>
                <w:szCs w:val="20"/>
                <w:vertAlign w:val="superscript"/>
              </w:rPr>
              <w:t>a</w:t>
            </w:r>
          </w:p>
        </w:tc>
        <w:tc>
          <w:tcPr>
            <w:tcW w:w="968" w:type="dxa"/>
            <w:noWrap/>
            <w:hideMark/>
          </w:tcPr>
          <w:p w14:paraId="114F6B93" w14:textId="455D74C8"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13,73±1,94</w:t>
            </w:r>
            <w:r w:rsidRPr="00247754">
              <w:rPr>
                <w:rFonts w:ascii="Arial" w:hAnsi="Arial" w:cs="Arial"/>
                <w:sz w:val="20"/>
                <w:szCs w:val="20"/>
                <w:vertAlign w:val="superscript"/>
              </w:rPr>
              <w:t>a</w:t>
            </w:r>
          </w:p>
        </w:tc>
        <w:tc>
          <w:tcPr>
            <w:tcW w:w="968" w:type="dxa"/>
            <w:noWrap/>
            <w:hideMark/>
          </w:tcPr>
          <w:p w14:paraId="2EDE966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22,66±5,46</w:t>
            </w:r>
            <w:r w:rsidRPr="00247754">
              <w:rPr>
                <w:rFonts w:ascii="Arial" w:hAnsi="Arial" w:cs="Arial"/>
                <w:sz w:val="20"/>
                <w:szCs w:val="20"/>
                <w:vertAlign w:val="superscript"/>
              </w:rPr>
              <w:t>a</w:t>
            </w:r>
          </w:p>
        </w:tc>
        <w:tc>
          <w:tcPr>
            <w:tcW w:w="943" w:type="dxa"/>
            <w:noWrap/>
            <w:hideMark/>
          </w:tcPr>
          <w:p w14:paraId="2C3DFB5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32,80 ±10,12 </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60E0ECD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34,60 ±10,58</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2FEB981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33,77 ±10,65</w:t>
            </w:r>
            <w:r w:rsidRPr="00247754">
              <w:rPr>
                <w:rFonts w:ascii="Arial" w:hAnsi="Arial" w:cs="Arial"/>
                <w:sz w:val="20"/>
                <w:szCs w:val="20"/>
                <w:vertAlign w:val="superscript"/>
              </w:rPr>
              <w:t xml:space="preserve">a </w:t>
            </w:r>
          </w:p>
        </w:tc>
        <w:tc>
          <w:tcPr>
            <w:tcW w:w="695" w:type="dxa"/>
            <w:noWrap/>
            <w:hideMark/>
          </w:tcPr>
          <w:p w14:paraId="7C36F1A9"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34,84 ±10,67</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091B65BD" w14:textId="77777777" w:rsidTr="00247754">
        <w:trPr>
          <w:trHeight w:val="288"/>
        </w:trPr>
        <w:tc>
          <w:tcPr>
            <w:tcW w:w="1524" w:type="dxa"/>
            <w:noWrap/>
            <w:hideMark/>
          </w:tcPr>
          <w:p w14:paraId="0F639478"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Gourgou</w:t>
            </w:r>
            <w:proofErr w:type="spellEnd"/>
            <w:r w:rsidRPr="00247754">
              <w:rPr>
                <w:rFonts w:ascii="Arial" w:hAnsi="Arial" w:cs="Arial"/>
                <w:sz w:val="20"/>
                <w:szCs w:val="20"/>
              </w:rPr>
              <w:t xml:space="preserve"> </w:t>
            </w:r>
          </w:p>
        </w:tc>
        <w:tc>
          <w:tcPr>
            <w:tcW w:w="889" w:type="dxa"/>
            <w:noWrap/>
            <w:hideMark/>
          </w:tcPr>
          <w:p w14:paraId="7A4378B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9,80 ±1,17</w:t>
            </w:r>
            <w:r w:rsidRPr="00247754">
              <w:rPr>
                <w:rFonts w:ascii="Arial" w:hAnsi="Arial" w:cs="Arial"/>
                <w:sz w:val="20"/>
                <w:szCs w:val="20"/>
                <w:vertAlign w:val="superscript"/>
              </w:rPr>
              <w:t xml:space="preserve">ab </w:t>
            </w:r>
          </w:p>
        </w:tc>
        <w:tc>
          <w:tcPr>
            <w:tcW w:w="968" w:type="dxa"/>
            <w:noWrap/>
            <w:hideMark/>
          </w:tcPr>
          <w:p w14:paraId="0979E18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11,33±1,18</w:t>
            </w:r>
            <w:r w:rsidRPr="00247754">
              <w:rPr>
                <w:rFonts w:ascii="Arial" w:hAnsi="Arial" w:cs="Arial"/>
                <w:sz w:val="20"/>
                <w:szCs w:val="20"/>
                <w:vertAlign w:val="superscript"/>
              </w:rPr>
              <w:t>a</w:t>
            </w:r>
          </w:p>
        </w:tc>
        <w:tc>
          <w:tcPr>
            <w:tcW w:w="968" w:type="dxa"/>
            <w:noWrap/>
            <w:hideMark/>
          </w:tcPr>
          <w:p w14:paraId="23CD35E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13,60±1,92</w:t>
            </w:r>
            <w:r w:rsidRPr="00247754">
              <w:rPr>
                <w:rFonts w:ascii="Arial" w:hAnsi="Arial" w:cs="Arial"/>
                <w:sz w:val="20"/>
                <w:szCs w:val="20"/>
                <w:vertAlign w:val="superscript"/>
              </w:rPr>
              <w:t>a</w:t>
            </w:r>
          </w:p>
        </w:tc>
        <w:tc>
          <w:tcPr>
            <w:tcW w:w="968" w:type="dxa"/>
            <w:noWrap/>
            <w:hideMark/>
          </w:tcPr>
          <w:p w14:paraId="1298EA0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29,60±9,86</w:t>
            </w:r>
            <w:r w:rsidRPr="00247754">
              <w:rPr>
                <w:rFonts w:ascii="Arial" w:hAnsi="Arial" w:cs="Arial"/>
                <w:sz w:val="20"/>
                <w:szCs w:val="20"/>
                <w:vertAlign w:val="superscript"/>
              </w:rPr>
              <w:t>a</w:t>
            </w:r>
          </w:p>
        </w:tc>
        <w:tc>
          <w:tcPr>
            <w:tcW w:w="943" w:type="dxa"/>
            <w:noWrap/>
            <w:hideMark/>
          </w:tcPr>
          <w:p w14:paraId="0F5700F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48,53 ±18,98 </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17CC9ED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53,93 ±21,39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1FF707F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55,43 ±21,58</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62F9180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56,50 ±21,68</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5E318533" w14:textId="77777777" w:rsidTr="00247754">
        <w:trPr>
          <w:trHeight w:val="288"/>
        </w:trPr>
        <w:tc>
          <w:tcPr>
            <w:tcW w:w="1524" w:type="dxa"/>
            <w:noWrap/>
            <w:hideMark/>
          </w:tcPr>
          <w:p w14:paraId="7B1AC90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Kvx745-11P </w:t>
            </w:r>
          </w:p>
        </w:tc>
        <w:tc>
          <w:tcPr>
            <w:tcW w:w="889" w:type="dxa"/>
            <w:noWrap/>
            <w:hideMark/>
          </w:tcPr>
          <w:p w14:paraId="4D9F8C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7,33±0,75</w:t>
            </w:r>
            <w:r w:rsidRPr="00247754">
              <w:rPr>
                <w:rFonts w:ascii="Arial" w:hAnsi="Arial" w:cs="Arial"/>
                <w:sz w:val="20"/>
                <w:szCs w:val="20"/>
                <w:vertAlign w:val="superscript"/>
              </w:rPr>
              <w:t>b</w:t>
            </w:r>
            <w:r w:rsidRPr="00247754">
              <w:rPr>
                <w:rFonts w:ascii="Arial" w:hAnsi="Arial" w:cs="Arial"/>
                <w:sz w:val="20"/>
                <w:szCs w:val="20"/>
              </w:rPr>
              <w:t xml:space="preserve"> </w:t>
            </w:r>
          </w:p>
        </w:tc>
        <w:tc>
          <w:tcPr>
            <w:tcW w:w="968" w:type="dxa"/>
            <w:noWrap/>
            <w:hideMark/>
          </w:tcPr>
          <w:p w14:paraId="7CDD0A4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9,06±0,63</w:t>
            </w:r>
            <w:r w:rsidRPr="00247754">
              <w:rPr>
                <w:rFonts w:ascii="Arial" w:hAnsi="Arial" w:cs="Arial"/>
                <w:sz w:val="20"/>
                <w:szCs w:val="20"/>
                <w:vertAlign w:val="superscript"/>
              </w:rPr>
              <w:t xml:space="preserve">a </w:t>
            </w:r>
          </w:p>
        </w:tc>
        <w:tc>
          <w:tcPr>
            <w:tcW w:w="968" w:type="dxa"/>
            <w:noWrap/>
            <w:hideMark/>
          </w:tcPr>
          <w:p w14:paraId="46E0E79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10,73±0,76</w:t>
            </w:r>
            <w:r w:rsidRPr="00247754">
              <w:rPr>
                <w:rFonts w:ascii="Arial" w:hAnsi="Arial" w:cs="Arial"/>
                <w:sz w:val="20"/>
                <w:szCs w:val="20"/>
                <w:vertAlign w:val="superscript"/>
              </w:rPr>
              <w:t>a</w:t>
            </w:r>
          </w:p>
        </w:tc>
        <w:tc>
          <w:tcPr>
            <w:tcW w:w="968" w:type="dxa"/>
            <w:noWrap/>
            <w:hideMark/>
          </w:tcPr>
          <w:p w14:paraId="3D22625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17,26±2,67</w:t>
            </w:r>
            <w:r w:rsidRPr="00247754">
              <w:rPr>
                <w:rFonts w:ascii="Arial" w:hAnsi="Arial" w:cs="Arial"/>
                <w:sz w:val="20"/>
                <w:szCs w:val="20"/>
                <w:vertAlign w:val="superscript"/>
              </w:rPr>
              <w:t>a</w:t>
            </w:r>
          </w:p>
        </w:tc>
        <w:tc>
          <w:tcPr>
            <w:tcW w:w="943" w:type="dxa"/>
            <w:noWrap/>
            <w:hideMark/>
          </w:tcPr>
          <w:p w14:paraId="6B23FB3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23,33 ±3,12</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5E6A96F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23,86 ±3,13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3A2DB3E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24,16 ±3,09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065AA32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24,16 ±3,09</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3C8F5537" w14:textId="77777777" w:rsidTr="00247754">
        <w:trPr>
          <w:trHeight w:val="288"/>
        </w:trPr>
        <w:tc>
          <w:tcPr>
            <w:tcW w:w="1524" w:type="dxa"/>
            <w:noWrap/>
            <w:hideMark/>
          </w:tcPr>
          <w:p w14:paraId="2CCFEFA9"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Teek-Songo</w:t>
            </w:r>
            <w:proofErr w:type="spellEnd"/>
          </w:p>
        </w:tc>
        <w:tc>
          <w:tcPr>
            <w:tcW w:w="889" w:type="dxa"/>
            <w:noWrap/>
            <w:hideMark/>
          </w:tcPr>
          <w:p w14:paraId="402A031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6,47</w:t>
            </w:r>
            <w:r w:rsidRPr="00247754">
              <w:rPr>
                <w:rFonts w:ascii="Arial" w:hAnsi="Arial" w:cs="Arial"/>
                <w:sz w:val="20"/>
                <w:szCs w:val="20"/>
                <w:vertAlign w:val="superscript"/>
              </w:rPr>
              <w:t>a</w:t>
            </w:r>
          </w:p>
        </w:tc>
        <w:tc>
          <w:tcPr>
            <w:tcW w:w="968" w:type="dxa"/>
            <w:noWrap/>
            <w:hideMark/>
          </w:tcPr>
          <w:p w14:paraId="26C50A8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8,63</w:t>
            </w:r>
            <w:r w:rsidRPr="00247754">
              <w:rPr>
                <w:rFonts w:ascii="Arial" w:hAnsi="Arial" w:cs="Arial"/>
                <w:sz w:val="20"/>
                <w:szCs w:val="20"/>
                <w:vertAlign w:val="superscript"/>
              </w:rPr>
              <w:t>a</w:t>
            </w:r>
          </w:p>
        </w:tc>
        <w:tc>
          <w:tcPr>
            <w:tcW w:w="968" w:type="dxa"/>
            <w:noWrap/>
            <w:hideMark/>
          </w:tcPr>
          <w:p w14:paraId="7032BFD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10,87</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65F604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15,67</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43" w:type="dxa"/>
            <w:noWrap/>
            <w:hideMark/>
          </w:tcPr>
          <w:p w14:paraId="2A169BD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22,80</w:t>
            </w:r>
            <w:r w:rsidRPr="00247754">
              <w:rPr>
                <w:rFonts w:ascii="Arial" w:hAnsi="Arial" w:cs="Arial"/>
                <w:sz w:val="20"/>
                <w:szCs w:val="20"/>
                <w:vertAlign w:val="superscript"/>
              </w:rPr>
              <w:t xml:space="preserve">a </w:t>
            </w:r>
            <w:r w:rsidRPr="00247754">
              <w:rPr>
                <w:rFonts w:ascii="Arial" w:hAnsi="Arial" w:cs="Arial"/>
                <w:sz w:val="20"/>
                <w:szCs w:val="20"/>
              </w:rPr>
              <w:t xml:space="preserve">   </w:t>
            </w:r>
          </w:p>
        </w:tc>
        <w:tc>
          <w:tcPr>
            <w:tcW w:w="695" w:type="dxa"/>
            <w:noWrap/>
            <w:hideMark/>
          </w:tcPr>
          <w:p w14:paraId="4065EAB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24,80</w:t>
            </w:r>
            <w:r w:rsidRPr="00247754">
              <w:rPr>
                <w:rFonts w:ascii="Arial" w:hAnsi="Arial" w:cs="Arial"/>
                <w:sz w:val="20"/>
                <w:szCs w:val="20"/>
                <w:vertAlign w:val="superscript"/>
              </w:rPr>
              <w:t>ab</w:t>
            </w:r>
          </w:p>
        </w:tc>
        <w:tc>
          <w:tcPr>
            <w:tcW w:w="695" w:type="dxa"/>
            <w:noWrap/>
            <w:hideMark/>
          </w:tcPr>
          <w:p w14:paraId="20EB27C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25,23</w:t>
            </w:r>
            <w:r w:rsidRPr="00247754">
              <w:rPr>
                <w:rFonts w:ascii="Arial" w:hAnsi="Arial" w:cs="Arial"/>
                <w:sz w:val="20"/>
                <w:szCs w:val="20"/>
                <w:vertAlign w:val="superscript"/>
              </w:rPr>
              <w:t>ab</w:t>
            </w:r>
          </w:p>
        </w:tc>
        <w:tc>
          <w:tcPr>
            <w:tcW w:w="695" w:type="dxa"/>
            <w:noWrap/>
            <w:hideMark/>
          </w:tcPr>
          <w:p w14:paraId="786101C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26,17</w:t>
            </w:r>
            <w:r w:rsidRPr="00247754">
              <w:rPr>
                <w:rFonts w:ascii="Arial" w:hAnsi="Arial" w:cs="Arial"/>
                <w:sz w:val="20"/>
                <w:szCs w:val="20"/>
                <w:vertAlign w:val="superscript"/>
              </w:rPr>
              <w:t>b</w:t>
            </w:r>
          </w:p>
        </w:tc>
      </w:tr>
      <w:tr w:rsidR="00247754" w:rsidRPr="00247754" w14:paraId="7AD7715D" w14:textId="77777777" w:rsidTr="00247754">
        <w:trPr>
          <w:trHeight w:val="288"/>
        </w:trPr>
        <w:tc>
          <w:tcPr>
            <w:tcW w:w="1524" w:type="dxa"/>
            <w:noWrap/>
            <w:hideMark/>
          </w:tcPr>
          <w:p w14:paraId="61C4F1ED"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Dounguri</w:t>
            </w:r>
            <w:proofErr w:type="spellEnd"/>
            <w:r w:rsidRPr="00247754">
              <w:rPr>
                <w:rFonts w:ascii="Arial" w:hAnsi="Arial" w:cs="Arial"/>
                <w:sz w:val="20"/>
                <w:szCs w:val="20"/>
              </w:rPr>
              <w:t xml:space="preserve"> </w:t>
            </w:r>
            <w:proofErr w:type="spellStart"/>
            <w:r w:rsidRPr="00247754">
              <w:rPr>
                <w:rFonts w:ascii="Arial" w:hAnsi="Arial" w:cs="Arial"/>
                <w:sz w:val="20"/>
                <w:szCs w:val="20"/>
              </w:rPr>
              <w:t>koirey</w:t>
            </w:r>
            <w:proofErr w:type="spellEnd"/>
            <w:r w:rsidRPr="00247754">
              <w:rPr>
                <w:rFonts w:ascii="Arial" w:hAnsi="Arial" w:cs="Arial"/>
                <w:sz w:val="20"/>
                <w:szCs w:val="20"/>
              </w:rPr>
              <w:t xml:space="preserve"> </w:t>
            </w:r>
          </w:p>
        </w:tc>
        <w:tc>
          <w:tcPr>
            <w:tcW w:w="889" w:type="dxa"/>
            <w:noWrap/>
            <w:hideMark/>
          </w:tcPr>
          <w:p w14:paraId="5B81EDD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7,33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228EE5D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10,30</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5F13550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12,20</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03B28A3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18,43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43" w:type="dxa"/>
            <w:noWrap/>
            <w:hideMark/>
          </w:tcPr>
          <w:p w14:paraId="736C7C0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24,53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23DEE68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27,67</w:t>
            </w:r>
            <w:r w:rsidRPr="00247754">
              <w:rPr>
                <w:rFonts w:ascii="Arial" w:hAnsi="Arial" w:cs="Arial"/>
                <w:sz w:val="20"/>
                <w:szCs w:val="20"/>
                <w:vertAlign w:val="superscript"/>
              </w:rPr>
              <w:t>a</w:t>
            </w:r>
          </w:p>
        </w:tc>
        <w:tc>
          <w:tcPr>
            <w:tcW w:w="695" w:type="dxa"/>
            <w:noWrap/>
            <w:hideMark/>
          </w:tcPr>
          <w:p w14:paraId="393F3FC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29,35</w:t>
            </w:r>
            <w:r w:rsidRPr="00247754">
              <w:rPr>
                <w:rFonts w:ascii="Arial" w:hAnsi="Arial" w:cs="Arial"/>
                <w:sz w:val="20"/>
                <w:szCs w:val="20"/>
                <w:vertAlign w:val="superscript"/>
              </w:rPr>
              <w:t>a</w:t>
            </w:r>
          </w:p>
        </w:tc>
        <w:tc>
          <w:tcPr>
            <w:tcW w:w="695" w:type="dxa"/>
            <w:noWrap/>
            <w:hideMark/>
          </w:tcPr>
          <w:p w14:paraId="4A7EBAF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30.95</w:t>
            </w:r>
            <w:r w:rsidRPr="00247754">
              <w:rPr>
                <w:rFonts w:ascii="Arial" w:hAnsi="Arial" w:cs="Arial"/>
                <w:sz w:val="20"/>
                <w:szCs w:val="20"/>
                <w:vertAlign w:val="superscript"/>
              </w:rPr>
              <w:t>a</w:t>
            </w:r>
          </w:p>
        </w:tc>
      </w:tr>
      <w:tr w:rsidR="00247754" w:rsidRPr="00247754" w14:paraId="3821C777" w14:textId="77777777" w:rsidTr="00247754">
        <w:trPr>
          <w:trHeight w:val="288"/>
        </w:trPr>
        <w:tc>
          <w:tcPr>
            <w:tcW w:w="1524" w:type="dxa"/>
            <w:noWrap/>
            <w:hideMark/>
          </w:tcPr>
          <w:p w14:paraId="3625029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w:t>
            </w:r>
            <w:proofErr w:type="spellStart"/>
            <w:r w:rsidRPr="00247754">
              <w:rPr>
                <w:rFonts w:ascii="Arial" w:hAnsi="Arial" w:cs="Arial"/>
                <w:sz w:val="20"/>
                <w:szCs w:val="20"/>
              </w:rPr>
              <w:t>Proba</w:t>
            </w:r>
            <w:proofErr w:type="spellEnd"/>
            <w:r w:rsidRPr="00247754">
              <w:rPr>
                <w:rFonts w:ascii="Arial" w:hAnsi="Arial" w:cs="Arial"/>
                <w:sz w:val="20"/>
                <w:szCs w:val="20"/>
              </w:rPr>
              <w:t xml:space="preserve"> </w:t>
            </w:r>
          </w:p>
        </w:tc>
        <w:tc>
          <w:tcPr>
            <w:tcW w:w="889" w:type="dxa"/>
            <w:noWrap/>
            <w:hideMark/>
          </w:tcPr>
          <w:p w14:paraId="44E1DE0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0,152</w:t>
            </w:r>
          </w:p>
        </w:tc>
        <w:tc>
          <w:tcPr>
            <w:tcW w:w="968" w:type="dxa"/>
            <w:noWrap/>
            <w:hideMark/>
          </w:tcPr>
          <w:p w14:paraId="280FBE1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0,217</w:t>
            </w:r>
          </w:p>
        </w:tc>
        <w:tc>
          <w:tcPr>
            <w:tcW w:w="968" w:type="dxa"/>
            <w:noWrap/>
            <w:hideMark/>
          </w:tcPr>
          <w:p w14:paraId="7EFB278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0,411</w:t>
            </w:r>
          </w:p>
        </w:tc>
        <w:tc>
          <w:tcPr>
            <w:tcW w:w="968" w:type="dxa"/>
            <w:noWrap/>
            <w:hideMark/>
          </w:tcPr>
          <w:p w14:paraId="04285D5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0,457</w:t>
            </w:r>
          </w:p>
        </w:tc>
        <w:tc>
          <w:tcPr>
            <w:tcW w:w="943" w:type="dxa"/>
            <w:noWrap/>
            <w:hideMark/>
          </w:tcPr>
          <w:p w14:paraId="1B913FF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0,298</w:t>
            </w:r>
          </w:p>
        </w:tc>
        <w:tc>
          <w:tcPr>
            <w:tcW w:w="695" w:type="dxa"/>
            <w:noWrap/>
            <w:hideMark/>
          </w:tcPr>
          <w:p w14:paraId="2E4F1E5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0,257</w:t>
            </w:r>
          </w:p>
        </w:tc>
        <w:tc>
          <w:tcPr>
            <w:tcW w:w="695" w:type="dxa"/>
            <w:noWrap/>
            <w:hideMark/>
          </w:tcPr>
          <w:p w14:paraId="2C4C2AB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0,237</w:t>
            </w:r>
          </w:p>
        </w:tc>
        <w:tc>
          <w:tcPr>
            <w:tcW w:w="695" w:type="dxa"/>
            <w:noWrap/>
            <w:hideMark/>
          </w:tcPr>
          <w:p w14:paraId="010F043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0,22</w:t>
            </w:r>
          </w:p>
        </w:tc>
      </w:tr>
      <w:tr w:rsidR="00247754" w:rsidRPr="00247754" w14:paraId="38DD64A8" w14:textId="77777777" w:rsidTr="00247754">
        <w:trPr>
          <w:trHeight w:val="288"/>
        </w:trPr>
        <w:tc>
          <w:tcPr>
            <w:tcW w:w="1524" w:type="dxa"/>
            <w:noWrap/>
            <w:hideMark/>
          </w:tcPr>
          <w:p w14:paraId="02EDE20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Sig </w:t>
            </w:r>
          </w:p>
        </w:tc>
        <w:tc>
          <w:tcPr>
            <w:tcW w:w="889" w:type="dxa"/>
            <w:noWrap/>
            <w:hideMark/>
          </w:tcPr>
          <w:p w14:paraId="7B04AB2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7D28345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0A6BFD2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6BDB0F5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43" w:type="dxa"/>
            <w:noWrap/>
            <w:hideMark/>
          </w:tcPr>
          <w:p w14:paraId="4DE85E7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667CB76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5994986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34A8554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r>
    </w:tbl>
    <w:p w14:paraId="136341CD" w14:textId="0C0449B0" w:rsidR="00355949" w:rsidRPr="00355949" w:rsidRDefault="000E5E96" w:rsidP="002C5660">
      <w:pPr>
        <w:pStyle w:val="Body"/>
        <w:spacing w:after="0"/>
        <w:rPr>
          <w:rFonts w:ascii="Arial" w:hAnsi="Arial" w:cs="Arial"/>
          <w:lang w:val="en-GB"/>
        </w:rPr>
      </w:pPr>
      <w:r w:rsidRPr="000E5E96">
        <w:rPr>
          <w:rFonts w:ascii="Arial" w:hAnsi="Arial" w:cs="Arial"/>
          <w:lang w:val="en-GB"/>
        </w:rPr>
        <w:t>Legend:</w:t>
      </w:r>
      <w:r w:rsidR="00355949" w:rsidRPr="00355949">
        <w:rPr>
          <w:rFonts w:ascii="Arial" w:hAnsi="Arial" w:cs="Arial"/>
          <w:lang w:val="en-GB"/>
        </w:rPr>
        <w:t xml:space="preserve"> </w:t>
      </w:r>
      <w:r w:rsidRPr="000E5E96">
        <w:rPr>
          <w:rFonts w:ascii="Arial" w:hAnsi="Arial" w:cs="Arial"/>
          <w:lang w:val="en-GB"/>
        </w:rPr>
        <w:t>NS = Not significant</w:t>
      </w:r>
      <w:r w:rsidR="00355949" w:rsidRPr="00355949">
        <w:rPr>
          <w:rFonts w:ascii="Arial" w:hAnsi="Arial" w:cs="Arial"/>
          <w:lang w:val="en-GB"/>
        </w:rPr>
        <w:t xml:space="preserve">; </w:t>
      </w:r>
      <w:proofErr w:type="spellStart"/>
      <w:r w:rsidR="00355949" w:rsidRPr="00355949">
        <w:rPr>
          <w:rFonts w:ascii="Arial" w:hAnsi="Arial" w:cs="Arial"/>
          <w:lang w:val="en-GB"/>
        </w:rPr>
        <w:t>Proba</w:t>
      </w:r>
      <w:proofErr w:type="spellEnd"/>
      <w:r w:rsidR="00355949" w:rsidRPr="00355949">
        <w:rPr>
          <w:rFonts w:ascii="Arial" w:hAnsi="Arial" w:cs="Arial"/>
          <w:lang w:val="en-GB"/>
        </w:rPr>
        <w:t xml:space="preserve">= </w:t>
      </w:r>
      <w:r w:rsidRPr="000E5E96">
        <w:rPr>
          <w:rFonts w:ascii="Arial" w:hAnsi="Arial" w:cs="Arial"/>
          <w:lang w:val="en-GB"/>
        </w:rPr>
        <w:t>Probability</w:t>
      </w:r>
      <w:r w:rsidR="00355949" w:rsidRPr="00355949">
        <w:rPr>
          <w:rFonts w:ascii="Arial" w:hAnsi="Arial" w:cs="Arial"/>
          <w:lang w:val="en-GB"/>
        </w:rPr>
        <w:t xml:space="preserve">; </w:t>
      </w:r>
      <w:r w:rsidR="002C5660" w:rsidRPr="000E5E96">
        <w:rPr>
          <w:rFonts w:ascii="Arial" w:hAnsi="Arial" w:cs="Arial"/>
          <w:lang w:val="en-GB"/>
        </w:rPr>
        <w:t>D</w:t>
      </w:r>
      <w:r w:rsidR="00355949" w:rsidRPr="00355949">
        <w:rPr>
          <w:rFonts w:ascii="Arial" w:hAnsi="Arial" w:cs="Arial"/>
          <w:lang w:val="en-GB"/>
        </w:rPr>
        <w:t>AS= days after sowing.</w:t>
      </w:r>
    </w:p>
    <w:p w14:paraId="61E0098C" w14:textId="77777777" w:rsidR="00355949" w:rsidRPr="000E5E96" w:rsidRDefault="00355949" w:rsidP="002C5660">
      <w:pPr>
        <w:pStyle w:val="Body"/>
        <w:spacing w:after="0"/>
        <w:rPr>
          <w:rFonts w:ascii="Arial" w:hAnsi="Arial" w:cs="Arial"/>
          <w:lang w:val="en-GB"/>
        </w:rPr>
      </w:pPr>
    </w:p>
    <w:p w14:paraId="7801972E" w14:textId="77777777" w:rsidR="002C5660" w:rsidRPr="00355949" w:rsidRDefault="002C5660" w:rsidP="002C5660">
      <w:pPr>
        <w:pStyle w:val="Body"/>
        <w:spacing w:after="0"/>
        <w:rPr>
          <w:rFonts w:ascii="Arial" w:hAnsi="Arial" w:cs="Arial"/>
          <w:lang w:val="en-GB"/>
        </w:rPr>
      </w:pPr>
    </w:p>
    <w:p w14:paraId="6ADB22EA" w14:textId="12FA949D" w:rsidR="00355949" w:rsidRDefault="00355949" w:rsidP="002C5660">
      <w:pPr>
        <w:pStyle w:val="Body"/>
        <w:spacing w:after="0"/>
        <w:rPr>
          <w:rFonts w:ascii="Arial" w:hAnsi="Arial" w:cs="Arial"/>
          <w:b/>
          <w:bCs/>
          <w:lang w:val="en-GB"/>
        </w:rPr>
      </w:pPr>
      <w:r w:rsidRPr="00355949">
        <w:rPr>
          <w:rFonts w:ascii="Arial" w:hAnsi="Arial" w:cs="Arial"/>
          <w:b/>
          <w:bCs/>
          <w:lang w:val="en-GB"/>
        </w:rPr>
        <w:t xml:space="preserve">Table 3: </w:t>
      </w:r>
      <w:r w:rsidR="00CE7981" w:rsidRPr="002C5660">
        <w:rPr>
          <w:rFonts w:ascii="Arial" w:hAnsi="Arial" w:cs="Arial"/>
          <w:b/>
          <w:bCs/>
          <w:lang w:val="en-GB"/>
        </w:rPr>
        <w:t xml:space="preserve">Some quantitative </w:t>
      </w:r>
      <w:proofErr w:type="spellStart"/>
      <w:r w:rsidR="00CE7981" w:rsidRPr="002C5660">
        <w:rPr>
          <w:rFonts w:ascii="Arial" w:hAnsi="Arial" w:cs="Arial"/>
          <w:b/>
          <w:bCs/>
          <w:lang w:val="en-GB"/>
        </w:rPr>
        <w:t>agro</w:t>
      </w:r>
      <w:proofErr w:type="spellEnd"/>
      <w:r w:rsidR="00CE7981" w:rsidRPr="002C5660">
        <w:rPr>
          <w:rFonts w:ascii="Arial" w:hAnsi="Arial" w:cs="Arial"/>
          <w:b/>
          <w:bCs/>
          <w:lang w:val="en-GB"/>
        </w:rPr>
        <w:t>-morphological parameters of varieties</w:t>
      </w:r>
    </w:p>
    <w:p w14:paraId="1EBF0AF9" w14:textId="77777777" w:rsidR="002C5660" w:rsidRPr="00355949" w:rsidRDefault="002C5660" w:rsidP="002C5660">
      <w:pPr>
        <w:pStyle w:val="Body"/>
        <w:spacing w:after="0"/>
        <w:rPr>
          <w:rFonts w:ascii="Arial" w:hAnsi="Arial" w:cs="Arial"/>
          <w:b/>
          <w:bCs/>
          <w:lang w:val="en-GB"/>
        </w:rPr>
      </w:pPr>
    </w:p>
    <w:tbl>
      <w:tblPr>
        <w:tblW w:w="7965" w:type="dxa"/>
        <w:jc w:val="center"/>
        <w:tblCellMar>
          <w:left w:w="70" w:type="dxa"/>
          <w:right w:w="70" w:type="dxa"/>
        </w:tblCellMar>
        <w:tblLook w:val="04A0" w:firstRow="1" w:lastRow="0" w:firstColumn="1" w:lastColumn="0" w:noHBand="0" w:noVBand="1"/>
      </w:tblPr>
      <w:tblGrid>
        <w:gridCol w:w="2153"/>
        <w:gridCol w:w="1984"/>
        <w:gridCol w:w="1670"/>
        <w:gridCol w:w="2158"/>
      </w:tblGrid>
      <w:tr w:rsidR="00355949" w:rsidRPr="00355949" w14:paraId="5671134E" w14:textId="77777777" w:rsidTr="000E5E96">
        <w:trPr>
          <w:trHeight w:val="395"/>
          <w:jc w:val="center"/>
        </w:trPr>
        <w:tc>
          <w:tcPr>
            <w:tcW w:w="2153" w:type="dxa"/>
            <w:tcBorders>
              <w:top w:val="single" w:sz="4" w:space="0" w:color="auto"/>
              <w:bottom w:val="single" w:sz="4" w:space="0" w:color="auto"/>
            </w:tcBorders>
            <w:hideMark/>
          </w:tcPr>
          <w:p w14:paraId="73D749CA"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en-GB"/>
              </w:rPr>
              <w:t>Line</w:t>
            </w:r>
          </w:p>
        </w:tc>
        <w:tc>
          <w:tcPr>
            <w:tcW w:w="1984" w:type="dxa"/>
            <w:tcBorders>
              <w:top w:val="single" w:sz="4" w:space="0" w:color="auto"/>
              <w:bottom w:val="single" w:sz="4" w:space="0" w:color="auto"/>
            </w:tcBorders>
            <w:hideMark/>
          </w:tcPr>
          <w:p w14:paraId="2536C20C"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 xml:space="preserve">Date of first </w:t>
            </w:r>
            <w:proofErr w:type="spellStart"/>
            <w:r w:rsidRPr="00355949">
              <w:rPr>
                <w:rFonts w:ascii="Arial" w:hAnsi="Arial" w:cs="Arial"/>
                <w:b/>
                <w:bCs/>
                <w:lang w:val="fr-FR"/>
              </w:rPr>
              <w:t>flower</w:t>
            </w:r>
            <w:proofErr w:type="spellEnd"/>
          </w:p>
        </w:tc>
        <w:tc>
          <w:tcPr>
            <w:tcW w:w="1670" w:type="dxa"/>
            <w:tcBorders>
              <w:top w:val="single" w:sz="4" w:space="0" w:color="auto"/>
              <w:bottom w:val="single" w:sz="4" w:space="0" w:color="auto"/>
            </w:tcBorders>
            <w:hideMark/>
          </w:tcPr>
          <w:p w14:paraId="40BEFCFB"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 xml:space="preserve">  50% fl. (DAS)</w:t>
            </w:r>
          </w:p>
        </w:tc>
        <w:tc>
          <w:tcPr>
            <w:tcW w:w="2158" w:type="dxa"/>
            <w:tcBorders>
              <w:top w:val="single" w:sz="4" w:space="0" w:color="auto"/>
              <w:bottom w:val="single" w:sz="4" w:space="0" w:color="auto"/>
            </w:tcBorders>
            <w:hideMark/>
          </w:tcPr>
          <w:p w14:paraId="79FC12FB"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95% mat. (DAS)</w:t>
            </w:r>
          </w:p>
        </w:tc>
      </w:tr>
      <w:tr w:rsidR="00355949" w:rsidRPr="00355949" w14:paraId="20E6EC1B" w14:textId="77777777" w:rsidTr="000E5E96">
        <w:trPr>
          <w:trHeight w:val="383"/>
          <w:jc w:val="center"/>
        </w:trPr>
        <w:tc>
          <w:tcPr>
            <w:tcW w:w="2153" w:type="dxa"/>
            <w:tcBorders>
              <w:top w:val="single" w:sz="4" w:space="0" w:color="auto"/>
            </w:tcBorders>
            <w:hideMark/>
          </w:tcPr>
          <w:p w14:paraId="4AFE755F"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Tiligré</w:t>
            </w:r>
            <w:proofErr w:type="spellEnd"/>
          </w:p>
        </w:tc>
        <w:tc>
          <w:tcPr>
            <w:tcW w:w="1984" w:type="dxa"/>
            <w:tcBorders>
              <w:top w:val="single" w:sz="4" w:space="0" w:color="auto"/>
            </w:tcBorders>
            <w:hideMark/>
          </w:tcPr>
          <w:p w14:paraId="1EE995C8"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38,33 ±1,20</w:t>
            </w:r>
            <w:r w:rsidRPr="00355949">
              <w:rPr>
                <w:rFonts w:ascii="Arial" w:hAnsi="Arial" w:cs="Arial"/>
                <w:vertAlign w:val="superscript"/>
                <w:lang w:val="fr-FR"/>
              </w:rPr>
              <w:t>b</w:t>
            </w:r>
          </w:p>
        </w:tc>
        <w:tc>
          <w:tcPr>
            <w:tcW w:w="1670" w:type="dxa"/>
            <w:tcBorders>
              <w:top w:val="single" w:sz="4" w:space="0" w:color="auto"/>
            </w:tcBorders>
            <w:hideMark/>
          </w:tcPr>
          <w:p w14:paraId="0223CC1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43,33 ±0,8</w:t>
            </w:r>
            <w:r w:rsidRPr="00355949">
              <w:rPr>
                <w:rFonts w:ascii="Arial" w:hAnsi="Arial" w:cs="Arial"/>
                <w:vertAlign w:val="superscript"/>
                <w:lang w:val="fr-FR"/>
              </w:rPr>
              <w:t>b</w:t>
            </w:r>
          </w:p>
        </w:tc>
        <w:tc>
          <w:tcPr>
            <w:tcW w:w="2158" w:type="dxa"/>
            <w:tcBorders>
              <w:top w:val="single" w:sz="4" w:space="0" w:color="auto"/>
            </w:tcBorders>
            <w:hideMark/>
          </w:tcPr>
          <w:p w14:paraId="325924D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72,33 ±0,88</w:t>
            </w:r>
            <w:r w:rsidRPr="00355949">
              <w:rPr>
                <w:rFonts w:ascii="Arial" w:hAnsi="Arial" w:cs="Arial"/>
                <w:vertAlign w:val="superscript"/>
                <w:lang w:val="fr-FR"/>
              </w:rPr>
              <w:t>bc</w:t>
            </w:r>
          </w:p>
        </w:tc>
      </w:tr>
      <w:tr w:rsidR="00355949" w:rsidRPr="00355949" w14:paraId="6E3450B3" w14:textId="77777777" w:rsidTr="000E5E96">
        <w:trPr>
          <w:trHeight w:val="589"/>
          <w:jc w:val="center"/>
        </w:trPr>
        <w:tc>
          <w:tcPr>
            <w:tcW w:w="2153" w:type="dxa"/>
            <w:hideMark/>
          </w:tcPr>
          <w:p w14:paraId="55FC816D"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lastRenderedPageBreak/>
              <w:t>BulkF4CS036xCS117-9b</w:t>
            </w:r>
          </w:p>
        </w:tc>
        <w:tc>
          <w:tcPr>
            <w:tcW w:w="1984" w:type="dxa"/>
            <w:hideMark/>
          </w:tcPr>
          <w:p w14:paraId="52FE269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39</w:t>
            </w:r>
            <w:r w:rsidRPr="00355949">
              <w:rPr>
                <w:rFonts w:ascii="Arial" w:hAnsi="Arial" w:cs="Arial"/>
                <w:vertAlign w:val="superscript"/>
                <w:lang w:val="fr-FR"/>
              </w:rPr>
              <w:t>b</w:t>
            </w:r>
          </w:p>
        </w:tc>
        <w:tc>
          <w:tcPr>
            <w:tcW w:w="1670" w:type="dxa"/>
            <w:hideMark/>
          </w:tcPr>
          <w:p w14:paraId="7B1B293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45,66 ±1,66</w:t>
            </w:r>
            <w:r w:rsidRPr="00355949">
              <w:rPr>
                <w:rFonts w:ascii="Arial" w:hAnsi="Arial" w:cs="Arial"/>
                <w:vertAlign w:val="superscript"/>
                <w:lang w:val="fr-FR"/>
              </w:rPr>
              <w:t>ab</w:t>
            </w:r>
          </w:p>
        </w:tc>
        <w:tc>
          <w:tcPr>
            <w:tcW w:w="2158" w:type="dxa"/>
            <w:hideMark/>
          </w:tcPr>
          <w:p w14:paraId="5C095CA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69,66 ±1,20</w:t>
            </w:r>
            <w:r w:rsidRPr="00355949">
              <w:rPr>
                <w:rFonts w:ascii="Arial" w:hAnsi="Arial" w:cs="Arial"/>
                <w:vertAlign w:val="superscript"/>
                <w:lang w:val="fr-FR"/>
              </w:rPr>
              <w:t>c</w:t>
            </w:r>
          </w:p>
        </w:tc>
      </w:tr>
      <w:tr w:rsidR="00355949" w:rsidRPr="00355949" w14:paraId="2B498486" w14:textId="77777777" w:rsidTr="000E5E96">
        <w:trPr>
          <w:trHeight w:val="382"/>
          <w:jc w:val="center"/>
        </w:trPr>
        <w:tc>
          <w:tcPr>
            <w:tcW w:w="2153" w:type="dxa"/>
            <w:hideMark/>
          </w:tcPr>
          <w:p w14:paraId="6808E1A7"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Gourgou</w:t>
            </w:r>
            <w:proofErr w:type="spellEnd"/>
          </w:p>
        </w:tc>
        <w:tc>
          <w:tcPr>
            <w:tcW w:w="1984" w:type="dxa"/>
            <w:hideMark/>
          </w:tcPr>
          <w:p w14:paraId="37C5C2F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 ±0,57</w:t>
            </w:r>
            <w:r w:rsidRPr="00355949">
              <w:rPr>
                <w:rFonts w:ascii="Arial" w:hAnsi="Arial" w:cs="Arial"/>
                <w:vertAlign w:val="superscript"/>
                <w:lang w:val="fr-FR"/>
              </w:rPr>
              <w:t>a</w:t>
            </w:r>
          </w:p>
        </w:tc>
        <w:tc>
          <w:tcPr>
            <w:tcW w:w="1670" w:type="dxa"/>
            <w:hideMark/>
          </w:tcPr>
          <w:p w14:paraId="38D5953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49,33 ±0,88</w:t>
            </w:r>
            <w:r w:rsidRPr="00355949">
              <w:rPr>
                <w:rFonts w:ascii="Arial" w:hAnsi="Arial" w:cs="Arial"/>
                <w:vertAlign w:val="superscript"/>
                <w:lang w:val="fr-FR"/>
              </w:rPr>
              <w:t>a</w:t>
            </w:r>
          </w:p>
        </w:tc>
        <w:tc>
          <w:tcPr>
            <w:tcW w:w="2158" w:type="dxa"/>
            <w:hideMark/>
          </w:tcPr>
          <w:p w14:paraId="74CB034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78,00 ±0,57</w:t>
            </w:r>
            <w:r w:rsidRPr="00355949">
              <w:rPr>
                <w:rFonts w:ascii="Arial" w:hAnsi="Arial" w:cs="Arial"/>
                <w:vertAlign w:val="superscript"/>
                <w:lang w:val="fr-FR"/>
              </w:rPr>
              <w:t>a</w:t>
            </w:r>
          </w:p>
        </w:tc>
      </w:tr>
      <w:tr w:rsidR="00355949" w:rsidRPr="00355949" w14:paraId="53DB5618" w14:textId="77777777" w:rsidTr="000E5E96">
        <w:trPr>
          <w:trHeight w:val="416"/>
          <w:jc w:val="center"/>
        </w:trPr>
        <w:tc>
          <w:tcPr>
            <w:tcW w:w="2153" w:type="dxa"/>
            <w:hideMark/>
          </w:tcPr>
          <w:p w14:paraId="3E6DD854"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Kvx745-11P</w:t>
            </w:r>
          </w:p>
        </w:tc>
        <w:tc>
          <w:tcPr>
            <w:tcW w:w="1984" w:type="dxa"/>
            <w:hideMark/>
          </w:tcPr>
          <w:p w14:paraId="1710EB94"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40,66 ±1,20</w:t>
            </w:r>
            <w:r w:rsidRPr="00355949">
              <w:rPr>
                <w:rFonts w:ascii="Arial" w:hAnsi="Arial" w:cs="Arial"/>
                <w:vertAlign w:val="superscript"/>
                <w:lang w:val="fr-FR"/>
              </w:rPr>
              <w:t>b</w:t>
            </w:r>
          </w:p>
        </w:tc>
        <w:tc>
          <w:tcPr>
            <w:tcW w:w="1670" w:type="dxa"/>
            <w:hideMark/>
          </w:tcPr>
          <w:p w14:paraId="7F2A572A"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45,66 ±0,88</w:t>
            </w:r>
            <w:r w:rsidRPr="00355949">
              <w:rPr>
                <w:rFonts w:ascii="Arial" w:hAnsi="Arial" w:cs="Arial"/>
                <w:vertAlign w:val="superscript"/>
                <w:lang w:val="fr-FR"/>
              </w:rPr>
              <w:t>ab</w:t>
            </w:r>
          </w:p>
        </w:tc>
        <w:tc>
          <w:tcPr>
            <w:tcW w:w="2158" w:type="dxa"/>
            <w:hideMark/>
          </w:tcPr>
          <w:p w14:paraId="165EF4A0"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74,66 ±0,66</w:t>
            </w:r>
            <w:r w:rsidRPr="00355949">
              <w:rPr>
                <w:rFonts w:ascii="Arial" w:hAnsi="Arial" w:cs="Arial"/>
                <w:vertAlign w:val="superscript"/>
                <w:lang w:val="fr-FR"/>
              </w:rPr>
              <w:t>b</w:t>
            </w:r>
          </w:p>
        </w:tc>
      </w:tr>
      <w:tr w:rsidR="00355949" w:rsidRPr="00355949" w14:paraId="17F746F7" w14:textId="77777777" w:rsidTr="000E5E96">
        <w:trPr>
          <w:trHeight w:val="408"/>
          <w:jc w:val="center"/>
        </w:trPr>
        <w:tc>
          <w:tcPr>
            <w:tcW w:w="2153" w:type="dxa"/>
            <w:noWrap/>
            <w:hideMark/>
          </w:tcPr>
          <w:p w14:paraId="2082CADC"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Teek-Songo</w:t>
            </w:r>
            <w:proofErr w:type="spellEnd"/>
          </w:p>
        </w:tc>
        <w:tc>
          <w:tcPr>
            <w:tcW w:w="1984" w:type="dxa"/>
            <w:hideMark/>
          </w:tcPr>
          <w:p w14:paraId="54AD223A"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41,41 ±1,20</w:t>
            </w:r>
            <w:r w:rsidRPr="00355949">
              <w:rPr>
                <w:rFonts w:ascii="Arial" w:hAnsi="Arial" w:cs="Arial"/>
                <w:vertAlign w:val="superscript"/>
                <w:lang w:val="fr-FR"/>
              </w:rPr>
              <w:t>b</w:t>
            </w:r>
          </w:p>
        </w:tc>
        <w:tc>
          <w:tcPr>
            <w:tcW w:w="1670" w:type="dxa"/>
            <w:hideMark/>
          </w:tcPr>
          <w:p w14:paraId="1106EFC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44,53 ±1,68</w:t>
            </w:r>
            <w:r w:rsidRPr="00355949">
              <w:rPr>
                <w:rFonts w:ascii="Arial" w:hAnsi="Arial" w:cs="Arial"/>
                <w:vertAlign w:val="superscript"/>
                <w:lang w:val="fr-FR"/>
              </w:rPr>
              <w:t>ab</w:t>
            </w:r>
          </w:p>
        </w:tc>
        <w:tc>
          <w:tcPr>
            <w:tcW w:w="2158" w:type="dxa"/>
            <w:hideMark/>
          </w:tcPr>
          <w:p w14:paraId="52295D90"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62,33</w:t>
            </w:r>
            <w:r w:rsidRPr="00355949">
              <w:rPr>
                <w:rFonts w:ascii="Arial" w:hAnsi="Arial" w:cs="Arial"/>
                <w:vertAlign w:val="superscript"/>
                <w:lang w:val="fr-FR"/>
              </w:rPr>
              <w:t>b</w:t>
            </w:r>
          </w:p>
        </w:tc>
      </w:tr>
      <w:tr w:rsidR="00355949" w:rsidRPr="00355949" w14:paraId="2988AD51" w14:textId="77777777" w:rsidTr="000E5E96">
        <w:trPr>
          <w:trHeight w:val="408"/>
          <w:jc w:val="center"/>
        </w:trPr>
        <w:tc>
          <w:tcPr>
            <w:tcW w:w="2153" w:type="dxa"/>
            <w:noWrap/>
          </w:tcPr>
          <w:p w14:paraId="046A298E" w14:textId="77777777" w:rsidR="00355949" w:rsidRPr="00355949" w:rsidRDefault="00355949" w:rsidP="002C5660">
            <w:pPr>
              <w:pStyle w:val="Body"/>
              <w:spacing w:after="0"/>
              <w:rPr>
                <w:rFonts w:ascii="Arial" w:hAnsi="Arial" w:cs="Arial"/>
                <w:i/>
                <w:iCs/>
                <w:lang w:val="fr-FR"/>
              </w:rPr>
            </w:pPr>
            <w:proofErr w:type="spellStart"/>
            <w:r w:rsidRPr="00355949">
              <w:rPr>
                <w:rFonts w:ascii="Arial" w:hAnsi="Arial" w:cs="Arial"/>
                <w:i/>
                <w:iCs/>
                <w:lang w:val="fr-FR"/>
              </w:rPr>
              <w:t>Dounguri</w:t>
            </w:r>
            <w:proofErr w:type="spellEnd"/>
            <w:r w:rsidRPr="00355949">
              <w:rPr>
                <w:rFonts w:ascii="Arial" w:hAnsi="Arial" w:cs="Arial"/>
                <w:i/>
                <w:iCs/>
                <w:lang w:val="fr-FR"/>
              </w:rPr>
              <w:t xml:space="preserve"> </w:t>
            </w:r>
            <w:proofErr w:type="spellStart"/>
            <w:r w:rsidRPr="00355949">
              <w:rPr>
                <w:rFonts w:ascii="Arial" w:hAnsi="Arial" w:cs="Arial"/>
                <w:i/>
                <w:iCs/>
                <w:lang w:val="fr-FR"/>
              </w:rPr>
              <w:t>koirey</w:t>
            </w:r>
            <w:proofErr w:type="spellEnd"/>
            <w:r w:rsidRPr="00355949">
              <w:rPr>
                <w:rFonts w:ascii="Arial" w:hAnsi="Arial" w:cs="Arial"/>
                <w:i/>
                <w:iCs/>
                <w:lang w:val="fr-FR"/>
              </w:rPr>
              <w:t xml:space="preserve"> </w:t>
            </w:r>
          </w:p>
        </w:tc>
        <w:tc>
          <w:tcPr>
            <w:tcW w:w="1984" w:type="dxa"/>
          </w:tcPr>
          <w:p w14:paraId="77C8EC6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39,66</w:t>
            </w:r>
            <w:r w:rsidRPr="00355949">
              <w:rPr>
                <w:rFonts w:ascii="Arial" w:hAnsi="Arial" w:cs="Arial"/>
                <w:vertAlign w:val="superscript"/>
                <w:lang w:val="fr-FR"/>
              </w:rPr>
              <w:t>c</w:t>
            </w:r>
          </w:p>
        </w:tc>
        <w:tc>
          <w:tcPr>
            <w:tcW w:w="1670" w:type="dxa"/>
          </w:tcPr>
          <w:p w14:paraId="7222E225"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40,66</w:t>
            </w:r>
            <w:r w:rsidRPr="00355949">
              <w:rPr>
                <w:rFonts w:ascii="Arial" w:hAnsi="Arial" w:cs="Arial"/>
                <w:vertAlign w:val="superscript"/>
                <w:lang w:val="fr-FR"/>
              </w:rPr>
              <w:t>b</w:t>
            </w:r>
          </w:p>
        </w:tc>
        <w:tc>
          <w:tcPr>
            <w:tcW w:w="2158" w:type="dxa"/>
          </w:tcPr>
          <w:p w14:paraId="3F4A897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62</w:t>
            </w:r>
            <w:r w:rsidRPr="00355949">
              <w:rPr>
                <w:rFonts w:ascii="Arial" w:hAnsi="Arial" w:cs="Arial"/>
                <w:vertAlign w:val="superscript"/>
                <w:lang w:val="fr-FR"/>
              </w:rPr>
              <w:t>b</w:t>
            </w:r>
          </w:p>
        </w:tc>
      </w:tr>
      <w:tr w:rsidR="00355949" w:rsidRPr="00355949" w14:paraId="7B9EB814" w14:textId="77777777" w:rsidTr="000E5E96">
        <w:trPr>
          <w:trHeight w:val="312"/>
          <w:jc w:val="center"/>
        </w:trPr>
        <w:tc>
          <w:tcPr>
            <w:tcW w:w="2153" w:type="dxa"/>
            <w:hideMark/>
          </w:tcPr>
          <w:p w14:paraId="7B6DC56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Probabilité</w:t>
            </w:r>
          </w:p>
        </w:tc>
        <w:tc>
          <w:tcPr>
            <w:tcW w:w="1984" w:type="dxa"/>
            <w:hideMark/>
          </w:tcPr>
          <w:p w14:paraId="3D3AFD7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0,003</w:t>
            </w:r>
          </w:p>
        </w:tc>
        <w:tc>
          <w:tcPr>
            <w:tcW w:w="1670" w:type="dxa"/>
            <w:hideMark/>
          </w:tcPr>
          <w:p w14:paraId="1B1AEAF1"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0,034</w:t>
            </w:r>
          </w:p>
        </w:tc>
        <w:tc>
          <w:tcPr>
            <w:tcW w:w="2158" w:type="dxa"/>
            <w:hideMark/>
          </w:tcPr>
          <w:p w14:paraId="72B3ED2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0,001</w:t>
            </w:r>
          </w:p>
        </w:tc>
      </w:tr>
      <w:tr w:rsidR="00355949" w:rsidRPr="00355949" w14:paraId="06B27169" w14:textId="77777777" w:rsidTr="000E5E96">
        <w:trPr>
          <w:trHeight w:val="312"/>
          <w:jc w:val="center"/>
        </w:trPr>
        <w:tc>
          <w:tcPr>
            <w:tcW w:w="2153" w:type="dxa"/>
            <w:tcBorders>
              <w:bottom w:val="single" w:sz="4" w:space="0" w:color="auto"/>
            </w:tcBorders>
            <w:noWrap/>
            <w:hideMark/>
          </w:tcPr>
          <w:p w14:paraId="1308C44A" w14:textId="59FA7E62"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Sig</w:t>
            </w:r>
            <w:proofErr w:type="spellEnd"/>
          </w:p>
        </w:tc>
        <w:tc>
          <w:tcPr>
            <w:tcW w:w="1984" w:type="dxa"/>
            <w:tcBorders>
              <w:bottom w:val="single" w:sz="4" w:space="0" w:color="auto"/>
            </w:tcBorders>
            <w:noWrap/>
            <w:hideMark/>
          </w:tcPr>
          <w:p w14:paraId="525F0972"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c>
          <w:tcPr>
            <w:tcW w:w="1670" w:type="dxa"/>
            <w:tcBorders>
              <w:bottom w:val="single" w:sz="4" w:space="0" w:color="auto"/>
            </w:tcBorders>
            <w:noWrap/>
            <w:hideMark/>
          </w:tcPr>
          <w:p w14:paraId="22FA4DF5"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c>
          <w:tcPr>
            <w:tcW w:w="2158" w:type="dxa"/>
            <w:tcBorders>
              <w:bottom w:val="single" w:sz="4" w:space="0" w:color="auto"/>
            </w:tcBorders>
            <w:noWrap/>
            <w:hideMark/>
          </w:tcPr>
          <w:p w14:paraId="778D66E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r>
    </w:tbl>
    <w:p w14:paraId="0D6C95B5" w14:textId="7BA8F6F5" w:rsidR="002C5660" w:rsidRPr="000E5E96" w:rsidRDefault="000E5E96" w:rsidP="002C5660">
      <w:pPr>
        <w:pStyle w:val="Body"/>
        <w:spacing w:after="0"/>
        <w:rPr>
          <w:rFonts w:ascii="Arial" w:hAnsi="Arial" w:cs="Arial"/>
          <w:i/>
          <w:iCs/>
          <w:lang w:val="en-GB"/>
        </w:rPr>
      </w:pPr>
      <w:r w:rsidRPr="000E5E96">
        <w:rPr>
          <w:rFonts w:ascii="Arial" w:hAnsi="Arial" w:cs="Arial"/>
          <w:i/>
          <w:iCs/>
          <w:lang w:val="en-GB"/>
        </w:rPr>
        <w:t>Legend:</w:t>
      </w:r>
      <w:r w:rsidRPr="00355949">
        <w:rPr>
          <w:rFonts w:ascii="Arial" w:hAnsi="Arial" w:cs="Arial"/>
          <w:i/>
          <w:iCs/>
          <w:lang w:val="en-GB"/>
        </w:rPr>
        <w:t xml:space="preserve"> Sig= </w:t>
      </w:r>
      <w:proofErr w:type="spellStart"/>
      <w:proofErr w:type="gramStart"/>
      <w:r w:rsidRPr="00355949">
        <w:rPr>
          <w:rFonts w:ascii="Arial" w:hAnsi="Arial" w:cs="Arial"/>
          <w:i/>
          <w:iCs/>
          <w:lang w:val="en-GB"/>
        </w:rPr>
        <w:t>significativité</w:t>
      </w:r>
      <w:proofErr w:type="spellEnd"/>
      <w:r w:rsidRPr="00355949">
        <w:rPr>
          <w:rFonts w:ascii="Arial" w:hAnsi="Arial" w:cs="Arial"/>
          <w:i/>
          <w:iCs/>
          <w:lang w:val="en-GB"/>
        </w:rPr>
        <w:t xml:space="preserve"> ;</w:t>
      </w:r>
      <w:proofErr w:type="gramEnd"/>
      <w:r w:rsidRPr="00355949">
        <w:rPr>
          <w:rFonts w:ascii="Arial" w:hAnsi="Arial" w:cs="Arial"/>
          <w:i/>
          <w:iCs/>
          <w:lang w:val="en-GB"/>
        </w:rPr>
        <w:t xml:space="preserve"> </w:t>
      </w:r>
      <w:proofErr w:type="spellStart"/>
      <w:r w:rsidRPr="00355949">
        <w:rPr>
          <w:rFonts w:ascii="Arial" w:hAnsi="Arial" w:cs="Arial"/>
          <w:i/>
          <w:iCs/>
          <w:lang w:val="en-GB"/>
        </w:rPr>
        <w:t>Proba</w:t>
      </w:r>
      <w:proofErr w:type="spellEnd"/>
      <w:r w:rsidRPr="00355949">
        <w:rPr>
          <w:rFonts w:ascii="Arial" w:hAnsi="Arial" w:cs="Arial"/>
          <w:i/>
          <w:iCs/>
          <w:lang w:val="en-GB"/>
        </w:rPr>
        <w:t xml:space="preserve">= </w:t>
      </w:r>
      <w:r w:rsidRPr="000E5E96">
        <w:rPr>
          <w:rFonts w:ascii="Arial" w:hAnsi="Arial" w:cs="Arial"/>
          <w:i/>
          <w:iCs/>
          <w:lang w:val="en-GB"/>
        </w:rPr>
        <w:t>Probability</w:t>
      </w:r>
      <w:r w:rsidR="00A516DF">
        <w:rPr>
          <w:rFonts w:ascii="Arial" w:hAnsi="Arial" w:cs="Arial"/>
          <w:i/>
          <w:iCs/>
          <w:lang w:val="en-GB"/>
        </w:rPr>
        <w:t xml:space="preserve"> </w:t>
      </w:r>
      <w:r w:rsidRPr="00355949">
        <w:rPr>
          <w:rFonts w:ascii="Arial" w:hAnsi="Arial" w:cs="Arial"/>
          <w:i/>
          <w:iCs/>
          <w:lang w:val="en-GB"/>
        </w:rPr>
        <w:t xml:space="preserve">; </w:t>
      </w:r>
      <w:r w:rsidRPr="000E5E96">
        <w:rPr>
          <w:rFonts w:ascii="Arial" w:hAnsi="Arial" w:cs="Arial"/>
          <w:i/>
          <w:iCs/>
          <w:lang w:val="en-GB"/>
        </w:rPr>
        <w:t>D</w:t>
      </w:r>
      <w:r w:rsidRPr="00355949">
        <w:rPr>
          <w:rFonts w:ascii="Arial" w:hAnsi="Arial" w:cs="Arial"/>
          <w:i/>
          <w:iCs/>
          <w:lang w:val="en-GB"/>
        </w:rPr>
        <w:t>AS= days after sowing</w:t>
      </w:r>
    </w:p>
    <w:p w14:paraId="0A823107" w14:textId="77777777" w:rsidR="000E5E96" w:rsidRPr="000E5E96" w:rsidRDefault="000E5E96" w:rsidP="002C5660">
      <w:pPr>
        <w:pStyle w:val="Body"/>
        <w:spacing w:after="0"/>
        <w:rPr>
          <w:rFonts w:ascii="Arial" w:hAnsi="Arial" w:cs="Arial"/>
          <w:lang w:val="en-GB"/>
        </w:rPr>
      </w:pPr>
    </w:p>
    <w:p w14:paraId="5393010D" w14:textId="77777777" w:rsidR="00355949" w:rsidRPr="00355949" w:rsidRDefault="00355949" w:rsidP="00355949">
      <w:pPr>
        <w:pStyle w:val="Body"/>
        <w:spacing w:after="0"/>
        <w:rPr>
          <w:rFonts w:ascii="Arial" w:hAnsi="Arial" w:cs="Arial"/>
        </w:rPr>
      </w:pPr>
      <w:r w:rsidRPr="00355949">
        <w:rPr>
          <w:rFonts w:ascii="Arial" w:hAnsi="Arial" w:cs="Arial"/>
        </w:rPr>
        <w:t xml:space="preserve">The analysis of plant height did not reveal any differences between the genotypes. This result is consistent with that obtained by </w:t>
      </w:r>
      <w:proofErr w:type="spellStart"/>
      <w:r w:rsidRPr="00355949">
        <w:rPr>
          <w:rFonts w:ascii="Arial" w:hAnsi="Arial" w:cs="Arial"/>
        </w:rPr>
        <w:t>Nourou</w:t>
      </w:r>
      <w:proofErr w:type="spellEnd"/>
      <w:r w:rsidRPr="00355949">
        <w:rPr>
          <w:rFonts w:ascii="Arial" w:hAnsi="Arial" w:cs="Arial"/>
        </w:rPr>
        <w:t xml:space="preserve"> (2014) at INRAN in Niger in a study on four forage cowpea genotypes. </w:t>
      </w:r>
    </w:p>
    <w:p w14:paraId="499C3985" w14:textId="77777777" w:rsidR="00355949" w:rsidRDefault="00355949" w:rsidP="000E5E96">
      <w:pPr>
        <w:pStyle w:val="Body"/>
        <w:spacing w:after="0"/>
        <w:rPr>
          <w:rFonts w:ascii="Arial" w:hAnsi="Arial" w:cs="Arial"/>
          <w:lang w:val="en-GB"/>
        </w:rPr>
      </w:pPr>
      <w:r w:rsidRPr="00355949">
        <w:rPr>
          <w:rFonts w:ascii="Arial" w:hAnsi="Arial" w:cs="Arial"/>
        </w:rPr>
        <w:t xml:space="preserve">With regard to phenological cycle parameters, such as the date of first flower appearance, 50% flowering, and 95% maturity, the results showed significant differences between genotypes. This can be explained by the difference in cycle lengths between genotypes, ranging from early to late cycles, such as the Bulk F4CS036xCS117-9b genotype with a cycle of 69.66 JAS and the </w:t>
      </w:r>
      <w:proofErr w:type="spellStart"/>
      <w:r w:rsidRPr="00355949">
        <w:rPr>
          <w:rFonts w:ascii="Arial" w:hAnsi="Arial" w:cs="Arial"/>
        </w:rPr>
        <w:t>Gourgou</w:t>
      </w:r>
      <w:proofErr w:type="spellEnd"/>
      <w:r w:rsidRPr="00355949">
        <w:rPr>
          <w:rFonts w:ascii="Arial" w:hAnsi="Arial" w:cs="Arial"/>
        </w:rPr>
        <w:t xml:space="preserve"> genotype, which took 78.00 JAS to reach 95% maturation. This could be justified by the tolerance to water stress, which differs among genotypes. These results are consistent with those of </w:t>
      </w:r>
      <w:proofErr w:type="spellStart"/>
      <w:r w:rsidRPr="00355949">
        <w:rPr>
          <w:rFonts w:ascii="Arial" w:hAnsi="Arial" w:cs="Arial"/>
        </w:rPr>
        <w:t>Gbaguidi</w:t>
      </w:r>
      <w:proofErr w:type="spellEnd"/>
      <w:r w:rsidRPr="00355949">
        <w:rPr>
          <w:rFonts w:ascii="Arial" w:hAnsi="Arial" w:cs="Arial"/>
        </w:rPr>
        <w:t xml:space="preserve"> et al. (2015) in Benin and those of </w:t>
      </w:r>
      <w:proofErr w:type="spellStart"/>
      <w:r w:rsidRPr="00355949">
        <w:rPr>
          <w:rFonts w:ascii="Arial" w:hAnsi="Arial" w:cs="Arial"/>
        </w:rPr>
        <w:t>Lalsaga</w:t>
      </w:r>
      <w:proofErr w:type="spellEnd"/>
      <w:r w:rsidRPr="00355949">
        <w:rPr>
          <w:rFonts w:ascii="Arial" w:hAnsi="Arial" w:cs="Arial"/>
        </w:rPr>
        <w:t xml:space="preserve"> and </w:t>
      </w:r>
      <w:proofErr w:type="spellStart"/>
      <w:r w:rsidRPr="00355949">
        <w:rPr>
          <w:rFonts w:ascii="Arial" w:hAnsi="Arial" w:cs="Arial"/>
        </w:rPr>
        <w:t>Drabo</w:t>
      </w:r>
      <w:proofErr w:type="spellEnd"/>
      <w:r w:rsidRPr="00355949">
        <w:rPr>
          <w:rFonts w:ascii="Arial" w:hAnsi="Arial" w:cs="Arial"/>
        </w:rPr>
        <w:t xml:space="preserve"> (2017) in Burkina Faso, who found significant differences within the lines for the different phenological cycles. However, these results contradict those of cultivars from the </w:t>
      </w:r>
      <w:proofErr w:type="spellStart"/>
      <w:r w:rsidRPr="00355949">
        <w:rPr>
          <w:rFonts w:ascii="Arial" w:hAnsi="Arial" w:cs="Arial"/>
        </w:rPr>
        <w:t>Sudanian</w:t>
      </w:r>
      <w:proofErr w:type="spellEnd"/>
      <w:r w:rsidRPr="00355949">
        <w:rPr>
          <w:rFonts w:ascii="Arial" w:hAnsi="Arial" w:cs="Arial"/>
        </w:rPr>
        <w:t xml:space="preserve"> zone and Chad (</w:t>
      </w:r>
      <w:proofErr w:type="spellStart"/>
      <w:r w:rsidRPr="00355949">
        <w:rPr>
          <w:rFonts w:ascii="Arial" w:hAnsi="Arial" w:cs="Arial"/>
        </w:rPr>
        <w:t>Nadjiam</w:t>
      </w:r>
      <w:proofErr w:type="spellEnd"/>
      <w:r w:rsidRPr="00355949">
        <w:rPr>
          <w:rFonts w:ascii="Arial" w:hAnsi="Arial" w:cs="Arial"/>
        </w:rPr>
        <w:t xml:space="preserve"> et al., 2015). This could be explained by climatic factors such as temperature and photoperiodism, which are responsible for the appearance of the first flower in cowpea plants</w:t>
      </w:r>
      <w:r w:rsidRPr="00355949">
        <w:rPr>
          <w:rFonts w:ascii="Arial" w:hAnsi="Arial" w:cs="Arial"/>
          <w:lang w:val="en-GB"/>
        </w:rPr>
        <w:t>.</w:t>
      </w:r>
    </w:p>
    <w:p w14:paraId="1B6D8009" w14:textId="77777777" w:rsidR="000E5E96" w:rsidRPr="00355949" w:rsidRDefault="000E5E96" w:rsidP="000E5E96">
      <w:pPr>
        <w:pStyle w:val="Body"/>
        <w:spacing w:after="0"/>
        <w:rPr>
          <w:rFonts w:ascii="Arial" w:hAnsi="Arial" w:cs="Arial"/>
          <w:lang w:val="en-GB"/>
        </w:rPr>
      </w:pPr>
    </w:p>
    <w:p w14:paraId="713D14B2" w14:textId="42D34965" w:rsidR="00355949" w:rsidRDefault="002C5660" w:rsidP="002B17B9">
      <w:pPr>
        <w:pStyle w:val="Body"/>
        <w:spacing w:after="0"/>
        <w:rPr>
          <w:rFonts w:ascii="Arial" w:hAnsi="Arial" w:cs="Arial"/>
          <w:b/>
          <w:bCs/>
          <w:sz w:val="22"/>
          <w:szCs w:val="22"/>
          <w:lang w:val="en-GB"/>
        </w:rPr>
      </w:pPr>
      <w:r w:rsidRPr="002C5660">
        <w:rPr>
          <w:rFonts w:ascii="Arial" w:hAnsi="Arial" w:cs="Arial"/>
          <w:b/>
          <w:bCs/>
          <w:sz w:val="22"/>
          <w:szCs w:val="22"/>
          <w:lang w:val="en-GB"/>
        </w:rPr>
        <w:t>3.2</w:t>
      </w:r>
      <w:r w:rsidR="002B17B9" w:rsidRPr="002B17B9">
        <w:rPr>
          <w:rFonts w:ascii="Arial" w:hAnsi="Arial" w:cs="Arial"/>
          <w:b/>
          <w:bCs/>
          <w:sz w:val="22"/>
          <w:szCs w:val="22"/>
          <w:lang w:val="en-GB"/>
        </w:rPr>
        <w:t xml:space="preserve"> Grain yield and fodder biomass of</w:t>
      </w:r>
      <w:r w:rsidR="002B17B9">
        <w:rPr>
          <w:rFonts w:ascii="Arial" w:hAnsi="Arial" w:cs="Arial"/>
          <w:b/>
          <w:bCs/>
          <w:sz w:val="22"/>
          <w:szCs w:val="22"/>
          <w:lang w:val="en-GB"/>
        </w:rPr>
        <w:t xml:space="preserve"> </w:t>
      </w:r>
      <w:r w:rsidR="002B17B9" w:rsidRPr="002B17B9">
        <w:rPr>
          <w:rFonts w:ascii="Arial" w:hAnsi="Arial" w:cs="Arial"/>
          <w:b/>
          <w:bCs/>
          <w:sz w:val="22"/>
          <w:szCs w:val="22"/>
          <w:lang w:val="en-GB"/>
        </w:rPr>
        <w:t xml:space="preserve">tested cultivars </w:t>
      </w:r>
      <w:r w:rsidR="00355949" w:rsidRPr="00355949">
        <w:rPr>
          <w:rFonts w:ascii="Arial" w:hAnsi="Arial" w:cs="Arial"/>
          <w:b/>
          <w:bCs/>
          <w:sz w:val="22"/>
          <w:szCs w:val="22"/>
          <w:lang w:val="en-GB"/>
        </w:rPr>
        <w:t xml:space="preserve"> </w:t>
      </w:r>
    </w:p>
    <w:p w14:paraId="63640F9E" w14:textId="77777777" w:rsidR="000E5E96" w:rsidRPr="00355949" w:rsidRDefault="000E5E96" w:rsidP="000E5E96">
      <w:pPr>
        <w:pStyle w:val="Body"/>
        <w:spacing w:after="0"/>
        <w:jc w:val="left"/>
        <w:rPr>
          <w:rFonts w:ascii="Arial" w:hAnsi="Arial" w:cs="Arial"/>
          <w:b/>
          <w:bCs/>
          <w:sz w:val="22"/>
          <w:szCs w:val="22"/>
          <w:lang w:val="en-GB"/>
        </w:rPr>
      </w:pPr>
    </w:p>
    <w:p w14:paraId="4F4FF18A" w14:textId="77777777" w:rsidR="00355949" w:rsidRPr="00355949" w:rsidRDefault="00355949" w:rsidP="00355949">
      <w:pPr>
        <w:pStyle w:val="Body"/>
        <w:spacing w:after="0"/>
        <w:rPr>
          <w:rFonts w:ascii="Arial" w:hAnsi="Arial" w:cs="Arial"/>
        </w:rPr>
      </w:pPr>
      <w:r w:rsidRPr="00355949">
        <w:rPr>
          <w:rFonts w:ascii="Arial" w:hAnsi="Arial" w:cs="Arial"/>
        </w:rPr>
        <w:t xml:space="preserve">The dry matter yield of forage ranged from 1.74 to 4.67 t/ha in Bako (average 3.19 t/ha). Genotype significantly affected grain yield. Genotypes varied considerably in terms of grain production capacity. The </w:t>
      </w:r>
      <w:proofErr w:type="spellStart"/>
      <w:r w:rsidRPr="00355949">
        <w:rPr>
          <w:rFonts w:ascii="Arial" w:hAnsi="Arial" w:cs="Arial"/>
        </w:rPr>
        <w:t>Teek-Songo</w:t>
      </w:r>
      <w:proofErr w:type="spellEnd"/>
      <w:r w:rsidRPr="00355949">
        <w:rPr>
          <w:rFonts w:ascii="Arial" w:hAnsi="Arial" w:cs="Arial"/>
        </w:rPr>
        <w:t xml:space="preserve"> (4637.5 kg/ha) and Kvx745-11P (4427.66 kg/ha) genotypes showed higher biomass yields, whereas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(1738.31 kg/ha) genotype showed a lower biomass yield (Figure 1).  </w:t>
      </w:r>
    </w:p>
    <w:p w14:paraId="48F22528" w14:textId="77777777" w:rsidR="00355949" w:rsidRDefault="00355949" w:rsidP="000E5E96">
      <w:pPr>
        <w:pStyle w:val="Body"/>
        <w:spacing w:after="0"/>
        <w:rPr>
          <w:rFonts w:ascii="Arial" w:hAnsi="Arial" w:cs="Arial"/>
          <w:lang w:val="en-GB"/>
        </w:rPr>
      </w:pPr>
      <w:r w:rsidRPr="00355949">
        <w:rPr>
          <w:rFonts w:ascii="Arial" w:hAnsi="Arial" w:cs="Arial"/>
        </w:rPr>
        <w:t xml:space="preserve">Analysis of variance at the 5% threshold showed no significant difference between genotypes for grain yield. However, the Bulk F4CS036xCS117-9b genotype achieved the highest productivity with 1150.83 kg/ha, whereas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genotype had the lowest yield at 611.34 kg/ha (Figure 1)</w:t>
      </w:r>
      <w:r w:rsidRPr="00355949">
        <w:rPr>
          <w:rFonts w:ascii="Arial" w:hAnsi="Arial" w:cs="Arial"/>
          <w:lang w:val="en-GB"/>
        </w:rPr>
        <w:t>.</w:t>
      </w:r>
    </w:p>
    <w:p w14:paraId="3FEDBA9C" w14:textId="77777777" w:rsidR="0066366E" w:rsidRPr="00355949" w:rsidRDefault="0066366E" w:rsidP="000E5E96">
      <w:pPr>
        <w:pStyle w:val="Body"/>
        <w:spacing w:after="0"/>
        <w:rPr>
          <w:rFonts w:ascii="Arial" w:hAnsi="Arial" w:cs="Arial"/>
          <w:lang w:val="en-GB"/>
        </w:rPr>
      </w:pPr>
    </w:p>
    <w:p w14:paraId="69DCC3CB" w14:textId="65B0B4AE" w:rsidR="00D7314E" w:rsidRPr="00355949" w:rsidRDefault="0066366E" w:rsidP="000E5E96">
      <w:pPr>
        <w:pStyle w:val="Body"/>
        <w:spacing w:after="0"/>
        <w:rPr>
          <w:rFonts w:ascii="Arial" w:hAnsi="Arial" w:cs="Arial"/>
          <w:lang w:val="fr-FR"/>
        </w:rPr>
      </w:pPr>
      <w:r>
        <w:rPr>
          <w:rFonts w:ascii="Arial" w:hAnsi="Arial" w:cs="Arial"/>
          <w:noProof/>
          <w:lang w:val="fr-FR"/>
        </w:rPr>
        <w:lastRenderedPageBreak/>
        <w:drawing>
          <wp:inline distT="0" distB="0" distL="0" distR="0" wp14:anchorId="79E6A61F" wp14:editId="2D75B098">
            <wp:extent cx="4465320" cy="2537162"/>
            <wp:effectExtent l="0" t="0" r="0" b="0"/>
            <wp:docPr id="16459935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7349" cy="2549679"/>
                    </a:xfrm>
                    <a:prstGeom prst="rect">
                      <a:avLst/>
                    </a:prstGeom>
                    <a:noFill/>
                  </pic:spPr>
                </pic:pic>
              </a:graphicData>
            </a:graphic>
          </wp:inline>
        </w:drawing>
      </w:r>
    </w:p>
    <w:p w14:paraId="5F9FD3FE" w14:textId="7BDEE028" w:rsidR="00355949" w:rsidRPr="0066366E" w:rsidRDefault="00355949" w:rsidP="000E5E96">
      <w:pPr>
        <w:pStyle w:val="Body"/>
        <w:spacing w:after="0"/>
        <w:rPr>
          <w:rFonts w:ascii="Arial" w:hAnsi="Arial" w:cs="Arial"/>
          <w:b/>
          <w:bCs/>
          <w:lang w:val="en-GB"/>
        </w:rPr>
      </w:pPr>
      <w:r w:rsidRPr="00355949">
        <w:rPr>
          <w:rFonts w:ascii="Arial" w:hAnsi="Arial" w:cs="Arial"/>
          <w:b/>
          <w:bCs/>
          <w:lang w:val="en-GB"/>
        </w:rPr>
        <w:t xml:space="preserve">Figure 1: </w:t>
      </w:r>
      <w:r w:rsidR="0066366E" w:rsidRPr="0066366E">
        <w:rPr>
          <w:rFonts w:ascii="Arial" w:hAnsi="Arial" w:cs="Arial"/>
          <w:b/>
          <w:bCs/>
          <w:lang w:val="en-GB"/>
        </w:rPr>
        <w:t>Grain and fodder y</w:t>
      </w:r>
      <w:r w:rsidR="0066366E">
        <w:rPr>
          <w:rFonts w:ascii="Arial" w:hAnsi="Arial" w:cs="Arial"/>
          <w:b/>
          <w:bCs/>
          <w:lang w:val="en-GB"/>
        </w:rPr>
        <w:t>ield (kg ha</w:t>
      </w:r>
      <w:r w:rsidR="0066366E" w:rsidRPr="0066366E">
        <w:rPr>
          <w:rFonts w:ascii="Arial" w:hAnsi="Arial" w:cs="Arial"/>
          <w:b/>
          <w:bCs/>
          <w:vertAlign w:val="superscript"/>
          <w:lang w:val="en-GB"/>
        </w:rPr>
        <w:t>-1</w:t>
      </w:r>
      <w:r w:rsidR="0066366E" w:rsidRPr="0066366E">
        <w:rPr>
          <w:rFonts w:ascii="Arial" w:hAnsi="Arial" w:cs="Arial"/>
          <w:b/>
          <w:bCs/>
          <w:lang w:val="en-GB"/>
        </w:rPr>
        <w:t>)</w:t>
      </w:r>
    </w:p>
    <w:p w14:paraId="2BFA156F" w14:textId="77777777" w:rsidR="000E5E96" w:rsidRPr="00355949" w:rsidRDefault="000E5E96" w:rsidP="000E5E96">
      <w:pPr>
        <w:pStyle w:val="Body"/>
        <w:spacing w:after="0"/>
        <w:rPr>
          <w:rFonts w:ascii="Arial" w:hAnsi="Arial" w:cs="Arial"/>
          <w:b/>
          <w:bCs/>
          <w:lang w:val="en-GB"/>
        </w:rPr>
      </w:pPr>
    </w:p>
    <w:p w14:paraId="1C0D1E64" w14:textId="77777777" w:rsidR="00355949" w:rsidRPr="00355949" w:rsidRDefault="00355949" w:rsidP="00355949">
      <w:pPr>
        <w:pStyle w:val="Body"/>
        <w:spacing w:after="0"/>
        <w:rPr>
          <w:rFonts w:ascii="Arial" w:hAnsi="Arial" w:cs="Arial"/>
        </w:rPr>
      </w:pPr>
      <w:r w:rsidRPr="00355949">
        <w:rPr>
          <w:rFonts w:ascii="Arial" w:hAnsi="Arial" w:cs="Arial"/>
        </w:rPr>
        <w:t xml:space="preserve">For grain yield, a highly significant difference (P=0.001) was obtained by the results of the analysis of variance at the 5% threshold within genotypes, which is identical to the results obtained by </w:t>
      </w:r>
      <w:proofErr w:type="spellStart"/>
      <w:r w:rsidRPr="00355949">
        <w:rPr>
          <w:rFonts w:ascii="Arial" w:hAnsi="Arial" w:cs="Arial"/>
        </w:rPr>
        <w:t>Nourou</w:t>
      </w:r>
      <w:proofErr w:type="spellEnd"/>
      <w:r w:rsidRPr="00355949">
        <w:rPr>
          <w:rFonts w:ascii="Arial" w:hAnsi="Arial" w:cs="Arial"/>
        </w:rPr>
        <w:t xml:space="preserve"> (2014). The Bulk_F4_CS036xCS117_9b, </w:t>
      </w:r>
      <w:proofErr w:type="spellStart"/>
      <w:r w:rsidRPr="00355949">
        <w:rPr>
          <w:rFonts w:ascii="Arial" w:hAnsi="Arial" w:cs="Arial"/>
        </w:rPr>
        <w:t>Tilgré</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genotypes showed the highest grain yield potential among the other genotypes, with average values of 1150.83 kg/ha, 1016.33 kg/ha and 1011.67 kg/ha. Furthermore, our results are lower than those of </w:t>
      </w:r>
      <w:proofErr w:type="spellStart"/>
      <w:r w:rsidRPr="00355949">
        <w:rPr>
          <w:rFonts w:ascii="Arial" w:hAnsi="Arial" w:cs="Arial"/>
        </w:rPr>
        <w:t>Sanfo</w:t>
      </w:r>
      <w:proofErr w:type="spellEnd"/>
      <w:r w:rsidRPr="00355949">
        <w:rPr>
          <w:rFonts w:ascii="Arial" w:hAnsi="Arial" w:cs="Arial"/>
        </w:rPr>
        <w:t xml:space="preserve"> et al. (2023), who found that the grain yields in monoculture of the </w:t>
      </w:r>
      <w:proofErr w:type="spellStart"/>
      <w:r w:rsidRPr="00355949">
        <w:rPr>
          <w:rFonts w:ascii="Arial" w:hAnsi="Arial" w:cs="Arial"/>
        </w:rPr>
        <w:t>Tiligré</w:t>
      </w:r>
      <w:proofErr w:type="spellEnd"/>
      <w:r w:rsidRPr="00355949">
        <w:rPr>
          <w:rFonts w:ascii="Arial" w:hAnsi="Arial" w:cs="Arial"/>
        </w:rPr>
        <w:t xml:space="preserve"> and KVx745-11P genotypes were 2116 kg/ha and 2169 kg/ha, respectively. </w:t>
      </w:r>
    </w:p>
    <w:p w14:paraId="434BFC85" w14:textId="66B2840D" w:rsidR="00355949" w:rsidRDefault="00355949" w:rsidP="00355949">
      <w:pPr>
        <w:pStyle w:val="Body"/>
        <w:spacing w:after="0"/>
        <w:rPr>
          <w:rFonts w:ascii="Arial" w:hAnsi="Arial" w:cs="Arial"/>
        </w:rPr>
      </w:pPr>
      <w:r w:rsidRPr="001943D0">
        <w:rPr>
          <w:rFonts w:ascii="Arial" w:hAnsi="Arial" w:cs="Arial"/>
        </w:rPr>
        <w:t xml:space="preserve">In terms of forage yield, all genotypes showed better yields. Our results are similar to those of Ibrahim and Pasternak (2017) but lower than those of Tulu et al. (2023). The KVx745-11P, </w:t>
      </w:r>
      <w:proofErr w:type="spellStart"/>
      <w:r w:rsidRPr="001943D0">
        <w:rPr>
          <w:rFonts w:ascii="Arial" w:hAnsi="Arial" w:cs="Arial"/>
        </w:rPr>
        <w:t>Gourgou</w:t>
      </w:r>
      <w:proofErr w:type="spellEnd"/>
      <w:r w:rsidRPr="001943D0">
        <w:rPr>
          <w:rFonts w:ascii="Arial" w:hAnsi="Arial" w:cs="Arial"/>
        </w:rPr>
        <w:t xml:space="preserve">, and </w:t>
      </w:r>
      <w:proofErr w:type="spellStart"/>
      <w:r w:rsidRPr="001943D0">
        <w:rPr>
          <w:rFonts w:ascii="Arial" w:hAnsi="Arial" w:cs="Arial"/>
        </w:rPr>
        <w:t>Teek-Songo</w:t>
      </w:r>
      <w:proofErr w:type="spellEnd"/>
      <w:r w:rsidRPr="001943D0">
        <w:rPr>
          <w:rFonts w:ascii="Arial" w:hAnsi="Arial" w:cs="Arial"/>
        </w:rPr>
        <w:t xml:space="preserve"> genotypes showed better forage yield potential than the other genotypes. A strong positive correlation was observed between the grain and forage yields. This indicates that good vegetative development induces a high grain yield, which increases the biomass yield. In addition, genetic effects and soil and climate conditions influence the yield of cowpea genotypes cultivated (</w:t>
      </w:r>
      <w:proofErr w:type="spellStart"/>
      <w:r w:rsidRPr="001943D0">
        <w:rPr>
          <w:rFonts w:ascii="Arial" w:hAnsi="Arial" w:cs="Arial"/>
        </w:rPr>
        <w:t>Obulbiga</w:t>
      </w:r>
      <w:proofErr w:type="spellEnd"/>
      <w:r w:rsidRPr="001943D0">
        <w:rPr>
          <w:rFonts w:ascii="Arial" w:hAnsi="Arial" w:cs="Arial"/>
        </w:rPr>
        <w:t xml:space="preserve"> et al., 2015; </w:t>
      </w:r>
      <w:proofErr w:type="spellStart"/>
      <w:r w:rsidRPr="001943D0">
        <w:rPr>
          <w:rFonts w:ascii="Arial" w:hAnsi="Arial" w:cs="Arial"/>
        </w:rPr>
        <w:t>Lalsaga</w:t>
      </w:r>
      <w:proofErr w:type="spellEnd"/>
      <w:r w:rsidRPr="001943D0">
        <w:rPr>
          <w:rFonts w:ascii="Arial" w:hAnsi="Arial" w:cs="Arial"/>
        </w:rPr>
        <w:t xml:space="preserve"> and </w:t>
      </w:r>
      <w:proofErr w:type="spellStart"/>
      <w:r w:rsidRPr="001943D0">
        <w:rPr>
          <w:rFonts w:ascii="Arial" w:hAnsi="Arial" w:cs="Arial"/>
        </w:rPr>
        <w:t>Drabo</w:t>
      </w:r>
      <w:proofErr w:type="spellEnd"/>
      <w:r w:rsidRPr="001943D0">
        <w:rPr>
          <w:rFonts w:ascii="Arial" w:hAnsi="Arial" w:cs="Arial"/>
        </w:rPr>
        <w:t>, 2017)</w:t>
      </w:r>
      <w:r>
        <w:rPr>
          <w:rFonts w:ascii="Arial" w:hAnsi="Arial" w:cs="Arial"/>
        </w:rPr>
        <w:t>.</w:t>
      </w:r>
    </w:p>
    <w:p w14:paraId="6C1F6D44" w14:textId="77777777" w:rsidR="00355949" w:rsidRDefault="00355949" w:rsidP="00355949">
      <w:pPr>
        <w:pStyle w:val="Body"/>
        <w:spacing w:after="0"/>
        <w:rPr>
          <w:rFonts w:ascii="Arial" w:hAnsi="Arial" w:cs="Arial"/>
        </w:rPr>
      </w:pPr>
    </w:p>
    <w:p w14:paraId="55C48D2F" w14:textId="39C78410" w:rsidR="00355949" w:rsidRDefault="002C5660" w:rsidP="000E5E96">
      <w:pPr>
        <w:pStyle w:val="Body"/>
        <w:spacing w:after="0"/>
        <w:jc w:val="left"/>
        <w:rPr>
          <w:rFonts w:ascii="Arial" w:hAnsi="Arial" w:cs="Arial"/>
          <w:b/>
          <w:bCs/>
          <w:sz w:val="22"/>
          <w:szCs w:val="22"/>
          <w:lang w:val="en-GB"/>
        </w:rPr>
      </w:pPr>
      <w:r w:rsidRPr="002C5660">
        <w:rPr>
          <w:rFonts w:ascii="Arial" w:hAnsi="Arial" w:cs="Arial"/>
          <w:b/>
          <w:bCs/>
          <w:sz w:val="22"/>
          <w:szCs w:val="22"/>
          <w:lang w:val="en-GB"/>
        </w:rPr>
        <w:t xml:space="preserve">3.3 </w:t>
      </w:r>
      <w:r w:rsidR="00355949" w:rsidRPr="00355949">
        <w:rPr>
          <w:rFonts w:ascii="Arial" w:hAnsi="Arial" w:cs="Arial"/>
          <w:b/>
          <w:bCs/>
          <w:sz w:val="22"/>
          <w:szCs w:val="22"/>
          <w:lang w:val="en-GB"/>
        </w:rPr>
        <w:t>Chemical composition of the leaves of the cowpea lines</w:t>
      </w:r>
    </w:p>
    <w:p w14:paraId="6686A791" w14:textId="77777777" w:rsidR="000E5E96" w:rsidRPr="00355949" w:rsidRDefault="000E5E96" w:rsidP="000E5E96">
      <w:pPr>
        <w:pStyle w:val="Body"/>
        <w:spacing w:after="0"/>
        <w:jc w:val="left"/>
        <w:rPr>
          <w:rFonts w:ascii="Arial" w:hAnsi="Arial" w:cs="Arial"/>
          <w:sz w:val="22"/>
          <w:szCs w:val="22"/>
          <w:lang w:val="en-GB"/>
        </w:rPr>
      </w:pPr>
    </w:p>
    <w:p w14:paraId="706927E0" w14:textId="77777777" w:rsidR="00355949" w:rsidRPr="00355949" w:rsidRDefault="00355949" w:rsidP="00355949">
      <w:pPr>
        <w:pStyle w:val="Body"/>
        <w:spacing w:after="0"/>
        <w:rPr>
          <w:rFonts w:ascii="Arial" w:hAnsi="Arial" w:cs="Arial"/>
        </w:rPr>
      </w:pPr>
      <w:r w:rsidRPr="00355949">
        <w:rPr>
          <w:rFonts w:ascii="Arial" w:hAnsi="Arial" w:cs="Arial"/>
        </w:rPr>
        <w:t>Bromatological analysis revealed a dry matter (DM) content of 94.58% for genotype KVX745-11P, 94.2% for genotype KVx775-33-2G (</w:t>
      </w:r>
      <w:proofErr w:type="spellStart"/>
      <w:r w:rsidRPr="00355949">
        <w:rPr>
          <w:rFonts w:ascii="Arial" w:hAnsi="Arial" w:cs="Arial"/>
        </w:rPr>
        <w:t>Tilgré</w:t>
      </w:r>
      <w:proofErr w:type="spellEnd"/>
      <w:r w:rsidRPr="00355949">
        <w:rPr>
          <w:rFonts w:ascii="Arial" w:hAnsi="Arial" w:cs="Arial"/>
        </w:rPr>
        <w:t xml:space="preserve">), 94.01% for the BulkF4CS036xCS117-9b genotype, 93.91% for the </w:t>
      </w:r>
      <w:proofErr w:type="spellStart"/>
      <w:r w:rsidRPr="00355949">
        <w:rPr>
          <w:rFonts w:ascii="Arial" w:hAnsi="Arial" w:cs="Arial"/>
        </w:rPr>
        <w:t>Gourgou</w:t>
      </w:r>
      <w:proofErr w:type="spellEnd"/>
      <w:r w:rsidRPr="00355949">
        <w:rPr>
          <w:rFonts w:ascii="Arial" w:hAnsi="Arial" w:cs="Arial"/>
        </w:rPr>
        <w:t xml:space="preserve"> genotype, 93.25% for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genotype, and 93.2% for the </w:t>
      </w:r>
      <w:proofErr w:type="spellStart"/>
      <w:r w:rsidRPr="00355949">
        <w:rPr>
          <w:rFonts w:ascii="Arial" w:hAnsi="Arial" w:cs="Arial"/>
        </w:rPr>
        <w:t>Teek-Songo</w:t>
      </w:r>
      <w:proofErr w:type="spellEnd"/>
      <w:r w:rsidRPr="00355949">
        <w:rPr>
          <w:rFonts w:ascii="Arial" w:hAnsi="Arial" w:cs="Arial"/>
        </w:rPr>
        <w:t xml:space="preserve"> genotype (Table 4). </w:t>
      </w:r>
    </w:p>
    <w:p w14:paraId="619DCF22" w14:textId="52FE5F1C" w:rsidR="00355949" w:rsidRDefault="00355949" w:rsidP="000E5E96">
      <w:pPr>
        <w:pStyle w:val="Body"/>
        <w:spacing w:after="0"/>
        <w:rPr>
          <w:rFonts w:ascii="Arial" w:hAnsi="Arial" w:cs="Arial"/>
        </w:rPr>
      </w:pPr>
      <w:r w:rsidRPr="00355949">
        <w:rPr>
          <w:rFonts w:ascii="Arial" w:hAnsi="Arial" w:cs="Arial"/>
        </w:rPr>
        <w:t xml:space="preserve">For organic matter content,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and KVx775-33-2G (</w:t>
      </w:r>
      <w:proofErr w:type="spellStart"/>
      <w:r w:rsidRPr="00355949">
        <w:rPr>
          <w:rFonts w:ascii="Arial" w:hAnsi="Arial" w:cs="Arial"/>
        </w:rPr>
        <w:t>Tilgré</w:t>
      </w:r>
      <w:proofErr w:type="spellEnd"/>
      <w:r w:rsidRPr="00355949">
        <w:rPr>
          <w:rFonts w:ascii="Arial" w:hAnsi="Arial" w:cs="Arial"/>
        </w:rPr>
        <w:t xml:space="preserve">) genotypes obtained the best values, 83.26% and 84.18%, respectively. The other genotypes exhibited similar values. The total ash content was also higher in the </w:t>
      </w:r>
      <w:proofErr w:type="spellStart"/>
      <w:r w:rsidRPr="00355949">
        <w:rPr>
          <w:rFonts w:ascii="Arial" w:hAnsi="Arial" w:cs="Arial"/>
          <w:i/>
        </w:rPr>
        <w:t>Dounguri</w:t>
      </w:r>
      <w:proofErr w:type="spellEnd"/>
      <w:r w:rsidRPr="00355949">
        <w:rPr>
          <w:rFonts w:ascii="Arial" w:hAnsi="Arial" w:cs="Arial"/>
          <w:i/>
        </w:rPr>
        <w:t xml:space="preserve"> </w:t>
      </w:r>
      <w:proofErr w:type="spellStart"/>
      <w:r w:rsidRPr="00355949">
        <w:rPr>
          <w:rFonts w:ascii="Arial" w:hAnsi="Arial" w:cs="Arial"/>
          <w:i/>
        </w:rPr>
        <w:t>koirey</w:t>
      </w:r>
      <w:proofErr w:type="spellEnd"/>
      <w:r w:rsidRPr="00355949">
        <w:rPr>
          <w:rFonts w:ascii="Arial" w:hAnsi="Arial" w:cs="Arial"/>
        </w:rPr>
        <w:t xml:space="preserve"> genotype (18.43% DM). For the other genotypes, the values were 16.65% DM, 15.43% DM, 13.89% DM; 13.97% DM and 12.6% DM for the </w:t>
      </w:r>
      <w:proofErr w:type="spellStart"/>
      <w:r w:rsidRPr="00355949">
        <w:rPr>
          <w:rFonts w:ascii="Arial" w:hAnsi="Arial" w:cs="Arial"/>
        </w:rPr>
        <w:t>Teek-Songo</w:t>
      </w:r>
      <w:proofErr w:type="spellEnd"/>
      <w:r w:rsidRPr="00355949">
        <w:rPr>
          <w:rFonts w:ascii="Arial" w:hAnsi="Arial" w:cs="Arial"/>
        </w:rPr>
        <w:t>, BULKF4CS036X117-9b, KVX745-11P, KVx775­33­2G (</w:t>
      </w:r>
      <w:proofErr w:type="spellStart"/>
      <w:r w:rsidRPr="00355949">
        <w:rPr>
          <w:rFonts w:ascii="Arial" w:hAnsi="Arial" w:cs="Arial"/>
        </w:rPr>
        <w:t>Tilgré</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genotypes (Table 4). In terms of crude protein content,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and </w:t>
      </w:r>
      <w:proofErr w:type="spellStart"/>
      <w:r w:rsidRPr="00355949">
        <w:rPr>
          <w:rFonts w:ascii="Arial" w:hAnsi="Arial" w:cs="Arial"/>
        </w:rPr>
        <w:t>Teek-Songo</w:t>
      </w:r>
      <w:proofErr w:type="spellEnd"/>
      <w:r w:rsidRPr="00355949">
        <w:rPr>
          <w:rFonts w:ascii="Arial" w:hAnsi="Arial" w:cs="Arial"/>
        </w:rPr>
        <w:t xml:space="preserve"> genotypes recorded the highest values (20.83% DM) and the </w:t>
      </w:r>
      <w:proofErr w:type="spellStart"/>
      <w:r w:rsidRPr="00355949">
        <w:rPr>
          <w:rFonts w:ascii="Arial" w:hAnsi="Arial" w:cs="Arial"/>
        </w:rPr>
        <w:t>Teek-Songo</w:t>
      </w:r>
      <w:proofErr w:type="spellEnd"/>
      <w:r w:rsidRPr="00355949">
        <w:rPr>
          <w:rFonts w:ascii="Arial" w:hAnsi="Arial" w:cs="Arial"/>
        </w:rPr>
        <w:t xml:space="preserve"> genotype (20.32% DM, respectively) (Table 4). The lowest crude protein content was obtained in the KVx775­33­2G (</w:t>
      </w:r>
      <w:proofErr w:type="spellStart"/>
      <w:r w:rsidRPr="00355949">
        <w:rPr>
          <w:rFonts w:ascii="Arial" w:hAnsi="Arial" w:cs="Arial"/>
        </w:rPr>
        <w:t>Tilgré</w:t>
      </w:r>
      <w:proofErr w:type="spellEnd"/>
      <w:r w:rsidRPr="00355949">
        <w:rPr>
          <w:rFonts w:ascii="Arial" w:hAnsi="Arial" w:cs="Arial"/>
        </w:rPr>
        <w:t xml:space="preserve">) genotype (14.49% DM). In terms of neutral detergent fiber (NDF) content, the highest values were recorded for the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(30.28% DM) and </w:t>
      </w:r>
      <w:proofErr w:type="spellStart"/>
      <w:r w:rsidRPr="00355949">
        <w:rPr>
          <w:rFonts w:ascii="Arial" w:hAnsi="Arial" w:cs="Arial"/>
        </w:rPr>
        <w:t>Teek-Songo</w:t>
      </w:r>
      <w:proofErr w:type="spellEnd"/>
      <w:r w:rsidRPr="00355949">
        <w:rPr>
          <w:rFonts w:ascii="Arial" w:hAnsi="Arial" w:cs="Arial"/>
        </w:rPr>
        <w:t xml:space="preserve"> genotypes (28.5% DM). The lowest NDF content was obtained for the </w:t>
      </w:r>
      <w:proofErr w:type="spellStart"/>
      <w:r w:rsidRPr="00355949">
        <w:rPr>
          <w:rFonts w:ascii="Arial" w:hAnsi="Arial" w:cs="Arial"/>
        </w:rPr>
        <w:t>Gourgou</w:t>
      </w:r>
      <w:proofErr w:type="spellEnd"/>
      <w:r w:rsidRPr="00355949">
        <w:rPr>
          <w:rFonts w:ascii="Arial" w:hAnsi="Arial" w:cs="Arial"/>
        </w:rPr>
        <w:t xml:space="preserve"> genotype (24.21% DM) (Table 4). The ADF (acid detergent </w:t>
      </w:r>
      <w:proofErr w:type="spellStart"/>
      <w:r w:rsidRPr="00355949">
        <w:rPr>
          <w:rFonts w:ascii="Arial" w:hAnsi="Arial" w:cs="Arial"/>
        </w:rPr>
        <w:t>fibre</w:t>
      </w:r>
      <w:proofErr w:type="spellEnd"/>
      <w:r w:rsidRPr="00355949">
        <w:rPr>
          <w:rFonts w:ascii="Arial" w:hAnsi="Arial" w:cs="Arial"/>
        </w:rPr>
        <w:t xml:space="preserve">) content was also higher in the BukF4 CS036xCS117-9b (14.95% DM) and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(14.21% DM) </w:t>
      </w:r>
      <w:r w:rsidRPr="00355949">
        <w:rPr>
          <w:rFonts w:ascii="Arial" w:hAnsi="Arial" w:cs="Arial"/>
        </w:rPr>
        <w:lastRenderedPageBreak/>
        <w:t xml:space="preserve">genotypes (Table 4). As for the ADL (crude lignin) content, the highest values were obtained by the BULKF4CS036X117-9b (7.45% DM) and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genotypes (6.13% DM) (Table 4).</w:t>
      </w:r>
    </w:p>
    <w:p w14:paraId="2FB00046" w14:textId="77777777" w:rsidR="000E5E96" w:rsidRPr="00355949" w:rsidRDefault="000E5E96" w:rsidP="000E5E96">
      <w:pPr>
        <w:pStyle w:val="Body"/>
        <w:spacing w:after="0"/>
        <w:rPr>
          <w:rFonts w:ascii="Arial" w:hAnsi="Arial" w:cs="Arial"/>
          <w:lang w:val="en-GB"/>
        </w:rPr>
      </w:pPr>
    </w:p>
    <w:p w14:paraId="7E202C01" w14:textId="32F7AC3D" w:rsidR="00355949" w:rsidRDefault="00355949" w:rsidP="002C5660">
      <w:pPr>
        <w:pStyle w:val="Body"/>
        <w:spacing w:after="0"/>
        <w:rPr>
          <w:rFonts w:ascii="Arial" w:hAnsi="Arial" w:cs="Arial"/>
          <w:b/>
          <w:bCs/>
          <w:lang w:val="en-GB"/>
        </w:rPr>
      </w:pPr>
      <w:r w:rsidRPr="00355949">
        <w:rPr>
          <w:rFonts w:ascii="Arial" w:hAnsi="Arial" w:cs="Arial"/>
          <w:b/>
          <w:bCs/>
          <w:lang w:val="en-GB"/>
        </w:rPr>
        <w:t xml:space="preserve">Table </w:t>
      </w:r>
      <w:proofErr w:type="gramStart"/>
      <w:r w:rsidRPr="00355949">
        <w:rPr>
          <w:rFonts w:ascii="Arial" w:hAnsi="Arial" w:cs="Arial"/>
          <w:b/>
          <w:bCs/>
          <w:lang w:val="en-GB"/>
        </w:rPr>
        <w:t>4 :</w:t>
      </w:r>
      <w:proofErr w:type="gramEnd"/>
      <w:r w:rsidRPr="00355949">
        <w:rPr>
          <w:rFonts w:ascii="Arial" w:hAnsi="Arial" w:cs="Arial"/>
          <w:b/>
          <w:bCs/>
          <w:lang w:val="en-GB"/>
        </w:rPr>
        <w:t xml:space="preserve"> Nutritive value of fodder (in % DM)  </w:t>
      </w:r>
    </w:p>
    <w:p w14:paraId="72BB7F7A" w14:textId="77777777" w:rsidR="002C5660" w:rsidRPr="00355949" w:rsidRDefault="002C5660" w:rsidP="002C5660">
      <w:pPr>
        <w:pStyle w:val="Body"/>
        <w:spacing w:after="0"/>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943"/>
        <w:gridCol w:w="944"/>
        <w:gridCol w:w="753"/>
        <w:gridCol w:w="1147"/>
        <w:gridCol w:w="1024"/>
        <w:gridCol w:w="1024"/>
        <w:gridCol w:w="769"/>
      </w:tblGrid>
      <w:tr w:rsidR="000E5E96" w:rsidRPr="00355949" w14:paraId="7ECDE40A" w14:textId="77777777" w:rsidTr="000E5E96">
        <w:trPr>
          <w:trHeight w:val="288"/>
          <w:jc w:val="center"/>
        </w:trPr>
        <w:tc>
          <w:tcPr>
            <w:tcW w:w="1602" w:type="dxa"/>
            <w:tcBorders>
              <w:top w:val="single" w:sz="4" w:space="0" w:color="auto"/>
              <w:bottom w:val="single" w:sz="4" w:space="0" w:color="auto"/>
            </w:tcBorders>
            <w:noWrap/>
          </w:tcPr>
          <w:p w14:paraId="7A724DD4" w14:textId="2F0F4EB7" w:rsidR="00355949" w:rsidRPr="00355949" w:rsidRDefault="00CE7981" w:rsidP="002C5660">
            <w:pPr>
              <w:pStyle w:val="Body"/>
              <w:spacing w:after="0"/>
              <w:rPr>
                <w:rFonts w:ascii="Arial" w:hAnsi="Arial" w:cs="Arial"/>
                <w:b/>
                <w:bCs/>
                <w:sz w:val="20"/>
                <w:lang w:val="en-GB"/>
              </w:rPr>
            </w:pPr>
            <w:r w:rsidRPr="00355949">
              <w:rPr>
                <w:rFonts w:ascii="Arial" w:hAnsi="Arial" w:cs="Arial"/>
                <w:b/>
                <w:bCs/>
                <w:sz w:val="20"/>
                <w:lang w:val="en-GB"/>
              </w:rPr>
              <w:t>Line</w:t>
            </w:r>
          </w:p>
        </w:tc>
        <w:tc>
          <w:tcPr>
            <w:tcW w:w="944" w:type="dxa"/>
            <w:tcBorders>
              <w:top w:val="single" w:sz="4" w:space="0" w:color="auto"/>
              <w:bottom w:val="single" w:sz="4" w:space="0" w:color="auto"/>
            </w:tcBorders>
            <w:noWrap/>
          </w:tcPr>
          <w:p w14:paraId="0E20B0E2"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DM (%)</w:t>
            </w:r>
          </w:p>
        </w:tc>
        <w:tc>
          <w:tcPr>
            <w:tcW w:w="944" w:type="dxa"/>
            <w:tcBorders>
              <w:top w:val="single" w:sz="4" w:space="0" w:color="auto"/>
              <w:bottom w:val="single" w:sz="4" w:space="0" w:color="auto"/>
            </w:tcBorders>
            <w:noWrap/>
          </w:tcPr>
          <w:p w14:paraId="172E931D"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Ash (%)</w:t>
            </w:r>
          </w:p>
        </w:tc>
        <w:tc>
          <w:tcPr>
            <w:tcW w:w="753" w:type="dxa"/>
            <w:tcBorders>
              <w:top w:val="single" w:sz="4" w:space="0" w:color="auto"/>
              <w:bottom w:val="single" w:sz="4" w:space="0" w:color="auto"/>
            </w:tcBorders>
            <w:noWrap/>
          </w:tcPr>
          <w:p w14:paraId="70CE7E2C"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CP (%)</w:t>
            </w:r>
          </w:p>
        </w:tc>
        <w:tc>
          <w:tcPr>
            <w:tcW w:w="1148" w:type="dxa"/>
            <w:tcBorders>
              <w:top w:val="single" w:sz="4" w:space="0" w:color="auto"/>
              <w:bottom w:val="single" w:sz="4" w:space="0" w:color="auto"/>
            </w:tcBorders>
            <w:noWrap/>
          </w:tcPr>
          <w:p w14:paraId="3CCB587E"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Cellulose (%)</w:t>
            </w:r>
          </w:p>
        </w:tc>
        <w:tc>
          <w:tcPr>
            <w:tcW w:w="1024" w:type="dxa"/>
            <w:tcBorders>
              <w:top w:val="single" w:sz="4" w:space="0" w:color="auto"/>
              <w:bottom w:val="single" w:sz="4" w:space="0" w:color="auto"/>
            </w:tcBorders>
            <w:noWrap/>
          </w:tcPr>
          <w:p w14:paraId="600EB303"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NDF (%) </w:t>
            </w:r>
          </w:p>
        </w:tc>
        <w:tc>
          <w:tcPr>
            <w:tcW w:w="1024" w:type="dxa"/>
            <w:tcBorders>
              <w:top w:val="single" w:sz="4" w:space="0" w:color="auto"/>
              <w:bottom w:val="single" w:sz="4" w:space="0" w:color="auto"/>
            </w:tcBorders>
            <w:noWrap/>
          </w:tcPr>
          <w:p w14:paraId="2EF660BE"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ADF (%) </w:t>
            </w:r>
          </w:p>
        </w:tc>
        <w:tc>
          <w:tcPr>
            <w:tcW w:w="769" w:type="dxa"/>
            <w:tcBorders>
              <w:top w:val="single" w:sz="4" w:space="0" w:color="auto"/>
              <w:bottom w:val="single" w:sz="4" w:space="0" w:color="auto"/>
            </w:tcBorders>
            <w:noWrap/>
          </w:tcPr>
          <w:p w14:paraId="3CEA2D05"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ADL (%) </w:t>
            </w:r>
          </w:p>
        </w:tc>
      </w:tr>
      <w:tr w:rsidR="000E5E96" w:rsidRPr="00355949" w14:paraId="1CE2E6D1" w14:textId="77777777" w:rsidTr="000E5E96">
        <w:trPr>
          <w:trHeight w:val="288"/>
          <w:jc w:val="center"/>
        </w:trPr>
        <w:tc>
          <w:tcPr>
            <w:tcW w:w="1602" w:type="dxa"/>
            <w:tcBorders>
              <w:top w:val="single" w:sz="4" w:space="0" w:color="auto"/>
            </w:tcBorders>
            <w:noWrap/>
            <w:hideMark/>
          </w:tcPr>
          <w:p w14:paraId="3BB261EC" w14:textId="77777777" w:rsidR="00355949" w:rsidRPr="00355949" w:rsidRDefault="00355949" w:rsidP="002C5660">
            <w:pPr>
              <w:pStyle w:val="Body"/>
              <w:spacing w:after="0"/>
              <w:rPr>
                <w:rFonts w:ascii="Arial" w:hAnsi="Arial" w:cs="Arial"/>
                <w:sz w:val="20"/>
                <w:lang w:val="fr-FR"/>
              </w:rPr>
            </w:pPr>
            <w:proofErr w:type="spellStart"/>
            <w:r w:rsidRPr="00355949">
              <w:rPr>
                <w:rFonts w:ascii="Arial" w:hAnsi="Arial" w:cs="Arial"/>
                <w:sz w:val="20"/>
                <w:lang w:val="fr-FR"/>
              </w:rPr>
              <w:t>Tiligré</w:t>
            </w:r>
            <w:proofErr w:type="spellEnd"/>
            <w:r w:rsidRPr="00355949">
              <w:rPr>
                <w:rFonts w:ascii="Arial" w:hAnsi="Arial" w:cs="Arial"/>
                <w:sz w:val="20"/>
                <w:lang w:val="fr-FR"/>
              </w:rPr>
              <w:t xml:space="preserve">  </w:t>
            </w:r>
          </w:p>
        </w:tc>
        <w:tc>
          <w:tcPr>
            <w:tcW w:w="944" w:type="dxa"/>
            <w:tcBorders>
              <w:top w:val="single" w:sz="4" w:space="0" w:color="auto"/>
            </w:tcBorders>
            <w:noWrap/>
            <w:hideMark/>
          </w:tcPr>
          <w:p w14:paraId="4563722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94,2</w:t>
            </w:r>
          </w:p>
        </w:tc>
        <w:tc>
          <w:tcPr>
            <w:tcW w:w="944" w:type="dxa"/>
            <w:tcBorders>
              <w:top w:val="single" w:sz="4" w:space="0" w:color="auto"/>
            </w:tcBorders>
            <w:noWrap/>
            <w:hideMark/>
          </w:tcPr>
          <w:p w14:paraId="13200137"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13,97</w:t>
            </w:r>
          </w:p>
        </w:tc>
        <w:tc>
          <w:tcPr>
            <w:tcW w:w="753" w:type="dxa"/>
            <w:tcBorders>
              <w:top w:val="single" w:sz="4" w:space="0" w:color="auto"/>
            </w:tcBorders>
            <w:noWrap/>
            <w:hideMark/>
          </w:tcPr>
          <w:p w14:paraId="4DDB5EC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14,49</w:t>
            </w:r>
          </w:p>
        </w:tc>
        <w:tc>
          <w:tcPr>
            <w:tcW w:w="1148" w:type="dxa"/>
            <w:tcBorders>
              <w:top w:val="single" w:sz="4" w:space="0" w:color="auto"/>
            </w:tcBorders>
            <w:noWrap/>
            <w:hideMark/>
          </w:tcPr>
          <w:p w14:paraId="73D053F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22,48</w:t>
            </w:r>
          </w:p>
        </w:tc>
        <w:tc>
          <w:tcPr>
            <w:tcW w:w="1024" w:type="dxa"/>
            <w:tcBorders>
              <w:top w:val="single" w:sz="4" w:space="0" w:color="auto"/>
            </w:tcBorders>
            <w:noWrap/>
            <w:hideMark/>
          </w:tcPr>
          <w:p w14:paraId="1A32B3E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25,1</w:t>
            </w:r>
          </w:p>
        </w:tc>
        <w:tc>
          <w:tcPr>
            <w:tcW w:w="1024" w:type="dxa"/>
            <w:tcBorders>
              <w:top w:val="single" w:sz="4" w:space="0" w:color="auto"/>
            </w:tcBorders>
            <w:noWrap/>
            <w:hideMark/>
          </w:tcPr>
          <w:p w14:paraId="262C782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13,21</w:t>
            </w:r>
          </w:p>
        </w:tc>
        <w:tc>
          <w:tcPr>
            <w:tcW w:w="769" w:type="dxa"/>
            <w:tcBorders>
              <w:top w:val="single" w:sz="4" w:space="0" w:color="auto"/>
            </w:tcBorders>
            <w:noWrap/>
            <w:hideMark/>
          </w:tcPr>
          <w:p w14:paraId="130AB58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5,4</w:t>
            </w:r>
          </w:p>
        </w:tc>
      </w:tr>
      <w:tr w:rsidR="000E5E96" w:rsidRPr="00355949" w14:paraId="0C1F7779" w14:textId="77777777" w:rsidTr="000E5E96">
        <w:trPr>
          <w:trHeight w:val="288"/>
          <w:jc w:val="center"/>
        </w:trPr>
        <w:tc>
          <w:tcPr>
            <w:tcW w:w="1602" w:type="dxa"/>
            <w:noWrap/>
            <w:hideMark/>
          </w:tcPr>
          <w:p w14:paraId="47BDB38C"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BukF4 CS036xCS117-9b</w:t>
            </w:r>
          </w:p>
        </w:tc>
        <w:tc>
          <w:tcPr>
            <w:tcW w:w="944" w:type="dxa"/>
            <w:noWrap/>
            <w:hideMark/>
          </w:tcPr>
          <w:p w14:paraId="539DD09C"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94,01</w:t>
            </w:r>
          </w:p>
        </w:tc>
        <w:tc>
          <w:tcPr>
            <w:tcW w:w="944" w:type="dxa"/>
            <w:noWrap/>
            <w:hideMark/>
          </w:tcPr>
          <w:p w14:paraId="6858C6D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15,43</w:t>
            </w:r>
          </w:p>
        </w:tc>
        <w:tc>
          <w:tcPr>
            <w:tcW w:w="753" w:type="dxa"/>
            <w:noWrap/>
            <w:hideMark/>
          </w:tcPr>
          <w:p w14:paraId="30D0FB9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16,58</w:t>
            </w:r>
          </w:p>
        </w:tc>
        <w:tc>
          <w:tcPr>
            <w:tcW w:w="1148" w:type="dxa"/>
            <w:noWrap/>
            <w:hideMark/>
          </w:tcPr>
          <w:p w14:paraId="5C51001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19,61</w:t>
            </w:r>
          </w:p>
        </w:tc>
        <w:tc>
          <w:tcPr>
            <w:tcW w:w="1024" w:type="dxa"/>
            <w:noWrap/>
            <w:hideMark/>
          </w:tcPr>
          <w:p w14:paraId="2A7D2E3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30,67</w:t>
            </w:r>
          </w:p>
        </w:tc>
        <w:tc>
          <w:tcPr>
            <w:tcW w:w="1024" w:type="dxa"/>
            <w:noWrap/>
            <w:hideMark/>
          </w:tcPr>
          <w:p w14:paraId="1F631F92"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14,95</w:t>
            </w:r>
          </w:p>
        </w:tc>
        <w:tc>
          <w:tcPr>
            <w:tcW w:w="769" w:type="dxa"/>
            <w:noWrap/>
            <w:hideMark/>
          </w:tcPr>
          <w:p w14:paraId="38BED5DE"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7,45</w:t>
            </w:r>
          </w:p>
        </w:tc>
      </w:tr>
      <w:tr w:rsidR="000E5E96" w:rsidRPr="00355949" w14:paraId="3D7255D8" w14:textId="77777777" w:rsidTr="000E5E96">
        <w:trPr>
          <w:trHeight w:val="288"/>
          <w:jc w:val="center"/>
        </w:trPr>
        <w:tc>
          <w:tcPr>
            <w:tcW w:w="1602" w:type="dxa"/>
            <w:noWrap/>
            <w:hideMark/>
          </w:tcPr>
          <w:p w14:paraId="2E371DEC" w14:textId="77777777" w:rsidR="00355949" w:rsidRPr="00355949" w:rsidRDefault="00355949" w:rsidP="002C5660">
            <w:pPr>
              <w:pStyle w:val="Body"/>
              <w:spacing w:after="0"/>
              <w:rPr>
                <w:rFonts w:ascii="Arial" w:hAnsi="Arial" w:cs="Arial"/>
                <w:sz w:val="20"/>
                <w:lang w:val="fr-FR"/>
              </w:rPr>
            </w:pPr>
            <w:proofErr w:type="spellStart"/>
            <w:r w:rsidRPr="00355949">
              <w:rPr>
                <w:rFonts w:ascii="Arial" w:hAnsi="Arial" w:cs="Arial"/>
                <w:sz w:val="20"/>
                <w:lang w:val="fr-FR"/>
              </w:rPr>
              <w:t>Gourgou</w:t>
            </w:r>
            <w:proofErr w:type="spellEnd"/>
            <w:r w:rsidRPr="00355949">
              <w:rPr>
                <w:rFonts w:ascii="Arial" w:hAnsi="Arial" w:cs="Arial"/>
                <w:sz w:val="20"/>
                <w:lang w:val="fr-FR"/>
              </w:rPr>
              <w:t xml:space="preserve">  </w:t>
            </w:r>
          </w:p>
        </w:tc>
        <w:tc>
          <w:tcPr>
            <w:tcW w:w="944" w:type="dxa"/>
            <w:noWrap/>
            <w:hideMark/>
          </w:tcPr>
          <w:p w14:paraId="1383ACB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93,91</w:t>
            </w:r>
          </w:p>
        </w:tc>
        <w:tc>
          <w:tcPr>
            <w:tcW w:w="944" w:type="dxa"/>
            <w:noWrap/>
            <w:hideMark/>
          </w:tcPr>
          <w:p w14:paraId="3D85DB59"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12,6</w:t>
            </w:r>
          </w:p>
        </w:tc>
        <w:tc>
          <w:tcPr>
            <w:tcW w:w="753" w:type="dxa"/>
            <w:noWrap/>
            <w:hideMark/>
          </w:tcPr>
          <w:p w14:paraId="533CAA44"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19,76</w:t>
            </w:r>
          </w:p>
        </w:tc>
        <w:tc>
          <w:tcPr>
            <w:tcW w:w="1148" w:type="dxa"/>
            <w:noWrap/>
            <w:hideMark/>
          </w:tcPr>
          <w:p w14:paraId="595CD0B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18,13</w:t>
            </w:r>
          </w:p>
        </w:tc>
        <w:tc>
          <w:tcPr>
            <w:tcW w:w="1024" w:type="dxa"/>
            <w:noWrap/>
            <w:hideMark/>
          </w:tcPr>
          <w:p w14:paraId="58C0BAE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24,21</w:t>
            </w:r>
          </w:p>
        </w:tc>
        <w:tc>
          <w:tcPr>
            <w:tcW w:w="1024" w:type="dxa"/>
            <w:noWrap/>
            <w:hideMark/>
          </w:tcPr>
          <w:p w14:paraId="74CFEEE3"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12,33</w:t>
            </w:r>
          </w:p>
        </w:tc>
        <w:tc>
          <w:tcPr>
            <w:tcW w:w="769" w:type="dxa"/>
            <w:noWrap/>
            <w:hideMark/>
          </w:tcPr>
          <w:p w14:paraId="680C5DA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3,11</w:t>
            </w:r>
          </w:p>
        </w:tc>
      </w:tr>
      <w:tr w:rsidR="000E5E96" w:rsidRPr="00355949" w14:paraId="321A5EAC" w14:textId="77777777" w:rsidTr="000E5E96">
        <w:trPr>
          <w:trHeight w:val="288"/>
          <w:jc w:val="center"/>
        </w:trPr>
        <w:tc>
          <w:tcPr>
            <w:tcW w:w="1602" w:type="dxa"/>
            <w:noWrap/>
            <w:hideMark/>
          </w:tcPr>
          <w:p w14:paraId="66540872"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 xml:space="preserve">Kvx745-11P </w:t>
            </w:r>
          </w:p>
        </w:tc>
        <w:tc>
          <w:tcPr>
            <w:tcW w:w="944" w:type="dxa"/>
            <w:noWrap/>
            <w:hideMark/>
          </w:tcPr>
          <w:p w14:paraId="40D4FA7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94,58</w:t>
            </w:r>
          </w:p>
        </w:tc>
        <w:tc>
          <w:tcPr>
            <w:tcW w:w="944" w:type="dxa"/>
            <w:noWrap/>
            <w:hideMark/>
          </w:tcPr>
          <w:p w14:paraId="4599AD8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13,89</w:t>
            </w:r>
          </w:p>
        </w:tc>
        <w:tc>
          <w:tcPr>
            <w:tcW w:w="753" w:type="dxa"/>
            <w:noWrap/>
            <w:hideMark/>
          </w:tcPr>
          <w:p w14:paraId="33A1F48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19,14</w:t>
            </w:r>
          </w:p>
        </w:tc>
        <w:tc>
          <w:tcPr>
            <w:tcW w:w="1148" w:type="dxa"/>
            <w:noWrap/>
            <w:hideMark/>
          </w:tcPr>
          <w:p w14:paraId="672E772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18,56</w:t>
            </w:r>
          </w:p>
        </w:tc>
        <w:tc>
          <w:tcPr>
            <w:tcW w:w="1024" w:type="dxa"/>
            <w:noWrap/>
            <w:hideMark/>
          </w:tcPr>
          <w:p w14:paraId="7C9E993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27,18</w:t>
            </w:r>
          </w:p>
        </w:tc>
        <w:tc>
          <w:tcPr>
            <w:tcW w:w="1024" w:type="dxa"/>
            <w:noWrap/>
            <w:hideMark/>
          </w:tcPr>
          <w:p w14:paraId="6B67CE35"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13,59</w:t>
            </w:r>
          </w:p>
        </w:tc>
        <w:tc>
          <w:tcPr>
            <w:tcW w:w="769" w:type="dxa"/>
            <w:noWrap/>
            <w:hideMark/>
          </w:tcPr>
          <w:p w14:paraId="085EA631"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3,56</w:t>
            </w:r>
          </w:p>
        </w:tc>
      </w:tr>
      <w:tr w:rsidR="000E5E96" w:rsidRPr="00355949" w14:paraId="00B536FC" w14:textId="77777777" w:rsidTr="000E5E96">
        <w:trPr>
          <w:trHeight w:val="288"/>
          <w:jc w:val="center"/>
        </w:trPr>
        <w:tc>
          <w:tcPr>
            <w:tcW w:w="1602" w:type="dxa"/>
            <w:noWrap/>
            <w:hideMark/>
          </w:tcPr>
          <w:p w14:paraId="38AEC127" w14:textId="77777777" w:rsidR="00355949" w:rsidRPr="00355949" w:rsidRDefault="00355949" w:rsidP="002C5660">
            <w:pPr>
              <w:pStyle w:val="Body"/>
              <w:spacing w:after="0"/>
              <w:rPr>
                <w:rFonts w:ascii="Arial" w:hAnsi="Arial" w:cs="Arial"/>
                <w:sz w:val="20"/>
                <w:lang w:val="fr-FR"/>
              </w:rPr>
            </w:pPr>
            <w:bookmarkStart w:id="1" w:name="_Hlk204806238"/>
            <w:proofErr w:type="spellStart"/>
            <w:r w:rsidRPr="00355949">
              <w:rPr>
                <w:rFonts w:ascii="Arial" w:hAnsi="Arial" w:cs="Arial"/>
                <w:sz w:val="20"/>
                <w:lang w:val="fr-FR"/>
              </w:rPr>
              <w:t>Teek-Songo</w:t>
            </w:r>
            <w:proofErr w:type="spellEnd"/>
            <w:r w:rsidRPr="00355949">
              <w:rPr>
                <w:rFonts w:ascii="Arial" w:hAnsi="Arial" w:cs="Arial"/>
                <w:sz w:val="20"/>
                <w:lang w:val="fr-FR"/>
              </w:rPr>
              <w:t xml:space="preserve"> </w:t>
            </w:r>
            <w:bookmarkEnd w:id="1"/>
          </w:p>
        </w:tc>
        <w:tc>
          <w:tcPr>
            <w:tcW w:w="944" w:type="dxa"/>
            <w:noWrap/>
            <w:hideMark/>
          </w:tcPr>
          <w:p w14:paraId="2334D8C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93,2</w:t>
            </w:r>
          </w:p>
        </w:tc>
        <w:tc>
          <w:tcPr>
            <w:tcW w:w="944" w:type="dxa"/>
            <w:noWrap/>
            <w:hideMark/>
          </w:tcPr>
          <w:p w14:paraId="3D6C009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16,65</w:t>
            </w:r>
          </w:p>
        </w:tc>
        <w:tc>
          <w:tcPr>
            <w:tcW w:w="753" w:type="dxa"/>
            <w:noWrap/>
            <w:hideMark/>
          </w:tcPr>
          <w:p w14:paraId="735F553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20,32</w:t>
            </w:r>
          </w:p>
        </w:tc>
        <w:tc>
          <w:tcPr>
            <w:tcW w:w="1148" w:type="dxa"/>
            <w:noWrap/>
            <w:hideMark/>
          </w:tcPr>
          <w:p w14:paraId="2B55910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21,82</w:t>
            </w:r>
          </w:p>
        </w:tc>
        <w:tc>
          <w:tcPr>
            <w:tcW w:w="1024" w:type="dxa"/>
            <w:noWrap/>
            <w:hideMark/>
          </w:tcPr>
          <w:p w14:paraId="0CA87B74"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28,5</w:t>
            </w:r>
          </w:p>
        </w:tc>
        <w:tc>
          <w:tcPr>
            <w:tcW w:w="1024" w:type="dxa"/>
            <w:noWrap/>
            <w:hideMark/>
          </w:tcPr>
          <w:p w14:paraId="3694CB7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14,01</w:t>
            </w:r>
          </w:p>
        </w:tc>
        <w:tc>
          <w:tcPr>
            <w:tcW w:w="769" w:type="dxa"/>
            <w:noWrap/>
            <w:hideMark/>
          </w:tcPr>
          <w:p w14:paraId="054D474E"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3,32</w:t>
            </w:r>
          </w:p>
        </w:tc>
      </w:tr>
      <w:tr w:rsidR="000E5E96" w:rsidRPr="00355949" w14:paraId="4B9501BB" w14:textId="77777777" w:rsidTr="000E5E96">
        <w:trPr>
          <w:trHeight w:val="288"/>
          <w:jc w:val="center"/>
        </w:trPr>
        <w:tc>
          <w:tcPr>
            <w:tcW w:w="1602" w:type="dxa"/>
            <w:tcBorders>
              <w:bottom w:val="single" w:sz="4" w:space="0" w:color="auto"/>
            </w:tcBorders>
            <w:noWrap/>
            <w:hideMark/>
          </w:tcPr>
          <w:p w14:paraId="430B0523" w14:textId="77777777" w:rsidR="00355949" w:rsidRPr="00355949" w:rsidRDefault="00355949" w:rsidP="002C5660">
            <w:pPr>
              <w:pStyle w:val="Body"/>
              <w:spacing w:after="0"/>
              <w:rPr>
                <w:rFonts w:ascii="Arial" w:hAnsi="Arial" w:cs="Arial"/>
                <w:i/>
                <w:iCs/>
                <w:sz w:val="20"/>
                <w:lang w:val="fr-FR"/>
              </w:rPr>
            </w:pPr>
            <w:proofErr w:type="spellStart"/>
            <w:r w:rsidRPr="00355949">
              <w:rPr>
                <w:rFonts w:ascii="Arial" w:hAnsi="Arial" w:cs="Arial"/>
                <w:i/>
                <w:iCs/>
                <w:sz w:val="20"/>
                <w:lang w:val="fr-FR"/>
              </w:rPr>
              <w:t>Dounguri</w:t>
            </w:r>
            <w:proofErr w:type="spellEnd"/>
            <w:r w:rsidRPr="00355949">
              <w:rPr>
                <w:rFonts w:ascii="Arial" w:hAnsi="Arial" w:cs="Arial"/>
                <w:i/>
                <w:iCs/>
                <w:sz w:val="20"/>
                <w:lang w:val="fr-FR"/>
              </w:rPr>
              <w:t xml:space="preserve"> </w:t>
            </w:r>
            <w:proofErr w:type="spellStart"/>
            <w:r w:rsidRPr="00355949">
              <w:rPr>
                <w:rFonts w:ascii="Arial" w:hAnsi="Arial" w:cs="Arial"/>
                <w:i/>
                <w:iCs/>
                <w:sz w:val="20"/>
                <w:lang w:val="fr-FR"/>
              </w:rPr>
              <w:t>koirey</w:t>
            </w:r>
            <w:proofErr w:type="spellEnd"/>
            <w:r w:rsidRPr="00355949">
              <w:rPr>
                <w:rFonts w:ascii="Arial" w:hAnsi="Arial" w:cs="Arial"/>
                <w:i/>
                <w:iCs/>
                <w:sz w:val="20"/>
                <w:lang w:val="fr-FR"/>
              </w:rPr>
              <w:t xml:space="preserve"> </w:t>
            </w:r>
          </w:p>
        </w:tc>
        <w:tc>
          <w:tcPr>
            <w:tcW w:w="944" w:type="dxa"/>
            <w:tcBorders>
              <w:bottom w:val="single" w:sz="4" w:space="0" w:color="auto"/>
            </w:tcBorders>
            <w:noWrap/>
            <w:hideMark/>
          </w:tcPr>
          <w:p w14:paraId="18D0F44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93,25</w:t>
            </w:r>
          </w:p>
        </w:tc>
        <w:tc>
          <w:tcPr>
            <w:tcW w:w="944" w:type="dxa"/>
            <w:tcBorders>
              <w:bottom w:val="single" w:sz="4" w:space="0" w:color="auto"/>
            </w:tcBorders>
            <w:noWrap/>
            <w:hideMark/>
          </w:tcPr>
          <w:p w14:paraId="2337D73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18,43</w:t>
            </w:r>
          </w:p>
        </w:tc>
        <w:tc>
          <w:tcPr>
            <w:tcW w:w="753" w:type="dxa"/>
            <w:tcBorders>
              <w:bottom w:val="single" w:sz="4" w:space="0" w:color="auto"/>
            </w:tcBorders>
            <w:noWrap/>
            <w:hideMark/>
          </w:tcPr>
          <w:p w14:paraId="3048B5F2"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20,83</w:t>
            </w:r>
          </w:p>
        </w:tc>
        <w:tc>
          <w:tcPr>
            <w:tcW w:w="1148" w:type="dxa"/>
            <w:tcBorders>
              <w:bottom w:val="single" w:sz="4" w:space="0" w:color="auto"/>
            </w:tcBorders>
            <w:noWrap/>
            <w:hideMark/>
          </w:tcPr>
          <w:p w14:paraId="7078D1A3"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18,69</w:t>
            </w:r>
          </w:p>
        </w:tc>
        <w:tc>
          <w:tcPr>
            <w:tcW w:w="1024" w:type="dxa"/>
            <w:tcBorders>
              <w:bottom w:val="single" w:sz="4" w:space="0" w:color="auto"/>
            </w:tcBorders>
            <w:noWrap/>
            <w:hideMark/>
          </w:tcPr>
          <w:p w14:paraId="660F5A6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30,28</w:t>
            </w:r>
          </w:p>
        </w:tc>
        <w:tc>
          <w:tcPr>
            <w:tcW w:w="1024" w:type="dxa"/>
            <w:tcBorders>
              <w:bottom w:val="single" w:sz="4" w:space="0" w:color="auto"/>
            </w:tcBorders>
            <w:noWrap/>
            <w:hideMark/>
          </w:tcPr>
          <w:p w14:paraId="760C8C9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14,21</w:t>
            </w:r>
          </w:p>
        </w:tc>
        <w:tc>
          <w:tcPr>
            <w:tcW w:w="769" w:type="dxa"/>
            <w:tcBorders>
              <w:bottom w:val="single" w:sz="4" w:space="0" w:color="auto"/>
            </w:tcBorders>
            <w:noWrap/>
            <w:hideMark/>
          </w:tcPr>
          <w:p w14:paraId="5A7B69C1"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6,13</w:t>
            </w:r>
          </w:p>
        </w:tc>
      </w:tr>
    </w:tbl>
    <w:p w14:paraId="10E09D6B" w14:textId="6D405012" w:rsidR="00355949" w:rsidRPr="002C5660" w:rsidRDefault="000E5E96" w:rsidP="00355949">
      <w:pPr>
        <w:pStyle w:val="Body"/>
        <w:spacing w:after="0"/>
        <w:rPr>
          <w:rFonts w:ascii="Arial" w:hAnsi="Arial" w:cs="Arial"/>
          <w:i/>
          <w:iCs/>
          <w:lang w:val="en-GB"/>
        </w:rPr>
      </w:pPr>
      <w:r w:rsidRPr="000E5E96">
        <w:rPr>
          <w:rFonts w:ascii="Arial" w:hAnsi="Arial" w:cs="Arial"/>
          <w:i/>
          <w:iCs/>
          <w:lang w:val="en-GB"/>
        </w:rPr>
        <w:t>Legend:</w:t>
      </w:r>
      <w:r w:rsidR="00355949" w:rsidRPr="002C5660">
        <w:rPr>
          <w:rFonts w:ascii="Arial" w:hAnsi="Arial" w:cs="Arial"/>
          <w:b/>
          <w:bCs/>
          <w:i/>
          <w:iCs/>
          <w:lang w:val="en-GB"/>
        </w:rPr>
        <w:t xml:space="preserve"> </w:t>
      </w:r>
      <w:r w:rsidR="002C5660" w:rsidRPr="002C5660">
        <w:rPr>
          <w:rFonts w:ascii="Arial" w:hAnsi="Arial" w:cs="Arial"/>
          <w:i/>
          <w:iCs/>
          <w:lang w:val="en-GB"/>
        </w:rPr>
        <w:t>DM</w:t>
      </w:r>
      <w:r w:rsidR="00355949" w:rsidRPr="002C5660">
        <w:rPr>
          <w:rFonts w:ascii="Arial" w:hAnsi="Arial" w:cs="Arial"/>
          <w:i/>
          <w:iCs/>
          <w:lang w:val="en-GB"/>
        </w:rPr>
        <w:t xml:space="preserve">= </w:t>
      </w:r>
      <w:r w:rsidR="002C5660" w:rsidRPr="002C5660">
        <w:rPr>
          <w:rFonts w:ascii="Arial" w:hAnsi="Arial" w:cs="Arial"/>
          <w:i/>
          <w:iCs/>
          <w:lang w:val="en-GB"/>
        </w:rPr>
        <w:t>dry matter</w:t>
      </w:r>
      <w:r w:rsidR="00355949" w:rsidRPr="002C5660">
        <w:rPr>
          <w:rFonts w:ascii="Arial" w:hAnsi="Arial" w:cs="Arial"/>
          <w:i/>
          <w:iCs/>
          <w:lang w:val="en-GB"/>
        </w:rPr>
        <w:t xml:space="preserve">; ADL= acid detergent lignin; ADF= acid detergent </w:t>
      </w:r>
      <w:proofErr w:type="spellStart"/>
      <w:r w:rsidR="00355949" w:rsidRPr="002C5660">
        <w:rPr>
          <w:rFonts w:ascii="Arial" w:hAnsi="Arial" w:cs="Arial"/>
          <w:i/>
          <w:iCs/>
          <w:lang w:val="en-GB"/>
        </w:rPr>
        <w:t>fib</w:t>
      </w:r>
      <w:r w:rsidR="002C5660" w:rsidRPr="002C5660">
        <w:rPr>
          <w:rFonts w:ascii="Arial" w:hAnsi="Arial" w:cs="Arial"/>
          <w:i/>
          <w:iCs/>
          <w:lang w:val="en-GB"/>
        </w:rPr>
        <w:t>e</w:t>
      </w:r>
      <w:r w:rsidR="002C5660">
        <w:rPr>
          <w:rFonts w:ascii="Arial" w:hAnsi="Arial" w:cs="Arial"/>
          <w:i/>
          <w:iCs/>
          <w:lang w:val="en-GB"/>
        </w:rPr>
        <w:t>r</w:t>
      </w:r>
      <w:proofErr w:type="spellEnd"/>
      <w:r w:rsidR="00355949" w:rsidRPr="002C5660">
        <w:rPr>
          <w:rFonts w:ascii="Arial" w:hAnsi="Arial" w:cs="Arial"/>
          <w:i/>
          <w:iCs/>
          <w:lang w:val="en-GB"/>
        </w:rPr>
        <w:t xml:space="preserve">; NDF= neutral detergent </w:t>
      </w:r>
      <w:proofErr w:type="spellStart"/>
      <w:r w:rsidR="00355949" w:rsidRPr="002C5660">
        <w:rPr>
          <w:rFonts w:ascii="Arial" w:hAnsi="Arial" w:cs="Arial"/>
          <w:i/>
          <w:iCs/>
          <w:lang w:val="en-GB"/>
        </w:rPr>
        <w:t>fib</w:t>
      </w:r>
      <w:r w:rsidR="002C5660">
        <w:rPr>
          <w:rFonts w:ascii="Arial" w:hAnsi="Arial" w:cs="Arial"/>
          <w:i/>
          <w:iCs/>
          <w:lang w:val="en-GB"/>
        </w:rPr>
        <w:t>er</w:t>
      </w:r>
      <w:proofErr w:type="spellEnd"/>
      <w:r w:rsidR="00B96DC9">
        <w:rPr>
          <w:rFonts w:ascii="Arial" w:hAnsi="Arial" w:cs="Arial"/>
          <w:i/>
          <w:iCs/>
          <w:lang w:val="en-GB"/>
        </w:rPr>
        <w:t>;</w:t>
      </w:r>
      <w:r w:rsidR="00355949" w:rsidRPr="002C5660">
        <w:rPr>
          <w:rFonts w:ascii="Arial" w:hAnsi="Arial" w:cs="Arial"/>
          <w:i/>
          <w:iCs/>
          <w:lang w:val="en-GB"/>
        </w:rPr>
        <w:t xml:space="preserve"> </w:t>
      </w:r>
      <w:r w:rsidR="002C5660">
        <w:rPr>
          <w:rFonts w:ascii="Arial" w:hAnsi="Arial" w:cs="Arial"/>
          <w:i/>
          <w:iCs/>
          <w:lang w:val="en-GB"/>
        </w:rPr>
        <w:t>CP</w:t>
      </w:r>
      <w:r w:rsidR="00355949" w:rsidRPr="002C5660">
        <w:rPr>
          <w:rFonts w:ascii="Arial" w:hAnsi="Arial" w:cs="Arial"/>
          <w:i/>
          <w:iCs/>
          <w:lang w:val="en-GB"/>
        </w:rPr>
        <w:t xml:space="preserve"> = </w:t>
      </w:r>
      <w:r w:rsidR="002C5660">
        <w:rPr>
          <w:rFonts w:ascii="Arial" w:hAnsi="Arial" w:cs="Arial"/>
          <w:i/>
          <w:iCs/>
          <w:lang w:val="en-GB"/>
        </w:rPr>
        <w:t>Crude protein</w:t>
      </w:r>
    </w:p>
    <w:p w14:paraId="42D34590" w14:textId="77777777" w:rsidR="00355949" w:rsidRPr="002C5660" w:rsidRDefault="00355949" w:rsidP="00355949">
      <w:pPr>
        <w:pStyle w:val="Body"/>
        <w:spacing w:after="0"/>
        <w:rPr>
          <w:rFonts w:ascii="Arial" w:hAnsi="Arial" w:cs="Arial"/>
          <w:lang w:val="en-GB"/>
        </w:rPr>
      </w:pPr>
    </w:p>
    <w:p w14:paraId="1403F48A" w14:textId="77777777" w:rsidR="00355949" w:rsidRPr="00355949" w:rsidRDefault="00355949" w:rsidP="00355949">
      <w:pPr>
        <w:pStyle w:val="Body"/>
        <w:spacing w:after="0"/>
        <w:rPr>
          <w:rFonts w:ascii="Arial" w:hAnsi="Arial" w:cs="Arial"/>
        </w:rPr>
      </w:pPr>
      <w:r w:rsidRPr="00355949">
        <w:rPr>
          <w:rFonts w:ascii="Arial" w:hAnsi="Arial" w:cs="Arial"/>
        </w:rPr>
        <w:t xml:space="preserve">Analysis of the bromatological values obtained showed that the dry matter (DM) content ranged from 93.2% to 94.58% for the genotypes studied. Our results are higher than those of </w:t>
      </w:r>
      <w:proofErr w:type="spellStart"/>
      <w:r w:rsidRPr="00355949">
        <w:rPr>
          <w:rFonts w:ascii="Arial" w:hAnsi="Arial" w:cs="Arial"/>
        </w:rPr>
        <w:t>Nourou</w:t>
      </w:r>
      <w:proofErr w:type="spellEnd"/>
      <w:r w:rsidRPr="00355949">
        <w:rPr>
          <w:rFonts w:ascii="Arial" w:hAnsi="Arial" w:cs="Arial"/>
        </w:rPr>
        <w:t xml:space="preserve"> (2014) on four forage cowpea lines in Niger (91.22-92.70%), </w:t>
      </w:r>
      <w:proofErr w:type="spellStart"/>
      <w:r w:rsidRPr="00355949">
        <w:rPr>
          <w:rFonts w:ascii="Arial" w:hAnsi="Arial" w:cs="Arial"/>
        </w:rPr>
        <w:t>Baro</w:t>
      </w:r>
      <w:proofErr w:type="spellEnd"/>
      <w:r w:rsidRPr="00355949">
        <w:rPr>
          <w:rFonts w:ascii="Arial" w:hAnsi="Arial" w:cs="Arial"/>
        </w:rPr>
        <w:t xml:space="preserve"> et al. (2019) on five cowpea lines in Burkina Faso (91.12-91.50%) and </w:t>
      </w:r>
      <w:proofErr w:type="spellStart"/>
      <w:r w:rsidRPr="00355949">
        <w:rPr>
          <w:rFonts w:ascii="Arial" w:hAnsi="Arial" w:cs="Arial"/>
        </w:rPr>
        <w:t>Sanfo</w:t>
      </w:r>
      <w:proofErr w:type="spellEnd"/>
      <w:r w:rsidRPr="00355949">
        <w:rPr>
          <w:rFonts w:ascii="Arial" w:hAnsi="Arial" w:cs="Arial"/>
        </w:rPr>
        <w:t xml:space="preserve"> et al. (2023), who obtained 91.1% for the KVX745-11P and </w:t>
      </w:r>
      <w:proofErr w:type="spellStart"/>
      <w:r w:rsidRPr="00355949">
        <w:rPr>
          <w:rFonts w:ascii="Arial" w:hAnsi="Arial" w:cs="Arial"/>
        </w:rPr>
        <w:t>Tiligré</w:t>
      </w:r>
      <w:proofErr w:type="spellEnd"/>
      <w:r w:rsidRPr="00355949">
        <w:rPr>
          <w:rFonts w:ascii="Arial" w:hAnsi="Arial" w:cs="Arial"/>
        </w:rPr>
        <w:t xml:space="preserve"> genotypes in Burkina Faso. A high DM content would imply that the leaves contain less water at the harvest stage. This difference could be explained by the timing of forage harvesting and the soil and climate conditions. </w:t>
      </w:r>
    </w:p>
    <w:p w14:paraId="76C90A53" w14:textId="77777777" w:rsidR="00355949" w:rsidRPr="00355949" w:rsidRDefault="00355949" w:rsidP="00355949">
      <w:pPr>
        <w:pStyle w:val="Body"/>
        <w:spacing w:after="0"/>
        <w:rPr>
          <w:rFonts w:ascii="Arial" w:hAnsi="Arial" w:cs="Arial"/>
        </w:rPr>
      </w:pPr>
      <w:r w:rsidRPr="00355949">
        <w:rPr>
          <w:rFonts w:ascii="Arial" w:hAnsi="Arial" w:cs="Arial"/>
        </w:rPr>
        <w:t xml:space="preserve">For ash, the contents of the lines studied (12.6-18.43% DM) are similar to those obtained by </w:t>
      </w:r>
      <w:proofErr w:type="spellStart"/>
      <w:r w:rsidRPr="00355949">
        <w:rPr>
          <w:rFonts w:ascii="Arial" w:hAnsi="Arial" w:cs="Arial"/>
        </w:rPr>
        <w:t>Baro</w:t>
      </w:r>
      <w:proofErr w:type="spellEnd"/>
      <w:r w:rsidRPr="00355949">
        <w:rPr>
          <w:rFonts w:ascii="Arial" w:hAnsi="Arial" w:cs="Arial"/>
        </w:rPr>
        <w:t xml:space="preserve"> et al. (2019), who obtained contents varying between 9.80 and 16.95% and well above those of </w:t>
      </w:r>
      <w:proofErr w:type="spellStart"/>
      <w:r w:rsidRPr="00355949">
        <w:rPr>
          <w:rFonts w:ascii="Arial" w:hAnsi="Arial" w:cs="Arial"/>
        </w:rPr>
        <w:t>Sanfo</w:t>
      </w:r>
      <w:proofErr w:type="spellEnd"/>
      <w:r w:rsidRPr="00355949">
        <w:rPr>
          <w:rFonts w:ascii="Arial" w:hAnsi="Arial" w:cs="Arial"/>
        </w:rPr>
        <w:t xml:space="preserve"> et al. (2023), who obtained contents varying between 8.8 and 12.5% DM, and those obtained by Tulu et al. (2023) on ten cowpea lines in western Ethiopia (5.5-7.8% DM). </w:t>
      </w:r>
    </w:p>
    <w:p w14:paraId="199E1B33" w14:textId="77777777" w:rsidR="00355949" w:rsidRPr="00355949" w:rsidRDefault="00355949" w:rsidP="00CE7981">
      <w:pPr>
        <w:pStyle w:val="Body"/>
        <w:spacing w:after="0"/>
        <w:rPr>
          <w:rFonts w:ascii="Arial" w:hAnsi="Arial" w:cs="Arial"/>
        </w:rPr>
      </w:pPr>
      <w:r w:rsidRPr="00355949">
        <w:rPr>
          <w:rFonts w:ascii="Arial" w:hAnsi="Arial" w:cs="Arial"/>
        </w:rPr>
        <w:t xml:space="preserve">Crude protein (CP) content ranged from 14.49 to 20.83% DM for the six genotypes studied. All cowpea genotypes had CP concentrations above 8% dry matter, below which the voluntary consumption of tropical forages is reduced. Our results corroborate those obtained by Ibrahim and Pasternak (2017), </w:t>
      </w:r>
      <w:proofErr w:type="spellStart"/>
      <w:r w:rsidRPr="00355949">
        <w:rPr>
          <w:rFonts w:ascii="Arial" w:hAnsi="Arial" w:cs="Arial"/>
        </w:rPr>
        <w:t>Baro</w:t>
      </w:r>
      <w:proofErr w:type="spellEnd"/>
      <w:r w:rsidRPr="00355949">
        <w:rPr>
          <w:rFonts w:ascii="Arial" w:hAnsi="Arial" w:cs="Arial"/>
        </w:rPr>
        <w:t xml:space="preserve"> et al. (2019), </w:t>
      </w:r>
      <w:proofErr w:type="spellStart"/>
      <w:r w:rsidRPr="00355949">
        <w:rPr>
          <w:rFonts w:ascii="Arial" w:hAnsi="Arial" w:cs="Arial"/>
        </w:rPr>
        <w:t>Sanfo</w:t>
      </w:r>
      <w:proofErr w:type="spellEnd"/>
      <w:r w:rsidRPr="00355949">
        <w:rPr>
          <w:rFonts w:ascii="Arial" w:hAnsi="Arial" w:cs="Arial"/>
        </w:rPr>
        <w:t xml:space="preserve"> et al. (2023), and Tulu et al. (2023), with an average content above 15% DM. In addition, our results were higher than those of </w:t>
      </w:r>
      <w:proofErr w:type="spellStart"/>
      <w:r w:rsidRPr="00355949">
        <w:rPr>
          <w:rFonts w:ascii="Arial" w:hAnsi="Arial" w:cs="Arial"/>
        </w:rPr>
        <w:t>Nourou</w:t>
      </w:r>
      <w:proofErr w:type="spellEnd"/>
      <w:r w:rsidRPr="00355949">
        <w:rPr>
          <w:rFonts w:ascii="Arial" w:hAnsi="Arial" w:cs="Arial"/>
        </w:rPr>
        <w:t xml:space="preserve"> (2014), who found values ranging from 12.18 to 13.09% DM.</w:t>
      </w:r>
    </w:p>
    <w:p w14:paraId="61862F8B" w14:textId="77777777" w:rsidR="00355949" w:rsidRPr="00355949" w:rsidRDefault="00355949" w:rsidP="00CE7981">
      <w:pPr>
        <w:pStyle w:val="Body"/>
        <w:spacing w:after="0"/>
        <w:rPr>
          <w:rFonts w:ascii="Arial" w:hAnsi="Arial" w:cs="Arial"/>
        </w:rPr>
      </w:pPr>
      <w:r w:rsidRPr="00355949">
        <w:rPr>
          <w:rFonts w:ascii="Arial" w:hAnsi="Arial" w:cs="Arial"/>
        </w:rPr>
        <w:t xml:space="preserve">For fiber (NDF, ADF, ADL, and cellulose), our results showed no significant differences in fiber content between the different genotypes. Although there were no significant differences in </w:t>
      </w:r>
      <w:proofErr w:type="spellStart"/>
      <w:r w:rsidRPr="00355949">
        <w:rPr>
          <w:rFonts w:ascii="Arial" w:hAnsi="Arial" w:cs="Arial"/>
        </w:rPr>
        <w:t>fibre</w:t>
      </w:r>
      <w:proofErr w:type="spellEnd"/>
      <w:r w:rsidRPr="00355949">
        <w:rPr>
          <w:rFonts w:ascii="Arial" w:hAnsi="Arial" w:cs="Arial"/>
        </w:rPr>
        <w:t xml:space="preserve"> content between genotypes, our NDF and ADF results were all lower than the values reported by </w:t>
      </w:r>
      <w:proofErr w:type="spellStart"/>
      <w:r w:rsidRPr="00355949">
        <w:rPr>
          <w:rFonts w:ascii="Arial" w:hAnsi="Arial" w:cs="Arial"/>
        </w:rPr>
        <w:t>Baro</w:t>
      </w:r>
      <w:proofErr w:type="spellEnd"/>
      <w:r w:rsidRPr="00355949">
        <w:rPr>
          <w:rFonts w:ascii="Arial" w:hAnsi="Arial" w:cs="Arial"/>
        </w:rPr>
        <w:t xml:space="preserve"> et al. (2019), Tulu et al. (2023) and </w:t>
      </w:r>
      <w:proofErr w:type="spellStart"/>
      <w:r w:rsidRPr="00355949">
        <w:rPr>
          <w:rFonts w:ascii="Arial" w:hAnsi="Arial" w:cs="Arial"/>
        </w:rPr>
        <w:t>Sanfo</w:t>
      </w:r>
      <w:proofErr w:type="spellEnd"/>
      <w:r w:rsidRPr="00355949">
        <w:rPr>
          <w:rFonts w:ascii="Arial" w:hAnsi="Arial" w:cs="Arial"/>
        </w:rPr>
        <w:t xml:space="preserve"> et al. (2023). In terms of ADL content, our results are similar to those of </w:t>
      </w:r>
      <w:proofErr w:type="spellStart"/>
      <w:r w:rsidRPr="00355949">
        <w:rPr>
          <w:rFonts w:ascii="Arial" w:hAnsi="Arial" w:cs="Arial"/>
        </w:rPr>
        <w:t>Baro</w:t>
      </w:r>
      <w:proofErr w:type="spellEnd"/>
      <w:r w:rsidRPr="00355949">
        <w:rPr>
          <w:rFonts w:ascii="Arial" w:hAnsi="Arial" w:cs="Arial"/>
        </w:rPr>
        <w:t xml:space="preserve"> et al. (2019), Tulu et al. (2023), and </w:t>
      </w:r>
      <w:proofErr w:type="spellStart"/>
      <w:r w:rsidRPr="00355949">
        <w:rPr>
          <w:rFonts w:ascii="Arial" w:hAnsi="Arial" w:cs="Arial"/>
        </w:rPr>
        <w:t>Sanfo</w:t>
      </w:r>
      <w:proofErr w:type="spellEnd"/>
      <w:r w:rsidRPr="00355949">
        <w:rPr>
          <w:rFonts w:ascii="Arial" w:hAnsi="Arial" w:cs="Arial"/>
        </w:rPr>
        <w:t xml:space="preserve"> et al. (2023).</w:t>
      </w:r>
    </w:p>
    <w:p w14:paraId="069A2BB1" w14:textId="47636363" w:rsidR="00CE7981" w:rsidRPr="00CE7981" w:rsidRDefault="00355949" w:rsidP="00B96DC9">
      <w:pPr>
        <w:pStyle w:val="Body"/>
        <w:spacing w:after="0"/>
        <w:rPr>
          <w:rFonts w:ascii="Arial" w:hAnsi="Arial" w:cs="Arial"/>
          <w:lang w:val="en-GB"/>
        </w:rPr>
      </w:pPr>
      <w:r w:rsidRPr="00355949">
        <w:rPr>
          <w:rFonts w:ascii="Arial" w:hAnsi="Arial" w:cs="Arial"/>
        </w:rPr>
        <w:t>The nutritional values of the leaves of the different genotypes studied were high and well above those of straw and certain forage grasses (</w:t>
      </w:r>
      <w:proofErr w:type="spellStart"/>
      <w:r w:rsidRPr="00355949">
        <w:rPr>
          <w:rFonts w:ascii="Arial" w:hAnsi="Arial" w:cs="Arial"/>
        </w:rPr>
        <w:t>Kondombo</w:t>
      </w:r>
      <w:proofErr w:type="spellEnd"/>
      <w:r w:rsidRPr="00355949">
        <w:rPr>
          <w:rFonts w:ascii="Arial" w:hAnsi="Arial" w:cs="Arial"/>
        </w:rPr>
        <w:t xml:space="preserve"> et al., 2001; </w:t>
      </w:r>
      <w:proofErr w:type="spellStart"/>
      <w:r w:rsidRPr="00355949">
        <w:rPr>
          <w:rFonts w:ascii="Arial" w:hAnsi="Arial" w:cs="Arial"/>
        </w:rPr>
        <w:t>Kiéma</w:t>
      </w:r>
      <w:proofErr w:type="spellEnd"/>
      <w:r w:rsidRPr="00355949">
        <w:rPr>
          <w:rFonts w:ascii="Arial" w:hAnsi="Arial" w:cs="Arial"/>
        </w:rPr>
        <w:t xml:space="preserve"> et al., 2012)</w:t>
      </w:r>
      <w:r w:rsidRPr="00355949">
        <w:rPr>
          <w:rFonts w:ascii="Arial" w:hAnsi="Arial" w:cs="Arial"/>
          <w:lang w:val="en-GB"/>
        </w:rPr>
        <w:t>.</w:t>
      </w:r>
    </w:p>
    <w:p w14:paraId="57B5BF53" w14:textId="77777777" w:rsidR="00790ADA" w:rsidRPr="00FB3A86" w:rsidRDefault="00790ADA" w:rsidP="00441B6F">
      <w:pPr>
        <w:pStyle w:val="Body"/>
        <w:spacing w:after="0"/>
        <w:rPr>
          <w:rFonts w:ascii="Arial" w:hAnsi="Arial" w:cs="Arial"/>
        </w:rPr>
      </w:pPr>
    </w:p>
    <w:p w14:paraId="7279AF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4A59CF" w14:textId="77777777" w:rsidR="00790ADA" w:rsidRPr="00FB3A86" w:rsidRDefault="00790ADA" w:rsidP="00441B6F">
      <w:pPr>
        <w:pStyle w:val="ConcHead"/>
        <w:spacing w:after="0"/>
        <w:jc w:val="both"/>
        <w:rPr>
          <w:rFonts w:ascii="Arial" w:hAnsi="Arial" w:cs="Arial"/>
        </w:rPr>
      </w:pPr>
    </w:p>
    <w:p w14:paraId="058D0F68" w14:textId="6CBC7EE5" w:rsidR="00355949" w:rsidRPr="00355949" w:rsidRDefault="00355949" w:rsidP="00355949">
      <w:pPr>
        <w:pStyle w:val="Body"/>
        <w:spacing w:after="0"/>
        <w:rPr>
          <w:rFonts w:ascii="Arial" w:hAnsi="Arial" w:cs="Arial"/>
        </w:rPr>
      </w:pPr>
      <w:r w:rsidRPr="00355949">
        <w:rPr>
          <w:rFonts w:ascii="Arial" w:hAnsi="Arial" w:cs="Arial"/>
        </w:rPr>
        <w:t xml:space="preserve">This study aimed to evaluate the </w:t>
      </w:r>
      <w:proofErr w:type="spellStart"/>
      <w:r w:rsidRPr="00355949">
        <w:rPr>
          <w:rFonts w:ascii="Arial" w:hAnsi="Arial" w:cs="Arial"/>
        </w:rPr>
        <w:t>agromorphological</w:t>
      </w:r>
      <w:proofErr w:type="spellEnd"/>
      <w:r w:rsidRPr="00355949">
        <w:rPr>
          <w:rFonts w:ascii="Arial" w:hAnsi="Arial" w:cs="Arial"/>
        </w:rPr>
        <w:t xml:space="preserve"> characteristics, fo</w:t>
      </w:r>
      <w:r w:rsidR="009C263F">
        <w:rPr>
          <w:rFonts w:ascii="Arial" w:hAnsi="Arial" w:cs="Arial"/>
        </w:rPr>
        <w:t>dder biomass</w:t>
      </w:r>
      <w:r w:rsidRPr="00355949">
        <w:rPr>
          <w:rFonts w:ascii="Arial" w:hAnsi="Arial" w:cs="Arial"/>
        </w:rPr>
        <w:t xml:space="preserve"> and grain yield </w:t>
      </w:r>
      <w:r w:rsidR="009C263F" w:rsidRPr="009C263F">
        <w:rPr>
          <w:rFonts w:ascii="Arial" w:hAnsi="Arial" w:cs="Arial"/>
        </w:rPr>
        <w:t>improvement</w:t>
      </w:r>
      <w:r w:rsidRPr="00355949">
        <w:rPr>
          <w:rFonts w:ascii="Arial" w:hAnsi="Arial" w:cs="Arial"/>
        </w:rPr>
        <w:t>, and nutritional value of six (6) dual-purpose cowpea genotypes in Burkina Faso.</w:t>
      </w:r>
      <w:r w:rsidR="009C263F">
        <w:rPr>
          <w:rFonts w:ascii="Arial" w:hAnsi="Arial" w:cs="Arial"/>
        </w:rPr>
        <w:t xml:space="preserve"> </w:t>
      </w:r>
      <w:r w:rsidRPr="00355949">
        <w:rPr>
          <w:rFonts w:ascii="Arial" w:hAnsi="Arial" w:cs="Arial"/>
        </w:rPr>
        <w:t>The six genotypes (KVx745­11P, KVx775­33­2G (</w:t>
      </w:r>
      <w:proofErr w:type="spellStart"/>
      <w:r w:rsidRPr="00355949">
        <w:rPr>
          <w:rFonts w:ascii="Arial" w:hAnsi="Arial" w:cs="Arial"/>
        </w:rPr>
        <w:t>Tilgré</w:t>
      </w:r>
      <w:proofErr w:type="spellEnd"/>
      <w:r w:rsidRPr="00355949">
        <w:rPr>
          <w:rFonts w:ascii="Arial" w:hAnsi="Arial" w:cs="Arial"/>
        </w:rPr>
        <w:t xml:space="preserve">), BulkF4CS036xCS117-9b, </w:t>
      </w:r>
      <w:proofErr w:type="spellStart"/>
      <w:r w:rsidRPr="00355949">
        <w:rPr>
          <w:rFonts w:ascii="Arial" w:hAnsi="Arial" w:cs="Arial"/>
        </w:rPr>
        <w:t>Teek-Songo</w:t>
      </w:r>
      <w:proofErr w:type="spellEnd"/>
      <w:r w:rsidRPr="00355949">
        <w:rPr>
          <w:rFonts w:ascii="Arial" w:hAnsi="Arial" w:cs="Arial"/>
        </w:rPr>
        <w:t xml:space="preserve">, </w:t>
      </w:r>
      <w:proofErr w:type="spellStart"/>
      <w:r w:rsidRPr="00355949">
        <w:rPr>
          <w:rFonts w:ascii="Arial" w:hAnsi="Arial" w:cs="Arial"/>
          <w:i/>
          <w:iCs/>
        </w:rPr>
        <w:t>Dounguri</w:t>
      </w:r>
      <w:proofErr w:type="spellEnd"/>
      <w:r w:rsidRPr="00355949">
        <w:rPr>
          <w:rFonts w:ascii="Arial" w:hAnsi="Arial" w:cs="Arial"/>
          <w:i/>
          <w:iCs/>
        </w:rPr>
        <w:t xml:space="preserve"> </w:t>
      </w:r>
      <w:proofErr w:type="spellStart"/>
      <w:r w:rsidRPr="00355949">
        <w:rPr>
          <w:rFonts w:ascii="Arial" w:hAnsi="Arial" w:cs="Arial"/>
          <w:i/>
          <w:iCs/>
        </w:rPr>
        <w:t>koirey</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have good nutritional value for ruminants.   </w:t>
      </w:r>
    </w:p>
    <w:p w14:paraId="0F94BF1C" w14:textId="77777777" w:rsidR="00355949" w:rsidRPr="00355949" w:rsidRDefault="00355949" w:rsidP="00355949">
      <w:pPr>
        <w:pStyle w:val="Body"/>
        <w:spacing w:after="0"/>
        <w:rPr>
          <w:rFonts w:ascii="Arial" w:hAnsi="Arial" w:cs="Arial"/>
        </w:rPr>
      </w:pPr>
      <w:r w:rsidRPr="00355949">
        <w:rPr>
          <w:rFonts w:ascii="Arial" w:hAnsi="Arial" w:cs="Arial"/>
        </w:rPr>
        <w:lastRenderedPageBreak/>
        <w:t xml:space="preserve">However, </w:t>
      </w:r>
      <w:proofErr w:type="spellStart"/>
      <w:r w:rsidRPr="00355949">
        <w:rPr>
          <w:rFonts w:ascii="Arial" w:hAnsi="Arial" w:cs="Arial"/>
        </w:rPr>
        <w:t>Teek-Songo</w:t>
      </w:r>
      <w:proofErr w:type="spellEnd"/>
      <w:r w:rsidRPr="00355949">
        <w:rPr>
          <w:rFonts w:ascii="Arial" w:hAnsi="Arial" w:cs="Arial"/>
        </w:rPr>
        <w:t xml:space="preserve"> appeared to be the best in terms of grain maturity and biomass production. It also contains more crude protein (20.32%) and less fiber than the other varieties.   </w:t>
      </w:r>
    </w:p>
    <w:p w14:paraId="5C6422F4" w14:textId="379806BB" w:rsidR="00B01FCD" w:rsidRDefault="00355949" w:rsidP="00355949">
      <w:pPr>
        <w:pStyle w:val="Body"/>
        <w:spacing w:after="0"/>
        <w:rPr>
          <w:rFonts w:ascii="Arial" w:hAnsi="Arial" w:cs="Arial"/>
        </w:rPr>
      </w:pPr>
      <w:r w:rsidRPr="00355949">
        <w:rPr>
          <w:rFonts w:ascii="Arial" w:hAnsi="Arial" w:cs="Arial"/>
        </w:rPr>
        <w:t>Finally, this study confirmed that cowpea leaves have significant nutritional value for use in ruminant feed to improve their performance. Looking ahead, feeding trials under real-world conditions should be undertaken to evaluate the performance gains achieved by supplementing ruminant rations with the leaves of these different cowpea genotypes</w:t>
      </w:r>
      <w:r w:rsidR="00B96DC9">
        <w:rPr>
          <w:rFonts w:ascii="Arial" w:hAnsi="Arial" w:cs="Arial"/>
        </w:rPr>
        <w:t>.</w:t>
      </w:r>
    </w:p>
    <w:p w14:paraId="5B1202E6" w14:textId="77777777" w:rsidR="00B96DC9" w:rsidRDefault="00B96DC9" w:rsidP="00355949">
      <w:pPr>
        <w:pStyle w:val="Body"/>
        <w:spacing w:after="0"/>
        <w:rPr>
          <w:rFonts w:ascii="Arial" w:hAnsi="Arial" w:cs="Arial"/>
        </w:rPr>
      </w:pPr>
    </w:p>
    <w:p w14:paraId="7B26DD06" w14:textId="77777777" w:rsidR="00C44A55" w:rsidRPr="00C44A55" w:rsidRDefault="00C44A55" w:rsidP="00441B6F">
      <w:pPr>
        <w:pStyle w:val="ReferHead"/>
        <w:spacing w:after="0"/>
        <w:jc w:val="both"/>
        <w:rPr>
          <w:rFonts w:ascii="Arial" w:hAnsi="Arial" w:cs="Arial"/>
          <w:b w:val="0"/>
          <w:caps w:val="0"/>
          <w:sz w:val="20"/>
          <w:u w:val="single"/>
          <w:lang w:val="en-GB"/>
        </w:rPr>
      </w:pPr>
    </w:p>
    <w:p w14:paraId="625F70DA" w14:textId="77777777" w:rsidR="00860000" w:rsidRDefault="00860000" w:rsidP="00441B6F">
      <w:pPr>
        <w:pStyle w:val="ReferHead"/>
        <w:spacing w:after="0"/>
        <w:jc w:val="both"/>
        <w:rPr>
          <w:rFonts w:ascii="Arial" w:hAnsi="Arial" w:cs="Arial"/>
        </w:rPr>
      </w:pPr>
    </w:p>
    <w:p w14:paraId="027957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2B6B58" w14:textId="77777777" w:rsidR="00C44A55" w:rsidRDefault="00C44A55" w:rsidP="00441B6F">
      <w:pPr>
        <w:pStyle w:val="Body"/>
        <w:spacing w:after="0"/>
      </w:pPr>
    </w:p>
    <w:p w14:paraId="00008FB0" w14:textId="3FD3F7ED" w:rsidR="00C44A55" w:rsidRPr="00C44A55" w:rsidRDefault="00C44A55" w:rsidP="00C44A55">
      <w:pPr>
        <w:pStyle w:val="Body"/>
        <w:spacing w:after="0"/>
        <w:rPr>
          <w:lang w:val="en-GB"/>
        </w:rPr>
      </w:pPr>
      <w:proofErr w:type="spellStart"/>
      <w:r w:rsidRPr="00C44A55">
        <w:rPr>
          <w:lang w:val="en-GB"/>
        </w:rPr>
        <w:t>Agaza</w:t>
      </w:r>
      <w:proofErr w:type="spellEnd"/>
      <w:r w:rsidRPr="00C44A55">
        <w:rPr>
          <w:lang w:val="en-GB"/>
        </w:rPr>
        <w:t xml:space="preserve"> B. </w:t>
      </w:r>
      <w:proofErr w:type="spellStart"/>
      <w:r w:rsidRPr="00C44A55">
        <w:rPr>
          <w:lang w:val="en-GB"/>
        </w:rPr>
        <w:t>Kasa</w:t>
      </w:r>
      <w:proofErr w:type="spellEnd"/>
      <w:r w:rsidRPr="00C44A55">
        <w:rPr>
          <w:lang w:val="en-GB"/>
        </w:rPr>
        <w:t xml:space="preserve">, S. </w:t>
      </w:r>
      <w:proofErr w:type="spellStart"/>
      <w:r w:rsidRPr="00C44A55">
        <w:rPr>
          <w:lang w:val="en-GB"/>
        </w:rPr>
        <w:t>Zewdu</w:t>
      </w:r>
      <w:proofErr w:type="spellEnd"/>
      <w:r w:rsidRPr="00C44A55">
        <w:rPr>
          <w:lang w:val="en-GB"/>
        </w:rPr>
        <w:t xml:space="preserve">, E. </w:t>
      </w:r>
      <w:proofErr w:type="spellStart"/>
      <w:r w:rsidRPr="00C44A55">
        <w:rPr>
          <w:lang w:val="en-GB"/>
        </w:rPr>
        <w:t>Aklilu</w:t>
      </w:r>
      <w:proofErr w:type="spellEnd"/>
      <w:r w:rsidRPr="00C44A55">
        <w:rPr>
          <w:lang w:val="en-GB"/>
        </w:rPr>
        <w:t xml:space="preserve"> and F. Alemu. </w:t>
      </w:r>
      <w:r w:rsidR="00733019">
        <w:rPr>
          <w:lang w:val="en-GB"/>
        </w:rPr>
        <w:t>(</w:t>
      </w:r>
      <w:r w:rsidRPr="00C44A55">
        <w:rPr>
          <w:lang w:val="en-GB"/>
        </w:rPr>
        <w:t>2012</w:t>
      </w:r>
      <w:r w:rsidR="00733019">
        <w:rPr>
          <w:lang w:val="en-GB"/>
        </w:rPr>
        <w:t>)</w:t>
      </w:r>
      <w:r w:rsidRPr="00C44A55">
        <w:rPr>
          <w:lang w:val="en-GB"/>
        </w:rPr>
        <w:t>. Animals feed potential and adaptability of some cowpea (</w:t>
      </w:r>
      <w:r w:rsidRPr="00C44A55">
        <w:rPr>
          <w:i/>
          <w:iCs/>
          <w:lang w:val="en-GB"/>
        </w:rPr>
        <w:t xml:space="preserve">Vigna </w:t>
      </w:r>
      <w:proofErr w:type="spellStart"/>
      <w:r w:rsidRPr="00C44A55">
        <w:rPr>
          <w:i/>
          <w:iCs/>
          <w:lang w:val="en-GB"/>
        </w:rPr>
        <w:t>unguiculata</w:t>
      </w:r>
      <w:proofErr w:type="spellEnd"/>
      <w:r w:rsidRPr="00C44A55">
        <w:rPr>
          <w:lang w:val="en-GB"/>
        </w:rPr>
        <w:t xml:space="preserve">) varieties in North West Lowlands of Ethiopia. Journal of Agricultural Research, p478-483 </w:t>
      </w:r>
    </w:p>
    <w:p w14:paraId="30950F68" w14:textId="540BCEBD" w:rsidR="00C44A55" w:rsidRPr="00C44A55" w:rsidRDefault="00C44A55" w:rsidP="00C44A55">
      <w:pPr>
        <w:pStyle w:val="Body"/>
        <w:spacing w:after="0"/>
        <w:rPr>
          <w:lang w:val="en-GB"/>
        </w:rPr>
      </w:pPr>
      <w:r w:rsidRPr="00C44A55">
        <w:rPr>
          <w:lang w:val="en-GB"/>
        </w:rPr>
        <w:t>AOAC</w:t>
      </w:r>
      <w:r w:rsidR="00733019">
        <w:rPr>
          <w:lang w:val="en-GB"/>
        </w:rPr>
        <w:t>. (</w:t>
      </w:r>
      <w:r w:rsidRPr="00C44A55">
        <w:rPr>
          <w:lang w:val="en-GB"/>
        </w:rPr>
        <w:t>1990</w:t>
      </w:r>
      <w:r w:rsidR="00733019">
        <w:rPr>
          <w:lang w:val="en-GB"/>
        </w:rPr>
        <w:t>)</w:t>
      </w:r>
      <w:r w:rsidRPr="00C44A55">
        <w:rPr>
          <w:lang w:val="en-GB"/>
        </w:rPr>
        <w:t>. O</w:t>
      </w:r>
      <w:r w:rsidRPr="00C44A55">
        <w:rPr>
          <w:lang w:val="fr-FR"/>
        </w:rPr>
        <w:t>ﬃ</w:t>
      </w:r>
      <w:proofErr w:type="spellStart"/>
      <w:r w:rsidRPr="00C44A55">
        <w:rPr>
          <w:lang w:val="en-GB"/>
        </w:rPr>
        <w:t>cial</w:t>
      </w:r>
      <w:proofErr w:type="spellEnd"/>
      <w:r w:rsidRPr="00C44A55">
        <w:rPr>
          <w:lang w:val="en-GB"/>
        </w:rPr>
        <w:t xml:space="preserve"> Methods of Analysis, 15th ed. Association of O</w:t>
      </w:r>
      <w:r w:rsidRPr="00C44A55">
        <w:rPr>
          <w:lang w:val="fr-FR"/>
        </w:rPr>
        <w:t>ﬃ</w:t>
      </w:r>
      <w:proofErr w:type="spellStart"/>
      <w:r w:rsidRPr="00C44A55">
        <w:rPr>
          <w:lang w:val="en-GB"/>
        </w:rPr>
        <w:t>cial</w:t>
      </w:r>
      <w:proofErr w:type="spellEnd"/>
      <w:r w:rsidRPr="00C44A55">
        <w:rPr>
          <w:lang w:val="en-GB"/>
        </w:rPr>
        <w:t xml:space="preserve"> Analytical Chemists, Arlington, VA.</w:t>
      </w:r>
    </w:p>
    <w:p w14:paraId="617CD2A9" w14:textId="2F8F0D6D" w:rsidR="00C44A55" w:rsidRPr="00C44A55" w:rsidRDefault="00C44A55" w:rsidP="00C44A55">
      <w:pPr>
        <w:pStyle w:val="Body"/>
        <w:spacing w:after="0"/>
        <w:rPr>
          <w:lang w:val="en-GB"/>
        </w:rPr>
      </w:pPr>
      <w:r w:rsidRPr="00C44A55">
        <w:rPr>
          <w:lang w:val="fr-FR"/>
        </w:rPr>
        <w:t xml:space="preserve">Barro A., </w:t>
      </w:r>
      <w:proofErr w:type="spellStart"/>
      <w:r w:rsidRPr="00C44A55">
        <w:rPr>
          <w:lang w:val="fr-FR"/>
        </w:rPr>
        <w:t>Batieno</w:t>
      </w:r>
      <w:proofErr w:type="spellEnd"/>
      <w:r w:rsidRPr="00C44A55">
        <w:rPr>
          <w:lang w:val="fr-FR"/>
        </w:rPr>
        <w:t xml:space="preserve"> T B J, </w:t>
      </w:r>
      <w:proofErr w:type="spellStart"/>
      <w:r w:rsidRPr="00C44A55">
        <w:rPr>
          <w:lang w:val="fr-FR"/>
        </w:rPr>
        <w:t>Neya</w:t>
      </w:r>
      <w:proofErr w:type="spellEnd"/>
      <w:r w:rsidRPr="00C44A55">
        <w:rPr>
          <w:lang w:val="fr-FR"/>
        </w:rPr>
        <w:t xml:space="preserve"> J B., Palé K., </w:t>
      </w:r>
      <w:proofErr w:type="spellStart"/>
      <w:r w:rsidRPr="00C44A55">
        <w:rPr>
          <w:lang w:val="fr-FR"/>
        </w:rPr>
        <w:t>Tignégré</w:t>
      </w:r>
      <w:proofErr w:type="spellEnd"/>
      <w:r w:rsidRPr="00C44A55">
        <w:rPr>
          <w:lang w:val="fr-FR"/>
        </w:rPr>
        <w:t xml:space="preserve"> J.B., Kaboré A., Sawadogo M. </w:t>
      </w:r>
      <w:r w:rsidR="00733019">
        <w:rPr>
          <w:lang w:val="fr-FR"/>
        </w:rPr>
        <w:t>(</w:t>
      </w:r>
      <w:r w:rsidRPr="00C44A55">
        <w:rPr>
          <w:lang w:val="fr-FR"/>
        </w:rPr>
        <w:t>2019</w:t>
      </w:r>
      <w:r w:rsidR="00733019">
        <w:rPr>
          <w:lang w:val="fr-FR"/>
        </w:rPr>
        <w:t>)</w:t>
      </w:r>
      <w:r w:rsidRPr="00C44A55">
        <w:rPr>
          <w:lang w:val="fr-FR"/>
        </w:rPr>
        <w:t xml:space="preserve">. </w:t>
      </w:r>
      <w:r w:rsidRPr="00C44A55">
        <w:rPr>
          <w:lang w:val="en-GB"/>
        </w:rPr>
        <w:t>Proximate analysis of five cowpea [(</w:t>
      </w:r>
      <w:r w:rsidRPr="00C44A55">
        <w:rPr>
          <w:i/>
          <w:iCs/>
          <w:lang w:val="en-GB"/>
        </w:rPr>
        <w:t xml:space="preserve">Vigna </w:t>
      </w:r>
      <w:proofErr w:type="spellStart"/>
      <w:r w:rsidRPr="00C44A55">
        <w:rPr>
          <w:i/>
          <w:iCs/>
          <w:lang w:val="en-GB"/>
        </w:rPr>
        <w:t>unguiculata</w:t>
      </w:r>
      <w:proofErr w:type="spellEnd"/>
      <w:r w:rsidRPr="00C44A55">
        <w:rPr>
          <w:lang w:val="en-GB"/>
        </w:rPr>
        <w:t xml:space="preserve"> (l.) </w:t>
      </w:r>
      <w:proofErr w:type="spellStart"/>
      <w:r w:rsidRPr="00C44A55">
        <w:rPr>
          <w:lang w:val="en-GB"/>
        </w:rPr>
        <w:t>walp</w:t>
      </w:r>
      <w:proofErr w:type="spellEnd"/>
      <w:r w:rsidRPr="00C44A55">
        <w:rPr>
          <w:lang w:val="en-GB"/>
        </w:rPr>
        <w:t>.)] lines as feed resources for ruminant production in Burkina Faso. International Journal of Research -GRANTHAALAYAH, </w:t>
      </w:r>
      <w:r w:rsidRPr="00C44A55">
        <w:rPr>
          <w:i/>
          <w:iCs/>
          <w:lang w:val="en-GB"/>
        </w:rPr>
        <w:t>7</w:t>
      </w:r>
      <w:r w:rsidRPr="00C44A55">
        <w:rPr>
          <w:lang w:val="en-GB"/>
        </w:rPr>
        <w:t xml:space="preserve">(5), 59–65. </w:t>
      </w:r>
      <w:hyperlink r:id="rId15" w:history="1">
        <w:r w:rsidRPr="00C44A55">
          <w:rPr>
            <w:rStyle w:val="Hyperlink"/>
            <w:lang w:val="en-GB"/>
          </w:rPr>
          <w:t>https://doi.org/10.29121/granthaalayah.v7.i5.2019.824</w:t>
        </w:r>
      </w:hyperlink>
    </w:p>
    <w:p w14:paraId="749BDFBF" w14:textId="77777777" w:rsidR="00DD1206" w:rsidRPr="00DD1206" w:rsidRDefault="00DD1206" w:rsidP="00DD1206">
      <w:pPr>
        <w:pStyle w:val="Body"/>
        <w:rPr>
          <w:lang w:val="en-GB"/>
        </w:rPr>
      </w:pPr>
      <w:proofErr w:type="spellStart"/>
      <w:r w:rsidRPr="00DD1206">
        <w:rPr>
          <w:lang w:val="en-GB"/>
        </w:rPr>
        <w:t>Dugje</w:t>
      </w:r>
      <w:proofErr w:type="spellEnd"/>
      <w:r w:rsidRPr="00DD1206">
        <w:rPr>
          <w:lang w:val="en-GB"/>
        </w:rPr>
        <w:t xml:space="preserve"> I.Y., </w:t>
      </w:r>
      <w:proofErr w:type="spellStart"/>
      <w:r w:rsidRPr="00DD1206">
        <w:rPr>
          <w:lang w:val="en-GB"/>
        </w:rPr>
        <w:t>Omoigui</w:t>
      </w:r>
      <w:proofErr w:type="spellEnd"/>
      <w:r w:rsidRPr="00DD1206">
        <w:rPr>
          <w:lang w:val="en-GB"/>
        </w:rPr>
        <w:t xml:space="preserve"> L.O., </w:t>
      </w:r>
      <w:proofErr w:type="spellStart"/>
      <w:r w:rsidRPr="00DD1206">
        <w:rPr>
          <w:lang w:val="en-GB"/>
        </w:rPr>
        <w:t>Ekelemé</w:t>
      </w:r>
      <w:proofErr w:type="spellEnd"/>
      <w:r w:rsidRPr="00DD1206">
        <w:rPr>
          <w:lang w:val="en-GB"/>
        </w:rPr>
        <w:t xml:space="preserve"> F., and </w:t>
      </w:r>
      <w:proofErr w:type="spellStart"/>
      <w:r w:rsidRPr="00DD1206">
        <w:rPr>
          <w:lang w:val="en-GB"/>
        </w:rPr>
        <w:t>Ajeigbé</w:t>
      </w:r>
      <w:proofErr w:type="spellEnd"/>
      <w:r w:rsidRPr="00DD1206">
        <w:rPr>
          <w:lang w:val="en-GB"/>
        </w:rPr>
        <w:t xml:space="preserve"> H. (2009). Cowpea Production in West Africa: A Farmer's Guide, IITA, Nigeria</w:t>
      </w:r>
    </w:p>
    <w:p w14:paraId="1AE38A2A" w14:textId="77777777" w:rsidR="00DD1206" w:rsidRPr="00DD1206" w:rsidRDefault="00DD1206" w:rsidP="00DD1206">
      <w:pPr>
        <w:pStyle w:val="Body"/>
        <w:rPr>
          <w:lang w:val="en-GB"/>
        </w:rPr>
      </w:pPr>
      <w:proofErr w:type="spellStart"/>
      <w:r w:rsidRPr="00DD1206">
        <w:rPr>
          <w:lang w:val="en-GB"/>
        </w:rPr>
        <w:t>Fontès</w:t>
      </w:r>
      <w:proofErr w:type="spellEnd"/>
      <w:r w:rsidRPr="00DD1206">
        <w:rPr>
          <w:lang w:val="en-GB"/>
        </w:rPr>
        <w:t xml:space="preserve"> J., </w:t>
      </w:r>
      <w:proofErr w:type="spellStart"/>
      <w:r w:rsidRPr="00DD1206">
        <w:rPr>
          <w:lang w:val="en-GB"/>
        </w:rPr>
        <w:t>Guinko</w:t>
      </w:r>
      <w:proofErr w:type="spellEnd"/>
      <w:r w:rsidRPr="00DD1206">
        <w:rPr>
          <w:lang w:val="en-GB"/>
        </w:rPr>
        <w:t xml:space="preserve"> S. (1995). Vegetation and Land Use Map of Burkina Faso. French Ministry of Cooperation: Campus Project (88 313 101).</w:t>
      </w:r>
    </w:p>
    <w:p w14:paraId="263836C4" w14:textId="77777777" w:rsidR="00DD1206" w:rsidRPr="00DD1206" w:rsidRDefault="00DD1206" w:rsidP="00DD1206">
      <w:pPr>
        <w:pStyle w:val="Body"/>
        <w:rPr>
          <w:lang w:val="en-GB"/>
        </w:rPr>
      </w:pPr>
      <w:proofErr w:type="spellStart"/>
      <w:r w:rsidRPr="00DD1206">
        <w:rPr>
          <w:lang w:val="en-GB"/>
        </w:rPr>
        <w:t>Gbaguidi</w:t>
      </w:r>
      <w:proofErr w:type="spellEnd"/>
      <w:r w:rsidRPr="00DD1206">
        <w:rPr>
          <w:lang w:val="en-GB"/>
        </w:rPr>
        <w:t xml:space="preserve"> A., </w:t>
      </w:r>
      <w:proofErr w:type="spellStart"/>
      <w:r w:rsidRPr="00DD1206">
        <w:rPr>
          <w:lang w:val="en-GB"/>
        </w:rPr>
        <w:t>Assogba</w:t>
      </w:r>
      <w:proofErr w:type="spellEnd"/>
      <w:r w:rsidRPr="00DD1206">
        <w:rPr>
          <w:lang w:val="en-GB"/>
        </w:rPr>
        <w:t xml:space="preserve"> P., </w:t>
      </w:r>
      <w:proofErr w:type="spellStart"/>
      <w:r w:rsidRPr="00DD1206">
        <w:rPr>
          <w:lang w:val="en-GB"/>
        </w:rPr>
        <w:t>Dansi</w:t>
      </w:r>
      <w:proofErr w:type="spellEnd"/>
      <w:r w:rsidRPr="00DD1206">
        <w:rPr>
          <w:lang w:val="en-GB"/>
        </w:rPr>
        <w:t xml:space="preserve"> M., </w:t>
      </w:r>
      <w:proofErr w:type="spellStart"/>
      <w:r w:rsidRPr="00DD1206">
        <w:rPr>
          <w:lang w:val="en-GB"/>
        </w:rPr>
        <w:t>Yedomonhan</w:t>
      </w:r>
      <w:proofErr w:type="spellEnd"/>
      <w:r w:rsidRPr="00DD1206">
        <w:rPr>
          <w:lang w:val="en-GB"/>
        </w:rPr>
        <w:t xml:space="preserve"> H., </w:t>
      </w:r>
      <w:proofErr w:type="spellStart"/>
      <w:r w:rsidRPr="00DD1206">
        <w:rPr>
          <w:lang w:val="en-GB"/>
        </w:rPr>
        <w:t>Dansi</w:t>
      </w:r>
      <w:proofErr w:type="spellEnd"/>
      <w:r w:rsidRPr="00DD1206">
        <w:rPr>
          <w:lang w:val="en-GB"/>
        </w:rPr>
        <w:t xml:space="preserve"> A. (2015). </w:t>
      </w:r>
      <w:proofErr w:type="spellStart"/>
      <w:r w:rsidRPr="00DD1206">
        <w:rPr>
          <w:lang w:val="en-GB"/>
        </w:rPr>
        <w:t>Agromorphological</w:t>
      </w:r>
      <w:proofErr w:type="spellEnd"/>
      <w:r w:rsidRPr="00DD1206">
        <w:rPr>
          <w:lang w:val="en-GB"/>
        </w:rPr>
        <w:t xml:space="preserve"> Characterization of Cowpea Genotypes Cultivated in Benin. International Journal of Biological and Chemical Sciences. 9 (2): pp. 1050–1066.</w:t>
      </w:r>
    </w:p>
    <w:p w14:paraId="5599B7F2" w14:textId="77777777" w:rsidR="00DD1206" w:rsidRPr="00DD1206" w:rsidRDefault="00DD1206" w:rsidP="00DD1206">
      <w:pPr>
        <w:pStyle w:val="Body"/>
        <w:rPr>
          <w:lang w:val="en-GB"/>
        </w:rPr>
      </w:pPr>
      <w:r w:rsidRPr="00DD1206">
        <w:rPr>
          <w:lang w:val="en-GB"/>
        </w:rPr>
        <w:t xml:space="preserve">Ibrahim A., Pasternak D. (2017). Yields and forage nutritive quality of high-yielding dual-purpose cowpea (Vigna </w:t>
      </w:r>
      <w:proofErr w:type="spellStart"/>
      <w:r w:rsidRPr="00DD1206">
        <w:rPr>
          <w:lang w:val="en-GB"/>
        </w:rPr>
        <w:t>unguiculata</w:t>
      </w:r>
      <w:proofErr w:type="spellEnd"/>
      <w:r w:rsidRPr="00DD1206">
        <w:rPr>
          <w:lang w:val="en-GB"/>
        </w:rPr>
        <w:t xml:space="preserve"> (L.) </w:t>
      </w:r>
      <w:proofErr w:type="spellStart"/>
      <w:r w:rsidRPr="00DD1206">
        <w:rPr>
          <w:lang w:val="en-GB"/>
        </w:rPr>
        <w:t>Walp</w:t>
      </w:r>
      <w:proofErr w:type="spellEnd"/>
      <w:r w:rsidRPr="00DD1206">
        <w:rPr>
          <w:lang w:val="en-GB"/>
        </w:rPr>
        <w:t>.) varieties in the Sahelian low-input cropping system. African Journal of Agricultural Research, pp. 2969-2975</w:t>
      </w:r>
    </w:p>
    <w:p w14:paraId="0532A858" w14:textId="77777777" w:rsidR="00DD1206" w:rsidRPr="00DD1206" w:rsidRDefault="00DD1206" w:rsidP="00DD1206">
      <w:pPr>
        <w:pStyle w:val="Body"/>
        <w:rPr>
          <w:lang w:val="en-GB"/>
        </w:rPr>
      </w:pPr>
      <w:proofErr w:type="spellStart"/>
      <w:r w:rsidRPr="00DD1206">
        <w:rPr>
          <w:lang w:val="en-GB"/>
        </w:rPr>
        <w:t>Kiéma</w:t>
      </w:r>
      <w:proofErr w:type="spellEnd"/>
      <w:r w:rsidRPr="00DD1206">
        <w:rPr>
          <w:lang w:val="en-GB"/>
        </w:rPr>
        <w:t xml:space="preserve">, A., </w:t>
      </w:r>
      <w:proofErr w:type="spellStart"/>
      <w:r w:rsidRPr="00DD1206">
        <w:rPr>
          <w:lang w:val="en-GB"/>
        </w:rPr>
        <w:t>Sawadogo</w:t>
      </w:r>
      <w:proofErr w:type="spellEnd"/>
      <w:r w:rsidRPr="00DD1206">
        <w:rPr>
          <w:lang w:val="en-GB"/>
        </w:rPr>
        <w:t xml:space="preserve">, I., </w:t>
      </w:r>
      <w:proofErr w:type="spellStart"/>
      <w:r w:rsidRPr="00DD1206">
        <w:rPr>
          <w:lang w:val="en-GB"/>
        </w:rPr>
        <w:t>Ouédraogo</w:t>
      </w:r>
      <w:proofErr w:type="spellEnd"/>
      <w:r w:rsidRPr="00DD1206">
        <w:rPr>
          <w:lang w:val="en-GB"/>
        </w:rPr>
        <w:t xml:space="preserve">, T. and </w:t>
      </w:r>
      <w:proofErr w:type="spellStart"/>
      <w:r w:rsidRPr="00DD1206">
        <w:rPr>
          <w:lang w:val="en-GB"/>
        </w:rPr>
        <w:t>Nianogo</w:t>
      </w:r>
      <w:proofErr w:type="spellEnd"/>
      <w:r w:rsidRPr="00DD1206">
        <w:rPr>
          <w:lang w:val="en-GB"/>
        </w:rPr>
        <w:t>, AJ. (2012). Forage exploitation strategies by livestock farmers in the Sahelian zone of Burkina Faso. 2012. International Journal of Biological and Chemical Sciences. 6(4): 1492-1505.</w:t>
      </w:r>
    </w:p>
    <w:p w14:paraId="0370DAE4" w14:textId="77777777" w:rsidR="00DD1206" w:rsidRPr="00DD1206" w:rsidRDefault="00DD1206" w:rsidP="00DD1206">
      <w:pPr>
        <w:pStyle w:val="Body"/>
        <w:rPr>
          <w:lang w:val="en-GB"/>
        </w:rPr>
      </w:pPr>
      <w:proofErr w:type="spellStart"/>
      <w:r w:rsidRPr="00DD1206">
        <w:rPr>
          <w:lang w:val="en-GB"/>
        </w:rPr>
        <w:t>Kondombo</w:t>
      </w:r>
      <w:proofErr w:type="spellEnd"/>
      <w:r w:rsidRPr="00DD1206">
        <w:rPr>
          <w:lang w:val="en-GB"/>
        </w:rPr>
        <w:t xml:space="preserve">, SR. and </w:t>
      </w:r>
      <w:proofErr w:type="spellStart"/>
      <w:r w:rsidRPr="00DD1206">
        <w:rPr>
          <w:lang w:val="en-GB"/>
        </w:rPr>
        <w:t>Nianogo</w:t>
      </w:r>
      <w:proofErr w:type="spellEnd"/>
      <w:r w:rsidRPr="00DD1206">
        <w:rPr>
          <w:lang w:val="en-GB"/>
        </w:rPr>
        <w:t xml:space="preserve">, AJ. (2001). Performance of </w:t>
      </w:r>
      <w:proofErr w:type="spellStart"/>
      <w:r w:rsidRPr="00DD1206">
        <w:rPr>
          <w:lang w:val="en-GB"/>
        </w:rPr>
        <w:t>Djallonké</w:t>
      </w:r>
      <w:proofErr w:type="spellEnd"/>
      <w:r w:rsidRPr="00DD1206">
        <w:rPr>
          <w:lang w:val="en-GB"/>
        </w:rPr>
        <w:t xml:space="preserve"> sheep fed on crop residues in Burkina Faso. African Agronomy 13(2): 59-66.</w:t>
      </w:r>
    </w:p>
    <w:p w14:paraId="1B8A02AB" w14:textId="77777777" w:rsidR="00DD1206" w:rsidRPr="00DD1206" w:rsidRDefault="00DD1206" w:rsidP="00DD1206">
      <w:pPr>
        <w:pStyle w:val="Body"/>
        <w:rPr>
          <w:lang w:val="en-GB"/>
        </w:rPr>
      </w:pPr>
      <w:proofErr w:type="spellStart"/>
      <w:r w:rsidRPr="00DD1206">
        <w:rPr>
          <w:lang w:val="en-GB"/>
        </w:rPr>
        <w:t>Lalsaga</w:t>
      </w:r>
      <w:proofErr w:type="spellEnd"/>
      <w:r w:rsidRPr="00DD1206">
        <w:rPr>
          <w:lang w:val="en-GB"/>
        </w:rPr>
        <w:t xml:space="preserve">, W.J., and </w:t>
      </w:r>
      <w:proofErr w:type="spellStart"/>
      <w:r w:rsidRPr="00DD1206">
        <w:rPr>
          <w:lang w:val="en-GB"/>
        </w:rPr>
        <w:t>Drabo</w:t>
      </w:r>
      <w:proofErr w:type="spellEnd"/>
      <w:r w:rsidRPr="00DD1206">
        <w:rPr>
          <w:lang w:val="en-GB"/>
        </w:rPr>
        <w:t xml:space="preserve">, I. (2017). Evaluation of fifteen genotypes of cowpea [Vigna </w:t>
      </w:r>
      <w:proofErr w:type="spellStart"/>
      <w:r w:rsidRPr="00DD1206">
        <w:rPr>
          <w:lang w:val="en-GB"/>
        </w:rPr>
        <w:t>unguiculata</w:t>
      </w:r>
      <w:proofErr w:type="spellEnd"/>
      <w:r w:rsidRPr="00DD1206">
        <w:rPr>
          <w:lang w:val="en-GB"/>
        </w:rPr>
        <w:t xml:space="preserve"> (L.) </w:t>
      </w:r>
      <w:proofErr w:type="spellStart"/>
      <w:r w:rsidRPr="00DD1206">
        <w:rPr>
          <w:lang w:val="en-GB"/>
        </w:rPr>
        <w:t>Walp</w:t>
      </w:r>
      <w:proofErr w:type="spellEnd"/>
      <w:r w:rsidRPr="00DD1206">
        <w:rPr>
          <w:lang w:val="en-GB"/>
        </w:rPr>
        <w:t>.] under rainfed conditions in the North and Central West of Burkina Faso. International Journal of Biological and Chemical Sciences. 11 (6), 2756–2763. doi:10.4314/</w:t>
      </w:r>
      <w:proofErr w:type="gramStart"/>
      <w:r w:rsidRPr="00DD1206">
        <w:rPr>
          <w:lang w:val="en-GB"/>
        </w:rPr>
        <w:t>ijbcs.v</w:t>
      </w:r>
      <w:proofErr w:type="gramEnd"/>
      <w:r w:rsidRPr="00DD1206">
        <w:rPr>
          <w:lang w:val="en-GB"/>
        </w:rPr>
        <w:t>11i6.16</w:t>
      </w:r>
    </w:p>
    <w:p w14:paraId="1895298C" w14:textId="77777777" w:rsidR="00DD1206" w:rsidRPr="00DD1206" w:rsidRDefault="00DD1206" w:rsidP="00DD1206">
      <w:pPr>
        <w:pStyle w:val="Body"/>
        <w:rPr>
          <w:lang w:val="en-GB"/>
        </w:rPr>
      </w:pPr>
      <w:r w:rsidRPr="00DD1206">
        <w:rPr>
          <w:lang w:val="en-GB"/>
        </w:rPr>
        <w:t xml:space="preserve">Marina, M., Fernandez, J., &amp; Ochoa, J. (2017). Genotype by environment interactions in cowpea (Vigna </w:t>
      </w:r>
      <w:proofErr w:type="spellStart"/>
      <w:r w:rsidRPr="00DD1206">
        <w:rPr>
          <w:lang w:val="en-GB"/>
        </w:rPr>
        <w:t>unguiculata</w:t>
      </w:r>
      <w:proofErr w:type="spellEnd"/>
      <w:r w:rsidRPr="00DD1206">
        <w:rPr>
          <w:lang w:val="en-GB"/>
        </w:rPr>
        <w:t xml:space="preserve"> L. </w:t>
      </w:r>
      <w:proofErr w:type="spellStart"/>
      <w:r w:rsidRPr="00DD1206">
        <w:rPr>
          <w:lang w:val="en-GB"/>
        </w:rPr>
        <w:t>Walp</w:t>
      </w:r>
      <w:proofErr w:type="spellEnd"/>
      <w:r w:rsidRPr="00DD1206">
        <w:rPr>
          <w:lang w:val="en-GB"/>
        </w:rPr>
        <w:t>.) grown in the Iberian Peninsula. Crop and Pasture Science, 68(11), 924–931. https://doi.org/10.1071/CP17071</w:t>
      </w:r>
    </w:p>
    <w:p w14:paraId="2D67A804" w14:textId="77777777" w:rsidR="00DD1206" w:rsidRPr="00DD1206" w:rsidRDefault="00DD1206" w:rsidP="00DD1206">
      <w:pPr>
        <w:pStyle w:val="Body"/>
        <w:rPr>
          <w:lang w:val="en-GB"/>
        </w:rPr>
      </w:pPr>
      <w:proofErr w:type="spellStart"/>
      <w:r w:rsidRPr="00DD1206">
        <w:rPr>
          <w:lang w:val="en-GB"/>
        </w:rPr>
        <w:t>Nadjiam</w:t>
      </w:r>
      <w:proofErr w:type="spellEnd"/>
      <w:r w:rsidRPr="00DD1206">
        <w:rPr>
          <w:lang w:val="en-GB"/>
        </w:rPr>
        <w:t xml:space="preserve">, D., </w:t>
      </w:r>
      <w:proofErr w:type="spellStart"/>
      <w:r w:rsidRPr="00DD1206">
        <w:rPr>
          <w:lang w:val="en-GB"/>
        </w:rPr>
        <w:t>Doyam</w:t>
      </w:r>
      <w:proofErr w:type="spellEnd"/>
      <w:r w:rsidRPr="00DD1206">
        <w:rPr>
          <w:lang w:val="en-GB"/>
        </w:rPr>
        <w:t xml:space="preserve">, A.N. and </w:t>
      </w:r>
      <w:proofErr w:type="spellStart"/>
      <w:r w:rsidRPr="00DD1206">
        <w:rPr>
          <w:lang w:val="en-GB"/>
        </w:rPr>
        <w:t>LeDiambo</w:t>
      </w:r>
      <w:proofErr w:type="spellEnd"/>
      <w:r w:rsidRPr="00DD1206">
        <w:rPr>
          <w:lang w:val="en-GB"/>
        </w:rPr>
        <w:t xml:space="preserve">, B. (2015). Study of the </w:t>
      </w:r>
      <w:proofErr w:type="spellStart"/>
      <w:r w:rsidRPr="00DD1206">
        <w:rPr>
          <w:lang w:val="en-GB"/>
        </w:rPr>
        <w:t>agromorphological</w:t>
      </w:r>
      <w:proofErr w:type="spellEnd"/>
      <w:r w:rsidRPr="00DD1206">
        <w:rPr>
          <w:lang w:val="en-GB"/>
        </w:rPr>
        <w:t xml:space="preserve"> variability of forty-five local cowpea (Vigna </w:t>
      </w:r>
      <w:proofErr w:type="spellStart"/>
      <w:r w:rsidRPr="00DD1206">
        <w:rPr>
          <w:lang w:val="en-GB"/>
        </w:rPr>
        <w:t>unguiculata</w:t>
      </w:r>
      <w:proofErr w:type="spellEnd"/>
      <w:r w:rsidRPr="00DD1206">
        <w:rPr>
          <w:lang w:val="en-GB"/>
        </w:rPr>
        <w:t xml:space="preserve"> (L.) </w:t>
      </w:r>
      <w:proofErr w:type="spellStart"/>
      <w:r w:rsidRPr="00DD1206">
        <w:rPr>
          <w:lang w:val="en-GB"/>
        </w:rPr>
        <w:t>Walp</w:t>
      </w:r>
      <w:proofErr w:type="spellEnd"/>
      <w:r w:rsidRPr="00DD1206">
        <w:rPr>
          <w:lang w:val="en-GB"/>
        </w:rPr>
        <w:t xml:space="preserve">.) cultivars from the </w:t>
      </w:r>
      <w:proofErr w:type="spellStart"/>
      <w:r w:rsidRPr="00DD1206">
        <w:rPr>
          <w:lang w:val="en-GB"/>
        </w:rPr>
        <w:t>Sudanian</w:t>
      </w:r>
      <w:proofErr w:type="spellEnd"/>
      <w:r w:rsidRPr="00DD1206">
        <w:rPr>
          <w:lang w:val="en-GB"/>
        </w:rPr>
        <w:t xml:space="preserve"> zone of Chad. Afrique Science, 11, 138-151.</w:t>
      </w:r>
    </w:p>
    <w:p w14:paraId="7CA57837" w14:textId="77777777" w:rsidR="00DD1206" w:rsidRPr="00DD1206" w:rsidRDefault="00DD1206" w:rsidP="00DD1206">
      <w:pPr>
        <w:pStyle w:val="Body"/>
        <w:rPr>
          <w:lang w:val="en-GB"/>
        </w:rPr>
      </w:pPr>
      <w:proofErr w:type="spellStart"/>
      <w:r w:rsidRPr="00DD1206">
        <w:rPr>
          <w:lang w:val="en-GB"/>
        </w:rPr>
        <w:lastRenderedPageBreak/>
        <w:t>Nourou</w:t>
      </w:r>
      <w:proofErr w:type="spellEnd"/>
      <w:r w:rsidRPr="00DD1206">
        <w:rPr>
          <w:lang w:val="en-GB"/>
        </w:rPr>
        <w:t xml:space="preserve"> A. (2014). Techno-economic analysis of the production of four (4) cowpea forage genotypes in the INRAN agronomic station and evaluation of the nutritional value of its haulm. Master's thesis in animal production and sustainable development, Niger.</w:t>
      </w:r>
    </w:p>
    <w:p w14:paraId="7301E338" w14:textId="77777777" w:rsidR="00DD1206" w:rsidRPr="00DD1206" w:rsidRDefault="00DD1206" w:rsidP="00DD1206">
      <w:pPr>
        <w:pStyle w:val="Body"/>
        <w:rPr>
          <w:lang w:val="en-GB"/>
        </w:rPr>
      </w:pPr>
      <w:proofErr w:type="spellStart"/>
      <w:r w:rsidRPr="00DD1206">
        <w:rPr>
          <w:lang w:val="en-GB"/>
        </w:rPr>
        <w:t>Obulbiga</w:t>
      </w:r>
      <w:proofErr w:type="spellEnd"/>
      <w:r w:rsidRPr="00DD1206">
        <w:rPr>
          <w:lang w:val="en-GB"/>
        </w:rPr>
        <w:t xml:space="preserve">, M. F., </w:t>
      </w:r>
      <w:proofErr w:type="spellStart"/>
      <w:r w:rsidRPr="00DD1206">
        <w:rPr>
          <w:lang w:val="en-GB"/>
        </w:rPr>
        <w:t>Bougouma</w:t>
      </w:r>
      <w:proofErr w:type="spellEnd"/>
      <w:r w:rsidRPr="00DD1206">
        <w:rPr>
          <w:lang w:val="en-GB"/>
        </w:rPr>
        <w:t xml:space="preserve">, V., and </w:t>
      </w:r>
      <w:proofErr w:type="spellStart"/>
      <w:r w:rsidRPr="00DD1206">
        <w:rPr>
          <w:lang w:val="en-GB"/>
        </w:rPr>
        <w:t>Sanon</w:t>
      </w:r>
      <w:proofErr w:type="spellEnd"/>
      <w:r w:rsidRPr="00DD1206">
        <w:rPr>
          <w:lang w:val="en-GB"/>
        </w:rPr>
        <w:t xml:space="preserve">, O. H. (2015). Improving fodder supply through dual-purpose cereal-legume crop association in the northern </w:t>
      </w:r>
      <w:proofErr w:type="spellStart"/>
      <w:r w:rsidRPr="00DD1206">
        <w:rPr>
          <w:lang w:val="en-GB"/>
        </w:rPr>
        <w:t>Sudanian</w:t>
      </w:r>
      <w:proofErr w:type="spellEnd"/>
      <w:r w:rsidRPr="00DD1206">
        <w:rPr>
          <w:lang w:val="en-GB"/>
        </w:rPr>
        <w:t xml:space="preserve"> zone of Burkina Faso. International Journal of Biological and Chemical Sciences. 9 (3), 1431–1439. </w:t>
      </w:r>
      <w:proofErr w:type="spellStart"/>
      <w:r w:rsidRPr="00DD1206">
        <w:rPr>
          <w:lang w:val="en-GB"/>
        </w:rPr>
        <w:t>doi</w:t>
      </w:r>
      <w:proofErr w:type="spellEnd"/>
      <w:r w:rsidRPr="00DD1206">
        <w:rPr>
          <w:lang w:val="en-GB"/>
        </w:rPr>
        <w:t>: 10.4314/</w:t>
      </w:r>
      <w:proofErr w:type="gramStart"/>
      <w:r w:rsidRPr="00DD1206">
        <w:rPr>
          <w:lang w:val="en-GB"/>
        </w:rPr>
        <w:t>ijbcs.v</w:t>
      </w:r>
      <w:proofErr w:type="gramEnd"/>
      <w:r w:rsidRPr="00DD1206">
        <w:rPr>
          <w:lang w:val="en-GB"/>
        </w:rPr>
        <w:t>9i3.26</w:t>
      </w:r>
    </w:p>
    <w:p w14:paraId="2A76C452" w14:textId="77777777" w:rsidR="00DD1206" w:rsidRPr="00DD1206" w:rsidRDefault="00DD1206" w:rsidP="00DD1206">
      <w:pPr>
        <w:pStyle w:val="Body"/>
        <w:rPr>
          <w:lang w:val="en-GB"/>
        </w:rPr>
      </w:pPr>
      <w:proofErr w:type="spellStart"/>
      <w:r w:rsidRPr="00DD1206">
        <w:rPr>
          <w:lang w:val="en-GB"/>
        </w:rPr>
        <w:t>Ogbemudia</w:t>
      </w:r>
      <w:proofErr w:type="spellEnd"/>
      <w:r w:rsidRPr="00DD1206">
        <w:rPr>
          <w:lang w:val="en-GB"/>
        </w:rPr>
        <w:t xml:space="preserve"> F.O., Denise E.M., </w:t>
      </w:r>
      <w:proofErr w:type="spellStart"/>
      <w:r w:rsidRPr="00DD1206">
        <w:rPr>
          <w:lang w:val="en-GB"/>
        </w:rPr>
        <w:t>Ogie</w:t>
      </w:r>
      <w:proofErr w:type="spellEnd"/>
      <w:r w:rsidRPr="00DD1206">
        <w:rPr>
          <w:lang w:val="en-GB"/>
        </w:rPr>
        <w:t xml:space="preserve">-Odia E.A., and </w:t>
      </w:r>
      <w:proofErr w:type="spellStart"/>
      <w:r w:rsidRPr="00DD1206">
        <w:rPr>
          <w:lang w:val="en-GB"/>
        </w:rPr>
        <w:t>Omonhinmin</w:t>
      </w:r>
      <w:proofErr w:type="spellEnd"/>
      <w:r w:rsidRPr="00DD1206">
        <w:rPr>
          <w:lang w:val="en-GB"/>
        </w:rPr>
        <w:t xml:space="preserve"> A.C. (2010). Comparative germination studies of cowpea (Vigna </w:t>
      </w:r>
      <w:proofErr w:type="spellStart"/>
      <w:r w:rsidRPr="00DD1206">
        <w:rPr>
          <w:lang w:val="en-GB"/>
        </w:rPr>
        <w:t>unguiculata</w:t>
      </w:r>
      <w:proofErr w:type="spellEnd"/>
      <w:r w:rsidRPr="00DD1206">
        <w:rPr>
          <w:lang w:val="en-GB"/>
        </w:rPr>
        <w:t xml:space="preserve"> L. </w:t>
      </w:r>
      <w:proofErr w:type="spellStart"/>
      <w:r w:rsidRPr="00DD1206">
        <w:rPr>
          <w:lang w:val="en-GB"/>
        </w:rPr>
        <w:t>Walp</w:t>
      </w:r>
      <w:proofErr w:type="spellEnd"/>
      <w:r w:rsidRPr="00DD1206">
        <w:rPr>
          <w:lang w:val="en-GB"/>
        </w:rPr>
        <w:t xml:space="preserve">) and soybean (Glycine max L. </w:t>
      </w:r>
      <w:proofErr w:type="spellStart"/>
      <w:r w:rsidRPr="00DD1206">
        <w:rPr>
          <w:lang w:val="en-GB"/>
        </w:rPr>
        <w:t>Merr</w:t>
      </w:r>
      <w:proofErr w:type="spellEnd"/>
      <w:r w:rsidRPr="00DD1206">
        <w:rPr>
          <w:lang w:val="en-GB"/>
        </w:rPr>
        <w:t>.) on whole and water-saturated fractions of hydrocarbon (hexane). Ann.Biol.Res.1(4): 34-40.</w:t>
      </w:r>
    </w:p>
    <w:p w14:paraId="295643B3" w14:textId="77777777" w:rsidR="00DD1206" w:rsidRPr="00DD1206" w:rsidRDefault="00DD1206" w:rsidP="00DD1206">
      <w:pPr>
        <w:pStyle w:val="Body"/>
        <w:rPr>
          <w:lang w:val="en-GB"/>
        </w:rPr>
      </w:pPr>
      <w:proofErr w:type="spellStart"/>
      <w:r w:rsidRPr="00DD1206">
        <w:rPr>
          <w:lang w:val="en-GB"/>
        </w:rPr>
        <w:t>Oudet</w:t>
      </w:r>
      <w:proofErr w:type="spellEnd"/>
      <w:r w:rsidRPr="00DD1206">
        <w:rPr>
          <w:lang w:val="en-GB"/>
        </w:rPr>
        <w:t xml:space="preserve"> M. (2005). Is the white revolution possible in Burkina Faso and more broadly in West Africa? </w:t>
      </w:r>
      <w:proofErr w:type="spellStart"/>
      <w:r w:rsidRPr="00DD1206">
        <w:rPr>
          <w:lang w:val="en-GB"/>
        </w:rPr>
        <w:t>Misereor</w:t>
      </w:r>
      <w:proofErr w:type="spellEnd"/>
      <w:r w:rsidRPr="00DD1206">
        <w:rPr>
          <w:lang w:val="en-GB"/>
        </w:rPr>
        <w:t>, Germany, 30p. PhD. Dissertation. University of California.</w:t>
      </w:r>
    </w:p>
    <w:p w14:paraId="6D6FEF8F" w14:textId="77777777" w:rsidR="00DD1206" w:rsidRPr="00DD1206" w:rsidRDefault="00DD1206" w:rsidP="00DD1206">
      <w:pPr>
        <w:pStyle w:val="Body"/>
        <w:rPr>
          <w:lang w:val="en-GB"/>
        </w:rPr>
      </w:pPr>
      <w:proofErr w:type="spellStart"/>
      <w:r w:rsidRPr="00DD1206">
        <w:rPr>
          <w:lang w:val="en-GB"/>
        </w:rPr>
        <w:t>Ouédraogo</w:t>
      </w:r>
      <w:proofErr w:type="spellEnd"/>
      <w:r w:rsidRPr="00DD1206">
        <w:rPr>
          <w:lang w:val="en-GB"/>
        </w:rPr>
        <w:t xml:space="preserve">, S. (2003). Socioeconomic impact of improved cowpea genotypes on farm incomes in the central plateau of Burkina Faso. </w:t>
      </w:r>
      <w:proofErr w:type="spellStart"/>
      <w:r w:rsidRPr="00DD1206">
        <w:rPr>
          <w:lang w:val="en-GB"/>
        </w:rPr>
        <w:t>Tropicultura</w:t>
      </w:r>
      <w:proofErr w:type="spellEnd"/>
      <w:r w:rsidRPr="00DD1206">
        <w:rPr>
          <w:lang w:val="en-GB"/>
        </w:rPr>
        <w:t xml:space="preserve"> 21 (4): 204-210.</w:t>
      </w:r>
    </w:p>
    <w:p w14:paraId="7A46305D" w14:textId="77777777" w:rsidR="00DD1206" w:rsidRPr="00DD1206" w:rsidRDefault="00DD1206" w:rsidP="00DD1206">
      <w:pPr>
        <w:pStyle w:val="Body"/>
        <w:rPr>
          <w:lang w:val="en-GB"/>
        </w:rPr>
      </w:pPr>
      <w:proofErr w:type="spellStart"/>
      <w:r w:rsidRPr="00DD1206">
        <w:rPr>
          <w:lang w:val="en-GB"/>
        </w:rPr>
        <w:t>Owade</w:t>
      </w:r>
      <w:proofErr w:type="spellEnd"/>
      <w:r w:rsidRPr="00DD1206">
        <w:rPr>
          <w:lang w:val="en-GB"/>
        </w:rPr>
        <w:t xml:space="preserve">, J. O., </w:t>
      </w:r>
      <w:proofErr w:type="spellStart"/>
      <w:r w:rsidRPr="00DD1206">
        <w:rPr>
          <w:lang w:val="en-GB"/>
        </w:rPr>
        <w:t>Abong</w:t>
      </w:r>
      <w:proofErr w:type="spellEnd"/>
      <w:r w:rsidRPr="00DD1206">
        <w:rPr>
          <w:lang w:val="en-GB"/>
        </w:rPr>
        <w:t xml:space="preserve">, G., Okoth, M., &amp; </w:t>
      </w:r>
      <w:proofErr w:type="spellStart"/>
      <w:r w:rsidRPr="00DD1206">
        <w:rPr>
          <w:lang w:val="en-GB"/>
        </w:rPr>
        <w:t>Mwang</w:t>
      </w:r>
      <w:proofErr w:type="spellEnd"/>
      <w:r w:rsidRPr="00DD1206">
        <w:rPr>
          <w:lang w:val="en-GB"/>
        </w:rPr>
        <w:t>, A. W. (2020). A review of the contribution of cowpea leaves to food and nutrition security in east Africa. Food Science and Nutrition, 8(1), 36–47. https://doi.org/10.1002/fsn3.1337</w:t>
      </w:r>
    </w:p>
    <w:p w14:paraId="71BA63E2" w14:textId="77777777" w:rsidR="00DD1206" w:rsidRPr="00DD1206" w:rsidRDefault="00DD1206" w:rsidP="00DD1206">
      <w:pPr>
        <w:pStyle w:val="Body"/>
        <w:rPr>
          <w:lang w:val="en-GB"/>
        </w:rPr>
      </w:pPr>
      <w:r w:rsidRPr="00DD1206">
        <w:rPr>
          <w:lang w:val="en-GB"/>
        </w:rPr>
        <w:t xml:space="preserve">Tulu A., </w:t>
      </w:r>
      <w:proofErr w:type="spellStart"/>
      <w:r w:rsidRPr="00DD1206">
        <w:rPr>
          <w:lang w:val="en-GB"/>
        </w:rPr>
        <w:t>Diribsa</w:t>
      </w:r>
      <w:proofErr w:type="spellEnd"/>
      <w:r w:rsidRPr="00DD1206">
        <w:rPr>
          <w:lang w:val="en-GB"/>
        </w:rPr>
        <w:t xml:space="preserve"> M &amp; </w:t>
      </w:r>
      <w:proofErr w:type="spellStart"/>
      <w:r w:rsidRPr="00DD1206">
        <w:rPr>
          <w:lang w:val="en-GB"/>
        </w:rPr>
        <w:t>Keba</w:t>
      </w:r>
      <w:proofErr w:type="spellEnd"/>
      <w:r w:rsidRPr="00DD1206">
        <w:rPr>
          <w:lang w:val="en-GB"/>
        </w:rPr>
        <w:t xml:space="preserve"> W. (2023). Forage yield, nutrient composition and in-vitro digestibility of ten early maturing cowpea (Vigna unguiculate) genotypes under various locations of Western Ethiopia, Cogent Food &amp; Agriculture, 9:2, 2281087, DOI: 10.1080/23311932.2023.2281087</w:t>
      </w:r>
    </w:p>
    <w:p w14:paraId="7B9BCE30" w14:textId="1696B7EF" w:rsidR="00C44A55" w:rsidRDefault="00DD1206" w:rsidP="00DD1206">
      <w:pPr>
        <w:pStyle w:val="Body"/>
        <w:spacing w:after="0"/>
        <w:rPr>
          <w:lang w:val="en-GB"/>
        </w:rPr>
      </w:pPr>
      <w:proofErr w:type="spellStart"/>
      <w:r w:rsidRPr="00DD1206">
        <w:rPr>
          <w:lang w:val="en-GB"/>
        </w:rPr>
        <w:t>Zougmoré</w:t>
      </w:r>
      <w:proofErr w:type="spellEnd"/>
      <w:r w:rsidRPr="00DD1206">
        <w:rPr>
          <w:lang w:val="en-GB"/>
        </w:rPr>
        <w:t xml:space="preserve"> BR, Mando A, </w:t>
      </w:r>
      <w:proofErr w:type="spellStart"/>
      <w:r w:rsidRPr="00DD1206">
        <w:rPr>
          <w:lang w:val="en-GB"/>
        </w:rPr>
        <w:t>Stroosnijder</w:t>
      </w:r>
      <w:proofErr w:type="spellEnd"/>
      <w:r w:rsidRPr="00DD1206">
        <w:rPr>
          <w:lang w:val="en-GB"/>
        </w:rPr>
        <w:t xml:space="preserve"> L, </w:t>
      </w:r>
      <w:proofErr w:type="spellStart"/>
      <w:r w:rsidRPr="00DD1206">
        <w:rPr>
          <w:lang w:val="en-GB"/>
        </w:rPr>
        <w:t>Guillobez</w:t>
      </w:r>
      <w:proofErr w:type="spellEnd"/>
      <w:r w:rsidRPr="00DD1206">
        <w:rPr>
          <w:lang w:val="en-GB"/>
        </w:rPr>
        <w:t xml:space="preserve"> S. (2004). Nitrogen flows and balances as affected by soil water and nutrients management in semi-arid Burkina Faso. Field Crops Res., 90:235–244. </w:t>
      </w:r>
      <w:proofErr w:type="gramStart"/>
      <w:r w:rsidRPr="00DD1206">
        <w:rPr>
          <w:lang w:val="en-GB"/>
        </w:rPr>
        <w:t>DOI:10.1016/j.fcr</w:t>
      </w:r>
      <w:proofErr w:type="gramEnd"/>
      <w:r w:rsidRPr="00DD1206">
        <w:rPr>
          <w:lang w:val="en-GB"/>
        </w:rPr>
        <w:t>.2004.03.006</w:t>
      </w:r>
    </w:p>
    <w:p w14:paraId="34BC3E3C" w14:textId="5F2F9070" w:rsidR="004D4277" w:rsidRPr="00FB3A86" w:rsidRDefault="004D4277" w:rsidP="00441B6F">
      <w:pPr>
        <w:pStyle w:val="Appendix"/>
        <w:spacing w:after="0"/>
        <w:jc w:val="both"/>
        <w:rPr>
          <w:rFonts w:ascii="Arial" w:hAnsi="Arial" w:cs="Arial"/>
          <w:b w:val="0"/>
        </w:rPr>
        <w:sectPr w:rsidR="004D4277" w:rsidRPr="00FB3A86" w:rsidSect="001E627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34AC467C" w14:textId="77777777" w:rsidR="00B01FCD" w:rsidRPr="00FB3A86" w:rsidRDefault="00B01FCD" w:rsidP="00441B6F">
      <w:pPr>
        <w:pStyle w:val="Appendix"/>
        <w:spacing w:after="0"/>
        <w:jc w:val="both"/>
        <w:rPr>
          <w:rFonts w:ascii="Arial" w:hAnsi="Arial" w:cs="Arial"/>
          <w:b w:val="0"/>
        </w:rPr>
      </w:pPr>
    </w:p>
    <w:sectPr w:rsidR="00B01FCD" w:rsidRPr="00FB3A86" w:rsidSect="001E627E">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ED084" w14:textId="77777777" w:rsidR="004478B4" w:rsidRDefault="004478B4" w:rsidP="00C37E61">
      <w:r>
        <w:separator/>
      </w:r>
    </w:p>
  </w:endnote>
  <w:endnote w:type="continuationSeparator" w:id="0">
    <w:p w14:paraId="5616119A" w14:textId="77777777" w:rsidR="004478B4" w:rsidRDefault="004478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37B6" w14:textId="77777777" w:rsidR="001E627E" w:rsidRDefault="001E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B875" w14:textId="77777777" w:rsidR="001E627E" w:rsidRDefault="001E6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1981" w14:textId="1C530713" w:rsidR="00754C9A" w:rsidRPr="001E627E" w:rsidRDefault="00754C9A" w:rsidP="001E627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50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3455B" w14:textId="77777777" w:rsidR="004478B4" w:rsidRDefault="004478B4" w:rsidP="00C37E61">
      <w:r>
        <w:separator/>
      </w:r>
    </w:p>
  </w:footnote>
  <w:footnote w:type="continuationSeparator" w:id="0">
    <w:p w14:paraId="3F5F6029" w14:textId="77777777" w:rsidR="004478B4" w:rsidRDefault="004478B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0324" w14:textId="6C8CBEE4" w:rsidR="001E627E" w:rsidRDefault="001E627E">
    <w:pPr>
      <w:pStyle w:val="Header"/>
    </w:pPr>
    <w:r>
      <w:rPr>
        <w:noProof/>
      </w:rPr>
      <w:pict w14:anchorId="4C36C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9A36" w14:textId="427377F5" w:rsidR="001E627E" w:rsidRDefault="001E627E">
    <w:pPr>
      <w:pStyle w:val="Header"/>
    </w:pPr>
    <w:r>
      <w:rPr>
        <w:noProof/>
      </w:rPr>
      <w:pict w14:anchorId="7B172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6A0A" w14:textId="0EFF539C" w:rsidR="00296529" w:rsidRPr="00296529" w:rsidRDefault="001E627E" w:rsidP="00296529">
    <w:pPr>
      <w:ind w:left="2160"/>
      <w:jc w:val="center"/>
      <w:rPr>
        <w:rFonts w:ascii="Times New Roman" w:eastAsia="Calibri" w:hAnsi="Times New Roman"/>
        <w:i/>
        <w:sz w:val="18"/>
        <w:szCs w:val="22"/>
      </w:rPr>
    </w:pPr>
    <w:r>
      <w:rPr>
        <w:noProof/>
      </w:rPr>
      <w:pict w14:anchorId="4A71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19E4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6432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FAA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3E45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07AE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B94C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D14D" w14:textId="4EEA57F7" w:rsidR="001E627E" w:rsidRDefault="001E627E">
    <w:pPr>
      <w:pStyle w:val="Header"/>
    </w:pPr>
    <w:r>
      <w:rPr>
        <w:noProof/>
      </w:rPr>
      <w:pict w14:anchorId="6FD16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D8AE" w14:textId="226577FE" w:rsidR="001E627E" w:rsidRDefault="001E627E">
    <w:pPr>
      <w:pStyle w:val="Header"/>
    </w:pPr>
    <w:r>
      <w:rPr>
        <w:noProof/>
      </w:rPr>
      <w:pict w14:anchorId="364C2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E6DE" w14:textId="2606FE61" w:rsidR="001E627E" w:rsidRDefault="001E627E">
    <w:pPr>
      <w:pStyle w:val="Header"/>
    </w:pPr>
    <w:r>
      <w:rPr>
        <w:noProof/>
      </w:rPr>
      <w:pict w14:anchorId="3AE2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5C0"/>
    <w:rsid w:val="00030174"/>
    <w:rsid w:val="0004579C"/>
    <w:rsid w:val="00047CAD"/>
    <w:rsid w:val="00085A15"/>
    <w:rsid w:val="000A47FA"/>
    <w:rsid w:val="000A65D3"/>
    <w:rsid w:val="000B1E33"/>
    <w:rsid w:val="000D689F"/>
    <w:rsid w:val="000E5E96"/>
    <w:rsid w:val="000E7B7B"/>
    <w:rsid w:val="000E7D62"/>
    <w:rsid w:val="00103357"/>
    <w:rsid w:val="0010589B"/>
    <w:rsid w:val="00123C9F"/>
    <w:rsid w:val="00126190"/>
    <w:rsid w:val="00130F17"/>
    <w:rsid w:val="001320BF"/>
    <w:rsid w:val="00151AA4"/>
    <w:rsid w:val="00163BC4"/>
    <w:rsid w:val="00191062"/>
    <w:rsid w:val="00192B72"/>
    <w:rsid w:val="001A29D8"/>
    <w:rsid w:val="001A5CAA"/>
    <w:rsid w:val="001B0427"/>
    <w:rsid w:val="001D3A51"/>
    <w:rsid w:val="001E10D2"/>
    <w:rsid w:val="001E25B4"/>
    <w:rsid w:val="001E44FE"/>
    <w:rsid w:val="001E627E"/>
    <w:rsid w:val="00200595"/>
    <w:rsid w:val="00204835"/>
    <w:rsid w:val="00231920"/>
    <w:rsid w:val="0023195C"/>
    <w:rsid w:val="0024282C"/>
    <w:rsid w:val="002460DC"/>
    <w:rsid w:val="00247754"/>
    <w:rsid w:val="00250985"/>
    <w:rsid w:val="002556F6"/>
    <w:rsid w:val="00283105"/>
    <w:rsid w:val="00284C4C"/>
    <w:rsid w:val="00287E68"/>
    <w:rsid w:val="00296529"/>
    <w:rsid w:val="002B17B9"/>
    <w:rsid w:val="002B27FB"/>
    <w:rsid w:val="002B685A"/>
    <w:rsid w:val="002C5660"/>
    <w:rsid w:val="002C57D2"/>
    <w:rsid w:val="002E0D56"/>
    <w:rsid w:val="002E1311"/>
    <w:rsid w:val="00315186"/>
    <w:rsid w:val="0033343E"/>
    <w:rsid w:val="003512C2"/>
    <w:rsid w:val="00355949"/>
    <w:rsid w:val="0036570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8B4"/>
    <w:rsid w:val="00450E62"/>
    <w:rsid w:val="004539DB"/>
    <w:rsid w:val="00471A80"/>
    <w:rsid w:val="004C575E"/>
    <w:rsid w:val="004D0B59"/>
    <w:rsid w:val="004D305E"/>
    <w:rsid w:val="004D4277"/>
    <w:rsid w:val="00502516"/>
    <w:rsid w:val="00505F06"/>
    <w:rsid w:val="00506828"/>
    <w:rsid w:val="0053056E"/>
    <w:rsid w:val="00554FDA"/>
    <w:rsid w:val="005C784C"/>
    <w:rsid w:val="005D17F6"/>
    <w:rsid w:val="005E5539"/>
    <w:rsid w:val="005F18A1"/>
    <w:rsid w:val="00602BF5"/>
    <w:rsid w:val="00617FDD"/>
    <w:rsid w:val="006205E2"/>
    <w:rsid w:val="00633614"/>
    <w:rsid w:val="00633F68"/>
    <w:rsid w:val="00636EB2"/>
    <w:rsid w:val="006375B8"/>
    <w:rsid w:val="00644276"/>
    <w:rsid w:val="0066366E"/>
    <w:rsid w:val="0066510A"/>
    <w:rsid w:val="00673F9F"/>
    <w:rsid w:val="0067433C"/>
    <w:rsid w:val="00686953"/>
    <w:rsid w:val="00687DEA"/>
    <w:rsid w:val="00687E67"/>
    <w:rsid w:val="006967F7"/>
    <w:rsid w:val="006A250C"/>
    <w:rsid w:val="006B21D3"/>
    <w:rsid w:val="006B2292"/>
    <w:rsid w:val="006B57D0"/>
    <w:rsid w:val="006D30FF"/>
    <w:rsid w:val="006D6940"/>
    <w:rsid w:val="006F11EC"/>
    <w:rsid w:val="0070082C"/>
    <w:rsid w:val="00733019"/>
    <w:rsid w:val="007369E6"/>
    <w:rsid w:val="00746E59"/>
    <w:rsid w:val="00754C9A"/>
    <w:rsid w:val="0075599A"/>
    <w:rsid w:val="00761D52"/>
    <w:rsid w:val="0077749E"/>
    <w:rsid w:val="00790ADA"/>
    <w:rsid w:val="00795AC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55B4"/>
    <w:rsid w:val="009C2465"/>
    <w:rsid w:val="009C263F"/>
    <w:rsid w:val="009D35A0"/>
    <w:rsid w:val="009D7EB7"/>
    <w:rsid w:val="009E048A"/>
    <w:rsid w:val="009E08E9"/>
    <w:rsid w:val="009E3DB9"/>
    <w:rsid w:val="009E6E35"/>
    <w:rsid w:val="009F0EDA"/>
    <w:rsid w:val="00A03B96"/>
    <w:rsid w:val="00A05B19"/>
    <w:rsid w:val="00A1134E"/>
    <w:rsid w:val="00A12E8B"/>
    <w:rsid w:val="00A24E7E"/>
    <w:rsid w:val="00A258C3"/>
    <w:rsid w:val="00A347C0"/>
    <w:rsid w:val="00A51431"/>
    <w:rsid w:val="00A516DF"/>
    <w:rsid w:val="00A539AD"/>
    <w:rsid w:val="00A94063"/>
    <w:rsid w:val="00AA6219"/>
    <w:rsid w:val="00AA74E0"/>
    <w:rsid w:val="00AB703F"/>
    <w:rsid w:val="00AC6BB8"/>
    <w:rsid w:val="00AE008F"/>
    <w:rsid w:val="00B01FCD"/>
    <w:rsid w:val="00B1442C"/>
    <w:rsid w:val="00B1776C"/>
    <w:rsid w:val="00B52583"/>
    <w:rsid w:val="00B52896"/>
    <w:rsid w:val="00B95236"/>
    <w:rsid w:val="00B96BD9"/>
    <w:rsid w:val="00B96DC9"/>
    <w:rsid w:val="00BA1B01"/>
    <w:rsid w:val="00BA2641"/>
    <w:rsid w:val="00BB37AA"/>
    <w:rsid w:val="00BC53A0"/>
    <w:rsid w:val="00BE62AD"/>
    <w:rsid w:val="00BF121F"/>
    <w:rsid w:val="00BF1F80"/>
    <w:rsid w:val="00C166EF"/>
    <w:rsid w:val="00C17EB0"/>
    <w:rsid w:val="00C27F5F"/>
    <w:rsid w:val="00C30A0F"/>
    <w:rsid w:val="00C37E61"/>
    <w:rsid w:val="00C44A55"/>
    <w:rsid w:val="00C70F1B"/>
    <w:rsid w:val="00C71A47"/>
    <w:rsid w:val="00C7464C"/>
    <w:rsid w:val="00C85588"/>
    <w:rsid w:val="00CD6755"/>
    <w:rsid w:val="00CD6856"/>
    <w:rsid w:val="00CE0089"/>
    <w:rsid w:val="00CE793C"/>
    <w:rsid w:val="00CE7981"/>
    <w:rsid w:val="00CF193C"/>
    <w:rsid w:val="00D02E66"/>
    <w:rsid w:val="00D173F1"/>
    <w:rsid w:val="00D7314E"/>
    <w:rsid w:val="00D74CB0"/>
    <w:rsid w:val="00D8295D"/>
    <w:rsid w:val="00DC2A65"/>
    <w:rsid w:val="00DD1206"/>
    <w:rsid w:val="00DE15F0"/>
    <w:rsid w:val="00DE28DA"/>
    <w:rsid w:val="00DE5663"/>
    <w:rsid w:val="00DE78AA"/>
    <w:rsid w:val="00E0064C"/>
    <w:rsid w:val="00E053D0"/>
    <w:rsid w:val="00E15994"/>
    <w:rsid w:val="00E3114E"/>
    <w:rsid w:val="00E31A70"/>
    <w:rsid w:val="00E35B02"/>
    <w:rsid w:val="00E66496"/>
    <w:rsid w:val="00E66B35"/>
    <w:rsid w:val="00E66E10"/>
    <w:rsid w:val="00E769F6"/>
    <w:rsid w:val="00E8407C"/>
    <w:rsid w:val="00E84F3C"/>
    <w:rsid w:val="00E972F4"/>
    <w:rsid w:val="00EA012C"/>
    <w:rsid w:val="00EC1186"/>
    <w:rsid w:val="00EC6A55"/>
    <w:rsid w:val="00ED0288"/>
    <w:rsid w:val="00EE52CB"/>
    <w:rsid w:val="00EF581D"/>
    <w:rsid w:val="00EF7FD8"/>
    <w:rsid w:val="00F06F59"/>
    <w:rsid w:val="00F17988"/>
    <w:rsid w:val="00F469F0"/>
    <w:rsid w:val="00F53273"/>
    <w:rsid w:val="00F755E4"/>
    <w:rsid w:val="00F77D02"/>
    <w:rsid w:val="00FB3A86"/>
    <w:rsid w:val="00FB3CFE"/>
    <w:rsid w:val="00FD36C8"/>
    <w:rsid w:val="00FE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AA66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0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330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121/granthaalayah.v7.i5.2019.824"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071ED-1266-4791-A31D-559CD66B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3659</Words>
  <Characters>20862</Characters>
  <Application>Microsoft Office Word</Application>
  <DocSecurity>0</DocSecurity>
  <Lines>173</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2025-09-12T15:36:00Z</dcterms:created>
  <dcterms:modified xsi:type="dcterms:W3CDTF">2025-09-13T11:53:00Z</dcterms:modified>
</cp:coreProperties>
</file>