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4C7E" w14:textId="0F88E662" w:rsidR="006E0DA5" w:rsidRPr="00043AFA" w:rsidRDefault="006E0DA5" w:rsidP="006E0DA5">
      <w:pPr>
        <w:jc w:val="center"/>
        <w:rPr>
          <w:rFonts w:ascii="Arial" w:hAnsi="Arial" w:cs="Arial"/>
          <w:b/>
          <w:sz w:val="24"/>
          <w:szCs w:val="22"/>
        </w:rPr>
      </w:pPr>
      <w:r w:rsidRPr="00043AFA">
        <w:rPr>
          <w:rFonts w:ascii="Arial" w:hAnsi="Arial" w:cs="Arial"/>
          <w:b/>
          <w:sz w:val="24"/>
          <w:szCs w:val="22"/>
        </w:rPr>
        <w:t xml:space="preserve">Screening and Evaluation of Powdery </w:t>
      </w:r>
      <w:r w:rsidR="00681D78" w:rsidRPr="00043AFA">
        <w:rPr>
          <w:rFonts w:ascii="Arial" w:hAnsi="Arial" w:cs="Arial"/>
          <w:b/>
          <w:sz w:val="24"/>
          <w:szCs w:val="22"/>
        </w:rPr>
        <w:t>Mildew Resistance in a Diverse s</w:t>
      </w:r>
      <w:r w:rsidRPr="00043AFA">
        <w:rPr>
          <w:rFonts w:ascii="Arial" w:hAnsi="Arial" w:cs="Arial"/>
          <w:b/>
          <w:sz w:val="24"/>
          <w:szCs w:val="22"/>
        </w:rPr>
        <w:t xml:space="preserve">et of </w:t>
      </w:r>
      <w:r w:rsidR="00E164B4" w:rsidRPr="00043AFA">
        <w:rPr>
          <w:rFonts w:ascii="Arial" w:hAnsi="Arial" w:cs="Arial"/>
          <w:b/>
          <w:sz w:val="24"/>
          <w:szCs w:val="22"/>
        </w:rPr>
        <w:t xml:space="preserve">    </w:t>
      </w:r>
      <w:r w:rsidRPr="00043AFA">
        <w:rPr>
          <w:rFonts w:ascii="Arial" w:hAnsi="Arial" w:cs="Arial"/>
          <w:b/>
          <w:sz w:val="24"/>
          <w:szCs w:val="22"/>
        </w:rPr>
        <w:t>Linseed (</w:t>
      </w:r>
      <w:proofErr w:type="spellStart"/>
      <w:r w:rsidRPr="00043AFA">
        <w:rPr>
          <w:rFonts w:ascii="Arial" w:hAnsi="Arial" w:cs="Arial"/>
          <w:b/>
          <w:i/>
          <w:sz w:val="24"/>
          <w:szCs w:val="22"/>
        </w:rPr>
        <w:t>Linum</w:t>
      </w:r>
      <w:proofErr w:type="spellEnd"/>
      <w:r w:rsidRPr="00043AFA">
        <w:rPr>
          <w:rFonts w:ascii="Arial" w:hAnsi="Arial" w:cs="Arial"/>
          <w:b/>
          <w:i/>
          <w:sz w:val="24"/>
          <w:szCs w:val="22"/>
        </w:rPr>
        <w:t xml:space="preserve"> </w:t>
      </w:r>
      <w:proofErr w:type="spellStart"/>
      <w:r w:rsidRPr="00043AFA">
        <w:rPr>
          <w:rFonts w:ascii="Arial" w:hAnsi="Arial" w:cs="Arial"/>
          <w:b/>
          <w:i/>
          <w:sz w:val="24"/>
          <w:szCs w:val="22"/>
        </w:rPr>
        <w:t>usitatissimum</w:t>
      </w:r>
      <w:proofErr w:type="spellEnd"/>
      <w:r w:rsidRPr="00043AFA">
        <w:rPr>
          <w:rFonts w:ascii="Arial" w:hAnsi="Arial" w:cs="Arial"/>
          <w:b/>
          <w:sz w:val="24"/>
          <w:szCs w:val="22"/>
        </w:rPr>
        <w:t xml:space="preserve"> L.) Germplasm</w:t>
      </w:r>
    </w:p>
    <w:p w14:paraId="55FCDDEF" w14:textId="77777777" w:rsidR="00FD15C3" w:rsidRDefault="00FD15C3" w:rsidP="006E0DA5">
      <w:pPr>
        <w:jc w:val="both"/>
        <w:rPr>
          <w:rFonts w:ascii="Arial" w:hAnsi="Arial" w:cs="Arial"/>
          <w:b/>
          <w:color w:val="000000"/>
          <w:sz w:val="20"/>
        </w:rPr>
      </w:pPr>
    </w:p>
    <w:p w14:paraId="01E05326" w14:textId="4986DDEE" w:rsidR="00FD258F" w:rsidRPr="00043AFA" w:rsidRDefault="00FD258F" w:rsidP="006E0DA5">
      <w:pPr>
        <w:jc w:val="both"/>
        <w:rPr>
          <w:rFonts w:ascii="Arial" w:hAnsi="Arial" w:cs="Arial"/>
          <w:b/>
          <w:color w:val="000000"/>
          <w:sz w:val="20"/>
        </w:rPr>
      </w:pPr>
      <w:r w:rsidRPr="00043AFA">
        <w:rPr>
          <w:rFonts w:ascii="Arial" w:hAnsi="Arial" w:cs="Arial"/>
          <w:b/>
          <w:color w:val="000000"/>
          <w:sz w:val="20"/>
        </w:rPr>
        <w:t>ABSTRACT</w:t>
      </w:r>
    </w:p>
    <w:p w14:paraId="1B4E6DF9" w14:textId="1EB3B43A" w:rsidR="00510AF9" w:rsidRPr="00043AFA" w:rsidRDefault="009A1293" w:rsidP="009A1293">
      <w:pPr>
        <w:spacing w:line="240" w:lineRule="auto"/>
        <w:jc w:val="both"/>
        <w:rPr>
          <w:rFonts w:ascii="Arial" w:hAnsi="Arial" w:cs="Arial"/>
          <w:sz w:val="20"/>
        </w:rPr>
      </w:pPr>
      <w:r w:rsidRPr="00043AFA">
        <w:rPr>
          <w:rFonts w:ascii="Arial" w:hAnsi="Arial" w:cs="Arial"/>
          <w:b/>
          <w:sz w:val="20"/>
        </w:rPr>
        <w:t xml:space="preserve">Aims: </w:t>
      </w:r>
      <w:r w:rsidR="00510AF9" w:rsidRPr="00043AFA">
        <w:rPr>
          <w:rFonts w:ascii="Arial" w:hAnsi="Arial" w:cs="Arial"/>
          <w:sz w:val="20"/>
        </w:rPr>
        <w:t>The study was conducted to evaluate 356 linseed (</w:t>
      </w:r>
      <w:proofErr w:type="spellStart"/>
      <w:r w:rsidR="00510AF9" w:rsidRPr="00043AFA">
        <w:rPr>
          <w:rFonts w:ascii="Arial" w:hAnsi="Arial" w:cs="Arial"/>
          <w:i/>
          <w:sz w:val="20"/>
        </w:rPr>
        <w:t>Linum</w:t>
      </w:r>
      <w:proofErr w:type="spellEnd"/>
      <w:r w:rsidR="00510AF9" w:rsidRPr="00043AFA">
        <w:rPr>
          <w:rFonts w:ascii="Arial" w:hAnsi="Arial" w:cs="Arial"/>
          <w:i/>
          <w:sz w:val="20"/>
        </w:rPr>
        <w:t xml:space="preserve"> </w:t>
      </w:r>
      <w:proofErr w:type="spellStart"/>
      <w:r w:rsidR="00510AF9" w:rsidRPr="00043AFA">
        <w:rPr>
          <w:rFonts w:ascii="Arial" w:hAnsi="Arial" w:cs="Arial"/>
          <w:i/>
          <w:sz w:val="20"/>
        </w:rPr>
        <w:t>usitatissimum</w:t>
      </w:r>
      <w:proofErr w:type="spellEnd"/>
      <w:r w:rsidR="00510AF9" w:rsidRPr="00043AFA">
        <w:rPr>
          <w:rFonts w:ascii="Arial" w:hAnsi="Arial" w:cs="Arial"/>
          <w:sz w:val="20"/>
        </w:rPr>
        <w:t xml:space="preserve"> L.) germplasm accessions for resistance to powdery mildew under natural field conditions during the Rabi seasons of 2022-23 and 2023-24.</w:t>
      </w:r>
    </w:p>
    <w:p w14:paraId="5C404365" w14:textId="2ADDAF4B" w:rsidR="009A1293" w:rsidRPr="00043AFA" w:rsidRDefault="009A1293" w:rsidP="009A1293">
      <w:pPr>
        <w:spacing w:line="240" w:lineRule="auto"/>
        <w:jc w:val="both"/>
        <w:rPr>
          <w:rFonts w:ascii="Arial" w:hAnsi="Arial" w:cs="Arial"/>
          <w:sz w:val="20"/>
        </w:rPr>
      </w:pPr>
      <w:r w:rsidRPr="00043AFA">
        <w:rPr>
          <w:rFonts w:ascii="Arial" w:hAnsi="Arial" w:cs="Arial"/>
          <w:b/>
          <w:sz w:val="20"/>
        </w:rPr>
        <w:t>Study design:</w:t>
      </w:r>
      <w:r w:rsidRPr="00043AFA">
        <w:rPr>
          <w:rFonts w:ascii="Arial" w:hAnsi="Arial" w:cs="Arial"/>
          <w:sz w:val="20"/>
        </w:rPr>
        <w:t xml:space="preserve"> </w:t>
      </w:r>
    </w:p>
    <w:p w14:paraId="286650E9" w14:textId="3200716E" w:rsidR="009A1293" w:rsidRPr="00043AFA" w:rsidRDefault="009A1293" w:rsidP="009A1293">
      <w:pPr>
        <w:spacing w:line="240" w:lineRule="auto"/>
        <w:jc w:val="both"/>
        <w:rPr>
          <w:rFonts w:ascii="Arial" w:hAnsi="Arial" w:cs="Arial"/>
          <w:sz w:val="20"/>
        </w:rPr>
      </w:pPr>
      <w:r w:rsidRPr="00043AFA">
        <w:rPr>
          <w:rFonts w:ascii="Arial" w:eastAsia="Calibri" w:hAnsi="Arial" w:cs="Arial"/>
          <w:b/>
          <w:sz w:val="20"/>
        </w:rPr>
        <w:t xml:space="preserve">Place and Duration of Study: </w:t>
      </w:r>
      <w:r w:rsidRPr="00043AFA">
        <w:rPr>
          <w:rFonts w:ascii="Arial" w:hAnsi="Arial" w:cs="Arial"/>
          <w:sz w:val="20"/>
        </w:rPr>
        <w:t xml:space="preserve">The field experiment was carried out </w:t>
      </w:r>
      <w:r w:rsidR="00510AF9" w:rsidRPr="00043AFA">
        <w:rPr>
          <w:rFonts w:ascii="Arial" w:hAnsi="Arial" w:cs="Arial"/>
          <w:sz w:val="20"/>
        </w:rPr>
        <w:t>in</w:t>
      </w:r>
      <w:r w:rsidRPr="00043AFA">
        <w:rPr>
          <w:rFonts w:ascii="Arial" w:hAnsi="Arial" w:cs="Arial"/>
          <w:sz w:val="20"/>
        </w:rPr>
        <w:t xml:space="preserve"> the experimental plot of</w:t>
      </w:r>
      <w:r w:rsidR="00514C8B" w:rsidRPr="00043AFA">
        <w:rPr>
          <w:rFonts w:ascii="Arial" w:hAnsi="Arial" w:cs="Arial"/>
          <w:sz w:val="20"/>
        </w:rPr>
        <w:t xml:space="preserve"> </w:t>
      </w:r>
      <w:r w:rsidRPr="00043AFA">
        <w:rPr>
          <w:rFonts w:ascii="Arial" w:hAnsi="Arial" w:cs="Arial"/>
          <w:sz w:val="20"/>
        </w:rPr>
        <w:t xml:space="preserve">AICRP on Linseed, Regional Research and Technology Transfer Station (RRTTS), </w:t>
      </w:r>
      <w:r w:rsidRPr="00043AFA">
        <w:rPr>
          <w:rFonts w:ascii="Arial" w:hAnsi="Arial" w:cs="Arial"/>
          <w:bCs/>
          <w:sz w:val="20"/>
        </w:rPr>
        <w:t xml:space="preserve">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xml:space="preserve">, situated under North Central Plateau Zone (NCPZ) of Odisha. </w:t>
      </w:r>
    </w:p>
    <w:p w14:paraId="11009AB2" w14:textId="30D8CAF2" w:rsidR="00A7335C" w:rsidRPr="00043AFA" w:rsidRDefault="009A1293" w:rsidP="00A7335C">
      <w:pPr>
        <w:jc w:val="both"/>
        <w:rPr>
          <w:rFonts w:ascii="Arial" w:hAnsi="Arial" w:cs="Arial"/>
          <w:color w:val="000000"/>
          <w:sz w:val="20"/>
        </w:rPr>
      </w:pPr>
      <w:r w:rsidRPr="00043AFA">
        <w:rPr>
          <w:rFonts w:ascii="Arial" w:eastAsia="Calibri" w:hAnsi="Arial" w:cs="Arial"/>
          <w:b/>
          <w:bCs/>
          <w:sz w:val="20"/>
        </w:rPr>
        <w:t xml:space="preserve">Methodology: </w:t>
      </w:r>
      <w:r w:rsidR="00A7335C" w:rsidRPr="00043AFA">
        <w:rPr>
          <w:rFonts w:ascii="Arial" w:eastAsia="Calibri" w:hAnsi="Arial" w:cs="Arial"/>
          <w:b/>
          <w:bCs/>
          <w:sz w:val="20"/>
        </w:rPr>
        <w:t xml:space="preserve">The </w:t>
      </w:r>
      <w:r w:rsidR="00A7335C" w:rsidRPr="00043AFA">
        <w:rPr>
          <w:rFonts w:ascii="Arial" w:hAnsi="Arial" w:cs="Arial"/>
          <w:color w:val="000000"/>
          <w:sz w:val="20"/>
        </w:rPr>
        <w:t>germplasm lines were screened for reaction to powdery mildew disease under natural field condition during Rabi-</w:t>
      </w:r>
      <w:r w:rsidR="00A7335C" w:rsidRPr="00043AFA">
        <w:rPr>
          <w:rFonts w:ascii="Arial" w:hAnsi="Arial" w:cs="Arial"/>
          <w:sz w:val="20"/>
        </w:rPr>
        <w:t>2022</w:t>
      </w:r>
      <w:r w:rsidR="00510AF9" w:rsidRPr="00043AFA">
        <w:rPr>
          <w:rFonts w:ascii="Arial" w:hAnsi="Arial" w:cs="Arial"/>
          <w:color w:val="000000"/>
          <w:sz w:val="20"/>
        </w:rPr>
        <w:t>-</w:t>
      </w:r>
      <w:r w:rsidR="00A7335C" w:rsidRPr="00043AFA">
        <w:rPr>
          <w:rFonts w:ascii="Arial" w:hAnsi="Arial" w:cs="Arial"/>
          <w:sz w:val="20"/>
        </w:rPr>
        <w:t xml:space="preserve">23 and </w:t>
      </w:r>
      <w:r w:rsidR="00A7335C" w:rsidRPr="00043AFA">
        <w:rPr>
          <w:rFonts w:ascii="Arial" w:hAnsi="Arial" w:cs="Arial"/>
          <w:color w:val="000000"/>
          <w:sz w:val="20"/>
        </w:rPr>
        <w:t>Rabi-</w:t>
      </w:r>
      <w:r w:rsidR="00A7335C" w:rsidRPr="00043AFA">
        <w:rPr>
          <w:rFonts w:ascii="Arial" w:hAnsi="Arial" w:cs="Arial"/>
          <w:sz w:val="20"/>
        </w:rPr>
        <w:t>2023-24</w:t>
      </w:r>
      <w:r w:rsidR="00A7335C" w:rsidRPr="00043AFA">
        <w:rPr>
          <w:rFonts w:ascii="Arial" w:hAnsi="Arial" w:cs="Arial"/>
          <w:color w:val="000000"/>
          <w:sz w:val="20"/>
        </w:rPr>
        <w:t>. The disea</w:t>
      </w:r>
      <w:r w:rsidR="00514C8B" w:rsidRPr="00043AFA">
        <w:rPr>
          <w:rFonts w:ascii="Arial" w:hAnsi="Arial" w:cs="Arial"/>
          <w:color w:val="000000"/>
          <w:sz w:val="20"/>
        </w:rPr>
        <w:t>se severity was assessed using</w:t>
      </w:r>
      <w:r w:rsidR="003D5885" w:rsidRPr="00043AFA">
        <w:rPr>
          <w:rFonts w:ascii="Arial" w:hAnsi="Arial" w:cs="Arial"/>
          <w:color w:val="000000"/>
          <w:sz w:val="20"/>
        </w:rPr>
        <w:t xml:space="preserve"> 0-</w:t>
      </w:r>
      <w:r w:rsidR="00A7335C" w:rsidRPr="00043AFA">
        <w:rPr>
          <w:rFonts w:ascii="Arial" w:hAnsi="Arial" w:cs="Arial"/>
          <w:color w:val="000000"/>
          <w:sz w:val="20"/>
        </w:rPr>
        <w:t xml:space="preserve">5 scale, where genotypes with scores below 2 were classified as resistant. </w:t>
      </w:r>
    </w:p>
    <w:p w14:paraId="00AF107C" w14:textId="07EE61A3" w:rsidR="009A1293" w:rsidRPr="00043AFA" w:rsidRDefault="009A1293" w:rsidP="009A1293">
      <w:pPr>
        <w:spacing w:line="240" w:lineRule="auto"/>
        <w:jc w:val="both"/>
        <w:rPr>
          <w:rFonts w:ascii="Arial" w:hAnsi="Arial" w:cs="Arial"/>
          <w:sz w:val="20"/>
        </w:rPr>
      </w:pPr>
      <w:r w:rsidRPr="00043AFA">
        <w:rPr>
          <w:rFonts w:ascii="Arial" w:eastAsia="Calibri" w:hAnsi="Arial" w:cs="Arial"/>
          <w:b/>
          <w:bCs/>
          <w:sz w:val="20"/>
        </w:rPr>
        <w:t>Results</w:t>
      </w:r>
      <w:r w:rsidRPr="00043AFA">
        <w:rPr>
          <w:rFonts w:ascii="Arial" w:hAnsi="Arial" w:cs="Arial"/>
          <w:b/>
          <w:sz w:val="20"/>
        </w:rPr>
        <w:t>:</w:t>
      </w:r>
      <w:r w:rsidRPr="00043AFA">
        <w:rPr>
          <w:rFonts w:ascii="Arial" w:hAnsi="Arial" w:cs="Arial"/>
          <w:sz w:val="20"/>
        </w:rPr>
        <w:t xml:space="preserve"> </w:t>
      </w:r>
      <w:r w:rsidR="00514C8B" w:rsidRPr="00043AFA">
        <w:rPr>
          <w:rFonts w:ascii="Arial" w:hAnsi="Arial" w:cs="Arial"/>
          <w:color w:val="000000"/>
          <w:sz w:val="20"/>
        </w:rPr>
        <w:t>The results revealed a significant range of resistance, with 21 genotypes categorized as immune, 37 as resistant, and 36 as moderately resistant. Conversely, </w:t>
      </w:r>
      <w:r w:rsidR="00514C8B" w:rsidRPr="00043AFA">
        <w:rPr>
          <w:rFonts w:ascii="Arial" w:hAnsi="Arial" w:cs="Arial"/>
          <w:sz w:val="20"/>
        </w:rPr>
        <w:t>144</w:t>
      </w:r>
      <w:r w:rsidR="00514C8B" w:rsidRPr="00043AFA">
        <w:rPr>
          <w:rFonts w:ascii="Arial" w:hAnsi="Arial" w:cs="Arial"/>
          <w:color w:val="000000"/>
          <w:sz w:val="20"/>
        </w:rPr>
        <w:t> genotypes were highly susceptible. Resistant genotypes, including promising lines like EC-</w:t>
      </w:r>
      <w:r w:rsidR="00514C8B" w:rsidRPr="00043AFA">
        <w:rPr>
          <w:rFonts w:ascii="Arial" w:hAnsi="Arial" w:cs="Arial"/>
          <w:sz w:val="20"/>
        </w:rPr>
        <w:t>41890</w:t>
      </w:r>
      <w:r w:rsidR="00514C8B" w:rsidRPr="00043AFA">
        <w:rPr>
          <w:rFonts w:ascii="Arial" w:hAnsi="Arial" w:cs="Arial"/>
          <w:color w:val="000000"/>
          <w:sz w:val="20"/>
        </w:rPr>
        <w:t> and BAU-</w:t>
      </w:r>
      <w:r w:rsidR="00514C8B" w:rsidRPr="00043AFA">
        <w:rPr>
          <w:rFonts w:ascii="Arial" w:hAnsi="Arial" w:cs="Arial"/>
          <w:sz w:val="20"/>
        </w:rPr>
        <w:t>1892</w:t>
      </w:r>
      <w:r w:rsidR="00514C8B" w:rsidRPr="00043AFA">
        <w:rPr>
          <w:rFonts w:ascii="Arial" w:hAnsi="Arial" w:cs="Arial"/>
          <w:color w:val="000000"/>
          <w:sz w:val="20"/>
        </w:rPr>
        <w:t xml:space="preserve">, exhibited high yield potential, indicating their suitability as donor parents for </w:t>
      </w:r>
      <w:r w:rsidR="00510AF9" w:rsidRPr="00043AFA">
        <w:rPr>
          <w:rFonts w:ascii="Arial" w:hAnsi="Arial" w:cs="Arial"/>
          <w:color w:val="000000"/>
          <w:sz w:val="20"/>
        </w:rPr>
        <w:t xml:space="preserve">future </w:t>
      </w:r>
      <w:r w:rsidR="00514C8B" w:rsidRPr="00043AFA">
        <w:rPr>
          <w:rFonts w:ascii="Arial" w:hAnsi="Arial" w:cs="Arial"/>
          <w:color w:val="000000"/>
          <w:sz w:val="20"/>
        </w:rPr>
        <w:t>breeding programs.</w:t>
      </w:r>
    </w:p>
    <w:p w14:paraId="15E29546" w14:textId="3CBF3FC9" w:rsidR="00FD258F" w:rsidRPr="00043AFA" w:rsidRDefault="009A1293" w:rsidP="00514C8B">
      <w:pPr>
        <w:spacing w:before="100" w:beforeAutospacing="1" w:after="100" w:afterAutospacing="1" w:line="240" w:lineRule="auto"/>
        <w:jc w:val="both"/>
        <w:rPr>
          <w:rFonts w:ascii="Arial" w:eastAsia="Times New Roman" w:hAnsi="Arial" w:cs="Arial"/>
          <w:sz w:val="20"/>
          <w:lang w:eastAsia="en-IN"/>
        </w:rPr>
      </w:pPr>
      <w:r w:rsidRPr="00043AFA">
        <w:rPr>
          <w:rFonts w:ascii="Arial" w:eastAsia="Calibri" w:hAnsi="Arial" w:cs="Arial"/>
          <w:b/>
          <w:bCs/>
          <w:sz w:val="20"/>
        </w:rPr>
        <w:t>Conclusion:</w:t>
      </w:r>
      <w:r w:rsidRPr="00043AFA">
        <w:rPr>
          <w:rFonts w:ascii="Arial" w:eastAsia="Calibri" w:hAnsi="Arial" w:cs="Arial"/>
          <w:sz w:val="20"/>
        </w:rPr>
        <w:t xml:space="preserve"> </w:t>
      </w:r>
      <w:r w:rsidR="00FD258F" w:rsidRPr="00043AFA">
        <w:rPr>
          <w:rFonts w:ascii="Arial" w:hAnsi="Arial" w:cs="Arial"/>
          <w:color w:val="000000"/>
          <w:sz w:val="20"/>
        </w:rPr>
        <w:t>Environmental factors such as temperature and humidity significantly influenced disease expression, highlighting the need for artificial inoculation in future validation studies. The findings emphasize the potential for integrating genetic resistance into linseed breeding programs, addressing a critical biotic constraint to enhance sustainable production.</w:t>
      </w:r>
    </w:p>
    <w:p w14:paraId="6A31685D" w14:textId="5F2454C6" w:rsidR="003D5885" w:rsidRPr="00043AFA" w:rsidRDefault="006E0DA5" w:rsidP="006E0DA5">
      <w:pPr>
        <w:jc w:val="both"/>
        <w:rPr>
          <w:rFonts w:ascii="Arial" w:hAnsi="Arial" w:cs="Arial"/>
          <w:sz w:val="20"/>
          <w:lang w:val="en-IN"/>
        </w:rPr>
      </w:pPr>
      <w:r w:rsidRPr="00043AFA">
        <w:rPr>
          <w:rFonts w:ascii="Arial" w:hAnsi="Arial" w:cs="Arial"/>
          <w:b/>
          <w:sz w:val="20"/>
          <w:lang w:val="en-IN"/>
        </w:rPr>
        <w:t>Keywords</w:t>
      </w:r>
      <w:r w:rsidR="00FD258F" w:rsidRPr="00043AFA">
        <w:rPr>
          <w:rFonts w:ascii="Arial" w:hAnsi="Arial" w:cs="Arial"/>
          <w:b/>
          <w:sz w:val="20"/>
          <w:lang w:val="en-IN"/>
        </w:rPr>
        <w:t xml:space="preserve">: </w:t>
      </w:r>
      <w:r w:rsidR="00FD258F" w:rsidRPr="00043AFA">
        <w:rPr>
          <w:rFonts w:ascii="Arial" w:hAnsi="Arial" w:cs="Arial"/>
          <w:sz w:val="20"/>
          <w:lang w:val="en-IN"/>
        </w:rPr>
        <w:t xml:space="preserve">Linseed, </w:t>
      </w:r>
      <w:r w:rsidR="00912629" w:rsidRPr="00043AFA">
        <w:rPr>
          <w:rFonts w:ascii="Arial" w:hAnsi="Arial" w:cs="Arial"/>
          <w:sz w:val="20"/>
          <w:lang w:val="en-IN"/>
        </w:rPr>
        <w:t xml:space="preserve">Powdery mildew, </w:t>
      </w:r>
      <w:r w:rsidR="003D5885" w:rsidRPr="00043AFA">
        <w:rPr>
          <w:rFonts w:ascii="Arial" w:hAnsi="Arial" w:cs="Arial"/>
          <w:sz w:val="20"/>
          <w:lang w:val="en-IN"/>
        </w:rPr>
        <w:t>Resistance, Susceptibility, Disease severity index</w:t>
      </w:r>
    </w:p>
    <w:p w14:paraId="27AC766B" w14:textId="471E15AF" w:rsidR="00053B2B" w:rsidRPr="00043AFA" w:rsidRDefault="00514C8B" w:rsidP="00CC3EDA">
      <w:pPr>
        <w:pStyle w:val="ListParagraph"/>
        <w:numPr>
          <w:ilvl w:val="0"/>
          <w:numId w:val="22"/>
        </w:numPr>
        <w:jc w:val="both"/>
        <w:rPr>
          <w:rFonts w:ascii="Arial" w:hAnsi="Arial" w:cs="Arial"/>
          <w:b/>
          <w:sz w:val="20"/>
          <w:lang w:val="en-IN"/>
        </w:rPr>
      </w:pPr>
      <w:r w:rsidRPr="00043AFA">
        <w:rPr>
          <w:rFonts w:ascii="Arial" w:hAnsi="Arial" w:cs="Arial"/>
          <w:b/>
          <w:sz w:val="20"/>
          <w:lang w:val="en-IN"/>
        </w:rPr>
        <w:t>INTRODUCTION</w:t>
      </w:r>
    </w:p>
    <w:p w14:paraId="6B8FBE31" w14:textId="012D0F8B" w:rsidR="00683428" w:rsidRPr="00043AFA" w:rsidRDefault="00ED2083" w:rsidP="006E0DA5">
      <w:pPr>
        <w:ind w:firstLine="720"/>
        <w:jc w:val="both"/>
        <w:rPr>
          <w:rFonts w:ascii="Arial" w:eastAsia="Calibri" w:hAnsi="Arial" w:cs="Arial"/>
          <w:sz w:val="20"/>
        </w:rPr>
      </w:pPr>
      <w:r w:rsidRPr="00043AFA">
        <w:rPr>
          <w:rFonts w:ascii="Arial" w:hAnsi="Arial" w:cs="Arial"/>
          <w:sz w:val="20"/>
          <w:lang w:val="en-IN"/>
        </w:rPr>
        <w:t>Linseed (</w:t>
      </w:r>
      <w:proofErr w:type="spellStart"/>
      <w:r w:rsidRPr="00043AFA">
        <w:rPr>
          <w:rFonts w:ascii="Arial" w:hAnsi="Arial" w:cs="Arial"/>
          <w:i/>
          <w:iCs/>
          <w:sz w:val="20"/>
          <w:lang w:val="en-IN"/>
        </w:rPr>
        <w:t>Linum</w:t>
      </w:r>
      <w:proofErr w:type="spellEnd"/>
      <w:r w:rsidRPr="00043AFA">
        <w:rPr>
          <w:rFonts w:ascii="Arial" w:hAnsi="Arial" w:cs="Arial"/>
          <w:i/>
          <w:iCs/>
          <w:sz w:val="20"/>
          <w:lang w:val="en-IN"/>
        </w:rPr>
        <w:t xml:space="preserve"> </w:t>
      </w:r>
      <w:proofErr w:type="spellStart"/>
      <w:r w:rsidRPr="00043AFA">
        <w:rPr>
          <w:rFonts w:ascii="Arial" w:hAnsi="Arial" w:cs="Arial"/>
          <w:i/>
          <w:iCs/>
          <w:sz w:val="20"/>
          <w:lang w:val="en-IN"/>
        </w:rPr>
        <w:t>usitatissimum</w:t>
      </w:r>
      <w:proofErr w:type="spellEnd"/>
      <w:r w:rsidRPr="00043AFA">
        <w:rPr>
          <w:rFonts w:ascii="Arial" w:hAnsi="Arial" w:cs="Arial"/>
          <w:sz w:val="20"/>
          <w:lang w:val="en-IN"/>
        </w:rPr>
        <w:t xml:space="preserve"> L.) is known as 'Flaxseed', an annual dicotyledonous plant which belongs to the family </w:t>
      </w:r>
      <w:proofErr w:type="spellStart"/>
      <w:r w:rsidRPr="00043AFA">
        <w:rPr>
          <w:rFonts w:ascii="Arial" w:hAnsi="Arial" w:cs="Arial"/>
          <w:sz w:val="20"/>
          <w:lang w:val="en-IN"/>
        </w:rPr>
        <w:t>Linaceae</w:t>
      </w:r>
      <w:proofErr w:type="spellEnd"/>
      <w:r w:rsidRPr="00043AFA">
        <w:rPr>
          <w:rFonts w:ascii="Arial" w:hAnsi="Arial" w:cs="Arial"/>
          <w:sz w:val="20"/>
          <w:lang w:val="en-IN"/>
        </w:rPr>
        <w:t xml:space="preserve"> and grown during rabi season crop as either oil crop or a fibre</w:t>
      </w:r>
      <w:r w:rsidR="00A24792" w:rsidRPr="00043AFA">
        <w:rPr>
          <w:rFonts w:ascii="Arial" w:hAnsi="Arial" w:cs="Arial"/>
          <w:sz w:val="20"/>
          <w:lang w:val="en-IN"/>
        </w:rPr>
        <w:t xml:space="preserve"> </w:t>
      </w:r>
      <w:r w:rsidR="00A24792" w:rsidRPr="00043AFA">
        <w:rPr>
          <w:rFonts w:ascii="Arial" w:hAnsi="Arial" w:cs="Arial"/>
          <w:color w:val="000000"/>
          <w:sz w:val="20"/>
        </w:rPr>
        <w:t>(</w:t>
      </w:r>
      <w:r w:rsidR="00A24792" w:rsidRPr="00043AFA">
        <w:rPr>
          <w:rFonts w:ascii="Arial" w:hAnsi="Arial" w:cs="Arial"/>
          <w:sz w:val="20"/>
        </w:rPr>
        <w:t xml:space="preserve">Mohanty </w:t>
      </w:r>
      <w:r w:rsidR="00A24792" w:rsidRPr="00043AFA">
        <w:rPr>
          <w:rFonts w:ascii="Arial" w:hAnsi="Arial" w:cs="Arial"/>
          <w:i/>
          <w:iCs/>
          <w:sz w:val="20"/>
        </w:rPr>
        <w:t xml:space="preserve">et al., </w:t>
      </w:r>
      <w:r w:rsidR="00A24792" w:rsidRPr="00043AFA">
        <w:rPr>
          <w:rFonts w:ascii="Arial" w:hAnsi="Arial" w:cs="Arial"/>
          <w:sz w:val="20"/>
        </w:rPr>
        <w:t xml:space="preserve">2024; </w:t>
      </w:r>
      <w:r w:rsidR="00A24792" w:rsidRPr="00043AFA">
        <w:rPr>
          <w:rFonts w:ascii="Arial" w:hAnsi="Arial" w:cs="Arial"/>
          <w:sz w:val="20"/>
          <w:lang w:val="en-IN" w:bidi="or-IN"/>
        </w:rPr>
        <w:t>Majhi and Mohanty, 2023</w:t>
      </w:r>
      <w:r w:rsidR="00A24792" w:rsidRPr="00043AFA">
        <w:rPr>
          <w:rFonts w:ascii="Arial" w:hAnsi="Arial" w:cs="Arial"/>
          <w:color w:val="000000"/>
          <w:sz w:val="20"/>
        </w:rPr>
        <w:t>).</w:t>
      </w:r>
      <w:r w:rsidR="00E3111F" w:rsidRPr="00043AFA">
        <w:rPr>
          <w:rFonts w:ascii="Arial" w:eastAsia="Calibri" w:hAnsi="Arial" w:cs="Arial"/>
          <w:sz w:val="20"/>
        </w:rPr>
        <w:t xml:space="preserve"> This is a diploid species with varying chromosomes number (2n = 15, 16, 18, 30, 36, 60, 72) (Saroha </w:t>
      </w:r>
      <w:r w:rsidR="00E3111F" w:rsidRPr="00043AFA">
        <w:rPr>
          <w:rFonts w:ascii="Arial" w:eastAsia="Calibri" w:hAnsi="Arial" w:cs="Arial"/>
          <w:i/>
          <w:iCs/>
          <w:sz w:val="20"/>
        </w:rPr>
        <w:t>et al</w:t>
      </w:r>
      <w:r w:rsidR="00E3111F" w:rsidRPr="00043AFA">
        <w:rPr>
          <w:rFonts w:ascii="Arial" w:eastAsia="Calibri" w:hAnsi="Arial" w:cs="Arial"/>
          <w:sz w:val="20"/>
        </w:rPr>
        <w:t xml:space="preserve">., 2022). </w:t>
      </w:r>
      <w:r w:rsidRPr="00043AFA">
        <w:rPr>
          <w:rFonts w:ascii="Arial" w:hAnsi="Arial" w:cs="Arial"/>
          <w:sz w:val="20"/>
          <w:lang w:val="en-IN"/>
        </w:rPr>
        <w:t xml:space="preserve"> </w:t>
      </w:r>
      <w:r w:rsidR="00683428" w:rsidRPr="00043AFA">
        <w:rPr>
          <w:rFonts w:ascii="Arial" w:hAnsi="Arial" w:cs="Arial"/>
          <w:sz w:val="20"/>
          <w:lang w:val="en-IN"/>
        </w:rPr>
        <w:t>It is one of the oldest cultivated and the 6th la</w:t>
      </w:r>
      <w:r w:rsidR="00DC388A" w:rsidRPr="00043AFA">
        <w:rPr>
          <w:rFonts w:ascii="Arial" w:hAnsi="Arial" w:cs="Arial"/>
          <w:sz w:val="20"/>
          <w:lang w:val="en-IN"/>
        </w:rPr>
        <w:t>rgest oilseed crop in the world</w:t>
      </w:r>
      <w:r w:rsidR="00683428" w:rsidRPr="00043AFA">
        <w:rPr>
          <w:rFonts w:ascii="Arial" w:hAnsi="Arial" w:cs="Arial"/>
          <w:sz w:val="20"/>
          <w:lang w:val="en-IN"/>
        </w:rPr>
        <w:t xml:space="preserve"> (Kumari </w:t>
      </w:r>
      <w:r w:rsidR="00683428" w:rsidRPr="00043AFA">
        <w:rPr>
          <w:rFonts w:ascii="Arial" w:hAnsi="Arial" w:cs="Arial"/>
          <w:i/>
          <w:iCs/>
          <w:sz w:val="20"/>
          <w:lang w:val="en-IN"/>
        </w:rPr>
        <w:t>et al</w:t>
      </w:r>
      <w:r w:rsidR="00683428" w:rsidRPr="00043AFA">
        <w:rPr>
          <w:rFonts w:ascii="Arial" w:hAnsi="Arial" w:cs="Arial"/>
          <w:sz w:val="20"/>
          <w:lang w:val="en-IN"/>
        </w:rPr>
        <w:t>., 2018). The crop is native to west Asia and the Mediterranean. It has been suggested that ﬂax was domesticated from pre-ceramic Neolithic times about 10,000 years ago ﬁrst for its seeds an</w:t>
      </w:r>
      <w:r w:rsidR="006C55CE" w:rsidRPr="00043AFA">
        <w:rPr>
          <w:rFonts w:ascii="Arial" w:hAnsi="Arial" w:cs="Arial"/>
          <w:sz w:val="20"/>
          <w:lang w:val="en-IN"/>
        </w:rPr>
        <w:t>d 1,000 years after for its ﬁbre</w:t>
      </w:r>
      <w:r w:rsidR="00683428" w:rsidRPr="00043AFA">
        <w:rPr>
          <w:rFonts w:ascii="Arial" w:hAnsi="Arial" w:cs="Arial"/>
          <w:sz w:val="20"/>
          <w:lang w:val="en-IN"/>
        </w:rPr>
        <w:t xml:space="preserve">s </w:t>
      </w:r>
      <w:r w:rsidR="00DC388A" w:rsidRPr="00043AFA">
        <w:rPr>
          <w:rFonts w:ascii="Arial" w:hAnsi="Arial" w:cs="Arial"/>
          <w:sz w:val="20"/>
          <w:lang w:val="en-IN"/>
        </w:rPr>
        <w:t>(</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w:t>
      </w:r>
      <w:r w:rsidR="00683428" w:rsidRPr="00043AFA">
        <w:rPr>
          <w:rFonts w:ascii="Arial" w:hAnsi="Arial" w:cs="Arial"/>
          <w:i/>
          <w:iCs/>
          <w:sz w:val="20"/>
          <w:lang w:val="en-IN"/>
        </w:rPr>
        <w:t>et al</w:t>
      </w:r>
      <w:r w:rsidR="00683428" w:rsidRPr="00043AFA">
        <w:rPr>
          <w:rFonts w:ascii="Arial" w:hAnsi="Arial" w:cs="Arial"/>
          <w:sz w:val="20"/>
          <w:lang w:val="en-IN"/>
        </w:rPr>
        <w:t xml:space="preserve">., 2005; </w:t>
      </w:r>
      <w:r w:rsidR="00D02DF0" w:rsidRPr="00043AFA">
        <w:rPr>
          <w:rFonts w:ascii="Arial" w:hAnsi="Arial" w:cs="Arial"/>
          <w:sz w:val="20"/>
          <w:lang w:val="en-IN"/>
        </w:rPr>
        <w:t xml:space="preserve">                       </w:t>
      </w:r>
      <w:r w:rsidR="00683428" w:rsidRPr="00043AFA">
        <w:rPr>
          <w:rFonts w:ascii="Arial" w:hAnsi="Arial" w:cs="Arial"/>
          <w:sz w:val="20"/>
          <w:lang w:val="en-IN"/>
        </w:rPr>
        <w:t xml:space="preserve">Fu and </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2010; </w:t>
      </w:r>
      <w:proofErr w:type="spellStart"/>
      <w:r w:rsidR="00683428" w:rsidRPr="00043AFA">
        <w:rPr>
          <w:rFonts w:ascii="Arial" w:hAnsi="Arial" w:cs="Arial"/>
          <w:sz w:val="20"/>
          <w:lang w:val="en-IN"/>
        </w:rPr>
        <w:t>Xie</w:t>
      </w:r>
      <w:proofErr w:type="spellEnd"/>
      <w:r w:rsidR="00683428" w:rsidRPr="00043AFA">
        <w:rPr>
          <w:rFonts w:ascii="Arial" w:hAnsi="Arial" w:cs="Arial"/>
          <w:sz w:val="20"/>
          <w:lang w:val="en-IN"/>
        </w:rPr>
        <w:t xml:space="preserve"> </w:t>
      </w:r>
      <w:r w:rsidR="00683428" w:rsidRPr="00043AFA">
        <w:rPr>
          <w:rFonts w:ascii="Arial" w:hAnsi="Arial" w:cs="Arial"/>
          <w:i/>
          <w:iCs/>
          <w:sz w:val="20"/>
          <w:lang w:val="en-IN"/>
        </w:rPr>
        <w:t>et al</w:t>
      </w:r>
      <w:r w:rsidR="00683428" w:rsidRPr="00043AFA">
        <w:rPr>
          <w:rFonts w:ascii="Arial" w:hAnsi="Arial" w:cs="Arial"/>
          <w:sz w:val="20"/>
          <w:lang w:val="en-IN"/>
        </w:rPr>
        <w:t xml:space="preserve">., 2018). </w:t>
      </w:r>
      <w:r w:rsidR="00A24792" w:rsidRPr="00043AFA">
        <w:rPr>
          <w:rFonts w:ascii="Arial" w:hAnsi="Arial" w:cs="Arial"/>
          <w:color w:val="000000"/>
          <w:sz w:val="20"/>
        </w:rPr>
        <w:t>It holds significant agricultural import</w:t>
      </w:r>
      <w:r w:rsidR="00A75692" w:rsidRPr="00043AFA">
        <w:rPr>
          <w:rFonts w:ascii="Arial" w:hAnsi="Arial" w:cs="Arial"/>
          <w:color w:val="000000"/>
          <w:sz w:val="20"/>
        </w:rPr>
        <w:t xml:space="preserve">ance because of its composition </w:t>
      </w:r>
      <w:r w:rsidR="00A24792" w:rsidRPr="00043AFA">
        <w:rPr>
          <w:rFonts w:ascii="Arial" w:hAnsi="Arial" w:cs="Arial"/>
          <w:color w:val="000000"/>
          <w:sz w:val="20"/>
        </w:rPr>
        <w:t xml:space="preserve">about 40% oil, 28% starch, and 21% protein, along with a considerable quantity of unsaturated fatty acids, particularly omega-3 alpha-linolenic acid, which ranges from 36% to 57%. This high omega-3 content has transformed interest in linseed within the functional food market </w:t>
      </w:r>
      <w:r w:rsidR="00A24792" w:rsidRPr="00043AFA">
        <w:rPr>
          <w:rFonts w:ascii="Arial" w:hAnsi="Arial" w:cs="Arial"/>
          <w:sz w:val="20"/>
          <w:lang w:val="en-IN" w:bidi="or-IN"/>
        </w:rPr>
        <w:t xml:space="preserve">(Majhi </w:t>
      </w:r>
      <w:r w:rsidR="00A24792" w:rsidRPr="00043AFA">
        <w:rPr>
          <w:rFonts w:ascii="Arial" w:hAnsi="Arial" w:cs="Arial"/>
          <w:i/>
          <w:iCs/>
          <w:sz w:val="20"/>
          <w:lang w:val="en-IN" w:bidi="or-IN"/>
        </w:rPr>
        <w:t>et al.</w:t>
      </w:r>
      <w:r w:rsidR="00A24792" w:rsidRPr="00043AFA">
        <w:rPr>
          <w:rFonts w:ascii="Arial" w:hAnsi="Arial" w:cs="Arial"/>
          <w:sz w:val="20"/>
          <w:lang w:val="en-IN" w:bidi="or-IN"/>
        </w:rPr>
        <w:t>, 2023</w:t>
      </w:r>
      <w:r w:rsidR="003D5885" w:rsidRPr="00043AFA">
        <w:rPr>
          <w:rFonts w:ascii="Arial" w:hAnsi="Arial" w:cs="Arial"/>
          <w:sz w:val="20"/>
          <w:lang w:val="en-IN" w:bidi="or-IN"/>
        </w:rPr>
        <w:t xml:space="preserve">; </w:t>
      </w:r>
      <w:r w:rsidR="003D5885" w:rsidRPr="00043AFA">
        <w:rPr>
          <w:rFonts w:ascii="Arial" w:eastAsia="Times New Roman" w:hAnsi="Arial" w:cs="Arial"/>
          <w:sz w:val="20"/>
          <w:lang w:val="en-IN" w:eastAsia="en-IN" w:bidi="ar-SA"/>
        </w:rPr>
        <w:t>Saharan et al., 2021</w:t>
      </w:r>
      <w:r w:rsidR="00A24792" w:rsidRPr="00043AFA">
        <w:rPr>
          <w:rFonts w:ascii="Arial" w:hAnsi="Arial" w:cs="Arial"/>
          <w:sz w:val="20"/>
          <w:lang w:val="en-IN" w:bidi="or-IN"/>
        </w:rPr>
        <w:t>)</w:t>
      </w:r>
      <w:r w:rsidR="00A24792" w:rsidRPr="00043AFA">
        <w:rPr>
          <w:rFonts w:ascii="Arial" w:hAnsi="Arial" w:cs="Arial"/>
          <w:color w:val="000000"/>
          <w:sz w:val="20"/>
        </w:rPr>
        <w:t>.</w:t>
      </w:r>
      <w:r w:rsidR="006E0DA5" w:rsidRPr="00043AFA">
        <w:rPr>
          <w:rFonts w:ascii="Arial" w:hAnsi="Arial" w:cs="Arial"/>
          <w:color w:val="000000"/>
          <w:sz w:val="20"/>
        </w:rPr>
        <w:t xml:space="preserve"> </w:t>
      </w:r>
      <w:r w:rsidR="004F4B91" w:rsidRPr="00043AFA">
        <w:rPr>
          <w:rFonts w:ascii="Arial" w:hAnsi="Arial" w:cs="Arial"/>
          <w:sz w:val="20"/>
          <w:lang w:val="en-IN"/>
        </w:rPr>
        <w:t>Russia</w:t>
      </w:r>
      <w:r w:rsidRPr="00043AFA">
        <w:rPr>
          <w:rFonts w:ascii="Arial" w:hAnsi="Arial" w:cs="Arial"/>
          <w:sz w:val="20"/>
          <w:lang w:val="en-IN"/>
        </w:rPr>
        <w:t xml:space="preserve"> is the world's largest producer of</w:t>
      </w:r>
      <w:r w:rsidR="003D5885" w:rsidRPr="00043AFA">
        <w:rPr>
          <w:rFonts w:ascii="Arial" w:hAnsi="Arial" w:cs="Arial"/>
          <w:sz w:val="20"/>
          <w:lang w:val="en-IN"/>
        </w:rPr>
        <w:t xml:space="preserve"> flax and I</w:t>
      </w:r>
      <w:r w:rsidR="00DC388A" w:rsidRPr="00043AFA">
        <w:rPr>
          <w:rFonts w:ascii="Arial" w:hAnsi="Arial" w:cs="Arial"/>
          <w:sz w:val="20"/>
          <w:lang w:val="en-IN"/>
        </w:rPr>
        <w:t>ndia is 5</w:t>
      </w:r>
      <w:r w:rsidR="00DC388A" w:rsidRPr="00043AFA">
        <w:rPr>
          <w:rFonts w:ascii="Arial" w:hAnsi="Arial" w:cs="Arial"/>
          <w:sz w:val="20"/>
          <w:vertAlign w:val="superscript"/>
          <w:lang w:val="en-IN"/>
        </w:rPr>
        <w:t>th</w:t>
      </w:r>
      <w:r w:rsidR="00DC388A" w:rsidRPr="00043AFA">
        <w:rPr>
          <w:rFonts w:ascii="Arial" w:hAnsi="Arial" w:cs="Arial"/>
          <w:sz w:val="20"/>
          <w:lang w:val="en-IN"/>
        </w:rPr>
        <w:t xml:space="preserve"> in production (FAO, 2022).</w:t>
      </w:r>
      <w:r w:rsidRPr="00043AFA">
        <w:rPr>
          <w:rFonts w:ascii="Arial" w:hAnsi="Arial" w:cs="Arial"/>
          <w:sz w:val="20"/>
          <w:lang w:val="en-IN"/>
        </w:rPr>
        <w:t xml:space="preserve"> </w:t>
      </w:r>
      <w:r w:rsidR="00DC388A" w:rsidRPr="00043AFA">
        <w:rPr>
          <w:rFonts w:ascii="Arial" w:eastAsia="Calibri" w:hAnsi="Arial" w:cs="Arial"/>
          <w:sz w:val="20"/>
        </w:rPr>
        <w:t>India during 2022-23, it occupies an area of 2.35 lakh ha with a production and productivity of about 1.56 lakh tones and 667 kg/ha, respectively.</w:t>
      </w:r>
      <w:r w:rsidR="00D02DF0" w:rsidRPr="00043AFA">
        <w:rPr>
          <w:rFonts w:ascii="Arial" w:eastAsia="Calibri" w:hAnsi="Arial" w:cs="Arial"/>
          <w:sz w:val="20"/>
        </w:rPr>
        <w:t xml:space="preserve"> </w:t>
      </w:r>
      <w:r w:rsidR="00DC388A" w:rsidRPr="00043AFA">
        <w:rPr>
          <w:rFonts w:ascii="Arial" w:eastAsia="Calibri" w:hAnsi="Arial" w:cs="Arial"/>
          <w:sz w:val="20"/>
        </w:rPr>
        <w:t xml:space="preserve">The major linseed growing states in India are Madhya Pradesh (0.36 lakh tons), Rajasthan </w:t>
      </w:r>
      <w:r w:rsidR="003D5885" w:rsidRPr="00043AFA">
        <w:rPr>
          <w:rFonts w:ascii="Arial" w:eastAsia="Calibri" w:hAnsi="Arial" w:cs="Arial"/>
          <w:sz w:val="20"/>
        </w:rPr>
        <w:t>(0.11 lakh tons) (ICAR-IIOR, 2022-23).</w:t>
      </w:r>
    </w:p>
    <w:p w14:paraId="05684E11" w14:textId="77777777" w:rsidR="00CC3EDA" w:rsidRPr="00043AFA" w:rsidRDefault="006E0DA5" w:rsidP="006E0DA5">
      <w:pPr>
        <w:jc w:val="both"/>
        <w:rPr>
          <w:rFonts w:ascii="Arial" w:hAnsi="Arial" w:cs="Arial"/>
          <w:sz w:val="20"/>
          <w:lang w:val="en-IN"/>
        </w:rPr>
      </w:pPr>
      <w:r w:rsidRPr="00043AFA">
        <w:rPr>
          <w:rFonts w:ascii="Arial" w:hAnsi="Arial" w:cs="Arial"/>
          <w:sz w:val="20"/>
          <w:lang w:val="en-IN"/>
        </w:rPr>
        <w:tab/>
      </w:r>
      <w:r w:rsidR="00683428" w:rsidRPr="00043AFA">
        <w:rPr>
          <w:rFonts w:ascii="Arial" w:hAnsi="Arial" w:cs="Arial"/>
          <w:sz w:val="20"/>
          <w:lang w:val="en-IN"/>
        </w:rPr>
        <w:t>Despite considerable increase in productivity and production</w:t>
      </w:r>
      <w:r w:rsidR="003D5885" w:rsidRPr="00043AFA">
        <w:rPr>
          <w:rFonts w:ascii="Arial" w:hAnsi="Arial" w:cs="Arial"/>
          <w:sz w:val="20"/>
          <w:lang w:val="en-IN"/>
        </w:rPr>
        <w:t>,</w:t>
      </w:r>
      <w:r w:rsidR="00683428" w:rsidRPr="00043AFA">
        <w:rPr>
          <w:rFonts w:ascii="Arial" w:hAnsi="Arial" w:cs="Arial"/>
          <w:sz w:val="20"/>
          <w:lang w:val="en-IN"/>
        </w:rPr>
        <w:t xml:space="preserve"> a wide gap exists between potential yield and the yield realized at farmer’s field which is largely because of a number of biotic stresses, to which linseed crop is exposed</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(Chattopadhyay et al., 2009)</w:t>
      </w:r>
      <w:r w:rsidR="00683428" w:rsidRPr="00043AFA">
        <w:rPr>
          <w:rFonts w:ascii="Arial" w:hAnsi="Arial" w:cs="Arial"/>
          <w:sz w:val="20"/>
          <w:lang w:val="en-IN"/>
        </w:rPr>
        <w:t xml:space="preserve">. The cost of chemicals farmer </w:t>
      </w:r>
      <w:r w:rsidR="00683428" w:rsidRPr="00043AFA">
        <w:rPr>
          <w:rFonts w:ascii="Arial" w:hAnsi="Arial" w:cs="Arial"/>
          <w:sz w:val="20"/>
          <w:lang w:val="en-IN"/>
        </w:rPr>
        <w:lastRenderedPageBreak/>
        <w:t xml:space="preserve">rarely practice such control measures and the usage of such fungicide will negatively affect environment and </w:t>
      </w:r>
      <w:r w:rsidR="003D5885" w:rsidRPr="00043AFA">
        <w:rPr>
          <w:rFonts w:ascii="Arial" w:hAnsi="Arial" w:cs="Arial"/>
          <w:sz w:val="20"/>
          <w:lang w:val="en-IN"/>
        </w:rPr>
        <w:t>especially</w:t>
      </w:r>
      <w:r w:rsidR="00683428" w:rsidRPr="00043AFA">
        <w:rPr>
          <w:rFonts w:ascii="Arial" w:hAnsi="Arial" w:cs="Arial"/>
          <w:sz w:val="20"/>
          <w:lang w:val="en-IN"/>
        </w:rPr>
        <w:t xml:space="preserve"> human health. Therefore the most effective way to control foliar disease is the use of resistant varieties. Genetic resistance is a priority for flax breeders because fungicides can be hazardous, costly, and associat</w:t>
      </w:r>
      <w:r w:rsidRPr="00043AFA">
        <w:rPr>
          <w:rFonts w:ascii="Arial" w:hAnsi="Arial" w:cs="Arial"/>
          <w:sz w:val="20"/>
          <w:lang w:val="en-IN"/>
        </w:rPr>
        <w:t xml:space="preserve">ed with environmental concerns. </w:t>
      </w:r>
      <w:r w:rsidR="00683428" w:rsidRPr="00043AFA">
        <w:rPr>
          <w:rFonts w:ascii="Arial" w:hAnsi="Arial" w:cs="Arial"/>
          <w:sz w:val="20"/>
          <w:lang w:val="en-IN"/>
        </w:rPr>
        <w:t xml:space="preserve">Linseed is adversely affected by different diseases. Out of different fungal diseases of linseed, most important pathogens are </w:t>
      </w:r>
      <w:r w:rsidR="00683428" w:rsidRPr="00043AFA">
        <w:rPr>
          <w:rFonts w:ascii="Arial" w:hAnsi="Arial" w:cs="Arial"/>
          <w:i/>
          <w:iCs/>
          <w:sz w:val="20"/>
          <w:lang w:val="en-IN"/>
        </w:rPr>
        <w:t xml:space="preserve">Alternaria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(blight), </w:t>
      </w:r>
      <w:r w:rsidR="00683428" w:rsidRPr="00043AFA">
        <w:rPr>
          <w:rFonts w:ascii="Arial" w:hAnsi="Arial" w:cs="Arial"/>
          <w:i/>
          <w:iCs/>
          <w:sz w:val="20"/>
          <w:lang w:val="en-IN"/>
        </w:rPr>
        <w:t>Fusarium spp.</w:t>
      </w:r>
      <w:r w:rsidR="00683428" w:rsidRPr="00043AFA">
        <w:rPr>
          <w:rFonts w:ascii="Arial" w:hAnsi="Arial" w:cs="Arial"/>
          <w:sz w:val="20"/>
          <w:lang w:val="en-IN"/>
        </w:rPr>
        <w:t xml:space="preserve"> (wilt), </w:t>
      </w:r>
      <w:r w:rsidR="00683428" w:rsidRPr="00043AFA">
        <w:rPr>
          <w:rFonts w:ascii="Arial" w:hAnsi="Arial" w:cs="Arial"/>
          <w:i/>
          <w:iCs/>
          <w:sz w:val="20"/>
          <w:lang w:val="en-IN"/>
        </w:rPr>
        <w:t>Botrytis cinereal</w:t>
      </w:r>
      <w:r w:rsidR="00683428" w:rsidRPr="00043AFA">
        <w:rPr>
          <w:rFonts w:ascii="Arial" w:hAnsi="Arial" w:cs="Arial"/>
          <w:sz w:val="20"/>
          <w:lang w:val="en-IN"/>
        </w:rPr>
        <w:t xml:space="preserve"> (</w:t>
      </w:r>
      <w:proofErr w:type="spellStart"/>
      <w:r w:rsidR="00683428" w:rsidRPr="00043AFA">
        <w:rPr>
          <w:rFonts w:ascii="Arial" w:hAnsi="Arial" w:cs="Arial"/>
          <w:sz w:val="20"/>
          <w:lang w:val="en-IN"/>
        </w:rPr>
        <w:t>gray</w:t>
      </w:r>
      <w:proofErr w:type="spellEnd"/>
      <w:r w:rsidR="00683428" w:rsidRPr="00043AFA">
        <w:rPr>
          <w:rFonts w:ascii="Arial" w:hAnsi="Arial" w:cs="Arial"/>
          <w:sz w:val="20"/>
          <w:lang w:val="en-IN"/>
        </w:rPr>
        <w:t xml:space="preserve"> mould) and </w:t>
      </w:r>
      <w:proofErr w:type="spellStart"/>
      <w:r w:rsidR="00683428" w:rsidRPr="00043AFA">
        <w:rPr>
          <w:rFonts w:ascii="Arial" w:hAnsi="Arial" w:cs="Arial"/>
          <w:i/>
          <w:iCs/>
          <w:sz w:val="20"/>
          <w:lang w:val="en-IN"/>
        </w:rPr>
        <w:t>Oidium</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(powdery mildew) (Mercer </w:t>
      </w:r>
      <w:r w:rsidR="00683428" w:rsidRPr="00043AFA">
        <w:rPr>
          <w:rFonts w:ascii="Arial" w:hAnsi="Arial" w:cs="Arial"/>
          <w:i/>
          <w:iCs/>
          <w:sz w:val="20"/>
          <w:lang w:val="en-IN"/>
        </w:rPr>
        <w:t>et al</w:t>
      </w:r>
      <w:r w:rsidR="00683428" w:rsidRPr="00043AFA">
        <w:rPr>
          <w:rFonts w:ascii="Arial" w:hAnsi="Arial" w:cs="Arial"/>
          <w:sz w:val="20"/>
          <w:lang w:val="en-IN"/>
        </w:rPr>
        <w:t xml:space="preserve">., 1991) or </w:t>
      </w:r>
      <w:proofErr w:type="spellStart"/>
      <w:r w:rsidR="00683428" w:rsidRPr="00043AFA">
        <w:rPr>
          <w:rFonts w:ascii="Arial" w:hAnsi="Arial" w:cs="Arial"/>
          <w:i/>
          <w:iCs/>
          <w:sz w:val="20"/>
          <w:lang w:val="en-IN"/>
        </w:rPr>
        <w:t>Leveillula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taurica</w:t>
      </w:r>
      <w:proofErr w:type="spellEnd"/>
      <w:r w:rsidR="00683428" w:rsidRPr="00043AFA">
        <w:rPr>
          <w:rFonts w:ascii="Arial" w:hAnsi="Arial" w:cs="Arial"/>
          <w:sz w:val="20"/>
          <w:lang w:val="en-IN"/>
        </w:rPr>
        <w:t xml:space="preserve"> (</w:t>
      </w:r>
      <w:proofErr w:type="spellStart"/>
      <w:r w:rsidR="00683428" w:rsidRPr="00043AFA">
        <w:rPr>
          <w:rFonts w:ascii="Arial" w:hAnsi="Arial" w:cs="Arial"/>
          <w:sz w:val="20"/>
          <w:lang w:val="en-IN"/>
        </w:rPr>
        <w:t>Arshiya</w:t>
      </w:r>
      <w:proofErr w:type="spellEnd"/>
      <w:r w:rsidR="00683428" w:rsidRPr="00043AFA">
        <w:rPr>
          <w:rFonts w:ascii="Arial" w:hAnsi="Arial" w:cs="Arial"/>
          <w:sz w:val="20"/>
          <w:lang w:val="en-IN"/>
        </w:rPr>
        <w:t xml:space="preserve"> </w:t>
      </w:r>
      <w:r w:rsidR="00683428" w:rsidRPr="00043AFA">
        <w:rPr>
          <w:rFonts w:ascii="Arial" w:hAnsi="Arial" w:cs="Arial"/>
          <w:i/>
          <w:iCs/>
          <w:sz w:val="20"/>
          <w:lang w:val="en-IN"/>
        </w:rPr>
        <w:t>et al</w:t>
      </w:r>
      <w:r w:rsidR="00683428" w:rsidRPr="00043AFA">
        <w:rPr>
          <w:rFonts w:ascii="Arial" w:hAnsi="Arial" w:cs="Arial"/>
          <w:sz w:val="20"/>
          <w:lang w:val="en-IN"/>
        </w:rPr>
        <w:t xml:space="preserve">., 2017; Ajithkumar </w:t>
      </w:r>
      <w:r w:rsidR="00683428" w:rsidRPr="00043AFA">
        <w:rPr>
          <w:rFonts w:ascii="Arial" w:hAnsi="Arial" w:cs="Arial"/>
          <w:i/>
          <w:iCs/>
          <w:sz w:val="20"/>
          <w:lang w:val="en-IN"/>
        </w:rPr>
        <w:t>et al</w:t>
      </w:r>
      <w:r w:rsidR="00683428" w:rsidRPr="00043AFA">
        <w:rPr>
          <w:rFonts w:ascii="Arial" w:hAnsi="Arial" w:cs="Arial"/>
          <w:sz w:val="20"/>
          <w:lang w:val="en-IN"/>
        </w:rPr>
        <w:t xml:space="preserve">., 2017), </w:t>
      </w:r>
      <w:proofErr w:type="spellStart"/>
      <w:r w:rsidR="00683428" w:rsidRPr="00043AFA">
        <w:rPr>
          <w:rFonts w:ascii="Arial" w:hAnsi="Arial" w:cs="Arial"/>
          <w:i/>
          <w:iCs/>
          <w:sz w:val="20"/>
          <w:lang w:val="en-IN"/>
        </w:rPr>
        <w:t>Ascochyta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(foot rot), </w:t>
      </w:r>
      <w:proofErr w:type="spellStart"/>
      <w:r w:rsidR="00683428" w:rsidRPr="00043AFA">
        <w:rPr>
          <w:rFonts w:ascii="Arial" w:hAnsi="Arial" w:cs="Arial"/>
          <w:i/>
          <w:iCs/>
          <w:sz w:val="20"/>
          <w:lang w:val="en-IN"/>
        </w:rPr>
        <w:t>Melampsora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(Rust), </w:t>
      </w:r>
      <w:proofErr w:type="spellStart"/>
      <w:r w:rsidR="00683428" w:rsidRPr="00043AFA">
        <w:rPr>
          <w:rFonts w:ascii="Arial" w:hAnsi="Arial" w:cs="Arial"/>
          <w:i/>
          <w:iCs/>
          <w:sz w:val="20"/>
          <w:lang w:val="en-IN"/>
        </w:rPr>
        <w:t>Rhizoctonia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solani</w:t>
      </w:r>
      <w:proofErr w:type="spellEnd"/>
      <w:r w:rsidR="00683428" w:rsidRPr="00043AFA">
        <w:rPr>
          <w:rFonts w:ascii="Arial" w:hAnsi="Arial" w:cs="Arial"/>
          <w:sz w:val="20"/>
          <w:lang w:val="en-IN"/>
        </w:rPr>
        <w:t xml:space="preserve"> (Rhizoctonia seedling blight), </w:t>
      </w:r>
      <w:r w:rsidR="00683428" w:rsidRPr="00043AFA">
        <w:rPr>
          <w:rFonts w:ascii="Arial" w:hAnsi="Arial" w:cs="Arial"/>
          <w:i/>
          <w:iCs/>
          <w:sz w:val="20"/>
          <w:lang w:val="en-IN"/>
        </w:rPr>
        <w:t xml:space="preserve">Pythium </w:t>
      </w:r>
      <w:proofErr w:type="spellStart"/>
      <w:r w:rsidR="00683428" w:rsidRPr="00043AFA">
        <w:rPr>
          <w:rFonts w:ascii="Arial" w:hAnsi="Arial" w:cs="Arial"/>
          <w:i/>
          <w:iCs/>
          <w:sz w:val="20"/>
          <w:lang w:val="en-IN"/>
        </w:rPr>
        <w:t>megalacanthum</w:t>
      </w:r>
      <w:proofErr w:type="spellEnd"/>
      <w:r w:rsidR="00683428" w:rsidRPr="00043AFA">
        <w:rPr>
          <w:rFonts w:ascii="Arial" w:hAnsi="Arial" w:cs="Arial"/>
          <w:sz w:val="20"/>
          <w:lang w:val="en-IN"/>
        </w:rPr>
        <w:t xml:space="preserve"> (scorch), </w:t>
      </w:r>
      <w:r w:rsidR="00683428" w:rsidRPr="00043AFA">
        <w:rPr>
          <w:rFonts w:ascii="Arial" w:hAnsi="Arial" w:cs="Arial"/>
          <w:i/>
          <w:iCs/>
          <w:sz w:val="20"/>
          <w:lang w:val="en-IN"/>
        </w:rPr>
        <w:t xml:space="preserve">Septoria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w:t>
      </w:r>
      <w:proofErr w:type="spellStart"/>
      <w:r w:rsidR="00683428" w:rsidRPr="00043AFA">
        <w:rPr>
          <w:rFonts w:ascii="Arial" w:hAnsi="Arial" w:cs="Arial"/>
          <w:sz w:val="20"/>
          <w:lang w:val="en-IN"/>
        </w:rPr>
        <w:t>pasmo</w:t>
      </w:r>
      <w:proofErr w:type="spellEnd"/>
      <w:r w:rsidR="00683428" w:rsidRPr="00043AFA">
        <w:rPr>
          <w:rFonts w:ascii="Arial" w:hAnsi="Arial" w:cs="Arial"/>
          <w:sz w:val="20"/>
          <w:lang w:val="en-IN"/>
        </w:rPr>
        <w:t xml:space="preserve">), </w:t>
      </w:r>
      <w:proofErr w:type="spellStart"/>
      <w:r w:rsidR="00683428" w:rsidRPr="00043AFA">
        <w:rPr>
          <w:rFonts w:ascii="Arial" w:hAnsi="Arial" w:cs="Arial"/>
          <w:i/>
          <w:iCs/>
          <w:sz w:val="20"/>
          <w:lang w:val="en-IN"/>
        </w:rPr>
        <w:t>Polyspora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(browning or stem break) and </w:t>
      </w:r>
      <w:r w:rsidR="00683428" w:rsidRPr="00043AFA">
        <w:rPr>
          <w:rFonts w:ascii="Arial" w:hAnsi="Arial" w:cs="Arial"/>
          <w:i/>
          <w:iCs/>
          <w:sz w:val="20"/>
          <w:lang w:val="en-IN"/>
        </w:rPr>
        <w:t xml:space="preserve">Colletotrichum </w:t>
      </w:r>
      <w:proofErr w:type="spellStart"/>
      <w:r w:rsidR="00683428" w:rsidRPr="00043AFA">
        <w:rPr>
          <w:rFonts w:ascii="Arial" w:hAnsi="Arial" w:cs="Arial"/>
          <w:i/>
          <w:iCs/>
          <w:sz w:val="20"/>
          <w:lang w:val="en-IN"/>
        </w:rPr>
        <w:t>linicolum</w:t>
      </w:r>
      <w:proofErr w:type="spellEnd"/>
      <w:r w:rsidR="00683428" w:rsidRPr="00043AFA">
        <w:rPr>
          <w:rFonts w:ascii="Arial" w:hAnsi="Arial" w:cs="Arial"/>
          <w:sz w:val="20"/>
          <w:lang w:val="en-IN"/>
        </w:rPr>
        <w:t xml:space="preserve"> (anthracnose).</w:t>
      </w:r>
      <w:r w:rsidR="001168C1" w:rsidRPr="00043AFA">
        <w:rPr>
          <w:rFonts w:ascii="Arial" w:hAnsi="Arial" w:cs="Arial"/>
          <w:sz w:val="20"/>
          <w:lang w:val="en-IN"/>
        </w:rPr>
        <w:t xml:space="preserve"> </w:t>
      </w:r>
      <w:r w:rsidR="00E47D4D" w:rsidRPr="00043AFA">
        <w:rPr>
          <w:rFonts w:ascii="Arial" w:hAnsi="Arial" w:cs="Arial"/>
          <w:sz w:val="20"/>
          <w:lang w:val="en-IN"/>
        </w:rPr>
        <w:t>Powdery mildew of flax (</w:t>
      </w:r>
      <w:proofErr w:type="spellStart"/>
      <w:r w:rsidR="00E47D4D" w:rsidRPr="00043AFA">
        <w:rPr>
          <w:rFonts w:ascii="Arial" w:hAnsi="Arial" w:cs="Arial"/>
          <w:i/>
          <w:iCs/>
          <w:sz w:val="20"/>
          <w:lang w:val="en-IN"/>
        </w:rPr>
        <w:t>Linum</w:t>
      </w:r>
      <w:proofErr w:type="spellEnd"/>
      <w:r w:rsidR="00E47D4D" w:rsidRPr="00043AFA">
        <w:rPr>
          <w:rFonts w:ascii="Arial" w:hAnsi="Arial" w:cs="Arial"/>
          <w:i/>
          <w:iCs/>
          <w:sz w:val="20"/>
          <w:lang w:val="en-IN"/>
        </w:rPr>
        <w:t xml:space="preserve"> </w:t>
      </w:r>
      <w:proofErr w:type="spellStart"/>
      <w:r w:rsidR="00E47D4D" w:rsidRPr="00043AFA">
        <w:rPr>
          <w:rFonts w:ascii="Arial" w:hAnsi="Arial" w:cs="Arial"/>
          <w:i/>
          <w:iCs/>
          <w:sz w:val="20"/>
          <w:lang w:val="en-IN"/>
        </w:rPr>
        <w:t>usitatissumum</w:t>
      </w:r>
      <w:proofErr w:type="spellEnd"/>
      <w:r w:rsidR="00E47D4D" w:rsidRPr="00043AFA">
        <w:rPr>
          <w:rFonts w:ascii="Arial" w:hAnsi="Arial" w:cs="Arial"/>
          <w:sz w:val="20"/>
          <w:lang w:val="en-IN"/>
        </w:rPr>
        <w:t xml:space="preserve"> L.) is caused by the oblig</w:t>
      </w:r>
      <w:r w:rsidR="00683428" w:rsidRPr="00043AFA">
        <w:rPr>
          <w:rFonts w:ascii="Arial" w:hAnsi="Arial" w:cs="Arial"/>
          <w:sz w:val="20"/>
          <w:lang w:val="en-IN"/>
        </w:rPr>
        <w:t xml:space="preserve">ate parasite </w:t>
      </w:r>
      <w:proofErr w:type="spellStart"/>
      <w:r w:rsidR="00683428" w:rsidRPr="00043AFA">
        <w:rPr>
          <w:rFonts w:ascii="Arial" w:hAnsi="Arial" w:cs="Arial"/>
          <w:i/>
          <w:iCs/>
          <w:sz w:val="20"/>
          <w:lang w:val="en-IN"/>
        </w:rPr>
        <w:t>Oidium</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w:t>
      </w:r>
      <w:r w:rsidR="001168C1"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Powdery mildew can lead to significant yield losses by reducing photosynthetic capacity, weakening plant </w:t>
      </w:r>
      <w:proofErr w:type="spellStart"/>
      <w:r w:rsidR="001168C1" w:rsidRPr="00043AFA">
        <w:rPr>
          <w:rFonts w:ascii="Arial" w:eastAsia="Times New Roman" w:hAnsi="Arial" w:cs="Arial"/>
          <w:sz w:val="20"/>
          <w:lang w:val="en-IN" w:eastAsia="en-IN" w:bidi="ar-SA"/>
        </w:rPr>
        <w:t>vigor</w:t>
      </w:r>
      <w:proofErr w:type="spellEnd"/>
      <w:r w:rsidR="001168C1" w:rsidRPr="00043AFA">
        <w:rPr>
          <w:rFonts w:ascii="Arial" w:eastAsia="Times New Roman" w:hAnsi="Arial" w:cs="Arial"/>
          <w:sz w:val="20"/>
          <w:lang w:val="en-IN" w:eastAsia="en-IN" w:bidi="ar-SA"/>
        </w:rPr>
        <w:t>, and affecting seed quality.</w:t>
      </w:r>
      <w:r w:rsidR="00E47D4D" w:rsidRPr="00043AFA">
        <w:rPr>
          <w:rFonts w:ascii="Arial" w:hAnsi="Arial" w:cs="Arial"/>
          <w:sz w:val="20"/>
          <w:lang w:val="en-IN"/>
        </w:rPr>
        <w:t xml:space="preserve"> This fungus infects all the aboveground flax organs including stems, leaves, flowers and capsules. Physiological races of the pathogen have not been identified because no differential host lines are available to date (Aly </w:t>
      </w:r>
      <w:r w:rsidR="00E47D4D" w:rsidRPr="00043AFA">
        <w:rPr>
          <w:rFonts w:ascii="Arial" w:hAnsi="Arial" w:cs="Arial"/>
          <w:i/>
          <w:iCs/>
          <w:sz w:val="20"/>
          <w:lang w:val="en-IN"/>
        </w:rPr>
        <w:t>et al</w:t>
      </w:r>
      <w:r w:rsidR="00292F98" w:rsidRPr="00043AFA">
        <w:rPr>
          <w:rFonts w:ascii="Arial" w:hAnsi="Arial" w:cs="Arial"/>
          <w:sz w:val="20"/>
          <w:lang w:val="en-IN"/>
        </w:rPr>
        <w:t>., 2000</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Chattopadhyay et al., 2009</w:t>
      </w:r>
      <w:r w:rsidR="00E47D4D" w:rsidRPr="00043AFA">
        <w:rPr>
          <w:rFonts w:ascii="Arial" w:hAnsi="Arial" w:cs="Arial"/>
          <w:sz w:val="20"/>
          <w:lang w:val="en-IN"/>
        </w:rPr>
        <w:t>). The importance of this disease has increased probably due to the appearance and rapid distribution of new races capable of attacking the previously resistant cultivars.</w:t>
      </w:r>
      <w:r w:rsidRPr="00043AFA">
        <w:rPr>
          <w:rFonts w:ascii="Arial" w:hAnsi="Arial" w:cs="Arial"/>
          <w:sz w:val="20"/>
          <w:lang w:val="en-IN"/>
        </w:rPr>
        <w:t xml:space="preserve"> </w:t>
      </w:r>
      <w:r w:rsidR="00E47D4D" w:rsidRPr="00043AFA">
        <w:rPr>
          <w:rFonts w:ascii="Arial" w:hAnsi="Arial" w:cs="Arial"/>
          <w:sz w:val="20"/>
          <w:lang w:val="en-IN"/>
        </w:rPr>
        <w:t xml:space="preserve">Therefore, there is a need to develop varieties resistant to powdery mildew to stabilize the yield potentials of linseed varieties. </w:t>
      </w:r>
    </w:p>
    <w:p w14:paraId="68F51FC8" w14:textId="6832BE00" w:rsidR="00514C8B" w:rsidRPr="00043AFA" w:rsidRDefault="00CC3EDA" w:rsidP="006E0DA5">
      <w:pPr>
        <w:jc w:val="both"/>
        <w:rPr>
          <w:rFonts w:ascii="Arial" w:hAnsi="Arial" w:cs="Arial"/>
          <w:sz w:val="20"/>
          <w:lang w:val="en-IN"/>
        </w:rPr>
      </w:pPr>
      <w:r w:rsidRPr="00043AFA">
        <w:rPr>
          <w:rFonts w:ascii="Arial" w:hAnsi="Arial" w:cs="Arial"/>
          <w:sz w:val="20"/>
          <w:lang w:val="en-IN"/>
        </w:rPr>
        <w:tab/>
      </w:r>
      <w:r w:rsidR="00E47D4D" w:rsidRPr="00043AFA">
        <w:rPr>
          <w:rFonts w:ascii="Arial" w:hAnsi="Arial" w:cs="Arial"/>
          <w:sz w:val="20"/>
          <w:lang w:val="en-IN"/>
        </w:rPr>
        <w:t>Therefore, this research work helps in developing varieties resistant powdery mildew diseases to stabilize the yield potentials of linseed varieties. The manipulation of inherent potentials of plants in the form of resistant varieties is a cheap, viable and environment friendly alternative to reduce losses from biotic stress.</w:t>
      </w:r>
      <w:r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The disease thrives under cool and humid conditions and spreads rapidly, particularly in densely sown crops and susceptible cultivars (Kumar et al., 2013). Chemical control measures, though effective, are often unsustainable due to environmental concerns, development of pathogen resistance, and added production costs. Thus, </w:t>
      </w:r>
      <w:r w:rsidR="001168C1" w:rsidRPr="00043AFA">
        <w:rPr>
          <w:rFonts w:ascii="Arial" w:eastAsia="Times New Roman" w:hAnsi="Arial" w:cs="Arial"/>
          <w:bCs/>
          <w:sz w:val="20"/>
          <w:lang w:val="en-IN" w:eastAsia="en-IN" w:bidi="ar-SA"/>
        </w:rPr>
        <w:t>developing and utilizing powdery mildew-resistant linseed genotypes</w:t>
      </w:r>
      <w:r w:rsidR="001168C1" w:rsidRPr="00043AFA">
        <w:rPr>
          <w:rFonts w:ascii="Arial" w:eastAsia="Times New Roman" w:hAnsi="Arial" w:cs="Arial"/>
          <w:sz w:val="20"/>
          <w:lang w:val="en-IN" w:eastAsia="en-IN" w:bidi="ar-SA"/>
        </w:rPr>
        <w:t xml:space="preserve"> is an eco-friendly and economically viable approach to disease management. Genetic resistance offers a durable solution and can be effectively harnessed through the identification and utilization of resistant sources present in diverse germplasm collections. Germplasm screening under natural or artificial epiphytotic conditions provides insights into the spectrum of resistance and can help breeders in selecting suitable parents for resistance breeding programs (Gupta et al., 2020). Evaluation of linseed germplasm for powdery mildew resistance is also essential to understand the genetic variability and resistance mechanisms, which are prerequisites for strategic genetic improvement. Given the importance of host-plant resistance and the need to broaden the genetic base of linseed cultivars, the present study aims to </w:t>
      </w:r>
      <w:r w:rsidR="001168C1" w:rsidRPr="00043AFA">
        <w:rPr>
          <w:rFonts w:ascii="Arial" w:eastAsia="Times New Roman" w:hAnsi="Arial" w:cs="Arial"/>
          <w:bCs/>
          <w:sz w:val="20"/>
          <w:lang w:val="en-IN" w:eastAsia="en-IN" w:bidi="ar-SA"/>
        </w:rPr>
        <w:t>screen and evaluate a diverse set of linseed germplasm for resistance to powdery mildew</w:t>
      </w:r>
      <w:r w:rsidR="001168C1" w:rsidRPr="00043AFA">
        <w:rPr>
          <w:rFonts w:ascii="Arial" w:eastAsia="Times New Roman" w:hAnsi="Arial" w:cs="Arial"/>
          <w:sz w:val="20"/>
          <w:lang w:val="en-IN" w:eastAsia="en-IN" w:bidi="ar-SA"/>
        </w:rPr>
        <w:t xml:space="preserve"> under field conditions. This will facilitate the identification of resistant accessions that can be further exploited in breeding programs aimed at developing disease-resilient varieties.</w:t>
      </w:r>
    </w:p>
    <w:p w14:paraId="7C401C79" w14:textId="6ED80522" w:rsidR="00E47D4D" w:rsidRPr="00043AFA" w:rsidRDefault="00A5024A"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t>MATERIAL</w:t>
      </w:r>
      <w:r w:rsidR="00514C8B" w:rsidRPr="00043AFA">
        <w:rPr>
          <w:rFonts w:ascii="Arial" w:hAnsi="Arial" w:cs="Arial"/>
          <w:b/>
          <w:bCs/>
          <w:sz w:val="20"/>
          <w:lang w:val="en-IN"/>
        </w:rPr>
        <w:t xml:space="preserve">S AND METHOD </w:t>
      </w:r>
    </w:p>
    <w:p w14:paraId="2973D828" w14:textId="62CE83DA" w:rsidR="00503A7E" w:rsidRPr="00043AFA" w:rsidRDefault="00514C8B" w:rsidP="00514C8B">
      <w:pPr>
        <w:pStyle w:val="Heading2"/>
        <w:numPr>
          <w:ilvl w:val="1"/>
          <w:numId w:val="24"/>
        </w:numPr>
        <w:rPr>
          <w:rFonts w:ascii="Arial" w:hAnsi="Arial" w:cs="Arial"/>
          <w:b/>
          <w:color w:val="auto"/>
          <w:sz w:val="20"/>
          <w:szCs w:val="20"/>
        </w:rPr>
      </w:pPr>
      <w:r w:rsidRPr="00043AFA">
        <w:rPr>
          <w:rFonts w:ascii="Arial" w:hAnsi="Arial" w:cs="Arial"/>
          <w:b/>
          <w:color w:val="auto"/>
          <w:sz w:val="20"/>
          <w:szCs w:val="20"/>
        </w:rPr>
        <w:t>Experimental site</w:t>
      </w:r>
      <w:r w:rsidR="00503A7E" w:rsidRPr="00043AFA">
        <w:rPr>
          <w:rFonts w:ascii="Arial" w:hAnsi="Arial" w:cs="Arial"/>
          <w:b/>
          <w:color w:val="auto"/>
          <w:sz w:val="20"/>
          <w:szCs w:val="20"/>
        </w:rPr>
        <w:t>:</w:t>
      </w:r>
    </w:p>
    <w:p w14:paraId="4C3507AA" w14:textId="3AFBE6E8" w:rsidR="00503A7E" w:rsidRPr="00043AFA" w:rsidRDefault="00503A7E" w:rsidP="006E0DA5">
      <w:pPr>
        <w:ind w:firstLine="720"/>
        <w:jc w:val="both"/>
        <w:rPr>
          <w:rFonts w:ascii="Arial" w:hAnsi="Arial" w:cs="Arial"/>
          <w:sz w:val="20"/>
        </w:rPr>
      </w:pPr>
      <w:r w:rsidRPr="00043AFA">
        <w:rPr>
          <w:rFonts w:ascii="Arial" w:hAnsi="Arial" w:cs="Arial"/>
          <w:sz w:val="20"/>
        </w:rPr>
        <w:t xml:space="preserve">The experiment was carried during Rabi-2022-23 and Rabi-2023-24 under ICAR-All India Coordinated Research Project (AICRP) on Linseed at </w:t>
      </w:r>
      <w:r w:rsidRPr="00043AFA">
        <w:rPr>
          <w:rFonts w:ascii="Arial" w:hAnsi="Arial" w:cs="Arial"/>
          <w:sz w:val="20"/>
          <w:lang w:val="en-IN"/>
        </w:rPr>
        <w:t>the experimental block of Regional Research and Technology Transfer Station (RRTTS)</w:t>
      </w:r>
      <w:r w:rsidRPr="00043AFA">
        <w:rPr>
          <w:rFonts w:ascii="Arial" w:hAnsi="Arial" w:cs="Arial"/>
          <w:sz w:val="20"/>
        </w:rPr>
        <w:t xml:space="preserve">, 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Odisha. The experimental site is located at latitude 21.632</w:t>
      </w:r>
      <w:r w:rsidRPr="00043AFA">
        <w:rPr>
          <w:rFonts w:ascii="Arial" w:hAnsi="Arial" w:cs="Arial"/>
          <w:sz w:val="20"/>
          <w:vertAlign w:val="superscript"/>
        </w:rPr>
        <w:t>o</w:t>
      </w:r>
      <w:r w:rsidRPr="00043AFA">
        <w:rPr>
          <w:rFonts w:ascii="Arial" w:hAnsi="Arial" w:cs="Arial"/>
          <w:sz w:val="20"/>
        </w:rPr>
        <w:t>N and longitude 85.323</w:t>
      </w:r>
      <w:r w:rsidRPr="00043AFA">
        <w:rPr>
          <w:rFonts w:ascii="Arial" w:hAnsi="Arial" w:cs="Arial"/>
          <w:sz w:val="20"/>
          <w:vertAlign w:val="superscript"/>
        </w:rPr>
        <w:t>o</w:t>
      </w:r>
      <w:r w:rsidRPr="00043AFA">
        <w:rPr>
          <w:rFonts w:ascii="Arial" w:hAnsi="Arial" w:cs="Arial"/>
          <w:sz w:val="20"/>
        </w:rPr>
        <w:t xml:space="preserve">E with altitude 521.53 m. </w:t>
      </w:r>
      <w:r w:rsidR="00CC3EDA" w:rsidRPr="00043AFA">
        <w:rPr>
          <w:rFonts w:ascii="Arial" w:hAnsi="Arial" w:cs="Arial"/>
          <w:sz w:val="20"/>
        </w:rPr>
        <w:t>This</w:t>
      </w:r>
      <w:r w:rsidRPr="00043AFA">
        <w:rPr>
          <w:rFonts w:ascii="Arial" w:hAnsi="Arial" w:cs="Arial"/>
          <w:sz w:val="20"/>
        </w:rPr>
        <w:t xml:space="preserve"> is located in the North Central Plateau Zone and experiences a hot, sub-humid climate, with summer temperatures averaging 35.2°C and winter temperatures around 13.38°C. </w:t>
      </w:r>
      <w:r w:rsidRPr="00043AFA">
        <w:rPr>
          <w:rFonts w:ascii="Arial" w:hAnsi="Arial" w:cs="Arial"/>
          <w:sz w:val="20"/>
          <w:lang w:val="en-IN"/>
        </w:rPr>
        <w:t>The region receives average 1331.2 mm rainfall annually out of which about 7 per cent is received during Rabi season (October to January) and about</w:t>
      </w:r>
      <w:r w:rsidR="00CC3EDA" w:rsidRPr="00043AFA">
        <w:rPr>
          <w:rFonts w:ascii="Arial" w:hAnsi="Arial" w:cs="Arial"/>
          <w:sz w:val="20"/>
          <w:lang w:val="en-IN"/>
        </w:rPr>
        <w:t xml:space="preserve"> 6% during summer (February to M</w:t>
      </w:r>
      <w:r w:rsidRPr="00043AFA">
        <w:rPr>
          <w:rFonts w:ascii="Arial" w:hAnsi="Arial" w:cs="Arial"/>
          <w:sz w:val="20"/>
          <w:lang w:val="en-IN"/>
        </w:rPr>
        <w:t>ay). Monsoon generally breaks by the end of June and continues up to September.</w:t>
      </w:r>
      <w:r w:rsidR="00681D78" w:rsidRPr="00043AFA">
        <w:rPr>
          <w:rFonts w:ascii="Arial" w:hAnsi="Arial" w:cs="Arial"/>
          <w:sz w:val="20"/>
        </w:rPr>
        <w:t xml:space="preserve"> The meteorological data is presented in Table 1. </w:t>
      </w:r>
    </w:p>
    <w:p w14:paraId="45C72313" w14:textId="120A4972" w:rsidR="00514C8B" w:rsidRPr="00043AFA" w:rsidRDefault="00681D78" w:rsidP="00514C8B">
      <w:pPr>
        <w:jc w:val="both"/>
        <w:rPr>
          <w:rFonts w:ascii="Arial" w:hAnsi="Arial" w:cs="Arial"/>
          <w:b/>
          <w:sz w:val="20"/>
        </w:rPr>
      </w:pPr>
      <w:r w:rsidRPr="00043AFA">
        <w:rPr>
          <w:rFonts w:ascii="Arial" w:hAnsi="Arial" w:cs="Arial"/>
          <w:b/>
          <w:sz w:val="20"/>
        </w:rPr>
        <w:lastRenderedPageBreak/>
        <w:t xml:space="preserve">Table </w:t>
      </w:r>
      <w:r w:rsidR="00A75692" w:rsidRPr="00043AFA">
        <w:rPr>
          <w:rFonts w:ascii="Arial" w:hAnsi="Arial" w:cs="Arial"/>
          <w:b/>
          <w:sz w:val="20"/>
        </w:rPr>
        <w:t>1</w:t>
      </w:r>
      <w:r w:rsidRPr="00043AFA">
        <w:rPr>
          <w:rFonts w:ascii="Arial" w:hAnsi="Arial" w:cs="Arial"/>
          <w:b/>
          <w:sz w:val="20"/>
        </w:rPr>
        <w:t>.</w:t>
      </w:r>
      <w:r w:rsidR="00514C8B" w:rsidRPr="00043AFA">
        <w:rPr>
          <w:rFonts w:ascii="Arial" w:hAnsi="Arial" w:cs="Arial"/>
          <w:b/>
          <w:sz w:val="20"/>
        </w:rPr>
        <w:t xml:space="preserve"> </w:t>
      </w:r>
      <w:r w:rsidR="00A75692" w:rsidRPr="00043AFA">
        <w:rPr>
          <w:rFonts w:ascii="Arial" w:hAnsi="Arial" w:cs="Arial"/>
          <w:b/>
          <w:sz w:val="20"/>
        </w:rPr>
        <w:t>Weather parameters</w:t>
      </w:r>
      <w:r w:rsidR="00514C8B" w:rsidRPr="00043AFA">
        <w:rPr>
          <w:rFonts w:ascii="Arial" w:hAnsi="Arial" w:cs="Arial"/>
          <w:b/>
          <w:sz w:val="20"/>
        </w:rPr>
        <w:t xml:space="preserve"> </w:t>
      </w:r>
      <w:r w:rsidR="00A75692" w:rsidRPr="00043AFA">
        <w:rPr>
          <w:rFonts w:ascii="Arial" w:hAnsi="Arial" w:cs="Arial"/>
          <w:b/>
          <w:sz w:val="20"/>
        </w:rPr>
        <w:t>during crop growing period</w:t>
      </w:r>
      <w:r w:rsidRPr="00043AFA">
        <w:rPr>
          <w:rFonts w:ascii="Arial" w:hAnsi="Arial" w:cs="Arial"/>
          <w:b/>
          <w:sz w:val="20"/>
        </w:rPr>
        <w:t xml:space="preserve"> as per the </w:t>
      </w:r>
      <w:r w:rsidR="00674995" w:rsidRPr="00043AFA">
        <w:rPr>
          <w:rFonts w:ascii="Arial" w:hAnsi="Arial" w:cs="Arial"/>
          <w:b/>
          <w:sz w:val="20"/>
        </w:rPr>
        <w:t xml:space="preserve">data recorded by </w:t>
      </w:r>
      <w:r w:rsidRPr="00043AFA">
        <w:rPr>
          <w:rFonts w:ascii="Arial" w:hAnsi="Arial" w:cs="Arial"/>
          <w:b/>
          <w:sz w:val="20"/>
        </w:rPr>
        <w:t>Gramin Krishi Mausam Sewa</w:t>
      </w:r>
      <w:r w:rsidR="00674995" w:rsidRPr="00043AFA">
        <w:rPr>
          <w:rFonts w:ascii="Arial" w:hAnsi="Arial" w:cs="Arial"/>
          <w:b/>
          <w:sz w:val="20"/>
        </w:rPr>
        <w:t xml:space="preserve"> (GKMS)</w:t>
      </w:r>
      <w:r w:rsidRPr="00043AFA">
        <w:rPr>
          <w:rFonts w:ascii="Arial" w:hAnsi="Arial" w:cs="Arial"/>
          <w:b/>
          <w:sz w:val="20"/>
        </w:rPr>
        <w:t xml:space="preserve">, RRTTS, OUAT, </w:t>
      </w:r>
      <w:proofErr w:type="spellStart"/>
      <w:r w:rsidRPr="00043AFA">
        <w:rPr>
          <w:rFonts w:ascii="Arial" w:hAnsi="Arial" w:cs="Arial"/>
          <w:b/>
          <w:sz w:val="20"/>
        </w:rPr>
        <w:t>Keonjhar</w:t>
      </w:r>
      <w:proofErr w:type="spellEnd"/>
    </w:p>
    <w:tbl>
      <w:tblPr>
        <w:tblW w:w="5000" w:type="pct"/>
        <w:tblLook w:val="04A0" w:firstRow="1" w:lastRow="0" w:firstColumn="1" w:lastColumn="0" w:noHBand="0" w:noVBand="1"/>
      </w:tblPr>
      <w:tblGrid>
        <w:gridCol w:w="1752"/>
        <w:gridCol w:w="1351"/>
        <w:gridCol w:w="1353"/>
        <w:gridCol w:w="1351"/>
        <w:gridCol w:w="1353"/>
        <w:gridCol w:w="2083"/>
      </w:tblGrid>
      <w:tr w:rsidR="00514C8B" w:rsidRPr="00043AFA" w14:paraId="110D422E" w14:textId="77777777" w:rsidTr="001168C1">
        <w:trPr>
          <w:trHeight w:val="178"/>
        </w:trPr>
        <w:tc>
          <w:tcPr>
            <w:tcW w:w="947" w:type="pct"/>
            <w:vMerge w:val="restart"/>
            <w:tcBorders>
              <w:top w:val="single" w:sz="4" w:space="0" w:color="auto"/>
              <w:left w:val="single" w:sz="4" w:space="0" w:color="auto"/>
              <w:bottom w:val="single" w:sz="4" w:space="0" w:color="auto"/>
              <w:right w:val="single" w:sz="4" w:space="0" w:color="auto"/>
            </w:tcBorders>
            <w:noWrap/>
            <w:vAlign w:val="center"/>
            <w:hideMark/>
          </w:tcPr>
          <w:p w14:paraId="03997669"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Month</w:t>
            </w:r>
          </w:p>
        </w:tc>
        <w:tc>
          <w:tcPr>
            <w:tcW w:w="1463" w:type="pct"/>
            <w:gridSpan w:val="2"/>
            <w:tcBorders>
              <w:top w:val="single" w:sz="4" w:space="0" w:color="auto"/>
              <w:left w:val="nil"/>
              <w:bottom w:val="single" w:sz="4" w:space="0" w:color="auto"/>
              <w:right w:val="single" w:sz="4" w:space="0" w:color="auto"/>
            </w:tcBorders>
            <w:noWrap/>
            <w:vAlign w:val="center"/>
            <w:hideMark/>
          </w:tcPr>
          <w:p w14:paraId="316039D7"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Temperature (</w:t>
            </w:r>
            <w:proofErr w:type="spellStart"/>
            <w:r w:rsidRPr="00043AFA">
              <w:rPr>
                <w:rFonts w:ascii="Arial" w:eastAsia="Times New Roman" w:hAnsi="Arial" w:cs="Arial"/>
                <w:b/>
                <w:bCs/>
                <w:color w:val="000000"/>
                <w:sz w:val="20"/>
                <w:vertAlign w:val="superscript"/>
              </w:rPr>
              <w:t>o</w:t>
            </w:r>
            <w:r w:rsidRPr="00043AFA">
              <w:rPr>
                <w:rFonts w:ascii="Arial" w:eastAsia="Times New Roman" w:hAnsi="Arial" w:cs="Arial"/>
                <w:b/>
                <w:bCs/>
                <w:color w:val="000000"/>
                <w:sz w:val="20"/>
              </w:rPr>
              <w:t>C</w:t>
            </w:r>
            <w:proofErr w:type="spellEnd"/>
            <w:r w:rsidRPr="00043AFA">
              <w:rPr>
                <w:rFonts w:ascii="Arial" w:eastAsia="Times New Roman" w:hAnsi="Arial" w:cs="Arial"/>
                <w:b/>
                <w:bCs/>
                <w:color w:val="000000"/>
                <w:sz w:val="20"/>
              </w:rPr>
              <w:t>)</w:t>
            </w:r>
          </w:p>
        </w:tc>
        <w:tc>
          <w:tcPr>
            <w:tcW w:w="1463" w:type="pct"/>
            <w:gridSpan w:val="2"/>
            <w:tcBorders>
              <w:top w:val="single" w:sz="4" w:space="0" w:color="auto"/>
              <w:left w:val="nil"/>
              <w:bottom w:val="single" w:sz="4" w:space="0" w:color="auto"/>
              <w:right w:val="single" w:sz="4" w:space="0" w:color="auto"/>
            </w:tcBorders>
            <w:noWrap/>
            <w:vAlign w:val="center"/>
            <w:hideMark/>
          </w:tcPr>
          <w:p w14:paraId="5397C0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R.H. (%)</w:t>
            </w:r>
          </w:p>
        </w:tc>
        <w:tc>
          <w:tcPr>
            <w:tcW w:w="1127" w:type="pct"/>
            <w:vMerge w:val="restart"/>
            <w:tcBorders>
              <w:top w:val="single" w:sz="4" w:space="0" w:color="auto"/>
              <w:left w:val="single" w:sz="4" w:space="0" w:color="auto"/>
              <w:bottom w:val="single" w:sz="4" w:space="0" w:color="auto"/>
              <w:right w:val="single" w:sz="4" w:space="0" w:color="auto"/>
            </w:tcBorders>
            <w:noWrap/>
            <w:vAlign w:val="center"/>
            <w:hideMark/>
          </w:tcPr>
          <w:p w14:paraId="7FC3AE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Rainfall (mm)</w:t>
            </w:r>
          </w:p>
        </w:tc>
      </w:tr>
      <w:tr w:rsidR="00514C8B" w:rsidRPr="00043AFA" w14:paraId="5948244D" w14:textId="77777777" w:rsidTr="001168C1">
        <w:trPr>
          <w:trHeight w:val="311"/>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4B08D17" w14:textId="77777777" w:rsidR="00514C8B" w:rsidRPr="00043AFA" w:rsidRDefault="00514C8B" w:rsidP="001168C1">
            <w:pPr>
              <w:spacing w:after="0"/>
              <w:jc w:val="center"/>
              <w:rPr>
                <w:rFonts w:ascii="Arial" w:eastAsia="Times New Roman" w:hAnsi="Arial" w:cs="Arial"/>
                <w:b/>
                <w:bCs/>
                <w:color w:val="000000"/>
                <w:sz w:val="20"/>
              </w:rPr>
            </w:pPr>
          </w:p>
        </w:tc>
        <w:tc>
          <w:tcPr>
            <w:tcW w:w="731" w:type="pct"/>
            <w:tcBorders>
              <w:top w:val="nil"/>
              <w:left w:val="nil"/>
              <w:bottom w:val="single" w:sz="4" w:space="0" w:color="auto"/>
              <w:right w:val="single" w:sz="4" w:space="0" w:color="auto"/>
            </w:tcBorders>
            <w:noWrap/>
            <w:vAlign w:val="center"/>
            <w:hideMark/>
          </w:tcPr>
          <w:p w14:paraId="442195E7" w14:textId="4C660A4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780A3FF" w14:textId="01A520C3"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731" w:type="pct"/>
            <w:tcBorders>
              <w:top w:val="nil"/>
              <w:left w:val="nil"/>
              <w:bottom w:val="single" w:sz="4" w:space="0" w:color="auto"/>
              <w:right w:val="single" w:sz="4" w:space="0" w:color="auto"/>
            </w:tcBorders>
            <w:noWrap/>
            <w:vAlign w:val="center"/>
            <w:hideMark/>
          </w:tcPr>
          <w:p w14:paraId="7D2048BF" w14:textId="36E67996"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A93C2CB" w14:textId="42D3316E"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1A4C5E0" w14:textId="77777777" w:rsidR="00514C8B" w:rsidRPr="00043AFA" w:rsidRDefault="00514C8B" w:rsidP="001168C1">
            <w:pPr>
              <w:spacing w:after="0"/>
              <w:jc w:val="center"/>
              <w:rPr>
                <w:rFonts w:ascii="Arial" w:eastAsia="Times New Roman" w:hAnsi="Arial" w:cs="Arial"/>
                <w:b/>
                <w:bCs/>
                <w:color w:val="000000"/>
                <w:sz w:val="20"/>
              </w:rPr>
            </w:pPr>
          </w:p>
        </w:tc>
      </w:tr>
      <w:tr w:rsidR="00514C8B" w:rsidRPr="00043AFA" w14:paraId="49C43A4E" w14:textId="77777777" w:rsidTr="001168C1">
        <w:trPr>
          <w:trHeight w:val="289"/>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3FA5769D"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hAnsi="Arial" w:cs="Arial"/>
                <w:b/>
                <w:bCs/>
                <w:sz w:val="20"/>
              </w:rPr>
              <w:t>Rabi-2022-23</w:t>
            </w:r>
          </w:p>
        </w:tc>
      </w:tr>
      <w:tr w:rsidR="00514C8B" w:rsidRPr="00043AFA" w14:paraId="63B44178" w14:textId="77777777" w:rsidTr="001168C1">
        <w:trPr>
          <w:trHeight w:val="294"/>
        </w:trPr>
        <w:tc>
          <w:tcPr>
            <w:tcW w:w="947" w:type="pct"/>
            <w:tcBorders>
              <w:top w:val="nil"/>
              <w:left w:val="single" w:sz="4" w:space="0" w:color="auto"/>
              <w:bottom w:val="single" w:sz="4" w:space="0" w:color="auto"/>
              <w:right w:val="single" w:sz="4" w:space="0" w:color="auto"/>
            </w:tcBorders>
            <w:noWrap/>
            <w:vAlign w:val="center"/>
            <w:hideMark/>
          </w:tcPr>
          <w:p w14:paraId="07FD90F1" w14:textId="5DF20B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-2022</w:t>
            </w:r>
          </w:p>
        </w:tc>
        <w:tc>
          <w:tcPr>
            <w:tcW w:w="731" w:type="pct"/>
            <w:tcBorders>
              <w:top w:val="nil"/>
              <w:left w:val="nil"/>
              <w:bottom w:val="single" w:sz="4" w:space="0" w:color="auto"/>
              <w:right w:val="single" w:sz="4" w:space="0" w:color="auto"/>
            </w:tcBorders>
            <w:vAlign w:val="center"/>
            <w:hideMark/>
          </w:tcPr>
          <w:p w14:paraId="25AE0F6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vAlign w:val="center"/>
            <w:hideMark/>
          </w:tcPr>
          <w:p w14:paraId="2192599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12.4</w:t>
            </w:r>
          </w:p>
        </w:tc>
        <w:tc>
          <w:tcPr>
            <w:tcW w:w="731" w:type="pct"/>
            <w:tcBorders>
              <w:top w:val="nil"/>
              <w:left w:val="nil"/>
              <w:bottom w:val="single" w:sz="4" w:space="0" w:color="auto"/>
              <w:right w:val="single" w:sz="4" w:space="0" w:color="auto"/>
            </w:tcBorders>
            <w:vAlign w:val="center"/>
            <w:hideMark/>
          </w:tcPr>
          <w:p w14:paraId="0684721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72.0</w:t>
            </w:r>
          </w:p>
        </w:tc>
        <w:tc>
          <w:tcPr>
            <w:tcW w:w="732" w:type="pct"/>
            <w:tcBorders>
              <w:top w:val="nil"/>
              <w:left w:val="nil"/>
              <w:bottom w:val="single" w:sz="4" w:space="0" w:color="auto"/>
              <w:right w:val="single" w:sz="4" w:space="0" w:color="auto"/>
            </w:tcBorders>
            <w:vAlign w:val="center"/>
            <w:hideMark/>
          </w:tcPr>
          <w:p w14:paraId="2218B91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40.3</w:t>
            </w:r>
          </w:p>
        </w:tc>
        <w:tc>
          <w:tcPr>
            <w:tcW w:w="1127" w:type="pct"/>
            <w:tcBorders>
              <w:top w:val="nil"/>
              <w:left w:val="nil"/>
              <w:bottom w:val="single" w:sz="4" w:space="0" w:color="auto"/>
              <w:right w:val="single" w:sz="4" w:space="0" w:color="auto"/>
            </w:tcBorders>
            <w:vAlign w:val="center"/>
            <w:hideMark/>
          </w:tcPr>
          <w:p w14:paraId="298162B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w:t>
            </w:r>
          </w:p>
        </w:tc>
      </w:tr>
      <w:tr w:rsidR="00514C8B" w:rsidRPr="00043AFA" w14:paraId="0A2FDD28" w14:textId="77777777" w:rsidTr="001168C1">
        <w:trPr>
          <w:trHeight w:val="271"/>
        </w:trPr>
        <w:tc>
          <w:tcPr>
            <w:tcW w:w="947" w:type="pct"/>
            <w:tcBorders>
              <w:top w:val="nil"/>
              <w:left w:val="single" w:sz="4" w:space="0" w:color="auto"/>
              <w:bottom w:val="single" w:sz="4" w:space="0" w:color="auto"/>
              <w:right w:val="single" w:sz="4" w:space="0" w:color="auto"/>
            </w:tcBorders>
            <w:noWrap/>
            <w:vAlign w:val="center"/>
            <w:hideMark/>
          </w:tcPr>
          <w:p w14:paraId="15408DA2" w14:textId="29C26338"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68864F0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noWrap/>
            <w:vAlign w:val="center"/>
            <w:hideMark/>
          </w:tcPr>
          <w:p w14:paraId="03937F5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13.0</w:t>
            </w:r>
          </w:p>
        </w:tc>
        <w:tc>
          <w:tcPr>
            <w:tcW w:w="731" w:type="pct"/>
            <w:tcBorders>
              <w:top w:val="nil"/>
              <w:left w:val="nil"/>
              <w:bottom w:val="single" w:sz="4" w:space="0" w:color="auto"/>
              <w:right w:val="single" w:sz="4" w:space="0" w:color="auto"/>
            </w:tcBorders>
            <w:vAlign w:val="center"/>
            <w:hideMark/>
          </w:tcPr>
          <w:p w14:paraId="4C88E95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81.9</w:t>
            </w:r>
          </w:p>
        </w:tc>
        <w:tc>
          <w:tcPr>
            <w:tcW w:w="732" w:type="pct"/>
            <w:tcBorders>
              <w:top w:val="nil"/>
              <w:left w:val="nil"/>
              <w:bottom w:val="single" w:sz="4" w:space="0" w:color="auto"/>
              <w:right w:val="single" w:sz="4" w:space="0" w:color="auto"/>
            </w:tcBorders>
            <w:vAlign w:val="center"/>
            <w:hideMark/>
          </w:tcPr>
          <w:p w14:paraId="3B6DC74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47.7</w:t>
            </w:r>
          </w:p>
        </w:tc>
        <w:tc>
          <w:tcPr>
            <w:tcW w:w="1127" w:type="pct"/>
            <w:tcBorders>
              <w:top w:val="nil"/>
              <w:left w:val="nil"/>
              <w:bottom w:val="single" w:sz="4" w:space="0" w:color="auto"/>
              <w:right w:val="single" w:sz="4" w:space="0" w:color="auto"/>
            </w:tcBorders>
            <w:vAlign w:val="center"/>
            <w:hideMark/>
          </w:tcPr>
          <w:p w14:paraId="7D8248C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2.0</w:t>
            </w:r>
          </w:p>
        </w:tc>
      </w:tr>
      <w:tr w:rsidR="00514C8B" w:rsidRPr="00043AFA" w14:paraId="3D1E8F6A" w14:textId="77777777" w:rsidTr="001168C1">
        <w:trPr>
          <w:trHeight w:val="275"/>
        </w:trPr>
        <w:tc>
          <w:tcPr>
            <w:tcW w:w="947" w:type="pct"/>
            <w:tcBorders>
              <w:top w:val="nil"/>
              <w:left w:val="single" w:sz="4" w:space="0" w:color="auto"/>
              <w:bottom w:val="single" w:sz="4" w:space="0" w:color="auto"/>
              <w:right w:val="single" w:sz="4" w:space="0" w:color="auto"/>
            </w:tcBorders>
            <w:noWrap/>
            <w:vAlign w:val="center"/>
            <w:hideMark/>
          </w:tcPr>
          <w:p w14:paraId="69440498" w14:textId="21651651"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1713C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30.5</w:t>
            </w:r>
          </w:p>
        </w:tc>
        <w:tc>
          <w:tcPr>
            <w:tcW w:w="732" w:type="pct"/>
            <w:tcBorders>
              <w:top w:val="nil"/>
              <w:left w:val="nil"/>
              <w:bottom w:val="single" w:sz="4" w:space="0" w:color="auto"/>
              <w:right w:val="single" w:sz="4" w:space="0" w:color="auto"/>
            </w:tcBorders>
            <w:vAlign w:val="center"/>
            <w:hideMark/>
          </w:tcPr>
          <w:p w14:paraId="20380D7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14.4</w:t>
            </w:r>
          </w:p>
        </w:tc>
        <w:tc>
          <w:tcPr>
            <w:tcW w:w="731" w:type="pct"/>
            <w:tcBorders>
              <w:top w:val="nil"/>
              <w:left w:val="nil"/>
              <w:bottom w:val="single" w:sz="4" w:space="0" w:color="auto"/>
              <w:right w:val="single" w:sz="4" w:space="0" w:color="auto"/>
            </w:tcBorders>
            <w:vAlign w:val="center"/>
            <w:hideMark/>
          </w:tcPr>
          <w:p w14:paraId="2168CCA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74.3</w:t>
            </w:r>
          </w:p>
        </w:tc>
        <w:tc>
          <w:tcPr>
            <w:tcW w:w="732" w:type="pct"/>
            <w:tcBorders>
              <w:top w:val="nil"/>
              <w:left w:val="nil"/>
              <w:bottom w:val="single" w:sz="4" w:space="0" w:color="auto"/>
              <w:right w:val="single" w:sz="4" w:space="0" w:color="auto"/>
            </w:tcBorders>
            <w:vAlign w:val="center"/>
            <w:hideMark/>
          </w:tcPr>
          <w:p w14:paraId="4C80986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43.6</w:t>
            </w:r>
          </w:p>
        </w:tc>
        <w:tc>
          <w:tcPr>
            <w:tcW w:w="1127" w:type="pct"/>
            <w:tcBorders>
              <w:top w:val="nil"/>
              <w:left w:val="nil"/>
              <w:bottom w:val="single" w:sz="4" w:space="0" w:color="auto"/>
              <w:right w:val="single" w:sz="4" w:space="0" w:color="auto"/>
            </w:tcBorders>
            <w:vAlign w:val="center"/>
            <w:hideMark/>
          </w:tcPr>
          <w:p w14:paraId="7C64ABC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0.0</w:t>
            </w:r>
          </w:p>
        </w:tc>
      </w:tr>
      <w:tr w:rsidR="00514C8B" w:rsidRPr="00043AFA" w14:paraId="2ACEC9FF" w14:textId="77777777" w:rsidTr="001168C1">
        <w:trPr>
          <w:trHeight w:val="279"/>
        </w:trPr>
        <w:tc>
          <w:tcPr>
            <w:tcW w:w="947" w:type="pct"/>
            <w:tcBorders>
              <w:top w:val="nil"/>
              <w:left w:val="single" w:sz="4" w:space="0" w:color="auto"/>
              <w:bottom w:val="single" w:sz="4" w:space="0" w:color="auto"/>
              <w:right w:val="single" w:sz="4" w:space="0" w:color="auto"/>
            </w:tcBorders>
            <w:noWrap/>
            <w:vAlign w:val="center"/>
            <w:hideMark/>
          </w:tcPr>
          <w:p w14:paraId="5870B03F" w14:textId="3E15D307"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626397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32.0</w:t>
            </w:r>
          </w:p>
        </w:tc>
        <w:tc>
          <w:tcPr>
            <w:tcW w:w="732" w:type="pct"/>
            <w:tcBorders>
              <w:top w:val="nil"/>
              <w:left w:val="nil"/>
              <w:bottom w:val="single" w:sz="4" w:space="0" w:color="auto"/>
              <w:right w:val="single" w:sz="4" w:space="0" w:color="auto"/>
            </w:tcBorders>
            <w:vAlign w:val="center"/>
            <w:hideMark/>
          </w:tcPr>
          <w:p w14:paraId="3376E57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w:t>
            </w:r>
          </w:p>
        </w:tc>
        <w:tc>
          <w:tcPr>
            <w:tcW w:w="731" w:type="pct"/>
            <w:tcBorders>
              <w:top w:val="nil"/>
              <w:left w:val="nil"/>
              <w:bottom w:val="single" w:sz="4" w:space="0" w:color="auto"/>
              <w:right w:val="single" w:sz="4" w:space="0" w:color="auto"/>
            </w:tcBorders>
            <w:vAlign w:val="center"/>
            <w:hideMark/>
          </w:tcPr>
          <w:p w14:paraId="734CF2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77.3</w:t>
            </w:r>
          </w:p>
        </w:tc>
        <w:tc>
          <w:tcPr>
            <w:tcW w:w="732" w:type="pct"/>
            <w:tcBorders>
              <w:top w:val="nil"/>
              <w:left w:val="nil"/>
              <w:bottom w:val="single" w:sz="4" w:space="0" w:color="auto"/>
              <w:right w:val="single" w:sz="4" w:space="0" w:color="auto"/>
            </w:tcBorders>
            <w:vAlign w:val="center"/>
            <w:hideMark/>
          </w:tcPr>
          <w:p w14:paraId="6A0D3DA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40.2</w:t>
            </w:r>
          </w:p>
        </w:tc>
        <w:tc>
          <w:tcPr>
            <w:tcW w:w="1127" w:type="pct"/>
            <w:tcBorders>
              <w:top w:val="nil"/>
              <w:left w:val="nil"/>
              <w:bottom w:val="single" w:sz="4" w:space="0" w:color="auto"/>
              <w:right w:val="single" w:sz="4" w:space="0" w:color="auto"/>
            </w:tcBorders>
            <w:vAlign w:val="center"/>
            <w:hideMark/>
          </w:tcPr>
          <w:p w14:paraId="1903332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31.4</w:t>
            </w:r>
          </w:p>
        </w:tc>
      </w:tr>
      <w:tr w:rsidR="00514C8B" w:rsidRPr="00043AFA" w14:paraId="2EF166B9" w14:textId="77777777" w:rsidTr="001168C1">
        <w:trPr>
          <w:trHeight w:val="127"/>
        </w:trPr>
        <w:tc>
          <w:tcPr>
            <w:tcW w:w="947" w:type="pct"/>
            <w:tcBorders>
              <w:top w:val="nil"/>
              <w:left w:val="single" w:sz="4" w:space="0" w:color="auto"/>
              <w:bottom w:val="single" w:sz="4" w:space="0" w:color="auto"/>
              <w:right w:val="single" w:sz="4" w:space="0" w:color="auto"/>
            </w:tcBorders>
            <w:noWrap/>
            <w:vAlign w:val="center"/>
            <w:hideMark/>
          </w:tcPr>
          <w:p w14:paraId="5A27F927" w14:textId="664D96D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4A8E2BE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35.1</w:t>
            </w:r>
          </w:p>
        </w:tc>
        <w:tc>
          <w:tcPr>
            <w:tcW w:w="732" w:type="pct"/>
            <w:tcBorders>
              <w:top w:val="nil"/>
              <w:left w:val="nil"/>
              <w:bottom w:val="single" w:sz="4" w:space="0" w:color="auto"/>
              <w:right w:val="single" w:sz="4" w:space="0" w:color="auto"/>
            </w:tcBorders>
            <w:vAlign w:val="center"/>
            <w:hideMark/>
          </w:tcPr>
          <w:p w14:paraId="4B3620F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21.5</w:t>
            </w:r>
          </w:p>
        </w:tc>
        <w:tc>
          <w:tcPr>
            <w:tcW w:w="731" w:type="pct"/>
            <w:tcBorders>
              <w:top w:val="nil"/>
              <w:left w:val="nil"/>
              <w:bottom w:val="single" w:sz="4" w:space="0" w:color="auto"/>
              <w:right w:val="single" w:sz="4" w:space="0" w:color="auto"/>
            </w:tcBorders>
            <w:vAlign w:val="center"/>
            <w:hideMark/>
          </w:tcPr>
          <w:p w14:paraId="769C8A56"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63.4</w:t>
            </w:r>
          </w:p>
        </w:tc>
        <w:tc>
          <w:tcPr>
            <w:tcW w:w="732" w:type="pct"/>
            <w:tcBorders>
              <w:top w:val="nil"/>
              <w:left w:val="nil"/>
              <w:bottom w:val="single" w:sz="4" w:space="0" w:color="auto"/>
              <w:right w:val="single" w:sz="4" w:space="0" w:color="auto"/>
            </w:tcBorders>
            <w:vAlign w:val="center"/>
            <w:hideMark/>
          </w:tcPr>
          <w:p w14:paraId="6E73EBD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34.1</w:t>
            </w:r>
          </w:p>
        </w:tc>
        <w:tc>
          <w:tcPr>
            <w:tcW w:w="1127" w:type="pct"/>
            <w:tcBorders>
              <w:top w:val="nil"/>
              <w:left w:val="nil"/>
              <w:bottom w:val="single" w:sz="4" w:space="0" w:color="auto"/>
              <w:right w:val="single" w:sz="4" w:space="0" w:color="auto"/>
            </w:tcBorders>
            <w:noWrap/>
            <w:vAlign w:val="center"/>
            <w:hideMark/>
          </w:tcPr>
          <w:p w14:paraId="702AA46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31.8</w:t>
            </w:r>
          </w:p>
        </w:tc>
      </w:tr>
      <w:tr w:rsidR="00514C8B" w:rsidRPr="00043AFA" w14:paraId="2933808A" w14:textId="77777777" w:rsidTr="001168C1">
        <w:trPr>
          <w:trHeight w:val="315"/>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7DFE8B50"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hAnsi="Arial" w:cs="Arial"/>
                <w:b/>
                <w:bCs/>
                <w:sz w:val="20"/>
              </w:rPr>
              <w:t>Rabi-2023-24</w:t>
            </w:r>
          </w:p>
        </w:tc>
      </w:tr>
      <w:tr w:rsidR="00514C8B" w:rsidRPr="00043AFA" w14:paraId="5B02BB78" w14:textId="77777777" w:rsidTr="001168C1">
        <w:trPr>
          <w:trHeight w:val="285"/>
        </w:trPr>
        <w:tc>
          <w:tcPr>
            <w:tcW w:w="947" w:type="pct"/>
            <w:tcBorders>
              <w:top w:val="nil"/>
              <w:left w:val="single" w:sz="4" w:space="0" w:color="auto"/>
              <w:bottom w:val="single" w:sz="4" w:space="0" w:color="auto"/>
              <w:right w:val="single" w:sz="4" w:space="0" w:color="auto"/>
            </w:tcBorders>
            <w:noWrap/>
            <w:vAlign w:val="center"/>
            <w:hideMark/>
          </w:tcPr>
          <w:p w14:paraId="37D6E701" w14:textId="499FE9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4A68E60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24.74</w:t>
            </w:r>
          </w:p>
        </w:tc>
        <w:tc>
          <w:tcPr>
            <w:tcW w:w="732" w:type="pct"/>
            <w:tcBorders>
              <w:top w:val="nil"/>
              <w:left w:val="nil"/>
              <w:bottom w:val="single" w:sz="4" w:space="0" w:color="auto"/>
              <w:right w:val="single" w:sz="4" w:space="0" w:color="auto"/>
            </w:tcBorders>
            <w:noWrap/>
            <w:vAlign w:val="center"/>
            <w:hideMark/>
          </w:tcPr>
          <w:p w14:paraId="354DA47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12.64</w:t>
            </w:r>
          </w:p>
        </w:tc>
        <w:tc>
          <w:tcPr>
            <w:tcW w:w="731" w:type="pct"/>
            <w:tcBorders>
              <w:top w:val="nil"/>
              <w:left w:val="nil"/>
              <w:bottom w:val="single" w:sz="4" w:space="0" w:color="auto"/>
              <w:right w:val="single" w:sz="4" w:space="0" w:color="auto"/>
            </w:tcBorders>
            <w:noWrap/>
            <w:vAlign w:val="center"/>
            <w:hideMark/>
          </w:tcPr>
          <w:p w14:paraId="7EAC123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80.55</w:t>
            </w:r>
          </w:p>
        </w:tc>
        <w:tc>
          <w:tcPr>
            <w:tcW w:w="732" w:type="pct"/>
            <w:tcBorders>
              <w:top w:val="nil"/>
              <w:left w:val="nil"/>
              <w:bottom w:val="single" w:sz="4" w:space="0" w:color="auto"/>
              <w:right w:val="single" w:sz="4" w:space="0" w:color="auto"/>
            </w:tcBorders>
            <w:noWrap/>
            <w:vAlign w:val="center"/>
            <w:hideMark/>
          </w:tcPr>
          <w:p w14:paraId="2A44D5A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50.13</w:t>
            </w:r>
          </w:p>
        </w:tc>
        <w:tc>
          <w:tcPr>
            <w:tcW w:w="1127" w:type="pct"/>
            <w:tcBorders>
              <w:top w:val="nil"/>
              <w:left w:val="nil"/>
              <w:bottom w:val="single" w:sz="4" w:space="0" w:color="auto"/>
              <w:right w:val="single" w:sz="4" w:space="0" w:color="auto"/>
            </w:tcBorders>
            <w:noWrap/>
            <w:vAlign w:val="center"/>
            <w:hideMark/>
          </w:tcPr>
          <w:p w14:paraId="2DC433C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38.60</w:t>
            </w:r>
          </w:p>
        </w:tc>
      </w:tr>
      <w:tr w:rsidR="00514C8B" w:rsidRPr="00043AFA" w14:paraId="10311F01" w14:textId="77777777" w:rsidTr="001168C1">
        <w:trPr>
          <w:trHeight w:val="133"/>
        </w:trPr>
        <w:tc>
          <w:tcPr>
            <w:tcW w:w="947" w:type="pct"/>
            <w:tcBorders>
              <w:top w:val="nil"/>
              <w:left w:val="single" w:sz="4" w:space="0" w:color="auto"/>
              <w:bottom w:val="single" w:sz="4" w:space="0" w:color="auto"/>
              <w:right w:val="single" w:sz="4" w:space="0" w:color="auto"/>
            </w:tcBorders>
            <w:noWrap/>
            <w:vAlign w:val="center"/>
            <w:hideMark/>
          </w:tcPr>
          <w:p w14:paraId="12DEDF8F" w14:textId="16E0070C"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B33392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24.67</w:t>
            </w:r>
          </w:p>
        </w:tc>
        <w:tc>
          <w:tcPr>
            <w:tcW w:w="732" w:type="pct"/>
            <w:tcBorders>
              <w:top w:val="nil"/>
              <w:left w:val="nil"/>
              <w:bottom w:val="single" w:sz="4" w:space="0" w:color="auto"/>
              <w:right w:val="single" w:sz="4" w:space="0" w:color="auto"/>
            </w:tcBorders>
            <w:noWrap/>
            <w:vAlign w:val="center"/>
            <w:hideMark/>
          </w:tcPr>
          <w:p w14:paraId="4725777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12.21</w:t>
            </w:r>
          </w:p>
        </w:tc>
        <w:tc>
          <w:tcPr>
            <w:tcW w:w="731" w:type="pct"/>
            <w:tcBorders>
              <w:top w:val="nil"/>
              <w:left w:val="nil"/>
              <w:bottom w:val="single" w:sz="4" w:space="0" w:color="auto"/>
              <w:right w:val="single" w:sz="4" w:space="0" w:color="auto"/>
            </w:tcBorders>
            <w:noWrap/>
            <w:vAlign w:val="center"/>
            <w:hideMark/>
          </w:tcPr>
          <w:p w14:paraId="0364332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84.77</w:t>
            </w:r>
          </w:p>
        </w:tc>
        <w:tc>
          <w:tcPr>
            <w:tcW w:w="732" w:type="pct"/>
            <w:tcBorders>
              <w:top w:val="nil"/>
              <w:left w:val="nil"/>
              <w:bottom w:val="single" w:sz="4" w:space="0" w:color="auto"/>
              <w:right w:val="single" w:sz="4" w:space="0" w:color="auto"/>
            </w:tcBorders>
            <w:noWrap/>
            <w:vAlign w:val="center"/>
            <w:hideMark/>
          </w:tcPr>
          <w:p w14:paraId="360BE1E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55.10</w:t>
            </w:r>
          </w:p>
        </w:tc>
        <w:tc>
          <w:tcPr>
            <w:tcW w:w="1127" w:type="pct"/>
            <w:tcBorders>
              <w:top w:val="nil"/>
              <w:left w:val="nil"/>
              <w:bottom w:val="single" w:sz="4" w:space="0" w:color="auto"/>
              <w:right w:val="single" w:sz="4" w:space="0" w:color="auto"/>
            </w:tcBorders>
            <w:noWrap/>
            <w:vAlign w:val="center"/>
            <w:hideMark/>
          </w:tcPr>
          <w:p w14:paraId="00E5EFE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28.80</w:t>
            </w:r>
          </w:p>
        </w:tc>
      </w:tr>
      <w:tr w:rsidR="00514C8B" w:rsidRPr="00043AFA" w14:paraId="07EC3C0E" w14:textId="77777777" w:rsidTr="001168C1">
        <w:trPr>
          <w:trHeight w:val="179"/>
        </w:trPr>
        <w:tc>
          <w:tcPr>
            <w:tcW w:w="947" w:type="pct"/>
            <w:tcBorders>
              <w:top w:val="nil"/>
              <w:left w:val="single" w:sz="4" w:space="0" w:color="auto"/>
              <w:bottom w:val="single" w:sz="4" w:space="0" w:color="auto"/>
              <w:right w:val="single" w:sz="4" w:space="0" w:color="auto"/>
            </w:tcBorders>
            <w:noWrap/>
            <w:vAlign w:val="center"/>
            <w:hideMark/>
          </w:tcPr>
          <w:p w14:paraId="477F11AD" w14:textId="2B7B0810"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70D5F48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28.38</w:t>
            </w:r>
          </w:p>
        </w:tc>
        <w:tc>
          <w:tcPr>
            <w:tcW w:w="732" w:type="pct"/>
            <w:tcBorders>
              <w:top w:val="nil"/>
              <w:left w:val="nil"/>
              <w:bottom w:val="single" w:sz="4" w:space="0" w:color="auto"/>
              <w:right w:val="single" w:sz="4" w:space="0" w:color="auto"/>
            </w:tcBorders>
            <w:noWrap/>
            <w:vAlign w:val="center"/>
            <w:hideMark/>
          </w:tcPr>
          <w:p w14:paraId="5B138729"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15.42</w:t>
            </w:r>
          </w:p>
        </w:tc>
        <w:tc>
          <w:tcPr>
            <w:tcW w:w="731" w:type="pct"/>
            <w:tcBorders>
              <w:top w:val="nil"/>
              <w:left w:val="nil"/>
              <w:bottom w:val="single" w:sz="4" w:space="0" w:color="auto"/>
              <w:right w:val="single" w:sz="4" w:space="0" w:color="auto"/>
            </w:tcBorders>
            <w:noWrap/>
            <w:vAlign w:val="center"/>
            <w:hideMark/>
          </w:tcPr>
          <w:p w14:paraId="173503B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79.66</w:t>
            </w:r>
          </w:p>
        </w:tc>
        <w:tc>
          <w:tcPr>
            <w:tcW w:w="732" w:type="pct"/>
            <w:tcBorders>
              <w:top w:val="nil"/>
              <w:left w:val="nil"/>
              <w:bottom w:val="single" w:sz="4" w:space="0" w:color="auto"/>
              <w:right w:val="single" w:sz="4" w:space="0" w:color="auto"/>
            </w:tcBorders>
            <w:noWrap/>
            <w:vAlign w:val="center"/>
            <w:hideMark/>
          </w:tcPr>
          <w:p w14:paraId="67DD4D5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58.79</w:t>
            </w:r>
          </w:p>
        </w:tc>
        <w:tc>
          <w:tcPr>
            <w:tcW w:w="1127" w:type="pct"/>
            <w:tcBorders>
              <w:top w:val="nil"/>
              <w:left w:val="nil"/>
              <w:bottom w:val="single" w:sz="4" w:space="0" w:color="auto"/>
              <w:right w:val="single" w:sz="4" w:space="0" w:color="auto"/>
            </w:tcBorders>
            <w:noWrap/>
            <w:vAlign w:val="center"/>
            <w:hideMark/>
          </w:tcPr>
          <w:p w14:paraId="2FEBE63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9.80</w:t>
            </w:r>
          </w:p>
        </w:tc>
      </w:tr>
      <w:tr w:rsidR="00514C8B" w:rsidRPr="00043AFA" w14:paraId="2535EC75" w14:textId="77777777" w:rsidTr="001168C1">
        <w:trPr>
          <w:trHeight w:val="225"/>
        </w:trPr>
        <w:tc>
          <w:tcPr>
            <w:tcW w:w="947" w:type="pct"/>
            <w:tcBorders>
              <w:top w:val="nil"/>
              <w:left w:val="single" w:sz="4" w:space="0" w:color="auto"/>
              <w:bottom w:val="single" w:sz="4" w:space="0" w:color="auto"/>
              <w:right w:val="single" w:sz="4" w:space="0" w:color="auto"/>
            </w:tcBorders>
            <w:noWrap/>
            <w:vAlign w:val="center"/>
            <w:hideMark/>
          </w:tcPr>
          <w:p w14:paraId="0CC897AA" w14:textId="29F12A33"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66F1F8A"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32.15</w:t>
            </w:r>
          </w:p>
        </w:tc>
        <w:tc>
          <w:tcPr>
            <w:tcW w:w="732" w:type="pct"/>
            <w:tcBorders>
              <w:top w:val="nil"/>
              <w:left w:val="nil"/>
              <w:bottom w:val="single" w:sz="4" w:space="0" w:color="auto"/>
              <w:right w:val="single" w:sz="4" w:space="0" w:color="auto"/>
            </w:tcBorders>
            <w:noWrap/>
            <w:vAlign w:val="center"/>
            <w:hideMark/>
          </w:tcPr>
          <w:p w14:paraId="7019AF3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18.44</w:t>
            </w:r>
          </w:p>
        </w:tc>
        <w:tc>
          <w:tcPr>
            <w:tcW w:w="731" w:type="pct"/>
            <w:tcBorders>
              <w:top w:val="nil"/>
              <w:left w:val="nil"/>
              <w:bottom w:val="single" w:sz="4" w:space="0" w:color="auto"/>
              <w:right w:val="single" w:sz="4" w:space="0" w:color="auto"/>
            </w:tcBorders>
            <w:noWrap/>
            <w:vAlign w:val="center"/>
            <w:hideMark/>
          </w:tcPr>
          <w:p w14:paraId="2464F3F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73.81</w:t>
            </w:r>
          </w:p>
        </w:tc>
        <w:tc>
          <w:tcPr>
            <w:tcW w:w="732" w:type="pct"/>
            <w:tcBorders>
              <w:top w:val="nil"/>
              <w:left w:val="nil"/>
              <w:bottom w:val="single" w:sz="4" w:space="0" w:color="auto"/>
              <w:right w:val="single" w:sz="4" w:space="0" w:color="auto"/>
            </w:tcBorders>
            <w:noWrap/>
            <w:vAlign w:val="center"/>
            <w:hideMark/>
          </w:tcPr>
          <w:p w14:paraId="4FF0B3D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45.68</w:t>
            </w:r>
          </w:p>
        </w:tc>
        <w:tc>
          <w:tcPr>
            <w:tcW w:w="1127" w:type="pct"/>
            <w:tcBorders>
              <w:top w:val="nil"/>
              <w:left w:val="nil"/>
              <w:bottom w:val="single" w:sz="4" w:space="0" w:color="auto"/>
              <w:right w:val="single" w:sz="4" w:space="0" w:color="auto"/>
            </w:tcBorders>
            <w:noWrap/>
            <w:vAlign w:val="center"/>
            <w:hideMark/>
          </w:tcPr>
          <w:p w14:paraId="602FCF7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37.60</w:t>
            </w:r>
          </w:p>
        </w:tc>
      </w:tr>
      <w:tr w:rsidR="00514C8B" w:rsidRPr="00043AFA" w14:paraId="1F7C0CF4" w14:textId="77777777" w:rsidTr="001168C1">
        <w:trPr>
          <w:trHeight w:val="129"/>
        </w:trPr>
        <w:tc>
          <w:tcPr>
            <w:tcW w:w="947" w:type="pct"/>
            <w:tcBorders>
              <w:top w:val="nil"/>
              <w:left w:val="single" w:sz="4" w:space="0" w:color="auto"/>
              <w:bottom w:val="single" w:sz="4" w:space="0" w:color="auto"/>
              <w:right w:val="single" w:sz="4" w:space="0" w:color="auto"/>
            </w:tcBorders>
            <w:noWrap/>
            <w:vAlign w:val="center"/>
            <w:hideMark/>
          </w:tcPr>
          <w:p w14:paraId="20BD0625" w14:textId="23ECBEF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EA1716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37.23</w:t>
            </w:r>
          </w:p>
        </w:tc>
        <w:tc>
          <w:tcPr>
            <w:tcW w:w="732" w:type="pct"/>
            <w:tcBorders>
              <w:top w:val="nil"/>
              <w:left w:val="nil"/>
              <w:bottom w:val="single" w:sz="4" w:space="0" w:color="auto"/>
              <w:right w:val="single" w:sz="4" w:space="0" w:color="auto"/>
            </w:tcBorders>
            <w:noWrap/>
            <w:vAlign w:val="center"/>
            <w:hideMark/>
          </w:tcPr>
          <w:p w14:paraId="6288BD4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23.95</w:t>
            </w:r>
          </w:p>
        </w:tc>
        <w:tc>
          <w:tcPr>
            <w:tcW w:w="731" w:type="pct"/>
            <w:tcBorders>
              <w:top w:val="nil"/>
              <w:left w:val="nil"/>
              <w:bottom w:val="single" w:sz="4" w:space="0" w:color="auto"/>
              <w:right w:val="single" w:sz="4" w:space="0" w:color="auto"/>
            </w:tcBorders>
            <w:noWrap/>
            <w:vAlign w:val="center"/>
            <w:hideMark/>
          </w:tcPr>
          <w:p w14:paraId="32D261D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52.90</w:t>
            </w:r>
          </w:p>
        </w:tc>
        <w:tc>
          <w:tcPr>
            <w:tcW w:w="732" w:type="pct"/>
            <w:tcBorders>
              <w:top w:val="nil"/>
              <w:left w:val="nil"/>
              <w:bottom w:val="single" w:sz="4" w:space="0" w:color="auto"/>
              <w:right w:val="single" w:sz="4" w:space="0" w:color="auto"/>
            </w:tcBorders>
            <w:noWrap/>
            <w:vAlign w:val="center"/>
            <w:hideMark/>
          </w:tcPr>
          <w:p w14:paraId="4BFFC05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30.33</w:t>
            </w:r>
          </w:p>
        </w:tc>
        <w:tc>
          <w:tcPr>
            <w:tcW w:w="1127" w:type="pct"/>
            <w:tcBorders>
              <w:top w:val="nil"/>
              <w:left w:val="nil"/>
              <w:bottom w:val="single" w:sz="4" w:space="0" w:color="auto"/>
              <w:right w:val="single" w:sz="4" w:space="0" w:color="auto"/>
            </w:tcBorders>
            <w:noWrap/>
            <w:vAlign w:val="center"/>
            <w:hideMark/>
          </w:tcPr>
          <w:p w14:paraId="2D8341B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6.40</w:t>
            </w:r>
          </w:p>
        </w:tc>
      </w:tr>
    </w:tbl>
    <w:p w14:paraId="36C885F0" w14:textId="77777777" w:rsidR="00514C8B" w:rsidRPr="00043AFA" w:rsidRDefault="00514C8B" w:rsidP="006E0DA5">
      <w:pPr>
        <w:ind w:firstLine="720"/>
        <w:jc w:val="both"/>
        <w:rPr>
          <w:rFonts w:ascii="Arial" w:hAnsi="Arial" w:cs="Arial"/>
          <w:sz w:val="20"/>
        </w:rPr>
      </w:pPr>
    </w:p>
    <w:p w14:paraId="32B4EAD9" w14:textId="26DA9AC6" w:rsidR="00011386" w:rsidRPr="00043AFA" w:rsidRDefault="00A81EB5"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Experimental Materials, </w:t>
      </w:r>
      <w:r w:rsidR="00011386" w:rsidRPr="00043AFA">
        <w:rPr>
          <w:rFonts w:ascii="Arial" w:hAnsi="Arial" w:cs="Arial"/>
          <w:b/>
          <w:color w:val="auto"/>
          <w:sz w:val="20"/>
          <w:szCs w:val="20"/>
          <w:lang w:val="en-IN"/>
        </w:rPr>
        <w:t>Study Design</w:t>
      </w:r>
      <w:r w:rsidRPr="00043AFA">
        <w:rPr>
          <w:rFonts w:ascii="Arial" w:hAnsi="Arial" w:cs="Arial"/>
          <w:b/>
          <w:color w:val="auto"/>
          <w:sz w:val="20"/>
          <w:szCs w:val="20"/>
          <w:lang w:val="en-IN"/>
        </w:rPr>
        <w:t xml:space="preserve"> and Crop Management</w:t>
      </w:r>
    </w:p>
    <w:p w14:paraId="37473CDE" w14:textId="0CA5A80F" w:rsidR="00A81EB5" w:rsidRPr="00043AFA" w:rsidRDefault="00CC3EDA" w:rsidP="00A81EB5">
      <w:pPr>
        <w:jc w:val="both"/>
        <w:rPr>
          <w:rFonts w:ascii="Arial" w:hAnsi="Arial" w:cs="Arial"/>
          <w:sz w:val="20"/>
          <w:lang w:val="en-IN"/>
        </w:rPr>
      </w:pPr>
      <w:r w:rsidRPr="00043AFA">
        <w:rPr>
          <w:rFonts w:ascii="Arial" w:hAnsi="Arial" w:cs="Arial"/>
          <w:sz w:val="20"/>
          <w:lang w:val="en-IN"/>
        </w:rPr>
        <w:tab/>
        <w:t xml:space="preserve">The experimental materials comprised of 356 diverse </w:t>
      </w:r>
      <w:r w:rsidR="00A81EB5" w:rsidRPr="00043AFA">
        <w:rPr>
          <w:rFonts w:ascii="Arial" w:hAnsi="Arial" w:cs="Arial"/>
          <w:sz w:val="20"/>
          <w:lang w:val="en-IN"/>
        </w:rPr>
        <w:t>set of germplasm including 6 checks. All the recommended package of practices were followed except spraying of plant protection chemical to allow maximum inoculation of powdery mildew diseases.</w:t>
      </w:r>
    </w:p>
    <w:p w14:paraId="1AFECE57" w14:textId="479EEF18" w:rsidR="00CC3EDA" w:rsidRPr="00043AFA" w:rsidRDefault="00CC3EDA" w:rsidP="00CC3EDA">
      <w:pPr>
        <w:rPr>
          <w:rFonts w:ascii="Arial" w:hAnsi="Arial" w:cs="Arial"/>
          <w:sz w:val="20"/>
          <w:lang w:val="en-IN"/>
        </w:rPr>
      </w:pPr>
    </w:p>
    <w:p w14:paraId="5BC688C3" w14:textId="4BB2CEBD" w:rsidR="00A5024A" w:rsidRPr="00043AFA" w:rsidRDefault="00011386"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Methodology for </w:t>
      </w:r>
      <w:r w:rsidR="00514C8B" w:rsidRPr="00043AFA">
        <w:rPr>
          <w:rFonts w:ascii="Arial" w:hAnsi="Arial" w:cs="Arial"/>
          <w:b/>
          <w:color w:val="auto"/>
          <w:sz w:val="20"/>
          <w:szCs w:val="20"/>
          <w:lang w:val="en-IN"/>
        </w:rPr>
        <w:t>Disease assessment:</w:t>
      </w:r>
    </w:p>
    <w:p w14:paraId="6A7978A7" w14:textId="551EBCDD" w:rsidR="00F12CF2" w:rsidRPr="00043AFA" w:rsidRDefault="00F12CF2" w:rsidP="006E0DA5">
      <w:pPr>
        <w:jc w:val="both"/>
        <w:rPr>
          <w:rFonts w:ascii="Arial" w:hAnsi="Arial" w:cs="Arial"/>
          <w:sz w:val="20"/>
          <w:lang w:val="en-IN"/>
        </w:rPr>
      </w:pPr>
    </w:p>
    <w:p w14:paraId="4AFE8FAC" w14:textId="3BEE3E81" w:rsidR="00514C8B" w:rsidRPr="00043AFA" w:rsidRDefault="00011386" w:rsidP="006E0DA5">
      <w:pPr>
        <w:jc w:val="both"/>
        <w:rPr>
          <w:rFonts w:ascii="Arial" w:hAnsi="Arial" w:cs="Arial"/>
          <w:sz w:val="20"/>
          <w:lang w:val="en-IN"/>
        </w:rPr>
      </w:pPr>
      <w:r w:rsidRPr="00043AFA">
        <w:rPr>
          <w:rFonts w:ascii="Arial" w:hAnsi="Arial" w:cs="Arial"/>
          <w:sz w:val="20"/>
          <w:lang w:val="en-IN"/>
        </w:rPr>
        <w:tab/>
      </w:r>
      <w:r w:rsidR="00514C8B" w:rsidRPr="00043AFA">
        <w:rPr>
          <w:rFonts w:ascii="Arial" w:hAnsi="Arial" w:cs="Arial"/>
          <w:sz w:val="20"/>
          <w:lang w:val="en-IN"/>
        </w:rPr>
        <w:t>356 germplasm were screened against powdery mildew under natural conditions during Rabi 2022-23 and 20</w:t>
      </w:r>
      <w:r w:rsidR="00D61DB0" w:rsidRPr="00043AFA">
        <w:rPr>
          <w:rFonts w:ascii="Arial" w:hAnsi="Arial" w:cs="Arial"/>
          <w:sz w:val="20"/>
          <w:lang w:val="en-IN"/>
        </w:rPr>
        <w:t xml:space="preserve">23-24 at Regional Research and Technology Transfer Station (RRTTS), OUAT, </w:t>
      </w:r>
      <w:proofErr w:type="spellStart"/>
      <w:r w:rsidR="00D61DB0" w:rsidRPr="00043AFA">
        <w:rPr>
          <w:rFonts w:ascii="Arial" w:hAnsi="Arial" w:cs="Arial"/>
          <w:sz w:val="20"/>
          <w:lang w:val="en-IN"/>
        </w:rPr>
        <w:t>Keonjhar</w:t>
      </w:r>
      <w:proofErr w:type="spellEnd"/>
      <w:r w:rsidR="00514C8B" w:rsidRPr="00043AFA">
        <w:rPr>
          <w:rFonts w:ascii="Arial" w:hAnsi="Arial" w:cs="Arial"/>
          <w:sz w:val="20"/>
          <w:lang w:val="en-IN"/>
        </w:rPr>
        <w:t xml:space="preserve">. All entries were assessed </w:t>
      </w:r>
      <w:r w:rsidR="00885E1C" w:rsidRPr="00043AFA">
        <w:rPr>
          <w:rFonts w:ascii="Arial" w:hAnsi="Arial" w:cs="Arial"/>
          <w:sz w:val="20"/>
          <w:lang w:val="en-IN"/>
        </w:rPr>
        <w:t>morphologica</w:t>
      </w:r>
      <w:r w:rsidR="00514C8B" w:rsidRPr="00043AFA">
        <w:rPr>
          <w:rFonts w:ascii="Arial" w:hAnsi="Arial" w:cs="Arial"/>
          <w:sz w:val="20"/>
          <w:lang w:val="en-IN"/>
        </w:rPr>
        <w:t>lly based on percentage of plants affec</w:t>
      </w:r>
      <w:r w:rsidR="00885E1C" w:rsidRPr="00043AFA">
        <w:rPr>
          <w:rFonts w:ascii="Arial" w:hAnsi="Arial" w:cs="Arial"/>
          <w:sz w:val="20"/>
          <w:lang w:val="en-IN"/>
        </w:rPr>
        <w:t xml:space="preserve">ted using 0-5 scale </w:t>
      </w:r>
      <w:r w:rsidR="0037088A" w:rsidRPr="00043AFA">
        <w:rPr>
          <w:rFonts w:ascii="Arial" w:hAnsi="Arial" w:cs="Arial"/>
          <w:sz w:val="20"/>
          <w:lang w:val="en-IN"/>
        </w:rPr>
        <w:t>(Table 2</w:t>
      </w:r>
      <w:r w:rsidR="00885E1C" w:rsidRPr="00043AFA">
        <w:rPr>
          <w:rFonts w:ascii="Arial" w:hAnsi="Arial" w:cs="Arial"/>
          <w:sz w:val="20"/>
          <w:lang w:val="en-IN"/>
        </w:rPr>
        <w:t xml:space="preserve">). </w:t>
      </w:r>
      <w:r w:rsidR="00514C8B" w:rsidRPr="00043AFA">
        <w:rPr>
          <w:rFonts w:ascii="Arial" w:hAnsi="Arial" w:cs="Arial"/>
          <w:sz w:val="20"/>
          <w:lang w:val="en-IN"/>
        </w:rPr>
        <w:t>The assessment of the disease per plant was obtained by observing the intensity of lesions present on the leaves</w:t>
      </w:r>
      <w:r w:rsidR="00420DC1" w:rsidRPr="00043AFA">
        <w:rPr>
          <w:rFonts w:ascii="Arial" w:hAnsi="Arial" w:cs="Arial"/>
          <w:sz w:val="20"/>
          <w:lang w:val="en-IN"/>
        </w:rPr>
        <w:t xml:space="preserve"> </w:t>
      </w:r>
      <w:r w:rsidR="00420DC1" w:rsidRPr="00043AFA">
        <w:rPr>
          <w:rFonts w:ascii="Arial" w:eastAsia="Calibri" w:hAnsi="Arial" w:cs="Arial"/>
          <w:sz w:val="20"/>
        </w:rPr>
        <w:t>(ICAR-IIOR, 2022-23)</w:t>
      </w:r>
      <w:r w:rsidR="00514C8B" w:rsidRPr="00043AFA">
        <w:rPr>
          <w:rFonts w:ascii="Arial" w:hAnsi="Arial" w:cs="Arial"/>
          <w:sz w:val="20"/>
          <w:lang w:val="en-IN"/>
        </w:rPr>
        <w:t>. The plants with disease rating &lt;2 were considered as resistant and above 2 as susceptible (</w:t>
      </w:r>
      <w:proofErr w:type="spellStart"/>
      <w:r w:rsidR="00514C8B" w:rsidRPr="00043AFA">
        <w:rPr>
          <w:rFonts w:ascii="Arial" w:hAnsi="Arial" w:cs="Arial"/>
          <w:sz w:val="20"/>
          <w:lang w:val="en-IN"/>
        </w:rPr>
        <w:t>Dhirhi</w:t>
      </w:r>
      <w:proofErr w:type="spellEnd"/>
      <w:r w:rsidR="00514C8B" w:rsidRPr="00043AFA">
        <w:rPr>
          <w:rFonts w:ascii="Arial" w:hAnsi="Arial" w:cs="Arial"/>
          <w:sz w:val="20"/>
          <w:lang w:val="en-IN"/>
        </w:rPr>
        <w:t xml:space="preserve"> </w:t>
      </w:r>
      <w:r w:rsidR="00514C8B" w:rsidRPr="00043AFA">
        <w:rPr>
          <w:rFonts w:ascii="Arial" w:hAnsi="Arial" w:cs="Arial"/>
          <w:i/>
          <w:sz w:val="20"/>
          <w:lang w:val="en-IN"/>
        </w:rPr>
        <w:t>et al.</w:t>
      </w:r>
      <w:r w:rsidR="00514C8B" w:rsidRPr="00043AFA">
        <w:rPr>
          <w:rFonts w:ascii="Arial" w:hAnsi="Arial" w:cs="Arial"/>
          <w:sz w:val="20"/>
          <w:lang w:val="en-IN"/>
        </w:rPr>
        <w:t>,</w:t>
      </w:r>
      <w:r w:rsidR="00514C8B" w:rsidRPr="00043AFA">
        <w:rPr>
          <w:rFonts w:ascii="Arial" w:hAnsi="Arial" w:cs="Arial"/>
          <w:i/>
          <w:sz w:val="20"/>
          <w:lang w:val="en-IN"/>
        </w:rPr>
        <w:t xml:space="preserve"> </w:t>
      </w:r>
      <w:r w:rsidR="00514C8B" w:rsidRPr="00043AFA">
        <w:rPr>
          <w:rFonts w:ascii="Arial" w:hAnsi="Arial" w:cs="Arial"/>
          <w:sz w:val="20"/>
          <w:lang w:val="en-IN"/>
        </w:rPr>
        <w:t xml:space="preserve">2017). </w:t>
      </w:r>
    </w:p>
    <w:p w14:paraId="51169A60" w14:textId="464141F8" w:rsidR="00912629" w:rsidRPr="00043AFA" w:rsidRDefault="00681D78" w:rsidP="006E0DA5">
      <w:pPr>
        <w:jc w:val="both"/>
        <w:rPr>
          <w:rFonts w:ascii="Arial" w:hAnsi="Arial" w:cs="Arial"/>
          <w:b/>
          <w:sz w:val="20"/>
          <w:lang w:val="en-IN"/>
        </w:rPr>
      </w:pPr>
      <w:r w:rsidRPr="00043AFA">
        <w:rPr>
          <w:rFonts w:ascii="Arial" w:hAnsi="Arial" w:cs="Arial"/>
          <w:b/>
          <w:sz w:val="20"/>
          <w:lang w:val="en-IN"/>
        </w:rPr>
        <w:t xml:space="preserve">Table </w:t>
      </w:r>
      <w:r w:rsidR="00A75692" w:rsidRPr="00043AFA">
        <w:rPr>
          <w:rFonts w:ascii="Arial" w:hAnsi="Arial" w:cs="Arial"/>
          <w:b/>
          <w:sz w:val="20"/>
          <w:lang w:val="en-IN"/>
        </w:rPr>
        <w:t>2</w:t>
      </w:r>
      <w:r w:rsidRPr="00043AFA">
        <w:rPr>
          <w:rFonts w:ascii="Arial" w:hAnsi="Arial" w:cs="Arial"/>
          <w:b/>
          <w:sz w:val="20"/>
          <w:lang w:val="en-IN"/>
        </w:rPr>
        <w:t>.</w:t>
      </w:r>
      <w:r w:rsidR="00912629" w:rsidRPr="00043AFA">
        <w:rPr>
          <w:rFonts w:ascii="Arial" w:hAnsi="Arial" w:cs="Arial"/>
          <w:b/>
          <w:sz w:val="20"/>
          <w:lang w:val="en-IN"/>
        </w:rPr>
        <w:t xml:space="preserve"> </w:t>
      </w:r>
      <w:r w:rsidR="00514C8B" w:rsidRPr="00043AFA">
        <w:rPr>
          <w:rFonts w:ascii="Arial" w:hAnsi="Arial" w:cs="Arial"/>
          <w:b/>
          <w:sz w:val="20"/>
          <w:lang w:val="en-IN"/>
        </w:rPr>
        <w:t xml:space="preserve">Powdery mildew disease screening </w:t>
      </w:r>
      <w:r w:rsidR="00912629" w:rsidRPr="00043AFA">
        <w:rPr>
          <w:rFonts w:ascii="Arial" w:hAnsi="Arial" w:cs="Arial"/>
          <w:b/>
          <w:sz w:val="20"/>
          <w:lang w:val="en-IN"/>
        </w:rPr>
        <w:t xml:space="preserve">Scale </w:t>
      </w:r>
    </w:p>
    <w:tbl>
      <w:tblPr>
        <w:tblW w:w="5054" w:type="pct"/>
        <w:tblCellMar>
          <w:left w:w="0" w:type="dxa"/>
          <w:right w:w="0" w:type="dxa"/>
        </w:tblCellMar>
        <w:tblLook w:val="04A0" w:firstRow="1" w:lastRow="0" w:firstColumn="1" w:lastColumn="0" w:noHBand="0" w:noVBand="1"/>
      </w:tblPr>
      <w:tblGrid>
        <w:gridCol w:w="653"/>
        <w:gridCol w:w="1089"/>
        <w:gridCol w:w="2178"/>
        <w:gridCol w:w="3276"/>
        <w:gridCol w:w="2048"/>
      </w:tblGrid>
      <w:tr w:rsidR="00011386" w:rsidRPr="00043AFA" w14:paraId="1CD988F6" w14:textId="49326C45"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D2A71"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Sl. No.</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1B86"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Scale</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A6C1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intensity</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68217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w:t>
            </w:r>
          </w:p>
        </w:tc>
        <w:tc>
          <w:tcPr>
            <w:tcW w:w="1108" w:type="pct"/>
            <w:tcBorders>
              <w:top w:val="single" w:sz="8" w:space="0" w:color="000000"/>
              <w:left w:val="single" w:sz="8" w:space="0" w:color="000000"/>
              <w:bottom w:val="single" w:sz="8" w:space="0" w:color="000000"/>
              <w:right w:val="single" w:sz="8" w:space="0" w:color="000000"/>
            </w:tcBorders>
          </w:tcPr>
          <w:p w14:paraId="2E70615E" w14:textId="2129BB7C"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 Code</w:t>
            </w:r>
          </w:p>
        </w:tc>
      </w:tr>
      <w:tr w:rsidR="00011386" w:rsidRPr="00043AFA" w14:paraId="7026F1DA" w14:textId="285425DF"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6802F5"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656A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0</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83DB5"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Free from disease</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E4233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Immune (I)</w:t>
            </w:r>
          </w:p>
        </w:tc>
        <w:tc>
          <w:tcPr>
            <w:tcW w:w="1108" w:type="pct"/>
            <w:tcBorders>
              <w:top w:val="single" w:sz="8" w:space="0" w:color="000000"/>
              <w:left w:val="single" w:sz="8" w:space="0" w:color="000000"/>
              <w:bottom w:val="single" w:sz="8" w:space="0" w:color="000000"/>
              <w:right w:val="single" w:sz="8" w:space="0" w:color="000000"/>
            </w:tcBorders>
            <w:vAlign w:val="center"/>
          </w:tcPr>
          <w:p w14:paraId="3F3DA3DE" w14:textId="755328BD" w:rsidR="00011386" w:rsidRPr="00043AFA" w:rsidRDefault="00011386" w:rsidP="00011386">
            <w:pPr>
              <w:jc w:val="center"/>
              <w:rPr>
                <w:rFonts w:ascii="Arial" w:hAnsi="Arial" w:cs="Arial"/>
                <w:b/>
                <w:sz w:val="20"/>
                <w:lang w:val="en-IN"/>
              </w:rPr>
            </w:pPr>
            <w:r w:rsidRPr="00043AFA">
              <w:rPr>
                <w:rFonts w:ascii="Arial" w:hAnsi="Arial" w:cs="Arial"/>
                <w:b/>
                <w:sz w:val="20"/>
                <w:lang w:val="en-IN"/>
              </w:rPr>
              <w:t>I</w:t>
            </w:r>
          </w:p>
        </w:tc>
      </w:tr>
      <w:tr w:rsidR="00011386" w:rsidRPr="00043AFA" w14:paraId="54203A9A" w14:textId="3AC45CE8"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193D5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32A44"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894F9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C01CDE"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Resistant (R)</w:t>
            </w:r>
          </w:p>
        </w:tc>
        <w:tc>
          <w:tcPr>
            <w:tcW w:w="1108" w:type="pct"/>
            <w:tcBorders>
              <w:top w:val="single" w:sz="8" w:space="0" w:color="000000"/>
              <w:left w:val="single" w:sz="8" w:space="0" w:color="000000"/>
              <w:bottom w:val="single" w:sz="8" w:space="0" w:color="000000"/>
              <w:right w:val="single" w:sz="8" w:space="0" w:color="000000"/>
            </w:tcBorders>
          </w:tcPr>
          <w:p w14:paraId="1A2D0148" w14:textId="3859E7DA" w:rsidR="00011386" w:rsidRPr="00043AFA" w:rsidRDefault="00011386" w:rsidP="00011386">
            <w:pPr>
              <w:jc w:val="center"/>
              <w:rPr>
                <w:rFonts w:ascii="Arial" w:hAnsi="Arial" w:cs="Arial"/>
                <w:b/>
                <w:sz w:val="20"/>
                <w:lang w:val="en-IN"/>
              </w:rPr>
            </w:pPr>
            <w:r w:rsidRPr="00043AFA">
              <w:rPr>
                <w:rFonts w:ascii="Arial" w:hAnsi="Arial" w:cs="Arial"/>
                <w:b/>
                <w:sz w:val="20"/>
                <w:lang w:val="en-IN"/>
              </w:rPr>
              <w:t>R</w:t>
            </w:r>
          </w:p>
        </w:tc>
      </w:tr>
      <w:tr w:rsidR="00011386" w:rsidRPr="00043AFA" w14:paraId="4D849853" w14:textId="4B96E832"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50A7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0A132"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ED2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10.1 – 25 %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99EF7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Resistant (MR)</w:t>
            </w:r>
          </w:p>
        </w:tc>
        <w:tc>
          <w:tcPr>
            <w:tcW w:w="1108" w:type="pct"/>
            <w:tcBorders>
              <w:top w:val="single" w:sz="8" w:space="0" w:color="000000"/>
              <w:left w:val="single" w:sz="8" w:space="0" w:color="000000"/>
              <w:bottom w:val="single" w:sz="8" w:space="0" w:color="000000"/>
              <w:right w:val="single" w:sz="8" w:space="0" w:color="000000"/>
            </w:tcBorders>
          </w:tcPr>
          <w:p w14:paraId="7756931D" w14:textId="6C2056C8" w:rsidR="00011386" w:rsidRPr="00043AFA" w:rsidRDefault="00011386" w:rsidP="00011386">
            <w:pPr>
              <w:jc w:val="center"/>
              <w:rPr>
                <w:rFonts w:ascii="Arial" w:hAnsi="Arial" w:cs="Arial"/>
                <w:b/>
                <w:sz w:val="20"/>
                <w:lang w:val="en-IN"/>
              </w:rPr>
            </w:pPr>
            <w:r w:rsidRPr="00043AFA">
              <w:rPr>
                <w:rFonts w:ascii="Arial" w:hAnsi="Arial" w:cs="Arial"/>
                <w:b/>
                <w:sz w:val="20"/>
                <w:lang w:val="en-IN"/>
              </w:rPr>
              <w:t>MR</w:t>
            </w:r>
          </w:p>
        </w:tc>
      </w:tr>
      <w:tr w:rsidR="00011386" w:rsidRPr="00043AFA" w14:paraId="45FA0AAA" w14:textId="4F56AE47"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D477CC"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04D08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E25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25.1 – 50.0 %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B759B9"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Susceptible (MS)</w:t>
            </w:r>
          </w:p>
        </w:tc>
        <w:tc>
          <w:tcPr>
            <w:tcW w:w="1108" w:type="pct"/>
            <w:tcBorders>
              <w:top w:val="single" w:sz="8" w:space="0" w:color="000000"/>
              <w:left w:val="single" w:sz="8" w:space="0" w:color="000000"/>
              <w:bottom w:val="single" w:sz="8" w:space="0" w:color="000000"/>
              <w:right w:val="single" w:sz="8" w:space="0" w:color="000000"/>
            </w:tcBorders>
          </w:tcPr>
          <w:p w14:paraId="4B68C59D" w14:textId="2FAE2687" w:rsidR="00011386" w:rsidRPr="00043AFA" w:rsidRDefault="00011386" w:rsidP="00011386">
            <w:pPr>
              <w:jc w:val="center"/>
              <w:rPr>
                <w:rFonts w:ascii="Arial" w:hAnsi="Arial" w:cs="Arial"/>
                <w:b/>
                <w:sz w:val="20"/>
                <w:lang w:val="en-IN"/>
              </w:rPr>
            </w:pPr>
            <w:r w:rsidRPr="00043AFA">
              <w:rPr>
                <w:rFonts w:ascii="Arial" w:hAnsi="Arial" w:cs="Arial"/>
                <w:b/>
                <w:sz w:val="20"/>
                <w:lang w:val="en-IN"/>
              </w:rPr>
              <w:t>MS</w:t>
            </w:r>
          </w:p>
        </w:tc>
      </w:tr>
      <w:tr w:rsidR="00011386" w:rsidRPr="00043AFA" w14:paraId="18D556E4" w14:textId="0D72007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7EA4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3B3C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4E18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50.1 – 75.0 %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C40F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Susceptible (S)</w:t>
            </w:r>
          </w:p>
        </w:tc>
        <w:tc>
          <w:tcPr>
            <w:tcW w:w="1108" w:type="pct"/>
            <w:tcBorders>
              <w:top w:val="single" w:sz="8" w:space="0" w:color="000000"/>
              <w:left w:val="single" w:sz="8" w:space="0" w:color="000000"/>
              <w:bottom w:val="single" w:sz="8" w:space="0" w:color="000000"/>
              <w:right w:val="single" w:sz="8" w:space="0" w:color="000000"/>
            </w:tcBorders>
          </w:tcPr>
          <w:p w14:paraId="698976D3" w14:textId="4708C3DD" w:rsidR="00011386" w:rsidRPr="00043AFA" w:rsidRDefault="00011386" w:rsidP="00011386">
            <w:pPr>
              <w:jc w:val="center"/>
              <w:rPr>
                <w:rFonts w:ascii="Arial" w:hAnsi="Arial" w:cs="Arial"/>
                <w:b/>
                <w:sz w:val="20"/>
                <w:lang w:val="en-IN"/>
              </w:rPr>
            </w:pPr>
            <w:r w:rsidRPr="00043AFA">
              <w:rPr>
                <w:rFonts w:ascii="Arial" w:hAnsi="Arial" w:cs="Arial"/>
                <w:b/>
                <w:sz w:val="20"/>
                <w:lang w:val="en-IN"/>
              </w:rPr>
              <w:t>S</w:t>
            </w:r>
          </w:p>
        </w:tc>
      </w:tr>
      <w:tr w:rsidR="00011386" w:rsidRPr="00043AFA" w14:paraId="61317C98" w14:textId="59A07E6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338C7"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6.</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5FC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D28A9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75.1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AC62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Highly Susceptible (HS)</w:t>
            </w:r>
          </w:p>
        </w:tc>
        <w:tc>
          <w:tcPr>
            <w:tcW w:w="1108" w:type="pct"/>
            <w:tcBorders>
              <w:top w:val="single" w:sz="8" w:space="0" w:color="000000"/>
              <w:left w:val="single" w:sz="8" w:space="0" w:color="000000"/>
              <w:bottom w:val="single" w:sz="8" w:space="0" w:color="000000"/>
              <w:right w:val="single" w:sz="8" w:space="0" w:color="000000"/>
            </w:tcBorders>
          </w:tcPr>
          <w:p w14:paraId="7D1F0C83" w14:textId="364EBF51" w:rsidR="00011386" w:rsidRPr="00043AFA" w:rsidRDefault="00011386" w:rsidP="00011386">
            <w:pPr>
              <w:jc w:val="center"/>
              <w:rPr>
                <w:rFonts w:ascii="Arial" w:hAnsi="Arial" w:cs="Arial"/>
                <w:b/>
                <w:sz w:val="20"/>
                <w:lang w:val="en-IN"/>
              </w:rPr>
            </w:pPr>
            <w:r w:rsidRPr="00043AFA">
              <w:rPr>
                <w:rFonts w:ascii="Arial" w:hAnsi="Arial" w:cs="Arial"/>
                <w:b/>
                <w:sz w:val="20"/>
                <w:lang w:val="en-IN"/>
              </w:rPr>
              <w:t>HS</w:t>
            </w:r>
          </w:p>
        </w:tc>
      </w:tr>
    </w:tbl>
    <w:p w14:paraId="53400F50" w14:textId="304B1201" w:rsidR="00F12CF2" w:rsidRPr="00043AFA" w:rsidRDefault="00503A7E" w:rsidP="006E0DA5">
      <w:pPr>
        <w:jc w:val="both"/>
        <w:rPr>
          <w:rFonts w:ascii="Arial" w:hAnsi="Arial" w:cs="Arial"/>
          <w:sz w:val="20"/>
          <w:lang w:val="en-IN"/>
        </w:rPr>
      </w:pPr>
      <w:r w:rsidRPr="00043AFA">
        <w:rPr>
          <w:rFonts w:ascii="Arial" w:hAnsi="Arial" w:cs="Arial"/>
          <w:sz w:val="20"/>
          <w:lang w:val="en-IN"/>
        </w:rPr>
        <w:t xml:space="preserve">             </w:t>
      </w:r>
    </w:p>
    <w:p w14:paraId="5B9848ED" w14:textId="72BD6D6A" w:rsidR="00F12CF2" w:rsidRPr="00043AFA" w:rsidRDefault="00514C8B"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lastRenderedPageBreak/>
        <w:t>RESULTS AND DISCUSSION</w:t>
      </w:r>
    </w:p>
    <w:p w14:paraId="74C37B54" w14:textId="0CDDBC8A" w:rsidR="006C55CE" w:rsidRPr="00043AFA" w:rsidRDefault="00503A7E" w:rsidP="006E0DA5">
      <w:pPr>
        <w:jc w:val="both"/>
        <w:rPr>
          <w:rFonts w:ascii="Arial" w:hAnsi="Arial" w:cs="Arial"/>
          <w:sz w:val="20"/>
          <w:lang w:val="en-IN"/>
        </w:rPr>
      </w:pPr>
      <w:r w:rsidRPr="00043AFA">
        <w:rPr>
          <w:rFonts w:ascii="Arial" w:hAnsi="Arial" w:cs="Arial"/>
          <w:sz w:val="20"/>
          <w:lang w:val="en-IN"/>
        </w:rPr>
        <w:t xml:space="preserve">                 </w:t>
      </w:r>
      <w:r w:rsidR="00F12CF2" w:rsidRPr="00043AFA">
        <w:rPr>
          <w:rFonts w:ascii="Arial" w:hAnsi="Arial" w:cs="Arial"/>
          <w:sz w:val="20"/>
          <w:lang w:val="en-IN"/>
        </w:rPr>
        <w:t xml:space="preserve">In the present investigation </w:t>
      </w:r>
      <w:r w:rsidR="00CB61C1" w:rsidRPr="00043AFA">
        <w:rPr>
          <w:rFonts w:ascii="Arial" w:hAnsi="Arial" w:cs="Arial"/>
          <w:sz w:val="20"/>
          <w:lang w:val="en-IN"/>
        </w:rPr>
        <w:t>356</w:t>
      </w:r>
      <w:r w:rsidR="00F12CF2" w:rsidRPr="00043AFA">
        <w:rPr>
          <w:rFonts w:ascii="Arial" w:hAnsi="Arial" w:cs="Arial"/>
          <w:sz w:val="20"/>
          <w:lang w:val="en-IN"/>
        </w:rPr>
        <w:t xml:space="preserve"> accessions were screened for identification of resistance sources against natural infection by powdery mildew diseases under field conditions</w:t>
      </w:r>
      <w:r w:rsidR="00CB61C1" w:rsidRPr="00043AFA">
        <w:rPr>
          <w:rFonts w:ascii="Arial" w:hAnsi="Arial" w:cs="Arial"/>
          <w:sz w:val="20"/>
          <w:lang w:val="en-IN"/>
        </w:rPr>
        <w:t xml:space="preserve"> during late Rabi season 2022-23 and 2023</w:t>
      </w:r>
      <w:r w:rsidR="00F12CF2" w:rsidRPr="00043AFA">
        <w:rPr>
          <w:rFonts w:ascii="Arial" w:hAnsi="Arial" w:cs="Arial"/>
          <w:sz w:val="20"/>
          <w:lang w:val="en-IN"/>
        </w:rPr>
        <w:t>-</w:t>
      </w:r>
      <w:r w:rsidR="00CB61C1" w:rsidRPr="00043AFA">
        <w:rPr>
          <w:rFonts w:ascii="Arial" w:hAnsi="Arial" w:cs="Arial"/>
          <w:sz w:val="20"/>
          <w:lang w:val="en-IN"/>
        </w:rPr>
        <w:t>24</w:t>
      </w:r>
      <w:r w:rsidR="00F12CF2" w:rsidRPr="00043AFA">
        <w:rPr>
          <w:rFonts w:ascii="Arial" w:hAnsi="Arial" w:cs="Arial"/>
          <w:sz w:val="20"/>
          <w:lang w:val="en-IN"/>
        </w:rPr>
        <w:t>. All recommended package of practices was followed except spraying of plant protection chemical to allow maximum inoculation of powdery mildew diseases.</w:t>
      </w:r>
      <w:r w:rsidR="00CB61C1" w:rsidRPr="00043AFA">
        <w:rPr>
          <w:rFonts w:ascii="Arial" w:hAnsi="Arial" w:cs="Arial"/>
          <w:sz w:val="20"/>
          <w:lang w:val="en-IN"/>
        </w:rPr>
        <w:t xml:space="preserve"> </w:t>
      </w:r>
      <w:r w:rsidR="00F12CF2" w:rsidRPr="00043AFA">
        <w:rPr>
          <w:rFonts w:ascii="Arial" w:hAnsi="Arial" w:cs="Arial"/>
          <w:sz w:val="20"/>
          <w:lang w:val="en-IN"/>
        </w:rPr>
        <w:t>The natural disease incidence was quite severe during the season due to conditions favourable for the development of the disease. Disease intensity on each accessions</w:t>
      </w:r>
      <w:r w:rsidR="00E53FE9" w:rsidRPr="00043AFA">
        <w:rPr>
          <w:rFonts w:ascii="Arial" w:hAnsi="Arial" w:cs="Arial"/>
          <w:sz w:val="20"/>
          <w:lang w:val="en-IN"/>
        </w:rPr>
        <w:t xml:space="preserve"> was scored as per the scale of</w:t>
      </w:r>
      <w:r w:rsidR="00E3111F" w:rsidRPr="00043AFA">
        <w:rPr>
          <w:rFonts w:ascii="Arial" w:eastAsia="Calibri" w:hAnsi="Arial" w:cs="Arial"/>
          <w:sz w:val="20"/>
        </w:rPr>
        <w:t xml:space="preserve"> </w:t>
      </w:r>
      <w:r w:rsidR="00F12CF2" w:rsidRPr="00043AFA">
        <w:rPr>
          <w:rFonts w:ascii="Arial" w:hAnsi="Arial" w:cs="Arial"/>
          <w:sz w:val="20"/>
          <w:lang w:val="en-IN"/>
        </w:rPr>
        <w:t>0-5 scale</w:t>
      </w:r>
      <w:r w:rsidR="00E53FE9" w:rsidRPr="00043AFA">
        <w:rPr>
          <w:rFonts w:ascii="Arial" w:hAnsi="Arial" w:cs="Arial"/>
          <w:sz w:val="20"/>
          <w:lang w:val="en-IN"/>
        </w:rPr>
        <w:t xml:space="preserve"> </w:t>
      </w:r>
      <w:r w:rsidR="00E53FE9" w:rsidRPr="00043AFA">
        <w:rPr>
          <w:rFonts w:ascii="Arial" w:eastAsia="Calibri" w:hAnsi="Arial" w:cs="Arial"/>
          <w:sz w:val="20"/>
        </w:rPr>
        <w:t>(ICAR-IIOR, 2022-23)</w:t>
      </w:r>
      <w:r w:rsidR="00F12CF2" w:rsidRPr="00043AFA">
        <w:rPr>
          <w:rFonts w:ascii="Arial" w:hAnsi="Arial" w:cs="Arial"/>
          <w:sz w:val="20"/>
          <w:lang w:val="en-IN"/>
        </w:rPr>
        <w:t xml:space="preserve">. Accessions were screened for their reaction against powdery mildew diseases and depending upon their genetic makeup of each accessions responded differentially to powdery mildew diseases. </w:t>
      </w:r>
    </w:p>
    <w:p w14:paraId="69E30077" w14:textId="77777777" w:rsidR="009C21C7" w:rsidRPr="00043AFA" w:rsidRDefault="009C21C7" w:rsidP="00514C8B">
      <w:pPr>
        <w:jc w:val="both"/>
        <w:rPr>
          <w:rFonts w:ascii="Arial" w:hAnsi="Arial" w:cs="Arial"/>
          <w:b/>
          <w:sz w:val="20"/>
        </w:rPr>
      </w:pPr>
    </w:p>
    <w:p w14:paraId="4495CA58" w14:textId="77777777" w:rsidR="009C21C7" w:rsidRPr="00043AFA" w:rsidRDefault="009C21C7" w:rsidP="00514C8B">
      <w:pPr>
        <w:jc w:val="both"/>
        <w:rPr>
          <w:rFonts w:ascii="Arial" w:hAnsi="Arial" w:cs="Arial"/>
          <w:b/>
          <w:sz w:val="20"/>
        </w:rPr>
      </w:pPr>
    </w:p>
    <w:p w14:paraId="41806823" w14:textId="77777777" w:rsidR="009C21C7" w:rsidRPr="00043AFA" w:rsidRDefault="009C21C7" w:rsidP="00514C8B">
      <w:pPr>
        <w:jc w:val="both"/>
        <w:rPr>
          <w:rFonts w:ascii="Arial" w:hAnsi="Arial" w:cs="Arial"/>
          <w:b/>
          <w:sz w:val="20"/>
        </w:rPr>
      </w:pPr>
    </w:p>
    <w:p w14:paraId="7627DC34" w14:textId="77777777" w:rsidR="009C21C7" w:rsidRPr="00043AFA" w:rsidRDefault="009C21C7" w:rsidP="00514C8B">
      <w:pPr>
        <w:jc w:val="both"/>
        <w:rPr>
          <w:rFonts w:ascii="Arial" w:hAnsi="Arial" w:cs="Arial"/>
          <w:b/>
          <w:sz w:val="20"/>
        </w:rPr>
      </w:pPr>
    </w:p>
    <w:p w14:paraId="7237C0C2" w14:textId="77777777" w:rsidR="009C21C7" w:rsidRPr="00043AFA" w:rsidRDefault="009C21C7" w:rsidP="00514C8B">
      <w:pPr>
        <w:jc w:val="both"/>
        <w:rPr>
          <w:rFonts w:ascii="Arial" w:hAnsi="Arial" w:cs="Arial"/>
          <w:b/>
          <w:sz w:val="20"/>
        </w:rPr>
      </w:pPr>
    </w:p>
    <w:p w14:paraId="5FEAB4B5" w14:textId="77777777" w:rsidR="009C21C7" w:rsidRPr="00043AFA" w:rsidRDefault="009C21C7" w:rsidP="00514C8B">
      <w:pPr>
        <w:jc w:val="both"/>
        <w:rPr>
          <w:rFonts w:ascii="Arial" w:hAnsi="Arial" w:cs="Arial"/>
          <w:b/>
          <w:sz w:val="20"/>
        </w:rPr>
      </w:pPr>
    </w:p>
    <w:p w14:paraId="4A2362B0" w14:textId="77777777" w:rsidR="009C21C7" w:rsidRPr="00043AFA" w:rsidRDefault="009C21C7" w:rsidP="00514C8B">
      <w:pPr>
        <w:jc w:val="both"/>
        <w:rPr>
          <w:rFonts w:ascii="Arial" w:hAnsi="Arial" w:cs="Arial"/>
          <w:b/>
          <w:sz w:val="20"/>
        </w:rPr>
      </w:pPr>
    </w:p>
    <w:p w14:paraId="4A8DD919" w14:textId="77777777" w:rsidR="009C21C7" w:rsidRPr="00043AFA" w:rsidRDefault="009C21C7" w:rsidP="00514C8B">
      <w:pPr>
        <w:jc w:val="both"/>
        <w:rPr>
          <w:rFonts w:ascii="Arial" w:hAnsi="Arial" w:cs="Arial"/>
          <w:b/>
          <w:sz w:val="20"/>
        </w:rPr>
      </w:pPr>
    </w:p>
    <w:p w14:paraId="3ECE61C8" w14:textId="77777777" w:rsidR="009C21C7" w:rsidRPr="00043AFA" w:rsidRDefault="009C21C7" w:rsidP="00514C8B">
      <w:pPr>
        <w:jc w:val="both"/>
        <w:rPr>
          <w:rFonts w:ascii="Arial" w:hAnsi="Arial" w:cs="Arial"/>
          <w:b/>
          <w:sz w:val="20"/>
        </w:rPr>
      </w:pPr>
    </w:p>
    <w:p w14:paraId="0E8A1D5C" w14:textId="77777777" w:rsidR="009C21C7" w:rsidRPr="00043AFA" w:rsidRDefault="009C21C7" w:rsidP="00514C8B">
      <w:pPr>
        <w:jc w:val="both"/>
        <w:rPr>
          <w:rFonts w:ascii="Arial" w:hAnsi="Arial" w:cs="Arial"/>
          <w:b/>
          <w:sz w:val="20"/>
        </w:rPr>
      </w:pPr>
    </w:p>
    <w:p w14:paraId="639514E2" w14:textId="77777777" w:rsidR="009C21C7" w:rsidRPr="00043AFA" w:rsidRDefault="009C21C7" w:rsidP="00514C8B">
      <w:pPr>
        <w:jc w:val="both"/>
        <w:rPr>
          <w:rFonts w:ascii="Arial" w:hAnsi="Arial" w:cs="Arial"/>
          <w:b/>
          <w:sz w:val="20"/>
        </w:rPr>
      </w:pPr>
    </w:p>
    <w:p w14:paraId="694F005C" w14:textId="77777777" w:rsidR="009C21C7" w:rsidRPr="00043AFA" w:rsidRDefault="009C21C7" w:rsidP="00514C8B">
      <w:pPr>
        <w:jc w:val="both"/>
        <w:rPr>
          <w:rFonts w:ascii="Arial" w:hAnsi="Arial" w:cs="Arial"/>
          <w:b/>
          <w:sz w:val="20"/>
        </w:rPr>
      </w:pPr>
    </w:p>
    <w:p w14:paraId="16CDB698" w14:textId="77777777" w:rsidR="009C21C7" w:rsidRPr="00043AFA" w:rsidRDefault="009C21C7" w:rsidP="00514C8B">
      <w:pPr>
        <w:jc w:val="both"/>
        <w:rPr>
          <w:rFonts w:ascii="Arial" w:hAnsi="Arial" w:cs="Arial"/>
          <w:b/>
          <w:sz w:val="20"/>
        </w:rPr>
      </w:pPr>
    </w:p>
    <w:p w14:paraId="007BDF80" w14:textId="77777777" w:rsidR="009C21C7" w:rsidRPr="00043AFA" w:rsidRDefault="009C21C7" w:rsidP="00514C8B">
      <w:pPr>
        <w:jc w:val="both"/>
        <w:rPr>
          <w:rFonts w:ascii="Arial" w:hAnsi="Arial" w:cs="Arial"/>
          <w:b/>
          <w:sz w:val="20"/>
        </w:rPr>
        <w:sectPr w:rsidR="009C21C7" w:rsidRPr="00043AFA" w:rsidSect="006C55C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8" w:footer="708" w:gutter="0"/>
          <w:cols w:space="708"/>
          <w:docGrid w:linePitch="360"/>
        </w:sectPr>
      </w:pPr>
    </w:p>
    <w:p w14:paraId="0A5F3071" w14:textId="6E569DE3" w:rsidR="00D7348A" w:rsidRPr="00043AFA" w:rsidRDefault="00681D78" w:rsidP="00514C8B">
      <w:pPr>
        <w:jc w:val="both"/>
        <w:rPr>
          <w:rFonts w:ascii="Arial" w:hAnsi="Arial" w:cs="Arial"/>
          <w:b/>
          <w:sz w:val="20"/>
        </w:rPr>
      </w:pPr>
      <w:r w:rsidRPr="00043AFA">
        <w:rPr>
          <w:rFonts w:ascii="Arial" w:hAnsi="Arial" w:cs="Arial"/>
          <w:b/>
          <w:sz w:val="20"/>
        </w:rPr>
        <w:lastRenderedPageBreak/>
        <w:t xml:space="preserve">Table </w:t>
      </w:r>
      <w:r w:rsidR="00A75692" w:rsidRPr="00043AFA">
        <w:rPr>
          <w:rFonts w:ascii="Arial" w:hAnsi="Arial" w:cs="Arial"/>
          <w:b/>
          <w:sz w:val="20"/>
        </w:rPr>
        <w:t>3</w:t>
      </w:r>
      <w:r w:rsidRPr="00043AFA">
        <w:rPr>
          <w:rFonts w:ascii="Arial" w:hAnsi="Arial" w:cs="Arial"/>
          <w:b/>
          <w:sz w:val="20"/>
        </w:rPr>
        <w:t>.</w:t>
      </w:r>
      <w:r w:rsidR="00D7348A" w:rsidRPr="00043AFA">
        <w:rPr>
          <w:rFonts w:ascii="Arial" w:hAnsi="Arial" w:cs="Arial"/>
          <w:b/>
          <w:sz w:val="20"/>
        </w:rPr>
        <w:t xml:space="preserve"> Categorization of Linseed germplasm based on</w:t>
      </w:r>
      <w:r w:rsidR="00514C8B" w:rsidRPr="00043AFA">
        <w:rPr>
          <w:rFonts w:ascii="Arial" w:hAnsi="Arial" w:cs="Arial"/>
          <w:b/>
          <w:sz w:val="20"/>
        </w:rPr>
        <w:t xml:space="preserve"> the</w:t>
      </w:r>
      <w:r w:rsidR="00D7348A" w:rsidRPr="00043AFA">
        <w:rPr>
          <w:rFonts w:ascii="Arial" w:hAnsi="Arial" w:cs="Arial"/>
          <w:b/>
          <w:sz w:val="20"/>
        </w:rPr>
        <w:t xml:space="preserve"> reaction to powdery mildew disease</w:t>
      </w:r>
    </w:p>
    <w:tbl>
      <w:tblPr>
        <w:tblStyle w:val="TableGrid"/>
        <w:tblW w:w="0" w:type="auto"/>
        <w:tblLook w:val="04A0" w:firstRow="1" w:lastRow="0" w:firstColumn="1" w:lastColumn="0" w:noHBand="0" w:noVBand="1"/>
      </w:tblPr>
      <w:tblGrid>
        <w:gridCol w:w="813"/>
        <w:gridCol w:w="849"/>
        <w:gridCol w:w="1830"/>
        <w:gridCol w:w="1836"/>
        <w:gridCol w:w="7530"/>
        <w:gridCol w:w="1317"/>
      </w:tblGrid>
      <w:tr w:rsidR="009C21C7" w:rsidRPr="00043AFA" w14:paraId="527FAE17" w14:textId="77777777" w:rsidTr="009C21C7">
        <w:tc>
          <w:tcPr>
            <w:tcW w:w="817" w:type="dxa"/>
            <w:vAlign w:val="center"/>
          </w:tcPr>
          <w:p w14:paraId="7EA6AE96" w14:textId="6A42282F" w:rsidR="009C21C7" w:rsidRPr="00043AFA" w:rsidRDefault="009C21C7" w:rsidP="009C21C7">
            <w:pPr>
              <w:jc w:val="center"/>
              <w:rPr>
                <w:rFonts w:ascii="Arial" w:hAnsi="Arial" w:cs="Arial"/>
                <w:b/>
                <w:sz w:val="20"/>
              </w:rPr>
            </w:pPr>
            <w:r w:rsidRPr="00043AFA">
              <w:rPr>
                <w:rFonts w:ascii="Arial" w:eastAsia="Times New Roman" w:hAnsi="Arial" w:cs="Arial"/>
                <w:b/>
                <w:bCs/>
                <w:sz w:val="20"/>
              </w:rPr>
              <w:t>Sl. No.</w:t>
            </w:r>
          </w:p>
        </w:tc>
        <w:tc>
          <w:tcPr>
            <w:tcW w:w="851" w:type="dxa"/>
            <w:vAlign w:val="center"/>
          </w:tcPr>
          <w:p w14:paraId="5B84A36E" w14:textId="070C8C9D" w:rsidR="009C21C7" w:rsidRPr="00043AFA" w:rsidRDefault="009C21C7" w:rsidP="009C21C7">
            <w:pPr>
              <w:jc w:val="center"/>
              <w:rPr>
                <w:rFonts w:ascii="Arial" w:hAnsi="Arial" w:cs="Arial"/>
                <w:b/>
                <w:sz w:val="20"/>
              </w:rPr>
            </w:pPr>
            <w:r w:rsidRPr="00043AFA">
              <w:rPr>
                <w:rFonts w:ascii="Arial" w:eastAsia="Times New Roman" w:hAnsi="Arial" w:cs="Arial"/>
                <w:b/>
                <w:bCs/>
                <w:sz w:val="20"/>
              </w:rPr>
              <w:t>Scale</w:t>
            </w:r>
          </w:p>
        </w:tc>
        <w:tc>
          <w:tcPr>
            <w:tcW w:w="1842" w:type="dxa"/>
            <w:vAlign w:val="center"/>
          </w:tcPr>
          <w:p w14:paraId="0A7EA561" w14:textId="077B07F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intensity</w:t>
            </w:r>
          </w:p>
        </w:tc>
        <w:tc>
          <w:tcPr>
            <w:tcW w:w="1843" w:type="dxa"/>
            <w:vAlign w:val="center"/>
          </w:tcPr>
          <w:p w14:paraId="379B3BBA" w14:textId="15EDCA5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Reaction</w:t>
            </w:r>
          </w:p>
        </w:tc>
        <w:tc>
          <w:tcPr>
            <w:tcW w:w="7615" w:type="dxa"/>
            <w:vAlign w:val="center"/>
          </w:tcPr>
          <w:p w14:paraId="594F1EF8" w14:textId="11FAE7DC" w:rsidR="009C21C7" w:rsidRPr="00043AFA" w:rsidRDefault="009C21C7" w:rsidP="009C21C7">
            <w:pPr>
              <w:jc w:val="center"/>
              <w:rPr>
                <w:rFonts w:ascii="Arial" w:hAnsi="Arial" w:cs="Arial"/>
                <w:b/>
                <w:sz w:val="20"/>
              </w:rPr>
            </w:pPr>
            <w:r w:rsidRPr="00043AFA">
              <w:rPr>
                <w:rFonts w:ascii="Arial" w:eastAsia="Times New Roman" w:hAnsi="Arial" w:cs="Arial"/>
                <w:b/>
                <w:bCs/>
                <w:sz w:val="20"/>
              </w:rPr>
              <w:t>Germplasm</w:t>
            </w:r>
            <w:r w:rsidR="003F5C50" w:rsidRPr="00043AFA">
              <w:rPr>
                <w:rFonts w:ascii="Arial" w:eastAsia="Times New Roman" w:hAnsi="Arial" w:cs="Arial"/>
                <w:b/>
                <w:bCs/>
                <w:sz w:val="20"/>
              </w:rPr>
              <w:t xml:space="preserve"> Name</w:t>
            </w:r>
          </w:p>
        </w:tc>
        <w:tc>
          <w:tcPr>
            <w:tcW w:w="1207" w:type="dxa"/>
            <w:vAlign w:val="center"/>
          </w:tcPr>
          <w:p w14:paraId="4B63E61C" w14:textId="574F3CD2" w:rsidR="009C21C7" w:rsidRPr="00043AFA" w:rsidRDefault="009C21C7" w:rsidP="009C21C7">
            <w:pPr>
              <w:jc w:val="center"/>
              <w:rPr>
                <w:rFonts w:ascii="Arial" w:hAnsi="Arial" w:cs="Arial"/>
                <w:b/>
                <w:sz w:val="20"/>
              </w:rPr>
            </w:pPr>
            <w:r w:rsidRPr="00043AFA">
              <w:rPr>
                <w:rFonts w:ascii="Arial" w:eastAsia="Times New Roman" w:hAnsi="Arial" w:cs="Arial"/>
                <w:b/>
                <w:bCs/>
                <w:sz w:val="20"/>
              </w:rPr>
              <w:t>No. of Germplasm</w:t>
            </w:r>
          </w:p>
        </w:tc>
      </w:tr>
      <w:tr w:rsidR="009C21C7" w:rsidRPr="00043AFA" w14:paraId="796C1C1C" w14:textId="77777777" w:rsidTr="009C21C7">
        <w:tc>
          <w:tcPr>
            <w:tcW w:w="817" w:type="dxa"/>
            <w:vAlign w:val="center"/>
          </w:tcPr>
          <w:p w14:paraId="7DF99C4D"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BEE3187" w14:textId="15DD2F11" w:rsidR="009C21C7" w:rsidRPr="00043AFA" w:rsidRDefault="009C21C7" w:rsidP="009C21C7">
            <w:pPr>
              <w:jc w:val="center"/>
              <w:rPr>
                <w:rFonts w:ascii="Arial" w:hAnsi="Arial" w:cs="Arial"/>
                <w:b/>
                <w:sz w:val="20"/>
              </w:rPr>
            </w:pPr>
            <w:r w:rsidRPr="00043AFA">
              <w:rPr>
                <w:rFonts w:ascii="Arial" w:eastAsia="Times New Roman" w:hAnsi="Arial" w:cs="Arial"/>
                <w:b/>
                <w:bCs/>
                <w:sz w:val="20"/>
              </w:rPr>
              <w:t>0</w:t>
            </w:r>
          </w:p>
        </w:tc>
        <w:tc>
          <w:tcPr>
            <w:tcW w:w="1842" w:type="dxa"/>
            <w:vAlign w:val="center"/>
          </w:tcPr>
          <w:p w14:paraId="2BEEF61D" w14:textId="61634C6E" w:rsidR="009C21C7" w:rsidRPr="00043AFA" w:rsidRDefault="009C21C7" w:rsidP="009C21C7">
            <w:pPr>
              <w:jc w:val="both"/>
              <w:rPr>
                <w:rFonts w:ascii="Arial" w:hAnsi="Arial" w:cs="Arial"/>
                <w:b/>
                <w:sz w:val="20"/>
              </w:rPr>
            </w:pPr>
            <w:r w:rsidRPr="00043AFA">
              <w:rPr>
                <w:rFonts w:ascii="Arial" w:eastAsia="Times New Roman" w:hAnsi="Arial" w:cs="Arial"/>
                <w:b/>
                <w:bCs/>
                <w:sz w:val="20"/>
              </w:rPr>
              <w:t>Free from disease</w:t>
            </w:r>
          </w:p>
        </w:tc>
        <w:tc>
          <w:tcPr>
            <w:tcW w:w="1843" w:type="dxa"/>
            <w:vAlign w:val="center"/>
          </w:tcPr>
          <w:p w14:paraId="096489EF" w14:textId="39780D13" w:rsidR="009C21C7" w:rsidRPr="00043AFA" w:rsidRDefault="009C21C7" w:rsidP="009C21C7">
            <w:pPr>
              <w:jc w:val="both"/>
              <w:rPr>
                <w:rFonts w:ascii="Arial" w:hAnsi="Arial" w:cs="Arial"/>
                <w:b/>
                <w:sz w:val="20"/>
              </w:rPr>
            </w:pPr>
            <w:r w:rsidRPr="00043AFA">
              <w:rPr>
                <w:rFonts w:ascii="Arial" w:eastAsia="Times New Roman" w:hAnsi="Arial" w:cs="Arial"/>
                <w:b/>
                <w:bCs/>
                <w:sz w:val="20"/>
              </w:rPr>
              <w:t>Immune (I)</w:t>
            </w:r>
          </w:p>
        </w:tc>
        <w:tc>
          <w:tcPr>
            <w:tcW w:w="7615" w:type="dxa"/>
          </w:tcPr>
          <w:p w14:paraId="710C4FAB" w14:textId="4D9A6812" w:rsidR="009C21C7" w:rsidRPr="00043AFA" w:rsidRDefault="009C21C7" w:rsidP="009C21C7">
            <w:pPr>
              <w:jc w:val="both"/>
              <w:rPr>
                <w:rFonts w:ascii="Arial" w:hAnsi="Arial" w:cs="Arial"/>
                <w:b/>
                <w:sz w:val="20"/>
              </w:rPr>
            </w:pPr>
            <w:r w:rsidRPr="00043AFA">
              <w:rPr>
                <w:rFonts w:ascii="Arial" w:eastAsia="Times New Roman" w:hAnsi="Arial" w:cs="Arial"/>
                <w:sz w:val="20"/>
              </w:rPr>
              <w:t>P-650, LCK-206, BAU-1892, OL-1-3, OL-93418-1, LC-1009, EC-41890, CHIPILIMA, OLC-34, ES-44, OL-2-7, LHCK-82O, LC-31, LCK-9733, OLC-21, OL-19-11, LCK-119, NL-129, OL-98-5-3, BHOLAGADIA, DHALADIHI</w:t>
            </w:r>
          </w:p>
        </w:tc>
        <w:tc>
          <w:tcPr>
            <w:tcW w:w="1207" w:type="dxa"/>
            <w:vAlign w:val="center"/>
          </w:tcPr>
          <w:p w14:paraId="005935A8" w14:textId="37975008" w:rsidR="009C21C7" w:rsidRPr="00043AFA" w:rsidRDefault="009C21C7" w:rsidP="003F5C50">
            <w:pPr>
              <w:jc w:val="center"/>
              <w:rPr>
                <w:rFonts w:ascii="Arial" w:hAnsi="Arial" w:cs="Arial"/>
                <w:b/>
                <w:sz w:val="20"/>
              </w:rPr>
            </w:pPr>
            <w:r w:rsidRPr="00043AFA">
              <w:rPr>
                <w:rFonts w:ascii="Arial" w:eastAsia="Times New Roman" w:hAnsi="Arial" w:cs="Arial"/>
                <w:b/>
                <w:bCs/>
                <w:sz w:val="20"/>
              </w:rPr>
              <w:t>21</w:t>
            </w:r>
          </w:p>
        </w:tc>
      </w:tr>
      <w:tr w:rsidR="009C21C7" w:rsidRPr="00043AFA" w14:paraId="2599D6B5" w14:textId="77777777" w:rsidTr="009C21C7">
        <w:tc>
          <w:tcPr>
            <w:tcW w:w="817" w:type="dxa"/>
            <w:vAlign w:val="center"/>
          </w:tcPr>
          <w:p w14:paraId="5FB60088"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43F5398" w14:textId="42E62669" w:rsidR="009C21C7" w:rsidRPr="00043AFA" w:rsidRDefault="009C21C7" w:rsidP="009C21C7">
            <w:pPr>
              <w:jc w:val="center"/>
              <w:rPr>
                <w:rFonts w:ascii="Arial" w:hAnsi="Arial" w:cs="Arial"/>
                <w:b/>
                <w:sz w:val="20"/>
              </w:rPr>
            </w:pPr>
            <w:r w:rsidRPr="00043AFA">
              <w:rPr>
                <w:rFonts w:ascii="Arial" w:eastAsia="Times New Roman" w:hAnsi="Arial" w:cs="Arial"/>
                <w:b/>
                <w:bCs/>
                <w:sz w:val="20"/>
              </w:rPr>
              <w:t>1</w:t>
            </w:r>
          </w:p>
        </w:tc>
        <w:tc>
          <w:tcPr>
            <w:tcW w:w="1842" w:type="dxa"/>
            <w:vAlign w:val="center"/>
          </w:tcPr>
          <w:p w14:paraId="6C76E786" w14:textId="125C6C61" w:rsidR="009C21C7" w:rsidRPr="00043AFA" w:rsidRDefault="009C21C7" w:rsidP="009C21C7">
            <w:pPr>
              <w:jc w:val="both"/>
              <w:rPr>
                <w:rFonts w:ascii="Arial" w:hAnsi="Arial" w:cs="Arial"/>
                <w:b/>
                <w:sz w:val="20"/>
              </w:rPr>
            </w:pPr>
            <w:r w:rsidRPr="00043AFA">
              <w:rPr>
                <w:rFonts w:ascii="Arial" w:eastAsia="Times New Roman" w:hAnsi="Arial" w:cs="Arial"/>
                <w:b/>
                <w:bCs/>
                <w:sz w:val="20"/>
              </w:rPr>
              <w:t>1.0 – 10.0 %</w:t>
            </w:r>
          </w:p>
        </w:tc>
        <w:tc>
          <w:tcPr>
            <w:tcW w:w="1843" w:type="dxa"/>
            <w:vAlign w:val="center"/>
          </w:tcPr>
          <w:p w14:paraId="289D02CE" w14:textId="7EB67DBB" w:rsidR="009C21C7" w:rsidRPr="00043AFA" w:rsidRDefault="009C21C7" w:rsidP="009C21C7">
            <w:pPr>
              <w:jc w:val="both"/>
              <w:rPr>
                <w:rFonts w:ascii="Arial" w:hAnsi="Arial" w:cs="Arial"/>
                <w:b/>
                <w:sz w:val="20"/>
              </w:rPr>
            </w:pPr>
            <w:r w:rsidRPr="00043AFA">
              <w:rPr>
                <w:rFonts w:ascii="Arial" w:eastAsia="Times New Roman" w:hAnsi="Arial" w:cs="Arial"/>
                <w:b/>
                <w:bCs/>
                <w:sz w:val="20"/>
              </w:rPr>
              <w:t>Resistant (R)</w:t>
            </w:r>
          </w:p>
        </w:tc>
        <w:tc>
          <w:tcPr>
            <w:tcW w:w="7615" w:type="dxa"/>
          </w:tcPr>
          <w:p w14:paraId="2A816DE2" w14:textId="3A026D7D" w:rsidR="009C21C7" w:rsidRPr="00043AFA" w:rsidRDefault="009C21C7" w:rsidP="009C21C7">
            <w:pPr>
              <w:jc w:val="both"/>
              <w:rPr>
                <w:rFonts w:ascii="Arial" w:hAnsi="Arial" w:cs="Arial"/>
                <w:b/>
                <w:sz w:val="20"/>
              </w:rPr>
            </w:pPr>
            <w:r w:rsidRPr="00043AFA">
              <w:rPr>
                <w:rFonts w:ascii="Arial" w:eastAsia="Times New Roman" w:hAnsi="Arial" w:cs="Arial"/>
                <w:sz w:val="20"/>
              </w:rPr>
              <w:t>OLC-46, OLC-42, OL-98-10-4, RL-1011, OL-98-14-2, POLF, OL-98-1-4, POLF-34, OL-98-16-3, NL-97, OLC-36, PLC-42, OLC-42, T-393, LMH-43, OLC-17, RL-87, H-15, OLC-15, SPS-17-18-544, OL-98-17-5, OL-98-16-9, OL-98-2-3, OL-98-8-2, OLC-18, BAUL-4-4, OL-98-17-6, LCK-10-10, OLC-24, RRL-1, LMH-90-7, OLC-52, OLC-22, RL-771, OL-4, K-3, OL-57-5, OL-5K-4</w:t>
            </w:r>
          </w:p>
        </w:tc>
        <w:tc>
          <w:tcPr>
            <w:tcW w:w="1207" w:type="dxa"/>
            <w:vAlign w:val="center"/>
          </w:tcPr>
          <w:p w14:paraId="426130CC" w14:textId="0A2F264F" w:rsidR="009C21C7" w:rsidRPr="00043AFA" w:rsidRDefault="009C21C7" w:rsidP="003F5C50">
            <w:pPr>
              <w:jc w:val="center"/>
              <w:rPr>
                <w:rFonts w:ascii="Arial" w:hAnsi="Arial" w:cs="Arial"/>
                <w:b/>
                <w:sz w:val="20"/>
              </w:rPr>
            </w:pPr>
            <w:r w:rsidRPr="00043AFA">
              <w:rPr>
                <w:rFonts w:ascii="Arial" w:eastAsia="Times New Roman" w:hAnsi="Arial" w:cs="Arial"/>
                <w:b/>
                <w:bCs/>
                <w:sz w:val="20"/>
              </w:rPr>
              <w:t>37</w:t>
            </w:r>
          </w:p>
        </w:tc>
      </w:tr>
      <w:tr w:rsidR="009C21C7" w:rsidRPr="00043AFA" w14:paraId="4740BEEA" w14:textId="77777777" w:rsidTr="009C21C7">
        <w:tc>
          <w:tcPr>
            <w:tcW w:w="817" w:type="dxa"/>
            <w:vAlign w:val="center"/>
          </w:tcPr>
          <w:p w14:paraId="48A5ECB9"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20774A67" w14:textId="4DDD6CA1" w:rsidR="009C21C7" w:rsidRPr="00043AFA" w:rsidRDefault="009C21C7" w:rsidP="009C21C7">
            <w:pPr>
              <w:jc w:val="center"/>
              <w:rPr>
                <w:rFonts w:ascii="Arial" w:hAnsi="Arial" w:cs="Arial"/>
                <w:b/>
                <w:sz w:val="20"/>
              </w:rPr>
            </w:pPr>
            <w:r w:rsidRPr="00043AFA">
              <w:rPr>
                <w:rFonts w:ascii="Arial" w:eastAsia="Times New Roman" w:hAnsi="Arial" w:cs="Arial"/>
                <w:b/>
                <w:bCs/>
                <w:sz w:val="20"/>
              </w:rPr>
              <w:t>2</w:t>
            </w:r>
          </w:p>
        </w:tc>
        <w:tc>
          <w:tcPr>
            <w:tcW w:w="1842" w:type="dxa"/>
            <w:vAlign w:val="center"/>
          </w:tcPr>
          <w:p w14:paraId="1B6E190D" w14:textId="429D44B7" w:rsidR="009C21C7" w:rsidRPr="00043AFA" w:rsidRDefault="009C21C7" w:rsidP="009C21C7">
            <w:pPr>
              <w:jc w:val="both"/>
              <w:rPr>
                <w:rFonts w:ascii="Arial" w:hAnsi="Arial" w:cs="Arial"/>
                <w:b/>
                <w:sz w:val="20"/>
              </w:rPr>
            </w:pPr>
            <w:r w:rsidRPr="00043AFA">
              <w:rPr>
                <w:rFonts w:ascii="Arial" w:eastAsia="Times New Roman" w:hAnsi="Arial" w:cs="Arial"/>
                <w:b/>
                <w:bCs/>
                <w:sz w:val="20"/>
              </w:rPr>
              <w:t>10.1 – 25 %</w:t>
            </w:r>
          </w:p>
        </w:tc>
        <w:tc>
          <w:tcPr>
            <w:tcW w:w="1843" w:type="dxa"/>
            <w:vAlign w:val="center"/>
          </w:tcPr>
          <w:p w14:paraId="69C3D413" w14:textId="2661ED5C"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Resistant (MR)</w:t>
            </w:r>
          </w:p>
        </w:tc>
        <w:tc>
          <w:tcPr>
            <w:tcW w:w="7615" w:type="dxa"/>
          </w:tcPr>
          <w:p w14:paraId="18ABBA44" w14:textId="15DBA3D6" w:rsidR="009C21C7" w:rsidRPr="00043AFA" w:rsidRDefault="009C21C7" w:rsidP="009C21C7">
            <w:pPr>
              <w:jc w:val="both"/>
              <w:rPr>
                <w:rFonts w:ascii="Arial" w:hAnsi="Arial" w:cs="Arial"/>
                <w:b/>
                <w:sz w:val="20"/>
              </w:rPr>
            </w:pPr>
            <w:r w:rsidRPr="00043AFA">
              <w:rPr>
                <w:rFonts w:ascii="Arial" w:eastAsia="Times New Roman" w:hAnsi="Arial" w:cs="Arial"/>
                <w:sz w:val="20"/>
              </w:rPr>
              <w:t>LSL93, OLC-11, OL-93-42-1, Jawahar, KDL-62, LC-185, PCA-9, ECA-11, OL-98-2-2, JC-16392, OL-18-4, OL-93-49-2, OL-98-16-5, OL-98-5-6, OLC-57, LHCK-176, OL-98-10-3, OL-98-16-6, LM-898, Germplasm-442, CI-1466, PCA-89, LIN-14, SHEELA, OLC-44, MEERA, OL-98-16-7, OL-98-9-4, NEELAM, EC-1392, OL-98-16-6, JRF-3, LHCK-144, LCM-1020, OLC-15, BEGUNIA</w:t>
            </w:r>
          </w:p>
        </w:tc>
        <w:tc>
          <w:tcPr>
            <w:tcW w:w="1207" w:type="dxa"/>
            <w:vAlign w:val="center"/>
          </w:tcPr>
          <w:p w14:paraId="0F15829F" w14:textId="2629122C" w:rsidR="009C21C7" w:rsidRPr="00043AFA" w:rsidRDefault="009C21C7" w:rsidP="003F5C50">
            <w:pPr>
              <w:jc w:val="center"/>
              <w:rPr>
                <w:rFonts w:ascii="Arial" w:hAnsi="Arial" w:cs="Arial"/>
                <w:b/>
                <w:sz w:val="20"/>
              </w:rPr>
            </w:pPr>
            <w:r w:rsidRPr="00043AFA">
              <w:rPr>
                <w:rFonts w:ascii="Arial" w:eastAsia="Times New Roman" w:hAnsi="Arial" w:cs="Arial"/>
                <w:b/>
                <w:bCs/>
                <w:sz w:val="20"/>
              </w:rPr>
              <w:t>36</w:t>
            </w:r>
          </w:p>
        </w:tc>
      </w:tr>
      <w:tr w:rsidR="009C21C7" w:rsidRPr="00043AFA" w14:paraId="09C3DD4C" w14:textId="77777777" w:rsidTr="009C21C7">
        <w:tc>
          <w:tcPr>
            <w:tcW w:w="817" w:type="dxa"/>
            <w:vAlign w:val="center"/>
          </w:tcPr>
          <w:p w14:paraId="7A7BE9F1"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7ECAAFCB" w14:textId="10AAFC20" w:rsidR="009C21C7" w:rsidRPr="00043AFA" w:rsidRDefault="009C21C7" w:rsidP="009C21C7">
            <w:pPr>
              <w:jc w:val="center"/>
              <w:rPr>
                <w:rFonts w:ascii="Arial" w:hAnsi="Arial" w:cs="Arial"/>
                <w:b/>
                <w:sz w:val="20"/>
              </w:rPr>
            </w:pPr>
            <w:r w:rsidRPr="00043AFA">
              <w:rPr>
                <w:rFonts w:ascii="Arial" w:eastAsia="Times New Roman" w:hAnsi="Arial" w:cs="Arial"/>
                <w:b/>
                <w:bCs/>
                <w:sz w:val="20"/>
              </w:rPr>
              <w:t>3</w:t>
            </w:r>
          </w:p>
        </w:tc>
        <w:tc>
          <w:tcPr>
            <w:tcW w:w="1842" w:type="dxa"/>
            <w:vAlign w:val="center"/>
          </w:tcPr>
          <w:p w14:paraId="40C6F8A8" w14:textId="0A971ECF" w:rsidR="009C21C7" w:rsidRPr="00043AFA" w:rsidRDefault="009C21C7" w:rsidP="009C21C7">
            <w:pPr>
              <w:jc w:val="both"/>
              <w:rPr>
                <w:rFonts w:ascii="Arial" w:hAnsi="Arial" w:cs="Arial"/>
                <w:b/>
                <w:sz w:val="20"/>
              </w:rPr>
            </w:pPr>
            <w:r w:rsidRPr="00043AFA">
              <w:rPr>
                <w:rFonts w:ascii="Arial" w:eastAsia="Times New Roman" w:hAnsi="Arial" w:cs="Arial"/>
                <w:b/>
                <w:bCs/>
                <w:sz w:val="20"/>
              </w:rPr>
              <w:t>25.1 – 50.0 %</w:t>
            </w:r>
          </w:p>
        </w:tc>
        <w:tc>
          <w:tcPr>
            <w:tcW w:w="1843" w:type="dxa"/>
            <w:vAlign w:val="center"/>
          </w:tcPr>
          <w:p w14:paraId="2C3E0CE4" w14:textId="6285B41A"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Susceptible (MS)</w:t>
            </w:r>
          </w:p>
        </w:tc>
        <w:tc>
          <w:tcPr>
            <w:tcW w:w="7615" w:type="dxa"/>
          </w:tcPr>
          <w:p w14:paraId="638141B8" w14:textId="3E5B3F88" w:rsidR="009C21C7" w:rsidRPr="00043AFA" w:rsidRDefault="009C21C7" w:rsidP="009C21C7">
            <w:pPr>
              <w:jc w:val="both"/>
              <w:rPr>
                <w:rFonts w:ascii="Arial" w:hAnsi="Arial" w:cs="Arial"/>
                <w:b/>
                <w:sz w:val="20"/>
              </w:rPr>
            </w:pPr>
            <w:r w:rsidRPr="00043AFA">
              <w:rPr>
                <w:rFonts w:ascii="Arial" w:eastAsia="Times New Roman" w:hAnsi="Arial" w:cs="Arial"/>
                <w:sz w:val="20"/>
              </w:rPr>
              <w:t>ACC NO-442, OLC-10, POLF-19, OL-93918-2, NIALI, OLC-20, OLC-51, JLT-27, BAU-4708, OL-98-2-4, OLC-65, OL-98-11-1, OL-98-15-3, OLC-47, RLC-33, EC-41562, LMH-12, RLC-6, RLA-71, LMH-16-5, OLC-7, OL-98-18-4, JRF-5, OL-98-1-1, OLC-4, OLC-49, OL-98-1-2, OLC-16, OL-7-7, OLC-27, RLC-27, OL-98-8-8, SLS-27, OL-98-3-3, OL-98-10-6, OLC-53, LHCK-10, LCH-3707, OL-98-10-5, RLC-3, 1052/RLC-27, LCK-85-23, OL-13K-7, BR-25, GS-205, LMS-9-2K, JSL-95, KARTIKA</w:t>
            </w:r>
          </w:p>
        </w:tc>
        <w:tc>
          <w:tcPr>
            <w:tcW w:w="1207" w:type="dxa"/>
            <w:vAlign w:val="center"/>
          </w:tcPr>
          <w:p w14:paraId="70C32734" w14:textId="4DA1286F" w:rsidR="009C21C7" w:rsidRPr="00043AFA" w:rsidRDefault="009C21C7" w:rsidP="003F5C50">
            <w:pPr>
              <w:jc w:val="center"/>
              <w:rPr>
                <w:rFonts w:ascii="Arial" w:hAnsi="Arial" w:cs="Arial"/>
                <w:b/>
                <w:sz w:val="20"/>
              </w:rPr>
            </w:pPr>
            <w:r w:rsidRPr="00043AFA">
              <w:rPr>
                <w:rFonts w:ascii="Arial" w:eastAsia="Times New Roman" w:hAnsi="Arial" w:cs="Arial"/>
                <w:b/>
                <w:bCs/>
                <w:sz w:val="20"/>
              </w:rPr>
              <w:t>48</w:t>
            </w:r>
          </w:p>
        </w:tc>
      </w:tr>
      <w:tr w:rsidR="009C21C7" w:rsidRPr="00043AFA" w14:paraId="58B9F52D" w14:textId="77777777" w:rsidTr="009C21C7">
        <w:tc>
          <w:tcPr>
            <w:tcW w:w="817" w:type="dxa"/>
            <w:vAlign w:val="center"/>
          </w:tcPr>
          <w:p w14:paraId="76B30FB2"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4E6E1454" w14:textId="3A9916F9" w:rsidR="009C21C7" w:rsidRPr="00043AFA" w:rsidRDefault="009C21C7" w:rsidP="009C21C7">
            <w:pPr>
              <w:jc w:val="center"/>
              <w:rPr>
                <w:rFonts w:ascii="Arial" w:hAnsi="Arial" w:cs="Arial"/>
                <w:b/>
                <w:sz w:val="20"/>
              </w:rPr>
            </w:pPr>
            <w:r w:rsidRPr="00043AFA">
              <w:rPr>
                <w:rFonts w:ascii="Arial" w:eastAsia="Times New Roman" w:hAnsi="Arial" w:cs="Arial"/>
                <w:b/>
                <w:bCs/>
                <w:sz w:val="20"/>
              </w:rPr>
              <w:t>4</w:t>
            </w:r>
          </w:p>
        </w:tc>
        <w:tc>
          <w:tcPr>
            <w:tcW w:w="1842" w:type="dxa"/>
            <w:vAlign w:val="center"/>
          </w:tcPr>
          <w:p w14:paraId="700EAD4F" w14:textId="1E131079" w:rsidR="009C21C7" w:rsidRPr="00043AFA" w:rsidRDefault="009C21C7" w:rsidP="009C21C7">
            <w:pPr>
              <w:jc w:val="both"/>
              <w:rPr>
                <w:rFonts w:ascii="Arial" w:hAnsi="Arial" w:cs="Arial"/>
                <w:b/>
                <w:sz w:val="20"/>
              </w:rPr>
            </w:pPr>
            <w:r w:rsidRPr="00043AFA">
              <w:rPr>
                <w:rFonts w:ascii="Arial" w:eastAsia="Times New Roman" w:hAnsi="Arial" w:cs="Arial"/>
                <w:b/>
                <w:bCs/>
                <w:sz w:val="20"/>
              </w:rPr>
              <w:t>50.1 – 75.0 %</w:t>
            </w:r>
          </w:p>
        </w:tc>
        <w:tc>
          <w:tcPr>
            <w:tcW w:w="1843" w:type="dxa"/>
            <w:vAlign w:val="center"/>
          </w:tcPr>
          <w:p w14:paraId="7E1BA4E2" w14:textId="5C6BA668" w:rsidR="009C21C7" w:rsidRPr="00043AFA" w:rsidRDefault="009C21C7" w:rsidP="009C21C7">
            <w:pPr>
              <w:jc w:val="both"/>
              <w:rPr>
                <w:rFonts w:ascii="Arial" w:hAnsi="Arial" w:cs="Arial"/>
                <w:b/>
                <w:sz w:val="20"/>
              </w:rPr>
            </w:pPr>
            <w:r w:rsidRPr="00043AFA">
              <w:rPr>
                <w:rFonts w:ascii="Arial" w:eastAsia="Times New Roman" w:hAnsi="Arial" w:cs="Arial"/>
                <w:b/>
                <w:bCs/>
                <w:sz w:val="20"/>
              </w:rPr>
              <w:t>Susceptible (S)</w:t>
            </w:r>
          </w:p>
        </w:tc>
        <w:tc>
          <w:tcPr>
            <w:tcW w:w="7615" w:type="dxa"/>
          </w:tcPr>
          <w:p w14:paraId="0591759B" w14:textId="28DBC351" w:rsidR="009C21C7" w:rsidRPr="00043AFA" w:rsidRDefault="009C21C7" w:rsidP="009C21C7">
            <w:pPr>
              <w:jc w:val="both"/>
              <w:rPr>
                <w:rFonts w:ascii="Arial" w:hAnsi="Arial" w:cs="Arial"/>
                <w:b/>
                <w:sz w:val="20"/>
              </w:rPr>
            </w:pPr>
            <w:r w:rsidRPr="00043AFA">
              <w:rPr>
                <w:rFonts w:ascii="Arial" w:eastAsia="Times New Roman" w:hAnsi="Arial" w:cs="Arial"/>
                <w:sz w:val="20"/>
              </w:rPr>
              <w:t>LMH-78, OL-92-4-3, A 95-13, OLC-50, OL-98-4-2, BAU-6104, OL-98-9-4, OL-10-2, PKDL-10, OLC-3, BAULK-2, OL-98-3-2, OLC-12, PCA-2, Chambal, SLS-26, CI-1956, OLC-39, PKDL-8, OL-98-16-5, POLF-29, OL-98-7-2, OLC-40, BAULK-1, Germplasm-1396, TBNL-18, OLC-30, LW-36-3, R-7, LCK-37, LMH-77, LIN-12, LCP-147, LHCH-88062, OL-93-14-3, OLC-60, OL-98-16-4, RLC-71, SPS-72-23-10, LCK-33-1, NML-4, OLC-26, PCA-12, OL-98-4-1, RMH-16-5, OL-98-17-4, OLC-47, OLC-63, LCK-96-27, OL-93418-02, JLT-32, OL-98-3 , RLC-41, MAYURBHANJ LOCAL, CHIPILIMA-3, OLC-1, OLC-111, OL-2-4, RLC-28, LCK-216, ML-926, EC-98026, OL-12K-7, OL-13K-7, DALIMAPUR, T-397, ARPITA, INDIRA ALSI-32</w:t>
            </w:r>
          </w:p>
        </w:tc>
        <w:tc>
          <w:tcPr>
            <w:tcW w:w="1207" w:type="dxa"/>
            <w:vAlign w:val="center"/>
          </w:tcPr>
          <w:p w14:paraId="38596665" w14:textId="11E0C49C" w:rsidR="009C21C7" w:rsidRPr="00043AFA" w:rsidRDefault="009C21C7" w:rsidP="003F5C50">
            <w:pPr>
              <w:jc w:val="center"/>
              <w:rPr>
                <w:rFonts w:ascii="Arial" w:hAnsi="Arial" w:cs="Arial"/>
                <w:b/>
                <w:sz w:val="20"/>
              </w:rPr>
            </w:pPr>
            <w:r w:rsidRPr="00043AFA">
              <w:rPr>
                <w:rFonts w:ascii="Arial" w:eastAsia="Times New Roman" w:hAnsi="Arial" w:cs="Arial"/>
                <w:b/>
                <w:bCs/>
                <w:sz w:val="20"/>
              </w:rPr>
              <w:t>68</w:t>
            </w:r>
          </w:p>
        </w:tc>
      </w:tr>
      <w:tr w:rsidR="009C21C7" w:rsidRPr="00043AFA" w14:paraId="6ECC6BF4" w14:textId="77777777" w:rsidTr="009C21C7">
        <w:tc>
          <w:tcPr>
            <w:tcW w:w="817" w:type="dxa"/>
          </w:tcPr>
          <w:p w14:paraId="05FF7F7B"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35CA4F93" w14:textId="2E0567A9" w:rsidR="009C21C7" w:rsidRPr="00043AFA" w:rsidRDefault="009C21C7" w:rsidP="009C21C7">
            <w:pPr>
              <w:jc w:val="center"/>
              <w:rPr>
                <w:rFonts w:ascii="Arial" w:hAnsi="Arial" w:cs="Arial"/>
                <w:b/>
                <w:sz w:val="20"/>
              </w:rPr>
            </w:pPr>
            <w:r w:rsidRPr="00043AFA">
              <w:rPr>
                <w:rFonts w:ascii="Arial" w:eastAsia="Times New Roman" w:hAnsi="Arial" w:cs="Arial"/>
                <w:b/>
                <w:bCs/>
                <w:sz w:val="20"/>
              </w:rPr>
              <w:t>5</w:t>
            </w:r>
          </w:p>
        </w:tc>
        <w:tc>
          <w:tcPr>
            <w:tcW w:w="1842" w:type="dxa"/>
            <w:vAlign w:val="center"/>
          </w:tcPr>
          <w:p w14:paraId="2D5B9597" w14:textId="206687D4" w:rsidR="009C21C7" w:rsidRPr="00043AFA" w:rsidRDefault="009C21C7" w:rsidP="009C21C7">
            <w:pPr>
              <w:jc w:val="both"/>
              <w:rPr>
                <w:rFonts w:ascii="Arial" w:hAnsi="Arial" w:cs="Arial"/>
                <w:b/>
                <w:sz w:val="20"/>
              </w:rPr>
            </w:pPr>
            <w:r w:rsidRPr="00043AFA">
              <w:rPr>
                <w:rFonts w:ascii="Arial" w:eastAsia="Times New Roman" w:hAnsi="Arial" w:cs="Arial"/>
                <w:b/>
                <w:bCs/>
                <w:sz w:val="20"/>
              </w:rPr>
              <w:t>75.1 – 100 %</w:t>
            </w:r>
          </w:p>
        </w:tc>
        <w:tc>
          <w:tcPr>
            <w:tcW w:w="1843" w:type="dxa"/>
            <w:vAlign w:val="center"/>
          </w:tcPr>
          <w:p w14:paraId="2D869DDE" w14:textId="187583CB" w:rsidR="009C21C7" w:rsidRPr="00043AFA" w:rsidRDefault="009C21C7" w:rsidP="009C21C7">
            <w:pPr>
              <w:jc w:val="both"/>
              <w:rPr>
                <w:rFonts w:ascii="Arial" w:hAnsi="Arial" w:cs="Arial"/>
                <w:b/>
                <w:sz w:val="20"/>
              </w:rPr>
            </w:pPr>
            <w:r w:rsidRPr="00043AFA">
              <w:rPr>
                <w:rFonts w:ascii="Arial" w:eastAsia="Times New Roman" w:hAnsi="Arial" w:cs="Arial"/>
                <w:b/>
                <w:bCs/>
                <w:sz w:val="20"/>
              </w:rPr>
              <w:t>Highly Susceptible (HS)</w:t>
            </w:r>
          </w:p>
        </w:tc>
        <w:tc>
          <w:tcPr>
            <w:tcW w:w="7615" w:type="dxa"/>
          </w:tcPr>
          <w:p w14:paraId="20632996" w14:textId="6F4DC9ED" w:rsidR="009C21C7" w:rsidRPr="00043AFA" w:rsidRDefault="009C21C7" w:rsidP="009C21C7">
            <w:pPr>
              <w:jc w:val="both"/>
              <w:rPr>
                <w:rFonts w:ascii="Arial" w:hAnsi="Arial" w:cs="Arial"/>
                <w:b/>
                <w:sz w:val="20"/>
              </w:rPr>
            </w:pPr>
            <w:r w:rsidRPr="00043AFA">
              <w:rPr>
                <w:rFonts w:ascii="Arial" w:eastAsia="Times New Roman" w:hAnsi="Arial" w:cs="Arial"/>
                <w:sz w:val="20"/>
              </w:rPr>
              <w:t>RLC-2, OL-98-15-4, OL-98-12-2, LCK-153, OL-98-16-1, LCK-213, OLC-54, OL-22-1, LCK-14, OLC-35, OL-2-3, PADMINI, JRF-4, PCA-18, ES-1531, T-397, OL-98-2-3, NL-142, Germplasm-5610, RLC-44, LMH-91-24, OL-3-1, LC-1049, Germplasm-133, OLC-29, OL-98-8-2, OL-92-16-3, OL-98-1-4, LMS-11-98, OL-98-</w:t>
            </w:r>
            <w:r w:rsidRPr="00043AFA">
              <w:rPr>
                <w:rFonts w:ascii="Arial" w:eastAsia="Times New Roman" w:hAnsi="Arial" w:cs="Arial"/>
                <w:sz w:val="20"/>
              </w:rPr>
              <w:lastRenderedPageBreak/>
              <w:t xml:space="preserve">16-2, LC-2279-4, NDL-8805, POLF-15, KL-49-47, TRF-1, OLC-6, OLC-55, OLC-59, OLC-61, OL-3-23, OL-98-8-4, OL-98-8-5, OL-98-18-1, OL-98-12-3, LCK-241, JLP-11, OL-98-7-5, OL-98-16-3, OL-25, OL-98-2-6, R-17, STP-5, ML-48, PLP-1, OL-98-11-2, ML, OL-98-8-6, OL-98-11-4, SUBHADRA, ACC No-1396, OLC-14, EC-41563, NL-9, RLC-29, OLC-64, LCK-9816, NDL-2004-5, LCK-9814, OL-98-4-4, OLC-13, GS-234, H-43, LCK-7002, OL-98-12-1, NEELA, OLC-29, OL-98-5-1, LMS-3-19, OL-98-4-5, OL-98-6-1, PCA-8, OLC-28, BAU-8, OL-98-16-8, OL-92, OLC-56, OL-3-2, OLC-2, RLC-1, KANPUR, LCK-9436, PCA-16, OLC-88, KIRAN, LC-54, PCA-13, OL-2-5, 98-3-1, OL-98-15-1, OL-98-15-6, PCA-7, ML, OL-98-5-2, LCK-8901, OL-4-1 OL-98-8-1 LC-1038 LMS-05-38 OLC-5 LS-23-23 POLF-22 GARIMA, A.2002 1216/JRF-5, LH-2 OLC-38 BAU-2K-20 LIN-2 LMH-42 OL-98-11-2 OLC-19 NL-105 OLC-43 LC-18 LC-1030 LIN-99289 OLC-32 OL-98-2-1 OLC-41 LCK-8132 LMS-63-6 OL-13-4 OL-13-8 OL-13K-9 OL-13K-3 OL-16-1-6 OL-10K-1 B. </w:t>
            </w:r>
            <w:proofErr w:type="spellStart"/>
            <w:r w:rsidRPr="00043AFA">
              <w:rPr>
                <w:rFonts w:ascii="Arial" w:eastAsia="Times New Roman" w:hAnsi="Arial" w:cs="Arial"/>
                <w:sz w:val="20"/>
              </w:rPr>
              <w:t>Ramachandrapur</w:t>
            </w:r>
            <w:proofErr w:type="spellEnd"/>
            <w:r w:rsidRPr="00043AFA">
              <w:rPr>
                <w:rFonts w:ascii="Arial" w:eastAsia="Times New Roman" w:hAnsi="Arial" w:cs="Arial"/>
                <w:sz w:val="20"/>
              </w:rPr>
              <w:t xml:space="preserve"> GS-203 A-98 Bhatia NPRR-492 GS-428 A-199 A-429A A-116</w:t>
            </w:r>
          </w:p>
        </w:tc>
        <w:tc>
          <w:tcPr>
            <w:tcW w:w="1207" w:type="dxa"/>
            <w:vAlign w:val="center"/>
          </w:tcPr>
          <w:p w14:paraId="173F3477" w14:textId="1648785E" w:rsidR="009C21C7" w:rsidRPr="00043AFA" w:rsidRDefault="009C21C7" w:rsidP="003F5C50">
            <w:pPr>
              <w:jc w:val="center"/>
              <w:rPr>
                <w:rFonts w:ascii="Arial" w:hAnsi="Arial" w:cs="Arial"/>
                <w:b/>
                <w:sz w:val="20"/>
              </w:rPr>
            </w:pPr>
            <w:r w:rsidRPr="00043AFA">
              <w:rPr>
                <w:rFonts w:ascii="Arial" w:eastAsia="Times New Roman" w:hAnsi="Arial" w:cs="Arial"/>
                <w:b/>
                <w:bCs/>
                <w:sz w:val="20"/>
              </w:rPr>
              <w:lastRenderedPageBreak/>
              <w:t>146</w:t>
            </w:r>
          </w:p>
        </w:tc>
      </w:tr>
    </w:tbl>
    <w:p w14:paraId="2B39F011" w14:textId="77777777" w:rsidR="009C21C7" w:rsidRPr="00043AFA" w:rsidRDefault="009C21C7" w:rsidP="00514C8B">
      <w:pPr>
        <w:jc w:val="both"/>
        <w:rPr>
          <w:rFonts w:ascii="Arial" w:hAnsi="Arial" w:cs="Arial"/>
          <w:b/>
          <w:sz w:val="20"/>
        </w:rPr>
      </w:pPr>
    </w:p>
    <w:p w14:paraId="5F74F374" w14:textId="77777777" w:rsidR="00E354E5" w:rsidRPr="00043AFA" w:rsidRDefault="00E354E5" w:rsidP="006E0DA5">
      <w:pPr>
        <w:jc w:val="both"/>
        <w:rPr>
          <w:rFonts w:ascii="Arial" w:hAnsi="Arial" w:cs="Arial"/>
          <w:sz w:val="20"/>
          <w:lang w:val="en-IN"/>
        </w:rPr>
      </w:pPr>
    </w:p>
    <w:p w14:paraId="52A44667" w14:textId="77777777" w:rsidR="009C21C7" w:rsidRPr="00043AFA" w:rsidRDefault="009C21C7" w:rsidP="006E0DA5">
      <w:pPr>
        <w:jc w:val="both"/>
        <w:rPr>
          <w:rFonts w:ascii="Arial" w:hAnsi="Arial" w:cs="Arial"/>
          <w:sz w:val="20"/>
          <w:lang w:val="en-IN"/>
        </w:rPr>
        <w:sectPr w:rsidR="009C21C7" w:rsidRPr="00043AFA" w:rsidSect="009C21C7">
          <w:pgSz w:w="16839" w:h="11907" w:orient="landscape" w:code="9"/>
          <w:pgMar w:top="1440" w:right="1440" w:bottom="1440" w:left="1440" w:header="708" w:footer="708" w:gutter="0"/>
          <w:cols w:space="708"/>
          <w:docGrid w:linePitch="360"/>
        </w:sectPr>
      </w:pPr>
    </w:p>
    <w:p w14:paraId="0E05B501" w14:textId="5ECF32B8" w:rsidR="00D02359" w:rsidRPr="00043AFA" w:rsidRDefault="00F12CF2" w:rsidP="009C21C7">
      <w:pPr>
        <w:tabs>
          <w:tab w:val="left" w:pos="3014"/>
        </w:tabs>
        <w:jc w:val="both"/>
        <w:rPr>
          <w:rFonts w:ascii="Arial" w:hAnsi="Arial" w:cs="Arial"/>
          <w:sz w:val="20"/>
          <w:lang w:val="en-IN"/>
        </w:rPr>
      </w:pPr>
      <w:r w:rsidRPr="00043AFA">
        <w:rPr>
          <w:rFonts w:ascii="Arial" w:hAnsi="Arial" w:cs="Arial"/>
          <w:sz w:val="20"/>
          <w:lang w:val="en-IN"/>
        </w:rPr>
        <w:lastRenderedPageBreak/>
        <w:t xml:space="preserve">Powdery </w:t>
      </w:r>
      <w:r w:rsidR="00282440" w:rsidRPr="00043AFA">
        <w:rPr>
          <w:rFonts w:ascii="Arial" w:hAnsi="Arial" w:cs="Arial"/>
          <w:sz w:val="20"/>
          <w:lang w:val="en-IN"/>
        </w:rPr>
        <w:t>mildew score ranged from 0 (immune</w:t>
      </w:r>
      <w:r w:rsidRPr="00043AFA">
        <w:rPr>
          <w:rFonts w:ascii="Arial" w:hAnsi="Arial" w:cs="Arial"/>
          <w:sz w:val="20"/>
          <w:lang w:val="en-IN"/>
        </w:rPr>
        <w:t xml:space="preserve">) to 5 (highly susceptible), </w:t>
      </w:r>
      <w:r w:rsidR="00D02359" w:rsidRPr="00043AFA">
        <w:rPr>
          <w:rFonts w:ascii="Arial" w:hAnsi="Arial" w:cs="Arial"/>
          <w:bCs/>
          <w:sz w:val="20"/>
          <w:lang w:val="en-IN"/>
        </w:rPr>
        <w:t>21</w:t>
      </w:r>
      <w:r w:rsidRPr="00043AFA">
        <w:rPr>
          <w:rFonts w:ascii="Arial" w:hAnsi="Arial" w:cs="Arial"/>
          <w:bCs/>
          <w:sz w:val="20"/>
          <w:lang w:val="en-IN"/>
        </w:rPr>
        <w:t xml:space="preserve"> gen</w:t>
      </w:r>
      <w:r w:rsidR="00282440" w:rsidRPr="00043AFA">
        <w:rPr>
          <w:rFonts w:ascii="Arial" w:hAnsi="Arial" w:cs="Arial"/>
          <w:bCs/>
          <w:sz w:val="20"/>
          <w:lang w:val="en-IN"/>
        </w:rPr>
        <w:t>otypes found highly resistant, 38 genotypes showed resistant, 36</w:t>
      </w:r>
      <w:r w:rsidRPr="00043AFA">
        <w:rPr>
          <w:rFonts w:ascii="Arial" w:hAnsi="Arial" w:cs="Arial"/>
          <w:bCs/>
          <w:sz w:val="20"/>
          <w:lang w:val="en-IN"/>
        </w:rPr>
        <w:t xml:space="preserve"> genotypes come</w:t>
      </w:r>
      <w:r w:rsidR="00282440" w:rsidRPr="00043AFA">
        <w:rPr>
          <w:rFonts w:ascii="Arial" w:hAnsi="Arial" w:cs="Arial"/>
          <w:bCs/>
          <w:sz w:val="20"/>
          <w:lang w:val="en-IN"/>
        </w:rPr>
        <w:t>s under moderately resistant, 48</w:t>
      </w:r>
      <w:r w:rsidRPr="00043AFA">
        <w:rPr>
          <w:rFonts w:ascii="Arial" w:hAnsi="Arial" w:cs="Arial"/>
          <w:bCs/>
          <w:sz w:val="20"/>
          <w:lang w:val="en-IN"/>
        </w:rPr>
        <w:t xml:space="preserve"> genotypes shows </w:t>
      </w:r>
      <w:r w:rsidR="00282440" w:rsidRPr="00043AFA">
        <w:rPr>
          <w:rFonts w:ascii="Arial" w:hAnsi="Arial" w:cs="Arial"/>
          <w:bCs/>
          <w:sz w:val="20"/>
          <w:lang w:val="en-IN"/>
        </w:rPr>
        <w:t>moderately susceptible, 68 gen</w:t>
      </w:r>
      <w:r w:rsidR="003F5888" w:rsidRPr="00043AFA">
        <w:rPr>
          <w:rFonts w:ascii="Arial" w:hAnsi="Arial" w:cs="Arial"/>
          <w:bCs/>
          <w:sz w:val="20"/>
          <w:lang w:val="en-IN"/>
        </w:rPr>
        <w:t>otypes shows susceptible and 145</w:t>
      </w:r>
      <w:r w:rsidRPr="00043AFA">
        <w:rPr>
          <w:rFonts w:ascii="Arial" w:hAnsi="Arial" w:cs="Arial"/>
          <w:bCs/>
          <w:sz w:val="20"/>
          <w:lang w:val="en-IN"/>
        </w:rPr>
        <w:t xml:space="preserve"> genotypes showed highly susceptible</w:t>
      </w:r>
      <w:r w:rsidR="00282440" w:rsidRPr="00043AFA">
        <w:rPr>
          <w:rFonts w:ascii="Arial" w:hAnsi="Arial" w:cs="Arial"/>
          <w:bCs/>
          <w:sz w:val="20"/>
          <w:lang w:val="en-IN"/>
        </w:rPr>
        <w:t xml:space="preserve"> (Table</w:t>
      </w:r>
      <w:r w:rsidR="0037088A" w:rsidRPr="00043AFA">
        <w:rPr>
          <w:rFonts w:ascii="Arial" w:eastAsia="Times New Roman" w:hAnsi="Arial" w:cs="Arial"/>
          <w:sz w:val="20"/>
        </w:rPr>
        <w:t xml:space="preserve"> 3</w:t>
      </w:r>
      <w:r w:rsidR="00282440" w:rsidRPr="00043AFA">
        <w:rPr>
          <w:rFonts w:ascii="Arial" w:eastAsia="Times New Roman" w:hAnsi="Arial" w:cs="Arial"/>
          <w:sz w:val="20"/>
        </w:rPr>
        <w:t>)</w:t>
      </w:r>
      <w:r w:rsidRPr="00043AFA">
        <w:rPr>
          <w:rFonts w:ascii="Arial" w:hAnsi="Arial" w:cs="Arial"/>
          <w:bCs/>
          <w:sz w:val="20"/>
          <w:lang w:val="en-IN"/>
        </w:rPr>
        <w:t xml:space="preserve">. </w:t>
      </w:r>
      <w:r w:rsidRPr="00043AFA">
        <w:rPr>
          <w:rFonts w:ascii="Arial" w:hAnsi="Arial" w:cs="Arial"/>
          <w:sz w:val="20"/>
          <w:lang w:val="en-IN"/>
        </w:rPr>
        <w:t xml:space="preserve">Despite being high susceptible, some test entries produced good yield and showed tolerance to powdery mildew disease. The germplasm lines </w:t>
      </w:r>
      <w:r w:rsidRPr="00043AFA">
        <w:rPr>
          <w:rFonts w:ascii="Arial" w:hAnsi="Arial" w:cs="Arial"/>
          <w:b/>
          <w:bCs/>
          <w:sz w:val="20"/>
          <w:lang w:val="en-IN"/>
        </w:rPr>
        <w:t>(</w:t>
      </w:r>
      <w:r w:rsidR="00282440" w:rsidRPr="00043AFA">
        <w:rPr>
          <w:rFonts w:ascii="Arial" w:eastAsia="Times New Roman" w:hAnsi="Arial" w:cs="Arial"/>
          <w:sz w:val="20"/>
        </w:rPr>
        <w:t>EC-41890, BAU-1892 and OL-93418-1</w:t>
      </w:r>
      <w:r w:rsidRPr="00043AFA">
        <w:rPr>
          <w:rFonts w:ascii="Arial" w:hAnsi="Arial" w:cs="Arial"/>
          <w:b/>
          <w:bCs/>
          <w:sz w:val="20"/>
          <w:lang w:val="en-IN"/>
        </w:rPr>
        <w:t>)</w:t>
      </w:r>
      <w:r w:rsidRPr="00043AFA">
        <w:rPr>
          <w:rFonts w:ascii="Arial" w:hAnsi="Arial" w:cs="Arial"/>
          <w:sz w:val="20"/>
          <w:lang w:val="en-IN"/>
        </w:rPr>
        <w:t xml:space="preserve"> shows high yield and highly resistant to powdery mildew. Highly resistant genotype could be utilized as </w:t>
      </w:r>
      <w:proofErr w:type="spellStart"/>
      <w:r w:rsidRPr="00043AFA">
        <w:rPr>
          <w:rFonts w:ascii="Arial" w:hAnsi="Arial" w:cs="Arial"/>
          <w:sz w:val="20"/>
          <w:lang w:val="en-IN"/>
        </w:rPr>
        <w:t>donar</w:t>
      </w:r>
      <w:proofErr w:type="spellEnd"/>
      <w:r w:rsidRPr="00043AFA">
        <w:rPr>
          <w:rFonts w:ascii="Arial" w:hAnsi="Arial" w:cs="Arial"/>
          <w:sz w:val="20"/>
          <w:lang w:val="en-IN"/>
        </w:rPr>
        <w:t xml:space="preserve"> parent for powdery mildew resistance breeding programme. </w:t>
      </w:r>
      <w:r w:rsidR="000E4A86" w:rsidRPr="00043AFA">
        <w:rPr>
          <w:rFonts w:ascii="Arial" w:eastAsia="Times New Roman" w:hAnsi="Arial" w:cs="Arial"/>
          <w:sz w:val="20"/>
        </w:rPr>
        <w:t xml:space="preserve">                                             </w:t>
      </w:r>
    </w:p>
    <w:p w14:paraId="0BFDB0DF" w14:textId="77777777" w:rsidR="000E4A86" w:rsidRPr="00043AFA" w:rsidRDefault="00D02359" w:rsidP="006E0DA5">
      <w:pPr>
        <w:tabs>
          <w:tab w:val="left" w:pos="7410"/>
        </w:tabs>
        <w:jc w:val="both"/>
        <w:rPr>
          <w:rFonts w:ascii="Arial" w:hAnsi="Arial" w:cs="Arial"/>
          <w:sz w:val="20"/>
          <w:lang w:val="en-IN"/>
        </w:rPr>
      </w:pPr>
      <m:oMath>
        <m:r>
          <m:rPr>
            <m:sty m:val="p"/>
          </m:rPr>
          <w:rPr>
            <w:rFonts w:ascii="Cambria Math" w:eastAsia="Times New Roman" w:hAnsi="Cambria Math" w:cs="Arial"/>
            <w:sz w:val="20"/>
          </w:rPr>
          <m:t xml:space="preserve">Percentage Disease Index </m:t>
        </m:r>
        <m:d>
          <m:dPr>
            <m:ctrlPr>
              <w:rPr>
                <w:rFonts w:ascii="Cambria Math" w:eastAsia="Times New Roman" w:hAnsi="Cambria Math" w:cs="Arial"/>
                <w:sz w:val="20"/>
              </w:rPr>
            </m:ctrlPr>
          </m:dPr>
          <m:e>
            <m:r>
              <m:rPr>
                <m:sty m:val="p"/>
              </m:rPr>
              <w:rPr>
                <w:rFonts w:ascii="Cambria Math" w:eastAsia="Times New Roman" w:hAnsi="Cambria Math" w:cs="Arial"/>
                <w:sz w:val="20"/>
              </w:rPr>
              <m:t>PDI</m:t>
            </m:r>
          </m:e>
        </m:d>
        <m:r>
          <m:rPr>
            <m:sty m:val="p"/>
          </m:rPr>
          <w:rPr>
            <w:rFonts w:ascii="Cambria Math" w:eastAsia="Times New Roman" w:hAnsi="Cambria Math" w:cs="Arial"/>
            <w:sz w:val="20"/>
          </w:rPr>
          <m:t>=</m:t>
        </m:r>
        <m:f>
          <m:fPr>
            <m:ctrlPr>
              <w:rPr>
                <w:rFonts w:ascii="Cambria Math" w:eastAsia="Times New Roman" w:hAnsi="Cambria Math" w:cs="Arial"/>
                <w:sz w:val="20"/>
              </w:rPr>
            </m:ctrlPr>
          </m:fPr>
          <m:num>
            <m:r>
              <m:rPr>
                <m:sty m:val="p"/>
              </m:rPr>
              <w:rPr>
                <w:rFonts w:ascii="Cambria Math" w:eastAsia="Times New Roman" w:hAnsi="Cambria Math" w:cs="Arial"/>
                <w:sz w:val="20"/>
              </w:rPr>
              <m:t xml:space="preserve"> Infected plant × score of particular lines</m:t>
            </m:r>
          </m:num>
          <m:den>
            <m:r>
              <m:rPr>
                <m:sty m:val="p"/>
              </m:rPr>
              <w:rPr>
                <w:rFonts w:ascii="Cambria Math" w:eastAsia="Times New Roman" w:hAnsi="Cambria Math" w:cs="Arial"/>
                <w:sz w:val="20"/>
              </w:rPr>
              <m:t xml:space="preserve">Total number of plant × </m:t>
            </m:r>
            <m:func>
              <m:funcPr>
                <m:ctrlPr>
                  <w:rPr>
                    <w:rFonts w:ascii="Cambria Math" w:eastAsia="Times New Roman" w:hAnsi="Cambria Math" w:cs="Arial"/>
                    <w:sz w:val="20"/>
                  </w:rPr>
                </m:ctrlPr>
              </m:funcPr>
              <m:fName>
                <m:r>
                  <m:rPr>
                    <m:sty m:val="p"/>
                  </m:rPr>
                  <w:rPr>
                    <w:rFonts w:ascii="Cambria Math" w:eastAsia="Times New Roman" w:hAnsi="Cambria Math" w:cs="Arial"/>
                    <w:sz w:val="20"/>
                  </w:rPr>
                  <m:t>max</m:t>
                </m:r>
              </m:fName>
              <m:e>
                <m:r>
                  <m:rPr>
                    <m:sty m:val="p"/>
                  </m:rPr>
                  <w:rPr>
                    <w:rFonts w:ascii="Cambria Math" w:eastAsia="Times New Roman" w:hAnsi="Cambria Math" w:cs="Arial"/>
                    <w:sz w:val="20"/>
                  </w:rPr>
                  <m:t>score</m:t>
                </m:r>
              </m:e>
            </m:func>
          </m:den>
        </m:f>
        <m:r>
          <m:rPr>
            <m:sty m:val="p"/>
          </m:rPr>
          <w:rPr>
            <w:rFonts w:ascii="Cambria Math" w:eastAsia="Times New Roman" w:hAnsi="Cambria Math" w:cs="Arial"/>
            <w:sz w:val="20"/>
          </w:rPr>
          <m:t>×100</m:t>
        </m:r>
      </m:oMath>
      <w:r w:rsidR="000E4A86" w:rsidRPr="00043AFA">
        <w:rPr>
          <w:rFonts w:ascii="Arial" w:hAnsi="Arial" w:cs="Arial"/>
          <w:sz w:val="20"/>
          <w:lang w:val="en-IN"/>
        </w:rPr>
        <w:t xml:space="preserve"> </w:t>
      </w:r>
    </w:p>
    <w:p w14:paraId="1E7715C2" w14:textId="77777777" w:rsidR="00CF5391" w:rsidRPr="00043AFA" w:rsidRDefault="00CF5391" w:rsidP="006E0DA5">
      <w:pPr>
        <w:jc w:val="both"/>
        <w:rPr>
          <w:rFonts w:ascii="Arial" w:hAnsi="Arial" w:cs="Arial"/>
          <w:sz w:val="20"/>
          <w:lang w:val="en-IN"/>
        </w:rPr>
      </w:pPr>
    </w:p>
    <w:p w14:paraId="598A7689" w14:textId="20486AB7" w:rsidR="00CF5391" w:rsidRPr="00043AFA" w:rsidRDefault="00CF5391" w:rsidP="006E0DA5">
      <w:pPr>
        <w:jc w:val="both"/>
        <w:rPr>
          <w:rFonts w:ascii="Arial" w:hAnsi="Arial" w:cs="Arial"/>
          <w:b/>
          <w:sz w:val="20"/>
          <w:lang w:val="en-IN"/>
        </w:rPr>
      </w:pPr>
      <w:r w:rsidRPr="00043AFA">
        <w:rPr>
          <w:rFonts w:ascii="Arial" w:hAnsi="Arial" w:cs="Arial"/>
          <w:b/>
          <w:noProof/>
          <w:sz w:val="20"/>
          <w:lang w:val="en-IN" w:eastAsia="en-IN" w:bidi="ar-SA"/>
        </w:rPr>
        <w:drawing>
          <wp:anchor distT="0" distB="0" distL="114300" distR="114300" simplePos="0" relativeHeight="251658240" behindDoc="1" locked="0" layoutInCell="1" allowOverlap="1" wp14:anchorId="5CE4FCC3" wp14:editId="57C1BB13">
            <wp:simplePos x="0" y="0"/>
            <wp:positionH relativeFrom="column">
              <wp:posOffset>19050</wp:posOffset>
            </wp:positionH>
            <wp:positionV relativeFrom="paragraph">
              <wp:posOffset>-64135</wp:posOffset>
            </wp:positionV>
            <wp:extent cx="5721985" cy="3593465"/>
            <wp:effectExtent l="19050" t="0" r="0" b="0"/>
            <wp:wrapThrough wrapText="bothSides">
              <wp:wrapPolygon edited="0">
                <wp:start x="-72" y="0"/>
                <wp:lineTo x="-72" y="21527"/>
                <wp:lineTo x="21574" y="21527"/>
                <wp:lineTo x="21574" y="0"/>
                <wp:lineTo x="-72" y="0"/>
              </wp:wrapPolygon>
            </wp:wrapThrough>
            <wp:docPr id="7" name="Picture 2" descr="G:\PHOTO P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HOTO PDI.png"/>
                    <pic:cNvPicPr>
                      <a:picLocks noChangeAspect="1" noChangeArrowheads="1"/>
                    </pic:cNvPicPr>
                  </pic:nvPicPr>
                  <pic:blipFill>
                    <a:blip r:embed="rId13"/>
                    <a:srcRect l="4825" t="5377" r="4555" b="4563"/>
                    <a:stretch>
                      <a:fillRect/>
                    </a:stretch>
                  </pic:blipFill>
                  <pic:spPr bwMode="auto">
                    <a:xfrm>
                      <a:off x="0" y="0"/>
                      <a:ext cx="5721985" cy="3593465"/>
                    </a:xfrm>
                    <a:prstGeom prst="rect">
                      <a:avLst/>
                    </a:prstGeom>
                    <a:noFill/>
                    <a:ln w="9525">
                      <a:noFill/>
                      <a:miter lim="800000"/>
                      <a:headEnd/>
                      <a:tailEnd/>
                    </a:ln>
                  </pic:spPr>
                </pic:pic>
              </a:graphicData>
            </a:graphic>
          </wp:anchor>
        </w:drawing>
      </w:r>
      <w:r w:rsidR="00681D78" w:rsidRPr="00043AFA">
        <w:rPr>
          <w:rFonts w:ascii="Arial" w:hAnsi="Arial" w:cs="Arial"/>
          <w:b/>
          <w:sz w:val="20"/>
          <w:lang w:val="en-IN"/>
        </w:rPr>
        <w:t>Fig.</w:t>
      </w:r>
      <w:r w:rsidR="00681D78" w:rsidRPr="00043AFA">
        <w:rPr>
          <w:rFonts w:ascii="Arial" w:eastAsia="Times New Roman" w:hAnsi="Arial" w:cs="Arial"/>
          <w:b/>
          <w:sz w:val="20"/>
        </w:rPr>
        <w:t xml:space="preserve"> 1.</w:t>
      </w:r>
      <w:r w:rsidR="00514C8B" w:rsidRPr="00043AFA">
        <w:rPr>
          <w:rFonts w:ascii="Arial" w:eastAsia="Times New Roman" w:hAnsi="Arial" w:cs="Arial"/>
          <w:b/>
          <w:sz w:val="20"/>
        </w:rPr>
        <w:t xml:space="preserve"> P</w:t>
      </w:r>
      <w:r w:rsidRPr="00043AFA">
        <w:rPr>
          <w:rFonts w:ascii="Arial" w:eastAsia="Times New Roman" w:hAnsi="Arial" w:cs="Arial"/>
          <w:b/>
          <w:sz w:val="20"/>
        </w:rPr>
        <w:t xml:space="preserve">lotted graph of Ranged Percentage Disease Index (PDI) along with total number of germplasm used for </w:t>
      </w:r>
      <w:r w:rsidR="0037088A" w:rsidRPr="00043AFA">
        <w:rPr>
          <w:rFonts w:ascii="Arial" w:eastAsia="Times New Roman" w:hAnsi="Arial" w:cs="Arial"/>
          <w:b/>
          <w:sz w:val="20"/>
        </w:rPr>
        <w:t xml:space="preserve">the </w:t>
      </w:r>
      <w:r w:rsidRPr="00043AFA">
        <w:rPr>
          <w:rFonts w:ascii="Arial" w:eastAsia="Times New Roman" w:hAnsi="Arial" w:cs="Arial"/>
          <w:b/>
          <w:sz w:val="20"/>
        </w:rPr>
        <w:t>stud</w:t>
      </w:r>
      <w:r w:rsidR="0037088A" w:rsidRPr="00043AFA">
        <w:rPr>
          <w:rFonts w:ascii="Arial" w:eastAsia="Times New Roman" w:hAnsi="Arial" w:cs="Arial"/>
          <w:b/>
          <w:sz w:val="20"/>
        </w:rPr>
        <w:t>y</w:t>
      </w:r>
    </w:p>
    <w:p w14:paraId="2FF2556A" w14:textId="77777777" w:rsidR="00CF5391" w:rsidRPr="00043AFA" w:rsidRDefault="00CF5391" w:rsidP="006E0DA5">
      <w:pPr>
        <w:jc w:val="both"/>
        <w:rPr>
          <w:rFonts w:ascii="Arial" w:hAnsi="Arial" w:cs="Arial"/>
          <w:sz w:val="20"/>
          <w:lang w:val="en-IN"/>
        </w:rPr>
      </w:pPr>
      <w:r w:rsidRPr="00043AFA">
        <w:rPr>
          <w:rFonts w:ascii="Arial" w:hAnsi="Arial" w:cs="Arial"/>
          <w:sz w:val="20"/>
          <w:lang w:val="en-IN"/>
        </w:rPr>
        <w:t xml:space="preserve">                                                                                                                 </w:t>
      </w:r>
    </w:p>
    <w:p w14:paraId="6797710D" w14:textId="77777777" w:rsidR="00420DC1" w:rsidRPr="00043AFA" w:rsidRDefault="00D02359" w:rsidP="006E0DA5">
      <w:pPr>
        <w:jc w:val="both"/>
        <w:rPr>
          <w:rFonts w:ascii="Arial" w:hAnsi="Arial" w:cs="Arial"/>
          <w:sz w:val="20"/>
          <w:lang w:val="en-IN"/>
        </w:rPr>
      </w:pPr>
      <w:r w:rsidRPr="00043AFA">
        <w:rPr>
          <w:rFonts w:ascii="Arial" w:hAnsi="Arial" w:cs="Arial"/>
          <w:sz w:val="20"/>
          <w:lang w:val="en-IN"/>
        </w:rPr>
        <w:t xml:space="preserve">From the </w:t>
      </w:r>
      <w:r w:rsidR="00681D78" w:rsidRPr="00043AFA">
        <w:rPr>
          <w:rFonts w:ascii="Arial" w:hAnsi="Arial" w:cs="Arial"/>
          <w:sz w:val="20"/>
          <w:lang w:val="en-IN"/>
        </w:rPr>
        <w:t>Fig. 1</w:t>
      </w:r>
      <w:r w:rsidR="00CB7473" w:rsidRPr="00043AFA">
        <w:rPr>
          <w:rFonts w:ascii="Arial" w:eastAsia="Times New Roman" w:hAnsi="Arial" w:cs="Arial"/>
          <w:sz w:val="20"/>
        </w:rPr>
        <w:t>, we have found that 48 number of germplasm are resistant which will be used for the breeding process.</w:t>
      </w:r>
      <w:r w:rsidR="00CB7473" w:rsidRPr="00043AFA">
        <w:rPr>
          <w:rFonts w:ascii="Arial" w:hAnsi="Arial" w:cs="Arial"/>
          <w:sz w:val="20"/>
          <w:lang w:val="en-IN"/>
        </w:rPr>
        <w:t xml:space="preserve"> </w:t>
      </w:r>
      <w:r w:rsidR="00F12CF2" w:rsidRPr="00043AFA">
        <w:rPr>
          <w:rFonts w:ascii="Arial" w:hAnsi="Arial" w:cs="Arial"/>
          <w:sz w:val="20"/>
          <w:lang w:val="en-IN"/>
        </w:rPr>
        <w:t>The results are based on screening under natural field conditions. Environmental factors such as humidity, temperature or light can influence development of the diseases possibly explaining these differences in scores. So, the resistant genotypes need to be evaluated under artificial conditions to confirm the resistance before using them in breeding programme. The success of breeding programme is primarily depend on genetic variation availability in the breeding material.</w:t>
      </w:r>
      <w:r w:rsidR="003F5888" w:rsidRPr="00043AFA">
        <w:rPr>
          <w:rFonts w:ascii="Arial" w:hAnsi="Arial" w:cs="Arial"/>
          <w:sz w:val="20"/>
          <w:lang w:val="en-IN"/>
        </w:rPr>
        <w:t xml:space="preserve"> </w:t>
      </w:r>
      <w:r w:rsidR="00F12CF2" w:rsidRPr="00043AFA">
        <w:rPr>
          <w:rFonts w:ascii="Arial" w:hAnsi="Arial" w:cs="Arial"/>
          <w:sz w:val="20"/>
          <w:lang w:val="en-IN"/>
        </w:rPr>
        <w:t>In</w:t>
      </w:r>
      <w:r w:rsidR="00CB61C1" w:rsidRPr="00043AFA">
        <w:rPr>
          <w:rFonts w:ascii="Arial" w:hAnsi="Arial" w:cs="Arial"/>
          <w:sz w:val="20"/>
          <w:lang w:val="en-IN"/>
        </w:rPr>
        <w:t xml:space="preserve"> </w:t>
      </w:r>
      <w:r w:rsidR="00F12CF2" w:rsidRPr="00043AFA">
        <w:rPr>
          <w:rFonts w:ascii="Arial" w:hAnsi="Arial" w:cs="Arial"/>
          <w:sz w:val="20"/>
          <w:lang w:val="en-IN"/>
        </w:rPr>
        <w:t xml:space="preserve">spite of several diverse linseed accessions having been collected, only a few </w:t>
      </w:r>
      <w:r w:rsidR="003F5888" w:rsidRPr="00043AFA">
        <w:rPr>
          <w:rFonts w:ascii="Arial" w:hAnsi="Arial" w:cs="Arial"/>
          <w:sz w:val="20"/>
          <w:lang w:val="en-IN"/>
        </w:rPr>
        <w:t xml:space="preserve">will be chosen for </w:t>
      </w:r>
      <w:r w:rsidR="00F12CF2" w:rsidRPr="00043AFA">
        <w:rPr>
          <w:rFonts w:ascii="Arial" w:hAnsi="Arial" w:cs="Arial"/>
          <w:sz w:val="20"/>
          <w:lang w:val="en-IN"/>
        </w:rPr>
        <w:t xml:space="preserve">cultivar development programme. The germplasm is the prime source for resistance to diseases and insect pest. Plant breeders need to explore the nature of disease resistance and identify additional resistance genes from new sources. Therefore, this research work helps in developing varieties resistant to powdery mildew to stabilize the yield potentials of linseed varieties. </w:t>
      </w:r>
    </w:p>
    <w:p w14:paraId="70ABA136" w14:textId="08DEC8E3" w:rsidR="00420DC1" w:rsidRPr="00043AFA" w:rsidRDefault="00420DC1" w:rsidP="006E0DA5">
      <w:pPr>
        <w:jc w:val="both"/>
        <w:rPr>
          <w:rFonts w:ascii="Arial" w:hAnsi="Arial" w:cs="Arial"/>
          <w:sz w:val="20"/>
          <w:lang w:val="en-IN"/>
        </w:rPr>
      </w:pPr>
      <w:r w:rsidRPr="00043AFA">
        <w:rPr>
          <w:rFonts w:ascii="Arial" w:hAnsi="Arial" w:cs="Arial"/>
          <w:sz w:val="20"/>
          <w:lang w:val="en-IN"/>
        </w:rPr>
        <w:tab/>
      </w:r>
      <w:r w:rsidR="003F5888" w:rsidRPr="00043AFA">
        <w:rPr>
          <w:rFonts w:ascii="Arial" w:hAnsi="Arial" w:cs="Arial"/>
          <w:color w:val="000000"/>
          <w:sz w:val="20"/>
        </w:rPr>
        <w:t>This study evaluated powdery mildew resistance in</w:t>
      </w:r>
      <w:r w:rsidR="00E53FE9" w:rsidRPr="00043AFA">
        <w:rPr>
          <w:rFonts w:ascii="Arial" w:hAnsi="Arial" w:cs="Arial"/>
          <w:color w:val="000000"/>
          <w:sz w:val="20"/>
        </w:rPr>
        <w:t xml:space="preserve"> </w:t>
      </w:r>
      <w:r w:rsidR="003F5888" w:rsidRPr="00043AFA">
        <w:rPr>
          <w:rFonts w:ascii="Arial" w:hAnsi="Arial" w:cs="Arial"/>
          <w:color w:val="000000"/>
          <w:sz w:val="20"/>
        </w:rPr>
        <w:t xml:space="preserve">linseed germplasm, revealing significant genetic variability that can be harnessed for breeding. The germplasm exhibited a wide range of disease reactions under natural field conditions, categorized from immune to highly susceptible. </w:t>
      </w:r>
      <w:r w:rsidR="003F5888" w:rsidRPr="00043AFA">
        <w:rPr>
          <w:rFonts w:ascii="Arial" w:hAnsi="Arial" w:cs="Arial"/>
          <w:color w:val="000000"/>
          <w:sz w:val="20"/>
        </w:rPr>
        <w:lastRenderedPageBreak/>
        <w:t>Notably, 21 lines were immune (0% infection)</w:t>
      </w:r>
      <w:r w:rsidR="00C24A77" w:rsidRPr="00043AFA">
        <w:rPr>
          <w:rFonts w:ascii="Arial" w:hAnsi="Arial" w:cs="Arial"/>
          <w:color w:val="000000"/>
          <w:sz w:val="20"/>
        </w:rPr>
        <w:t xml:space="preserve"> those are (</w:t>
      </w:r>
      <w:r w:rsidR="00C24A77" w:rsidRPr="00043AFA">
        <w:rPr>
          <w:rFonts w:ascii="Arial" w:eastAsia="Times New Roman" w:hAnsi="Arial" w:cs="Arial"/>
          <w:bCs/>
          <w:sz w:val="20"/>
        </w:rPr>
        <w:t xml:space="preserve">EC-41890, OL-1-3, P-650, LCK-206, BAU-1892, OL-93418-1, LC-1009, </w:t>
      </w:r>
      <w:proofErr w:type="spellStart"/>
      <w:r w:rsidR="00C24A77" w:rsidRPr="00043AFA">
        <w:rPr>
          <w:rFonts w:ascii="Arial" w:eastAsia="Times New Roman" w:hAnsi="Arial" w:cs="Arial"/>
          <w:bCs/>
          <w:sz w:val="20"/>
        </w:rPr>
        <w:t>Chipilima</w:t>
      </w:r>
      <w:proofErr w:type="spellEnd"/>
      <w:r w:rsidR="00C24A77" w:rsidRPr="00043AFA">
        <w:rPr>
          <w:rFonts w:ascii="Arial" w:eastAsia="Times New Roman" w:hAnsi="Arial" w:cs="Arial"/>
          <w:bCs/>
          <w:sz w:val="20"/>
        </w:rPr>
        <w:t xml:space="preserve">, OLC-34, ES-44, OL-2-7, LHCK-82, OLC-31, LCK-9733, OLC-21, OL-19-11, LCK-119, NL-129, OL-98-5-3, </w:t>
      </w:r>
      <w:proofErr w:type="spellStart"/>
      <w:r w:rsidR="00C24A77" w:rsidRPr="00043AFA">
        <w:rPr>
          <w:rFonts w:ascii="Arial" w:eastAsia="Times New Roman" w:hAnsi="Arial" w:cs="Arial"/>
          <w:bCs/>
          <w:sz w:val="20"/>
        </w:rPr>
        <w:t>Bholagadia</w:t>
      </w:r>
      <w:proofErr w:type="spellEnd"/>
      <w:r w:rsidR="00C24A77" w:rsidRPr="00043AFA">
        <w:rPr>
          <w:rFonts w:ascii="Arial" w:eastAsia="Times New Roman" w:hAnsi="Arial" w:cs="Arial"/>
          <w:bCs/>
          <w:sz w:val="20"/>
        </w:rPr>
        <w:t xml:space="preserve">, </w:t>
      </w:r>
      <w:proofErr w:type="spellStart"/>
      <w:r w:rsidR="00C24A77" w:rsidRPr="00043AFA">
        <w:rPr>
          <w:rFonts w:ascii="Arial" w:eastAsia="Times New Roman" w:hAnsi="Arial" w:cs="Arial"/>
          <w:bCs/>
          <w:sz w:val="20"/>
        </w:rPr>
        <w:t>Dhaladihi</w:t>
      </w:r>
      <w:proofErr w:type="spellEnd"/>
      <w:r w:rsidR="00C24A77" w:rsidRPr="00043AFA">
        <w:rPr>
          <w:rFonts w:ascii="Arial" w:hAnsi="Arial" w:cs="Arial"/>
          <w:color w:val="000000"/>
          <w:sz w:val="20"/>
        </w:rPr>
        <w:t>)</w:t>
      </w:r>
      <w:r w:rsidR="003F5888" w:rsidRPr="00043AFA">
        <w:rPr>
          <w:rFonts w:ascii="Arial" w:hAnsi="Arial" w:cs="Arial"/>
          <w:color w:val="000000"/>
          <w:sz w:val="20"/>
        </w:rPr>
        <w:t xml:space="preserve"> and 37 were resistant (1–10% infection), offering potential donor material for resistance breeding. While </w:t>
      </w:r>
      <w:r w:rsidR="003F5888" w:rsidRPr="00043AFA">
        <w:rPr>
          <w:rFonts w:ascii="Arial" w:hAnsi="Arial" w:cs="Arial"/>
          <w:sz w:val="20"/>
        </w:rPr>
        <w:t>145</w:t>
      </w:r>
      <w:r w:rsidR="003F5888" w:rsidRPr="00043AFA">
        <w:rPr>
          <w:rFonts w:ascii="Arial" w:hAnsi="Arial" w:cs="Arial"/>
          <w:color w:val="000000"/>
          <w:sz w:val="20"/>
        </w:rPr>
        <w:t> lines were highly susceptible</w:t>
      </w:r>
      <w:r w:rsidR="006139A7" w:rsidRPr="00043AFA">
        <w:rPr>
          <w:rFonts w:ascii="Arial" w:hAnsi="Arial" w:cs="Arial"/>
          <w:sz w:val="20"/>
        </w:rPr>
        <w:t xml:space="preserve"> </w:t>
      </w:r>
      <w:r w:rsidR="00681D78" w:rsidRPr="00043AFA">
        <w:rPr>
          <w:rFonts w:ascii="Arial" w:hAnsi="Arial" w:cs="Arial"/>
          <w:sz w:val="20"/>
        </w:rPr>
        <w:t xml:space="preserve">(Table </w:t>
      </w:r>
      <w:r w:rsidR="004B2329">
        <w:rPr>
          <w:rFonts w:ascii="Arial" w:hAnsi="Arial" w:cs="Arial"/>
          <w:sz w:val="20"/>
        </w:rPr>
        <w:t>3</w:t>
      </w:r>
      <w:r w:rsidR="006139A7" w:rsidRPr="00043AFA">
        <w:rPr>
          <w:rFonts w:ascii="Arial" w:hAnsi="Arial" w:cs="Arial"/>
          <w:sz w:val="20"/>
        </w:rPr>
        <w:t>)</w:t>
      </w:r>
      <w:r w:rsidR="003F5888" w:rsidRPr="00043AFA">
        <w:rPr>
          <w:rFonts w:ascii="Arial" w:hAnsi="Arial" w:cs="Arial"/>
          <w:color w:val="000000"/>
          <w:sz w:val="20"/>
        </w:rPr>
        <w:t>, some demonstrated good yield, indicating partial tolerance mechanisms. The variability observed highlights the influence of environmental factors, such as humidity and temperature, on disease development.</w:t>
      </w:r>
      <w:r w:rsidR="00910995" w:rsidRPr="00043AFA">
        <w:rPr>
          <w:rFonts w:ascii="Arial" w:eastAsia="Times New Roman" w:hAnsi="Arial" w:cs="Arial"/>
          <w:sz w:val="20"/>
        </w:rPr>
        <w:t xml:space="preserve"> Finding analogous to these were reported by </w:t>
      </w:r>
      <w:r w:rsidR="00910995" w:rsidRPr="00043AFA">
        <w:rPr>
          <w:rFonts w:ascii="Arial" w:eastAsia="Times New Roman" w:hAnsi="Arial" w:cs="Arial"/>
          <w:bCs/>
          <w:sz w:val="20"/>
        </w:rPr>
        <w:t xml:space="preserve">Ajithkumar </w:t>
      </w:r>
      <w:r w:rsidR="00910995" w:rsidRPr="00043AFA">
        <w:rPr>
          <w:rFonts w:ascii="Arial" w:eastAsia="Times New Roman" w:hAnsi="Arial" w:cs="Arial"/>
          <w:bCs/>
          <w:i/>
          <w:iCs/>
          <w:sz w:val="20"/>
        </w:rPr>
        <w:t>et al.</w:t>
      </w:r>
      <w:r w:rsidR="00910995" w:rsidRPr="00043AFA">
        <w:rPr>
          <w:rFonts w:ascii="Arial" w:eastAsia="Times New Roman" w:hAnsi="Arial" w:cs="Arial"/>
          <w:bCs/>
          <w:sz w:val="20"/>
        </w:rPr>
        <w:t xml:space="preserve"> (2020)</w:t>
      </w:r>
      <w:r w:rsidR="00910995" w:rsidRPr="00043AFA">
        <w:rPr>
          <w:rFonts w:ascii="Arial" w:eastAsia="Times New Roman" w:hAnsi="Arial" w:cs="Arial"/>
          <w:sz w:val="20"/>
        </w:rPr>
        <w:t xml:space="preserve">. In the categorization of linseed germplasm based on reaction to powdery mildew, different germplasm lines exhibit varying degrees of disease resistance, which can be attributed to their genetic makeup, environmental interactions, and possibly their physiological responses to the pathogen. Similar conclusion was drawn by </w:t>
      </w:r>
      <w:proofErr w:type="spellStart"/>
      <w:r w:rsidR="00910995" w:rsidRPr="00043AFA">
        <w:rPr>
          <w:rFonts w:ascii="Arial" w:eastAsia="Times New Roman" w:hAnsi="Arial" w:cs="Arial"/>
          <w:bCs/>
          <w:sz w:val="20"/>
        </w:rPr>
        <w:t>Dhirhi</w:t>
      </w:r>
      <w:proofErr w:type="spellEnd"/>
      <w:r w:rsidR="00910995" w:rsidRPr="00043AFA">
        <w:rPr>
          <w:rFonts w:ascii="Arial" w:eastAsia="Times New Roman" w:hAnsi="Arial" w:cs="Arial"/>
          <w:bCs/>
          <w:sz w:val="20"/>
        </w:rPr>
        <w:t xml:space="preserve"> </w:t>
      </w:r>
      <w:r w:rsidR="00910995" w:rsidRPr="00043AFA">
        <w:rPr>
          <w:rFonts w:ascii="Arial" w:eastAsia="Times New Roman" w:hAnsi="Arial" w:cs="Arial"/>
          <w:bCs/>
          <w:i/>
          <w:iCs/>
          <w:sz w:val="20"/>
        </w:rPr>
        <w:t>et al.</w:t>
      </w:r>
      <w:r w:rsidR="00910995" w:rsidRPr="00043AFA">
        <w:rPr>
          <w:rFonts w:ascii="Arial" w:eastAsia="Times New Roman" w:hAnsi="Arial" w:cs="Arial"/>
          <w:bCs/>
          <w:sz w:val="20"/>
        </w:rPr>
        <w:t xml:space="preserve"> (2017) </w:t>
      </w:r>
      <w:r w:rsidR="00910995" w:rsidRPr="00043AFA">
        <w:rPr>
          <w:rFonts w:ascii="Arial" w:eastAsia="Times New Roman" w:hAnsi="Arial" w:cs="Arial"/>
          <w:sz w:val="20"/>
        </w:rPr>
        <w:t xml:space="preserve">in their investigation. </w:t>
      </w:r>
      <w:r w:rsidR="003F5888" w:rsidRPr="00043AFA">
        <w:rPr>
          <w:rFonts w:ascii="Arial" w:hAnsi="Arial" w:cs="Arial"/>
          <w:color w:val="000000"/>
          <w:sz w:val="20"/>
        </w:rPr>
        <w:t xml:space="preserve"> This emphasizes the need for further validation of resistant genotypes under controlled conditions to confirm stability and ensure their effective use in breeding programs. Resistant and moderately resistant lines identified in this study are crucial for developing powdery mildew-resistant and high-yielding linseed varieties, addressing a major biotic co</w:t>
      </w:r>
      <w:r w:rsidR="00A75692" w:rsidRPr="00043AFA">
        <w:rPr>
          <w:rFonts w:ascii="Arial" w:hAnsi="Arial" w:cs="Arial"/>
          <w:color w:val="000000"/>
          <w:sz w:val="20"/>
        </w:rPr>
        <w:t>nstraint in linseed production.</w:t>
      </w:r>
    </w:p>
    <w:p w14:paraId="04ED84A8" w14:textId="0354980C" w:rsidR="003F5888" w:rsidRPr="00043AFA" w:rsidRDefault="00420DC1" w:rsidP="006E0DA5">
      <w:pPr>
        <w:jc w:val="both"/>
        <w:rPr>
          <w:rFonts w:ascii="Arial" w:hAnsi="Arial" w:cs="Arial"/>
          <w:color w:val="000000"/>
          <w:sz w:val="20"/>
        </w:rPr>
      </w:pPr>
      <w:r w:rsidRPr="00043AFA">
        <w:rPr>
          <w:rFonts w:ascii="Arial" w:hAnsi="Arial" w:cs="Arial"/>
          <w:color w:val="000000"/>
          <w:sz w:val="20"/>
        </w:rPr>
        <w:tab/>
      </w:r>
      <w:r w:rsidR="003F5888" w:rsidRPr="00043AFA">
        <w:rPr>
          <w:rFonts w:ascii="Arial" w:hAnsi="Arial" w:cs="Arial"/>
          <w:color w:val="000000"/>
          <w:sz w:val="20"/>
        </w:rPr>
        <w:t>This study, while significant, has some limitations. The reliance on natural field conditions introduced variability in disease expression due to environmental factors like humidity, temperature, and rainfall, which may have influenced the assessment of resistance. Additionally, the lack of artificial inoculation under controlled conditions limits the ability to confirm the stability of resistance across different environments. The genetic basis of resistance was not explored, leaving the specific genes or quantitative trait loci (QTLs) associated with powdery mildew resistance unidentified. The study also focused solely on powdery mildew, neglecting the potential for resistance to other major diseases affecting linseed. Furthermore, while some high-yielding genotypes showed tolerance to the disease despite high susceptibility, the mechanisms behind this tolerance were not examined, leaving a gap in understanding yield–resistance interactions.</w:t>
      </w:r>
    </w:p>
    <w:p w14:paraId="4B9D7633" w14:textId="711379F8" w:rsidR="003F5888" w:rsidRPr="00043AFA" w:rsidRDefault="00912629" w:rsidP="006E0DA5">
      <w:pPr>
        <w:pStyle w:val="ListParagraph"/>
        <w:numPr>
          <w:ilvl w:val="0"/>
          <w:numId w:val="22"/>
        </w:numPr>
        <w:jc w:val="both"/>
        <w:rPr>
          <w:rFonts w:ascii="Arial" w:hAnsi="Arial" w:cs="Arial"/>
          <w:b/>
          <w:color w:val="000000"/>
          <w:sz w:val="20"/>
        </w:rPr>
      </w:pPr>
      <w:r w:rsidRPr="00043AFA">
        <w:rPr>
          <w:rFonts w:ascii="Arial" w:hAnsi="Arial" w:cs="Arial"/>
          <w:b/>
          <w:color w:val="000000"/>
          <w:sz w:val="20"/>
        </w:rPr>
        <w:t xml:space="preserve"> </w:t>
      </w:r>
      <w:r w:rsidR="00681D78" w:rsidRPr="00043AFA">
        <w:rPr>
          <w:rFonts w:ascii="Arial" w:hAnsi="Arial" w:cs="Arial"/>
          <w:b/>
          <w:color w:val="000000"/>
          <w:sz w:val="20"/>
        </w:rPr>
        <w:t xml:space="preserve">CONCLUSION AND FUTURE PROSPECTS </w:t>
      </w:r>
    </w:p>
    <w:p w14:paraId="5DADFE0C" w14:textId="77777777" w:rsidR="00681D78" w:rsidRPr="00043AFA" w:rsidRDefault="007B3C86" w:rsidP="00681D78">
      <w:pPr>
        <w:jc w:val="both"/>
        <w:rPr>
          <w:rFonts w:ascii="Arial" w:hAnsi="Arial" w:cs="Arial"/>
          <w:color w:val="000000"/>
          <w:sz w:val="20"/>
        </w:rPr>
      </w:pPr>
      <w:r w:rsidRPr="00043AFA">
        <w:rPr>
          <w:rFonts w:ascii="Arial" w:hAnsi="Arial" w:cs="Arial"/>
          <w:color w:val="000000"/>
          <w:sz w:val="20"/>
        </w:rPr>
        <w:t xml:space="preserve">               </w:t>
      </w:r>
      <w:r w:rsidR="003F5888" w:rsidRPr="00043AFA">
        <w:rPr>
          <w:rFonts w:ascii="Arial" w:hAnsi="Arial" w:cs="Arial"/>
          <w:color w:val="000000"/>
          <w:sz w:val="20"/>
        </w:rPr>
        <w:t>The study successfully identified genetic sources of resistance to powdery mildew in a diverse set of </w:t>
      </w:r>
      <w:r w:rsidR="003F5888" w:rsidRPr="00043AFA">
        <w:rPr>
          <w:rFonts w:ascii="Arial" w:hAnsi="Arial" w:cs="Arial"/>
          <w:sz w:val="20"/>
        </w:rPr>
        <w:t>356</w:t>
      </w:r>
      <w:r w:rsidR="003F5888" w:rsidRPr="00043AFA">
        <w:rPr>
          <w:rFonts w:ascii="Arial" w:hAnsi="Arial" w:cs="Arial"/>
          <w:color w:val="000000"/>
          <w:sz w:val="20"/>
        </w:rPr>
        <w:t> linseed germplasm. Out of these, 21 genotypes were immune, and 37 were resistant, demonstrating significant potential for use in resistance breeding programs. The wide variability in disease reactions, influenced by environmental conditions, underscores the importance of screening under both natural and controlled conditions. Despite the high susceptibility observed in some lines, a few maintained good yield, indicating potential tolerance mechanisms that could complement resistance traits. The identification of immune and resistant genotypes provides valuable material for breeding durable, disease-resistant varieties, offering an eco-friendly and cost-effective solution to mitigate yield losses due to powdery mildew. These findings contribute to enhancing linseed productivity and ensuring sustainability in its cultivation.</w:t>
      </w:r>
      <w:r w:rsidR="00681D78" w:rsidRPr="00043AFA">
        <w:rPr>
          <w:rFonts w:ascii="Arial" w:hAnsi="Arial" w:cs="Arial"/>
          <w:color w:val="000000"/>
          <w:sz w:val="20"/>
        </w:rPr>
        <w:t xml:space="preserve"> Future studies should address these limitations by incorporating artificial inoculation in controlled environments to validate and standardize resistance. The use of molecular tools such as genome-wide association studies (GWAS) and marker-assisted selection can help identify specific resistance genes and integrate them into breeding programs. Expanding the screening to include other critical diseases like Alternaria blight and Fusarium wilt can aid in developing broad-spectrum resistant varieties. Moreover, integrating disease resistance with high-yield traits should be prioritized to address potential trade-offs between resistance and productivity. Finally, enriching the genetic base by including diverse germplasm from different geographical regions can enhance the robustness and adaptability of linseed varieties to biotic and abiotic stresses.</w:t>
      </w:r>
    </w:p>
    <w:p w14:paraId="72CC6B6D" w14:textId="133B1C01" w:rsidR="00683428" w:rsidRPr="00043AFA" w:rsidRDefault="00683428" w:rsidP="006E0DA5">
      <w:pPr>
        <w:tabs>
          <w:tab w:val="left" w:pos="4678"/>
        </w:tabs>
        <w:jc w:val="both"/>
        <w:rPr>
          <w:rFonts w:ascii="Arial" w:hAnsi="Arial" w:cs="Arial"/>
          <w:color w:val="000000"/>
          <w:sz w:val="20"/>
        </w:rPr>
      </w:pPr>
    </w:p>
    <w:p w14:paraId="28DF5701" w14:textId="77777777" w:rsidR="00681D78" w:rsidRPr="00043AFA" w:rsidRDefault="00681D78" w:rsidP="006E0DA5">
      <w:pPr>
        <w:spacing w:before="240"/>
        <w:jc w:val="both"/>
        <w:rPr>
          <w:rFonts w:ascii="Arial" w:hAnsi="Arial" w:cs="Arial"/>
          <w:b/>
          <w:sz w:val="20"/>
        </w:rPr>
      </w:pPr>
    </w:p>
    <w:p w14:paraId="730D91B8" w14:textId="77777777" w:rsidR="00420DC1" w:rsidRPr="00043AFA" w:rsidRDefault="00420DC1" w:rsidP="006E0DA5">
      <w:pPr>
        <w:spacing w:before="240"/>
        <w:jc w:val="both"/>
        <w:rPr>
          <w:rFonts w:ascii="Arial" w:hAnsi="Arial" w:cs="Arial"/>
          <w:b/>
          <w:sz w:val="20"/>
        </w:rPr>
      </w:pPr>
    </w:p>
    <w:p w14:paraId="29335936" w14:textId="77777777" w:rsidR="00683428" w:rsidRPr="00043AFA" w:rsidRDefault="00912629" w:rsidP="006E0DA5">
      <w:pPr>
        <w:tabs>
          <w:tab w:val="left" w:pos="4678"/>
        </w:tabs>
        <w:jc w:val="both"/>
        <w:rPr>
          <w:rFonts w:ascii="Arial" w:hAnsi="Arial" w:cs="Arial"/>
          <w:b/>
          <w:sz w:val="20"/>
          <w:lang w:val="en-IN"/>
        </w:rPr>
      </w:pPr>
      <w:bookmarkStart w:id="0" w:name="_GoBack"/>
      <w:bookmarkEnd w:id="0"/>
      <w:r w:rsidRPr="00043AFA">
        <w:rPr>
          <w:rFonts w:ascii="Arial" w:hAnsi="Arial" w:cs="Arial"/>
          <w:b/>
          <w:sz w:val="20"/>
          <w:lang w:val="en-IN"/>
        </w:rPr>
        <w:lastRenderedPageBreak/>
        <w:t>REFERENCES:</w:t>
      </w:r>
    </w:p>
    <w:p w14:paraId="31F236CC" w14:textId="5F57474C"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Biradar, S. A., Rajanna, B., Singh, P. K., &amp; Shanker Goud, I. (2017). Management of linseed powdery mildew through soil and foliar application of </w:t>
      </w:r>
      <w:proofErr w:type="spellStart"/>
      <w:r w:rsidRPr="00043AFA">
        <w:rPr>
          <w:rFonts w:ascii="Arial" w:hAnsi="Arial" w:cs="Arial"/>
          <w:sz w:val="20"/>
        </w:rPr>
        <w:t>sulphur</w:t>
      </w:r>
      <w:proofErr w:type="spellEnd"/>
      <w:r w:rsidR="00054147" w:rsidRPr="00043AFA">
        <w:rPr>
          <w:rFonts w:ascii="Arial" w:hAnsi="Arial" w:cs="Arial"/>
          <w:sz w:val="20"/>
        </w:rPr>
        <w:t>,</w:t>
      </w:r>
      <w:r w:rsidRPr="00043AFA">
        <w:rPr>
          <w:rFonts w:ascii="Arial" w:hAnsi="Arial" w:cs="Arial"/>
          <w:sz w:val="20"/>
        </w:rPr>
        <w:t xml:space="preserve"> Journal of Oilseeds Research, 34(2), 116-118.</w:t>
      </w:r>
    </w:p>
    <w:p w14:paraId="342D0335" w14:textId="3EF0281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w:t>
      </w:r>
      <w:proofErr w:type="spellStart"/>
      <w:r w:rsidRPr="00043AFA">
        <w:rPr>
          <w:rFonts w:ascii="Arial" w:hAnsi="Arial" w:cs="Arial"/>
          <w:sz w:val="20"/>
        </w:rPr>
        <w:t>Hombal</w:t>
      </w:r>
      <w:proofErr w:type="spellEnd"/>
      <w:r w:rsidRPr="00043AFA">
        <w:rPr>
          <w:rFonts w:ascii="Arial" w:hAnsi="Arial" w:cs="Arial"/>
          <w:sz w:val="20"/>
        </w:rPr>
        <w:t xml:space="preserve">, A., Savitha, A. S., </w:t>
      </w:r>
      <w:proofErr w:type="spellStart"/>
      <w:r w:rsidRPr="00043AFA">
        <w:rPr>
          <w:rFonts w:ascii="Arial" w:hAnsi="Arial" w:cs="Arial"/>
          <w:sz w:val="20"/>
        </w:rPr>
        <w:t>Yenjerappa</w:t>
      </w:r>
      <w:proofErr w:type="spellEnd"/>
      <w:r w:rsidRPr="00043AFA">
        <w:rPr>
          <w:rFonts w:ascii="Arial" w:hAnsi="Arial" w:cs="Arial"/>
          <w:sz w:val="20"/>
        </w:rPr>
        <w:t xml:space="preserve">, S. T., Shivakumar, K., </w:t>
      </w:r>
      <w:proofErr w:type="spellStart"/>
      <w:r w:rsidRPr="00043AFA">
        <w:rPr>
          <w:rFonts w:ascii="Arial" w:hAnsi="Arial" w:cs="Arial"/>
          <w:sz w:val="20"/>
        </w:rPr>
        <w:t>Govindappa</w:t>
      </w:r>
      <w:proofErr w:type="spellEnd"/>
      <w:r w:rsidRPr="00043AFA">
        <w:rPr>
          <w:rFonts w:ascii="Arial" w:hAnsi="Arial" w:cs="Arial"/>
          <w:sz w:val="20"/>
        </w:rPr>
        <w:t>, M. R., &amp; Krishnamurthy, D. (2020). Screening of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germplasm under epiphytotic condition against major foliar diseases</w:t>
      </w:r>
      <w:r w:rsidR="00054147" w:rsidRPr="00043AFA">
        <w:rPr>
          <w:rFonts w:ascii="Arial" w:hAnsi="Arial" w:cs="Arial"/>
          <w:sz w:val="20"/>
        </w:rPr>
        <w:t>,</w:t>
      </w:r>
      <w:r w:rsidRPr="00043AFA">
        <w:rPr>
          <w:rFonts w:ascii="Arial" w:hAnsi="Arial" w:cs="Arial"/>
          <w:sz w:val="20"/>
        </w:rPr>
        <w:t xml:space="preserve"> Journal of Oilseeds Research, 37(3), 221–224.</w:t>
      </w:r>
    </w:p>
    <w:p w14:paraId="3DE0CC97" w14:textId="55A2D547"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Allaby</w:t>
      </w:r>
      <w:proofErr w:type="spellEnd"/>
      <w:r w:rsidRPr="00043AFA">
        <w:rPr>
          <w:rFonts w:ascii="Arial" w:hAnsi="Arial" w:cs="Arial"/>
          <w:sz w:val="20"/>
        </w:rPr>
        <w:t>, R. G., Peterson, G. W., Merriwether, D. A., &amp; Fu, Y. B. (2005). Evidence of the domestication history of flax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from genetic diversity of the sad2 locus</w:t>
      </w:r>
      <w:r w:rsidR="00054147" w:rsidRPr="00043AFA">
        <w:rPr>
          <w:rFonts w:ascii="Arial" w:hAnsi="Arial" w:cs="Arial"/>
          <w:sz w:val="20"/>
        </w:rPr>
        <w:t>,</w:t>
      </w:r>
      <w:r w:rsidRPr="00043AFA">
        <w:rPr>
          <w:rFonts w:ascii="Arial" w:hAnsi="Arial" w:cs="Arial"/>
          <w:sz w:val="20"/>
        </w:rPr>
        <w:t xml:space="preserve"> Theoretical and Applied Genetics, 112, 58-65.</w:t>
      </w:r>
    </w:p>
    <w:p w14:paraId="74158981" w14:textId="62DCF9C4" w:rsidR="00FD6661" w:rsidRPr="00043AFA" w:rsidRDefault="00FD6661" w:rsidP="006E0DA5">
      <w:pPr>
        <w:ind w:left="567" w:hanging="567"/>
        <w:jc w:val="both"/>
        <w:rPr>
          <w:rFonts w:ascii="Arial" w:hAnsi="Arial" w:cs="Arial"/>
          <w:sz w:val="20"/>
        </w:rPr>
      </w:pPr>
      <w:r w:rsidRPr="00043AFA">
        <w:rPr>
          <w:rFonts w:ascii="Arial" w:hAnsi="Arial" w:cs="Arial"/>
          <w:sz w:val="20"/>
        </w:rPr>
        <w:t>Aly, A. A., Ashour, A. Z. A., El-Kady, E. A. F., &amp; Mostafa, M. A. (1994). Effectiveness of fungicides for control of powdery mildew of flax and effect of the disease on yield and yield components</w:t>
      </w:r>
      <w:r w:rsidR="00054147" w:rsidRPr="00043AFA">
        <w:rPr>
          <w:rFonts w:ascii="Arial" w:hAnsi="Arial" w:cs="Arial"/>
          <w:sz w:val="20"/>
        </w:rPr>
        <w:t>,</w:t>
      </w:r>
      <w:r w:rsidRPr="00043AFA">
        <w:rPr>
          <w:rFonts w:ascii="Arial" w:hAnsi="Arial" w:cs="Arial"/>
          <w:sz w:val="20"/>
        </w:rPr>
        <w:t xml:space="preserve"> Journal of Agricultural Science, 19, 4383-4393.</w:t>
      </w:r>
    </w:p>
    <w:p w14:paraId="79491318" w14:textId="25416D31"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Aly, A., Mansour, M., </w:t>
      </w:r>
      <w:proofErr w:type="spellStart"/>
      <w:r w:rsidRPr="00043AFA">
        <w:rPr>
          <w:rFonts w:ascii="Arial" w:hAnsi="Arial" w:cs="Arial"/>
          <w:sz w:val="20"/>
        </w:rPr>
        <w:t>Felaifel</w:t>
      </w:r>
      <w:proofErr w:type="spellEnd"/>
      <w:r w:rsidRPr="00043AFA">
        <w:rPr>
          <w:rFonts w:ascii="Arial" w:hAnsi="Arial" w:cs="Arial"/>
          <w:sz w:val="20"/>
        </w:rPr>
        <w:t>, M., Zayed, S., &amp; El-</w:t>
      </w:r>
      <w:proofErr w:type="spellStart"/>
      <w:r w:rsidRPr="00043AFA">
        <w:rPr>
          <w:rFonts w:ascii="Arial" w:hAnsi="Arial" w:cs="Arial"/>
          <w:sz w:val="20"/>
        </w:rPr>
        <w:t>Kafrawy</w:t>
      </w:r>
      <w:proofErr w:type="spellEnd"/>
      <w:r w:rsidRPr="00043AFA">
        <w:rPr>
          <w:rFonts w:ascii="Arial" w:hAnsi="Arial" w:cs="Arial"/>
          <w:sz w:val="20"/>
        </w:rPr>
        <w:t>, A. (2000). Use of fungicides, bicarbonate salts, and film-forming polymers to suppress powdery mildew of flax. In journal of plant production (Vol. 25, Issue 10, pp. 6131–6151)</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Egypts</w:t>
      </w:r>
      <w:proofErr w:type="spellEnd"/>
      <w:r w:rsidRPr="00043AFA">
        <w:rPr>
          <w:rFonts w:ascii="Arial" w:hAnsi="Arial" w:cs="Arial"/>
          <w:sz w:val="20"/>
        </w:rPr>
        <w:t xml:space="preserve"> Presidential Specialized Council for Education and Scientific Research.</w:t>
      </w:r>
      <w:r w:rsidR="00054147" w:rsidRPr="00043AFA">
        <w:rPr>
          <w:rFonts w:ascii="Arial" w:hAnsi="Arial" w:cs="Arial"/>
          <w:sz w:val="20"/>
        </w:rPr>
        <w:t xml:space="preserve">  </w:t>
      </w:r>
      <w:r w:rsidRPr="00043AFA">
        <w:rPr>
          <w:rFonts w:ascii="Arial" w:hAnsi="Arial" w:cs="Arial"/>
          <w:sz w:val="20"/>
        </w:rPr>
        <w:t>https://doi.org/10.21608/jpp.2000.259749</w:t>
      </w:r>
    </w:p>
    <w:p w14:paraId="036E7C07" w14:textId="26398772"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Arshiya, A., </w:t>
      </w:r>
      <w:proofErr w:type="spellStart"/>
      <w:r w:rsidRPr="00043AFA">
        <w:rPr>
          <w:rFonts w:ascii="Arial" w:hAnsi="Arial" w:cs="Arial"/>
          <w:sz w:val="20"/>
        </w:rPr>
        <w:t>Aswathanarayana</w:t>
      </w:r>
      <w:proofErr w:type="spellEnd"/>
      <w:r w:rsidRPr="00043AFA">
        <w:rPr>
          <w:rFonts w:ascii="Arial" w:hAnsi="Arial" w:cs="Arial"/>
          <w:sz w:val="20"/>
        </w:rPr>
        <w:t xml:space="preserve">, D. S., &amp; Ajithkumar, K. (2017). Management of linseed powdery mildew caused by </w:t>
      </w:r>
      <w:proofErr w:type="spellStart"/>
      <w:r w:rsidRPr="00043AFA">
        <w:rPr>
          <w:rFonts w:ascii="Arial" w:hAnsi="Arial" w:cs="Arial"/>
          <w:i/>
          <w:sz w:val="20"/>
        </w:rPr>
        <w:t>Leveillula</w:t>
      </w:r>
      <w:proofErr w:type="spellEnd"/>
      <w:r w:rsidRPr="00043AFA">
        <w:rPr>
          <w:rFonts w:ascii="Arial" w:hAnsi="Arial" w:cs="Arial"/>
          <w:i/>
          <w:sz w:val="20"/>
        </w:rPr>
        <w:t xml:space="preserve"> </w:t>
      </w:r>
      <w:proofErr w:type="spellStart"/>
      <w:r w:rsidRPr="00043AFA">
        <w:rPr>
          <w:rFonts w:ascii="Arial" w:hAnsi="Arial" w:cs="Arial"/>
          <w:i/>
          <w:sz w:val="20"/>
        </w:rPr>
        <w:t>taurica</w:t>
      </w:r>
      <w:proofErr w:type="spellEnd"/>
      <w:r w:rsidRPr="00043AFA">
        <w:rPr>
          <w:rFonts w:ascii="Arial" w:hAnsi="Arial" w:cs="Arial"/>
          <w:sz w:val="20"/>
        </w:rPr>
        <w:t xml:space="preserve"> (Lev.) Arn</w:t>
      </w:r>
      <w:r w:rsidR="00054147" w:rsidRPr="00043AFA">
        <w:rPr>
          <w:rFonts w:ascii="Arial" w:hAnsi="Arial" w:cs="Arial"/>
          <w:sz w:val="20"/>
        </w:rPr>
        <w:t>,</w:t>
      </w:r>
      <w:r w:rsidRPr="00043AFA">
        <w:rPr>
          <w:rFonts w:ascii="Arial" w:hAnsi="Arial" w:cs="Arial"/>
          <w:sz w:val="20"/>
        </w:rPr>
        <w:t xml:space="preserve"> International Journal of Agricultural Sciences, 9(32), 4479-4481.</w:t>
      </w:r>
    </w:p>
    <w:p w14:paraId="4098D935" w14:textId="4A7ED801" w:rsidR="00FD6661" w:rsidRPr="00043AFA" w:rsidRDefault="00FD6661" w:rsidP="006E0DA5">
      <w:pPr>
        <w:ind w:left="567" w:hanging="567"/>
        <w:jc w:val="both"/>
        <w:rPr>
          <w:rFonts w:ascii="Arial" w:hAnsi="Arial" w:cs="Arial"/>
          <w:sz w:val="20"/>
        </w:rPr>
      </w:pPr>
      <w:r w:rsidRPr="00043AFA">
        <w:rPr>
          <w:rFonts w:ascii="Arial" w:hAnsi="Arial" w:cs="Arial"/>
          <w:sz w:val="20"/>
        </w:rPr>
        <w:t>Bhatty, R. S., &amp; Rowland, G. G. (1990). Measurement of alpha-linolenic acid in the development of edible oil flax</w:t>
      </w:r>
      <w:r w:rsidR="00054147" w:rsidRPr="00043AFA">
        <w:rPr>
          <w:rFonts w:ascii="Arial" w:hAnsi="Arial" w:cs="Arial"/>
          <w:sz w:val="20"/>
        </w:rPr>
        <w:t>,</w:t>
      </w:r>
      <w:r w:rsidRPr="00043AFA">
        <w:rPr>
          <w:rFonts w:ascii="Arial" w:hAnsi="Arial" w:cs="Arial"/>
          <w:sz w:val="20"/>
        </w:rPr>
        <w:t xml:space="preserve"> Journal of the American Oil Chemists' Society, 67, 364-367.</w:t>
      </w:r>
    </w:p>
    <w:p w14:paraId="42D196BA" w14:textId="12452B7E"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Dhirhi</w:t>
      </w:r>
      <w:proofErr w:type="spellEnd"/>
      <w:r w:rsidRPr="00043AFA">
        <w:rPr>
          <w:rFonts w:ascii="Arial" w:hAnsi="Arial" w:cs="Arial"/>
          <w:sz w:val="20"/>
        </w:rPr>
        <w:t>, N., Mehta, N., Patel, N. B., &amp; Singh, S. (2017). Assessment of genetic diversity in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Bioinfolet</w:t>
      </w:r>
      <w:proofErr w:type="spellEnd"/>
      <w:r w:rsidRPr="00043AFA">
        <w:rPr>
          <w:rFonts w:ascii="Arial" w:hAnsi="Arial" w:cs="Arial"/>
          <w:sz w:val="20"/>
        </w:rPr>
        <w:t>: A Quarterly Journal of Life Sciences, 14(1), 71–74.</w:t>
      </w:r>
    </w:p>
    <w:p w14:paraId="7D903A8E" w14:textId="77777777" w:rsidR="00FD6661" w:rsidRPr="00043AFA" w:rsidRDefault="00FD6661" w:rsidP="006E0DA5">
      <w:pPr>
        <w:ind w:left="567" w:hanging="567"/>
        <w:jc w:val="both"/>
        <w:rPr>
          <w:rFonts w:ascii="Arial" w:hAnsi="Arial" w:cs="Arial"/>
          <w:sz w:val="20"/>
        </w:rPr>
      </w:pPr>
      <w:r w:rsidRPr="00043AFA">
        <w:rPr>
          <w:rFonts w:ascii="Arial" w:hAnsi="Arial" w:cs="Arial"/>
          <w:sz w:val="20"/>
        </w:rPr>
        <w:t>FAO (Food and Agriculture Organization). (2022). Retrieved from https://www.fao.org/faostat/en/#data</w:t>
      </w:r>
    </w:p>
    <w:p w14:paraId="21234363" w14:textId="490FD472" w:rsidR="00FD6661" w:rsidRPr="00043AFA" w:rsidRDefault="00FD6661" w:rsidP="006E0DA5">
      <w:pPr>
        <w:ind w:left="567" w:hanging="567"/>
        <w:jc w:val="both"/>
        <w:rPr>
          <w:rFonts w:ascii="Arial" w:hAnsi="Arial" w:cs="Arial"/>
          <w:sz w:val="20"/>
        </w:rPr>
      </w:pPr>
      <w:r w:rsidRPr="00043AFA">
        <w:rPr>
          <w:rFonts w:ascii="Arial" w:hAnsi="Arial" w:cs="Arial"/>
          <w:sz w:val="20"/>
        </w:rPr>
        <w:t>Fu, Y. B., &amp;</w:t>
      </w:r>
      <w:r w:rsidR="00305987" w:rsidRPr="00043AFA">
        <w:rPr>
          <w:rFonts w:ascii="Arial" w:hAnsi="Arial" w:cs="Arial"/>
          <w:sz w:val="20"/>
        </w:rPr>
        <w:t xml:space="preserve"> </w:t>
      </w:r>
      <w:proofErr w:type="spellStart"/>
      <w:r w:rsidRPr="00043AFA">
        <w:rPr>
          <w:rFonts w:ascii="Arial" w:hAnsi="Arial" w:cs="Arial"/>
          <w:sz w:val="20"/>
        </w:rPr>
        <w:t>Allaby</w:t>
      </w:r>
      <w:proofErr w:type="spellEnd"/>
      <w:r w:rsidRPr="00043AFA">
        <w:rPr>
          <w:rFonts w:ascii="Arial" w:hAnsi="Arial" w:cs="Arial"/>
          <w:sz w:val="20"/>
        </w:rPr>
        <w:t>, R. G. (2010). Phylogenetic network of Linum species as revealed by non-coding chloroplast DNA sequences</w:t>
      </w:r>
      <w:r w:rsidR="00054147" w:rsidRPr="00043AFA">
        <w:rPr>
          <w:rFonts w:ascii="Arial" w:hAnsi="Arial" w:cs="Arial"/>
          <w:sz w:val="20"/>
        </w:rPr>
        <w:t>,</w:t>
      </w:r>
      <w:r w:rsidRPr="00043AFA">
        <w:rPr>
          <w:rFonts w:ascii="Arial" w:hAnsi="Arial" w:cs="Arial"/>
          <w:sz w:val="20"/>
        </w:rPr>
        <w:t xml:space="preserve"> Genetic Resources and Crop Evolution, 57, 667-677.</w:t>
      </w:r>
    </w:p>
    <w:p w14:paraId="60DCF2B9" w14:textId="3ED78F24" w:rsidR="00FD6661" w:rsidRPr="00043AFA" w:rsidRDefault="00FD6661" w:rsidP="006E0DA5">
      <w:pPr>
        <w:ind w:left="567" w:hanging="567"/>
        <w:jc w:val="both"/>
        <w:rPr>
          <w:rFonts w:ascii="Arial" w:hAnsi="Arial" w:cs="Arial"/>
          <w:sz w:val="20"/>
        </w:rPr>
      </w:pPr>
      <w:r w:rsidRPr="00043AFA">
        <w:rPr>
          <w:rFonts w:ascii="Arial" w:hAnsi="Arial" w:cs="Arial"/>
          <w:sz w:val="20"/>
        </w:rPr>
        <w:t>ICAR-Indian Institute of Oilseeds Research. (2022-23). Annual Report: Linseed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Rajendranagar</w:t>
      </w:r>
      <w:proofErr w:type="spellEnd"/>
      <w:r w:rsidRPr="00043AFA">
        <w:rPr>
          <w:rFonts w:ascii="Arial" w:hAnsi="Arial" w:cs="Arial"/>
          <w:sz w:val="20"/>
        </w:rPr>
        <w:t>, Hyderabad-500030.</w:t>
      </w:r>
    </w:p>
    <w:p w14:paraId="1758812B" w14:textId="33ADB4BA"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Kumari, S., Rani, N., Pal, A. K., &amp; </w:t>
      </w:r>
      <w:proofErr w:type="spellStart"/>
      <w:r w:rsidRPr="00043AFA">
        <w:rPr>
          <w:rFonts w:ascii="Arial" w:hAnsi="Arial" w:cs="Arial"/>
          <w:sz w:val="20"/>
        </w:rPr>
        <w:t>Nirala</w:t>
      </w:r>
      <w:proofErr w:type="spellEnd"/>
      <w:r w:rsidRPr="00043AFA">
        <w:rPr>
          <w:rFonts w:ascii="Arial" w:hAnsi="Arial" w:cs="Arial"/>
          <w:sz w:val="20"/>
        </w:rPr>
        <w:t>, R. B. P. (2018). Genetic divergence study in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through D2 and principal component analysis</w:t>
      </w:r>
      <w:r w:rsidR="00054147" w:rsidRPr="00043AFA">
        <w:rPr>
          <w:rFonts w:ascii="Arial" w:hAnsi="Arial" w:cs="Arial"/>
          <w:sz w:val="20"/>
        </w:rPr>
        <w:t>,</w:t>
      </w:r>
      <w:r w:rsidRPr="00043AFA">
        <w:rPr>
          <w:rFonts w:ascii="Arial" w:hAnsi="Arial" w:cs="Arial"/>
          <w:sz w:val="20"/>
        </w:rPr>
        <w:t xml:space="preserve"> Journal of Oilseeds Research, 35(4), 264–269.</w:t>
      </w:r>
    </w:p>
    <w:p w14:paraId="39601FEB" w14:textId="270B8E5E" w:rsidR="00FD6661" w:rsidRPr="00043AFA" w:rsidRDefault="00FD6661" w:rsidP="006E0DA5">
      <w:pPr>
        <w:ind w:left="567" w:hanging="567"/>
        <w:jc w:val="both"/>
        <w:rPr>
          <w:rFonts w:ascii="Arial" w:hAnsi="Arial" w:cs="Arial"/>
          <w:sz w:val="20"/>
        </w:rPr>
      </w:pPr>
      <w:r w:rsidRPr="00043AFA">
        <w:rPr>
          <w:rFonts w:ascii="Arial" w:hAnsi="Arial" w:cs="Arial"/>
          <w:sz w:val="20"/>
        </w:rPr>
        <w:t>Majhi, P. K., &amp; Mohanty, G. R. (2023). Medicinal properties of flaxseed: A superfood</w:t>
      </w:r>
      <w:r w:rsidR="00054147"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5(8), 563–565.</w:t>
      </w:r>
    </w:p>
    <w:p w14:paraId="37B55748" w14:textId="0FEBEB4F" w:rsidR="00FD6661" w:rsidRPr="00043AFA" w:rsidRDefault="00FD6661" w:rsidP="006E0DA5">
      <w:pPr>
        <w:ind w:left="567" w:hanging="567"/>
        <w:jc w:val="both"/>
        <w:rPr>
          <w:rFonts w:ascii="Arial" w:hAnsi="Arial" w:cs="Arial"/>
          <w:sz w:val="20"/>
        </w:rPr>
      </w:pPr>
      <w:r w:rsidRPr="00043AFA">
        <w:rPr>
          <w:rFonts w:ascii="Arial" w:hAnsi="Arial" w:cs="Arial"/>
          <w:sz w:val="20"/>
        </w:rPr>
        <w:t>Majhi, P. K., Sahoo, K. C., &amp; Tudu, S. (2023). Nutritional profile of functional food: Flaxseed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5(4), 298–301.</w:t>
      </w:r>
    </w:p>
    <w:p w14:paraId="42E247FD" w14:textId="551A90B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Mercer, P. C., Hardwick, N. V., </w:t>
      </w:r>
      <w:proofErr w:type="spellStart"/>
      <w:r w:rsidRPr="00043AFA">
        <w:rPr>
          <w:rFonts w:ascii="Arial" w:hAnsi="Arial" w:cs="Arial"/>
          <w:sz w:val="20"/>
        </w:rPr>
        <w:t>Fitt</w:t>
      </w:r>
      <w:proofErr w:type="spellEnd"/>
      <w:r w:rsidRPr="00043AFA">
        <w:rPr>
          <w:rFonts w:ascii="Arial" w:hAnsi="Arial" w:cs="Arial"/>
          <w:sz w:val="20"/>
        </w:rPr>
        <w:t>, B. D. L., &amp; Sweet, J. B. (1991). Status of diseases of linseed in the UK</w:t>
      </w:r>
      <w:r w:rsidR="00054147" w:rsidRPr="00043AFA">
        <w:rPr>
          <w:rFonts w:ascii="Arial" w:hAnsi="Arial" w:cs="Arial"/>
          <w:sz w:val="20"/>
        </w:rPr>
        <w:t>,</w:t>
      </w:r>
      <w:r w:rsidRPr="00043AFA">
        <w:rPr>
          <w:rFonts w:ascii="Arial" w:hAnsi="Arial" w:cs="Arial"/>
          <w:sz w:val="20"/>
        </w:rPr>
        <w:t xml:space="preserve"> Oilseeds Research Review, 3, 76.</w:t>
      </w:r>
    </w:p>
    <w:p w14:paraId="7DF07EC9" w14:textId="57C1A1FF" w:rsidR="00FD6661" w:rsidRPr="00043AFA" w:rsidRDefault="00FD6661" w:rsidP="006E0DA5">
      <w:pPr>
        <w:ind w:left="567" w:hanging="567"/>
        <w:jc w:val="both"/>
        <w:rPr>
          <w:rFonts w:ascii="Arial" w:hAnsi="Arial" w:cs="Arial"/>
          <w:sz w:val="20"/>
        </w:rPr>
      </w:pPr>
      <w:r w:rsidRPr="00043AFA">
        <w:rPr>
          <w:rFonts w:ascii="Arial" w:hAnsi="Arial" w:cs="Arial"/>
          <w:sz w:val="20"/>
        </w:rPr>
        <w:lastRenderedPageBreak/>
        <w:t>Mohanty, G. R., Majhi, P. K., Samantaray, S., Ray, M., Mallik, S. K., Swain, A., &amp; Kumar, A. (2024). Flaxseed: The marvel of nature for humanity</w:t>
      </w:r>
      <w:r w:rsidR="00054147" w:rsidRPr="00043AFA">
        <w:rPr>
          <w:rFonts w:ascii="Arial" w:hAnsi="Arial" w:cs="Arial"/>
          <w:sz w:val="20"/>
        </w:rPr>
        <w:t>,</w:t>
      </w:r>
      <w:r w:rsidRPr="00043AFA">
        <w:rPr>
          <w:rFonts w:ascii="Arial" w:hAnsi="Arial" w:cs="Arial"/>
          <w:sz w:val="20"/>
        </w:rPr>
        <w:t xml:space="preserve"> International Journal of Advanced Biochemistry Research, 8(6), 450–458.</w:t>
      </w:r>
    </w:p>
    <w:p w14:paraId="0E3CE8F9" w14:textId="209E269E" w:rsidR="00FD6661" w:rsidRPr="00043AFA" w:rsidRDefault="00FD6661" w:rsidP="006E0DA5">
      <w:pPr>
        <w:ind w:left="567" w:hanging="567"/>
        <w:jc w:val="both"/>
        <w:rPr>
          <w:rFonts w:ascii="Arial" w:hAnsi="Arial" w:cs="Arial"/>
          <w:sz w:val="20"/>
        </w:rPr>
      </w:pPr>
      <w:r w:rsidRPr="00043AFA">
        <w:rPr>
          <w:rFonts w:ascii="Arial" w:hAnsi="Arial" w:cs="Arial"/>
          <w:sz w:val="20"/>
        </w:rPr>
        <w:t>Saroha, A., Pal, D., Kaur, V., Kumar, S., Bartwal, A., Aravind, J., &amp; Wankhede, D. P. (2022). Agro-morphological variability and genetic diversity in linseed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sz w:val="20"/>
        </w:rPr>
        <w:t xml:space="preserve"> L.) germplasm accessions with emphasis on flowering and maturity time</w:t>
      </w:r>
      <w:r w:rsidR="00054147" w:rsidRPr="00043AFA">
        <w:rPr>
          <w:rFonts w:ascii="Arial" w:hAnsi="Arial" w:cs="Arial"/>
          <w:sz w:val="20"/>
        </w:rPr>
        <w:t>,</w:t>
      </w:r>
      <w:r w:rsidRPr="00043AFA">
        <w:rPr>
          <w:rFonts w:ascii="Arial" w:hAnsi="Arial" w:cs="Arial"/>
          <w:sz w:val="20"/>
        </w:rPr>
        <w:t xml:space="preserve"> Genetic Resources and Crop Evolution, 69, 315–333.</w:t>
      </w:r>
    </w:p>
    <w:p w14:paraId="78B61529" w14:textId="77777777" w:rsidR="003F5C50" w:rsidRPr="00043AFA" w:rsidRDefault="00FD6661" w:rsidP="003F5C50">
      <w:pPr>
        <w:ind w:left="567" w:hanging="567"/>
        <w:jc w:val="both"/>
        <w:rPr>
          <w:rFonts w:ascii="Arial" w:hAnsi="Arial" w:cs="Arial"/>
          <w:sz w:val="20"/>
        </w:rPr>
      </w:pPr>
      <w:r w:rsidRPr="00043AFA">
        <w:rPr>
          <w:rFonts w:ascii="Arial" w:hAnsi="Arial" w:cs="Arial"/>
          <w:sz w:val="20"/>
        </w:rPr>
        <w:t>Xie, D., Dai, Z., Yang, Z., Sun, J., Zhao, D., Yang, X., &amp; Su, J. (2018). Genome-wide association study identifying candidate genes influencing important agronomic traits of flax (</w:t>
      </w:r>
      <w:proofErr w:type="spellStart"/>
      <w:r w:rsidRPr="00043AFA">
        <w:rPr>
          <w:rFonts w:ascii="Arial" w:hAnsi="Arial" w:cs="Arial"/>
          <w:i/>
          <w:sz w:val="20"/>
        </w:rPr>
        <w:t>Linum</w:t>
      </w:r>
      <w:proofErr w:type="spellEnd"/>
      <w:r w:rsidRPr="00043AFA">
        <w:rPr>
          <w:rFonts w:ascii="Arial" w:hAnsi="Arial" w:cs="Arial"/>
          <w:i/>
          <w:sz w:val="20"/>
        </w:rPr>
        <w:t xml:space="preserve">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 using SLAF-seq</w:t>
      </w:r>
      <w:r w:rsidR="00054147" w:rsidRPr="00043AFA">
        <w:rPr>
          <w:rFonts w:ascii="Arial" w:hAnsi="Arial" w:cs="Arial"/>
          <w:sz w:val="20"/>
        </w:rPr>
        <w:t xml:space="preserve">, </w:t>
      </w:r>
      <w:r w:rsidRPr="00043AFA">
        <w:rPr>
          <w:rFonts w:ascii="Arial" w:hAnsi="Arial" w:cs="Arial"/>
          <w:sz w:val="20"/>
        </w:rPr>
        <w:t>Frontiers in plant science, 8, 2232.</w:t>
      </w:r>
    </w:p>
    <w:p w14:paraId="68067C8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Chattopadhyay, C., Agrawal, R., &amp; Kumar, A. (2009). Diseases of linseed and their integrated management. </w:t>
      </w:r>
      <w:r w:rsidRPr="00043AFA">
        <w:rPr>
          <w:rStyle w:val="Emphasis"/>
          <w:rFonts w:ascii="Arial" w:hAnsi="Arial" w:cs="Arial"/>
          <w:sz w:val="20"/>
        </w:rPr>
        <w:t>Journal of Oilseeds Research</w:t>
      </w:r>
      <w:r w:rsidRPr="00043AFA">
        <w:rPr>
          <w:rFonts w:ascii="Arial" w:hAnsi="Arial" w:cs="Arial"/>
          <w:sz w:val="20"/>
        </w:rPr>
        <w:t>, 26(Special Issue), 449–453.</w:t>
      </w:r>
    </w:p>
    <w:p w14:paraId="2B6A0FD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Gupta, V., Singh, S., &amp; Kaur, P. (2020). Evaluation of linseed genotypes for resistance to powdery mildew and rust diseases under natural epiphytotic conditions. </w:t>
      </w:r>
      <w:r w:rsidRPr="00043AFA">
        <w:rPr>
          <w:rStyle w:val="Emphasis"/>
          <w:rFonts w:ascii="Arial" w:hAnsi="Arial" w:cs="Arial"/>
          <w:sz w:val="20"/>
        </w:rPr>
        <w:t>Journal of Pharmacognosy and Phytochemistry</w:t>
      </w:r>
      <w:r w:rsidRPr="00043AFA">
        <w:rPr>
          <w:rFonts w:ascii="Arial" w:hAnsi="Arial" w:cs="Arial"/>
          <w:sz w:val="20"/>
        </w:rPr>
        <w:t>, 9(5), 2233–2236.</w:t>
      </w:r>
    </w:p>
    <w:p w14:paraId="49D62984"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Kumar, R., Singh, P. K., &amp; Mehta, N. (2013). Epidemiology and management of powdery mildew in linseed. </w:t>
      </w:r>
      <w:r w:rsidRPr="00043AFA">
        <w:rPr>
          <w:rStyle w:val="Emphasis"/>
          <w:rFonts w:ascii="Arial" w:hAnsi="Arial" w:cs="Arial"/>
          <w:sz w:val="20"/>
        </w:rPr>
        <w:t>Plant Pathology Journal</w:t>
      </w:r>
      <w:r w:rsidRPr="00043AFA">
        <w:rPr>
          <w:rFonts w:ascii="Arial" w:hAnsi="Arial" w:cs="Arial"/>
          <w:sz w:val="20"/>
        </w:rPr>
        <w:t>, 12(4), 180–186.</w:t>
      </w:r>
    </w:p>
    <w:p w14:paraId="6A72474F" w14:textId="38038944" w:rsidR="00CC0D7B" w:rsidRPr="00681D78" w:rsidRDefault="00CC0D7B" w:rsidP="003F5C50">
      <w:pPr>
        <w:ind w:left="567" w:hanging="567"/>
        <w:jc w:val="both"/>
        <w:rPr>
          <w:rFonts w:ascii="Arial" w:hAnsi="Arial" w:cs="Arial"/>
          <w:sz w:val="20"/>
        </w:rPr>
      </w:pPr>
      <w:r w:rsidRPr="00043AFA">
        <w:rPr>
          <w:rFonts w:ascii="Arial" w:hAnsi="Arial" w:cs="Arial"/>
          <w:sz w:val="20"/>
        </w:rPr>
        <w:t>Saharan, V., Sharma, A., &amp; Tyagi, R. (2021). Linseed (</w:t>
      </w:r>
      <w:proofErr w:type="spellStart"/>
      <w:r w:rsidRPr="00043AFA">
        <w:rPr>
          <w:rFonts w:ascii="Arial" w:hAnsi="Arial" w:cs="Arial"/>
          <w:i/>
          <w:iCs/>
          <w:sz w:val="20"/>
        </w:rPr>
        <w:t>Linum</w:t>
      </w:r>
      <w:proofErr w:type="spellEnd"/>
      <w:r w:rsidRPr="00043AFA">
        <w:rPr>
          <w:rFonts w:ascii="Arial" w:hAnsi="Arial" w:cs="Arial"/>
          <w:i/>
          <w:iCs/>
          <w:sz w:val="20"/>
        </w:rPr>
        <w:t xml:space="preserve"> </w:t>
      </w:r>
      <w:proofErr w:type="spellStart"/>
      <w:r w:rsidRPr="00043AFA">
        <w:rPr>
          <w:rFonts w:ascii="Arial" w:hAnsi="Arial" w:cs="Arial"/>
          <w:i/>
          <w:iCs/>
          <w:sz w:val="20"/>
        </w:rPr>
        <w:t>usitatissimum</w:t>
      </w:r>
      <w:proofErr w:type="spellEnd"/>
      <w:r w:rsidRPr="00043AFA">
        <w:rPr>
          <w:rFonts w:ascii="Arial" w:hAnsi="Arial" w:cs="Arial"/>
          <w:sz w:val="20"/>
        </w:rPr>
        <w:t xml:space="preserve"> L.): A multipurpose oilseed crop with promising health benefits. </w:t>
      </w:r>
      <w:r w:rsidRPr="00043AFA">
        <w:rPr>
          <w:rStyle w:val="Emphasis"/>
          <w:rFonts w:ascii="Arial" w:hAnsi="Arial" w:cs="Arial"/>
          <w:sz w:val="20"/>
        </w:rPr>
        <w:t>International Journal of Chemical Studies</w:t>
      </w:r>
      <w:r w:rsidRPr="00043AFA">
        <w:rPr>
          <w:rFonts w:ascii="Arial" w:hAnsi="Arial" w:cs="Arial"/>
          <w:sz w:val="20"/>
        </w:rPr>
        <w:t>, 9(1), 21–28.</w:t>
      </w:r>
    </w:p>
    <w:p w14:paraId="3D268042" w14:textId="77777777" w:rsidR="00CC0D7B" w:rsidRPr="00681D78" w:rsidRDefault="00CC0D7B" w:rsidP="00CC0D7B">
      <w:pPr>
        <w:jc w:val="both"/>
        <w:rPr>
          <w:rFonts w:ascii="Arial" w:hAnsi="Arial" w:cs="Arial"/>
          <w:sz w:val="20"/>
        </w:rPr>
      </w:pPr>
    </w:p>
    <w:p w14:paraId="4DB78D2F" w14:textId="77777777" w:rsidR="00CC0D7B" w:rsidRPr="00681D78" w:rsidRDefault="00CC0D7B" w:rsidP="006E0DA5">
      <w:pPr>
        <w:ind w:left="567" w:hanging="567"/>
        <w:jc w:val="both"/>
        <w:rPr>
          <w:rFonts w:ascii="Arial" w:hAnsi="Arial" w:cs="Arial"/>
          <w:sz w:val="20"/>
        </w:rPr>
      </w:pPr>
    </w:p>
    <w:p w14:paraId="252A2A09" w14:textId="77777777" w:rsidR="005564D1" w:rsidRPr="00681D78" w:rsidRDefault="005564D1" w:rsidP="006E0DA5">
      <w:pPr>
        <w:ind w:left="850" w:hanging="850"/>
        <w:jc w:val="both"/>
        <w:rPr>
          <w:rFonts w:ascii="Arial" w:eastAsia="Times New Roman" w:hAnsi="Arial" w:cs="Arial"/>
          <w:sz w:val="20"/>
        </w:rPr>
      </w:pPr>
    </w:p>
    <w:p w14:paraId="5D9B51BE" w14:textId="77777777" w:rsidR="005564D1" w:rsidRPr="00681D78" w:rsidRDefault="005564D1" w:rsidP="006E0DA5">
      <w:pPr>
        <w:ind w:left="850" w:hanging="850"/>
        <w:jc w:val="both"/>
        <w:rPr>
          <w:rFonts w:ascii="Arial" w:eastAsia="Times New Roman" w:hAnsi="Arial" w:cs="Arial"/>
          <w:color w:val="000000"/>
          <w:sz w:val="20"/>
        </w:rPr>
      </w:pPr>
    </w:p>
    <w:p w14:paraId="42DCE746" w14:textId="77777777" w:rsidR="00D7348A" w:rsidRPr="00681D78" w:rsidRDefault="00D7348A" w:rsidP="006E0DA5">
      <w:pPr>
        <w:jc w:val="both"/>
        <w:rPr>
          <w:rFonts w:ascii="Arial" w:hAnsi="Arial" w:cs="Arial"/>
          <w:sz w:val="20"/>
          <w:lang w:val="en-IN"/>
        </w:rPr>
      </w:pPr>
    </w:p>
    <w:sectPr w:rsidR="00D7348A" w:rsidRPr="00681D78" w:rsidSect="009C21C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23BFE" w14:textId="77777777" w:rsidR="00A06FCA" w:rsidRDefault="00A06FCA" w:rsidP="000E4A86">
      <w:pPr>
        <w:spacing w:after="0" w:line="240" w:lineRule="auto"/>
      </w:pPr>
      <w:r>
        <w:separator/>
      </w:r>
    </w:p>
  </w:endnote>
  <w:endnote w:type="continuationSeparator" w:id="0">
    <w:p w14:paraId="526C7C4A" w14:textId="77777777" w:rsidR="00A06FCA" w:rsidRDefault="00A06FCA" w:rsidP="000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354E" w14:textId="77777777" w:rsidR="00FD15C3" w:rsidRDefault="00FD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56818"/>
      <w:docPartObj>
        <w:docPartGallery w:val="Page Numbers (Bottom of Page)"/>
        <w:docPartUnique/>
      </w:docPartObj>
    </w:sdtPr>
    <w:sdtEndPr>
      <w:rPr>
        <w:noProof/>
      </w:rPr>
    </w:sdtEndPr>
    <w:sdtContent>
      <w:p w14:paraId="6C8006D1" w14:textId="3A450699" w:rsidR="003F5C50" w:rsidRDefault="003F5C50">
        <w:pPr>
          <w:pStyle w:val="Footer"/>
          <w:jc w:val="center"/>
        </w:pPr>
        <w:r>
          <w:fldChar w:fldCharType="begin"/>
        </w:r>
        <w:r>
          <w:instrText xml:space="preserve"> PAGE   \* MERGEFORMAT </w:instrText>
        </w:r>
        <w:r>
          <w:fldChar w:fldCharType="separate"/>
        </w:r>
        <w:r w:rsidR="00D02DF0">
          <w:rPr>
            <w:noProof/>
          </w:rPr>
          <w:t>10</w:t>
        </w:r>
        <w:r>
          <w:rPr>
            <w:noProof/>
          </w:rPr>
          <w:fldChar w:fldCharType="end"/>
        </w:r>
      </w:p>
    </w:sdtContent>
  </w:sdt>
  <w:p w14:paraId="7BC38D0D" w14:textId="77777777" w:rsidR="003F5C50" w:rsidRDefault="003F5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40B1" w14:textId="77777777" w:rsidR="00FD15C3" w:rsidRDefault="00FD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F5E3" w14:textId="77777777" w:rsidR="00A06FCA" w:rsidRDefault="00A06FCA" w:rsidP="000E4A86">
      <w:pPr>
        <w:spacing w:after="0" w:line="240" w:lineRule="auto"/>
      </w:pPr>
      <w:r>
        <w:separator/>
      </w:r>
    </w:p>
  </w:footnote>
  <w:footnote w:type="continuationSeparator" w:id="0">
    <w:p w14:paraId="00203857" w14:textId="77777777" w:rsidR="00A06FCA" w:rsidRDefault="00A06FCA" w:rsidP="000E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038C" w14:textId="4E823BD4" w:rsidR="00FD15C3" w:rsidRDefault="00FD15C3">
    <w:pPr>
      <w:pStyle w:val="Header"/>
    </w:pPr>
    <w:r>
      <w:rPr>
        <w:noProof/>
      </w:rPr>
      <w:pict w14:anchorId="587D0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1222" w14:textId="41C2CCBF" w:rsidR="00FD15C3" w:rsidRDefault="00FD15C3">
    <w:pPr>
      <w:pStyle w:val="Header"/>
    </w:pPr>
    <w:r>
      <w:rPr>
        <w:noProof/>
      </w:rPr>
      <w:pict w14:anchorId="452F4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CA4F" w14:textId="1B1AFD6A" w:rsidR="00FD15C3" w:rsidRDefault="00FD15C3">
    <w:pPr>
      <w:pStyle w:val="Header"/>
    </w:pPr>
    <w:r>
      <w:rPr>
        <w:noProof/>
      </w:rPr>
      <w:pict w14:anchorId="1B25F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7EA"/>
    <w:multiLevelType w:val="hybridMultilevel"/>
    <w:tmpl w:val="3D5C3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34C6"/>
    <w:multiLevelType w:val="multilevel"/>
    <w:tmpl w:val="8BA25F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C54E46"/>
    <w:multiLevelType w:val="hybridMultilevel"/>
    <w:tmpl w:val="2C54F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2AA7"/>
    <w:multiLevelType w:val="hybridMultilevel"/>
    <w:tmpl w:val="FEB87B8A"/>
    <w:lvl w:ilvl="0" w:tplc="D62AB17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70AC"/>
    <w:multiLevelType w:val="hybridMultilevel"/>
    <w:tmpl w:val="AF5E383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79BB"/>
    <w:multiLevelType w:val="hybridMultilevel"/>
    <w:tmpl w:val="75887E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0CC8"/>
    <w:multiLevelType w:val="multilevel"/>
    <w:tmpl w:val="0292E5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72736B"/>
    <w:multiLevelType w:val="hybridMultilevel"/>
    <w:tmpl w:val="4A0400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3ABB"/>
    <w:multiLevelType w:val="hybridMultilevel"/>
    <w:tmpl w:val="AF140D4C"/>
    <w:lvl w:ilvl="0" w:tplc="84702A9E">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F5A"/>
    <w:multiLevelType w:val="multilevel"/>
    <w:tmpl w:val="F4EEEA2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B4F81"/>
    <w:multiLevelType w:val="hybridMultilevel"/>
    <w:tmpl w:val="A5BEFD68"/>
    <w:lvl w:ilvl="0" w:tplc="028ABF6E">
      <w:start w:val="2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18"/>
    <w:multiLevelType w:val="hybridMultilevel"/>
    <w:tmpl w:val="2CDA0A3A"/>
    <w:lvl w:ilvl="0" w:tplc="411A159C">
      <w:start w:val="2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275CD"/>
    <w:multiLevelType w:val="multilevel"/>
    <w:tmpl w:val="F99EB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26B72DC"/>
    <w:multiLevelType w:val="hybridMultilevel"/>
    <w:tmpl w:val="459836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6401A"/>
    <w:multiLevelType w:val="multilevel"/>
    <w:tmpl w:val="E938CEA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2562D0"/>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14245C4"/>
    <w:multiLevelType w:val="multilevel"/>
    <w:tmpl w:val="432659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0267B5"/>
    <w:multiLevelType w:val="multilevel"/>
    <w:tmpl w:val="7DE410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color w:val="auto"/>
        <w:sz w:val="28"/>
        <w:szCs w:val="28"/>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val="0"/>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18" w15:restartNumberingAfterBreak="0">
    <w:nsid w:val="51D06332"/>
    <w:multiLevelType w:val="multilevel"/>
    <w:tmpl w:val="7A684D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A54E37"/>
    <w:multiLevelType w:val="hybridMultilevel"/>
    <w:tmpl w:val="FCF4E2F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4536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6183D"/>
    <w:multiLevelType w:val="multilevel"/>
    <w:tmpl w:val="C61A61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E0171B5"/>
    <w:multiLevelType w:val="hybridMultilevel"/>
    <w:tmpl w:val="5E204A36"/>
    <w:lvl w:ilvl="0" w:tplc="6AAEFABA">
      <w:start w:val="1"/>
      <w:numFmt w:val="decimal"/>
      <w:lvlText w:val="%1."/>
      <w:lvlJc w:val="left"/>
      <w:pPr>
        <w:ind w:left="502" w:hanging="360"/>
      </w:pPr>
      <w:rPr>
        <w:b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724470A1"/>
    <w:multiLevelType w:val="hybridMultilevel"/>
    <w:tmpl w:val="22AC6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02863"/>
    <w:multiLevelType w:val="hybridMultilevel"/>
    <w:tmpl w:val="40B85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6E3562"/>
    <w:multiLevelType w:val="hybridMultilevel"/>
    <w:tmpl w:val="40B8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52BDD"/>
    <w:multiLevelType w:val="hybridMultilevel"/>
    <w:tmpl w:val="DBFA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03F"/>
    <w:multiLevelType w:val="hybridMultilevel"/>
    <w:tmpl w:val="C8A6FD5C"/>
    <w:lvl w:ilvl="0" w:tplc="AB683CA6">
      <w:start w:val="1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17"/>
  </w:num>
  <w:num w:numId="5">
    <w:abstractNumId w:val="14"/>
  </w:num>
  <w:num w:numId="6">
    <w:abstractNumId w:val="13"/>
  </w:num>
  <w:num w:numId="7">
    <w:abstractNumId w:val="19"/>
  </w:num>
  <w:num w:numId="8">
    <w:abstractNumId w:val="23"/>
  </w:num>
  <w:num w:numId="9">
    <w:abstractNumId w:val="26"/>
  </w:num>
  <w:num w:numId="10">
    <w:abstractNumId w:val="7"/>
  </w:num>
  <w:num w:numId="11">
    <w:abstractNumId w:val="4"/>
  </w:num>
  <w:num w:numId="12">
    <w:abstractNumId w:val="2"/>
  </w:num>
  <w:num w:numId="13">
    <w:abstractNumId w:val="27"/>
  </w:num>
  <w:num w:numId="14">
    <w:abstractNumId w:val="11"/>
  </w:num>
  <w:num w:numId="15">
    <w:abstractNumId w:val="25"/>
  </w:num>
  <w:num w:numId="16">
    <w:abstractNumId w:val="5"/>
  </w:num>
  <w:num w:numId="17">
    <w:abstractNumId w:val="8"/>
  </w:num>
  <w:num w:numId="18">
    <w:abstractNumId w:val="10"/>
  </w:num>
  <w:num w:numId="19">
    <w:abstractNumId w:val="9"/>
  </w:num>
  <w:num w:numId="20">
    <w:abstractNumId w:val="12"/>
  </w:num>
  <w:num w:numId="21">
    <w:abstractNumId w:val="0"/>
  </w:num>
  <w:num w:numId="22">
    <w:abstractNumId w:val="1"/>
  </w:num>
  <w:num w:numId="23">
    <w:abstractNumId w:val="21"/>
  </w:num>
  <w:num w:numId="24">
    <w:abstractNumId w:val="16"/>
  </w:num>
  <w:num w:numId="25">
    <w:abstractNumId w:val="15"/>
  </w:num>
  <w:num w:numId="26">
    <w:abstractNumId w:val="20"/>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7D4D"/>
    <w:rsid w:val="00007EC3"/>
    <w:rsid w:val="00011386"/>
    <w:rsid w:val="00043AFA"/>
    <w:rsid w:val="00053B2B"/>
    <w:rsid w:val="00054147"/>
    <w:rsid w:val="00073281"/>
    <w:rsid w:val="0008660D"/>
    <w:rsid w:val="000E4A86"/>
    <w:rsid w:val="000F52CF"/>
    <w:rsid w:val="001168C1"/>
    <w:rsid w:val="00127A48"/>
    <w:rsid w:val="00136FAE"/>
    <w:rsid w:val="00163CE2"/>
    <w:rsid w:val="0017727A"/>
    <w:rsid w:val="001868B6"/>
    <w:rsid w:val="001A3FB2"/>
    <w:rsid w:val="001C0474"/>
    <w:rsid w:val="001D23FD"/>
    <w:rsid w:val="001E0E32"/>
    <w:rsid w:val="00211FCD"/>
    <w:rsid w:val="00244E02"/>
    <w:rsid w:val="00282440"/>
    <w:rsid w:val="00292F98"/>
    <w:rsid w:val="002A4A67"/>
    <w:rsid w:val="00305987"/>
    <w:rsid w:val="00345957"/>
    <w:rsid w:val="00351FA3"/>
    <w:rsid w:val="00367332"/>
    <w:rsid w:val="0037088A"/>
    <w:rsid w:val="003D5885"/>
    <w:rsid w:val="003F5888"/>
    <w:rsid w:val="003F5C50"/>
    <w:rsid w:val="0041733B"/>
    <w:rsid w:val="004177B8"/>
    <w:rsid w:val="004209E3"/>
    <w:rsid w:val="00420DC1"/>
    <w:rsid w:val="00441D3E"/>
    <w:rsid w:val="004B2329"/>
    <w:rsid w:val="004F4B91"/>
    <w:rsid w:val="004F7164"/>
    <w:rsid w:val="00503A7E"/>
    <w:rsid w:val="00510AF9"/>
    <w:rsid w:val="00514C8B"/>
    <w:rsid w:val="00531339"/>
    <w:rsid w:val="00536B8B"/>
    <w:rsid w:val="005564D1"/>
    <w:rsid w:val="00561ECE"/>
    <w:rsid w:val="00580355"/>
    <w:rsid w:val="005C6AFF"/>
    <w:rsid w:val="005F15D9"/>
    <w:rsid w:val="006139A7"/>
    <w:rsid w:val="00613C71"/>
    <w:rsid w:val="006362F8"/>
    <w:rsid w:val="00646C91"/>
    <w:rsid w:val="00662EAD"/>
    <w:rsid w:val="00674995"/>
    <w:rsid w:val="00681D78"/>
    <w:rsid w:val="00683428"/>
    <w:rsid w:val="006C55CE"/>
    <w:rsid w:val="006E0DA5"/>
    <w:rsid w:val="007650C9"/>
    <w:rsid w:val="0079070C"/>
    <w:rsid w:val="007B3C86"/>
    <w:rsid w:val="007C74C8"/>
    <w:rsid w:val="007F37FF"/>
    <w:rsid w:val="00826084"/>
    <w:rsid w:val="0085170F"/>
    <w:rsid w:val="00864A54"/>
    <w:rsid w:val="008732FE"/>
    <w:rsid w:val="00885E1C"/>
    <w:rsid w:val="00890D3D"/>
    <w:rsid w:val="008C7B7E"/>
    <w:rsid w:val="00910995"/>
    <w:rsid w:val="00912629"/>
    <w:rsid w:val="00912F0A"/>
    <w:rsid w:val="0094320A"/>
    <w:rsid w:val="00996086"/>
    <w:rsid w:val="009A1293"/>
    <w:rsid w:val="009C21C7"/>
    <w:rsid w:val="00A06FCA"/>
    <w:rsid w:val="00A24792"/>
    <w:rsid w:val="00A263B3"/>
    <w:rsid w:val="00A5024A"/>
    <w:rsid w:val="00A7335C"/>
    <w:rsid w:val="00A75692"/>
    <w:rsid w:val="00A81EB5"/>
    <w:rsid w:val="00AC59C1"/>
    <w:rsid w:val="00AF295E"/>
    <w:rsid w:val="00B816B5"/>
    <w:rsid w:val="00B87A76"/>
    <w:rsid w:val="00BD66DF"/>
    <w:rsid w:val="00C066B4"/>
    <w:rsid w:val="00C24A77"/>
    <w:rsid w:val="00CB61C1"/>
    <w:rsid w:val="00CB7473"/>
    <w:rsid w:val="00CC0D7B"/>
    <w:rsid w:val="00CC3EDA"/>
    <w:rsid w:val="00CC5979"/>
    <w:rsid w:val="00CD3FF2"/>
    <w:rsid w:val="00CF5391"/>
    <w:rsid w:val="00D02359"/>
    <w:rsid w:val="00D02DF0"/>
    <w:rsid w:val="00D27016"/>
    <w:rsid w:val="00D61DB0"/>
    <w:rsid w:val="00D7348A"/>
    <w:rsid w:val="00D86454"/>
    <w:rsid w:val="00DB663F"/>
    <w:rsid w:val="00DB7A60"/>
    <w:rsid w:val="00DC388A"/>
    <w:rsid w:val="00E164B4"/>
    <w:rsid w:val="00E3111F"/>
    <w:rsid w:val="00E354E5"/>
    <w:rsid w:val="00E47D4D"/>
    <w:rsid w:val="00E53FE9"/>
    <w:rsid w:val="00E6773C"/>
    <w:rsid w:val="00EC240A"/>
    <w:rsid w:val="00ED2083"/>
    <w:rsid w:val="00EF0868"/>
    <w:rsid w:val="00F12CF2"/>
    <w:rsid w:val="00F34DDD"/>
    <w:rsid w:val="00F92AD4"/>
    <w:rsid w:val="00FD15C3"/>
    <w:rsid w:val="00FD258F"/>
    <w:rsid w:val="00FD6661"/>
    <w:rsid w:val="00FE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92F621"/>
  <w15:docId w15:val="{1689E90E-E79D-46C3-B77F-0696968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C91"/>
  </w:style>
  <w:style w:type="paragraph" w:styleId="Heading1">
    <w:name w:val="heading 1"/>
    <w:basedOn w:val="Normal"/>
    <w:next w:val="Normal"/>
    <w:link w:val="Heading1Char"/>
    <w:uiPriority w:val="9"/>
    <w:qFormat/>
    <w:rsid w:val="00514C8B"/>
    <w:pPr>
      <w:keepNext/>
      <w:keepLines/>
      <w:numPr>
        <w:numId w:val="25"/>
      </w:numPr>
      <w:spacing w:before="240" w:after="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514C8B"/>
    <w:pPr>
      <w:keepNext/>
      <w:keepLines/>
      <w:numPr>
        <w:ilvl w:val="1"/>
        <w:numId w:val="25"/>
      </w:numPr>
      <w:spacing w:before="40" w:after="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uiPriority w:val="9"/>
    <w:semiHidden/>
    <w:unhideWhenUsed/>
    <w:qFormat/>
    <w:rsid w:val="00514C8B"/>
    <w:pPr>
      <w:keepNext/>
      <w:keepLines/>
      <w:numPr>
        <w:ilvl w:val="2"/>
        <w:numId w:val="25"/>
      </w:numPr>
      <w:spacing w:before="40" w:after="0"/>
      <w:outlineLvl w:val="2"/>
    </w:pPr>
    <w:rPr>
      <w:rFonts w:asciiTheme="majorHAnsi" w:eastAsiaTheme="majorEastAsia" w:hAnsiTheme="majorHAnsi" w:cs="Mangal"/>
      <w:color w:val="243F60" w:themeColor="accent1" w:themeShade="7F"/>
      <w:sz w:val="24"/>
      <w:szCs w:val="21"/>
    </w:rPr>
  </w:style>
  <w:style w:type="paragraph" w:styleId="Heading4">
    <w:name w:val="heading 4"/>
    <w:basedOn w:val="Normal"/>
    <w:next w:val="Normal"/>
    <w:link w:val="Heading4Char"/>
    <w:uiPriority w:val="9"/>
    <w:semiHidden/>
    <w:unhideWhenUsed/>
    <w:qFormat/>
    <w:rsid w:val="00514C8B"/>
    <w:pPr>
      <w:keepNext/>
      <w:keepLines/>
      <w:numPr>
        <w:ilvl w:val="3"/>
        <w:numId w:val="25"/>
      </w:numPr>
      <w:spacing w:before="40" w:after="0"/>
      <w:outlineLvl w:val="3"/>
    </w:pPr>
    <w:rPr>
      <w:rFonts w:asciiTheme="majorHAnsi" w:eastAsiaTheme="majorEastAsia" w:hAnsiTheme="majorHAnsi" w:cs="Mangal"/>
      <w:i/>
      <w:iCs/>
      <w:color w:val="365F91" w:themeColor="accent1" w:themeShade="BF"/>
    </w:rPr>
  </w:style>
  <w:style w:type="paragraph" w:styleId="Heading5">
    <w:name w:val="heading 5"/>
    <w:basedOn w:val="Normal"/>
    <w:next w:val="Normal"/>
    <w:link w:val="Heading5Char"/>
    <w:uiPriority w:val="9"/>
    <w:semiHidden/>
    <w:unhideWhenUsed/>
    <w:qFormat/>
    <w:rsid w:val="00514C8B"/>
    <w:pPr>
      <w:keepNext/>
      <w:keepLines/>
      <w:numPr>
        <w:ilvl w:val="4"/>
        <w:numId w:val="25"/>
      </w:numPr>
      <w:spacing w:before="40" w:after="0"/>
      <w:outlineLvl w:val="4"/>
    </w:pPr>
    <w:rPr>
      <w:rFonts w:asciiTheme="majorHAnsi" w:eastAsiaTheme="majorEastAsia" w:hAnsiTheme="majorHAnsi" w:cs="Mangal"/>
      <w:color w:val="365F91" w:themeColor="accent1" w:themeShade="BF"/>
    </w:rPr>
  </w:style>
  <w:style w:type="paragraph" w:styleId="Heading6">
    <w:name w:val="heading 6"/>
    <w:basedOn w:val="Normal"/>
    <w:next w:val="Normal"/>
    <w:link w:val="Heading6Char"/>
    <w:uiPriority w:val="9"/>
    <w:semiHidden/>
    <w:unhideWhenUsed/>
    <w:qFormat/>
    <w:rsid w:val="00514C8B"/>
    <w:pPr>
      <w:keepNext/>
      <w:keepLines/>
      <w:numPr>
        <w:ilvl w:val="5"/>
        <w:numId w:val="25"/>
      </w:numPr>
      <w:spacing w:before="40" w:after="0"/>
      <w:outlineLvl w:val="5"/>
    </w:pPr>
    <w:rPr>
      <w:rFonts w:asciiTheme="majorHAnsi" w:eastAsiaTheme="majorEastAsia" w:hAnsiTheme="majorHAnsi" w:cs="Mangal"/>
      <w:color w:val="243F60" w:themeColor="accent1" w:themeShade="7F"/>
    </w:rPr>
  </w:style>
  <w:style w:type="paragraph" w:styleId="Heading7">
    <w:name w:val="heading 7"/>
    <w:basedOn w:val="Normal"/>
    <w:next w:val="Normal"/>
    <w:link w:val="Heading7Char"/>
    <w:uiPriority w:val="9"/>
    <w:semiHidden/>
    <w:unhideWhenUsed/>
    <w:qFormat/>
    <w:rsid w:val="00514C8B"/>
    <w:pPr>
      <w:keepNext/>
      <w:keepLines/>
      <w:numPr>
        <w:ilvl w:val="6"/>
        <w:numId w:val="25"/>
      </w:numPr>
      <w:spacing w:before="40" w:after="0"/>
      <w:outlineLvl w:val="6"/>
    </w:pPr>
    <w:rPr>
      <w:rFonts w:asciiTheme="majorHAnsi" w:eastAsiaTheme="majorEastAsia" w:hAnsiTheme="majorHAnsi" w:cs="Mangal"/>
      <w:i/>
      <w:iCs/>
      <w:color w:val="243F60" w:themeColor="accent1" w:themeShade="7F"/>
    </w:rPr>
  </w:style>
  <w:style w:type="paragraph" w:styleId="Heading8">
    <w:name w:val="heading 8"/>
    <w:basedOn w:val="Normal"/>
    <w:next w:val="Normal"/>
    <w:link w:val="Heading8Char"/>
    <w:uiPriority w:val="9"/>
    <w:semiHidden/>
    <w:unhideWhenUsed/>
    <w:qFormat/>
    <w:rsid w:val="00514C8B"/>
    <w:pPr>
      <w:keepNext/>
      <w:keepLines/>
      <w:numPr>
        <w:ilvl w:val="7"/>
        <w:numId w:val="25"/>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514C8B"/>
    <w:pPr>
      <w:keepNext/>
      <w:keepLines/>
      <w:numPr>
        <w:ilvl w:val="8"/>
        <w:numId w:val="25"/>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2CF2"/>
    <w:pPr>
      <w:ind w:left="720"/>
      <w:contextualSpacing/>
    </w:pPr>
  </w:style>
  <w:style w:type="character" w:styleId="Hyperlink">
    <w:name w:val="Hyperlink"/>
    <w:basedOn w:val="DefaultParagraphFont"/>
    <w:uiPriority w:val="99"/>
    <w:unhideWhenUsed/>
    <w:rsid w:val="00D7348A"/>
    <w:rPr>
      <w:color w:val="0000FF"/>
      <w:u w:val="single"/>
    </w:rPr>
  </w:style>
  <w:style w:type="paragraph" w:styleId="NormalWeb">
    <w:name w:val="Normal (Web)"/>
    <w:basedOn w:val="Normal"/>
    <w:uiPriority w:val="99"/>
    <w:unhideWhenUsed/>
    <w:rsid w:val="00D7348A"/>
    <w:pPr>
      <w:spacing w:before="100" w:beforeAutospacing="1" w:after="100" w:afterAutospacing="1" w:line="360" w:lineRule="auto"/>
      <w:jc w:val="both"/>
    </w:pPr>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1"/>
    <w:qFormat/>
    <w:rsid w:val="00D7348A"/>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D7348A"/>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D7348A"/>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D7348A"/>
    <w:rPr>
      <w:rFonts w:ascii="Tahoma" w:hAnsi="Tahoma" w:cs="Tahoma"/>
      <w:sz w:val="16"/>
      <w:szCs w:val="16"/>
      <w:lang w:bidi="ar-SA"/>
    </w:rPr>
  </w:style>
  <w:style w:type="paragraph" w:styleId="Header">
    <w:name w:val="header"/>
    <w:basedOn w:val="Normal"/>
    <w:link w:val="HeaderChar"/>
    <w:uiPriority w:val="99"/>
    <w:unhideWhenUsed/>
    <w:rsid w:val="000E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86"/>
  </w:style>
  <w:style w:type="paragraph" w:styleId="Footer">
    <w:name w:val="footer"/>
    <w:basedOn w:val="Normal"/>
    <w:link w:val="FooterChar"/>
    <w:uiPriority w:val="99"/>
    <w:unhideWhenUsed/>
    <w:rsid w:val="000E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86"/>
  </w:style>
  <w:style w:type="character" w:styleId="PlaceholderText">
    <w:name w:val="Placeholder Text"/>
    <w:basedOn w:val="DefaultParagraphFont"/>
    <w:uiPriority w:val="99"/>
    <w:semiHidden/>
    <w:rsid w:val="00D02359"/>
    <w:rPr>
      <w:color w:val="808080"/>
    </w:rPr>
  </w:style>
  <w:style w:type="paragraph" w:customStyle="1" w:styleId="ReferHead">
    <w:name w:val="Refer Head"/>
    <w:basedOn w:val="Normal"/>
    <w:rsid w:val="006E0DA5"/>
    <w:pPr>
      <w:keepNext/>
      <w:spacing w:after="240" w:line="240" w:lineRule="auto"/>
    </w:pPr>
    <w:rPr>
      <w:rFonts w:ascii="Helvetica" w:eastAsia="Times New Roman" w:hAnsi="Helvetica" w:cs="Times New Roman"/>
      <w:b/>
      <w:caps/>
      <w:lang w:bidi="ar-SA"/>
    </w:rPr>
  </w:style>
  <w:style w:type="character" w:customStyle="1" w:styleId="Heading1Char">
    <w:name w:val="Heading 1 Char"/>
    <w:basedOn w:val="DefaultParagraphFont"/>
    <w:link w:val="Heading1"/>
    <w:uiPriority w:val="9"/>
    <w:rsid w:val="00514C8B"/>
    <w:rPr>
      <w:rFonts w:asciiTheme="majorHAnsi" w:eastAsiaTheme="majorEastAsia" w:hAnsiTheme="majorHAnsi" w:cs="Mangal"/>
      <w:color w:val="365F91" w:themeColor="accent1" w:themeShade="BF"/>
      <w:sz w:val="32"/>
      <w:szCs w:val="29"/>
    </w:rPr>
  </w:style>
  <w:style w:type="character" w:customStyle="1" w:styleId="Heading2Char">
    <w:name w:val="Heading 2 Char"/>
    <w:basedOn w:val="DefaultParagraphFont"/>
    <w:link w:val="Heading2"/>
    <w:uiPriority w:val="9"/>
    <w:rsid w:val="00514C8B"/>
    <w:rPr>
      <w:rFonts w:asciiTheme="majorHAnsi" w:eastAsiaTheme="majorEastAsia" w:hAnsiTheme="majorHAnsi" w:cs="Mangal"/>
      <w:color w:val="365F91" w:themeColor="accent1" w:themeShade="BF"/>
      <w:sz w:val="26"/>
      <w:szCs w:val="23"/>
    </w:rPr>
  </w:style>
  <w:style w:type="character" w:customStyle="1" w:styleId="Heading3Char">
    <w:name w:val="Heading 3 Char"/>
    <w:basedOn w:val="DefaultParagraphFont"/>
    <w:link w:val="Heading3"/>
    <w:uiPriority w:val="9"/>
    <w:semiHidden/>
    <w:rsid w:val="00514C8B"/>
    <w:rPr>
      <w:rFonts w:asciiTheme="majorHAnsi" w:eastAsiaTheme="majorEastAsia" w:hAnsiTheme="majorHAnsi" w:cs="Mangal"/>
      <w:color w:val="243F60" w:themeColor="accent1" w:themeShade="7F"/>
      <w:sz w:val="24"/>
      <w:szCs w:val="21"/>
    </w:rPr>
  </w:style>
  <w:style w:type="character" w:customStyle="1" w:styleId="Heading4Char">
    <w:name w:val="Heading 4 Char"/>
    <w:basedOn w:val="DefaultParagraphFont"/>
    <w:link w:val="Heading4"/>
    <w:uiPriority w:val="9"/>
    <w:semiHidden/>
    <w:rsid w:val="00514C8B"/>
    <w:rPr>
      <w:rFonts w:asciiTheme="majorHAnsi" w:eastAsiaTheme="majorEastAsia" w:hAnsiTheme="majorHAnsi" w:cs="Mangal"/>
      <w:i/>
      <w:iCs/>
      <w:color w:val="365F91" w:themeColor="accent1" w:themeShade="BF"/>
    </w:rPr>
  </w:style>
  <w:style w:type="character" w:customStyle="1" w:styleId="Heading5Char">
    <w:name w:val="Heading 5 Char"/>
    <w:basedOn w:val="DefaultParagraphFont"/>
    <w:link w:val="Heading5"/>
    <w:uiPriority w:val="9"/>
    <w:semiHidden/>
    <w:rsid w:val="00514C8B"/>
    <w:rPr>
      <w:rFonts w:asciiTheme="majorHAnsi" w:eastAsiaTheme="majorEastAsia" w:hAnsiTheme="majorHAnsi" w:cs="Mangal"/>
      <w:color w:val="365F91" w:themeColor="accent1" w:themeShade="BF"/>
    </w:rPr>
  </w:style>
  <w:style w:type="character" w:customStyle="1" w:styleId="Heading6Char">
    <w:name w:val="Heading 6 Char"/>
    <w:basedOn w:val="DefaultParagraphFont"/>
    <w:link w:val="Heading6"/>
    <w:uiPriority w:val="9"/>
    <w:semiHidden/>
    <w:rsid w:val="00514C8B"/>
    <w:rPr>
      <w:rFonts w:asciiTheme="majorHAnsi" w:eastAsiaTheme="majorEastAsia" w:hAnsiTheme="majorHAnsi" w:cs="Mangal"/>
      <w:color w:val="243F60" w:themeColor="accent1" w:themeShade="7F"/>
    </w:rPr>
  </w:style>
  <w:style w:type="character" w:customStyle="1" w:styleId="Heading7Char">
    <w:name w:val="Heading 7 Char"/>
    <w:basedOn w:val="DefaultParagraphFont"/>
    <w:link w:val="Heading7"/>
    <w:uiPriority w:val="9"/>
    <w:semiHidden/>
    <w:rsid w:val="00514C8B"/>
    <w:rPr>
      <w:rFonts w:asciiTheme="majorHAnsi" w:eastAsiaTheme="majorEastAsia" w:hAnsiTheme="majorHAnsi" w:cs="Mangal"/>
      <w:i/>
      <w:iCs/>
      <w:color w:val="243F60" w:themeColor="accent1" w:themeShade="7F"/>
    </w:rPr>
  </w:style>
  <w:style w:type="character" w:customStyle="1" w:styleId="Heading8Char">
    <w:name w:val="Heading 8 Char"/>
    <w:basedOn w:val="DefaultParagraphFont"/>
    <w:link w:val="Heading8"/>
    <w:uiPriority w:val="9"/>
    <w:semiHidden/>
    <w:rsid w:val="00514C8B"/>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rsid w:val="00514C8B"/>
    <w:rPr>
      <w:rFonts w:asciiTheme="majorHAnsi" w:eastAsiaTheme="majorEastAsia" w:hAnsiTheme="majorHAnsi" w:cs="Mangal"/>
      <w:i/>
      <w:iCs/>
      <w:color w:val="272727" w:themeColor="text1" w:themeTint="D8"/>
      <w:sz w:val="21"/>
      <w:szCs w:val="19"/>
    </w:rPr>
  </w:style>
  <w:style w:type="character" w:styleId="Strong">
    <w:name w:val="Strong"/>
    <w:basedOn w:val="DefaultParagraphFont"/>
    <w:uiPriority w:val="22"/>
    <w:qFormat/>
    <w:rsid w:val="00053B2B"/>
    <w:rPr>
      <w:b/>
      <w:bCs/>
    </w:rPr>
  </w:style>
  <w:style w:type="character" w:styleId="Emphasis">
    <w:name w:val="Emphasis"/>
    <w:basedOn w:val="DefaultParagraphFont"/>
    <w:uiPriority w:val="20"/>
    <w:qFormat/>
    <w:rsid w:val="00053B2B"/>
    <w:rPr>
      <w:i/>
      <w:iCs/>
    </w:rPr>
  </w:style>
  <w:style w:type="character" w:styleId="UnresolvedMention">
    <w:name w:val="Unresolved Mention"/>
    <w:basedOn w:val="DefaultParagraphFont"/>
    <w:uiPriority w:val="99"/>
    <w:semiHidden/>
    <w:unhideWhenUsed/>
    <w:rsid w:val="0053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6017">
      <w:bodyDiv w:val="1"/>
      <w:marLeft w:val="0"/>
      <w:marRight w:val="0"/>
      <w:marTop w:val="0"/>
      <w:marBottom w:val="0"/>
      <w:divBdr>
        <w:top w:val="none" w:sz="0" w:space="0" w:color="auto"/>
        <w:left w:val="none" w:sz="0" w:space="0" w:color="auto"/>
        <w:bottom w:val="none" w:sz="0" w:space="0" w:color="auto"/>
        <w:right w:val="none" w:sz="0" w:space="0" w:color="auto"/>
      </w:divBdr>
    </w:div>
    <w:div w:id="18445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10</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gyanaranjan mohanty</dc:creator>
  <cp:keywords/>
  <dc:description/>
  <cp:lastModifiedBy>SDI 1084</cp:lastModifiedBy>
  <cp:revision>69</cp:revision>
  <dcterms:created xsi:type="dcterms:W3CDTF">2024-08-15T16:49:00Z</dcterms:created>
  <dcterms:modified xsi:type="dcterms:W3CDTF">2025-08-22T08:10:00Z</dcterms:modified>
</cp:coreProperties>
</file>