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D9E0" w14:textId="3E1EAC2D" w:rsidR="00187DC1" w:rsidRPr="00187DC1" w:rsidRDefault="00187DC1">
      <w:pPr>
        <w:spacing w:line="360" w:lineRule="auto"/>
        <w:ind w:left="-851"/>
        <w:rPr>
          <w:rFonts w:ascii="Times New Roman" w:hAnsi="Times New Roman"/>
          <w:b/>
          <w:bCs/>
          <w:sz w:val="24"/>
          <w:szCs w:val="24"/>
          <w:u w:val="single"/>
        </w:rPr>
      </w:pPr>
      <w:r w:rsidRPr="00187DC1">
        <w:rPr>
          <w:rFonts w:ascii="Times New Roman" w:hAnsi="Times New Roman"/>
          <w:b/>
          <w:bCs/>
          <w:sz w:val="24"/>
          <w:szCs w:val="24"/>
          <w:u w:val="single"/>
        </w:rPr>
        <w:t>Original Research Article</w:t>
      </w:r>
    </w:p>
    <w:p w14:paraId="10BB5895" w14:textId="5498DF49" w:rsidR="00B72507" w:rsidRDefault="0048509B">
      <w:pPr>
        <w:spacing w:line="360" w:lineRule="auto"/>
        <w:ind w:left="-851"/>
        <w:rPr>
          <w:rFonts w:ascii="Times New Roman" w:hAnsi="Times New Roman"/>
          <w:b/>
          <w:bCs/>
          <w:sz w:val="24"/>
          <w:szCs w:val="24"/>
        </w:rPr>
      </w:pPr>
      <w:r>
        <w:rPr>
          <w:rFonts w:ascii="Times New Roman" w:hAnsi="Times New Roman"/>
          <w:b/>
          <w:bCs/>
          <w:sz w:val="24"/>
          <w:szCs w:val="24"/>
        </w:rPr>
        <w:t xml:space="preserve">Variability, heritability, genetic advance in </w:t>
      </w:r>
      <w:r w:rsidR="00537241">
        <w:rPr>
          <w:rFonts w:ascii="Times New Roman" w:hAnsi="Times New Roman"/>
          <w:b/>
          <w:bCs/>
          <w:sz w:val="24"/>
          <w:szCs w:val="24"/>
        </w:rPr>
        <w:t>anthurium</w:t>
      </w:r>
    </w:p>
    <w:p w14:paraId="07F2AECE" w14:textId="351B3172" w:rsidR="002D36BD" w:rsidRDefault="002D36BD">
      <w:pPr>
        <w:spacing w:line="240" w:lineRule="auto"/>
        <w:ind w:left="-851"/>
        <w:rPr>
          <w:rFonts w:ascii="Times New Roman" w:hAnsi="Times New Roman"/>
          <w:sz w:val="20"/>
          <w:szCs w:val="20"/>
        </w:rPr>
      </w:pPr>
    </w:p>
    <w:p w14:paraId="6F44B2E2" w14:textId="77777777" w:rsidR="002A3E38" w:rsidRDefault="002A3E38">
      <w:pPr>
        <w:spacing w:line="240" w:lineRule="auto"/>
        <w:ind w:left="-851"/>
        <w:rPr>
          <w:rFonts w:ascii="Times New Roman" w:hAnsi="Times New Roman"/>
          <w:sz w:val="20"/>
          <w:szCs w:val="20"/>
        </w:rPr>
      </w:pPr>
      <w:bookmarkStart w:id="0" w:name="_GoBack"/>
      <w:bookmarkEnd w:id="0"/>
    </w:p>
    <w:p w14:paraId="717EE1F8" w14:textId="77777777" w:rsidR="00B72507" w:rsidRDefault="0048509B">
      <w:pPr>
        <w:spacing w:line="360" w:lineRule="auto"/>
        <w:ind w:left="-851"/>
        <w:jc w:val="both"/>
        <w:rPr>
          <w:rFonts w:ascii="Times New Roman" w:hAnsi="Times New Roman"/>
          <w:sz w:val="24"/>
          <w:szCs w:val="24"/>
        </w:rPr>
      </w:pPr>
      <w:r>
        <w:rPr>
          <w:b/>
          <w:bCs/>
        </w:rPr>
        <w:t>Abstract-</w:t>
      </w:r>
      <w:r>
        <w:t xml:space="preserve"> </w:t>
      </w:r>
      <w:r w:rsidR="00537241">
        <w:rPr>
          <w:rFonts w:ascii="Times New Roman" w:hAnsi="Times New Roman"/>
          <w:sz w:val="24"/>
          <w:szCs w:val="24"/>
        </w:rPr>
        <w:t xml:space="preserve">Twelve </w:t>
      </w:r>
      <w:r w:rsidR="00B402A8">
        <w:rPr>
          <w:rFonts w:ascii="Times New Roman" w:hAnsi="Times New Roman"/>
          <w:sz w:val="24"/>
          <w:szCs w:val="24"/>
        </w:rPr>
        <w:t>varieties</w:t>
      </w:r>
      <w:r w:rsidR="00537241">
        <w:rPr>
          <w:rFonts w:ascii="Times New Roman" w:hAnsi="Times New Roman"/>
          <w:sz w:val="24"/>
          <w:szCs w:val="24"/>
        </w:rPr>
        <w:t xml:space="preserve"> of anthurium</w:t>
      </w:r>
      <w:r>
        <w:rPr>
          <w:rFonts w:ascii="Times New Roman" w:hAnsi="Times New Roman"/>
          <w:sz w:val="24"/>
          <w:szCs w:val="24"/>
        </w:rPr>
        <w:t xml:space="preserve"> were evaluated to determine genetic variability, heritability</w:t>
      </w:r>
      <w:r>
        <w:rPr>
          <w:rFonts w:ascii="Times New Roman" w:hAnsi="Times New Roman"/>
        </w:rPr>
        <w:t xml:space="preserve"> and </w:t>
      </w:r>
      <w:r>
        <w:rPr>
          <w:rFonts w:ascii="Times New Roman" w:hAnsi="Times New Roman"/>
          <w:sz w:val="24"/>
          <w:szCs w:val="24"/>
        </w:rPr>
        <w:t>genetic advance. Analysis of Variance revealed that magnitude of the Phenotypic Coefficient of Variation (PCV) was higher than Genotypic Coefficient of Variation (GCV) for all the traits.</w:t>
      </w:r>
      <w:r>
        <w:rPr>
          <w:rFonts w:ascii="Times New Roman" w:eastAsiaTheme="minorHAnsi" w:hAnsi="Times New Roman"/>
          <w:sz w:val="24"/>
          <w:szCs w:val="24"/>
          <w:lang w:val="en-IN"/>
        </w:rPr>
        <w:t xml:space="preserve"> </w:t>
      </w:r>
      <w:r>
        <w:rPr>
          <w:rFonts w:ascii="Times New Roman" w:eastAsiaTheme="minorHAnsi" w:hAnsi="Times New Roman" w:cstheme="minorBidi"/>
          <w:sz w:val="24"/>
          <w:szCs w:val="24"/>
          <w:lang w:val="en-IN" w:eastAsia="en-IN"/>
        </w:rPr>
        <w:t>High level of GCV</w:t>
      </w:r>
      <w:r w:rsidR="00DA7517">
        <w:rPr>
          <w:rFonts w:ascii="Times New Roman" w:eastAsiaTheme="minorHAnsi" w:hAnsi="Times New Roman" w:cstheme="minorBidi"/>
          <w:sz w:val="24"/>
          <w:szCs w:val="24"/>
          <w:lang w:val="en-IN" w:eastAsia="en-IN"/>
        </w:rPr>
        <w:t xml:space="preserve"> (41.46)</w:t>
      </w:r>
      <w:r>
        <w:rPr>
          <w:rFonts w:ascii="Times New Roman" w:eastAsiaTheme="minorHAnsi" w:hAnsi="Times New Roman" w:cstheme="minorBidi"/>
          <w:sz w:val="24"/>
          <w:szCs w:val="24"/>
          <w:lang w:val="en-IN" w:eastAsia="en-IN"/>
        </w:rPr>
        <w:t xml:space="preserve"> and PCV</w:t>
      </w:r>
      <w:r w:rsidR="00DA7517">
        <w:rPr>
          <w:rFonts w:ascii="Times New Roman" w:eastAsiaTheme="minorHAnsi" w:hAnsi="Times New Roman" w:cstheme="minorBidi"/>
          <w:sz w:val="24"/>
          <w:szCs w:val="24"/>
          <w:lang w:val="en-IN" w:eastAsia="en-IN"/>
        </w:rPr>
        <w:t xml:space="preserve"> (41.91) </w:t>
      </w:r>
      <w:r>
        <w:rPr>
          <w:rFonts w:ascii="Times New Roman" w:eastAsiaTheme="minorHAnsi" w:hAnsi="Times New Roman" w:cstheme="minorBidi"/>
          <w:sz w:val="24"/>
          <w:szCs w:val="24"/>
          <w:lang w:val="en-IN" w:eastAsia="en-IN"/>
        </w:rPr>
        <w:t xml:space="preserve">were recorded for </w:t>
      </w:r>
      <w:r w:rsidR="005740A7">
        <w:rPr>
          <w:rFonts w:ascii="Times New Roman" w:eastAsiaTheme="minorHAnsi" w:hAnsi="Times New Roman" w:cstheme="minorBidi"/>
          <w:sz w:val="24"/>
          <w:szCs w:val="24"/>
          <w:lang w:val="en-IN" w:eastAsia="en-IN"/>
        </w:rPr>
        <w:t>spadix length</w:t>
      </w:r>
      <w:r w:rsidR="00A45354">
        <w:rPr>
          <w:rFonts w:ascii="Times New Roman" w:eastAsiaTheme="minorHAnsi" w:hAnsi="Times New Roman" w:cstheme="minorBidi"/>
          <w:sz w:val="24"/>
          <w:szCs w:val="24"/>
          <w:lang w:val="en-IN" w:eastAsia="en-IN"/>
        </w:rPr>
        <w:t>,</w:t>
      </w:r>
      <w:r w:rsidR="00DA7517">
        <w:rPr>
          <w:rFonts w:ascii="Times New Roman" w:eastAsiaTheme="minorHAnsi" w:hAnsi="Times New Roman" w:cstheme="minorBidi"/>
          <w:sz w:val="24"/>
          <w:szCs w:val="24"/>
          <w:lang w:val="en-IN" w:eastAsia="en-IN"/>
        </w:rPr>
        <w:t xml:space="preserve"> whereas high level of </w:t>
      </w:r>
      <w:r w:rsidR="004D074A">
        <w:rPr>
          <w:rFonts w:ascii="Times New Roman" w:eastAsiaTheme="minorHAnsi" w:hAnsi="Times New Roman" w:cstheme="minorBidi"/>
          <w:sz w:val="24"/>
          <w:szCs w:val="24"/>
          <w:lang w:val="en-IN" w:eastAsia="en-IN"/>
        </w:rPr>
        <w:t>PCV was</w:t>
      </w:r>
      <w:r w:rsidR="00DA7517">
        <w:rPr>
          <w:rFonts w:ascii="Times New Roman" w:eastAsiaTheme="minorHAnsi" w:hAnsi="Times New Roman" w:cstheme="minorBidi"/>
          <w:sz w:val="24"/>
          <w:szCs w:val="24"/>
          <w:lang w:val="en-IN" w:eastAsia="en-IN"/>
        </w:rPr>
        <w:t xml:space="preserve"> also recorded for number of suckers per plant (30.88) followed by leaf width (30.50).</w:t>
      </w:r>
      <w:r>
        <w:rPr>
          <w:rFonts w:ascii="Times New Roman" w:eastAsiaTheme="minorHAnsi" w:hAnsi="Times New Roman" w:cstheme="minorBidi"/>
          <w:sz w:val="24"/>
          <w:szCs w:val="24"/>
          <w:lang w:val="en-IN" w:eastAsia="en-IN"/>
        </w:rPr>
        <w:t xml:space="preserve"> </w:t>
      </w:r>
      <w:r w:rsidR="00DA7517">
        <w:rPr>
          <w:rFonts w:ascii="Times New Roman" w:eastAsiaTheme="minorHAnsi" w:hAnsi="Times New Roman"/>
          <w:sz w:val="24"/>
          <w:szCs w:val="24"/>
          <w:lang w:val="en-IN"/>
        </w:rPr>
        <w:t>High heritability was re</w:t>
      </w:r>
      <w:r w:rsidR="00A45354">
        <w:rPr>
          <w:rFonts w:ascii="Times New Roman" w:eastAsiaTheme="minorHAnsi" w:hAnsi="Times New Roman"/>
          <w:sz w:val="24"/>
          <w:szCs w:val="24"/>
          <w:lang w:val="en-IN"/>
        </w:rPr>
        <w:t xml:space="preserve">corded for plant height (99.08) </w:t>
      </w:r>
      <w:r w:rsidR="00DA7517">
        <w:rPr>
          <w:rFonts w:ascii="Times New Roman" w:eastAsiaTheme="minorHAnsi" w:hAnsi="Times New Roman"/>
          <w:sz w:val="24"/>
          <w:szCs w:val="24"/>
          <w:lang w:val="en-IN"/>
        </w:rPr>
        <w:t xml:space="preserve">followed by inflorescence stalk length (98.82), petiole length (98.40), spadix length (97.88), water uptake (93.95), leaf width </w:t>
      </w:r>
      <w:r w:rsidR="00A45354">
        <w:rPr>
          <w:rFonts w:ascii="Times New Roman" w:eastAsiaTheme="minorHAnsi" w:hAnsi="Times New Roman"/>
          <w:sz w:val="24"/>
          <w:szCs w:val="24"/>
          <w:lang w:val="en-IN"/>
        </w:rPr>
        <w:t>(93.51</w:t>
      </w:r>
      <w:proofErr w:type="gramStart"/>
      <w:r w:rsidR="00A45354">
        <w:rPr>
          <w:rFonts w:ascii="Times New Roman" w:eastAsiaTheme="minorHAnsi" w:hAnsi="Times New Roman"/>
          <w:sz w:val="24"/>
          <w:szCs w:val="24"/>
          <w:lang w:val="en-IN"/>
        </w:rPr>
        <w:t>),  leaf</w:t>
      </w:r>
      <w:proofErr w:type="gramEnd"/>
      <w:r w:rsidR="00A45354">
        <w:rPr>
          <w:rFonts w:ascii="Times New Roman" w:eastAsiaTheme="minorHAnsi" w:hAnsi="Times New Roman"/>
          <w:sz w:val="24"/>
          <w:szCs w:val="24"/>
          <w:lang w:val="en-IN"/>
        </w:rPr>
        <w:t xml:space="preserve"> length</w:t>
      </w:r>
      <w:r w:rsidR="00253D4C">
        <w:rPr>
          <w:rFonts w:ascii="Times New Roman" w:eastAsiaTheme="minorHAnsi" w:hAnsi="Times New Roman"/>
          <w:sz w:val="24"/>
          <w:szCs w:val="24"/>
          <w:lang w:val="en-IN"/>
        </w:rPr>
        <w:t xml:space="preserve"> (89.00) , spathe width (91.94)</w:t>
      </w:r>
      <w:r w:rsidR="00DA7517">
        <w:rPr>
          <w:rFonts w:ascii="Times New Roman" w:eastAsiaTheme="minorHAnsi" w:hAnsi="Times New Roman"/>
          <w:sz w:val="24"/>
          <w:szCs w:val="24"/>
          <w:lang w:val="en-IN"/>
        </w:rPr>
        <w:t>,</w:t>
      </w:r>
      <w:r w:rsidR="00325B13" w:rsidRPr="00325B13">
        <w:rPr>
          <w:rFonts w:ascii="Times New Roman" w:eastAsiaTheme="minorHAnsi" w:hAnsi="Times New Roman"/>
          <w:sz w:val="24"/>
          <w:szCs w:val="24"/>
          <w:lang w:val="en-IN"/>
        </w:rPr>
        <w:t xml:space="preserve"> </w:t>
      </w:r>
      <w:r w:rsidR="00325B13">
        <w:rPr>
          <w:rFonts w:ascii="Times New Roman" w:eastAsiaTheme="minorHAnsi" w:hAnsi="Times New Roman"/>
          <w:sz w:val="24"/>
          <w:szCs w:val="24"/>
          <w:lang w:val="en-IN"/>
        </w:rPr>
        <w:t>plant spread (87.36),</w:t>
      </w:r>
      <w:r w:rsidR="00DA7517">
        <w:rPr>
          <w:rFonts w:ascii="Times New Roman" w:eastAsiaTheme="minorHAnsi" w:hAnsi="Times New Roman"/>
          <w:sz w:val="24"/>
          <w:szCs w:val="24"/>
          <w:lang w:val="en-IN"/>
        </w:rPr>
        <w:t xml:space="preserve"> number of suckers per plant (82.72)</w:t>
      </w:r>
      <w:r w:rsidR="00C47298">
        <w:rPr>
          <w:rFonts w:ascii="Times New Roman" w:eastAsiaTheme="minorHAnsi" w:hAnsi="Times New Roman"/>
          <w:sz w:val="24"/>
          <w:szCs w:val="24"/>
          <w:lang w:val="en-IN"/>
        </w:rPr>
        <w:t xml:space="preserve"> and</w:t>
      </w:r>
      <w:r w:rsidR="00DA7517">
        <w:rPr>
          <w:rFonts w:ascii="Times New Roman" w:eastAsiaTheme="minorHAnsi" w:hAnsi="Times New Roman"/>
          <w:sz w:val="24"/>
          <w:szCs w:val="24"/>
          <w:lang w:val="en-IN"/>
        </w:rPr>
        <w:t xml:space="preserve"> spathe length (81.91)</w:t>
      </w:r>
      <w:r>
        <w:rPr>
          <w:rFonts w:ascii="Times New Roman" w:eastAsiaTheme="minorHAnsi" w:hAnsi="Times New Roman"/>
          <w:sz w:val="24"/>
          <w:szCs w:val="24"/>
          <w:lang w:val="en-IN"/>
        </w:rPr>
        <w:t xml:space="preserve">. High heritability coupled with high genetic advance as </w:t>
      </w:r>
      <w:r>
        <w:rPr>
          <w:rFonts w:ascii="Times New Roman" w:eastAsiaTheme="minorHAnsi" w:hAnsi="Times New Roman"/>
          <w:sz w:val="24"/>
          <w:szCs w:val="24"/>
        </w:rPr>
        <w:t>per cent</w:t>
      </w:r>
      <w:r>
        <w:rPr>
          <w:rFonts w:ascii="Times New Roman" w:eastAsiaTheme="minorHAnsi" w:hAnsi="Times New Roman"/>
          <w:sz w:val="24"/>
          <w:szCs w:val="24"/>
          <w:lang w:val="en-IN"/>
        </w:rPr>
        <w:t xml:space="preserve"> of mean was recorded for </w:t>
      </w:r>
      <w:r w:rsidR="00C47298">
        <w:rPr>
          <w:rFonts w:ascii="Times New Roman" w:eastAsiaTheme="minorHAnsi" w:hAnsi="Times New Roman"/>
          <w:sz w:val="24"/>
          <w:szCs w:val="24"/>
          <w:lang w:val="en-IN"/>
        </w:rPr>
        <w:t>plant hei</w:t>
      </w:r>
      <w:r w:rsidR="00325B13">
        <w:rPr>
          <w:rFonts w:ascii="Times New Roman" w:eastAsiaTheme="minorHAnsi" w:hAnsi="Times New Roman"/>
          <w:sz w:val="24"/>
          <w:szCs w:val="24"/>
          <w:lang w:val="en-IN"/>
        </w:rPr>
        <w:t xml:space="preserve">ght, </w:t>
      </w:r>
      <w:r w:rsidR="00C47298">
        <w:rPr>
          <w:rFonts w:ascii="Times New Roman" w:eastAsiaTheme="minorHAnsi" w:hAnsi="Times New Roman"/>
          <w:sz w:val="24"/>
          <w:szCs w:val="24"/>
          <w:lang w:val="en-IN"/>
        </w:rPr>
        <w:t xml:space="preserve">petiole length, </w:t>
      </w:r>
      <w:r w:rsidR="00253D4C">
        <w:rPr>
          <w:rFonts w:ascii="Times New Roman" w:eastAsiaTheme="minorHAnsi" w:hAnsi="Times New Roman"/>
          <w:sz w:val="24"/>
          <w:szCs w:val="24"/>
          <w:lang w:val="en-IN"/>
        </w:rPr>
        <w:t>leaf width</w:t>
      </w:r>
      <w:r w:rsidR="00A45354">
        <w:rPr>
          <w:rFonts w:ascii="Times New Roman" w:eastAsiaTheme="minorHAnsi" w:hAnsi="Times New Roman"/>
          <w:sz w:val="24"/>
          <w:szCs w:val="24"/>
          <w:lang w:val="en-IN"/>
        </w:rPr>
        <w:t>, spadix length</w:t>
      </w:r>
      <w:r w:rsidR="00A45354">
        <w:rPr>
          <w:rFonts w:ascii="Times New Roman" w:eastAsiaTheme="minorHAnsi" w:hAnsi="Times New Roman" w:cstheme="minorBidi"/>
          <w:sz w:val="24"/>
          <w:szCs w:val="24"/>
          <w:lang w:eastAsia="en-IN"/>
        </w:rPr>
        <w:t xml:space="preserve">, </w:t>
      </w:r>
      <w:r w:rsidR="00C47298">
        <w:rPr>
          <w:rFonts w:ascii="Times New Roman" w:eastAsiaTheme="minorHAnsi" w:hAnsi="Times New Roman"/>
          <w:sz w:val="24"/>
          <w:szCs w:val="24"/>
          <w:lang w:val="en-IN"/>
        </w:rPr>
        <w:t xml:space="preserve">number of suckers per plant </w:t>
      </w:r>
      <w:r>
        <w:rPr>
          <w:rFonts w:ascii="Times New Roman" w:eastAsiaTheme="minorHAnsi" w:hAnsi="Times New Roman" w:cstheme="minorBidi"/>
          <w:sz w:val="24"/>
          <w:szCs w:val="24"/>
          <w:lang w:eastAsia="en-IN"/>
        </w:rPr>
        <w:t>and</w:t>
      </w:r>
      <w:r>
        <w:rPr>
          <w:rFonts w:ascii="Times New Roman" w:eastAsiaTheme="minorHAnsi" w:hAnsi="Times New Roman" w:cstheme="minorBidi"/>
          <w:sz w:val="24"/>
          <w:szCs w:val="24"/>
          <w:lang w:val="en-IN" w:eastAsia="en-IN"/>
        </w:rPr>
        <w:t xml:space="preserve"> </w:t>
      </w:r>
      <w:r w:rsidR="00C47298">
        <w:rPr>
          <w:rFonts w:ascii="Times New Roman" w:eastAsiaTheme="minorHAnsi" w:hAnsi="Times New Roman"/>
          <w:sz w:val="24"/>
          <w:szCs w:val="24"/>
          <w:lang w:val="en-IN"/>
        </w:rPr>
        <w:t>inflorescence stalk length</w:t>
      </w:r>
      <w:r>
        <w:rPr>
          <w:rFonts w:ascii="Times New Roman" w:eastAsiaTheme="minorHAnsi" w:hAnsi="Times New Roman" w:cstheme="minorBidi"/>
          <w:sz w:val="24"/>
          <w:szCs w:val="24"/>
          <w:lang w:eastAsia="en-IN"/>
        </w:rPr>
        <w:t xml:space="preserve"> showing</w:t>
      </w:r>
      <w:r>
        <w:rPr>
          <w:rFonts w:ascii="Times New Roman" w:eastAsiaTheme="minorHAnsi" w:hAnsi="Times New Roman"/>
          <w:sz w:val="24"/>
          <w:szCs w:val="24"/>
          <w:lang w:val="en-IN"/>
        </w:rPr>
        <w:t xml:space="preserve"> greater chances of improvement through breeding programme.</w:t>
      </w:r>
    </w:p>
    <w:p w14:paraId="2BAFCFD8" w14:textId="77777777" w:rsidR="00B72507" w:rsidRDefault="0048509B">
      <w:pPr>
        <w:pStyle w:val="NormalWeb"/>
        <w:spacing w:before="0" w:beforeAutospacing="0" w:after="0" w:afterAutospacing="0" w:line="276" w:lineRule="auto"/>
        <w:ind w:left="-851"/>
        <w:jc w:val="both"/>
      </w:pPr>
      <w:r>
        <w:rPr>
          <w:b/>
          <w:bCs/>
        </w:rPr>
        <w:t>Keywords-</w:t>
      </w:r>
      <w:r>
        <w:t xml:space="preserve"> </w:t>
      </w:r>
      <w:r w:rsidR="008C65A1">
        <w:t>Anthurium</w:t>
      </w:r>
      <w:r>
        <w:t>, heritabilit</w:t>
      </w:r>
      <w:r w:rsidR="00A45354">
        <w:t xml:space="preserve">y, variability, genetic advance, </w:t>
      </w:r>
      <w:proofErr w:type="gramStart"/>
      <w:r w:rsidR="00A45354">
        <w:t>GCV ,</w:t>
      </w:r>
      <w:proofErr w:type="gramEnd"/>
      <w:r w:rsidR="00A45354">
        <w:t xml:space="preserve"> PCV</w:t>
      </w:r>
    </w:p>
    <w:p w14:paraId="12C568C3" w14:textId="77777777" w:rsidR="00B72507" w:rsidRDefault="00B72507">
      <w:pPr>
        <w:pStyle w:val="NormalWeb"/>
        <w:spacing w:before="0" w:beforeAutospacing="0" w:after="0" w:afterAutospacing="0" w:line="276" w:lineRule="auto"/>
        <w:ind w:left="-851"/>
        <w:jc w:val="both"/>
        <w:rPr>
          <w:b/>
          <w:bCs/>
        </w:rPr>
      </w:pPr>
    </w:p>
    <w:p w14:paraId="3A50CBC5" w14:textId="77777777" w:rsidR="00B72507" w:rsidRDefault="0048509B">
      <w:pPr>
        <w:pStyle w:val="NormalWeb"/>
        <w:spacing w:before="0" w:beforeAutospacing="0" w:after="0" w:afterAutospacing="0" w:line="276" w:lineRule="auto"/>
        <w:ind w:left="-851"/>
        <w:jc w:val="both"/>
        <w:rPr>
          <w:b/>
          <w:bCs/>
        </w:rPr>
      </w:pPr>
      <w:r>
        <w:rPr>
          <w:b/>
          <w:bCs/>
        </w:rPr>
        <w:t>Introduction</w:t>
      </w:r>
    </w:p>
    <w:p w14:paraId="48A6109E" w14:textId="77777777" w:rsidR="00B72507" w:rsidRPr="00B402A8" w:rsidRDefault="003C52E0" w:rsidP="00B402A8">
      <w:pPr>
        <w:spacing w:before="100" w:beforeAutospacing="1" w:after="100" w:afterAutospacing="1" w:line="360" w:lineRule="auto"/>
        <w:ind w:left="-810"/>
        <w:jc w:val="both"/>
        <w:rPr>
          <w:rFonts w:ascii="Times New Roman" w:eastAsia="Times New Roman" w:hAnsi="Times New Roman"/>
          <w:sz w:val="24"/>
          <w:szCs w:val="24"/>
          <w:lang w:bidi="hi-IN"/>
        </w:rPr>
      </w:pPr>
      <w:r w:rsidRPr="003C52E0">
        <w:rPr>
          <w:rFonts w:ascii="Times New Roman" w:eastAsia="Times New Roman" w:hAnsi="Times New Roman"/>
          <w:i/>
          <w:iCs/>
          <w:sz w:val="24"/>
          <w:szCs w:val="24"/>
          <w:lang w:bidi="hi-IN"/>
        </w:rPr>
        <w:t>Anthurium andreanum</w:t>
      </w:r>
      <w:r w:rsidRPr="003C52E0">
        <w:rPr>
          <w:rFonts w:ascii="Times New Roman" w:eastAsia="Times New Roman" w:hAnsi="Times New Roman"/>
          <w:sz w:val="24"/>
          <w:szCs w:val="24"/>
          <w:lang w:bidi="hi-IN"/>
        </w:rPr>
        <w:t xml:space="preserve">, a species indigenous to the rainforests of South-West Colombia, made its initial entry into Europe in 1876 before its subsequent dissemination to tropical regions such as Brazil, Hawaii, and India (Singh, 1987). Over time, this species has emerged as a commercially important cut flower, appreciated for its vivid pigmentation and remarkable post-harvest longevity, with vase life spanning from 14 to more than 40 days (Dufour and Guérin, 2003; </w:t>
      </w:r>
      <w:proofErr w:type="spellStart"/>
      <w:r w:rsidRPr="003C52E0">
        <w:rPr>
          <w:rFonts w:ascii="Times New Roman" w:eastAsia="Times New Roman" w:hAnsi="Times New Roman"/>
          <w:sz w:val="24"/>
          <w:szCs w:val="24"/>
          <w:lang w:bidi="hi-IN"/>
        </w:rPr>
        <w:t>Elibox</w:t>
      </w:r>
      <w:proofErr w:type="spellEnd"/>
      <w:r w:rsidRPr="003C52E0">
        <w:rPr>
          <w:rFonts w:ascii="Times New Roman" w:eastAsia="Times New Roman" w:hAnsi="Times New Roman"/>
          <w:sz w:val="24"/>
          <w:szCs w:val="24"/>
          <w:lang w:bidi="hi-IN"/>
        </w:rPr>
        <w:t xml:space="preserve"> and </w:t>
      </w:r>
      <w:proofErr w:type="spellStart"/>
      <w:r w:rsidRPr="003C52E0">
        <w:rPr>
          <w:rFonts w:ascii="Times New Roman" w:eastAsia="Times New Roman" w:hAnsi="Times New Roman"/>
          <w:sz w:val="24"/>
          <w:szCs w:val="24"/>
          <w:lang w:bidi="hi-IN"/>
        </w:rPr>
        <w:t>Umaharan</w:t>
      </w:r>
      <w:proofErr w:type="spellEnd"/>
      <w:r w:rsidRPr="003C52E0">
        <w:rPr>
          <w:rFonts w:ascii="Times New Roman" w:eastAsia="Times New Roman" w:hAnsi="Times New Roman"/>
          <w:sz w:val="24"/>
          <w:szCs w:val="24"/>
          <w:lang w:bidi="hi-IN"/>
        </w:rPr>
        <w:t xml:space="preserve">, 2010). The botanical architecture of anthurium is noteworthy for its androgynous reproductive system—its diminutive, true flowers are borne on a spadix, each encircled by four stamens, signifying the presence of both male and female reproductive </w:t>
      </w:r>
      <w:r w:rsidR="00253D4C" w:rsidRPr="003C52E0">
        <w:rPr>
          <w:rFonts w:ascii="Times New Roman" w:eastAsia="Times New Roman" w:hAnsi="Times New Roman"/>
          <w:sz w:val="24"/>
          <w:szCs w:val="24"/>
          <w:lang w:bidi="hi-IN"/>
        </w:rPr>
        <w:t>organs. In</w:t>
      </w:r>
      <w:r w:rsidRPr="003C52E0">
        <w:rPr>
          <w:rFonts w:ascii="Times New Roman" w:eastAsia="Times New Roman" w:hAnsi="Times New Roman"/>
          <w:sz w:val="24"/>
          <w:szCs w:val="24"/>
          <w:lang w:bidi="hi-IN"/>
        </w:rPr>
        <w:t xml:space="preserve"> the context of the expanding global floriculture trade, </w:t>
      </w:r>
      <w:r w:rsidRPr="00B402A8">
        <w:rPr>
          <w:rFonts w:ascii="Times New Roman" w:eastAsia="Times New Roman" w:hAnsi="Times New Roman"/>
          <w:i/>
          <w:iCs/>
          <w:sz w:val="24"/>
          <w:szCs w:val="24"/>
          <w:lang w:bidi="hi-IN"/>
        </w:rPr>
        <w:t>A. andreanum</w:t>
      </w:r>
      <w:r w:rsidRPr="003C52E0">
        <w:rPr>
          <w:rFonts w:ascii="Times New Roman" w:eastAsia="Times New Roman" w:hAnsi="Times New Roman"/>
          <w:sz w:val="24"/>
          <w:szCs w:val="24"/>
          <w:lang w:bidi="hi-IN"/>
        </w:rPr>
        <w:t xml:space="preserve"> has attained a distinguished status among the ten most highly traded cut flowers worldwide, with significant cultivation centers established in Hawaii, the Netherlands, and Mauritius. The species' ae</w:t>
      </w:r>
      <w:r w:rsidR="00A45354">
        <w:rPr>
          <w:rFonts w:ascii="Times New Roman" w:eastAsia="Times New Roman" w:hAnsi="Times New Roman"/>
          <w:sz w:val="24"/>
          <w:szCs w:val="24"/>
          <w:lang w:bidi="hi-IN"/>
        </w:rPr>
        <w:t>sthetic value, durability</w:t>
      </w:r>
      <w:r w:rsidRPr="003C52E0">
        <w:rPr>
          <w:rFonts w:ascii="Times New Roman" w:eastAsia="Times New Roman" w:hAnsi="Times New Roman"/>
          <w:sz w:val="24"/>
          <w:szCs w:val="24"/>
          <w:lang w:bidi="hi-IN"/>
        </w:rPr>
        <w:t xml:space="preserve"> and appeal in interior ornamentation have substantially contributed to its market prominence. In India, while various regions have explored its commercial potential, the state of Bihar—despite its agronomic </w:t>
      </w:r>
      <w:r w:rsidRPr="003C52E0">
        <w:rPr>
          <w:rFonts w:ascii="Times New Roman" w:eastAsia="Times New Roman" w:hAnsi="Times New Roman"/>
          <w:sz w:val="24"/>
          <w:szCs w:val="24"/>
          <w:lang w:bidi="hi-IN"/>
        </w:rPr>
        <w:lastRenderedPageBreak/>
        <w:t>suitability for floriculture—has witnessed limited scientific evaluation of anthurium cultivars. To address this gap, the present study seeks to examine and compare multiple anthurium varieties based on morphological characters such as foliage structure, inflorescence attributes, plant compactness, and overall performance, with the objective of identifying cultivars best suited for Bihar’s environmental conditions.</w:t>
      </w:r>
      <w:r w:rsidR="001A36E2" w:rsidRPr="00B402A8">
        <w:rPr>
          <w:rFonts w:ascii="Times New Roman" w:eastAsia="Times New Roman" w:hAnsi="Times New Roman"/>
          <w:sz w:val="24"/>
          <w:szCs w:val="24"/>
          <w:lang w:bidi="hi-IN"/>
        </w:rPr>
        <w:t xml:space="preserve"> </w:t>
      </w:r>
      <w:r w:rsidRPr="003C52E0">
        <w:rPr>
          <w:rFonts w:ascii="Times New Roman" w:eastAsia="Times New Roman" w:hAnsi="Times New Roman"/>
          <w:sz w:val="24"/>
          <w:szCs w:val="24"/>
          <w:lang w:bidi="hi-IN"/>
        </w:rPr>
        <w:t xml:space="preserve">Effective plant breeding relies heavily on quantifying and interpreting genetic parameters including genotypic coefficient of variation (GCV), phenotypic coefficient of variation (PCV), heritability in the broad sense (h²), and expected genetic advance as a percentage of the mean. These parameters are integral for estimating the potential response to selection and facilitating the development of superior varieties (Namita </w:t>
      </w:r>
      <w:r w:rsidRPr="004C24F7">
        <w:rPr>
          <w:rFonts w:ascii="Times New Roman" w:eastAsia="Times New Roman" w:hAnsi="Times New Roman"/>
          <w:i/>
          <w:iCs/>
          <w:sz w:val="24"/>
          <w:szCs w:val="24"/>
          <w:lang w:bidi="hi-IN"/>
        </w:rPr>
        <w:t>et al.</w:t>
      </w:r>
      <w:r w:rsidRPr="003C52E0">
        <w:rPr>
          <w:rFonts w:ascii="Times New Roman" w:eastAsia="Times New Roman" w:hAnsi="Times New Roman"/>
          <w:sz w:val="24"/>
          <w:szCs w:val="24"/>
          <w:lang w:bidi="hi-IN"/>
        </w:rPr>
        <w:t>, 2008). Understanding the interaction between genotype and environment, along with the mode of gene action—whether additive (heritable), non-additi</w:t>
      </w:r>
      <w:r w:rsidR="00A45354">
        <w:rPr>
          <w:rFonts w:ascii="Times New Roman" w:eastAsia="Times New Roman" w:hAnsi="Times New Roman"/>
          <w:sz w:val="24"/>
          <w:szCs w:val="24"/>
          <w:lang w:bidi="hi-IN"/>
        </w:rPr>
        <w:t xml:space="preserve">ve or dominant (non-heritable) </w:t>
      </w:r>
      <w:r w:rsidRPr="003C52E0">
        <w:rPr>
          <w:rFonts w:ascii="Times New Roman" w:eastAsia="Times New Roman" w:hAnsi="Times New Roman"/>
          <w:sz w:val="24"/>
          <w:szCs w:val="24"/>
          <w:lang w:bidi="hi-IN"/>
        </w:rPr>
        <w:t>or epistatic (non-allelic dominance)—is essential for deciphering trait inheritance and enhancing yield potential. Thus, this investigation aims to assess the ge</w:t>
      </w:r>
      <w:r w:rsidR="00A45354">
        <w:rPr>
          <w:rFonts w:ascii="Times New Roman" w:eastAsia="Times New Roman" w:hAnsi="Times New Roman"/>
          <w:sz w:val="24"/>
          <w:szCs w:val="24"/>
          <w:lang w:bidi="hi-IN"/>
        </w:rPr>
        <w:t>netic variability, heritability</w:t>
      </w:r>
      <w:r w:rsidRPr="003C52E0">
        <w:rPr>
          <w:rFonts w:ascii="Times New Roman" w:eastAsia="Times New Roman" w:hAnsi="Times New Roman"/>
          <w:sz w:val="24"/>
          <w:szCs w:val="24"/>
          <w:lang w:bidi="hi-IN"/>
        </w:rPr>
        <w:t xml:space="preserve"> and genetic advance of selected anthurium varieties to inform breeding strategies and support the advancement of anthurium cultivation for commercial purposes, particularly under the agro-climatic conditions of Bihar.</w:t>
      </w:r>
    </w:p>
    <w:p w14:paraId="25D86540" w14:textId="77777777" w:rsidR="00B72507" w:rsidRPr="00B402A8" w:rsidRDefault="0048509B">
      <w:pPr>
        <w:pStyle w:val="NoSpacing"/>
        <w:spacing w:line="360" w:lineRule="auto"/>
        <w:ind w:left="-851"/>
        <w:rPr>
          <w:rFonts w:cs="Times New Roman"/>
          <w:b/>
          <w:bCs/>
          <w:szCs w:val="24"/>
        </w:rPr>
      </w:pPr>
      <w:r w:rsidRPr="00B402A8">
        <w:rPr>
          <w:rFonts w:cs="Times New Roman"/>
          <w:b/>
          <w:bCs/>
          <w:szCs w:val="24"/>
        </w:rPr>
        <w:t xml:space="preserve">Materials and Methods </w:t>
      </w:r>
    </w:p>
    <w:p w14:paraId="79B118A5" w14:textId="77777777" w:rsidR="00B72507" w:rsidRPr="00B402A8" w:rsidRDefault="00F645A4" w:rsidP="0013784A">
      <w:pPr>
        <w:spacing w:after="44" w:line="360" w:lineRule="auto"/>
        <w:ind w:left="-810"/>
        <w:jc w:val="both"/>
        <w:rPr>
          <w:rFonts w:ascii="Times New Roman" w:eastAsia="Times New Roman" w:hAnsi="Times New Roman"/>
          <w:sz w:val="28"/>
          <w:szCs w:val="28"/>
          <w:lang w:val="en-IN" w:eastAsia="en-IN"/>
        </w:rPr>
      </w:pPr>
      <w:r w:rsidRPr="00B402A8">
        <w:rPr>
          <w:rFonts w:ascii="Times New Roman" w:hAnsi="Times New Roman"/>
          <w:sz w:val="24"/>
          <w:szCs w:val="24"/>
        </w:rPr>
        <w:t>The present investigation was carried out during the winter season of 2024–25 in a net house maintained by the Department of Horticulture (</w:t>
      </w:r>
      <w:r w:rsidR="00A45354">
        <w:rPr>
          <w:rFonts w:ascii="Times New Roman" w:hAnsi="Times New Roman"/>
          <w:sz w:val="24"/>
          <w:szCs w:val="24"/>
        </w:rPr>
        <w:t>Floriculture and Landscaping</w:t>
      </w:r>
      <w:r w:rsidRPr="00B402A8">
        <w:rPr>
          <w:rFonts w:ascii="Times New Roman" w:hAnsi="Times New Roman"/>
          <w:sz w:val="24"/>
          <w:szCs w:val="24"/>
        </w:rPr>
        <w:t>), Bihar Agricultural University (BAU), S</w:t>
      </w:r>
      <w:r w:rsidR="00253D4C">
        <w:rPr>
          <w:rFonts w:ascii="Times New Roman" w:hAnsi="Times New Roman"/>
          <w:sz w:val="24"/>
          <w:szCs w:val="24"/>
        </w:rPr>
        <w:t xml:space="preserve">abour, Bhagalpur, </w:t>
      </w:r>
      <w:r w:rsidR="00A45354">
        <w:rPr>
          <w:rFonts w:ascii="Times New Roman" w:hAnsi="Times New Roman"/>
          <w:sz w:val="24"/>
          <w:szCs w:val="24"/>
        </w:rPr>
        <w:t xml:space="preserve">Bihar, India. </w:t>
      </w:r>
      <w:r w:rsidRPr="00B402A8">
        <w:rPr>
          <w:rFonts w:ascii="Times New Roman" w:hAnsi="Times New Roman"/>
          <w:sz w:val="24"/>
          <w:szCs w:val="24"/>
        </w:rPr>
        <w:t>Data were recorded on the following parameters: plant height at harvesting stage (cm), plant spread (cm), leaf length (cm), leaf width (cm), number of suckers per plant, number of leaves per plant, petiole length (cm), days to first flower bud initiation, days to first flowering, flowering duration (days), spathe length (cm), spathe width (cm), spadix length (cm), flower longevity (days), inflorescence stalk length (cm), number of flowers per plant, vase life (days), and water uptake (mL). The mean values were subjected to analysis of variance, and estimates of genotypic and phenotypic coefficients of variation were calculated using the formulae proposed by Burton and Devane (1953).</w:t>
      </w:r>
      <w:r w:rsidR="0013784A" w:rsidRPr="00B402A8">
        <w:rPr>
          <w:rFonts w:ascii="Times New Roman" w:hAnsi="Times New Roman"/>
          <w:sz w:val="24"/>
          <w:szCs w:val="24"/>
        </w:rPr>
        <w:t xml:space="preserve"> To classify the magnitude of various genetic parameters, the criteria established by Sharma </w:t>
      </w:r>
      <w:r w:rsidR="0013784A" w:rsidRPr="004C24F7">
        <w:rPr>
          <w:rFonts w:ascii="Times New Roman" w:hAnsi="Times New Roman"/>
          <w:i/>
          <w:iCs/>
          <w:sz w:val="24"/>
          <w:szCs w:val="24"/>
        </w:rPr>
        <w:t>et al.</w:t>
      </w:r>
      <w:r w:rsidR="0013784A" w:rsidRPr="00B402A8">
        <w:rPr>
          <w:rFonts w:ascii="Times New Roman" w:hAnsi="Times New Roman"/>
          <w:sz w:val="24"/>
          <w:szCs w:val="24"/>
        </w:rPr>
        <w:t xml:space="preserve"> (1990) were adopted. For both phenotypic coefficient of variation (PCV) and genotypic coefficient of variation (GCV), values exceeding 30% were considered high, those ranging from 15% to 30% as moderate, and values below 15% as low. Heritability in the broad sense (h²) was categorized as high when greater than 80%, moderate between 50% and 80%, and low if below 50%. Similarly, genetic gain was deemed </w:t>
      </w:r>
      <w:r w:rsidR="0013784A" w:rsidRPr="00B402A8">
        <w:rPr>
          <w:rFonts w:ascii="Times New Roman" w:hAnsi="Times New Roman"/>
          <w:sz w:val="24"/>
          <w:szCs w:val="24"/>
        </w:rPr>
        <w:lastRenderedPageBreak/>
        <w:t>high when it surpassed 50%, moderate when ranging from 25% to 50%, and low when it fell below 25%.</w:t>
      </w:r>
    </w:p>
    <w:p w14:paraId="1A0B6E53" w14:textId="77777777" w:rsidR="00840D4D" w:rsidRPr="00B402A8" w:rsidRDefault="0048509B">
      <w:pPr>
        <w:autoSpaceDE w:val="0"/>
        <w:autoSpaceDN w:val="0"/>
        <w:adjustRightInd w:val="0"/>
        <w:spacing w:after="0" w:line="360" w:lineRule="auto"/>
        <w:ind w:left="-851"/>
        <w:jc w:val="both"/>
        <w:rPr>
          <w:rFonts w:ascii="Times New Roman" w:eastAsia="TimesNewRoman" w:hAnsi="Times New Roman"/>
          <w:b/>
          <w:bCs/>
          <w:spacing w:val="4"/>
          <w:sz w:val="24"/>
          <w:szCs w:val="24"/>
        </w:rPr>
      </w:pPr>
      <w:r w:rsidRPr="00B402A8">
        <w:rPr>
          <w:rFonts w:ascii="Times New Roman" w:eastAsia="TimesNewRoman" w:hAnsi="Times New Roman"/>
          <w:b/>
          <w:bCs/>
          <w:spacing w:val="4"/>
          <w:sz w:val="24"/>
          <w:szCs w:val="24"/>
        </w:rPr>
        <w:t xml:space="preserve">Results and Discussion </w:t>
      </w:r>
    </w:p>
    <w:p w14:paraId="43942DB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The extent of genetic variability among plant traits provides a strong foundation for initiating any successful crop improvement program. In the present investigation, variability was assessed through the estimation of the phenotypic coefficient of variation (PCV) and genotypic coefficient of variation (GCV) for sixteen morphological and floral traits of anthurium. These statistical measures are crucial because they allow for the standardized comparison of traits that differ in measurement scales, thus facilitating a comprehensive evaluation of genetic diversity. The results of the PCV and GCV analysis are presented in Table 1.</w:t>
      </w:r>
    </w:p>
    <w:p w14:paraId="26AA6481"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For all sixteen traits evaluated, the PCV was consistently greater than the corresponding GCV. This consistent trend suggests that the expression of each trait is influenced not only by genetic factors but also by environmental conditions. The fact that PCV values exceed GCV values indicates the presence of environmental variance, thereby reducing the apparent genotypic influence when evaluating traits on a purely phenotypic basis. Therefore, careful selection based on observed phenotypes must consider the extent of environmental effects.</w:t>
      </w:r>
    </w:p>
    <w:p w14:paraId="71DE63FB"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Among the traits, spadix length exhibited the highest variability at both genotypic and phenotypic levels, with GCV recorded at 41.46% and PCV at 41.91%, respectively. The very narrow difference between the two values clearly indicates minimal environmental influence on this trait, thus confirming its strong genetic basis. This result positions spadix length as a promising candidate for direct selection in future breeding programs. The high variability observed for this trait aligns with earlier findings reported by She</w:t>
      </w:r>
      <w:r w:rsidR="009E23DB">
        <w:rPr>
          <w:rFonts w:ascii="Times New Roman" w:eastAsia="Times New Roman" w:hAnsi="Times New Roman"/>
          <w:sz w:val="24"/>
          <w:szCs w:val="24"/>
          <w:lang w:bidi="hi-IN"/>
        </w:rPr>
        <w:t>ena (2015), Anand et al. (2017)</w:t>
      </w:r>
      <w:r w:rsidRPr="00C94C93">
        <w:rPr>
          <w:rFonts w:ascii="Times New Roman" w:eastAsia="Times New Roman" w:hAnsi="Times New Roman"/>
          <w:sz w:val="24"/>
          <w:szCs w:val="24"/>
          <w:lang w:bidi="hi-IN"/>
        </w:rPr>
        <w:t xml:space="preserve"> and Thomas et al. (2022), who also emphasized the considerable variation in spadix morphology among anthurium cultivars.</w:t>
      </w:r>
    </w:p>
    <w:p w14:paraId="7BAE7A1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 xml:space="preserve">Similarly, number of suckers per plant exhibited high phenotypic variation (PCV = 30.88%), while the GCV stood at 28.09%. Although the difference here is slightly larger than in spadix length, the trait still exhibits strong genetic control with moderate environmental influence. Leaf width, another vegetative parameter, recorded high PCV (30.50%) and moderate GCV (29.50%), reinforcing its genetic responsiveness with limited environmental variability. These traits </w:t>
      </w:r>
      <w:r w:rsidRPr="00C94C93">
        <w:rPr>
          <w:rFonts w:ascii="Times New Roman" w:eastAsia="Times New Roman" w:hAnsi="Times New Roman"/>
          <w:sz w:val="24"/>
          <w:szCs w:val="24"/>
          <w:lang w:bidi="hi-IN"/>
        </w:rPr>
        <w:lastRenderedPageBreak/>
        <w:t>are critical for assessing overall plant vigor and architecture, which directly impact both ornamental quality and propagation potential.</w:t>
      </w:r>
    </w:p>
    <w:p w14:paraId="6F8E7907"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The presence of such high variability in spadix le</w:t>
      </w:r>
      <w:r w:rsidR="009E23DB">
        <w:rPr>
          <w:rFonts w:ascii="Times New Roman" w:eastAsia="Times New Roman" w:hAnsi="Times New Roman"/>
          <w:sz w:val="24"/>
          <w:szCs w:val="24"/>
          <w:lang w:bidi="hi-IN"/>
        </w:rPr>
        <w:t>ngth, sucker production</w:t>
      </w:r>
      <w:r w:rsidRPr="00C94C93">
        <w:rPr>
          <w:rFonts w:ascii="Times New Roman" w:eastAsia="Times New Roman" w:hAnsi="Times New Roman"/>
          <w:sz w:val="24"/>
          <w:szCs w:val="24"/>
          <w:lang w:bidi="hi-IN"/>
        </w:rPr>
        <w:t xml:space="preserve"> and leaf width </w:t>
      </w:r>
      <w:proofErr w:type="gramStart"/>
      <w:r w:rsidRPr="00C94C93">
        <w:rPr>
          <w:rFonts w:ascii="Times New Roman" w:eastAsia="Times New Roman" w:hAnsi="Times New Roman"/>
          <w:sz w:val="24"/>
          <w:szCs w:val="24"/>
          <w:lang w:bidi="hi-IN"/>
        </w:rPr>
        <w:t>suggests</w:t>
      </w:r>
      <w:proofErr w:type="gramEnd"/>
      <w:r w:rsidRPr="00C94C93">
        <w:rPr>
          <w:rFonts w:ascii="Times New Roman" w:eastAsia="Times New Roman" w:hAnsi="Times New Roman"/>
          <w:sz w:val="24"/>
          <w:szCs w:val="24"/>
          <w:lang w:bidi="hi-IN"/>
        </w:rPr>
        <w:t xml:space="preserve"> ample scope for improvement through appropriate selection strategies. However, the substantial influence of environmental components on some traits requires that selection be based on multi-location trials or replicated experiments to stabilize trait expression and ensure consistent performance. The results reflect a balance of genetic potential and environmental modulation, which is central to the successful improvement of quantitative traits.</w:t>
      </w:r>
    </w:p>
    <w:p w14:paraId="47C5F60E"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Moderate GCV and PCV values were recorded for traits such as plant height (GCV = 25.26%, PCV = 25.38%), leaf length (GCV = 18.25%, PCV = 19.35%), petiole length (GCV = 26.75%, PCV = 26.97%), spathe length (GCV = 18.46%, PCV = 20.40%), spathe width (GCV = 21.38%, PCV = 2</w:t>
      </w:r>
      <w:r w:rsidR="009E23DB">
        <w:rPr>
          <w:rFonts w:ascii="Times New Roman" w:eastAsia="Times New Roman" w:hAnsi="Times New Roman"/>
          <w:sz w:val="24"/>
          <w:szCs w:val="24"/>
          <w:lang w:bidi="hi-IN"/>
        </w:rPr>
        <w:t>2.30%)</w:t>
      </w:r>
      <w:r w:rsidRPr="00C94C93">
        <w:rPr>
          <w:rFonts w:ascii="Times New Roman" w:eastAsia="Times New Roman" w:hAnsi="Times New Roman"/>
          <w:sz w:val="24"/>
          <w:szCs w:val="24"/>
          <w:lang w:bidi="hi-IN"/>
        </w:rPr>
        <w:t xml:space="preserve"> and inflorescence stalk length (GCV = 26.04%, PCV = 26.20%). The close proximity between GCV and PCV for these traits implies that the observed phenotypic variation is largely attributable to genetic causes, with relatively minor environmental impact. This further enhances the reliability of phenotypic selection for these characters.</w:t>
      </w:r>
    </w:p>
    <w:p w14:paraId="107D6250"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Among these traits, plant height is especially noteworthy due to its significant influence on plant posture and visual appeal, which are essential in ornamental horticulture. A GCV of 25.26% and PCV of 25.38% suggests this trait is highly heritable and responsive to selection. Likewise, petiole length and inflorescence stalk length, which contribute to flower display height, also showed favorable variability, making them reliable indicators for selection.</w:t>
      </w:r>
    </w:p>
    <w:p w14:paraId="353147C4"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Leaf length and width contribute significantly to photosynthetic efficiency and plant aesthetics. The moderate variation observed in these traits reflects a reasonable potential for selection and improvement. Spathe length and width are of particular ornamental value, being primary components influencing flower size and overall attractiveness. Moderate genetic variability in these characters provides breeders with an opportunity to enhance floral display without extensive environmental buffering.</w:t>
      </w:r>
    </w:p>
    <w:p w14:paraId="3E9B0697"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On the other hand, low levels of GCV and PCV were observed for plant spread (GCV = 11.16%, PCV = 11.94%), days taken to first flowering (GCV = 2.20%, PCV = 4.00%), flowering duration (GCV = 6.24%, PCV = 8.32%), number of inflorescences per pl</w:t>
      </w:r>
      <w:r w:rsidR="009E23DB">
        <w:rPr>
          <w:rFonts w:ascii="Times New Roman" w:eastAsia="Times New Roman" w:hAnsi="Times New Roman"/>
          <w:sz w:val="24"/>
          <w:szCs w:val="24"/>
          <w:lang w:bidi="hi-IN"/>
        </w:rPr>
        <w:t>ant (GCV = 8.19%, PCV = 11.68%)</w:t>
      </w:r>
      <w:r w:rsidRPr="00C94C93">
        <w:rPr>
          <w:rFonts w:ascii="Times New Roman" w:eastAsia="Times New Roman" w:hAnsi="Times New Roman"/>
          <w:sz w:val="24"/>
          <w:szCs w:val="24"/>
          <w:lang w:bidi="hi-IN"/>
        </w:rPr>
        <w:t xml:space="preserve"> and water uptake (GCV = 8.92%, PCV = 9.20%). These traits exhibit a greater difference </w:t>
      </w:r>
      <w:r w:rsidRPr="00C94C93">
        <w:rPr>
          <w:rFonts w:ascii="Times New Roman" w:eastAsia="Times New Roman" w:hAnsi="Times New Roman"/>
          <w:sz w:val="24"/>
          <w:szCs w:val="24"/>
          <w:lang w:bidi="hi-IN"/>
        </w:rPr>
        <w:lastRenderedPageBreak/>
        <w:t>between genotypic and phenotypic values, underscoring the substantial role of environmental factors in their expression. Improvement through direct selection would be relatively more difficult due to the masking effect of the environment on genetic expression. Additionally, number of leaves per plant (GCV = 12.89%) and vase life (GCV = 14.14%) also exhibited low genotypic variability, further highlighting the limited scope for genetic enhancement without controlling environmental variation.</w:t>
      </w:r>
    </w:p>
    <w:p w14:paraId="5C58A74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The results of this investigation closely mirror those reported by Madhukumar (2010), She</w:t>
      </w:r>
      <w:r w:rsidR="009E23DB">
        <w:rPr>
          <w:rFonts w:ascii="Times New Roman" w:eastAsia="Times New Roman" w:hAnsi="Times New Roman"/>
          <w:sz w:val="24"/>
          <w:szCs w:val="24"/>
          <w:lang w:bidi="hi-IN"/>
        </w:rPr>
        <w:t>ena (2015), Anand et al. (2017)</w:t>
      </w:r>
      <w:r w:rsidRPr="00C94C93">
        <w:rPr>
          <w:rFonts w:ascii="Times New Roman" w:eastAsia="Times New Roman" w:hAnsi="Times New Roman"/>
          <w:sz w:val="24"/>
          <w:szCs w:val="24"/>
          <w:lang w:bidi="hi-IN"/>
        </w:rPr>
        <w:t xml:space="preserve"> and Thomas et al. (2022), who documented similar patterns of trait variability in anthurium. These findings reinforce the notion that while certain characters are predominantly governed by genetic factors, others are subject to a complex interplay between genotype and environment.</w:t>
      </w:r>
    </w:p>
    <w:p w14:paraId="5015E8CB"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 xml:space="preserve">Broad-sense heritability is another key parameter used to assess the proportion of total phenotypic variation that is attributable to genetic differences among individuals. High heritability implies that the trait is reliably passed from parent to offspring and that phenotypic selection will likely result in genetic improvement. In the present study, very high heritability was recorded for plant height (99.08%), inflorescence stalk length (98.82%), petiole length (98.40%), spadix length (97.88%), water uptake (93.95%), leaf width </w:t>
      </w:r>
      <w:r w:rsidR="009E23DB">
        <w:rPr>
          <w:rFonts w:ascii="Times New Roman" w:eastAsia="Times New Roman" w:hAnsi="Times New Roman"/>
          <w:sz w:val="24"/>
          <w:szCs w:val="24"/>
          <w:lang w:bidi="hi-IN"/>
        </w:rPr>
        <w:t>(93.51%), spathe width (91.94%)</w:t>
      </w:r>
      <w:r w:rsidRPr="00C94C93">
        <w:rPr>
          <w:rFonts w:ascii="Times New Roman" w:eastAsia="Times New Roman" w:hAnsi="Times New Roman"/>
          <w:sz w:val="24"/>
          <w:szCs w:val="24"/>
          <w:lang w:bidi="hi-IN"/>
        </w:rPr>
        <w:t xml:space="preserve"> and leaf length (89.00%). These results suggest that these traits are under strong genetic control and would respond well to selection.</w:t>
      </w:r>
    </w:p>
    <w:p w14:paraId="73908EB5" w14:textId="5F43C279"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Plant spread also exhibited high heritability (87.36%), while number of suckers per plant showed a heritability of 82.72%, placing both traits within the high heritability category. This indicates that selection for these characters would be effective</w:t>
      </w:r>
      <w:r w:rsidR="000D6DAA">
        <w:rPr>
          <w:rFonts w:ascii="Times New Roman" w:eastAsia="Times New Roman" w:hAnsi="Times New Roman"/>
          <w:sz w:val="24"/>
          <w:szCs w:val="24"/>
          <w:lang w:bidi="hi-IN"/>
        </w:rPr>
        <w:t xml:space="preserve">. </w:t>
      </w:r>
      <w:r w:rsidRPr="00C94C93">
        <w:rPr>
          <w:rFonts w:ascii="Times New Roman" w:eastAsia="Times New Roman" w:hAnsi="Times New Roman"/>
          <w:sz w:val="24"/>
          <w:szCs w:val="24"/>
          <w:lang w:bidi="hi-IN"/>
        </w:rPr>
        <w:t xml:space="preserve"> Moderate heritability was found in number of leaves per pla</w:t>
      </w:r>
      <w:r w:rsidR="009E23DB">
        <w:rPr>
          <w:rFonts w:ascii="Times New Roman" w:eastAsia="Times New Roman" w:hAnsi="Times New Roman"/>
          <w:sz w:val="24"/>
          <w:szCs w:val="24"/>
          <w:lang w:bidi="hi-IN"/>
        </w:rPr>
        <w:t>nt (68.29%), vase life (59.67%)</w:t>
      </w:r>
      <w:r w:rsidRPr="00C94C93">
        <w:rPr>
          <w:rFonts w:ascii="Times New Roman" w:eastAsia="Times New Roman" w:hAnsi="Times New Roman"/>
          <w:sz w:val="24"/>
          <w:szCs w:val="24"/>
          <w:lang w:bidi="hi-IN"/>
        </w:rPr>
        <w:t xml:space="preserve"> and flowering duration (56.30%). These traits, while still largely influenced by genetics, are also subject to environmental conditions, making selection somewhat less predictable. Low heritability was observed for number of inflorescences per plant (49.12%) and days taken to first flowering (30.28%), implying a dominant influence of non-genetic factors.</w:t>
      </w:r>
    </w:p>
    <w:p w14:paraId="0BBFA33A"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 xml:space="preserve">Genetic advance as percent of mean (GAM) complements heritability by quantifying the expected improvement in a trait under selection. High GAM was recorded for spadix length (84.50%), leaf width (58.76%), petiole length (54.66%), number of suckers per plant (52.62%), </w:t>
      </w:r>
      <w:r w:rsidRPr="00C94C93">
        <w:rPr>
          <w:rFonts w:ascii="Times New Roman" w:eastAsia="Times New Roman" w:hAnsi="Times New Roman"/>
          <w:sz w:val="24"/>
          <w:szCs w:val="24"/>
          <w:lang w:bidi="hi-IN"/>
        </w:rPr>
        <w:lastRenderedPageBreak/>
        <w:t>infl</w:t>
      </w:r>
      <w:r w:rsidR="009E23DB">
        <w:rPr>
          <w:rFonts w:ascii="Times New Roman" w:eastAsia="Times New Roman" w:hAnsi="Times New Roman"/>
          <w:sz w:val="24"/>
          <w:szCs w:val="24"/>
          <w:lang w:bidi="hi-IN"/>
        </w:rPr>
        <w:t>orescence stalk length (53.33%)</w:t>
      </w:r>
      <w:r w:rsidRPr="00C94C93">
        <w:rPr>
          <w:rFonts w:ascii="Times New Roman" w:eastAsia="Times New Roman" w:hAnsi="Times New Roman"/>
          <w:sz w:val="24"/>
          <w:szCs w:val="24"/>
          <w:lang w:bidi="hi-IN"/>
        </w:rPr>
        <w:t xml:space="preserve"> and plant height (51.80%). These traits combine high heritability with substantial expected gains, indicating that they are primarily governed by additive gene effects and can be effectively improved through phenotypic selection.</w:t>
      </w:r>
    </w:p>
    <w:p w14:paraId="51E5AA1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Moderate genetic advance was observed for leaf length (</w:t>
      </w:r>
      <w:r w:rsidR="009E23DB">
        <w:rPr>
          <w:rFonts w:ascii="Times New Roman" w:eastAsia="Times New Roman" w:hAnsi="Times New Roman"/>
          <w:sz w:val="24"/>
          <w:szCs w:val="24"/>
          <w:lang w:bidi="hi-IN"/>
        </w:rPr>
        <w:t>35.48%), spathe length (34.42%)</w:t>
      </w:r>
      <w:r w:rsidRPr="00C94C93">
        <w:rPr>
          <w:rFonts w:ascii="Times New Roman" w:eastAsia="Times New Roman" w:hAnsi="Times New Roman"/>
          <w:sz w:val="24"/>
          <w:szCs w:val="24"/>
          <w:lang w:bidi="hi-IN"/>
        </w:rPr>
        <w:t xml:space="preserve"> and spathe width (32.23%). These characters, although not as genetically responsive as the previous set, still provide a favorable outlook for selection. In contrast, traits like plant spread (21.49%), number of leaves per pla</w:t>
      </w:r>
      <w:r w:rsidR="009E23DB">
        <w:rPr>
          <w:rFonts w:ascii="Times New Roman" w:eastAsia="Times New Roman" w:hAnsi="Times New Roman"/>
          <w:sz w:val="24"/>
          <w:szCs w:val="24"/>
          <w:lang w:bidi="hi-IN"/>
        </w:rPr>
        <w:t>nt (21.94%), vase life (22.50%)</w:t>
      </w:r>
      <w:r w:rsidRPr="00C94C93">
        <w:rPr>
          <w:rFonts w:ascii="Times New Roman" w:eastAsia="Times New Roman" w:hAnsi="Times New Roman"/>
          <w:sz w:val="24"/>
          <w:szCs w:val="24"/>
          <w:lang w:bidi="hi-IN"/>
        </w:rPr>
        <w:t xml:space="preserve"> and water uptake (17.80%) exhibited lower GAM values. Moreover, days taken to first flowering (2.4</w:t>
      </w:r>
      <w:r w:rsidR="009E23DB">
        <w:rPr>
          <w:rFonts w:ascii="Times New Roman" w:eastAsia="Times New Roman" w:hAnsi="Times New Roman"/>
          <w:sz w:val="24"/>
          <w:szCs w:val="24"/>
          <w:lang w:bidi="hi-IN"/>
        </w:rPr>
        <w:t>9%), flowering duration (9.65%)</w:t>
      </w:r>
      <w:r w:rsidRPr="00C94C93">
        <w:rPr>
          <w:rFonts w:ascii="Times New Roman" w:eastAsia="Times New Roman" w:hAnsi="Times New Roman"/>
          <w:sz w:val="24"/>
          <w:szCs w:val="24"/>
          <w:lang w:bidi="hi-IN"/>
        </w:rPr>
        <w:t xml:space="preserve"> and number of inflorescences per plant (11.82%) showed very low genetic advance, indicating limited scope for improvement under existing selection pressures.</w:t>
      </w:r>
    </w:p>
    <w:p w14:paraId="72BAC270"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When heritability and genetic advance are interpreted together, they offer a more nuanced understanding of the underlying genetic architecture. Traits like plant height (h² = 99.08%, GA = 51.80%), leaf width (h² = 93.51%, GA = 58.76%), petiole length (h² = 98.40%, GA = 54.66%), number of suckers per plant (h² = 82.72%, GA = 52.62%), spadix len</w:t>
      </w:r>
      <w:r w:rsidR="009E23DB">
        <w:rPr>
          <w:rFonts w:ascii="Times New Roman" w:eastAsia="Times New Roman" w:hAnsi="Times New Roman"/>
          <w:sz w:val="24"/>
          <w:szCs w:val="24"/>
          <w:lang w:bidi="hi-IN"/>
        </w:rPr>
        <w:t xml:space="preserve">gth (h² = 97.88%, GA = 84.50%) </w:t>
      </w:r>
      <w:r w:rsidRPr="00C94C93">
        <w:rPr>
          <w:rFonts w:ascii="Times New Roman" w:eastAsia="Times New Roman" w:hAnsi="Times New Roman"/>
          <w:sz w:val="24"/>
          <w:szCs w:val="24"/>
          <w:lang w:bidi="hi-IN"/>
        </w:rPr>
        <w:t xml:space="preserve">and inflorescence stalk length (h² = 98.82%, GA = 53.33%) exhibit both high heritability and high genetic advance. According to the classification proposed by </w:t>
      </w:r>
      <w:proofErr w:type="spellStart"/>
      <w:r w:rsidRPr="00C94C93">
        <w:rPr>
          <w:rFonts w:ascii="Times New Roman" w:eastAsia="Times New Roman" w:hAnsi="Times New Roman"/>
          <w:sz w:val="24"/>
          <w:szCs w:val="24"/>
          <w:lang w:bidi="hi-IN"/>
        </w:rPr>
        <w:t>Panse</w:t>
      </w:r>
      <w:proofErr w:type="spellEnd"/>
      <w:r w:rsidRPr="00C94C93">
        <w:rPr>
          <w:rFonts w:ascii="Times New Roman" w:eastAsia="Times New Roman" w:hAnsi="Times New Roman"/>
          <w:sz w:val="24"/>
          <w:szCs w:val="24"/>
          <w:lang w:bidi="hi-IN"/>
        </w:rPr>
        <w:t xml:space="preserve"> and </w:t>
      </w:r>
      <w:proofErr w:type="spellStart"/>
      <w:r w:rsidRPr="00C94C93">
        <w:rPr>
          <w:rFonts w:ascii="Times New Roman" w:eastAsia="Times New Roman" w:hAnsi="Times New Roman"/>
          <w:sz w:val="24"/>
          <w:szCs w:val="24"/>
          <w:lang w:bidi="hi-IN"/>
        </w:rPr>
        <w:t>Sukhatme</w:t>
      </w:r>
      <w:proofErr w:type="spellEnd"/>
      <w:r w:rsidRPr="00C94C93">
        <w:rPr>
          <w:rFonts w:ascii="Times New Roman" w:eastAsia="Times New Roman" w:hAnsi="Times New Roman"/>
          <w:sz w:val="24"/>
          <w:szCs w:val="24"/>
          <w:lang w:bidi="hi-IN"/>
        </w:rPr>
        <w:t xml:space="preserve"> (1985), this pattern is indi</w:t>
      </w:r>
      <w:r w:rsidR="009E23DB">
        <w:rPr>
          <w:rFonts w:ascii="Times New Roman" w:eastAsia="Times New Roman" w:hAnsi="Times New Roman"/>
          <w:sz w:val="24"/>
          <w:szCs w:val="24"/>
          <w:lang w:bidi="hi-IN"/>
        </w:rPr>
        <w:t xml:space="preserve">cative of additive gene action </w:t>
      </w:r>
      <w:r w:rsidRPr="00C94C93">
        <w:rPr>
          <w:rFonts w:ascii="Times New Roman" w:eastAsia="Times New Roman" w:hAnsi="Times New Roman"/>
          <w:sz w:val="24"/>
          <w:szCs w:val="24"/>
          <w:lang w:bidi="hi-IN"/>
        </w:rPr>
        <w:t>and selection for these characters is likely to yield significant genetic improvement.</w:t>
      </w:r>
    </w:p>
    <w:p w14:paraId="01C24897"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Traits such as leaf length (h² = 89.00%, GA = 35.48%), spathe le</w:t>
      </w:r>
      <w:r w:rsidR="009E23DB">
        <w:rPr>
          <w:rFonts w:ascii="Times New Roman" w:eastAsia="Times New Roman" w:hAnsi="Times New Roman"/>
          <w:sz w:val="24"/>
          <w:szCs w:val="24"/>
          <w:lang w:bidi="hi-IN"/>
        </w:rPr>
        <w:t>ngth (h² = 81.91%, GA = 34.42%)</w:t>
      </w:r>
      <w:r w:rsidRPr="00C94C93">
        <w:rPr>
          <w:rFonts w:ascii="Times New Roman" w:eastAsia="Times New Roman" w:hAnsi="Times New Roman"/>
          <w:sz w:val="24"/>
          <w:szCs w:val="24"/>
          <w:lang w:bidi="hi-IN"/>
        </w:rPr>
        <w:t xml:space="preserve"> and spathe width (h² = 91.94%, GA = 42.23%) exhibited high heritability with moderate genetic advance. This suggests that these characters are influenced by both additive and non-additive gene actions. Plant spread (h² = 87.36%, GA = 21.49%) and water uptake (h² = 93.95%, GA = 17.80%) demonstrated high heritability but low genetic advance, indicating possible</w:t>
      </w:r>
      <w:r w:rsidR="009E23DB">
        <w:rPr>
          <w:rFonts w:ascii="Times New Roman" w:eastAsia="Times New Roman" w:hAnsi="Times New Roman"/>
          <w:sz w:val="24"/>
          <w:szCs w:val="24"/>
          <w:lang w:bidi="hi-IN"/>
        </w:rPr>
        <w:t xml:space="preserve"> dominance or epistatic effects</w:t>
      </w:r>
      <w:r w:rsidRPr="00C94C93">
        <w:rPr>
          <w:rFonts w:ascii="Times New Roman" w:eastAsia="Times New Roman" w:hAnsi="Times New Roman"/>
          <w:sz w:val="24"/>
          <w:szCs w:val="24"/>
          <w:lang w:bidi="hi-IN"/>
        </w:rPr>
        <w:t xml:space="preserve"> and thus requiring more sophisticated breeding strategies.</w:t>
      </w:r>
    </w:p>
    <w:p w14:paraId="15676CC0" w14:textId="77777777" w:rsidR="00C94C93" w:rsidRPr="00C94C93" w:rsidRDefault="009E23DB"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Pr>
          <w:rFonts w:ascii="Times New Roman" w:eastAsia="Times New Roman" w:hAnsi="Times New Roman"/>
          <w:sz w:val="24"/>
          <w:szCs w:val="24"/>
          <w:lang w:bidi="hi-IN"/>
        </w:rPr>
        <w:t>T</w:t>
      </w:r>
      <w:r w:rsidR="00C94C93" w:rsidRPr="00C94C93">
        <w:rPr>
          <w:rFonts w:ascii="Times New Roman" w:eastAsia="Times New Roman" w:hAnsi="Times New Roman"/>
          <w:sz w:val="24"/>
          <w:szCs w:val="24"/>
          <w:lang w:bidi="hi-IN"/>
        </w:rPr>
        <w:t>raits such as spadix length, number of suckers per plant, leaf widt</w:t>
      </w:r>
      <w:r>
        <w:rPr>
          <w:rFonts w:ascii="Times New Roman" w:eastAsia="Times New Roman" w:hAnsi="Times New Roman"/>
          <w:sz w:val="24"/>
          <w:szCs w:val="24"/>
          <w:lang w:bidi="hi-IN"/>
        </w:rPr>
        <w:t>h, plant height, petiole length</w:t>
      </w:r>
      <w:r w:rsidR="00C94C93" w:rsidRPr="00C94C93">
        <w:rPr>
          <w:rFonts w:ascii="Times New Roman" w:eastAsia="Times New Roman" w:hAnsi="Times New Roman"/>
          <w:sz w:val="24"/>
          <w:szCs w:val="24"/>
          <w:lang w:bidi="hi-IN"/>
        </w:rPr>
        <w:t xml:space="preserve"> and inflorescence stalk length emerged as key selection indices due to their high GCV, hig</w:t>
      </w:r>
      <w:r>
        <w:rPr>
          <w:rFonts w:ascii="Times New Roman" w:eastAsia="Times New Roman" w:hAnsi="Times New Roman"/>
          <w:sz w:val="24"/>
          <w:szCs w:val="24"/>
          <w:lang w:bidi="hi-IN"/>
        </w:rPr>
        <w:t>h heritability</w:t>
      </w:r>
      <w:r w:rsidR="00C94C93" w:rsidRPr="00C94C93">
        <w:rPr>
          <w:rFonts w:ascii="Times New Roman" w:eastAsia="Times New Roman" w:hAnsi="Times New Roman"/>
          <w:sz w:val="24"/>
          <w:szCs w:val="24"/>
          <w:lang w:bidi="hi-IN"/>
        </w:rPr>
        <w:t xml:space="preserve"> and high genetic advance. These traits are predominantly governed by additive genetic effects and are thus highly amenable to selection. On the contrary, traits with lo</w:t>
      </w:r>
      <w:r>
        <w:rPr>
          <w:rFonts w:ascii="Times New Roman" w:eastAsia="Times New Roman" w:hAnsi="Times New Roman"/>
          <w:sz w:val="24"/>
          <w:szCs w:val="24"/>
          <w:lang w:bidi="hi-IN"/>
        </w:rPr>
        <w:t>w variability, low heritability</w:t>
      </w:r>
      <w:r w:rsidR="00C94C93" w:rsidRPr="00C94C93">
        <w:rPr>
          <w:rFonts w:ascii="Times New Roman" w:eastAsia="Times New Roman" w:hAnsi="Times New Roman"/>
          <w:sz w:val="24"/>
          <w:szCs w:val="24"/>
          <w:lang w:bidi="hi-IN"/>
        </w:rPr>
        <w:t xml:space="preserve"> and low genetic advance may not be reliably improved through direct selection alone and may require alternative breeding approaches. The overall results from this study provide a </w:t>
      </w:r>
      <w:r w:rsidR="00C94C93" w:rsidRPr="00C94C93">
        <w:rPr>
          <w:rFonts w:ascii="Times New Roman" w:eastAsia="Times New Roman" w:hAnsi="Times New Roman"/>
          <w:sz w:val="24"/>
          <w:szCs w:val="24"/>
          <w:lang w:bidi="hi-IN"/>
        </w:rPr>
        <w:lastRenderedPageBreak/>
        <w:t>scientific basis for trait prioritization</w:t>
      </w:r>
      <w:r>
        <w:rPr>
          <w:rFonts w:ascii="Times New Roman" w:eastAsia="Times New Roman" w:hAnsi="Times New Roman"/>
          <w:sz w:val="24"/>
          <w:szCs w:val="24"/>
          <w:lang w:bidi="hi-IN"/>
        </w:rPr>
        <w:t xml:space="preserve"> in anthurium breeding programs</w:t>
      </w:r>
      <w:r w:rsidR="00C94C93" w:rsidRPr="00C94C93">
        <w:rPr>
          <w:rFonts w:ascii="Times New Roman" w:eastAsia="Times New Roman" w:hAnsi="Times New Roman"/>
          <w:sz w:val="24"/>
          <w:szCs w:val="24"/>
          <w:lang w:bidi="hi-IN"/>
        </w:rPr>
        <w:t xml:space="preserve"> and are consistent with previously reported findings by Madhukumar (2010), She</w:t>
      </w:r>
      <w:r>
        <w:rPr>
          <w:rFonts w:ascii="Times New Roman" w:eastAsia="Times New Roman" w:hAnsi="Times New Roman"/>
          <w:sz w:val="24"/>
          <w:szCs w:val="24"/>
          <w:lang w:bidi="hi-IN"/>
        </w:rPr>
        <w:t>ena (2015), Anand et al. (2017)</w:t>
      </w:r>
      <w:r w:rsidR="00C94C93" w:rsidRPr="00C94C93">
        <w:rPr>
          <w:rFonts w:ascii="Times New Roman" w:eastAsia="Times New Roman" w:hAnsi="Times New Roman"/>
          <w:sz w:val="24"/>
          <w:szCs w:val="24"/>
          <w:lang w:bidi="hi-IN"/>
        </w:rPr>
        <w:t xml:space="preserve"> and Thomas et al. (2022).</w:t>
      </w:r>
    </w:p>
    <w:p w14:paraId="3BC3B574" w14:textId="77777777" w:rsidR="002135FA" w:rsidRPr="00B402A8" w:rsidRDefault="002135FA" w:rsidP="00FB284A">
      <w:pPr>
        <w:autoSpaceDE w:val="0"/>
        <w:autoSpaceDN w:val="0"/>
        <w:adjustRightInd w:val="0"/>
        <w:spacing w:after="0" w:line="360" w:lineRule="auto"/>
        <w:jc w:val="both"/>
        <w:rPr>
          <w:rFonts w:ascii="Times New Roman" w:eastAsiaTheme="minorHAnsi" w:hAnsi="Times New Roman" w:cstheme="minorBidi"/>
          <w:sz w:val="24"/>
          <w:szCs w:val="24"/>
          <w:lang w:val="en-IN" w:eastAsia="en-IN"/>
        </w:rPr>
      </w:pPr>
    </w:p>
    <w:p w14:paraId="5E14FA5B" w14:textId="77777777" w:rsidR="00B72507" w:rsidRPr="00B402A8" w:rsidRDefault="0048509B">
      <w:pPr>
        <w:autoSpaceDE w:val="0"/>
        <w:autoSpaceDN w:val="0"/>
        <w:adjustRightInd w:val="0"/>
        <w:spacing w:after="0" w:line="360" w:lineRule="auto"/>
        <w:ind w:left="-851"/>
        <w:jc w:val="both"/>
        <w:rPr>
          <w:rFonts w:ascii="Times New Roman" w:hAnsi="Times New Roman"/>
          <w:b/>
          <w:bCs/>
          <w:sz w:val="24"/>
          <w:szCs w:val="24"/>
        </w:rPr>
      </w:pPr>
      <w:r w:rsidRPr="00B402A8">
        <w:rPr>
          <w:rFonts w:ascii="Times New Roman" w:hAnsi="Times New Roman"/>
          <w:b/>
          <w:bCs/>
          <w:sz w:val="24"/>
          <w:szCs w:val="24"/>
        </w:rPr>
        <w:t xml:space="preserve">Conclusion </w:t>
      </w:r>
    </w:p>
    <w:p w14:paraId="65D55F61" w14:textId="77777777" w:rsidR="00B72507" w:rsidRDefault="0048509B">
      <w:pPr>
        <w:spacing w:after="0" w:line="360" w:lineRule="auto"/>
        <w:ind w:left="-850" w:firstLine="720"/>
        <w:jc w:val="both"/>
        <w:rPr>
          <w:rFonts w:ascii="Times New Roman" w:eastAsiaTheme="minorHAnsi" w:hAnsi="Times New Roman"/>
          <w:sz w:val="24"/>
          <w:szCs w:val="24"/>
          <w:lang w:val="en-IN"/>
        </w:rPr>
      </w:pPr>
      <w:r w:rsidRPr="00B402A8">
        <w:rPr>
          <w:rFonts w:ascii="Times New Roman" w:hAnsi="Times New Roman"/>
          <w:sz w:val="24"/>
          <w:szCs w:val="24"/>
        </w:rPr>
        <w:t xml:space="preserve">In present study differences between GCV and PCV value for </w:t>
      </w:r>
      <w:r w:rsidR="003A7D25" w:rsidRPr="00B402A8">
        <w:rPr>
          <w:rFonts w:ascii="Times New Roman" w:hAnsi="Times New Roman"/>
          <w:sz w:val="24"/>
          <w:szCs w:val="24"/>
        </w:rPr>
        <w:t xml:space="preserve">most of </w:t>
      </w:r>
      <w:r w:rsidRPr="00B402A8">
        <w:rPr>
          <w:rFonts w:ascii="Times New Roman" w:hAnsi="Times New Roman"/>
          <w:sz w:val="24"/>
          <w:szCs w:val="24"/>
        </w:rPr>
        <w:t xml:space="preserve">morphological quality and </w:t>
      </w:r>
      <w:r w:rsidR="003A7D25" w:rsidRPr="00B402A8">
        <w:rPr>
          <w:rFonts w:ascii="Times New Roman" w:hAnsi="Times New Roman"/>
          <w:sz w:val="24"/>
          <w:szCs w:val="24"/>
        </w:rPr>
        <w:t>post harvest</w:t>
      </w:r>
      <w:r w:rsidRPr="00B402A8">
        <w:rPr>
          <w:rFonts w:ascii="Times New Roman" w:hAnsi="Times New Roman"/>
          <w:sz w:val="24"/>
          <w:szCs w:val="24"/>
        </w:rPr>
        <w:t xml:space="preserve"> traits were </w:t>
      </w:r>
      <w:r w:rsidR="003A7D25" w:rsidRPr="00B402A8">
        <w:rPr>
          <w:rFonts w:ascii="Times New Roman" w:hAnsi="Times New Roman"/>
          <w:sz w:val="24"/>
          <w:szCs w:val="24"/>
        </w:rPr>
        <w:t>generally</w:t>
      </w:r>
      <w:r w:rsidRPr="00B402A8">
        <w:rPr>
          <w:rFonts w:ascii="Times New Roman" w:hAnsi="Times New Roman"/>
          <w:sz w:val="24"/>
          <w:szCs w:val="24"/>
        </w:rPr>
        <w:t xml:space="preserve"> nominal, suggesting that these traits were less affected by environmental effects.</w:t>
      </w:r>
      <w:r w:rsidRPr="00B402A8">
        <w:rPr>
          <w:rFonts w:ascii="Times New Roman" w:eastAsiaTheme="minorHAnsi" w:hAnsi="Times New Roman"/>
          <w:sz w:val="24"/>
          <w:szCs w:val="24"/>
          <w:lang w:val="en-IN"/>
        </w:rPr>
        <w:t xml:space="preserve"> The traits like</w:t>
      </w:r>
      <w:r w:rsidRPr="00B402A8">
        <w:rPr>
          <w:rFonts w:ascii="Times New Roman" w:eastAsiaTheme="minorHAnsi" w:hAnsi="Times New Roman" w:cstheme="minorBidi"/>
          <w:sz w:val="24"/>
          <w:szCs w:val="24"/>
          <w:lang w:val="en-IN" w:eastAsia="en-IN"/>
        </w:rPr>
        <w:t xml:space="preserve"> </w:t>
      </w:r>
      <w:r w:rsidR="00253D4C">
        <w:rPr>
          <w:rFonts w:ascii="Times New Roman" w:eastAsiaTheme="minorHAnsi" w:hAnsi="Times New Roman"/>
          <w:sz w:val="24"/>
          <w:szCs w:val="24"/>
          <w:lang w:val="en-IN"/>
        </w:rPr>
        <w:t>plant height</w:t>
      </w:r>
      <w:r w:rsidR="003A7D25" w:rsidRPr="00B402A8">
        <w:rPr>
          <w:rFonts w:ascii="Times New Roman" w:eastAsiaTheme="minorHAnsi" w:hAnsi="Times New Roman"/>
          <w:sz w:val="24"/>
          <w:szCs w:val="24"/>
          <w:lang w:val="en-IN"/>
        </w:rPr>
        <w:t>,</w:t>
      </w:r>
      <w:r w:rsidR="00253D4C">
        <w:rPr>
          <w:rFonts w:ascii="Times New Roman" w:eastAsiaTheme="minorHAnsi" w:hAnsi="Times New Roman"/>
          <w:sz w:val="24"/>
          <w:szCs w:val="24"/>
          <w:lang w:val="en-IN"/>
        </w:rPr>
        <w:t xml:space="preserve"> </w:t>
      </w:r>
      <w:r w:rsidR="003A7D25" w:rsidRPr="00B402A8">
        <w:rPr>
          <w:rFonts w:ascii="Times New Roman" w:eastAsiaTheme="minorHAnsi" w:hAnsi="Times New Roman"/>
          <w:sz w:val="24"/>
          <w:szCs w:val="24"/>
          <w:lang w:val="en-IN"/>
        </w:rPr>
        <w:t xml:space="preserve">plant </w:t>
      </w:r>
      <w:proofErr w:type="gramStart"/>
      <w:r w:rsidR="003A7D25" w:rsidRPr="00B402A8">
        <w:rPr>
          <w:rFonts w:ascii="Times New Roman" w:eastAsiaTheme="minorHAnsi" w:hAnsi="Times New Roman"/>
          <w:sz w:val="24"/>
          <w:szCs w:val="24"/>
          <w:lang w:val="en-IN"/>
        </w:rPr>
        <w:t>spread ,followed</w:t>
      </w:r>
      <w:proofErr w:type="gramEnd"/>
      <w:r w:rsidR="003A7D25" w:rsidRPr="00B402A8">
        <w:rPr>
          <w:rFonts w:ascii="Times New Roman" w:eastAsiaTheme="minorHAnsi" w:hAnsi="Times New Roman"/>
          <w:sz w:val="24"/>
          <w:szCs w:val="24"/>
          <w:lang w:val="en-IN"/>
        </w:rPr>
        <w:t xml:space="preserve"> by inflorescence stalk length ,petiole length ,spadix length ,water uptake ,leaf width ,spathe width, leaf length number of suckers per plant and spathe length </w:t>
      </w:r>
      <w:r w:rsidRPr="00B402A8">
        <w:rPr>
          <w:rFonts w:ascii="Times New Roman" w:eastAsiaTheme="minorHAnsi" w:hAnsi="Times New Roman"/>
          <w:sz w:val="24"/>
          <w:szCs w:val="24"/>
          <w:lang w:val="en-IN"/>
        </w:rPr>
        <w:t xml:space="preserve">exhibited maximum heritability that can </w:t>
      </w:r>
      <w:r w:rsidRPr="00B402A8">
        <w:rPr>
          <w:rFonts w:ascii="Times New Roman" w:eastAsiaTheme="minorHAnsi" w:hAnsi="Times New Roman"/>
          <w:sz w:val="24"/>
          <w:szCs w:val="24"/>
        </w:rPr>
        <w:t xml:space="preserve">further be utilized </w:t>
      </w:r>
      <w:r w:rsidRPr="00B402A8">
        <w:rPr>
          <w:rFonts w:ascii="Times New Roman" w:eastAsiaTheme="minorHAnsi" w:hAnsi="Times New Roman"/>
          <w:sz w:val="24"/>
          <w:szCs w:val="24"/>
          <w:lang w:val="en-IN"/>
        </w:rPr>
        <w:t xml:space="preserve">for the </w:t>
      </w:r>
      <w:r w:rsidRPr="00B402A8">
        <w:rPr>
          <w:rFonts w:ascii="Times New Roman" w:eastAsiaTheme="minorHAnsi" w:hAnsi="Times New Roman"/>
          <w:sz w:val="24"/>
          <w:szCs w:val="24"/>
        </w:rPr>
        <w:t xml:space="preserve">crop </w:t>
      </w:r>
      <w:r w:rsidRPr="00B402A8">
        <w:rPr>
          <w:rFonts w:ascii="Times New Roman" w:eastAsiaTheme="minorHAnsi" w:hAnsi="Times New Roman"/>
          <w:sz w:val="24"/>
          <w:szCs w:val="24"/>
          <w:lang w:val="en-IN"/>
        </w:rPr>
        <w:t>improvement through appropriate breeding programme.</w:t>
      </w:r>
    </w:p>
    <w:p w14:paraId="32E3873E" w14:textId="77777777" w:rsidR="003C5244" w:rsidRPr="00B402A8" w:rsidRDefault="003C5244">
      <w:pPr>
        <w:spacing w:after="0" w:line="360" w:lineRule="auto"/>
        <w:ind w:left="-850" w:firstLine="720"/>
        <w:jc w:val="both"/>
        <w:rPr>
          <w:rFonts w:ascii="Times New Roman" w:hAnsi="Times New Roman"/>
          <w:b/>
          <w:bCs/>
          <w:sz w:val="24"/>
          <w:szCs w:val="24"/>
        </w:rPr>
      </w:pPr>
    </w:p>
    <w:p w14:paraId="45B902C6" w14:textId="4799E8CC" w:rsidR="00B72507" w:rsidRDefault="003C5244">
      <w:pPr>
        <w:spacing w:after="0" w:line="360" w:lineRule="auto"/>
        <w:ind w:left="-850"/>
        <w:jc w:val="both"/>
        <w:rPr>
          <w:rFonts w:ascii="Times New Roman" w:hAnsi="Times New Roman"/>
          <w:bCs/>
          <w:sz w:val="24"/>
          <w:szCs w:val="24"/>
        </w:rPr>
      </w:pPr>
      <w:r>
        <w:rPr>
          <w:rFonts w:ascii="Times New Roman" w:hAnsi="Times New Roman"/>
          <w:b/>
          <w:bCs/>
          <w:sz w:val="24"/>
          <w:szCs w:val="24"/>
        </w:rPr>
        <w:t>Recommendation</w:t>
      </w:r>
      <w:r w:rsidR="0048509B" w:rsidRPr="00B402A8">
        <w:rPr>
          <w:rFonts w:ascii="Times New Roman" w:hAnsi="Times New Roman"/>
          <w:b/>
          <w:bCs/>
          <w:sz w:val="24"/>
          <w:szCs w:val="24"/>
        </w:rPr>
        <w:t xml:space="preserve">: </w:t>
      </w:r>
      <w:r w:rsidR="0048509B" w:rsidRPr="00B402A8">
        <w:rPr>
          <w:rFonts w:ascii="Times New Roman" w:hAnsi="Times New Roman"/>
          <w:bCs/>
          <w:sz w:val="24"/>
          <w:szCs w:val="24"/>
        </w:rPr>
        <w:t xml:space="preserve">With the research findings of the present study, good performing </w:t>
      </w:r>
      <w:r w:rsidR="00D97BC6" w:rsidRPr="00B402A8">
        <w:rPr>
          <w:rFonts w:ascii="Times New Roman" w:hAnsi="Times New Roman"/>
          <w:bCs/>
          <w:sz w:val="24"/>
          <w:szCs w:val="24"/>
        </w:rPr>
        <w:t>varieties</w:t>
      </w:r>
      <w:r w:rsidR="0048509B" w:rsidRPr="00B402A8">
        <w:rPr>
          <w:rFonts w:ascii="Times New Roman" w:hAnsi="Times New Roman"/>
          <w:bCs/>
          <w:sz w:val="24"/>
          <w:szCs w:val="24"/>
        </w:rPr>
        <w:t xml:space="preserve"> under Bihar conditions can be further evaluated in multi-locations and can be recommended for further commercial cultivation.</w:t>
      </w:r>
    </w:p>
    <w:p w14:paraId="0EF5DDF9" w14:textId="77777777" w:rsidR="003C5244" w:rsidRDefault="003C5244">
      <w:pPr>
        <w:spacing w:after="0" w:line="360" w:lineRule="auto"/>
        <w:ind w:left="-850"/>
        <w:jc w:val="both"/>
        <w:rPr>
          <w:rFonts w:ascii="Times New Roman" w:hAnsi="Times New Roman"/>
          <w:b/>
          <w:bCs/>
          <w:sz w:val="24"/>
          <w:szCs w:val="24"/>
        </w:rPr>
      </w:pPr>
    </w:p>
    <w:p w14:paraId="793E3B75" w14:textId="77777777" w:rsidR="003C5244" w:rsidRPr="003C5244" w:rsidRDefault="003C5244" w:rsidP="003C5244">
      <w:pPr>
        <w:jc w:val="both"/>
        <w:outlineLvl w:val="0"/>
        <w:rPr>
          <w:rFonts w:ascii="Arial" w:eastAsia="Times New Roman" w:hAnsi="Arial" w:cs="Arial"/>
          <w:lang w:val="en-GB" w:eastAsia="en-GB"/>
        </w:rPr>
      </w:pPr>
      <w:r w:rsidRPr="003C5244">
        <w:rPr>
          <w:rFonts w:ascii="Arial" w:eastAsia="Times New Roman" w:hAnsi="Arial" w:cs="Arial"/>
          <w:b/>
          <w:bCs/>
          <w:lang w:val="en-GB" w:eastAsia="en-GB"/>
        </w:rPr>
        <w:t>COMPETING INTERESTS DISCLAIMER:</w:t>
      </w:r>
    </w:p>
    <w:p w14:paraId="637BEE90" w14:textId="77777777" w:rsidR="003C5244" w:rsidRPr="003C5244" w:rsidRDefault="003C5244" w:rsidP="003C5244">
      <w:pPr>
        <w:rPr>
          <w:rFonts w:eastAsia="Times New Roman"/>
          <w:lang w:val="en-GB" w:eastAsia="en-GB"/>
        </w:rPr>
      </w:pPr>
      <w:r w:rsidRPr="003C5244">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0E1868FA" w14:textId="77777777" w:rsidR="003C5244" w:rsidRDefault="003C5244">
      <w:pPr>
        <w:spacing w:after="0" w:line="360" w:lineRule="auto"/>
        <w:ind w:left="-850"/>
        <w:jc w:val="both"/>
        <w:rPr>
          <w:rFonts w:ascii="Times New Roman" w:hAnsi="Times New Roman"/>
          <w:b/>
          <w:bCs/>
          <w:sz w:val="24"/>
          <w:szCs w:val="24"/>
        </w:rPr>
      </w:pPr>
    </w:p>
    <w:p w14:paraId="1AB613D9" w14:textId="77777777" w:rsidR="003C5244" w:rsidRDefault="003C5244">
      <w:pPr>
        <w:spacing w:after="0" w:line="360" w:lineRule="auto"/>
        <w:ind w:left="-850"/>
        <w:jc w:val="both"/>
        <w:rPr>
          <w:rFonts w:ascii="Times New Roman" w:hAnsi="Times New Roman"/>
          <w:b/>
          <w:bCs/>
          <w:sz w:val="24"/>
          <w:szCs w:val="24"/>
        </w:rPr>
      </w:pPr>
    </w:p>
    <w:p w14:paraId="433686D8" w14:textId="77777777" w:rsidR="003C5244" w:rsidRPr="00B402A8" w:rsidRDefault="003C5244">
      <w:pPr>
        <w:spacing w:after="0" w:line="360" w:lineRule="auto"/>
        <w:ind w:left="-850"/>
        <w:jc w:val="both"/>
        <w:rPr>
          <w:rFonts w:ascii="Times New Roman" w:hAnsi="Times New Roman"/>
          <w:b/>
          <w:bCs/>
          <w:sz w:val="24"/>
          <w:szCs w:val="24"/>
        </w:rPr>
      </w:pPr>
    </w:p>
    <w:p w14:paraId="65AC4D67" w14:textId="77777777" w:rsidR="00DC2D40" w:rsidRDefault="0048509B" w:rsidP="00DC2D40">
      <w:pPr>
        <w:spacing w:after="0"/>
        <w:ind w:left="-851"/>
        <w:jc w:val="both"/>
        <w:rPr>
          <w:rFonts w:ascii="Times New Roman" w:hAnsi="Times New Roman"/>
          <w:b/>
          <w:bCs/>
          <w:sz w:val="24"/>
          <w:szCs w:val="24"/>
        </w:rPr>
      </w:pPr>
      <w:r>
        <w:rPr>
          <w:rFonts w:ascii="Times New Roman" w:hAnsi="Times New Roman"/>
          <w:b/>
          <w:bCs/>
          <w:sz w:val="24"/>
          <w:szCs w:val="24"/>
        </w:rPr>
        <w:t>References</w:t>
      </w:r>
      <w:bookmarkStart w:id="1" w:name="_Hlk115975458"/>
    </w:p>
    <w:p w14:paraId="1E2262B4"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Anand, M., Sankari, A., &amp; </w:t>
      </w:r>
      <w:proofErr w:type="spellStart"/>
      <w:r w:rsidRPr="00DC2D40">
        <w:rPr>
          <w:rFonts w:ascii="Times New Roman" w:eastAsia="Times New Roman" w:hAnsi="Times New Roman"/>
          <w:sz w:val="24"/>
          <w:szCs w:val="24"/>
          <w:lang w:bidi="hi-IN"/>
        </w:rPr>
        <w:t>Arulmozhiyan</w:t>
      </w:r>
      <w:proofErr w:type="spellEnd"/>
      <w:r w:rsidRPr="00DC2D40">
        <w:rPr>
          <w:rFonts w:ascii="Times New Roman" w:eastAsia="Times New Roman" w:hAnsi="Times New Roman"/>
          <w:sz w:val="24"/>
          <w:szCs w:val="24"/>
          <w:lang w:bidi="hi-IN"/>
        </w:rPr>
        <w:t xml:space="preserve">, R. (2013). Performance of Anthurium </w:t>
      </w:r>
      <w:proofErr w:type="spellStart"/>
      <w:r w:rsidRPr="00DC2D40">
        <w:rPr>
          <w:rFonts w:ascii="Times New Roman" w:eastAsia="Times New Roman" w:hAnsi="Times New Roman"/>
          <w:sz w:val="24"/>
          <w:szCs w:val="24"/>
          <w:lang w:bidi="hi-IN"/>
        </w:rPr>
        <w:t>andraeanum</w:t>
      </w:r>
      <w:proofErr w:type="spellEnd"/>
      <w:r w:rsidRPr="00DC2D40">
        <w:rPr>
          <w:rFonts w:ascii="Times New Roman" w:eastAsia="Times New Roman" w:hAnsi="Times New Roman"/>
          <w:sz w:val="24"/>
          <w:szCs w:val="24"/>
          <w:lang w:bidi="hi-IN"/>
        </w:rPr>
        <w:t xml:space="preserve"> varieties under </w:t>
      </w:r>
      <w:proofErr w:type="spellStart"/>
      <w:r w:rsidRPr="00DC2D40">
        <w:rPr>
          <w:rFonts w:ascii="Times New Roman" w:eastAsia="Times New Roman" w:hAnsi="Times New Roman"/>
          <w:sz w:val="24"/>
          <w:szCs w:val="24"/>
          <w:lang w:bidi="hi-IN"/>
        </w:rPr>
        <w:t>Shevaroys</w:t>
      </w:r>
      <w:proofErr w:type="spellEnd"/>
      <w:r w:rsidRPr="00DC2D40">
        <w:rPr>
          <w:rFonts w:ascii="Times New Roman" w:eastAsia="Times New Roman" w:hAnsi="Times New Roman"/>
          <w:sz w:val="24"/>
          <w:szCs w:val="24"/>
          <w:lang w:bidi="hi-IN"/>
        </w:rPr>
        <w:t xml:space="preserve"> conditions. </w:t>
      </w:r>
      <w:r w:rsidRPr="00DC2D40">
        <w:rPr>
          <w:rFonts w:ascii="Times New Roman" w:eastAsia="Times New Roman" w:hAnsi="Times New Roman"/>
          <w:i/>
          <w:iCs/>
          <w:sz w:val="24"/>
          <w:szCs w:val="24"/>
          <w:lang w:bidi="hi-IN"/>
        </w:rPr>
        <w:t>Asian Journal of Horticulture</w:t>
      </w:r>
      <w:r w:rsidRPr="00DC2D40">
        <w:rPr>
          <w:rFonts w:ascii="Times New Roman" w:eastAsia="Times New Roman" w:hAnsi="Times New Roman"/>
          <w:sz w:val="24"/>
          <w:szCs w:val="24"/>
          <w:lang w:bidi="hi-IN"/>
        </w:rPr>
        <w:t>, 8(2), 625–630.</w:t>
      </w:r>
    </w:p>
    <w:p w14:paraId="283157A7" w14:textId="77777777" w:rsidR="00DC2D40" w:rsidRDefault="00DC2D40" w:rsidP="00B705C3">
      <w:pPr>
        <w:spacing w:after="0"/>
        <w:ind w:hanging="851"/>
        <w:jc w:val="both"/>
        <w:rPr>
          <w:rFonts w:ascii="Times New Roman" w:hAnsi="Times New Roman"/>
          <w:b/>
          <w:bCs/>
          <w:sz w:val="24"/>
          <w:szCs w:val="24"/>
        </w:rPr>
      </w:pPr>
    </w:p>
    <w:p w14:paraId="07FC675B"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Anand, M., Sankari, A., </w:t>
      </w:r>
      <w:proofErr w:type="spellStart"/>
      <w:r w:rsidRPr="00DC2D40">
        <w:rPr>
          <w:rFonts w:ascii="Times New Roman" w:eastAsia="Times New Roman" w:hAnsi="Times New Roman"/>
          <w:sz w:val="24"/>
          <w:szCs w:val="24"/>
          <w:lang w:bidi="hi-IN"/>
        </w:rPr>
        <w:t>Arulmozhiyan</w:t>
      </w:r>
      <w:proofErr w:type="spellEnd"/>
      <w:r w:rsidRPr="00DC2D40">
        <w:rPr>
          <w:rFonts w:ascii="Times New Roman" w:eastAsia="Times New Roman" w:hAnsi="Times New Roman"/>
          <w:sz w:val="24"/>
          <w:szCs w:val="24"/>
          <w:lang w:bidi="hi-IN"/>
        </w:rPr>
        <w:t xml:space="preserve">, R., &amp; Kayalvizhi, K. (2017). Evaluation of different varieties of Anthurium </w:t>
      </w:r>
      <w:proofErr w:type="spellStart"/>
      <w:r w:rsidRPr="00DC2D40">
        <w:rPr>
          <w:rFonts w:ascii="Times New Roman" w:eastAsia="Times New Roman" w:hAnsi="Times New Roman"/>
          <w:sz w:val="24"/>
          <w:szCs w:val="24"/>
          <w:lang w:bidi="hi-IN"/>
        </w:rPr>
        <w:t>andraeanum</w:t>
      </w:r>
      <w:proofErr w:type="spellEnd"/>
      <w:r w:rsidRPr="00DC2D40">
        <w:rPr>
          <w:rFonts w:ascii="Times New Roman" w:eastAsia="Times New Roman" w:hAnsi="Times New Roman"/>
          <w:sz w:val="24"/>
          <w:szCs w:val="24"/>
          <w:lang w:bidi="hi-IN"/>
        </w:rPr>
        <w:t xml:space="preserve"> Linden Ex André for cut flower production under </w:t>
      </w:r>
      <w:proofErr w:type="spellStart"/>
      <w:r w:rsidRPr="00DC2D40">
        <w:rPr>
          <w:rFonts w:ascii="Times New Roman" w:eastAsia="Times New Roman" w:hAnsi="Times New Roman"/>
          <w:sz w:val="24"/>
          <w:szCs w:val="24"/>
          <w:lang w:bidi="hi-IN"/>
        </w:rPr>
        <w:t>Shevaroys</w:t>
      </w:r>
      <w:proofErr w:type="spellEnd"/>
      <w:r w:rsidRPr="00DC2D40">
        <w:rPr>
          <w:rFonts w:ascii="Times New Roman" w:eastAsia="Times New Roman" w:hAnsi="Times New Roman"/>
          <w:sz w:val="24"/>
          <w:szCs w:val="24"/>
          <w:lang w:bidi="hi-IN"/>
        </w:rPr>
        <w:t xml:space="preserve"> Hills. </w:t>
      </w:r>
      <w:r w:rsidRPr="00DC2D40">
        <w:rPr>
          <w:rFonts w:ascii="Times New Roman" w:eastAsia="Times New Roman" w:hAnsi="Times New Roman"/>
          <w:i/>
          <w:iCs/>
          <w:sz w:val="24"/>
          <w:szCs w:val="24"/>
          <w:lang w:bidi="hi-IN"/>
        </w:rPr>
        <w:t>Electronic Journal of Plant Breeding</w:t>
      </w:r>
      <w:r w:rsidRPr="00DC2D40">
        <w:rPr>
          <w:rFonts w:ascii="Times New Roman" w:eastAsia="Times New Roman" w:hAnsi="Times New Roman"/>
          <w:sz w:val="24"/>
          <w:szCs w:val="24"/>
          <w:lang w:bidi="hi-IN"/>
        </w:rPr>
        <w:t>, 8(3), 792–798.</w:t>
      </w:r>
    </w:p>
    <w:p w14:paraId="7915BEAF" w14:textId="77777777" w:rsidR="00DC2D40" w:rsidRDefault="00DC2D40" w:rsidP="00B705C3">
      <w:pPr>
        <w:spacing w:after="0"/>
        <w:ind w:hanging="851"/>
        <w:jc w:val="both"/>
        <w:rPr>
          <w:rFonts w:ascii="Times New Roman" w:hAnsi="Times New Roman"/>
          <w:b/>
          <w:bCs/>
          <w:sz w:val="24"/>
          <w:szCs w:val="24"/>
        </w:rPr>
      </w:pPr>
    </w:p>
    <w:p w14:paraId="52413B5B"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Burton, G. W., &amp; Devane, E. H. (1953). Estimating heritability in tall fescue (Festuca arundinacea) from replicated clonal material. </w:t>
      </w:r>
      <w:r w:rsidRPr="00DC2D40">
        <w:rPr>
          <w:rFonts w:ascii="Times New Roman" w:eastAsia="Times New Roman" w:hAnsi="Times New Roman"/>
          <w:i/>
          <w:iCs/>
          <w:sz w:val="24"/>
          <w:szCs w:val="24"/>
          <w:lang w:bidi="hi-IN"/>
        </w:rPr>
        <w:t>Agronomical Journal</w:t>
      </w:r>
      <w:r w:rsidRPr="00DC2D40">
        <w:rPr>
          <w:rFonts w:ascii="Times New Roman" w:eastAsia="Times New Roman" w:hAnsi="Times New Roman"/>
          <w:sz w:val="24"/>
          <w:szCs w:val="24"/>
          <w:lang w:bidi="hi-IN"/>
        </w:rPr>
        <w:t>, 45, 278–281.</w:t>
      </w:r>
    </w:p>
    <w:p w14:paraId="2B8EEE99" w14:textId="77777777" w:rsidR="00DC2D40" w:rsidRDefault="00DC2D40" w:rsidP="00B705C3">
      <w:pPr>
        <w:spacing w:after="0"/>
        <w:ind w:hanging="851"/>
        <w:jc w:val="both"/>
        <w:rPr>
          <w:rFonts w:ascii="Times New Roman" w:hAnsi="Times New Roman"/>
          <w:b/>
          <w:bCs/>
          <w:sz w:val="24"/>
          <w:szCs w:val="24"/>
        </w:rPr>
      </w:pPr>
    </w:p>
    <w:p w14:paraId="25642393"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lastRenderedPageBreak/>
        <w:t xml:space="preserve">Dufour, L., &amp; Guérin, V. (2003). Growth, developmental features and flower production of Anthurium andreanum Lind. in tropical conditions. </w:t>
      </w:r>
      <w:r w:rsidRPr="00DC2D40">
        <w:rPr>
          <w:rFonts w:ascii="Times New Roman" w:eastAsia="Times New Roman" w:hAnsi="Times New Roman"/>
          <w:i/>
          <w:iCs/>
          <w:sz w:val="24"/>
          <w:szCs w:val="24"/>
          <w:lang w:bidi="hi-IN"/>
        </w:rPr>
        <w:t xml:space="preserve">Scientia </w:t>
      </w:r>
      <w:proofErr w:type="spellStart"/>
      <w:r w:rsidRPr="00DC2D40">
        <w:rPr>
          <w:rFonts w:ascii="Times New Roman" w:eastAsia="Times New Roman" w:hAnsi="Times New Roman"/>
          <w:i/>
          <w:iCs/>
          <w:sz w:val="24"/>
          <w:szCs w:val="24"/>
          <w:lang w:bidi="hi-IN"/>
        </w:rPr>
        <w:t>Horticulturae</w:t>
      </w:r>
      <w:proofErr w:type="spellEnd"/>
      <w:r w:rsidRPr="00DC2D40">
        <w:rPr>
          <w:rFonts w:ascii="Times New Roman" w:eastAsia="Times New Roman" w:hAnsi="Times New Roman"/>
          <w:sz w:val="24"/>
          <w:szCs w:val="24"/>
          <w:lang w:bidi="hi-IN"/>
        </w:rPr>
        <w:t>, 98(1), 25–35.</w:t>
      </w:r>
    </w:p>
    <w:p w14:paraId="0DB57687" w14:textId="77777777" w:rsidR="00DC2D40" w:rsidRDefault="00DC2D40" w:rsidP="00B705C3">
      <w:pPr>
        <w:spacing w:after="0"/>
        <w:ind w:hanging="851"/>
        <w:jc w:val="both"/>
        <w:rPr>
          <w:rFonts w:ascii="Times New Roman" w:hAnsi="Times New Roman"/>
          <w:b/>
          <w:bCs/>
          <w:sz w:val="24"/>
          <w:szCs w:val="24"/>
        </w:rPr>
      </w:pPr>
    </w:p>
    <w:p w14:paraId="0590CE65"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Elibox, W., &amp; </w:t>
      </w:r>
      <w:proofErr w:type="spellStart"/>
      <w:r w:rsidRPr="00DC2D40">
        <w:rPr>
          <w:rFonts w:ascii="Times New Roman" w:eastAsia="Times New Roman" w:hAnsi="Times New Roman"/>
          <w:sz w:val="24"/>
          <w:szCs w:val="24"/>
          <w:lang w:bidi="hi-IN"/>
        </w:rPr>
        <w:t>Umaharan</w:t>
      </w:r>
      <w:proofErr w:type="spellEnd"/>
      <w:r w:rsidRPr="00DC2D40">
        <w:rPr>
          <w:rFonts w:ascii="Times New Roman" w:eastAsia="Times New Roman" w:hAnsi="Times New Roman"/>
          <w:sz w:val="24"/>
          <w:szCs w:val="24"/>
          <w:lang w:bidi="hi-IN"/>
        </w:rPr>
        <w:t xml:space="preserve">, P. (2010). Cultivar differences in the deterioration of vase-life in cut-flowers of Anthurium </w:t>
      </w:r>
      <w:proofErr w:type="spellStart"/>
      <w:r w:rsidRPr="00DC2D40">
        <w:rPr>
          <w:rFonts w:ascii="Times New Roman" w:eastAsia="Times New Roman" w:hAnsi="Times New Roman"/>
          <w:sz w:val="24"/>
          <w:szCs w:val="24"/>
          <w:lang w:bidi="hi-IN"/>
        </w:rPr>
        <w:t>andraeanum</w:t>
      </w:r>
      <w:proofErr w:type="spellEnd"/>
      <w:r w:rsidRPr="00DC2D40">
        <w:rPr>
          <w:rFonts w:ascii="Times New Roman" w:eastAsia="Times New Roman" w:hAnsi="Times New Roman"/>
          <w:sz w:val="24"/>
          <w:szCs w:val="24"/>
          <w:lang w:bidi="hi-IN"/>
        </w:rPr>
        <w:t xml:space="preserve"> are determined by mechanisms that regulate water uptake. </w:t>
      </w:r>
      <w:r w:rsidRPr="00DC2D40">
        <w:rPr>
          <w:rFonts w:ascii="Times New Roman" w:eastAsia="Times New Roman" w:hAnsi="Times New Roman"/>
          <w:i/>
          <w:iCs/>
          <w:sz w:val="24"/>
          <w:szCs w:val="24"/>
          <w:lang w:bidi="hi-IN"/>
        </w:rPr>
        <w:t xml:space="preserve">Scientia </w:t>
      </w:r>
      <w:proofErr w:type="spellStart"/>
      <w:r w:rsidRPr="00DC2D40">
        <w:rPr>
          <w:rFonts w:ascii="Times New Roman" w:eastAsia="Times New Roman" w:hAnsi="Times New Roman"/>
          <w:i/>
          <w:iCs/>
          <w:sz w:val="24"/>
          <w:szCs w:val="24"/>
          <w:lang w:bidi="hi-IN"/>
        </w:rPr>
        <w:t>Horticulturae</w:t>
      </w:r>
      <w:proofErr w:type="spellEnd"/>
      <w:r w:rsidRPr="00DC2D40">
        <w:rPr>
          <w:rFonts w:ascii="Times New Roman" w:eastAsia="Times New Roman" w:hAnsi="Times New Roman"/>
          <w:sz w:val="24"/>
          <w:szCs w:val="24"/>
          <w:lang w:bidi="hi-IN"/>
        </w:rPr>
        <w:t>, 124(1), 102–108.</w:t>
      </w:r>
    </w:p>
    <w:p w14:paraId="1F4AB8C2" w14:textId="77777777" w:rsidR="00DC2D40" w:rsidRDefault="00DC2D40" w:rsidP="00B705C3">
      <w:pPr>
        <w:spacing w:after="0"/>
        <w:ind w:hanging="851"/>
        <w:jc w:val="both"/>
        <w:rPr>
          <w:rFonts w:ascii="Times New Roman" w:hAnsi="Times New Roman"/>
          <w:b/>
          <w:bCs/>
          <w:sz w:val="24"/>
          <w:szCs w:val="24"/>
        </w:rPr>
      </w:pPr>
    </w:p>
    <w:p w14:paraId="109EA992"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Gopi, R., Thomas, B., &amp; Sathishkumar, S. (2016). Effect of plant growth regulators on flowering in Anthurium. </w:t>
      </w:r>
      <w:r w:rsidRPr="00DC2D40">
        <w:rPr>
          <w:rFonts w:ascii="Times New Roman" w:eastAsia="Times New Roman" w:hAnsi="Times New Roman"/>
          <w:i/>
          <w:iCs/>
          <w:sz w:val="24"/>
          <w:szCs w:val="24"/>
          <w:lang w:bidi="hi-IN"/>
        </w:rPr>
        <w:t>Advances in Life Sciences</w:t>
      </w:r>
      <w:r w:rsidRPr="00DC2D40">
        <w:rPr>
          <w:rFonts w:ascii="Times New Roman" w:eastAsia="Times New Roman" w:hAnsi="Times New Roman"/>
          <w:sz w:val="24"/>
          <w:szCs w:val="24"/>
          <w:lang w:bidi="hi-IN"/>
        </w:rPr>
        <w:t>, 5(12), 4886–4888.</w:t>
      </w:r>
    </w:p>
    <w:p w14:paraId="31DBF745" w14:textId="77777777" w:rsidR="00DC2D40" w:rsidRDefault="00DC2D40" w:rsidP="00B705C3">
      <w:pPr>
        <w:spacing w:after="0"/>
        <w:ind w:hanging="851"/>
        <w:jc w:val="both"/>
        <w:rPr>
          <w:rFonts w:ascii="Times New Roman" w:hAnsi="Times New Roman"/>
          <w:b/>
          <w:bCs/>
          <w:sz w:val="24"/>
          <w:szCs w:val="24"/>
        </w:rPr>
      </w:pPr>
    </w:p>
    <w:p w14:paraId="5EA9D281"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Madhukumar, K. (2010). Genetic evaluation of Anthurium varieties under Kerala conditions. </w:t>
      </w:r>
      <w:r w:rsidRPr="00DC2D40">
        <w:rPr>
          <w:rFonts w:ascii="Times New Roman" w:eastAsia="Times New Roman" w:hAnsi="Times New Roman"/>
          <w:i/>
          <w:iCs/>
          <w:sz w:val="24"/>
          <w:szCs w:val="24"/>
          <w:lang w:bidi="hi-IN"/>
        </w:rPr>
        <w:t>Ph.D. thesis</w:t>
      </w:r>
      <w:r w:rsidRPr="00DC2D40">
        <w:rPr>
          <w:rFonts w:ascii="Times New Roman" w:eastAsia="Times New Roman" w:hAnsi="Times New Roman"/>
          <w:sz w:val="24"/>
          <w:szCs w:val="24"/>
          <w:lang w:bidi="hi-IN"/>
        </w:rPr>
        <w:t>, Kerala Agricultural University, Thrissur, 201p.</w:t>
      </w:r>
    </w:p>
    <w:p w14:paraId="33FD80CC" w14:textId="77777777" w:rsidR="00DC2D40" w:rsidRDefault="00DC2D40" w:rsidP="00B705C3">
      <w:pPr>
        <w:spacing w:after="0"/>
        <w:ind w:hanging="851"/>
        <w:jc w:val="both"/>
        <w:rPr>
          <w:rFonts w:ascii="Times New Roman" w:hAnsi="Times New Roman"/>
          <w:b/>
          <w:bCs/>
          <w:sz w:val="24"/>
          <w:szCs w:val="24"/>
        </w:rPr>
      </w:pPr>
    </w:p>
    <w:p w14:paraId="1F42D519"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Namita, Singh, K. P., Raju, D. V. S., Prasad, K. V., &amp; Bharadwaj, C. (2008). Studies on genetic variability, heritability and genetic advance in French marigold (</w:t>
      </w:r>
      <w:proofErr w:type="spellStart"/>
      <w:r w:rsidRPr="00DC2D40">
        <w:rPr>
          <w:rFonts w:ascii="Times New Roman" w:eastAsia="Times New Roman" w:hAnsi="Times New Roman"/>
          <w:sz w:val="24"/>
          <w:szCs w:val="24"/>
          <w:lang w:bidi="hi-IN"/>
        </w:rPr>
        <w:t>Tagetes</w:t>
      </w:r>
      <w:proofErr w:type="spellEnd"/>
      <w:r w:rsidRPr="00DC2D40">
        <w:rPr>
          <w:rFonts w:ascii="Times New Roman" w:eastAsia="Times New Roman" w:hAnsi="Times New Roman"/>
          <w:sz w:val="24"/>
          <w:szCs w:val="24"/>
          <w:lang w:bidi="hi-IN"/>
        </w:rPr>
        <w:t xml:space="preserve"> </w:t>
      </w:r>
      <w:proofErr w:type="spellStart"/>
      <w:r w:rsidRPr="00DC2D40">
        <w:rPr>
          <w:rFonts w:ascii="Times New Roman" w:eastAsia="Times New Roman" w:hAnsi="Times New Roman"/>
          <w:sz w:val="24"/>
          <w:szCs w:val="24"/>
          <w:lang w:bidi="hi-IN"/>
        </w:rPr>
        <w:t>patula</w:t>
      </w:r>
      <w:proofErr w:type="spellEnd"/>
      <w:r w:rsidRPr="00DC2D40">
        <w:rPr>
          <w:rFonts w:ascii="Times New Roman" w:eastAsia="Times New Roman" w:hAnsi="Times New Roman"/>
          <w:sz w:val="24"/>
          <w:szCs w:val="24"/>
          <w:lang w:bidi="hi-IN"/>
        </w:rPr>
        <w:t xml:space="preserve">) genotypes. </w:t>
      </w:r>
      <w:r w:rsidRPr="00DC2D40">
        <w:rPr>
          <w:rFonts w:ascii="Times New Roman" w:eastAsia="Times New Roman" w:hAnsi="Times New Roman"/>
          <w:i/>
          <w:iCs/>
          <w:sz w:val="24"/>
          <w:szCs w:val="24"/>
          <w:lang w:bidi="hi-IN"/>
        </w:rPr>
        <w:t>Journal of Ornamental Horticulture</w:t>
      </w:r>
      <w:r w:rsidRPr="00DC2D40">
        <w:rPr>
          <w:rFonts w:ascii="Times New Roman" w:eastAsia="Times New Roman" w:hAnsi="Times New Roman"/>
          <w:sz w:val="24"/>
          <w:szCs w:val="24"/>
          <w:lang w:bidi="hi-IN"/>
        </w:rPr>
        <w:t>, 12(1), 30–34.</w:t>
      </w:r>
    </w:p>
    <w:p w14:paraId="61F5E264" w14:textId="77777777" w:rsidR="00DC2D40" w:rsidRDefault="00DC2D40" w:rsidP="00B705C3">
      <w:pPr>
        <w:spacing w:after="0"/>
        <w:ind w:hanging="851"/>
        <w:jc w:val="both"/>
        <w:rPr>
          <w:rFonts w:ascii="Times New Roman" w:hAnsi="Times New Roman"/>
          <w:b/>
          <w:bCs/>
          <w:sz w:val="24"/>
          <w:szCs w:val="24"/>
        </w:rPr>
      </w:pPr>
    </w:p>
    <w:p w14:paraId="30FB0D04"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Panse, V. G., &amp; </w:t>
      </w:r>
      <w:proofErr w:type="spellStart"/>
      <w:r w:rsidRPr="00DC2D40">
        <w:rPr>
          <w:rFonts w:ascii="Times New Roman" w:eastAsia="Times New Roman" w:hAnsi="Times New Roman"/>
          <w:sz w:val="24"/>
          <w:szCs w:val="24"/>
          <w:lang w:bidi="hi-IN"/>
        </w:rPr>
        <w:t>Sukhatme</w:t>
      </w:r>
      <w:proofErr w:type="spellEnd"/>
      <w:r w:rsidRPr="00DC2D40">
        <w:rPr>
          <w:rFonts w:ascii="Times New Roman" w:eastAsia="Times New Roman" w:hAnsi="Times New Roman"/>
          <w:sz w:val="24"/>
          <w:szCs w:val="24"/>
          <w:lang w:bidi="hi-IN"/>
        </w:rPr>
        <w:t xml:space="preserve">, P. V. (1985). Statistical methods for agricultural workers (4th ed.). </w:t>
      </w:r>
      <w:r w:rsidRPr="00DC2D40">
        <w:rPr>
          <w:rFonts w:ascii="Times New Roman" w:eastAsia="Times New Roman" w:hAnsi="Times New Roman"/>
          <w:i/>
          <w:iCs/>
          <w:sz w:val="24"/>
          <w:szCs w:val="24"/>
          <w:lang w:bidi="hi-IN"/>
        </w:rPr>
        <w:t>Indian Council of Agricultural Research</w:t>
      </w:r>
      <w:r w:rsidRPr="00DC2D40">
        <w:rPr>
          <w:rFonts w:ascii="Times New Roman" w:eastAsia="Times New Roman" w:hAnsi="Times New Roman"/>
          <w:sz w:val="24"/>
          <w:szCs w:val="24"/>
          <w:lang w:bidi="hi-IN"/>
        </w:rPr>
        <w:t>, New Delhi, 347p.</w:t>
      </w:r>
    </w:p>
    <w:p w14:paraId="2A2F2181" w14:textId="77777777" w:rsidR="00DC2D40" w:rsidRDefault="00DC2D40" w:rsidP="00B705C3">
      <w:pPr>
        <w:spacing w:after="0"/>
        <w:ind w:hanging="851"/>
        <w:jc w:val="both"/>
        <w:rPr>
          <w:rFonts w:ascii="Times New Roman" w:hAnsi="Times New Roman"/>
          <w:b/>
          <w:bCs/>
          <w:sz w:val="24"/>
          <w:szCs w:val="24"/>
        </w:rPr>
      </w:pPr>
    </w:p>
    <w:p w14:paraId="6D251D8A"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Sharma, K. R., Srivastava, L. J., &amp; Singh, J. M. (1990). Studies on correlation and path analysis for selected active principle contributing parameters in </w:t>
      </w:r>
      <w:proofErr w:type="spellStart"/>
      <w:r w:rsidRPr="00DC2D40">
        <w:rPr>
          <w:rFonts w:ascii="Times New Roman" w:eastAsia="Times New Roman" w:hAnsi="Times New Roman"/>
          <w:sz w:val="24"/>
          <w:szCs w:val="24"/>
          <w:lang w:bidi="hi-IN"/>
        </w:rPr>
        <w:t>Glaucium</w:t>
      </w:r>
      <w:proofErr w:type="spellEnd"/>
      <w:r w:rsidRPr="00DC2D40">
        <w:rPr>
          <w:rFonts w:ascii="Times New Roman" w:eastAsia="Times New Roman" w:hAnsi="Times New Roman"/>
          <w:sz w:val="24"/>
          <w:szCs w:val="24"/>
          <w:lang w:bidi="hi-IN"/>
        </w:rPr>
        <w:t xml:space="preserve"> flavum </w:t>
      </w:r>
      <w:proofErr w:type="spellStart"/>
      <w:r w:rsidRPr="00DC2D40">
        <w:rPr>
          <w:rFonts w:ascii="Times New Roman" w:eastAsia="Times New Roman" w:hAnsi="Times New Roman"/>
          <w:sz w:val="24"/>
          <w:szCs w:val="24"/>
          <w:lang w:bidi="hi-IN"/>
        </w:rPr>
        <w:t>Crantz</w:t>
      </w:r>
      <w:proofErr w:type="spellEnd"/>
      <w:r w:rsidRPr="00DC2D40">
        <w:rPr>
          <w:rFonts w:ascii="Times New Roman" w:eastAsia="Times New Roman" w:hAnsi="Times New Roman"/>
          <w:sz w:val="24"/>
          <w:szCs w:val="24"/>
          <w:lang w:bidi="hi-IN"/>
        </w:rPr>
        <w:t xml:space="preserve">. </w:t>
      </w:r>
      <w:r w:rsidRPr="00DC2D40">
        <w:rPr>
          <w:rFonts w:ascii="Times New Roman" w:eastAsia="Times New Roman" w:hAnsi="Times New Roman"/>
          <w:i/>
          <w:iCs/>
          <w:sz w:val="24"/>
          <w:szCs w:val="24"/>
          <w:lang w:bidi="hi-IN"/>
        </w:rPr>
        <w:t>Indian Journal of Forestry</w:t>
      </w:r>
      <w:r w:rsidRPr="00DC2D40">
        <w:rPr>
          <w:rFonts w:ascii="Times New Roman" w:eastAsia="Times New Roman" w:hAnsi="Times New Roman"/>
          <w:sz w:val="24"/>
          <w:szCs w:val="24"/>
          <w:lang w:bidi="hi-IN"/>
        </w:rPr>
        <w:t>, 13(2), 149–153.</w:t>
      </w:r>
    </w:p>
    <w:p w14:paraId="43EB2281" w14:textId="77777777" w:rsidR="00DC2D40" w:rsidRDefault="00DC2D40" w:rsidP="00B705C3">
      <w:pPr>
        <w:spacing w:after="0"/>
        <w:ind w:hanging="851"/>
        <w:jc w:val="both"/>
        <w:rPr>
          <w:rFonts w:ascii="Times New Roman" w:hAnsi="Times New Roman"/>
          <w:b/>
          <w:bCs/>
          <w:sz w:val="24"/>
          <w:szCs w:val="24"/>
        </w:rPr>
      </w:pPr>
    </w:p>
    <w:p w14:paraId="2E9793F1"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Sheena, S. (2015). Studies on hybridization and variability in Anthurium varieties. </w:t>
      </w:r>
      <w:r w:rsidRPr="00DC2D40">
        <w:rPr>
          <w:rFonts w:ascii="Times New Roman" w:eastAsia="Times New Roman" w:hAnsi="Times New Roman"/>
          <w:i/>
          <w:iCs/>
          <w:sz w:val="24"/>
          <w:szCs w:val="24"/>
          <w:lang w:bidi="hi-IN"/>
        </w:rPr>
        <w:t>Ph.D. (Ag.) thesis</w:t>
      </w:r>
      <w:r w:rsidRPr="00DC2D40">
        <w:rPr>
          <w:rFonts w:ascii="Times New Roman" w:eastAsia="Times New Roman" w:hAnsi="Times New Roman"/>
          <w:sz w:val="24"/>
          <w:szCs w:val="24"/>
          <w:lang w:bidi="hi-IN"/>
        </w:rPr>
        <w:t>, Kerala Agricultural University, Thrissur, 119p.</w:t>
      </w:r>
    </w:p>
    <w:p w14:paraId="08135FAB" w14:textId="77777777" w:rsidR="00DC2D40" w:rsidRDefault="00DC2D40" w:rsidP="00B705C3">
      <w:pPr>
        <w:spacing w:after="0"/>
        <w:ind w:hanging="851"/>
        <w:jc w:val="both"/>
        <w:rPr>
          <w:rFonts w:ascii="Times New Roman" w:hAnsi="Times New Roman"/>
          <w:b/>
          <w:bCs/>
          <w:sz w:val="24"/>
          <w:szCs w:val="24"/>
        </w:rPr>
      </w:pPr>
    </w:p>
    <w:p w14:paraId="6A49D1CD"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Singh, F. (1987). Anthurium – Vying for a place among commercial flower crops. </w:t>
      </w:r>
      <w:r w:rsidRPr="00DC2D40">
        <w:rPr>
          <w:rFonts w:ascii="Times New Roman" w:eastAsia="Times New Roman" w:hAnsi="Times New Roman"/>
          <w:i/>
          <w:iCs/>
          <w:sz w:val="24"/>
          <w:szCs w:val="24"/>
          <w:lang w:bidi="hi-IN"/>
        </w:rPr>
        <w:t>Indian Horticulture</w:t>
      </w:r>
      <w:r w:rsidRPr="00DC2D40">
        <w:rPr>
          <w:rFonts w:ascii="Times New Roman" w:eastAsia="Times New Roman" w:hAnsi="Times New Roman"/>
          <w:sz w:val="24"/>
          <w:szCs w:val="24"/>
          <w:lang w:bidi="hi-IN"/>
        </w:rPr>
        <w:t>, 4, 14–16.</w:t>
      </w:r>
    </w:p>
    <w:p w14:paraId="2D028588" w14:textId="77777777" w:rsidR="00DC2D40" w:rsidRDefault="00DC2D40" w:rsidP="00B705C3">
      <w:pPr>
        <w:spacing w:after="0"/>
        <w:ind w:hanging="851"/>
        <w:jc w:val="both"/>
        <w:rPr>
          <w:rFonts w:ascii="Times New Roman" w:hAnsi="Times New Roman"/>
          <w:b/>
          <w:bCs/>
          <w:sz w:val="24"/>
          <w:szCs w:val="24"/>
        </w:rPr>
      </w:pPr>
    </w:p>
    <w:p w14:paraId="54C98700" w14:textId="77777777" w:rsidR="00DC2D40" w:rsidRDefault="00DC2D40" w:rsidP="00B705C3">
      <w:pPr>
        <w:spacing w:after="0"/>
        <w:ind w:hanging="851"/>
        <w:jc w:val="both"/>
        <w:rPr>
          <w:rFonts w:ascii="Times New Roman" w:hAnsi="Times New Roman"/>
          <w:b/>
          <w:bCs/>
          <w:sz w:val="24"/>
          <w:szCs w:val="24"/>
        </w:rPr>
      </w:pPr>
      <w:proofErr w:type="spellStart"/>
      <w:r w:rsidRPr="00DC2D40">
        <w:rPr>
          <w:rFonts w:ascii="Times New Roman" w:eastAsia="Times New Roman" w:hAnsi="Times New Roman"/>
          <w:sz w:val="24"/>
          <w:szCs w:val="24"/>
          <w:lang w:bidi="hi-IN"/>
        </w:rPr>
        <w:t>Tamuli</w:t>
      </w:r>
      <w:proofErr w:type="spellEnd"/>
      <w:r w:rsidRPr="00DC2D40">
        <w:rPr>
          <w:rFonts w:ascii="Times New Roman" w:eastAsia="Times New Roman" w:hAnsi="Times New Roman"/>
          <w:sz w:val="24"/>
          <w:szCs w:val="24"/>
          <w:lang w:bidi="hi-IN"/>
        </w:rPr>
        <w:t xml:space="preserve">, P. S., Talukdar, M. C., &amp; Talukdar, P. (2015). Genetic variability in Anthurium hybrids under Assam conditions. </w:t>
      </w:r>
      <w:r w:rsidRPr="00DC2D40">
        <w:rPr>
          <w:rFonts w:ascii="Times New Roman" w:eastAsia="Times New Roman" w:hAnsi="Times New Roman"/>
          <w:i/>
          <w:iCs/>
          <w:sz w:val="24"/>
          <w:szCs w:val="24"/>
          <w:lang w:bidi="hi-IN"/>
        </w:rPr>
        <w:t>Journal of Agriculture and Veterinary Science</w:t>
      </w:r>
      <w:r w:rsidRPr="00DC2D40">
        <w:rPr>
          <w:rFonts w:ascii="Times New Roman" w:eastAsia="Times New Roman" w:hAnsi="Times New Roman"/>
          <w:sz w:val="24"/>
          <w:szCs w:val="24"/>
          <w:lang w:bidi="hi-IN"/>
        </w:rPr>
        <w:t>, 8(31), 07–10.</w:t>
      </w:r>
    </w:p>
    <w:p w14:paraId="524CE79C" w14:textId="77777777" w:rsidR="00DC2D40" w:rsidRDefault="00DC2D40" w:rsidP="00B705C3">
      <w:pPr>
        <w:spacing w:after="0"/>
        <w:ind w:hanging="851"/>
        <w:jc w:val="both"/>
        <w:rPr>
          <w:rFonts w:ascii="Times New Roman" w:hAnsi="Times New Roman"/>
          <w:b/>
          <w:bCs/>
          <w:sz w:val="24"/>
          <w:szCs w:val="24"/>
        </w:rPr>
      </w:pPr>
    </w:p>
    <w:p w14:paraId="6B5E38FD" w14:textId="77777777" w:rsidR="00DC2D40" w:rsidRP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Thomas, B., Revathi, B. S., Sarada, S., &amp; Ram, A. A. (2022). Genetic variability parameters of commercially superior Anthurium andreanum varieties and hybrids. </w:t>
      </w:r>
      <w:r w:rsidRPr="00DC2D40">
        <w:rPr>
          <w:rFonts w:ascii="Times New Roman" w:eastAsia="Times New Roman" w:hAnsi="Times New Roman"/>
          <w:i/>
          <w:iCs/>
          <w:sz w:val="24"/>
          <w:szCs w:val="24"/>
          <w:lang w:bidi="hi-IN"/>
        </w:rPr>
        <w:t>The Pharma Innovation Journal</w:t>
      </w:r>
      <w:r w:rsidRPr="00DC2D40">
        <w:rPr>
          <w:rFonts w:ascii="Times New Roman" w:eastAsia="Times New Roman" w:hAnsi="Times New Roman"/>
          <w:sz w:val="24"/>
          <w:szCs w:val="24"/>
          <w:lang w:bidi="hi-IN"/>
        </w:rPr>
        <w:t>, 11(5), 1988–1991.</w:t>
      </w:r>
    </w:p>
    <w:p w14:paraId="18BD42A4" w14:textId="77777777" w:rsidR="00323F30" w:rsidRPr="00323F30" w:rsidRDefault="00323F30" w:rsidP="00323F30">
      <w:pPr>
        <w:spacing w:before="100" w:beforeAutospacing="1" w:after="100" w:afterAutospacing="1" w:line="240" w:lineRule="auto"/>
        <w:ind w:left="720"/>
        <w:rPr>
          <w:rFonts w:ascii="Times New Roman" w:eastAsia="Times New Roman" w:hAnsi="Times New Roman"/>
          <w:sz w:val="24"/>
          <w:szCs w:val="24"/>
          <w:lang w:bidi="hi-IN"/>
        </w:rPr>
      </w:pPr>
    </w:p>
    <w:p w14:paraId="2FB2434E" w14:textId="77777777" w:rsidR="00B72507" w:rsidRDefault="00B72507" w:rsidP="008C65A1">
      <w:pPr>
        <w:spacing w:afterLines="120" w:after="288" w:line="24" w:lineRule="atLeast"/>
        <w:ind w:leftChars="-400" w:left="-880"/>
        <w:jc w:val="both"/>
      </w:pPr>
    </w:p>
    <w:bookmarkEnd w:id="1"/>
    <w:p w14:paraId="64CCC3E0" w14:textId="77777777" w:rsidR="00253D4C" w:rsidRDefault="00253D4C">
      <w:pPr>
        <w:spacing w:afterLines="120" w:after="288" w:line="24" w:lineRule="atLeast"/>
        <w:jc w:val="both"/>
      </w:pPr>
    </w:p>
    <w:p w14:paraId="1E835F97" w14:textId="77777777" w:rsidR="00253D4C" w:rsidRPr="00253D4C" w:rsidRDefault="00253D4C" w:rsidP="00253D4C"/>
    <w:p w14:paraId="30F6D6F5" w14:textId="77777777" w:rsidR="00253D4C" w:rsidRPr="00253D4C" w:rsidRDefault="00253D4C" w:rsidP="00253D4C"/>
    <w:p w14:paraId="08A14A33" w14:textId="77777777" w:rsidR="00253D4C" w:rsidRPr="00253D4C" w:rsidRDefault="00253D4C" w:rsidP="00253D4C"/>
    <w:p w14:paraId="2EA84E29" w14:textId="77777777" w:rsidR="00253D4C" w:rsidRPr="00253D4C" w:rsidRDefault="00253D4C" w:rsidP="00253D4C"/>
    <w:p w14:paraId="09CB4740" w14:textId="77777777" w:rsidR="00253D4C" w:rsidRPr="00253D4C" w:rsidRDefault="00253D4C" w:rsidP="00253D4C"/>
    <w:p w14:paraId="5679193F" w14:textId="77777777" w:rsidR="00253D4C" w:rsidRPr="00253D4C" w:rsidRDefault="00253D4C" w:rsidP="00253D4C"/>
    <w:p w14:paraId="7ECA6C29" w14:textId="77777777" w:rsidR="00253D4C" w:rsidRPr="00253D4C" w:rsidRDefault="00253D4C" w:rsidP="00253D4C"/>
    <w:p w14:paraId="36A45EC6" w14:textId="77777777" w:rsidR="00253D4C" w:rsidRDefault="00253D4C" w:rsidP="00253D4C"/>
    <w:p w14:paraId="5AD4B1C3" w14:textId="77777777" w:rsidR="00253D4C" w:rsidRDefault="00253D4C" w:rsidP="00253D4C">
      <w:pPr>
        <w:sectPr w:rsidR="00253D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418" w:left="1985" w:header="708" w:footer="708" w:gutter="0"/>
          <w:pgNumType w:start="29"/>
          <w:cols w:space="708"/>
          <w:titlePg/>
          <w:docGrid w:linePitch="360"/>
        </w:sectPr>
      </w:pPr>
    </w:p>
    <w:p w14:paraId="2CB46BE5" w14:textId="77777777" w:rsidR="00B72507" w:rsidRDefault="00253D4C" w:rsidP="00253D4C">
      <w:pPr>
        <w:jc w:val="center"/>
        <w:rPr>
          <w:rFonts w:ascii="Times New Roman" w:hAnsi="Times New Roman"/>
          <w:sz w:val="24"/>
          <w:szCs w:val="24"/>
        </w:rPr>
      </w:pPr>
      <w:r>
        <w:rPr>
          <w:rFonts w:ascii="Times New Roman" w:hAnsi="Times New Roman"/>
          <w:b/>
          <w:bCs/>
          <w:sz w:val="24"/>
          <w:szCs w:val="24"/>
        </w:rPr>
        <w:lastRenderedPageBreak/>
        <w:t xml:space="preserve">Table.1 </w:t>
      </w:r>
      <w:r>
        <w:rPr>
          <w:rFonts w:ascii="Times New Roman" w:hAnsi="Times New Roman"/>
          <w:sz w:val="24"/>
          <w:szCs w:val="24"/>
        </w:rPr>
        <w:t>Genetic estimates for various growth, flowering and quality parameters in anthurium</w:t>
      </w:r>
    </w:p>
    <w:tbl>
      <w:tblPr>
        <w:tblStyle w:val="TableGrid"/>
        <w:tblW w:w="15501" w:type="dxa"/>
        <w:tblInd w:w="-792" w:type="dxa"/>
        <w:tblLayout w:type="fixed"/>
        <w:tblLook w:val="04A0" w:firstRow="1" w:lastRow="0" w:firstColumn="1" w:lastColumn="0" w:noHBand="0" w:noVBand="1"/>
      </w:tblPr>
      <w:tblGrid>
        <w:gridCol w:w="1311"/>
        <w:gridCol w:w="3829"/>
        <w:gridCol w:w="2465"/>
        <w:gridCol w:w="1705"/>
        <w:gridCol w:w="1705"/>
        <w:gridCol w:w="2360"/>
        <w:gridCol w:w="2126"/>
      </w:tblGrid>
      <w:tr w:rsidR="00253D4C" w:rsidRPr="00253D4C" w14:paraId="3F686627" w14:textId="77777777" w:rsidTr="00253D4C">
        <w:trPr>
          <w:trHeight w:val="251"/>
        </w:trPr>
        <w:tc>
          <w:tcPr>
            <w:tcW w:w="1311" w:type="dxa"/>
          </w:tcPr>
          <w:p w14:paraId="209BF2CE"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S No.</w:t>
            </w:r>
          </w:p>
        </w:tc>
        <w:tc>
          <w:tcPr>
            <w:tcW w:w="3829" w:type="dxa"/>
          </w:tcPr>
          <w:p w14:paraId="19BE8EAC"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Traits</w:t>
            </w:r>
          </w:p>
          <w:p w14:paraId="3E741B0D" w14:textId="77777777" w:rsidR="00253D4C" w:rsidRPr="00253D4C" w:rsidRDefault="00253D4C" w:rsidP="00E3693C">
            <w:pPr>
              <w:rPr>
                <w:rFonts w:ascii="Times New Roman" w:hAnsi="Times New Roman"/>
                <w:b/>
                <w:bCs/>
                <w:sz w:val="16"/>
                <w:szCs w:val="14"/>
              </w:rPr>
            </w:pPr>
          </w:p>
        </w:tc>
        <w:tc>
          <w:tcPr>
            <w:tcW w:w="2465" w:type="dxa"/>
          </w:tcPr>
          <w:p w14:paraId="073E8EE7"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Range</w:t>
            </w:r>
          </w:p>
          <w:p w14:paraId="05FCEAD8" w14:textId="77777777" w:rsidR="00253D4C" w:rsidRPr="00253D4C" w:rsidRDefault="00253D4C" w:rsidP="00E3693C">
            <w:pPr>
              <w:jc w:val="center"/>
              <w:rPr>
                <w:rFonts w:ascii="Times New Roman" w:hAnsi="Times New Roman"/>
                <w:b/>
                <w:bCs/>
                <w:sz w:val="16"/>
                <w:szCs w:val="14"/>
              </w:rPr>
            </w:pPr>
          </w:p>
        </w:tc>
        <w:tc>
          <w:tcPr>
            <w:tcW w:w="1705" w:type="dxa"/>
          </w:tcPr>
          <w:p w14:paraId="52CA196A"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GCV</w:t>
            </w:r>
          </w:p>
          <w:p w14:paraId="2E3DD326"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w:t>
            </w:r>
          </w:p>
        </w:tc>
        <w:tc>
          <w:tcPr>
            <w:tcW w:w="1705" w:type="dxa"/>
          </w:tcPr>
          <w:p w14:paraId="14DA11E7"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PCV</w:t>
            </w:r>
          </w:p>
          <w:p w14:paraId="0CED8E22"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w:t>
            </w:r>
          </w:p>
        </w:tc>
        <w:tc>
          <w:tcPr>
            <w:tcW w:w="2360" w:type="dxa"/>
          </w:tcPr>
          <w:p w14:paraId="10725F35"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Heritability (%)</w:t>
            </w:r>
          </w:p>
        </w:tc>
        <w:tc>
          <w:tcPr>
            <w:tcW w:w="2126" w:type="dxa"/>
          </w:tcPr>
          <w:p w14:paraId="0EBB3838"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GA as % mean</w:t>
            </w:r>
          </w:p>
        </w:tc>
      </w:tr>
      <w:tr w:rsidR="00253D4C" w:rsidRPr="00253D4C" w14:paraId="32B57802" w14:textId="77777777" w:rsidTr="00253D4C">
        <w:trPr>
          <w:trHeight w:val="251"/>
        </w:trPr>
        <w:tc>
          <w:tcPr>
            <w:tcW w:w="1311" w:type="dxa"/>
          </w:tcPr>
          <w:p w14:paraId="2323CDA5"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F9506DD"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Plant height (cm)</w:t>
            </w:r>
          </w:p>
        </w:tc>
        <w:tc>
          <w:tcPr>
            <w:tcW w:w="2465" w:type="dxa"/>
          </w:tcPr>
          <w:p w14:paraId="0335108D"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18.58 – 39.33</w:t>
            </w:r>
          </w:p>
        </w:tc>
        <w:tc>
          <w:tcPr>
            <w:tcW w:w="1705" w:type="dxa"/>
          </w:tcPr>
          <w:p w14:paraId="25C8908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25.26</w:t>
            </w:r>
          </w:p>
        </w:tc>
        <w:tc>
          <w:tcPr>
            <w:tcW w:w="1705" w:type="dxa"/>
          </w:tcPr>
          <w:p w14:paraId="1A5DFB7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25.38</w:t>
            </w:r>
          </w:p>
        </w:tc>
        <w:tc>
          <w:tcPr>
            <w:tcW w:w="2360" w:type="dxa"/>
          </w:tcPr>
          <w:p w14:paraId="2285D6D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99.08</w:t>
            </w:r>
          </w:p>
        </w:tc>
        <w:tc>
          <w:tcPr>
            <w:tcW w:w="2126" w:type="dxa"/>
            <w:shd w:val="clear" w:color="auto" w:fill="FFFFFF" w:themeFill="background1"/>
          </w:tcPr>
          <w:p w14:paraId="038F7CDA"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51.80</w:t>
            </w:r>
          </w:p>
        </w:tc>
      </w:tr>
      <w:tr w:rsidR="00253D4C" w:rsidRPr="00253D4C" w14:paraId="75374F46" w14:textId="77777777" w:rsidTr="00253D4C">
        <w:trPr>
          <w:trHeight w:val="236"/>
        </w:trPr>
        <w:tc>
          <w:tcPr>
            <w:tcW w:w="1311" w:type="dxa"/>
          </w:tcPr>
          <w:p w14:paraId="76C9C322"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54FEA76"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Plant spread (cm)</w:t>
            </w:r>
          </w:p>
        </w:tc>
        <w:tc>
          <w:tcPr>
            <w:tcW w:w="2465" w:type="dxa"/>
          </w:tcPr>
          <w:p w14:paraId="55E2752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27.01- 38.37</w:t>
            </w:r>
          </w:p>
        </w:tc>
        <w:tc>
          <w:tcPr>
            <w:tcW w:w="1705" w:type="dxa"/>
          </w:tcPr>
          <w:p w14:paraId="6BB438A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11.16</w:t>
            </w:r>
          </w:p>
        </w:tc>
        <w:tc>
          <w:tcPr>
            <w:tcW w:w="1705" w:type="dxa"/>
          </w:tcPr>
          <w:p w14:paraId="7BEEF579"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11.94</w:t>
            </w:r>
          </w:p>
        </w:tc>
        <w:tc>
          <w:tcPr>
            <w:tcW w:w="2360" w:type="dxa"/>
          </w:tcPr>
          <w:p w14:paraId="194C1ED1"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87.36</w:t>
            </w:r>
          </w:p>
        </w:tc>
        <w:tc>
          <w:tcPr>
            <w:tcW w:w="2126" w:type="dxa"/>
            <w:shd w:val="clear" w:color="auto" w:fill="FFFFFF" w:themeFill="background1"/>
          </w:tcPr>
          <w:p w14:paraId="1846F52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21.49</w:t>
            </w:r>
          </w:p>
        </w:tc>
      </w:tr>
      <w:tr w:rsidR="00253D4C" w:rsidRPr="00253D4C" w14:paraId="6EE403ED" w14:textId="77777777" w:rsidTr="00253D4C">
        <w:trPr>
          <w:trHeight w:val="264"/>
        </w:trPr>
        <w:tc>
          <w:tcPr>
            <w:tcW w:w="1311" w:type="dxa"/>
          </w:tcPr>
          <w:p w14:paraId="65E93187"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E1E070C"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Leaf length (cm)</w:t>
            </w:r>
          </w:p>
        </w:tc>
        <w:tc>
          <w:tcPr>
            <w:tcW w:w="2465" w:type="dxa"/>
          </w:tcPr>
          <w:p w14:paraId="21012CA1"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12.06 – 20.33</w:t>
            </w:r>
          </w:p>
        </w:tc>
        <w:tc>
          <w:tcPr>
            <w:tcW w:w="1705" w:type="dxa"/>
          </w:tcPr>
          <w:p w14:paraId="4519EB1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18.25</w:t>
            </w:r>
          </w:p>
        </w:tc>
        <w:tc>
          <w:tcPr>
            <w:tcW w:w="1705" w:type="dxa"/>
          </w:tcPr>
          <w:p w14:paraId="0E5C999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19.35</w:t>
            </w:r>
          </w:p>
        </w:tc>
        <w:tc>
          <w:tcPr>
            <w:tcW w:w="2360" w:type="dxa"/>
          </w:tcPr>
          <w:p w14:paraId="117CED3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89.00</w:t>
            </w:r>
          </w:p>
        </w:tc>
        <w:tc>
          <w:tcPr>
            <w:tcW w:w="2126" w:type="dxa"/>
          </w:tcPr>
          <w:p w14:paraId="00A5ACD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35.48</w:t>
            </w:r>
          </w:p>
        </w:tc>
      </w:tr>
      <w:tr w:rsidR="00253D4C" w:rsidRPr="00253D4C" w14:paraId="68BC59CE" w14:textId="77777777" w:rsidTr="00253D4C">
        <w:trPr>
          <w:trHeight w:val="251"/>
        </w:trPr>
        <w:tc>
          <w:tcPr>
            <w:tcW w:w="1311" w:type="dxa"/>
          </w:tcPr>
          <w:p w14:paraId="3C777CCE"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4EFBCAD2"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Leaf width (cm)</w:t>
            </w:r>
          </w:p>
        </w:tc>
        <w:tc>
          <w:tcPr>
            <w:tcW w:w="2465" w:type="dxa"/>
          </w:tcPr>
          <w:p w14:paraId="2CA0A7EB"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6.79 – 15.11</w:t>
            </w:r>
          </w:p>
        </w:tc>
        <w:tc>
          <w:tcPr>
            <w:tcW w:w="1705" w:type="dxa"/>
          </w:tcPr>
          <w:p w14:paraId="2A569CB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29.50</w:t>
            </w:r>
          </w:p>
        </w:tc>
        <w:tc>
          <w:tcPr>
            <w:tcW w:w="1705" w:type="dxa"/>
          </w:tcPr>
          <w:p w14:paraId="57C7EB9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30.50</w:t>
            </w:r>
          </w:p>
        </w:tc>
        <w:tc>
          <w:tcPr>
            <w:tcW w:w="2360" w:type="dxa"/>
          </w:tcPr>
          <w:p w14:paraId="2BA6773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93.51</w:t>
            </w:r>
          </w:p>
        </w:tc>
        <w:tc>
          <w:tcPr>
            <w:tcW w:w="2126" w:type="dxa"/>
          </w:tcPr>
          <w:p w14:paraId="2C37837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58.76</w:t>
            </w:r>
          </w:p>
        </w:tc>
      </w:tr>
      <w:tr w:rsidR="00253D4C" w:rsidRPr="00253D4C" w14:paraId="109A5DC2" w14:textId="77777777" w:rsidTr="00253D4C">
        <w:trPr>
          <w:trHeight w:val="236"/>
        </w:trPr>
        <w:tc>
          <w:tcPr>
            <w:tcW w:w="1311" w:type="dxa"/>
          </w:tcPr>
          <w:p w14:paraId="1CCE164B"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93A08A6"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Petiole length (cm)</w:t>
            </w:r>
          </w:p>
        </w:tc>
        <w:tc>
          <w:tcPr>
            <w:tcW w:w="2465" w:type="dxa"/>
          </w:tcPr>
          <w:p w14:paraId="326A9422"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16.71 – 35.09</w:t>
            </w:r>
          </w:p>
        </w:tc>
        <w:tc>
          <w:tcPr>
            <w:tcW w:w="1705" w:type="dxa"/>
          </w:tcPr>
          <w:p w14:paraId="3DC1AF4C"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26.75</w:t>
            </w:r>
          </w:p>
        </w:tc>
        <w:tc>
          <w:tcPr>
            <w:tcW w:w="1705" w:type="dxa"/>
          </w:tcPr>
          <w:p w14:paraId="4A6ED35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26.97</w:t>
            </w:r>
          </w:p>
        </w:tc>
        <w:tc>
          <w:tcPr>
            <w:tcW w:w="2360" w:type="dxa"/>
          </w:tcPr>
          <w:p w14:paraId="18AFB86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98.40</w:t>
            </w:r>
          </w:p>
        </w:tc>
        <w:tc>
          <w:tcPr>
            <w:tcW w:w="2126" w:type="dxa"/>
          </w:tcPr>
          <w:p w14:paraId="28423FE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54.66</w:t>
            </w:r>
          </w:p>
        </w:tc>
      </w:tr>
      <w:tr w:rsidR="00253D4C" w:rsidRPr="00253D4C" w14:paraId="75A77058" w14:textId="77777777" w:rsidTr="00253D4C">
        <w:trPr>
          <w:trHeight w:val="251"/>
        </w:trPr>
        <w:tc>
          <w:tcPr>
            <w:tcW w:w="1311" w:type="dxa"/>
          </w:tcPr>
          <w:p w14:paraId="0D0B90FB"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0FC594D3"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 xml:space="preserve">Number of </w:t>
            </w:r>
            <w:proofErr w:type="gramStart"/>
            <w:r w:rsidRPr="00253D4C">
              <w:rPr>
                <w:b/>
                <w:bCs/>
                <w:sz w:val="16"/>
                <w:szCs w:val="14"/>
              </w:rPr>
              <w:t>leaves/ plant</w:t>
            </w:r>
            <w:proofErr w:type="gramEnd"/>
          </w:p>
        </w:tc>
        <w:tc>
          <w:tcPr>
            <w:tcW w:w="2465" w:type="dxa"/>
          </w:tcPr>
          <w:p w14:paraId="29EB198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6.83 – 10.67</w:t>
            </w:r>
          </w:p>
        </w:tc>
        <w:tc>
          <w:tcPr>
            <w:tcW w:w="1705" w:type="dxa"/>
          </w:tcPr>
          <w:p w14:paraId="3B3E1BD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12.89</w:t>
            </w:r>
          </w:p>
        </w:tc>
        <w:tc>
          <w:tcPr>
            <w:tcW w:w="1705" w:type="dxa"/>
          </w:tcPr>
          <w:p w14:paraId="58BEE6D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15.60</w:t>
            </w:r>
          </w:p>
        </w:tc>
        <w:tc>
          <w:tcPr>
            <w:tcW w:w="2360" w:type="dxa"/>
          </w:tcPr>
          <w:p w14:paraId="2EAB8B5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68.29</w:t>
            </w:r>
          </w:p>
        </w:tc>
        <w:tc>
          <w:tcPr>
            <w:tcW w:w="2126" w:type="dxa"/>
          </w:tcPr>
          <w:p w14:paraId="060E823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21.94</w:t>
            </w:r>
          </w:p>
        </w:tc>
      </w:tr>
      <w:tr w:rsidR="00253D4C" w:rsidRPr="00253D4C" w14:paraId="0C580465" w14:textId="77777777" w:rsidTr="00253D4C">
        <w:trPr>
          <w:trHeight w:val="251"/>
        </w:trPr>
        <w:tc>
          <w:tcPr>
            <w:tcW w:w="1311" w:type="dxa"/>
          </w:tcPr>
          <w:p w14:paraId="338DC86B"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614E92A7" w14:textId="77777777" w:rsidR="00253D4C" w:rsidRPr="00253D4C" w:rsidRDefault="00253D4C" w:rsidP="00E3693C">
            <w:pPr>
              <w:pStyle w:val="Default"/>
              <w:spacing w:line="360" w:lineRule="auto"/>
              <w:jc w:val="center"/>
              <w:rPr>
                <w:b/>
                <w:bCs/>
                <w:sz w:val="16"/>
                <w:szCs w:val="14"/>
              </w:rPr>
            </w:pPr>
            <w:r w:rsidRPr="00253D4C">
              <w:rPr>
                <w:b/>
                <w:bCs/>
                <w:sz w:val="16"/>
                <w:szCs w:val="14"/>
              </w:rPr>
              <w:t xml:space="preserve">Number of </w:t>
            </w:r>
            <w:proofErr w:type="gramStart"/>
            <w:r w:rsidRPr="00253D4C">
              <w:rPr>
                <w:b/>
                <w:bCs/>
                <w:sz w:val="16"/>
                <w:szCs w:val="14"/>
              </w:rPr>
              <w:t>suckers/ plant</w:t>
            </w:r>
            <w:proofErr w:type="gramEnd"/>
          </w:p>
        </w:tc>
        <w:tc>
          <w:tcPr>
            <w:tcW w:w="2465" w:type="dxa"/>
          </w:tcPr>
          <w:p w14:paraId="1E5CEC15" w14:textId="77777777" w:rsidR="00253D4C" w:rsidRPr="00253D4C" w:rsidRDefault="00253D4C" w:rsidP="00E3693C">
            <w:pPr>
              <w:pStyle w:val="Default"/>
              <w:spacing w:after="27" w:line="360" w:lineRule="auto"/>
              <w:jc w:val="center"/>
              <w:rPr>
                <w:sz w:val="16"/>
                <w:szCs w:val="14"/>
              </w:rPr>
            </w:pPr>
            <w:r w:rsidRPr="00253D4C">
              <w:rPr>
                <w:sz w:val="16"/>
                <w:szCs w:val="14"/>
              </w:rPr>
              <w:t>1.00 – 4.00</w:t>
            </w:r>
          </w:p>
        </w:tc>
        <w:tc>
          <w:tcPr>
            <w:tcW w:w="1705" w:type="dxa"/>
          </w:tcPr>
          <w:p w14:paraId="6DD9AC2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28.09</w:t>
            </w:r>
          </w:p>
        </w:tc>
        <w:tc>
          <w:tcPr>
            <w:tcW w:w="1705" w:type="dxa"/>
          </w:tcPr>
          <w:p w14:paraId="52AF56A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30.88</w:t>
            </w:r>
          </w:p>
        </w:tc>
        <w:tc>
          <w:tcPr>
            <w:tcW w:w="2360" w:type="dxa"/>
          </w:tcPr>
          <w:p w14:paraId="2B9BF46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82.72</w:t>
            </w:r>
          </w:p>
        </w:tc>
        <w:tc>
          <w:tcPr>
            <w:tcW w:w="2126" w:type="dxa"/>
          </w:tcPr>
          <w:p w14:paraId="18FBBB9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52.62</w:t>
            </w:r>
          </w:p>
        </w:tc>
      </w:tr>
      <w:tr w:rsidR="00253D4C" w:rsidRPr="00253D4C" w14:paraId="6D17CEB4" w14:textId="77777777" w:rsidTr="00253D4C">
        <w:trPr>
          <w:trHeight w:val="236"/>
        </w:trPr>
        <w:tc>
          <w:tcPr>
            <w:tcW w:w="1311" w:type="dxa"/>
          </w:tcPr>
          <w:p w14:paraId="27AD5230"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F36B775"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Days taken to first flowering</w:t>
            </w:r>
          </w:p>
        </w:tc>
        <w:tc>
          <w:tcPr>
            <w:tcW w:w="2465" w:type="dxa"/>
          </w:tcPr>
          <w:p w14:paraId="3128C9F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132.50 – 145.83</w:t>
            </w:r>
          </w:p>
        </w:tc>
        <w:tc>
          <w:tcPr>
            <w:tcW w:w="1705" w:type="dxa"/>
          </w:tcPr>
          <w:p w14:paraId="04D7CC2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2.20</w:t>
            </w:r>
          </w:p>
        </w:tc>
        <w:tc>
          <w:tcPr>
            <w:tcW w:w="1705" w:type="dxa"/>
          </w:tcPr>
          <w:p w14:paraId="65BF2D49"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4.00</w:t>
            </w:r>
          </w:p>
        </w:tc>
        <w:tc>
          <w:tcPr>
            <w:tcW w:w="2360" w:type="dxa"/>
          </w:tcPr>
          <w:p w14:paraId="723929C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30.28</w:t>
            </w:r>
          </w:p>
        </w:tc>
        <w:tc>
          <w:tcPr>
            <w:tcW w:w="2126" w:type="dxa"/>
          </w:tcPr>
          <w:p w14:paraId="160586F9"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2.49</w:t>
            </w:r>
          </w:p>
        </w:tc>
      </w:tr>
      <w:tr w:rsidR="00253D4C" w:rsidRPr="00253D4C" w14:paraId="6085E5F8" w14:textId="77777777" w:rsidTr="00253D4C">
        <w:trPr>
          <w:trHeight w:val="251"/>
        </w:trPr>
        <w:tc>
          <w:tcPr>
            <w:tcW w:w="1311" w:type="dxa"/>
          </w:tcPr>
          <w:p w14:paraId="4561BDD6"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51BC8A8A"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Flowering duration (days)</w:t>
            </w:r>
          </w:p>
        </w:tc>
        <w:tc>
          <w:tcPr>
            <w:tcW w:w="2465" w:type="dxa"/>
          </w:tcPr>
          <w:p w14:paraId="491BBB21"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74.33 – 85.33</w:t>
            </w:r>
          </w:p>
        </w:tc>
        <w:tc>
          <w:tcPr>
            <w:tcW w:w="1705" w:type="dxa"/>
          </w:tcPr>
          <w:p w14:paraId="47E6C983"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6.24</w:t>
            </w:r>
          </w:p>
        </w:tc>
        <w:tc>
          <w:tcPr>
            <w:tcW w:w="1705" w:type="dxa"/>
          </w:tcPr>
          <w:p w14:paraId="7BCD8F5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8.32</w:t>
            </w:r>
          </w:p>
        </w:tc>
        <w:tc>
          <w:tcPr>
            <w:tcW w:w="2360" w:type="dxa"/>
          </w:tcPr>
          <w:p w14:paraId="1800D3E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56.30</w:t>
            </w:r>
          </w:p>
        </w:tc>
        <w:tc>
          <w:tcPr>
            <w:tcW w:w="2126" w:type="dxa"/>
          </w:tcPr>
          <w:p w14:paraId="72CDE98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9.65</w:t>
            </w:r>
          </w:p>
        </w:tc>
      </w:tr>
      <w:tr w:rsidR="00253D4C" w:rsidRPr="00253D4C" w14:paraId="41436FDC" w14:textId="77777777" w:rsidTr="00253D4C">
        <w:trPr>
          <w:trHeight w:val="251"/>
        </w:trPr>
        <w:tc>
          <w:tcPr>
            <w:tcW w:w="1311" w:type="dxa"/>
          </w:tcPr>
          <w:p w14:paraId="0BD43ED4"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687AF56C"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Spathe length (cm)</w:t>
            </w:r>
          </w:p>
        </w:tc>
        <w:tc>
          <w:tcPr>
            <w:tcW w:w="2465" w:type="dxa"/>
          </w:tcPr>
          <w:p w14:paraId="50262918"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4.32 – 8.55</w:t>
            </w:r>
          </w:p>
        </w:tc>
        <w:tc>
          <w:tcPr>
            <w:tcW w:w="1705" w:type="dxa"/>
          </w:tcPr>
          <w:p w14:paraId="6303570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18.46</w:t>
            </w:r>
          </w:p>
        </w:tc>
        <w:tc>
          <w:tcPr>
            <w:tcW w:w="1705" w:type="dxa"/>
          </w:tcPr>
          <w:p w14:paraId="122EBB8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20.40</w:t>
            </w:r>
          </w:p>
        </w:tc>
        <w:tc>
          <w:tcPr>
            <w:tcW w:w="2360" w:type="dxa"/>
          </w:tcPr>
          <w:p w14:paraId="25DCF9E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81.91</w:t>
            </w:r>
          </w:p>
        </w:tc>
        <w:tc>
          <w:tcPr>
            <w:tcW w:w="2126" w:type="dxa"/>
          </w:tcPr>
          <w:p w14:paraId="296C77FA"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34.42</w:t>
            </w:r>
          </w:p>
        </w:tc>
      </w:tr>
      <w:tr w:rsidR="00253D4C" w:rsidRPr="00253D4C" w14:paraId="2D7C2AB7" w14:textId="77777777" w:rsidTr="00253D4C">
        <w:trPr>
          <w:trHeight w:val="236"/>
        </w:trPr>
        <w:tc>
          <w:tcPr>
            <w:tcW w:w="1311" w:type="dxa"/>
          </w:tcPr>
          <w:p w14:paraId="5327340C"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2048422"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Spathe width (cm)</w:t>
            </w:r>
          </w:p>
        </w:tc>
        <w:tc>
          <w:tcPr>
            <w:tcW w:w="2465" w:type="dxa"/>
          </w:tcPr>
          <w:p w14:paraId="224DC2AD"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4.45 – 8.82</w:t>
            </w:r>
          </w:p>
        </w:tc>
        <w:tc>
          <w:tcPr>
            <w:tcW w:w="1705" w:type="dxa"/>
          </w:tcPr>
          <w:p w14:paraId="1C3234C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21.38</w:t>
            </w:r>
          </w:p>
        </w:tc>
        <w:tc>
          <w:tcPr>
            <w:tcW w:w="1705" w:type="dxa"/>
          </w:tcPr>
          <w:p w14:paraId="4D1F662C"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22.30</w:t>
            </w:r>
          </w:p>
        </w:tc>
        <w:tc>
          <w:tcPr>
            <w:tcW w:w="2360" w:type="dxa"/>
          </w:tcPr>
          <w:p w14:paraId="489F827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91.94</w:t>
            </w:r>
          </w:p>
        </w:tc>
        <w:tc>
          <w:tcPr>
            <w:tcW w:w="2126" w:type="dxa"/>
          </w:tcPr>
          <w:p w14:paraId="2A5C2EC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42.23</w:t>
            </w:r>
          </w:p>
        </w:tc>
      </w:tr>
      <w:tr w:rsidR="00253D4C" w:rsidRPr="00253D4C" w14:paraId="22B12C99" w14:textId="77777777" w:rsidTr="00253D4C">
        <w:trPr>
          <w:trHeight w:val="251"/>
        </w:trPr>
        <w:tc>
          <w:tcPr>
            <w:tcW w:w="1311" w:type="dxa"/>
          </w:tcPr>
          <w:p w14:paraId="0F7F89D2"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AD700E0"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Spadix length (cm)</w:t>
            </w:r>
          </w:p>
        </w:tc>
        <w:tc>
          <w:tcPr>
            <w:tcW w:w="2465" w:type="dxa"/>
          </w:tcPr>
          <w:p w14:paraId="15496513"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1.96 – 6.93</w:t>
            </w:r>
          </w:p>
        </w:tc>
        <w:tc>
          <w:tcPr>
            <w:tcW w:w="1705" w:type="dxa"/>
            <w:shd w:val="clear" w:color="auto" w:fill="FFFFFF" w:themeFill="background1"/>
          </w:tcPr>
          <w:p w14:paraId="3BB7394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41.46</w:t>
            </w:r>
          </w:p>
        </w:tc>
        <w:tc>
          <w:tcPr>
            <w:tcW w:w="1705" w:type="dxa"/>
            <w:shd w:val="clear" w:color="auto" w:fill="FFFFFF" w:themeFill="background1"/>
          </w:tcPr>
          <w:p w14:paraId="7F1C6B0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41.91</w:t>
            </w:r>
          </w:p>
        </w:tc>
        <w:tc>
          <w:tcPr>
            <w:tcW w:w="2360" w:type="dxa"/>
            <w:shd w:val="clear" w:color="auto" w:fill="FFFFFF" w:themeFill="background1"/>
          </w:tcPr>
          <w:p w14:paraId="00429B0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97.88</w:t>
            </w:r>
          </w:p>
        </w:tc>
        <w:tc>
          <w:tcPr>
            <w:tcW w:w="2126" w:type="dxa"/>
            <w:shd w:val="clear" w:color="auto" w:fill="FFFFFF" w:themeFill="background1"/>
          </w:tcPr>
          <w:p w14:paraId="1642FB5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84.50</w:t>
            </w:r>
          </w:p>
        </w:tc>
      </w:tr>
      <w:tr w:rsidR="00253D4C" w:rsidRPr="00253D4C" w14:paraId="7FE411E2" w14:textId="77777777" w:rsidTr="00253D4C">
        <w:trPr>
          <w:trHeight w:val="251"/>
        </w:trPr>
        <w:tc>
          <w:tcPr>
            <w:tcW w:w="1311" w:type="dxa"/>
          </w:tcPr>
          <w:p w14:paraId="0208B253"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2ADBD72"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Inflorescence stalk length (cm)</w:t>
            </w:r>
          </w:p>
        </w:tc>
        <w:tc>
          <w:tcPr>
            <w:tcW w:w="2465" w:type="dxa"/>
          </w:tcPr>
          <w:p w14:paraId="7E498718"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14.15 – 32.95</w:t>
            </w:r>
          </w:p>
        </w:tc>
        <w:tc>
          <w:tcPr>
            <w:tcW w:w="1705" w:type="dxa"/>
          </w:tcPr>
          <w:p w14:paraId="65D09BE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26.04</w:t>
            </w:r>
          </w:p>
        </w:tc>
        <w:tc>
          <w:tcPr>
            <w:tcW w:w="1705" w:type="dxa"/>
          </w:tcPr>
          <w:p w14:paraId="0EF9D43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26.20</w:t>
            </w:r>
          </w:p>
        </w:tc>
        <w:tc>
          <w:tcPr>
            <w:tcW w:w="2360" w:type="dxa"/>
            <w:shd w:val="clear" w:color="auto" w:fill="FFFFFF" w:themeFill="background1"/>
          </w:tcPr>
          <w:p w14:paraId="21503AD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98.82</w:t>
            </w:r>
          </w:p>
        </w:tc>
        <w:tc>
          <w:tcPr>
            <w:tcW w:w="2126" w:type="dxa"/>
            <w:shd w:val="clear" w:color="auto" w:fill="FFFFFF" w:themeFill="background1"/>
          </w:tcPr>
          <w:p w14:paraId="1DEF498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53.33</w:t>
            </w:r>
          </w:p>
        </w:tc>
      </w:tr>
      <w:tr w:rsidR="00253D4C" w:rsidRPr="00253D4C" w14:paraId="25120390" w14:textId="77777777" w:rsidTr="00253D4C">
        <w:trPr>
          <w:trHeight w:val="236"/>
        </w:trPr>
        <w:tc>
          <w:tcPr>
            <w:tcW w:w="1311" w:type="dxa"/>
          </w:tcPr>
          <w:p w14:paraId="6B8F0F7F"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6A5279D7"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 xml:space="preserve">Number of </w:t>
            </w:r>
            <w:proofErr w:type="gramStart"/>
            <w:r w:rsidRPr="00253D4C">
              <w:rPr>
                <w:rFonts w:ascii="Times New Roman" w:hAnsi="Times New Roman"/>
                <w:b/>
                <w:bCs/>
                <w:sz w:val="16"/>
                <w:szCs w:val="14"/>
              </w:rPr>
              <w:t>inflorescence  per</w:t>
            </w:r>
            <w:proofErr w:type="gramEnd"/>
            <w:r w:rsidRPr="00253D4C">
              <w:rPr>
                <w:rFonts w:ascii="Times New Roman" w:hAnsi="Times New Roman"/>
                <w:b/>
                <w:bCs/>
                <w:sz w:val="16"/>
                <w:szCs w:val="14"/>
              </w:rPr>
              <w:t xml:space="preserve"> plant</w:t>
            </w:r>
          </w:p>
        </w:tc>
        <w:tc>
          <w:tcPr>
            <w:tcW w:w="2465" w:type="dxa"/>
          </w:tcPr>
          <w:p w14:paraId="79190CF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3.83 – 5.33</w:t>
            </w:r>
          </w:p>
        </w:tc>
        <w:tc>
          <w:tcPr>
            <w:tcW w:w="1705" w:type="dxa"/>
          </w:tcPr>
          <w:p w14:paraId="5112393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8.19</w:t>
            </w:r>
          </w:p>
        </w:tc>
        <w:tc>
          <w:tcPr>
            <w:tcW w:w="1705" w:type="dxa"/>
          </w:tcPr>
          <w:p w14:paraId="432AC223"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11.68</w:t>
            </w:r>
          </w:p>
        </w:tc>
        <w:tc>
          <w:tcPr>
            <w:tcW w:w="2360" w:type="dxa"/>
          </w:tcPr>
          <w:p w14:paraId="5A667E8C"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49.12</w:t>
            </w:r>
          </w:p>
        </w:tc>
        <w:tc>
          <w:tcPr>
            <w:tcW w:w="2126" w:type="dxa"/>
          </w:tcPr>
          <w:p w14:paraId="2911A5CA"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11.82</w:t>
            </w:r>
          </w:p>
        </w:tc>
      </w:tr>
      <w:tr w:rsidR="00253D4C" w:rsidRPr="00253D4C" w14:paraId="71945C70" w14:textId="77777777" w:rsidTr="00253D4C">
        <w:trPr>
          <w:trHeight w:val="251"/>
        </w:trPr>
        <w:tc>
          <w:tcPr>
            <w:tcW w:w="1311" w:type="dxa"/>
          </w:tcPr>
          <w:p w14:paraId="3F1F623C"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208771B"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Water uptake (ml)</w:t>
            </w:r>
          </w:p>
        </w:tc>
        <w:tc>
          <w:tcPr>
            <w:tcW w:w="2465" w:type="dxa"/>
          </w:tcPr>
          <w:p w14:paraId="09CE2273"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16.83 – 25.03</w:t>
            </w:r>
          </w:p>
        </w:tc>
        <w:tc>
          <w:tcPr>
            <w:tcW w:w="1705" w:type="dxa"/>
          </w:tcPr>
          <w:p w14:paraId="440C4ED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8.92</w:t>
            </w:r>
          </w:p>
        </w:tc>
        <w:tc>
          <w:tcPr>
            <w:tcW w:w="1705" w:type="dxa"/>
          </w:tcPr>
          <w:p w14:paraId="273AAA9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9.20</w:t>
            </w:r>
          </w:p>
        </w:tc>
        <w:tc>
          <w:tcPr>
            <w:tcW w:w="2360" w:type="dxa"/>
          </w:tcPr>
          <w:p w14:paraId="10AF13B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93.95</w:t>
            </w:r>
          </w:p>
        </w:tc>
        <w:tc>
          <w:tcPr>
            <w:tcW w:w="2126" w:type="dxa"/>
          </w:tcPr>
          <w:p w14:paraId="2793F11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17.80</w:t>
            </w:r>
          </w:p>
        </w:tc>
      </w:tr>
      <w:tr w:rsidR="00253D4C" w:rsidRPr="00253D4C" w14:paraId="0B2DB7A5" w14:textId="77777777" w:rsidTr="00253D4C">
        <w:trPr>
          <w:trHeight w:val="251"/>
        </w:trPr>
        <w:tc>
          <w:tcPr>
            <w:tcW w:w="1311" w:type="dxa"/>
          </w:tcPr>
          <w:p w14:paraId="63AB1C29"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6644B41" w14:textId="77777777" w:rsidR="00253D4C" w:rsidRPr="00253D4C" w:rsidRDefault="00253D4C" w:rsidP="00E3693C">
            <w:pPr>
              <w:pStyle w:val="Default"/>
              <w:spacing w:line="360" w:lineRule="auto"/>
              <w:jc w:val="center"/>
              <w:rPr>
                <w:b/>
                <w:bCs/>
                <w:sz w:val="16"/>
                <w:szCs w:val="14"/>
              </w:rPr>
            </w:pPr>
            <w:r w:rsidRPr="00253D4C">
              <w:rPr>
                <w:b/>
                <w:bCs/>
                <w:sz w:val="16"/>
                <w:szCs w:val="14"/>
              </w:rPr>
              <w:t>Vase life (days)</w:t>
            </w:r>
          </w:p>
        </w:tc>
        <w:tc>
          <w:tcPr>
            <w:tcW w:w="2465" w:type="dxa"/>
          </w:tcPr>
          <w:p w14:paraId="40A7C7D7"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12.00 – 21.33</w:t>
            </w:r>
          </w:p>
        </w:tc>
        <w:tc>
          <w:tcPr>
            <w:tcW w:w="1705" w:type="dxa"/>
          </w:tcPr>
          <w:p w14:paraId="7FAA6B0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14.14</w:t>
            </w:r>
          </w:p>
        </w:tc>
        <w:tc>
          <w:tcPr>
            <w:tcW w:w="1705" w:type="dxa"/>
          </w:tcPr>
          <w:p w14:paraId="47D8E94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18.31</w:t>
            </w:r>
          </w:p>
        </w:tc>
        <w:tc>
          <w:tcPr>
            <w:tcW w:w="2360" w:type="dxa"/>
          </w:tcPr>
          <w:p w14:paraId="6779F453"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59.67</w:t>
            </w:r>
          </w:p>
        </w:tc>
        <w:tc>
          <w:tcPr>
            <w:tcW w:w="2126" w:type="dxa"/>
          </w:tcPr>
          <w:p w14:paraId="4C9F027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22.50</w:t>
            </w:r>
          </w:p>
        </w:tc>
      </w:tr>
    </w:tbl>
    <w:p w14:paraId="73EADB74" w14:textId="77777777" w:rsidR="00253D4C" w:rsidRDefault="00253D4C" w:rsidP="00253D4C">
      <w:pPr>
        <w:jc w:val="center"/>
      </w:pPr>
    </w:p>
    <w:p w14:paraId="13F1D8EB" w14:textId="77777777" w:rsidR="00DC6F57" w:rsidRDefault="00DC6F57" w:rsidP="00253D4C">
      <w:pPr>
        <w:jc w:val="center"/>
      </w:pPr>
    </w:p>
    <w:p w14:paraId="401B78E0" w14:textId="77777777" w:rsidR="00DC6F57" w:rsidRDefault="002F65C6" w:rsidP="00253D4C">
      <w:pPr>
        <w:jc w:val="center"/>
      </w:pPr>
      <w:r>
        <w:rPr>
          <w:noProof/>
          <w:lang w:bidi="hi-IN"/>
        </w:rPr>
        <w:drawing>
          <wp:inline distT="0" distB="0" distL="0" distR="0" wp14:anchorId="77D1AEF7" wp14:editId="4232325D">
            <wp:extent cx="8089491" cy="4218038"/>
            <wp:effectExtent l="0" t="0" r="2603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F90A7B" w14:textId="77777777" w:rsidR="00DC6F57" w:rsidRDefault="00EB409C" w:rsidP="00253D4C">
      <w:pPr>
        <w:jc w:val="center"/>
      </w:pPr>
      <w:r>
        <w:t xml:space="preserve">Fig. 1 </w:t>
      </w:r>
      <w:r w:rsidR="00D6570B">
        <w:t xml:space="preserve">Graphical representation of magnitudes of </w:t>
      </w:r>
      <w:r w:rsidR="00121285">
        <w:t xml:space="preserve">heritability </w:t>
      </w:r>
      <w:r w:rsidR="00D6570B">
        <w:t xml:space="preserve">and </w:t>
      </w:r>
      <w:r w:rsidR="00121285">
        <w:t>genetic advance as percent mean</w:t>
      </w:r>
      <w:r w:rsidR="00D6570B">
        <w:t xml:space="preserve"> for sixteen characters in anthurium</w:t>
      </w:r>
    </w:p>
    <w:p w14:paraId="0513FA1D" w14:textId="77777777" w:rsidR="00DC6F57" w:rsidRDefault="00DC6F57" w:rsidP="00253D4C">
      <w:pPr>
        <w:jc w:val="center"/>
      </w:pPr>
    </w:p>
    <w:p w14:paraId="6A6ECD86" w14:textId="77777777" w:rsidR="00EB409C" w:rsidRDefault="00EB409C" w:rsidP="00253D4C">
      <w:pPr>
        <w:jc w:val="center"/>
      </w:pPr>
    </w:p>
    <w:p w14:paraId="37CF8737" w14:textId="77777777" w:rsidR="009B2CB7" w:rsidRDefault="009B2CB7" w:rsidP="00253D4C">
      <w:pPr>
        <w:jc w:val="center"/>
      </w:pPr>
      <w:r>
        <w:rPr>
          <w:noProof/>
          <w:lang w:bidi="hi-IN"/>
        </w:rPr>
        <w:lastRenderedPageBreak/>
        <w:drawing>
          <wp:inline distT="0" distB="0" distL="0" distR="0" wp14:anchorId="1AC30490" wp14:editId="4692B592">
            <wp:extent cx="8126361" cy="4726858"/>
            <wp:effectExtent l="0" t="0" r="2730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831449" w14:textId="77777777" w:rsidR="00121285" w:rsidRDefault="00121285" w:rsidP="00121285">
      <w:pPr>
        <w:jc w:val="center"/>
      </w:pPr>
      <w:r>
        <w:t>Fig. 2 Graphical representation of magnitudes of genotypic and phenotypic coefficients of variation for sixteen characters in anthurium</w:t>
      </w:r>
    </w:p>
    <w:p w14:paraId="52ADFD0D" w14:textId="77777777" w:rsidR="00EB409C" w:rsidRPr="00253D4C" w:rsidRDefault="00EB409C" w:rsidP="00253D4C">
      <w:pPr>
        <w:jc w:val="center"/>
      </w:pPr>
    </w:p>
    <w:sectPr w:rsidR="00EB409C" w:rsidRPr="00253D4C" w:rsidSect="00253D4C">
      <w:pgSz w:w="16838" w:h="11906" w:orient="landscape"/>
      <w:pgMar w:top="1985" w:right="1701" w:bottom="1134" w:left="1418" w:header="708" w:footer="708"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33D6F" w14:textId="77777777" w:rsidR="00CD7BA7" w:rsidRDefault="00CD7BA7">
      <w:pPr>
        <w:spacing w:line="240" w:lineRule="auto"/>
      </w:pPr>
      <w:r>
        <w:separator/>
      </w:r>
    </w:p>
  </w:endnote>
  <w:endnote w:type="continuationSeparator" w:id="0">
    <w:p w14:paraId="1950155D" w14:textId="77777777" w:rsidR="00CD7BA7" w:rsidRDefault="00CD7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3DEC" w14:textId="77777777" w:rsidR="002A3E38" w:rsidRDefault="002A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4D5D" w14:textId="77777777" w:rsidR="002A3E38" w:rsidRDefault="002A3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A778" w14:textId="77777777" w:rsidR="002A3E38" w:rsidRDefault="002A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D4894" w14:textId="77777777" w:rsidR="00CD7BA7" w:rsidRDefault="00CD7BA7">
      <w:pPr>
        <w:spacing w:after="0"/>
      </w:pPr>
      <w:r>
        <w:separator/>
      </w:r>
    </w:p>
  </w:footnote>
  <w:footnote w:type="continuationSeparator" w:id="0">
    <w:p w14:paraId="01166AD0" w14:textId="77777777" w:rsidR="00CD7BA7" w:rsidRDefault="00CD7B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B659" w14:textId="3B82BA93" w:rsidR="002A3E38" w:rsidRDefault="002A3E38">
    <w:pPr>
      <w:pStyle w:val="Header"/>
    </w:pPr>
    <w:r>
      <w:rPr>
        <w:noProof/>
      </w:rPr>
      <w:pict w14:anchorId="6AB4F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38391"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2B5E" w14:textId="7BED7B7C" w:rsidR="002A3E38" w:rsidRDefault="002A3E38">
    <w:pPr>
      <w:pStyle w:val="Header"/>
    </w:pPr>
    <w:r>
      <w:rPr>
        <w:noProof/>
      </w:rPr>
      <w:pict w14:anchorId="0EA8C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38392"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DB01" w14:textId="20FF7C9A" w:rsidR="002A3E38" w:rsidRDefault="002A3E38">
    <w:pPr>
      <w:pStyle w:val="Header"/>
    </w:pPr>
    <w:r>
      <w:rPr>
        <w:noProof/>
      </w:rPr>
      <w:pict w14:anchorId="74133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38390"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1A964E"/>
    <w:multiLevelType w:val="singleLevel"/>
    <w:tmpl w:val="EC1A964E"/>
    <w:lvl w:ilvl="0">
      <w:start w:val="1"/>
      <w:numFmt w:val="decimal"/>
      <w:suff w:val="space"/>
      <w:lvlText w:val="%1."/>
      <w:lvlJc w:val="left"/>
      <w:rPr>
        <w:rFonts w:hint="default"/>
        <w:b w:val="0"/>
        <w:bCs w:val="0"/>
        <w:i w:val="0"/>
        <w:iCs w:val="0"/>
        <w:color w:val="auto"/>
      </w:rPr>
    </w:lvl>
  </w:abstractNum>
  <w:abstractNum w:abstractNumId="1" w15:restartNumberingAfterBreak="0">
    <w:nsid w:val="016F29ED"/>
    <w:multiLevelType w:val="hybridMultilevel"/>
    <w:tmpl w:val="4C941D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710D7"/>
    <w:multiLevelType w:val="multilevel"/>
    <w:tmpl w:val="5136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83874"/>
    <w:multiLevelType w:val="hybridMultilevel"/>
    <w:tmpl w:val="117E710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A22FA"/>
    <w:multiLevelType w:val="multilevel"/>
    <w:tmpl w:val="21CE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A420B"/>
    <w:multiLevelType w:val="multilevel"/>
    <w:tmpl w:val="B58A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C01FC2"/>
    <w:multiLevelType w:val="hybridMultilevel"/>
    <w:tmpl w:val="F06AAF4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85099"/>
    <w:multiLevelType w:val="multilevel"/>
    <w:tmpl w:val="779C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44A09"/>
    <w:multiLevelType w:val="multilevel"/>
    <w:tmpl w:val="1F42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863F6D"/>
    <w:multiLevelType w:val="multilevel"/>
    <w:tmpl w:val="053E8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9"/>
  </w:num>
  <w:num w:numId="6">
    <w:abstractNumId w:val="4"/>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844"/>
    <w:rsid w:val="00084091"/>
    <w:rsid w:val="000B5B2D"/>
    <w:rsid w:val="000B776F"/>
    <w:rsid w:val="000D6DAA"/>
    <w:rsid w:val="000F34E1"/>
    <w:rsid w:val="00121285"/>
    <w:rsid w:val="0013784A"/>
    <w:rsid w:val="00187DC1"/>
    <w:rsid w:val="001A28F9"/>
    <w:rsid w:val="001A36E2"/>
    <w:rsid w:val="001A6891"/>
    <w:rsid w:val="001E526A"/>
    <w:rsid w:val="001F1626"/>
    <w:rsid w:val="001F5CD9"/>
    <w:rsid w:val="001F6525"/>
    <w:rsid w:val="002135FA"/>
    <w:rsid w:val="00243751"/>
    <w:rsid w:val="00245D3C"/>
    <w:rsid w:val="00253D4C"/>
    <w:rsid w:val="00254920"/>
    <w:rsid w:val="00283762"/>
    <w:rsid w:val="002A1068"/>
    <w:rsid w:val="002A3844"/>
    <w:rsid w:val="002A3E38"/>
    <w:rsid w:val="002D36BD"/>
    <w:rsid w:val="002F65C6"/>
    <w:rsid w:val="003139BD"/>
    <w:rsid w:val="00323F30"/>
    <w:rsid w:val="00325B13"/>
    <w:rsid w:val="00335B0F"/>
    <w:rsid w:val="003A516B"/>
    <w:rsid w:val="003A7D25"/>
    <w:rsid w:val="003C5244"/>
    <w:rsid w:val="003C52E0"/>
    <w:rsid w:val="003C5BBE"/>
    <w:rsid w:val="003D2B32"/>
    <w:rsid w:val="003E209A"/>
    <w:rsid w:val="0040641D"/>
    <w:rsid w:val="00483D10"/>
    <w:rsid w:val="0048509B"/>
    <w:rsid w:val="00496DFB"/>
    <w:rsid w:val="004A0C16"/>
    <w:rsid w:val="004C24F7"/>
    <w:rsid w:val="004D074A"/>
    <w:rsid w:val="004E2DCD"/>
    <w:rsid w:val="004F4FAD"/>
    <w:rsid w:val="00500C48"/>
    <w:rsid w:val="005329C6"/>
    <w:rsid w:val="00537241"/>
    <w:rsid w:val="00541381"/>
    <w:rsid w:val="005740A7"/>
    <w:rsid w:val="00594428"/>
    <w:rsid w:val="005A0317"/>
    <w:rsid w:val="005A3047"/>
    <w:rsid w:val="005A3B99"/>
    <w:rsid w:val="005A76C5"/>
    <w:rsid w:val="005E01E5"/>
    <w:rsid w:val="005E5250"/>
    <w:rsid w:val="00623D1A"/>
    <w:rsid w:val="00627ED7"/>
    <w:rsid w:val="006472D3"/>
    <w:rsid w:val="00663046"/>
    <w:rsid w:val="00675B0E"/>
    <w:rsid w:val="006C3DA5"/>
    <w:rsid w:val="006D1DA0"/>
    <w:rsid w:val="00726494"/>
    <w:rsid w:val="00727E5A"/>
    <w:rsid w:val="007331E1"/>
    <w:rsid w:val="007E2286"/>
    <w:rsid w:val="007F2058"/>
    <w:rsid w:val="00802AB9"/>
    <w:rsid w:val="0083040B"/>
    <w:rsid w:val="00834399"/>
    <w:rsid w:val="00840D4D"/>
    <w:rsid w:val="008479AA"/>
    <w:rsid w:val="0088361C"/>
    <w:rsid w:val="00892E55"/>
    <w:rsid w:val="008A5256"/>
    <w:rsid w:val="008C65A1"/>
    <w:rsid w:val="00975FCF"/>
    <w:rsid w:val="00990947"/>
    <w:rsid w:val="00992168"/>
    <w:rsid w:val="009B2CB7"/>
    <w:rsid w:val="009E23DB"/>
    <w:rsid w:val="009E4F51"/>
    <w:rsid w:val="009F5886"/>
    <w:rsid w:val="00A02537"/>
    <w:rsid w:val="00A12C51"/>
    <w:rsid w:val="00A3485B"/>
    <w:rsid w:val="00A45354"/>
    <w:rsid w:val="00A96790"/>
    <w:rsid w:val="00AA3D9D"/>
    <w:rsid w:val="00AA74AD"/>
    <w:rsid w:val="00AD54A7"/>
    <w:rsid w:val="00B35650"/>
    <w:rsid w:val="00B402A8"/>
    <w:rsid w:val="00B578B2"/>
    <w:rsid w:val="00B705C3"/>
    <w:rsid w:val="00B72507"/>
    <w:rsid w:val="00B85D73"/>
    <w:rsid w:val="00BB5085"/>
    <w:rsid w:val="00C1151D"/>
    <w:rsid w:val="00C47298"/>
    <w:rsid w:val="00C86376"/>
    <w:rsid w:val="00C94C93"/>
    <w:rsid w:val="00CD7BA7"/>
    <w:rsid w:val="00D21E48"/>
    <w:rsid w:val="00D42DBE"/>
    <w:rsid w:val="00D4710D"/>
    <w:rsid w:val="00D6570B"/>
    <w:rsid w:val="00D73B8D"/>
    <w:rsid w:val="00D80019"/>
    <w:rsid w:val="00D97BC6"/>
    <w:rsid w:val="00DA7517"/>
    <w:rsid w:val="00DC2D40"/>
    <w:rsid w:val="00DC6F57"/>
    <w:rsid w:val="00DF12CA"/>
    <w:rsid w:val="00E117C8"/>
    <w:rsid w:val="00E64AD7"/>
    <w:rsid w:val="00E867B2"/>
    <w:rsid w:val="00E96323"/>
    <w:rsid w:val="00EA1F77"/>
    <w:rsid w:val="00EA31C8"/>
    <w:rsid w:val="00EB409C"/>
    <w:rsid w:val="00F01D0E"/>
    <w:rsid w:val="00F07B64"/>
    <w:rsid w:val="00F106F7"/>
    <w:rsid w:val="00F24F4C"/>
    <w:rsid w:val="00F645A4"/>
    <w:rsid w:val="00F94465"/>
    <w:rsid w:val="00FB284A"/>
    <w:rsid w:val="00FD05A8"/>
    <w:rsid w:val="16B0435B"/>
    <w:rsid w:val="61D207C6"/>
    <w:rsid w:val="644671C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B1B12"/>
  <w15:docId w15:val="{52DBF755-F59C-1344-BB2F-03F5F618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n-US" w:eastAsia="en-US" w:bidi="ar-SA"/>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pPr>
      <w:keepNext/>
      <w:spacing w:after="0" w:line="480" w:lineRule="auto"/>
      <w:outlineLvl w:val="1"/>
    </w:pPr>
    <w:rPr>
      <w:rFonts w:ascii="Bookman Old Style" w:eastAsia="Times New Roman" w:hAnsi="Bookman Old Style"/>
      <w:b/>
      <w:sz w:val="40"/>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sz w:val="28"/>
      <w:szCs w:val="24"/>
    </w:rPr>
  </w:style>
  <w:style w:type="paragraph" w:styleId="BodyTextIndent">
    <w:name w:val="Body Text Indent"/>
    <w:basedOn w:val="Normal"/>
    <w:link w:val="BodyTextIndentChar"/>
    <w:uiPriority w:val="99"/>
    <w:semiHidden/>
    <w:unhideWhenUsed/>
    <w:pPr>
      <w:spacing w:after="120"/>
      <w:ind w:left="283"/>
    </w:pPr>
  </w:style>
  <w:style w:type="paragraph" w:styleId="BodyTextIndent2">
    <w:name w:val="Body Text Indent 2"/>
    <w:basedOn w:val="Normal"/>
    <w:link w:val="BodyTextIndent2Char"/>
    <w:uiPriority w:val="99"/>
    <w:unhideWhenUsed/>
    <w:qFormat/>
    <w:pPr>
      <w:spacing w:after="120" w:line="480" w:lineRule="auto"/>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en-IN" w:eastAsia="en-IN"/>
    </w:rPr>
  </w:style>
  <w:style w:type="table" w:styleId="TableGrid">
    <w:name w:val="Table Grid"/>
    <w:basedOn w:val="TableNormal"/>
    <w:uiPriority w:val="59"/>
    <w:pPr>
      <w:ind w:left="357"/>
    </w:pPr>
    <w:rPr>
      <w:rFonts w:ascii="Calibri" w:eastAsia="Calibri" w:hAnsi="Calibri" w:cs="Times New Roman"/>
      <w:kern w:val="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0" w:line="240" w:lineRule="auto"/>
      <w:jc w:val="center"/>
    </w:pPr>
    <w:rPr>
      <w:rFonts w:ascii="Times New Roman" w:eastAsia="Times New Roman" w:hAnsi="Times New Roman"/>
      <w:b/>
      <w:bCs/>
      <w:sz w:val="28"/>
      <w:szCs w:val="24"/>
      <w:u w:val="single"/>
    </w:rPr>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4"/>
      <w:lang w:val="en-US" w:bidi="ar-SA"/>
    </w:rPr>
  </w:style>
  <w:style w:type="character" w:customStyle="1" w:styleId="Heading2Char">
    <w:name w:val="Heading 2 Char"/>
    <w:basedOn w:val="DefaultParagraphFont"/>
    <w:link w:val="Heading2"/>
    <w:qFormat/>
    <w:rPr>
      <w:rFonts w:ascii="Bookman Old Style" w:eastAsia="Times New Roman" w:hAnsi="Bookman Old Style" w:cs="Times New Roman"/>
      <w:b/>
      <w:sz w:val="40"/>
      <w:szCs w:val="24"/>
      <w:vertAlign w:val="subscript"/>
      <w:lang w:val="en-US" w:bidi="ar-SA"/>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US" w:eastAsia="en-US" w:bidi="ar-SA"/>
    </w:rPr>
  </w:style>
  <w:style w:type="character" w:customStyle="1" w:styleId="HeaderChar">
    <w:name w:val="Header Char"/>
    <w:basedOn w:val="DefaultParagraphFont"/>
    <w:link w:val="Header"/>
    <w:uiPriority w:val="99"/>
    <w:qFormat/>
    <w:rPr>
      <w:rFonts w:ascii="Calibri" w:eastAsia="Calibri" w:hAnsi="Calibri" w:cs="Times New Roman"/>
      <w:szCs w:val="22"/>
      <w:lang w:val="en-US" w:bidi="ar-SA"/>
    </w:rPr>
  </w:style>
  <w:style w:type="character" w:customStyle="1" w:styleId="FooterChar">
    <w:name w:val="Footer Char"/>
    <w:basedOn w:val="DefaultParagraphFont"/>
    <w:link w:val="Footer"/>
    <w:uiPriority w:val="99"/>
    <w:qFormat/>
    <w:rPr>
      <w:rFonts w:ascii="Calibri" w:eastAsia="Calibri" w:hAnsi="Calibri" w:cs="Times New Roman"/>
      <w:szCs w:val="22"/>
      <w:lang w:val="en-US" w:bidi="ar-SA"/>
    </w:rPr>
  </w:style>
  <w:style w:type="character" w:customStyle="1" w:styleId="TitleChar">
    <w:name w:val="Title Char"/>
    <w:basedOn w:val="DefaultParagraphFont"/>
    <w:link w:val="Title"/>
    <w:qFormat/>
    <w:rPr>
      <w:rFonts w:ascii="Times New Roman" w:eastAsia="Times New Roman" w:hAnsi="Times New Roman" w:cs="Times New Roman"/>
      <w:b/>
      <w:bCs/>
      <w:sz w:val="28"/>
      <w:szCs w:val="24"/>
      <w:u w:val="single"/>
      <w:lang w:val="en-US" w:bidi="ar-SA"/>
    </w:rPr>
  </w:style>
  <w:style w:type="character" w:customStyle="1" w:styleId="BodyText2Char">
    <w:name w:val="Body Text 2 Char"/>
    <w:basedOn w:val="DefaultParagraphFont"/>
    <w:link w:val="BodyText2"/>
    <w:qFormat/>
    <w:rPr>
      <w:rFonts w:ascii="Times New Roman" w:eastAsia="Times New Roman" w:hAnsi="Times New Roman" w:cs="Times New Roman"/>
      <w:sz w:val="28"/>
      <w:szCs w:val="24"/>
      <w:lang w:val="en-US" w:bidi="ar-SA"/>
    </w:rPr>
  </w:style>
  <w:style w:type="character" w:customStyle="1" w:styleId="BodyTextChar">
    <w:name w:val="Body Text Char"/>
    <w:basedOn w:val="DefaultParagraphFont"/>
    <w:link w:val="BodyText"/>
    <w:uiPriority w:val="99"/>
    <w:qFormat/>
    <w:rPr>
      <w:rFonts w:ascii="Calibri" w:eastAsia="Calibri" w:hAnsi="Calibri" w:cs="Times New Roman"/>
      <w:szCs w:val="22"/>
      <w:lang w:val="en-US" w:bidi="ar-SA"/>
    </w:rPr>
  </w:style>
  <w:style w:type="character" w:customStyle="1" w:styleId="BodyTextIndent2Char">
    <w:name w:val="Body Text Indent 2 Char"/>
    <w:basedOn w:val="DefaultParagraphFont"/>
    <w:link w:val="BodyTextIndent2"/>
    <w:uiPriority w:val="99"/>
    <w:qFormat/>
    <w:rPr>
      <w:rFonts w:ascii="Calibri" w:eastAsia="Calibri" w:hAnsi="Calibri" w:cs="Times New Roman"/>
      <w:szCs w:val="22"/>
      <w:lang w:val="en-US" w:bidi="ar-SA"/>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US" w:bidi="ar-SA"/>
    </w:rPr>
  </w:style>
  <w:style w:type="table" w:customStyle="1" w:styleId="TableGrid1">
    <w:name w:val="Table Grid1"/>
    <w:basedOn w:val="TableNormal"/>
    <w:uiPriority w:val="59"/>
    <w:qFormat/>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lang w:val="en-US" w:bidi="ar-SA"/>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lang w:val="en-US" w:bidi="ar-SA"/>
    </w:rPr>
  </w:style>
  <w:style w:type="paragraph" w:styleId="NoSpacing">
    <w:name w:val="No Spacing"/>
    <w:uiPriority w:val="1"/>
    <w:qFormat/>
    <w:pPr>
      <w:jc w:val="both"/>
    </w:pPr>
    <w:rPr>
      <w:rFonts w:ascii="Times New Roman" w:hAnsi="Times New Roman"/>
      <w:sz w:val="24"/>
      <w:szCs w:val="22"/>
      <w:lang w:val="en-IN" w:eastAsia="en-US" w:bidi="ar-SA"/>
    </w:rPr>
  </w:style>
  <w:style w:type="character" w:customStyle="1" w:styleId="BodyTextIndentChar">
    <w:name w:val="Body Text Indent Char"/>
    <w:basedOn w:val="DefaultParagraphFont"/>
    <w:link w:val="BodyTextIndent"/>
    <w:uiPriority w:val="99"/>
    <w:semiHidden/>
    <w:qFormat/>
    <w:rPr>
      <w:rFonts w:ascii="Calibri" w:eastAsia="Calibri" w:hAnsi="Calibri" w:cs="Times New Roman"/>
      <w:szCs w:val="22"/>
      <w:lang w:val="en-US" w:bidi="ar-SA"/>
    </w:rPr>
  </w:style>
  <w:style w:type="character" w:styleId="Emphasis">
    <w:name w:val="Emphasis"/>
    <w:basedOn w:val="DefaultParagraphFont"/>
    <w:uiPriority w:val="20"/>
    <w:qFormat/>
    <w:rsid w:val="00D97BC6"/>
    <w:rPr>
      <w:i/>
      <w:iCs/>
    </w:rPr>
  </w:style>
  <w:style w:type="table" w:customStyle="1" w:styleId="TableGrid0">
    <w:name w:val="TableGrid"/>
    <w:qFormat/>
    <w:rsid w:val="0013784A"/>
    <w:rPr>
      <w:rFonts w:eastAsiaTheme="minorEastAsia"/>
      <w:lang w:val="en-US" w:eastAsia="en-US" w:bidi="ar-SA"/>
    </w:rPr>
    <w:tblPr>
      <w:tblCellMar>
        <w:top w:w="0" w:type="dxa"/>
        <w:left w:w="0" w:type="dxa"/>
        <w:bottom w:w="0" w:type="dxa"/>
        <w:right w:w="0" w:type="dxa"/>
      </w:tblCellMar>
    </w:tblPr>
  </w:style>
  <w:style w:type="character" w:styleId="Strong">
    <w:name w:val="Strong"/>
    <w:basedOn w:val="DefaultParagraphFont"/>
    <w:uiPriority w:val="22"/>
    <w:qFormat/>
    <w:rsid w:val="00C94C93"/>
    <w:rPr>
      <w:b/>
      <w:bCs/>
    </w:rPr>
  </w:style>
  <w:style w:type="character" w:styleId="Hyperlink">
    <w:name w:val="Hyperlink"/>
    <w:basedOn w:val="DefaultParagraphFont"/>
    <w:uiPriority w:val="99"/>
    <w:unhideWhenUsed/>
    <w:rsid w:val="002D36BD"/>
    <w:rPr>
      <w:color w:val="0563C1" w:themeColor="hyperlink"/>
      <w:u w:val="single"/>
    </w:rPr>
  </w:style>
  <w:style w:type="character" w:styleId="UnresolvedMention">
    <w:name w:val="Unresolved Mention"/>
    <w:basedOn w:val="DefaultParagraphFont"/>
    <w:uiPriority w:val="99"/>
    <w:semiHidden/>
    <w:unhideWhenUsed/>
    <w:rsid w:val="002D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6913">
      <w:bodyDiv w:val="1"/>
      <w:marLeft w:val="0"/>
      <w:marRight w:val="0"/>
      <w:marTop w:val="0"/>
      <w:marBottom w:val="0"/>
      <w:divBdr>
        <w:top w:val="none" w:sz="0" w:space="0" w:color="auto"/>
        <w:left w:val="none" w:sz="0" w:space="0" w:color="auto"/>
        <w:bottom w:val="none" w:sz="0" w:space="0" w:color="auto"/>
        <w:right w:val="none" w:sz="0" w:space="0" w:color="auto"/>
      </w:divBdr>
    </w:div>
    <w:div w:id="148405090">
      <w:bodyDiv w:val="1"/>
      <w:marLeft w:val="0"/>
      <w:marRight w:val="0"/>
      <w:marTop w:val="0"/>
      <w:marBottom w:val="0"/>
      <w:divBdr>
        <w:top w:val="none" w:sz="0" w:space="0" w:color="auto"/>
        <w:left w:val="none" w:sz="0" w:space="0" w:color="auto"/>
        <w:bottom w:val="none" w:sz="0" w:space="0" w:color="auto"/>
        <w:right w:val="none" w:sz="0" w:space="0" w:color="auto"/>
      </w:divBdr>
    </w:div>
    <w:div w:id="351885968">
      <w:bodyDiv w:val="1"/>
      <w:marLeft w:val="0"/>
      <w:marRight w:val="0"/>
      <w:marTop w:val="0"/>
      <w:marBottom w:val="0"/>
      <w:divBdr>
        <w:top w:val="none" w:sz="0" w:space="0" w:color="auto"/>
        <w:left w:val="none" w:sz="0" w:space="0" w:color="auto"/>
        <w:bottom w:val="none" w:sz="0" w:space="0" w:color="auto"/>
        <w:right w:val="none" w:sz="0" w:space="0" w:color="auto"/>
      </w:divBdr>
    </w:div>
    <w:div w:id="611667690">
      <w:bodyDiv w:val="1"/>
      <w:marLeft w:val="0"/>
      <w:marRight w:val="0"/>
      <w:marTop w:val="0"/>
      <w:marBottom w:val="0"/>
      <w:divBdr>
        <w:top w:val="none" w:sz="0" w:space="0" w:color="auto"/>
        <w:left w:val="none" w:sz="0" w:space="0" w:color="auto"/>
        <w:bottom w:val="none" w:sz="0" w:space="0" w:color="auto"/>
        <w:right w:val="none" w:sz="0" w:space="0" w:color="auto"/>
      </w:divBdr>
    </w:div>
    <w:div w:id="844511538">
      <w:bodyDiv w:val="1"/>
      <w:marLeft w:val="0"/>
      <w:marRight w:val="0"/>
      <w:marTop w:val="0"/>
      <w:marBottom w:val="0"/>
      <w:divBdr>
        <w:top w:val="none" w:sz="0" w:space="0" w:color="auto"/>
        <w:left w:val="none" w:sz="0" w:space="0" w:color="auto"/>
        <w:bottom w:val="none" w:sz="0" w:space="0" w:color="auto"/>
        <w:right w:val="none" w:sz="0" w:space="0" w:color="auto"/>
      </w:divBdr>
    </w:div>
    <w:div w:id="1068266358">
      <w:bodyDiv w:val="1"/>
      <w:marLeft w:val="0"/>
      <w:marRight w:val="0"/>
      <w:marTop w:val="0"/>
      <w:marBottom w:val="0"/>
      <w:divBdr>
        <w:top w:val="none" w:sz="0" w:space="0" w:color="auto"/>
        <w:left w:val="none" w:sz="0" w:space="0" w:color="auto"/>
        <w:bottom w:val="none" w:sz="0" w:space="0" w:color="auto"/>
        <w:right w:val="none" w:sz="0" w:space="0" w:color="auto"/>
      </w:divBdr>
    </w:div>
    <w:div w:id="1224755882">
      <w:bodyDiv w:val="1"/>
      <w:marLeft w:val="0"/>
      <w:marRight w:val="0"/>
      <w:marTop w:val="0"/>
      <w:marBottom w:val="0"/>
      <w:divBdr>
        <w:top w:val="none" w:sz="0" w:space="0" w:color="auto"/>
        <w:left w:val="none" w:sz="0" w:space="0" w:color="auto"/>
        <w:bottom w:val="none" w:sz="0" w:space="0" w:color="auto"/>
        <w:right w:val="none" w:sz="0" w:space="0" w:color="auto"/>
      </w:divBdr>
    </w:div>
    <w:div w:id="1356927498">
      <w:bodyDiv w:val="1"/>
      <w:marLeft w:val="0"/>
      <w:marRight w:val="0"/>
      <w:marTop w:val="0"/>
      <w:marBottom w:val="0"/>
      <w:divBdr>
        <w:top w:val="none" w:sz="0" w:space="0" w:color="auto"/>
        <w:left w:val="none" w:sz="0" w:space="0" w:color="auto"/>
        <w:bottom w:val="none" w:sz="0" w:space="0" w:color="auto"/>
        <w:right w:val="none" w:sz="0" w:space="0" w:color="auto"/>
      </w:divBdr>
    </w:div>
    <w:div w:id="1484345292">
      <w:bodyDiv w:val="1"/>
      <w:marLeft w:val="0"/>
      <w:marRight w:val="0"/>
      <w:marTop w:val="0"/>
      <w:marBottom w:val="0"/>
      <w:divBdr>
        <w:top w:val="none" w:sz="0" w:space="0" w:color="auto"/>
        <w:left w:val="none" w:sz="0" w:space="0" w:color="auto"/>
        <w:bottom w:val="none" w:sz="0" w:space="0" w:color="auto"/>
        <w:right w:val="none" w:sz="0" w:space="0" w:color="auto"/>
      </w:divBdr>
    </w:div>
    <w:div w:id="1671442107">
      <w:bodyDiv w:val="1"/>
      <w:marLeft w:val="0"/>
      <w:marRight w:val="0"/>
      <w:marTop w:val="0"/>
      <w:marBottom w:val="0"/>
      <w:divBdr>
        <w:top w:val="none" w:sz="0" w:space="0" w:color="auto"/>
        <w:left w:val="none" w:sz="0" w:space="0" w:color="auto"/>
        <w:bottom w:val="none" w:sz="0" w:space="0" w:color="auto"/>
        <w:right w:val="none" w:sz="0" w:space="0" w:color="auto"/>
      </w:divBdr>
    </w:div>
    <w:div w:id="1815290270">
      <w:bodyDiv w:val="1"/>
      <w:marLeft w:val="0"/>
      <w:marRight w:val="0"/>
      <w:marTop w:val="0"/>
      <w:marBottom w:val="0"/>
      <w:divBdr>
        <w:top w:val="none" w:sz="0" w:space="0" w:color="auto"/>
        <w:left w:val="none" w:sz="0" w:space="0" w:color="auto"/>
        <w:bottom w:val="none" w:sz="0" w:space="0" w:color="auto"/>
        <w:right w:val="none" w:sz="0" w:space="0" w:color="auto"/>
      </w:divBdr>
    </w:div>
    <w:div w:id="1820996727">
      <w:bodyDiv w:val="1"/>
      <w:marLeft w:val="0"/>
      <w:marRight w:val="0"/>
      <w:marTop w:val="0"/>
      <w:marBottom w:val="0"/>
      <w:divBdr>
        <w:top w:val="none" w:sz="0" w:space="0" w:color="auto"/>
        <w:left w:val="none" w:sz="0" w:space="0" w:color="auto"/>
        <w:bottom w:val="none" w:sz="0" w:space="0" w:color="auto"/>
        <w:right w:val="none" w:sz="0" w:space="0" w:color="auto"/>
      </w:divBdr>
    </w:div>
    <w:div w:id="1927960466">
      <w:bodyDiv w:val="1"/>
      <w:marLeft w:val="0"/>
      <w:marRight w:val="0"/>
      <w:marTop w:val="0"/>
      <w:marBottom w:val="0"/>
      <w:divBdr>
        <w:top w:val="none" w:sz="0" w:space="0" w:color="auto"/>
        <w:left w:val="none" w:sz="0" w:space="0" w:color="auto"/>
        <w:bottom w:val="none" w:sz="0" w:space="0" w:color="auto"/>
        <w:right w:val="none" w:sz="0" w:space="0" w:color="auto"/>
      </w:divBdr>
    </w:div>
    <w:div w:id="193108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Sheet1!$C$20</c:f>
              <c:strCache>
                <c:ptCount val="1"/>
                <c:pt idx="0">
                  <c:v>Heritability (%)</c:v>
                </c:pt>
              </c:strCache>
            </c:strRef>
          </c:tx>
          <c:spPr>
            <a:solidFill>
              <a:srgbClr val="FFC000"/>
            </a:solidFill>
          </c:spPr>
          <c:invertIfNegative val="0"/>
          <c:cat>
            <c:strRef>
              <c:f>Sheet1!$B$21:$B$36</c:f>
              <c:strCache>
                <c:ptCount val="16"/>
                <c:pt idx="1">
                  <c:v>Plant height (cm)</c:v>
                </c:pt>
                <c:pt idx="2">
                  <c:v>Plant spread (cm)</c:v>
                </c:pt>
                <c:pt idx="3">
                  <c:v>Leaf length (cm)</c:v>
                </c:pt>
                <c:pt idx="4">
                  <c:v>Leaf width (cm)</c:v>
                </c:pt>
                <c:pt idx="5">
                  <c:v>Petiole length (cm)</c:v>
                </c:pt>
                <c:pt idx="6">
                  <c:v>Number of leaves/ plant</c:v>
                </c:pt>
                <c:pt idx="7">
                  <c:v>Number of suckers/ plant</c:v>
                </c:pt>
                <c:pt idx="8">
                  <c:v>Days taken to first flowering</c:v>
                </c:pt>
                <c:pt idx="9">
                  <c:v>Flowering duration (days)</c:v>
                </c:pt>
                <c:pt idx="10">
                  <c:v>Spathe length (cm)</c:v>
                </c:pt>
                <c:pt idx="11">
                  <c:v>Spathe width (cm)</c:v>
                </c:pt>
                <c:pt idx="12">
                  <c:v>Spadix length (cm)</c:v>
                </c:pt>
                <c:pt idx="13">
                  <c:v>Inflorescence stalk length (cm)</c:v>
                </c:pt>
                <c:pt idx="14">
                  <c:v>Number of inflorescence  per plant</c:v>
                </c:pt>
                <c:pt idx="15">
                  <c:v>Water uptake (ml)</c:v>
                </c:pt>
              </c:strCache>
            </c:strRef>
          </c:cat>
          <c:val>
            <c:numRef>
              <c:f>Sheet1!$C$21:$C$36</c:f>
              <c:numCache>
                <c:formatCode>General</c:formatCode>
                <c:ptCount val="16"/>
                <c:pt idx="1">
                  <c:v>99.08</c:v>
                </c:pt>
                <c:pt idx="2">
                  <c:v>87.36</c:v>
                </c:pt>
                <c:pt idx="3">
                  <c:v>89</c:v>
                </c:pt>
                <c:pt idx="4">
                  <c:v>93.51</c:v>
                </c:pt>
                <c:pt idx="5">
                  <c:v>98.4</c:v>
                </c:pt>
                <c:pt idx="6">
                  <c:v>68.290000000000006</c:v>
                </c:pt>
                <c:pt idx="7">
                  <c:v>82.72</c:v>
                </c:pt>
                <c:pt idx="8">
                  <c:v>30.28</c:v>
                </c:pt>
                <c:pt idx="9">
                  <c:v>56.3</c:v>
                </c:pt>
                <c:pt idx="10">
                  <c:v>81.91</c:v>
                </c:pt>
                <c:pt idx="11">
                  <c:v>91.94</c:v>
                </c:pt>
                <c:pt idx="12">
                  <c:v>97.88</c:v>
                </c:pt>
                <c:pt idx="13">
                  <c:v>98.82</c:v>
                </c:pt>
                <c:pt idx="14">
                  <c:v>49.12</c:v>
                </c:pt>
                <c:pt idx="15">
                  <c:v>93.95</c:v>
                </c:pt>
              </c:numCache>
            </c:numRef>
          </c:val>
          <c:extLst>
            <c:ext xmlns:c16="http://schemas.microsoft.com/office/drawing/2014/chart" uri="{C3380CC4-5D6E-409C-BE32-E72D297353CC}">
              <c16:uniqueId val="{00000000-BF93-D742-96FE-4945EAA3CB0D}"/>
            </c:ext>
          </c:extLst>
        </c:ser>
        <c:ser>
          <c:idx val="1"/>
          <c:order val="1"/>
          <c:tx>
            <c:strRef>
              <c:f>Sheet1!$D$20</c:f>
              <c:strCache>
                <c:ptCount val="1"/>
                <c:pt idx="0">
                  <c:v>GA as % mean</c:v>
                </c:pt>
              </c:strCache>
            </c:strRef>
          </c:tx>
          <c:spPr>
            <a:solidFill>
              <a:schemeClr val="accent1"/>
            </a:solidFill>
          </c:spPr>
          <c:invertIfNegative val="0"/>
          <c:cat>
            <c:strRef>
              <c:f>Sheet1!$B$21:$B$36</c:f>
              <c:strCache>
                <c:ptCount val="16"/>
                <c:pt idx="1">
                  <c:v>Plant height (cm)</c:v>
                </c:pt>
                <c:pt idx="2">
                  <c:v>Plant spread (cm)</c:v>
                </c:pt>
                <c:pt idx="3">
                  <c:v>Leaf length (cm)</c:v>
                </c:pt>
                <c:pt idx="4">
                  <c:v>Leaf width (cm)</c:v>
                </c:pt>
                <c:pt idx="5">
                  <c:v>Petiole length (cm)</c:v>
                </c:pt>
                <c:pt idx="6">
                  <c:v>Number of leaves/ plant</c:v>
                </c:pt>
                <c:pt idx="7">
                  <c:v>Number of suckers/ plant</c:v>
                </c:pt>
                <c:pt idx="8">
                  <c:v>Days taken to first flowering</c:v>
                </c:pt>
                <c:pt idx="9">
                  <c:v>Flowering duration (days)</c:v>
                </c:pt>
                <c:pt idx="10">
                  <c:v>Spathe length (cm)</c:v>
                </c:pt>
                <c:pt idx="11">
                  <c:v>Spathe width (cm)</c:v>
                </c:pt>
                <c:pt idx="12">
                  <c:v>Spadix length (cm)</c:v>
                </c:pt>
                <c:pt idx="13">
                  <c:v>Inflorescence stalk length (cm)</c:v>
                </c:pt>
                <c:pt idx="14">
                  <c:v>Number of inflorescence  per plant</c:v>
                </c:pt>
                <c:pt idx="15">
                  <c:v>Water uptake (ml)</c:v>
                </c:pt>
              </c:strCache>
            </c:strRef>
          </c:cat>
          <c:val>
            <c:numRef>
              <c:f>Sheet1!$D$21:$D$36</c:f>
              <c:numCache>
                <c:formatCode>General</c:formatCode>
                <c:ptCount val="16"/>
                <c:pt idx="1">
                  <c:v>51.8</c:v>
                </c:pt>
                <c:pt idx="2">
                  <c:v>21.49</c:v>
                </c:pt>
                <c:pt idx="3">
                  <c:v>35.479999999999997</c:v>
                </c:pt>
                <c:pt idx="4">
                  <c:v>58.76</c:v>
                </c:pt>
                <c:pt idx="5">
                  <c:v>54.66</c:v>
                </c:pt>
                <c:pt idx="6">
                  <c:v>21.94</c:v>
                </c:pt>
                <c:pt idx="7">
                  <c:v>52.62</c:v>
                </c:pt>
                <c:pt idx="8">
                  <c:v>2.4900000000000002</c:v>
                </c:pt>
                <c:pt idx="9">
                  <c:v>9.65</c:v>
                </c:pt>
                <c:pt idx="10">
                  <c:v>34.42</c:v>
                </c:pt>
                <c:pt idx="11">
                  <c:v>42.23</c:v>
                </c:pt>
                <c:pt idx="12">
                  <c:v>84.5</c:v>
                </c:pt>
                <c:pt idx="13">
                  <c:v>53.33</c:v>
                </c:pt>
                <c:pt idx="14">
                  <c:v>11.82</c:v>
                </c:pt>
                <c:pt idx="15">
                  <c:v>17.8</c:v>
                </c:pt>
              </c:numCache>
            </c:numRef>
          </c:val>
          <c:extLst>
            <c:ext xmlns:c16="http://schemas.microsoft.com/office/drawing/2014/chart" uri="{C3380CC4-5D6E-409C-BE32-E72D297353CC}">
              <c16:uniqueId val="{00000001-BF93-D742-96FE-4945EAA3CB0D}"/>
            </c:ext>
          </c:extLst>
        </c:ser>
        <c:dLbls>
          <c:showLegendKey val="0"/>
          <c:showVal val="0"/>
          <c:showCatName val="0"/>
          <c:showSerName val="0"/>
          <c:showPercent val="0"/>
          <c:showBubbleSize val="0"/>
        </c:dLbls>
        <c:gapWidth val="75"/>
        <c:overlap val="-25"/>
        <c:axId val="52778112"/>
        <c:axId val="52779648"/>
      </c:barChart>
      <c:catAx>
        <c:axId val="52778112"/>
        <c:scaling>
          <c:orientation val="minMax"/>
        </c:scaling>
        <c:delete val="0"/>
        <c:axPos val="b"/>
        <c:numFmt formatCode="General" sourceLinked="0"/>
        <c:majorTickMark val="none"/>
        <c:minorTickMark val="none"/>
        <c:tickLblPos val="nextTo"/>
        <c:txPr>
          <a:bodyPr/>
          <a:lstStyle/>
          <a:p>
            <a:pPr>
              <a:defRPr sz="800" b="1"/>
            </a:pPr>
            <a:endParaRPr lang="en-US"/>
          </a:p>
        </c:txPr>
        <c:crossAx val="52779648"/>
        <c:crosses val="autoZero"/>
        <c:auto val="1"/>
        <c:lblAlgn val="ctr"/>
        <c:lblOffset val="100"/>
        <c:noMultiLvlLbl val="0"/>
      </c:catAx>
      <c:valAx>
        <c:axId val="52779648"/>
        <c:scaling>
          <c:orientation val="minMax"/>
        </c:scaling>
        <c:delete val="0"/>
        <c:axPos val="l"/>
        <c:majorGridlines/>
        <c:numFmt formatCode="General" sourceLinked="1"/>
        <c:majorTickMark val="none"/>
        <c:minorTickMark val="none"/>
        <c:tickLblPos val="nextTo"/>
        <c:spPr>
          <a:ln w="9525">
            <a:noFill/>
          </a:ln>
        </c:spPr>
        <c:crossAx val="52778112"/>
        <c:crosses val="autoZero"/>
        <c:crossBetween val="between"/>
      </c:valAx>
    </c:plotArea>
    <c:legend>
      <c:legendPos val="b"/>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Sheet1!$C$43:$C$44</c:f>
              <c:strCache>
                <c:ptCount val="1"/>
                <c:pt idx="0">
                  <c:v>GCV (%)</c:v>
                </c:pt>
              </c:strCache>
            </c:strRef>
          </c:tx>
          <c:spPr>
            <a:solidFill>
              <a:srgbClr val="FFC000"/>
            </a:solidFill>
          </c:spPr>
          <c:invertIfNegative val="0"/>
          <c:cat>
            <c:strRef>
              <c:f>Sheet1!$B$45:$B$60</c:f>
              <c:strCache>
                <c:ptCount val="16"/>
                <c:pt idx="0">
                  <c:v>Plant height (cm)</c:v>
                </c:pt>
                <c:pt idx="1">
                  <c:v>Plant spread (cm)</c:v>
                </c:pt>
                <c:pt idx="2">
                  <c:v>Leaf length (cm)</c:v>
                </c:pt>
                <c:pt idx="3">
                  <c:v>Leaf width (cm)</c:v>
                </c:pt>
                <c:pt idx="4">
                  <c:v>Petiole length (cm)</c:v>
                </c:pt>
                <c:pt idx="5">
                  <c:v>Number of leaves/ plant</c:v>
                </c:pt>
                <c:pt idx="6">
                  <c:v>Number of suckers/ plant</c:v>
                </c:pt>
                <c:pt idx="7">
                  <c:v>Days taken to first flowering</c:v>
                </c:pt>
                <c:pt idx="8">
                  <c:v>Flowering duration (days)</c:v>
                </c:pt>
                <c:pt idx="9">
                  <c:v>Spathe length (cm)</c:v>
                </c:pt>
                <c:pt idx="10">
                  <c:v>Spathe width (cm)</c:v>
                </c:pt>
                <c:pt idx="11">
                  <c:v>Spadix length (cm)</c:v>
                </c:pt>
                <c:pt idx="12">
                  <c:v>Inflorescence stalk length (cm)</c:v>
                </c:pt>
                <c:pt idx="13">
                  <c:v>Number of inflorescence  per plant</c:v>
                </c:pt>
                <c:pt idx="14">
                  <c:v>Water uptake (ml)</c:v>
                </c:pt>
                <c:pt idx="15">
                  <c:v>Vase life (days)</c:v>
                </c:pt>
              </c:strCache>
            </c:strRef>
          </c:cat>
          <c:val>
            <c:numRef>
              <c:f>Sheet1!$C$45:$C$60</c:f>
              <c:numCache>
                <c:formatCode>General</c:formatCode>
                <c:ptCount val="16"/>
                <c:pt idx="0">
                  <c:v>25.26</c:v>
                </c:pt>
                <c:pt idx="1">
                  <c:v>11.16</c:v>
                </c:pt>
                <c:pt idx="2">
                  <c:v>18.25</c:v>
                </c:pt>
                <c:pt idx="3">
                  <c:v>29.5</c:v>
                </c:pt>
                <c:pt idx="4">
                  <c:v>26.75</c:v>
                </c:pt>
                <c:pt idx="5">
                  <c:v>12.89</c:v>
                </c:pt>
                <c:pt idx="6">
                  <c:v>28.09</c:v>
                </c:pt>
                <c:pt idx="7">
                  <c:v>2.2000000000000002</c:v>
                </c:pt>
                <c:pt idx="8">
                  <c:v>6.24</c:v>
                </c:pt>
                <c:pt idx="9">
                  <c:v>18.46</c:v>
                </c:pt>
                <c:pt idx="10">
                  <c:v>21.38</c:v>
                </c:pt>
                <c:pt idx="11">
                  <c:v>41.46</c:v>
                </c:pt>
                <c:pt idx="12">
                  <c:v>26.04</c:v>
                </c:pt>
                <c:pt idx="13">
                  <c:v>8.19</c:v>
                </c:pt>
                <c:pt idx="14">
                  <c:v>8.92</c:v>
                </c:pt>
                <c:pt idx="15">
                  <c:v>14.14</c:v>
                </c:pt>
              </c:numCache>
            </c:numRef>
          </c:val>
          <c:extLst>
            <c:ext xmlns:c16="http://schemas.microsoft.com/office/drawing/2014/chart" uri="{C3380CC4-5D6E-409C-BE32-E72D297353CC}">
              <c16:uniqueId val="{00000000-5B99-604F-ACDB-47AE40D16320}"/>
            </c:ext>
          </c:extLst>
        </c:ser>
        <c:ser>
          <c:idx val="1"/>
          <c:order val="1"/>
          <c:tx>
            <c:strRef>
              <c:f>Sheet1!$D$43:$D$44</c:f>
              <c:strCache>
                <c:ptCount val="1"/>
                <c:pt idx="0">
                  <c:v>PCV (%)</c:v>
                </c:pt>
              </c:strCache>
            </c:strRef>
          </c:tx>
          <c:spPr>
            <a:solidFill>
              <a:schemeClr val="accent1"/>
            </a:solidFill>
          </c:spPr>
          <c:invertIfNegative val="0"/>
          <c:cat>
            <c:strRef>
              <c:f>Sheet1!$B$45:$B$60</c:f>
              <c:strCache>
                <c:ptCount val="16"/>
                <c:pt idx="0">
                  <c:v>Plant height (cm)</c:v>
                </c:pt>
                <c:pt idx="1">
                  <c:v>Plant spread (cm)</c:v>
                </c:pt>
                <c:pt idx="2">
                  <c:v>Leaf length (cm)</c:v>
                </c:pt>
                <c:pt idx="3">
                  <c:v>Leaf width (cm)</c:v>
                </c:pt>
                <c:pt idx="4">
                  <c:v>Petiole length (cm)</c:v>
                </c:pt>
                <c:pt idx="5">
                  <c:v>Number of leaves/ plant</c:v>
                </c:pt>
                <c:pt idx="6">
                  <c:v>Number of suckers/ plant</c:v>
                </c:pt>
                <c:pt idx="7">
                  <c:v>Days taken to first flowering</c:v>
                </c:pt>
                <c:pt idx="8">
                  <c:v>Flowering duration (days)</c:v>
                </c:pt>
                <c:pt idx="9">
                  <c:v>Spathe length (cm)</c:v>
                </c:pt>
                <c:pt idx="10">
                  <c:v>Spathe width (cm)</c:v>
                </c:pt>
                <c:pt idx="11">
                  <c:v>Spadix length (cm)</c:v>
                </c:pt>
                <c:pt idx="12">
                  <c:v>Inflorescence stalk length (cm)</c:v>
                </c:pt>
                <c:pt idx="13">
                  <c:v>Number of inflorescence  per plant</c:v>
                </c:pt>
                <c:pt idx="14">
                  <c:v>Water uptake (ml)</c:v>
                </c:pt>
                <c:pt idx="15">
                  <c:v>Vase life (days)</c:v>
                </c:pt>
              </c:strCache>
            </c:strRef>
          </c:cat>
          <c:val>
            <c:numRef>
              <c:f>Sheet1!$D$45:$D$60</c:f>
              <c:numCache>
                <c:formatCode>General</c:formatCode>
                <c:ptCount val="16"/>
                <c:pt idx="0">
                  <c:v>25.38</c:v>
                </c:pt>
                <c:pt idx="1">
                  <c:v>11.94</c:v>
                </c:pt>
                <c:pt idx="2">
                  <c:v>19.350000000000001</c:v>
                </c:pt>
                <c:pt idx="3">
                  <c:v>30.5</c:v>
                </c:pt>
                <c:pt idx="4">
                  <c:v>26.97</c:v>
                </c:pt>
                <c:pt idx="5">
                  <c:v>15.6</c:v>
                </c:pt>
                <c:pt idx="6">
                  <c:v>30.88</c:v>
                </c:pt>
                <c:pt idx="7">
                  <c:v>4</c:v>
                </c:pt>
                <c:pt idx="8">
                  <c:v>8.32</c:v>
                </c:pt>
                <c:pt idx="9">
                  <c:v>20.399999999999999</c:v>
                </c:pt>
                <c:pt idx="10">
                  <c:v>22.3</c:v>
                </c:pt>
                <c:pt idx="11">
                  <c:v>41.91</c:v>
                </c:pt>
                <c:pt idx="12">
                  <c:v>26.2</c:v>
                </c:pt>
                <c:pt idx="13">
                  <c:v>11.68</c:v>
                </c:pt>
                <c:pt idx="14">
                  <c:v>9.1999999999999993</c:v>
                </c:pt>
                <c:pt idx="15">
                  <c:v>18.309999999999999</c:v>
                </c:pt>
              </c:numCache>
            </c:numRef>
          </c:val>
          <c:extLst>
            <c:ext xmlns:c16="http://schemas.microsoft.com/office/drawing/2014/chart" uri="{C3380CC4-5D6E-409C-BE32-E72D297353CC}">
              <c16:uniqueId val="{00000001-5B99-604F-ACDB-47AE40D16320}"/>
            </c:ext>
          </c:extLst>
        </c:ser>
        <c:dLbls>
          <c:showLegendKey val="0"/>
          <c:showVal val="0"/>
          <c:showCatName val="0"/>
          <c:showSerName val="0"/>
          <c:showPercent val="0"/>
          <c:showBubbleSize val="0"/>
        </c:dLbls>
        <c:gapWidth val="75"/>
        <c:overlap val="-25"/>
        <c:axId val="169040896"/>
        <c:axId val="169050880"/>
      </c:barChart>
      <c:catAx>
        <c:axId val="169040896"/>
        <c:scaling>
          <c:orientation val="minMax"/>
        </c:scaling>
        <c:delete val="0"/>
        <c:axPos val="b"/>
        <c:numFmt formatCode="General" sourceLinked="0"/>
        <c:majorTickMark val="none"/>
        <c:minorTickMark val="none"/>
        <c:tickLblPos val="nextTo"/>
        <c:txPr>
          <a:bodyPr/>
          <a:lstStyle/>
          <a:p>
            <a:pPr>
              <a:defRPr sz="800" b="1"/>
            </a:pPr>
            <a:endParaRPr lang="en-US"/>
          </a:p>
        </c:txPr>
        <c:crossAx val="169050880"/>
        <c:crosses val="autoZero"/>
        <c:auto val="1"/>
        <c:lblAlgn val="ctr"/>
        <c:lblOffset val="100"/>
        <c:noMultiLvlLbl val="0"/>
      </c:catAx>
      <c:valAx>
        <c:axId val="169050880"/>
        <c:scaling>
          <c:orientation val="minMax"/>
        </c:scaling>
        <c:delete val="0"/>
        <c:axPos val="l"/>
        <c:majorGridlines/>
        <c:numFmt formatCode="General" sourceLinked="1"/>
        <c:majorTickMark val="none"/>
        <c:minorTickMark val="none"/>
        <c:tickLblPos val="nextTo"/>
        <c:spPr>
          <a:ln w="9525">
            <a:noFill/>
          </a:ln>
        </c:spPr>
        <c:crossAx val="169040896"/>
        <c:crosses val="autoZero"/>
        <c:crossBetween val="between"/>
      </c:valAx>
    </c:plotArea>
    <c:legend>
      <c:legendPos val="b"/>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2923-EF12-4212-BD69-81989F6B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priyanka kumari</dc:creator>
  <cp:lastModifiedBy>SDI 1084</cp:lastModifiedBy>
  <cp:revision>16</cp:revision>
  <cp:lastPrinted>2025-07-30T11:31:00Z</cp:lastPrinted>
  <dcterms:created xsi:type="dcterms:W3CDTF">2025-08-08T03:39:00Z</dcterms:created>
  <dcterms:modified xsi:type="dcterms:W3CDTF">2025-08-08T12:53:00Z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48010913D12A4F0683F8039E3AC25B1B_12</vt:lpwstr>
  </property>
</Properties>
</file>