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11329" w14:textId="1854BCC9" w:rsidR="006E526B" w:rsidRPr="006E526B" w:rsidRDefault="006E526B" w:rsidP="006E526B">
      <w:pPr>
        <w:spacing w:after="0"/>
        <w:rPr>
          <w:rFonts w:ascii="Times New Roman" w:eastAsia="Times New Roman" w:hAnsi="Times New Roman" w:cs="Times New Roman"/>
          <w:sz w:val="32"/>
          <w:szCs w:val="32"/>
          <w:u w:val="single"/>
        </w:rPr>
      </w:pPr>
      <w:r w:rsidRPr="006E526B">
        <w:rPr>
          <w:rFonts w:ascii="Times New Roman" w:eastAsia="Times New Roman" w:hAnsi="Times New Roman" w:cs="Times New Roman"/>
          <w:sz w:val="32"/>
          <w:szCs w:val="32"/>
          <w:u w:val="single"/>
        </w:rPr>
        <w:t>Original Research Article</w:t>
      </w:r>
    </w:p>
    <w:p w14:paraId="522A68AC" w14:textId="19E039AB" w:rsidR="00912FD0" w:rsidRDefault="005125A6">
      <w:pPr>
        <w:spacing w:after="0"/>
        <w:jc w:val="center"/>
        <w:rPr>
          <w:rFonts w:ascii="Times New Roman" w:eastAsia="Times New Roman" w:hAnsi="Times New Roman" w:cs="Times New Roman"/>
          <w:sz w:val="32"/>
          <w:szCs w:val="32"/>
        </w:rPr>
      </w:pPr>
      <w:r w:rsidRPr="005125A6">
        <w:rPr>
          <w:rFonts w:ascii="Times New Roman" w:eastAsia="Times New Roman" w:hAnsi="Times New Roman" w:cs="Times New Roman"/>
          <w:sz w:val="32"/>
          <w:szCs w:val="32"/>
        </w:rPr>
        <w:t>Correlation of FNAC with Histopathology in Detecting Ovarian Malignancy: An Institutional Experience</w:t>
      </w:r>
    </w:p>
    <w:p w14:paraId="08A124FF" w14:textId="77777777" w:rsidR="00800D06" w:rsidRPr="00800D06" w:rsidRDefault="00800D06">
      <w:pPr>
        <w:spacing w:after="0"/>
        <w:jc w:val="center"/>
        <w:rPr>
          <w:rFonts w:ascii="Times New Roman" w:eastAsia="Times New Roman" w:hAnsi="Times New Roman" w:cs="Times New Roman"/>
        </w:rPr>
      </w:pPr>
    </w:p>
    <w:p w14:paraId="522A68B3" w14:textId="5D7ED6F4" w:rsidR="00912FD0" w:rsidRDefault="00912FD0">
      <w:pPr>
        <w:spacing w:after="0"/>
        <w:jc w:val="center"/>
        <w:rPr>
          <w:rFonts w:ascii="Times New Roman" w:eastAsia="Times New Roman" w:hAnsi="Times New Roman" w:cs="Times New Roman"/>
          <w:sz w:val="16"/>
          <w:szCs w:val="16"/>
        </w:rPr>
      </w:pPr>
    </w:p>
    <w:p w14:paraId="66092422" w14:textId="77777777" w:rsidR="00470091" w:rsidRPr="00BB321B" w:rsidRDefault="00470091">
      <w:pPr>
        <w:spacing w:after="0"/>
        <w:jc w:val="center"/>
        <w:rPr>
          <w:rFonts w:ascii="Times New Roman" w:eastAsia="Times New Roman" w:hAnsi="Times New Roman" w:cs="Times New Roman"/>
          <w:sz w:val="16"/>
          <w:szCs w:val="16"/>
        </w:rPr>
      </w:pPr>
    </w:p>
    <w:p w14:paraId="522A68B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886D100" w14:textId="79050137"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Background:</w:t>
      </w:r>
      <w:r w:rsidRPr="00DA3AA9">
        <w:rPr>
          <w:rFonts w:ascii="Times New Roman" w:eastAsia="Times New Roman" w:hAnsi="Times New Roman" w:cs="Times New Roman"/>
          <w:bCs/>
        </w:rPr>
        <w:t xml:space="preserve"> Ovarian cancer is frequently diagnosed at advanced stages, requiring reliable and minimally invasive diagnostic tools. Fine Needle Aspiration Cytology (FNAC) has been proposed as a rapid and cost-effective method, but institutional data are essential to validate its role. This study aimed to evaluate the correlation between FNAC and histopathology in ovarian malignancies based on institutional experience.</w:t>
      </w:r>
    </w:p>
    <w:p w14:paraId="7C2FE613" w14:textId="607AB676"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Methods:</w:t>
      </w:r>
      <w:r w:rsidRPr="00DA3AA9">
        <w:rPr>
          <w:rFonts w:ascii="Times New Roman" w:eastAsia="Times New Roman" w:hAnsi="Times New Roman" w:cs="Times New Roman"/>
          <w:bCs/>
        </w:rPr>
        <w:t xml:space="preserve"> A cross-sectional study was conducted at the Department of Gynecological Oncology and the Department of Pathology, Bangabandhu Sheikh Mujib Medical University, Dhaka, Bangladesh, from March 2015 to February 2016. Sixty patients with suspected ovarian malignancies underwent FNAC under imaging guidance. Cytological results were compared with histopathology results from surgical or biopsy specimens.</w:t>
      </w:r>
    </w:p>
    <w:p w14:paraId="3F41ED49" w14:textId="6C1EEF06"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Results:</w:t>
      </w:r>
      <w:r w:rsidRPr="00DA3AA9">
        <w:rPr>
          <w:rFonts w:ascii="Times New Roman" w:eastAsia="Times New Roman" w:hAnsi="Times New Roman" w:cs="Times New Roman"/>
          <w:bCs/>
        </w:rPr>
        <w:t xml:space="preserve"> The mean age was 52.1 years, and 56.7% were postmenopausal. Abdominal pain (66.7%), palpable lumps (63.3%), and early satiety (53.3%) were the most common presentations. FNAC most frequently identified adenocarcinoma (53.3%), whereas histopathology confirmed papillary serous cystadenocarcinoma (36.7%) as the predominant subtype. FNAC and histopathology showed high concordance, with few false-negative cases, particularly in cystic lesions.</w:t>
      </w:r>
    </w:p>
    <w:p w14:paraId="229CC76F" w14:textId="5B989966"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Conclusion:</w:t>
      </w:r>
      <w:r w:rsidRPr="00DA3AA9">
        <w:rPr>
          <w:rFonts w:ascii="Times New Roman" w:eastAsia="Times New Roman" w:hAnsi="Times New Roman" w:cs="Times New Roman"/>
          <w:bCs/>
        </w:rPr>
        <w:t xml:space="preserve"> FNAC showed a strong correlation with histopathology in ovarian malignancies and is an effective institutional diagnostic tool. Its safety, rapidity, and affordability make it particularly relevant in resource-limited healthcare settings.</w:t>
      </w:r>
    </w:p>
    <w:p w14:paraId="2425302D" w14:textId="0995E71C" w:rsid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Keywords:</w:t>
      </w:r>
      <w:r w:rsidRPr="00DA3AA9">
        <w:rPr>
          <w:rFonts w:ascii="Times New Roman" w:eastAsia="Times New Roman" w:hAnsi="Times New Roman" w:cs="Times New Roman"/>
          <w:bCs/>
        </w:rPr>
        <w:t xml:space="preserve"> Ovarian malignancy, FNAC, Histopathology, Institutional experience.</w:t>
      </w:r>
    </w:p>
    <w:p w14:paraId="7A462614" w14:textId="77777777" w:rsidR="00DA3AA9" w:rsidRDefault="00DA3AA9">
      <w:pPr>
        <w:spacing w:after="0"/>
        <w:jc w:val="both"/>
        <w:rPr>
          <w:rFonts w:ascii="Times New Roman" w:eastAsia="Times New Roman" w:hAnsi="Times New Roman" w:cs="Times New Roman"/>
          <w:bCs/>
        </w:rPr>
      </w:pPr>
    </w:p>
    <w:p w14:paraId="522A68BC" w14:textId="40C14E9C" w:rsidR="00912FD0" w:rsidRDefault="00912FD0">
      <w:pPr>
        <w:spacing w:after="0"/>
        <w:jc w:val="both"/>
        <w:rPr>
          <w:rFonts w:ascii="Times New Roman" w:eastAsia="Times New Roman" w:hAnsi="Times New Roman" w:cs="Times New Roman"/>
        </w:rPr>
      </w:pPr>
    </w:p>
    <w:p w14:paraId="522A68BD" w14:textId="77777777" w:rsidR="00912FD0" w:rsidRDefault="00912FD0">
      <w:pPr>
        <w:spacing w:after="0"/>
        <w:jc w:val="both"/>
        <w:rPr>
          <w:rFonts w:ascii="Times New Roman" w:eastAsia="Times New Roman" w:hAnsi="Times New Roman" w:cs="Times New Roman"/>
        </w:rPr>
      </w:pPr>
    </w:p>
    <w:p w14:paraId="522A68BE" w14:textId="77777777" w:rsidR="00912FD0" w:rsidRDefault="009A115C" w:rsidP="00E93DF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F32C53F" w14:textId="73C1C375"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Ovarian cancer remains one of the most aggressive gynecological malignancies, accounting for a disproportionate share of cancer-related deaths among women worldwide. It ranks as the eighth most common cancer in women, with over 300,000 new diagnoses annually, and its mortality exceeds that of other gynecological cancers largely due to delayed diagnosis </w:t>
      </w:r>
      <w:r>
        <w:rPr>
          <w:rFonts w:ascii="Times New Roman" w:eastAsia="Times New Roman" w:hAnsi="Times New Roman" w:cs="Times New Roman"/>
          <w:bCs/>
        </w:rPr>
        <w:t>[1]</w:t>
      </w:r>
      <w:r w:rsidRPr="00191EFF">
        <w:rPr>
          <w:rFonts w:ascii="Times New Roman" w:eastAsia="Times New Roman" w:hAnsi="Times New Roman" w:cs="Times New Roman"/>
          <w:bCs/>
        </w:rPr>
        <w:t xml:space="preserve">. The insidious onset, vague abdominal complaints, and absence of effective screening tools contribute to its late presentation, with more than two-thirds of cases diagnosed at advanced stages </w:t>
      </w:r>
      <w:r>
        <w:rPr>
          <w:rFonts w:ascii="Times New Roman" w:eastAsia="Times New Roman" w:hAnsi="Times New Roman" w:cs="Times New Roman"/>
          <w:bCs/>
        </w:rPr>
        <w:t>[2]</w:t>
      </w:r>
      <w:r w:rsidRPr="00191EFF">
        <w:rPr>
          <w:rFonts w:ascii="Times New Roman" w:eastAsia="Times New Roman" w:hAnsi="Times New Roman" w:cs="Times New Roman"/>
          <w:bCs/>
        </w:rPr>
        <w:t>.</w:t>
      </w:r>
    </w:p>
    <w:p w14:paraId="0028DB0D" w14:textId="77777777" w:rsidR="001901B7" w:rsidRPr="001901B7" w:rsidRDefault="001901B7" w:rsidP="00191EFF">
      <w:pPr>
        <w:spacing w:after="0"/>
        <w:jc w:val="both"/>
        <w:rPr>
          <w:rFonts w:ascii="Times New Roman" w:eastAsia="Times New Roman" w:hAnsi="Times New Roman" w:cs="Times New Roman"/>
          <w:bCs/>
          <w:sz w:val="10"/>
          <w:szCs w:val="10"/>
        </w:rPr>
      </w:pPr>
    </w:p>
    <w:p w14:paraId="59C60FE0" w14:textId="48516ADD" w:rsidR="00191EFF" w:rsidRP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In clinical practice, imaging modalities such as ultrasonography (USG), computed tomography (CT), and tumor markers like CA-125 help in initial evaluation, but their diagnostic precision remains limited </w:t>
      </w:r>
      <w:r>
        <w:rPr>
          <w:rFonts w:ascii="Times New Roman" w:eastAsia="Times New Roman" w:hAnsi="Times New Roman" w:cs="Times New Roman"/>
          <w:bCs/>
        </w:rPr>
        <w:t>[</w:t>
      </w:r>
      <w:r w:rsidRPr="00191EFF">
        <w:rPr>
          <w:rFonts w:ascii="Times New Roman" w:eastAsia="Times New Roman" w:hAnsi="Times New Roman" w:cs="Times New Roman"/>
          <w:bCs/>
        </w:rPr>
        <w:t>3</w:t>
      </w:r>
      <w:r>
        <w:rPr>
          <w:rFonts w:ascii="Times New Roman" w:eastAsia="Times New Roman" w:hAnsi="Times New Roman" w:cs="Times New Roman"/>
          <w:bCs/>
        </w:rPr>
        <w:t>]</w:t>
      </w:r>
      <w:r w:rsidRPr="00191EFF">
        <w:rPr>
          <w:rFonts w:ascii="Times New Roman" w:eastAsia="Times New Roman" w:hAnsi="Times New Roman" w:cs="Times New Roman"/>
          <w:bCs/>
        </w:rPr>
        <w:t>. Histopathology is considered the gold standard for confirmation, yet it requires surgical intervention, which is not always feasible for advanced cases or for patients with poor performance status.</w:t>
      </w:r>
    </w:p>
    <w:p w14:paraId="1E5BE64F" w14:textId="07B9F87A"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Fine Needle Aspiration Cytology (FNAC), particularly when guided by imaging, offers a minimally invasive, rapid, and cost-effective approach to evaluating ovarian masses. FNAC has been widely used in the diagnosis of deep-seated lesions, including hepatic and pancreatic tumors, with diagnostic adequacy </w:t>
      </w:r>
      <w:r w:rsidRPr="00191EFF">
        <w:rPr>
          <w:rFonts w:ascii="Times New Roman" w:eastAsia="Times New Roman" w:hAnsi="Times New Roman" w:cs="Times New Roman"/>
          <w:bCs/>
        </w:rPr>
        <w:lastRenderedPageBreak/>
        <w:t xml:space="preserve">reported in over 85% of cases </w:t>
      </w:r>
      <w:r>
        <w:rPr>
          <w:rFonts w:ascii="Times New Roman" w:eastAsia="Times New Roman" w:hAnsi="Times New Roman" w:cs="Times New Roman"/>
          <w:bCs/>
        </w:rPr>
        <w:t>[4]</w:t>
      </w:r>
      <w:r w:rsidRPr="00191EFF">
        <w:rPr>
          <w:rFonts w:ascii="Times New Roman" w:eastAsia="Times New Roman" w:hAnsi="Times New Roman" w:cs="Times New Roman"/>
          <w:bCs/>
        </w:rPr>
        <w:t xml:space="preserve">. In ovarian lesions, FNAC can confirm malignancy, suggest subtype in many instances, and identify metastatic disease with high concordance to histopathology </w:t>
      </w:r>
      <w:r>
        <w:rPr>
          <w:rFonts w:ascii="Times New Roman" w:eastAsia="Times New Roman" w:hAnsi="Times New Roman" w:cs="Times New Roman"/>
          <w:bCs/>
        </w:rPr>
        <w:t>[</w:t>
      </w:r>
      <w:r w:rsidRPr="00191EFF">
        <w:rPr>
          <w:rFonts w:ascii="Times New Roman" w:eastAsia="Times New Roman" w:hAnsi="Times New Roman" w:cs="Times New Roman"/>
          <w:bCs/>
        </w:rPr>
        <w:t>5,6</w:t>
      </w:r>
      <w:r>
        <w:rPr>
          <w:rFonts w:ascii="Times New Roman" w:eastAsia="Times New Roman" w:hAnsi="Times New Roman" w:cs="Times New Roman"/>
          <w:bCs/>
        </w:rPr>
        <w:t>]</w:t>
      </w:r>
      <w:r w:rsidRPr="00191EFF">
        <w:rPr>
          <w:rFonts w:ascii="Times New Roman" w:eastAsia="Times New Roman" w:hAnsi="Times New Roman" w:cs="Times New Roman"/>
          <w:bCs/>
        </w:rPr>
        <w:t>.</w:t>
      </w:r>
    </w:p>
    <w:p w14:paraId="4AC237B8" w14:textId="77777777" w:rsidR="001901B7" w:rsidRPr="001901B7" w:rsidRDefault="001901B7" w:rsidP="00191EFF">
      <w:pPr>
        <w:spacing w:after="0"/>
        <w:jc w:val="both"/>
        <w:rPr>
          <w:rFonts w:ascii="Times New Roman" w:eastAsia="Times New Roman" w:hAnsi="Times New Roman" w:cs="Times New Roman"/>
          <w:bCs/>
          <w:sz w:val="10"/>
          <w:szCs w:val="10"/>
        </w:rPr>
      </w:pPr>
    </w:p>
    <w:p w14:paraId="469F27AF" w14:textId="2E386974"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Several institutional series across Asia and other regions have emphasized FNAC’s potential as part of the diagnostic pathway in ovarian malignancy. Sood et al. reported diagnostic accuracy exceeding 90% in an Indian institutional cohort, while Sengupta et al. highlighted its role in differentiating malignant from benign ovarian lesions with good correlation to histopathology </w:t>
      </w:r>
      <w:r>
        <w:rPr>
          <w:rFonts w:ascii="Times New Roman" w:eastAsia="Times New Roman" w:hAnsi="Times New Roman" w:cs="Times New Roman"/>
          <w:bCs/>
        </w:rPr>
        <w:t>[7,</w:t>
      </w:r>
      <w:r w:rsidRPr="00191EFF">
        <w:rPr>
          <w:rFonts w:ascii="Times New Roman" w:eastAsia="Times New Roman" w:hAnsi="Times New Roman" w:cs="Times New Roman"/>
          <w:bCs/>
        </w:rPr>
        <w:t>8</w:t>
      </w:r>
      <w:r>
        <w:rPr>
          <w:rFonts w:ascii="Times New Roman" w:eastAsia="Times New Roman" w:hAnsi="Times New Roman" w:cs="Times New Roman"/>
          <w:bCs/>
        </w:rPr>
        <w:t>]</w:t>
      </w:r>
      <w:r w:rsidRPr="00191EFF">
        <w:rPr>
          <w:rFonts w:ascii="Times New Roman" w:eastAsia="Times New Roman" w:hAnsi="Times New Roman" w:cs="Times New Roman"/>
          <w:bCs/>
        </w:rPr>
        <w:t xml:space="preserve">. In low- and middle-income countries such as Bangladesh, FNAC becomes even more relevant given its accessibility, low cost, and ability to provide rapid diagnostic support </w:t>
      </w:r>
      <w:r>
        <w:rPr>
          <w:rFonts w:ascii="Times New Roman" w:eastAsia="Times New Roman" w:hAnsi="Times New Roman" w:cs="Times New Roman"/>
          <w:bCs/>
        </w:rPr>
        <w:t>[</w:t>
      </w:r>
      <w:r w:rsidRPr="00191EFF">
        <w:rPr>
          <w:rFonts w:ascii="Times New Roman" w:eastAsia="Times New Roman" w:hAnsi="Times New Roman" w:cs="Times New Roman"/>
          <w:bCs/>
        </w:rPr>
        <w:t>9</w:t>
      </w:r>
      <w:r>
        <w:rPr>
          <w:rFonts w:ascii="Times New Roman" w:eastAsia="Times New Roman" w:hAnsi="Times New Roman" w:cs="Times New Roman"/>
          <w:bCs/>
        </w:rPr>
        <w:t>]</w:t>
      </w:r>
      <w:r w:rsidRPr="00191EFF">
        <w:rPr>
          <w:rFonts w:ascii="Times New Roman" w:eastAsia="Times New Roman" w:hAnsi="Times New Roman" w:cs="Times New Roman"/>
          <w:bCs/>
        </w:rPr>
        <w:t>.</w:t>
      </w:r>
    </w:p>
    <w:p w14:paraId="15C5C3F5" w14:textId="77777777" w:rsidR="001901B7" w:rsidRPr="001901B7" w:rsidRDefault="001901B7" w:rsidP="00191EFF">
      <w:pPr>
        <w:spacing w:after="0"/>
        <w:jc w:val="both"/>
        <w:rPr>
          <w:rFonts w:ascii="Times New Roman" w:eastAsia="Times New Roman" w:hAnsi="Times New Roman" w:cs="Times New Roman"/>
          <w:bCs/>
          <w:sz w:val="10"/>
          <w:szCs w:val="10"/>
        </w:rPr>
      </w:pPr>
    </w:p>
    <w:p w14:paraId="4EC797C0" w14:textId="06647F9C" w:rsidR="008966AC" w:rsidRDefault="00722FD2" w:rsidP="00191EFF">
      <w:pPr>
        <w:spacing w:after="0"/>
        <w:jc w:val="both"/>
        <w:rPr>
          <w:rFonts w:ascii="Times New Roman" w:eastAsia="Times New Roman" w:hAnsi="Times New Roman" w:cs="Times New Roman"/>
          <w:bCs/>
        </w:rPr>
      </w:pPr>
      <w:r w:rsidRPr="00722FD2">
        <w:rPr>
          <w:rFonts w:ascii="Times New Roman" w:eastAsia="Times New Roman" w:hAnsi="Times New Roman" w:cs="Times New Roman"/>
          <w:bCs/>
        </w:rPr>
        <w:t>This study presents the institutional experience of Bangabandhu Sheikh Mujib Medical University (BSMMU), Dhaka, in correlating FNAC results with histopathology in ovarian malignancies.</w:t>
      </w:r>
    </w:p>
    <w:p w14:paraId="484F4FCE" w14:textId="77777777" w:rsidR="00722FD2" w:rsidRPr="000B30A9" w:rsidRDefault="00722FD2" w:rsidP="00191EFF">
      <w:pPr>
        <w:spacing w:after="0"/>
        <w:jc w:val="both"/>
        <w:rPr>
          <w:rFonts w:ascii="Times New Roman" w:eastAsia="Times New Roman" w:hAnsi="Times New Roman" w:cs="Times New Roman"/>
          <w:bCs/>
        </w:rPr>
      </w:pPr>
    </w:p>
    <w:p w14:paraId="522A68C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 &amp; Materials</w:t>
      </w:r>
    </w:p>
    <w:p w14:paraId="383A28FF" w14:textId="22196E45" w:rsidR="005125A6" w:rsidRDefault="005125A6" w:rsidP="005125A6">
      <w:pPr>
        <w:spacing w:after="0"/>
        <w:jc w:val="both"/>
        <w:rPr>
          <w:rFonts w:ascii="Times New Roman" w:eastAsia="Times New Roman" w:hAnsi="Times New Roman" w:cs="Times New Roman"/>
        </w:rPr>
      </w:pPr>
      <w:r w:rsidRPr="005125A6">
        <w:rPr>
          <w:rFonts w:ascii="Times New Roman" w:eastAsia="Times New Roman" w:hAnsi="Times New Roman" w:cs="Times New Roman"/>
        </w:rPr>
        <w:t>This cross-sectional analytical study was conducted in the Department of Gynecological Oncology and the Department of Pathology, Bangabandhu Sheikh Mujib Medical University (BSMMU), Dhaka, Bangladesh, from March 2015 to February 2016. A total of 60 patients with clinically or radiologically suspected ovarian malignancy were included</w:t>
      </w:r>
      <w:r w:rsidR="00F66048">
        <w:rPr>
          <w:rFonts w:ascii="Times New Roman" w:eastAsia="Times New Roman" w:hAnsi="Times New Roman" w:cs="Times New Roman"/>
        </w:rPr>
        <w:t xml:space="preserve"> in this study</w:t>
      </w:r>
      <w:r w:rsidRPr="005125A6">
        <w:rPr>
          <w:rFonts w:ascii="Times New Roman" w:eastAsia="Times New Roman" w:hAnsi="Times New Roman" w:cs="Times New Roman"/>
        </w:rPr>
        <w:t>.</w:t>
      </w:r>
    </w:p>
    <w:p w14:paraId="6AA72A1F" w14:textId="77777777" w:rsidR="00E7593D" w:rsidRPr="005125A6" w:rsidRDefault="00E7593D" w:rsidP="005125A6">
      <w:pPr>
        <w:spacing w:after="0"/>
        <w:jc w:val="both"/>
        <w:rPr>
          <w:rFonts w:ascii="Times New Roman" w:eastAsia="Times New Roman" w:hAnsi="Times New Roman" w:cs="Times New Roman"/>
        </w:rPr>
      </w:pPr>
    </w:p>
    <w:p w14:paraId="2A439ACD" w14:textId="77777777" w:rsidR="005125A6" w:rsidRPr="00191EFF" w:rsidRDefault="005125A6" w:rsidP="005125A6">
      <w:pPr>
        <w:spacing w:after="0"/>
        <w:jc w:val="both"/>
        <w:rPr>
          <w:rFonts w:ascii="Times New Roman" w:eastAsia="Times New Roman" w:hAnsi="Times New Roman" w:cs="Times New Roman"/>
          <w:b/>
          <w:bCs/>
        </w:rPr>
      </w:pPr>
      <w:r w:rsidRPr="00191EFF">
        <w:rPr>
          <w:rFonts w:ascii="Times New Roman" w:eastAsia="Times New Roman" w:hAnsi="Times New Roman" w:cs="Times New Roman"/>
          <w:b/>
          <w:bCs/>
        </w:rPr>
        <w:t>Inclusion criteria</w:t>
      </w:r>
    </w:p>
    <w:p w14:paraId="7E966DFB"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Female patients with clinical or imaging suspicion of ovarian malignancy.</w:t>
      </w:r>
    </w:p>
    <w:p w14:paraId="6C062945"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Patients presenting with advanced-stage disease, including abdominal lump, ascites, or metastatic deposits.</w:t>
      </w:r>
    </w:p>
    <w:p w14:paraId="436A3C45"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Cases in which FNAC was performed followed by histopathological confirmation.</w:t>
      </w:r>
    </w:p>
    <w:p w14:paraId="5D96F4D0" w14:textId="77777777" w:rsidR="005125A6" w:rsidRPr="00191EFF" w:rsidRDefault="005125A6" w:rsidP="005125A6">
      <w:pPr>
        <w:spacing w:after="0"/>
        <w:jc w:val="both"/>
        <w:rPr>
          <w:rFonts w:ascii="Times New Roman" w:eastAsia="Times New Roman" w:hAnsi="Times New Roman" w:cs="Times New Roman"/>
          <w:b/>
          <w:bCs/>
        </w:rPr>
      </w:pPr>
      <w:r w:rsidRPr="00191EFF">
        <w:rPr>
          <w:rFonts w:ascii="Times New Roman" w:eastAsia="Times New Roman" w:hAnsi="Times New Roman" w:cs="Times New Roman"/>
          <w:b/>
          <w:bCs/>
        </w:rPr>
        <w:t>Exclusion criteria</w:t>
      </w:r>
    </w:p>
    <w:p w14:paraId="033AAFED"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Patients with benign gynecological conditions mimicking malignancy.</w:t>
      </w:r>
    </w:p>
    <w:p w14:paraId="7D7BBAD6"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Cases with incomplete diagnostic data.</w:t>
      </w:r>
    </w:p>
    <w:p w14:paraId="0EBB963D"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FNAC smears reported as inadequate or inconclusive.</w:t>
      </w:r>
    </w:p>
    <w:p w14:paraId="09D4EE19" w14:textId="77777777" w:rsidR="00E7593D" w:rsidRDefault="00E7593D" w:rsidP="005125A6">
      <w:pPr>
        <w:spacing w:after="0"/>
        <w:jc w:val="both"/>
        <w:rPr>
          <w:rFonts w:ascii="Times New Roman" w:eastAsia="Times New Roman" w:hAnsi="Times New Roman" w:cs="Times New Roman"/>
          <w:b/>
          <w:bCs/>
        </w:rPr>
      </w:pPr>
    </w:p>
    <w:p w14:paraId="11E56C15" w14:textId="2A07D722" w:rsidR="00EB14B0" w:rsidRDefault="005125A6" w:rsidP="005125A6">
      <w:pPr>
        <w:spacing w:after="0"/>
        <w:jc w:val="both"/>
        <w:rPr>
          <w:rFonts w:ascii="Times New Roman" w:eastAsia="Times New Roman" w:hAnsi="Times New Roman" w:cs="Times New Roman"/>
        </w:rPr>
      </w:pPr>
      <w:r w:rsidRPr="00191EFF">
        <w:rPr>
          <w:rFonts w:ascii="Times New Roman" w:eastAsia="Times New Roman" w:hAnsi="Times New Roman" w:cs="Times New Roman"/>
          <w:b/>
          <w:bCs/>
        </w:rPr>
        <w:t>Data Collection</w:t>
      </w:r>
      <w:r w:rsidR="00EB14B0">
        <w:rPr>
          <w:rFonts w:ascii="Times New Roman" w:eastAsia="Times New Roman" w:hAnsi="Times New Roman" w:cs="Times New Roman"/>
          <w:b/>
          <w:bCs/>
        </w:rPr>
        <w:t xml:space="preserve"> and Study</w:t>
      </w:r>
      <w:r w:rsidRPr="00191EFF">
        <w:rPr>
          <w:rFonts w:ascii="Times New Roman" w:eastAsia="Times New Roman" w:hAnsi="Times New Roman" w:cs="Times New Roman"/>
          <w:b/>
          <w:bCs/>
        </w:rPr>
        <w:t xml:space="preserve"> Procedure:</w:t>
      </w:r>
      <w:r w:rsidRPr="005125A6">
        <w:rPr>
          <w:rFonts w:ascii="Times New Roman" w:eastAsia="Times New Roman" w:hAnsi="Times New Roman" w:cs="Times New Roman"/>
        </w:rPr>
        <w:t xml:space="preserve"> </w:t>
      </w:r>
    </w:p>
    <w:p w14:paraId="4D7F5B54" w14:textId="3CCF634D" w:rsidR="005125A6" w:rsidRDefault="00EB14B0" w:rsidP="005125A6">
      <w:pPr>
        <w:spacing w:after="0"/>
        <w:jc w:val="both"/>
        <w:rPr>
          <w:rFonts w:ascii="Times New Roman" w:eastAsia="Times New Roman" w:hAnsi="Times New Roman" w:cs="Times New Roman"/>
        </w:rPr>
      </w:pPr>
      <w:r w:rsidRPr="00EB14B0">
        <w:rPr>
          <w:rFonts w:ascii="Times New Roman" w:eastAsia="Times New Roman" w:hAnsi="Times New Roman" w:cs="Times New Roman"/>
        </w:rPr>
        <w:t>Detailed clinical history and examination were conducted for all patients. FNAC was performed under ultrasonography or CT guidance using a 22-gauge needle. The aspirated material was smeared, fixed, and stained with hematoxylin and eosin and Papanicolaou staining. Cytological findings were compared with histopathological findings from biopsy or surgical specimens. Data were analyzed using SPSS version 22.0. Frequencies and percentages were used for the categorical variables. Institutional ethical approval was obtained, and written informed consent was obtained from all participants. Confidentiality was maintained throughout the study.</w:t>
      </w:r>
    </w:p>
    <w:p w14:paraId="7B2146F4" w14:textId="46ABF181" w:rsidR="008664FE" w:rsidRDefault="008664FE" w:rsidP="005125A6">
      <w:pPr>
        <w:spacing w:after="0"/>
        <w:jc w:val="both"/>
        <w:rPr>
          <w:rFonts w:ascii="Times New Roman" w:eastAsia="Times New Roman" w:hAnsi="Times New Roman" w:cs="Times New Roman"/>
        </w:rPr>
      </w:pPr>
    </w:p>
    <w:p w14:paraId="4D5CCD3C" w14:textId="7C3A5BCC" w:rsidR="008664FE" w:rsidRDefault="008664FE" w:rsidP="005125A6">
      <w:pPr>
        <w:spacing w:after="0"/>
        <w:jc w:val="both"/>
        <w:rPr>
          <w:rFonts w:ascii="Times New Roman" w:eastAsia="Times New Roman" w:hAnsi="Times New Roman" w:cs="Times New Roman"/>
        </w:rPr>
      </w:pPr>
    </w:p>
    <w:p w14:paraId="65E09B9D" w14:textId="74BED5A3" w:rsidR="008664FE" w:rsidRDefault="008664FE" w:rsidP="005125A6">
      <w:pPr>
        <w:spacing w:after="0"/>
        <w:jc w:val="both"/>
        <w:rPr>
          <w:rFonts w:ascii="Times New Roman" w:eastAsia="Times New Roman" w:hAnsi="Times New Roman" w:cs="Times New Roman"/>
        </w:rPr>
      </w:pPr>
    </w:p>
    <w:p w14:paraId="5816B4DE" w14:textId="7A257CCA" w:rsidR="008664FE" w:rsidRDefault="008664FE" w:rsidP="005125A6">
      <w:pPr>
        <w:spacing w:after="0"/>
        <w:jc w:val="both"/>
        <w:rPr>
          <w:rFonts w:ascii="Times New Roman" w:eastAsia="Times New Roman" w:hAnsi="Times New Roman" w:cs="Times New Roman"/>
        </w:rPr>
      </w:pPr>
    </w:p>
    <w:p w14:paraId="0B3150EA" w14:textId="7DF9DA79" w:rsidR="008664FE" w:rsidRDefault="008664FE" w:rsidP="005125A6">
      <w:pPr>
        <w:spacing w:after="0"/>
        <w:jc w:val="both"/>
        <w:rPr>
          <w:rFonts w:ascii="Times New Roman" w:eastAsia="Times New Roman" w:hAnsi="Times New Roman" w:cs="Times New Roman"/>
        </w:rPr>
      </w:pPr>
    </w:p>
    <w:p w14:paraId="753F605F" w14:textId="1B6105A4" w:rsidR="008664FE" w:rsidRDefault="008664FE" w:rsidP="005125A6">
      <w:pPr>
        <w:spacing w:after="0"/>
        <w:jc w:val="both"/>
        <w:rPr>
          <w:rFonts w:ascii="Times New Roman" w:eastAsia="Times New Roman" w:hAnsi="Times New Roman" w:cs="Times New Roman"/>
        </w:rPr>
      </w:pPr>
    </w:p>
    <w:p w14:paraId="7422120F" w14:textId="77777777" w:rsidR="008664FE" w:rsidRDefault="008664FE" w:rsidP="005125A6">
      <w:pPr>
        <w:spacing w:after="0"/>
        <w:jc w:val="both"/>
        <w:rPr>
          <w:rFonts w:ascii="Times New Roman" w:eastAsia="Times New Roman" w:hAnsi="Times New Roman" w:cs="Times New Roman"/>
        </w:rPr>
      </w:pPr>
      <w:bookmarkStart w:id="0" w:name="_GoBack"/>
      <w:bookmarkEnd w:id="0"/>
    </w:p>
    <w:p w14:paraId="0BE2DA0D" w14:textId="77777777" w:rsidR="00E7593D" w:rsidRDefault="00E7593D" w:rsidP="00E7593D">
      <w:pPr>
        <w:spacing w:after="0"/>
        <w:rPr>
          <w:rFonts w:ascii="Times New Roman" w:eastAsia="Times New Roman" w:hAnsi="Times New Roman" w:cs="Times New Roman"/>
          <w:b/>
          <w:sz w:val="24"/>
          <w:szCs w:val="24"/>
        </w:rPr>
      </w:pPr>
    </w:p>
    <w:p w14:paraId="750E6A77" w14:textId="77777777" w:rsidR="008E1665" w:rsidRDefault="008E1665" w:rsidP="00E7593D">
      <w:pPr>
        <w:spacing w:after="0"/>
        <w:rPr>
          <w:rFonts w:ascii="Times New Roman" w:eastAsia="Times New Roman" w:hAnsi="Times New Roman" w:cs="Times New Roman"/>
          <w:b/>
          <w:sz w:val="24"/>
          <w:szCs w:val="24"/>
        </w:rPr>
      </w:pPr>
    </w:p>
    <w:p w14:paraId="2F784DE1" w14:textId="1F4096B8" w:rsidR="00800D06" w:rsidRPr="005125A6" w:rsidRDefault="009A115C" w:rsidP="005125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r w:rsidR="006A0888">
        <w:rPr>
          <w:rFonts w:ascii="Times New Roman" w:eastAsia="Times New Roman" w:hAnsi="Times New Roman" w:cs="Times New Roman"/>
          <w:b/>
          <w:sz w:val="24"/>
          <w:szCs w:val="24"/>
        </w:rPr>
        <w:t>s</w:t>
      </w:r>
    </w:p>
    <w:p w14:paraId="5CE3E68C" w14:textId="28CEB6B3" w:rsidR="008E1665" w:rsidRPr="008E1665" w:rsidRDefault="005125A6" w:rsidP="008E1665">
      <w:pPr>
        <w:spacing w:after="0"/>
        <w:jc w:val="center"/>
        <w:rPr>
          <w:rFonts w:ascii="Times New Roman" w:eastAsia="Times New Roman" w:hAnsi="Times New Roman" w:cs="Times New Roman"/>
          <w:b/>
        </w:rPr>
      </w:pPr>
      <w:r w:rsidRPr="001B2388">
        <w:rPr>
          <w:rFonts w:ascii="Times New Roman" w:eastAsia="Times New Roman" w:hAnsi="Times New Roman" w:cs="Times New Roman"/>
          <w:b/>
        </w:rPr>
        <w:t>Table 1. Age and menopausal status of the study population (n=60)</w:t>
      </w:r>
    </w:p>
    <w:tbl>
      <w:tblPr>
        <w:tblW w:w="5541" w:type="dxa"/>
        <w:jc w:val="center"/>
        <w:tblLook w:val="04A0" w:firstRow="1" w:lastRow="0" w:firstColumn="1" w:lastColumn="0" w:noHBand="0" w:noVBand="1"/>
      </w:tblPr>
      <w:tblGrid>
        <w:gridCol w:w="1440"/>
        <w:gridCol w:w="1646"/>
        <w:gridCol w:w="1088"/>
        <w:gridCol w:w="1367"/>
      </w:tblGrid>
      <w:tr w:rsidR="008E1665" w:rsidRPr="008E1665" w14:paraId="2331B878" w14:textId="77777777" w:rsidTr="008E1665">
        <w:trPr>
          <w:trHeight w:val="273"/>
          <w:jc w:val="center"/>
        </w:trPr>
        <w:tc>
          <w:tcPr>
            <w:tcW w:w="3086" w:type="dxa"/>
            <w:gridSpan w:val="2"/>
            <w:tcBorders>
              <w:top w:val="single" w:sz="4" w:space="0" w:color="auto"/>
              <w:left w:val="single" w:sz="4" w:space="0" w:color="auto"/>
              <w:bottom w:val="single" w:sz="4" w:space="0" w:color="auto"/>
              <w:right w:val="single" w:sz="4" w:space="0" w:color="auto"/>
            </w:tcBorders>
            <w:noWrap/>
            <w:vAlign w:val="center"/>
            <w:hideMark/>
          </w:tcPr>
          <w:p w14:paraId="56FC2469"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Variable</w:t>
            </w:r>
          </w:p>
        </w:tc>
        <w:tc>
          <w:tcPr>
            <w:tcW w:w="1088" w:type="dxa"/>
            <w:tcBorders>
              <w:top w:val="single" w:sz="4" w:space="0" w:color="auto"/>
              <w:left w:val="nil"/>
              <w:bottom w:val="single" w:sz="4" w:space="0" w:color="auto"/>
              <w:right w:val="single" w:sz="4" w:space="0" w:color="auto"/>
            </w:tcBorders>
            <w:noWrap/>
            <w:vAlign w:val="center"/>
            <w:hideMark/>
          </w:tcPr>
          <w:p w14:paraId="220DA81D"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Number</w:t>
            </w:r>
          </w:p>
        </w:tc>
        <w:tc>
          <w:tcPr>
            <w:tcW w:w="1367" w:type="dxa"/>
            <w:tcBorders>
              <w:top w:val="single" w:sz="4" w:space="0" w:color="auto"/>
              <w:left w:val="nil"/>
              <w:bottom w:val="single" w:sz="4" w:space="0" w:color="auto"/>
              <w:right w:val="single" w:sz="4" w:space="0" w:color="auto"/>
            </w:tcBorders>
            <w:noWrap/>
            <w:vAlign w:val="center"/>
            <w:hideMark/>
          </w:tcPr>
          <w:p w14:paraId="00F71D75"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Percentage</w:t>
            </w:r>
          </w:p>
        </w:tc>
      </w:tr>
      <w:tr w:rsidR="008E1665" w:rsidRPr="008E1665" w14:paraId="651AE22D" w14:textId="77777777" w:rsidTr="008E1665">
        <w:trPr>
          <w:trHeight w:val="273"/>
          <w:jc w:val="center"/>
        </w:trPr>
        <w:tc>
          <w:tcPr>
            <w:tcW w:w="1440" w:type="dxa"/>
            <w:vMerge w:val="restart"/>
            <w:tcBorders>
              <w:top w:val="nil"/>
              <w:left w:val="single" w:sz="4" w:space="0" w:color="auto"/>
              <w:bottom w:val="single" w:sz="4" w:space="0" w:color="auto"/>
              <w:right w:val="single" w:sz="4" w:space="0" w:color="auto"/>
            </w:tcBorders>
            <w:noWrap/>
            <w:vAlign w:val="center"/>
            <w:hideMark/>
          </w:tcPr>
          <w:p w14:paraId="457E9874"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Age group (years)</w:t>
            </w:r>
          </w:p>
        </w:tc>
        <w:tc>
          <w:tcPr>
            <w:tcW w:w="1646" w:type="dxa"/>
            <w:tcBorders>
              <w:top w:val="nil"/>
              <w:left w:val="nil"/>
              <w:bottom w:val="single" w:sz="4" w:space="0" w:color="auto"/>
              <w:right w:val="single" w:sz="4" w:space="0" w:color="auto"/>
            </w:tcBorders>
            <w:noWrap/>
            <w:vAlign w:val="center"/>
            <w:hideMark/>
          </w:tcPr>
          <w:p w14:paraId="24AB7CB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31–40</w:t>
            </w:r>
          </w:p>
        </w:tc>
        <w:tc>
          <w:tcPr>
            <w:tcW w:w="1088" w:type="dxa"/>
            <w:tcBorders>
              <w:top w:val="nil"/>
              <w:left w:val="nil"/>
              <w:bottom w:val="single" w:sz="4" w:space="0" w:color="auto"/>
              <w:right w:val="single" w:sz="4" w:space="0" w:color="auto"/>
            </w:tcBorders>
            <w:noWrap/>
            <w:vAlign w:val="center"/>
            <w:hideMark/>
          </w:tcPr>
          <w:p w14:paraId="61DC16C0"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12</w:t>
            </w:r>
          </w:p>
        </w:tc>
        <w:tc>
          <w:tcPr>
            <w:tcW w:w="1367" w:type="dxa"/>
            <w:tcBorders>
              <w:top w:val="nil"/>
              <w:left w:val="nil"/>
              <w:bottom w:val="single" w:sz="4" w:space="0" w:color="auto"/>
              <w:right w:val="single" w:sz="4" w:space="0" w:color="auto"/>
            </w:tcBorders>
            <w:noWrap/>
            <w:vAlign w:val="center"/>
            <w:hideMark/>
          </w:tcPr>
          <w:p w14:paraId="5361AC4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20</w:t>
            </w:r>
          </w:p>
        </w:tc>
      </w:tr>
      <w:tr w:rsidR="008E1665" w:rsidRPr="008E1665" w14:paraId="0FBC3A45"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5363D600"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3815AF4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41–50</w:t>
            </w:r>
          </w:p>
        </w:tc>
        <w:tc>
          <w:tcPr>
            <w:tcW w:w="1088" w:type="dxa"/>
            <w:tcBorders>
              <w:top w:val="nil"/>
              <w:left w:val="nil"/>
              <w:bottom w:val="single" w:sz="4" w:space="0" w:color="auto"/>
              <w:right w:val="single" w:sz="4" w:space="0" w:color="auto"/>
            </w:tcBorders>
            <w:noWrap/>
            <w:vAlign w:val="center"/>
            <w:hideMark/>
          </w:tcPr>
          <w:p w14:paraId="32F29C4D"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19</w:t>
            </w:r>
          </w:p>
        </w:tc>
        <w:tc>
          <w:tcPr>
            <w:tcW w:w="1367" w:type="dxa"/>
            <w:tcBorders>
              <w:top w:val="nil"/>
              <w:left w:val="nil"/>
              <w:bottom w:val="single" w:sz="4" w:space="0" w:color="auto"/>
              <w:right w:val="single" w:sz="4" w:space="0" w:color="auto"/>
            </w:tcBorders>
            <w:noWrap/>
            <w:vAlign w:val="center"/>
            <w:hideMark/>
          </w:tcPr>
          <w:p w14:paraId="2062F77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31.7</w:t>
            </w:r>
          </w:p>
        </w:tc>
      </w:tr>
      <w:tr w:rsidR="008E1665" w:rsidRPr="008E1665" w14:paraId="0816611B"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431418B9"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750538C3"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51–60</w:t>
            </w:r>
          </w:p>
        </w:tc>
        <w:tc>
          <w:tcPr>
            <w:tcW w:w="1088" w:type="dxa"/>
            <w:tcBorders>
              <w:top w:val="nil"/>
              <w:left w:val="nil"/>
              <w:bottom w:val="single" w:sz="4" w:space="0" w:color="auto"/>
              <w:right w:val="single" w:sz="4" w:space="0" w:color="auto"/>
            </w:tcBorders>
            <w:noWrap/>
            <w:vAlign w:val="center"/>
            <w:hideMark/>
          </w:tcPr>
          <w:p w14:paraId="645F7C9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22</w:t>
            </w:r>
          </w:p>
        </w:tc>
        <w:tc>
          <w:tcPr>
            <w:tcW w:w="1367" w:type="dxa"/>
            <w:tcBorders>
              <w:top w:val="nil"/>
              <w:left w:val="nil"/>
              <w:bottom w:val="single" w:sz="4" w:space="0" w:color="auto"/>
              <w:right w:val="single" w:sz="4" w:space="0" w:color="auto"/>
            </w:tcBorders>
            <w:noWrap/>
            <w:vAlign w:val="center"/>
            <w:hideMark/>
          </w:tcPr>
          <w:p w14:paraId="3E3B6820"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36.7</w:t>
            </w:r>
          </w:p>
        </w:tc>
      </w:tr>
      <w:tr w:rsidR="008E1665" w:rsidRPr="008E1665" w14:paraId="467B909C"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5D97F53D"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29A81A5A"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&gt;60</w:t>
            </w:r>
          </w:p>
        </w:tc>
        <w:tc>
          <w:tcPr>
            <w:tcW w:w="1088" w:type="dxa"/>
            <w:tcBorders>
              <w:top w:val="nil"/>
              <w:left w:val="nil"/>
              <w:bottom w:val="single" w:sz="4" w:space="0" w:color="auto"/>
              <w:right w:val="single" w:sz="4" w:space="0" w:color="auto"/>
            </w:tcBorders>
            <w:noWrap/>
            <w:vAlign w:val="center"/>
            <w:hideMark/>
          </w:tcPr>
          <w:p w14:paraId="3107A578"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7</w:t>
            </w:r>
          </w:p>
        </w:tc>
        <w:tc>
          <w:tcPr>
            <w:tcW w:w="1367" w:type="dxa"/>
            <w:tcBorders>
              <w:top w:val="nil"/>
              <w:left w:val="nil"/>
              <w:bottom w:val="single" w:sz="4" w:space="0" w:color="auto"/>
              <w:right w:val="single" w:sz="4" w:space="0" w:color="auto"/>
            </w:tcBorders>
            <w:noWrap/>
            <w:vAlign w:val="center"/>
            <w:hideMark/>
          </w:tcPr>
          <w:p w14:paraId="0D63BDF8"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11.6</w:t>
            </w:r>
          </w:p>
        </w:tc>
      </w:tr>
      <w:tr w:rsidR="008E1665" w:rsidRPr="008E1665" w14:paraId="3400E7A0" w14:textId="77777777" w:rsidTr="008E1665">
        <w:trPr>
          <w:trHeight w:val="273"/>
          <w:jc w:val="center"/>
        </w:trPr>
        <w:tc>
          <w:tcPr>
            <w:tcW w:w="3086" w:type="dxa"/>
            <w:gridSpan w:val="2"/>
            <w:tcBorders>
              <w:top w:val="single" w:sz="4" w:space="0" w:color="auto"/>
              <w:left w:val="single" w:sz="4" w:space="0" w:color="auto"/>
              <w:bottom w:val="single" w:sz="4" w:space="0" w:color="auto"/>
              <w:right w:val="single" w:sz="4" w:space="0" w:color="auto"/>
            </w:tcBorders>
            <w:noWrap/>
            <w:vAlign w:val="center"/>
            <w:hideMark/>
          </w:tcPr>
          <w:p w14:paraId="0D678F62"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Mean±SD</w:t>
            </w:r>
          </w:p>
        </w:tc>
        <w:tc>
          <w:tcPr>
            <w:tcW w:w="2455" w:type="dxa"/>
            <w:gridSpan w:val="2"/>
            <w:tcBorders>
              <w:top w:val="single" w:sz="4" w:space="0" w:color="auto"/>
              <w:left w:val="nil"/>
              <w:bottom w:val="single" w:sz="4" w:space="0" w:color="auto"/>
              <w:right w:val="single" w:sz="4" w:space="0" w:color="auto"/>
            </w:tcBorders>
            <w:noWrap/>
            <w:vAlign w:val="center"/>
            <w:hideMark/>
          </w:tcPr>
          <w:p w14:paraId="58F46CD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52.1±9.05</w:t>
            </w:r>
          </w:p>
        </w:tc>
      </w:tr>
      <w:tr w:rsidR="008E1665" w:rsidRPr="008E1665" w14:paraId="32A7DF28" w14:textId="77777777" w:rsidTr="008E1665">
        <w:trPr>
          <w:trHeight w:val="273"/>
          <w:jc w:val="center"/>
        </w:trPr>
        <w:tc>
          <w:tcPr>
            <w:tcW w:w="1440" w:type="dxa"/>
            <w:vMerge w:val="restart"/>
            <w:tcBorders>
              <w:top w:val="nil"/>
              <w:left w:val="single" w:sz="4" w:space="0" w:color="auto"/>
              <w:bottom w:val="single" w:sz="4" w:space="0" w:color="auto"/>
              <w:right w:val="single" w:sz="4" w:space="0" w:color="auto"/>
            </w:tcBorders>
            <w:noWrap/>
            <w:vAlign w:val="center"/>
            <w:hideMark/>
          </w:tcPr>
          <w:p w14:paraId="21C2A557"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Menopausal status</w:t>
            </w:r>
          </w:p>
        </w:tc>
        <w:tc>
          <w:tcPr>
            <w:tcW w:w="1646" w:type="dxa"/>
            <w:tcBorders>
              <w:top w:val="nil"/>
              <w:left w:val="nil"/>
              <w:bottom w:val="single" w:sz="4" w:space="0" w:color="auto"/>
              <w:right w:val="single" w:sz="4" w:space="0" w:color="auto"/>
            </w:tcBorders>
            <w:noWrap/>
            <w:vAlign w:val="center"/>
            <w:hideMark/>
          </w:tcPr>
          <w:p w14:paraId="434DC7A2"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Premenopausal</w:t>
            </w:r>
          </w:p>
        </w:tc>
        <w:tc>
          <w:tcPr>
            <w:tcW w:w="1088" w:type="dxa"/>
            <w:tcBorders>
              <w:top w:val="nil"/>
              <w:left w:val="nil"/>
              <w:bottom w:val="single" w:sz="4" w:space="0" w:color="auto"/>
              <w:right w:val="single" w:sz="4" w:space="0" w:color="auto"/>
            </w:tcBorders>
            <w:noWrap/>
            <w:vAlign w:val="center"/>
            <w:hideMark/>
          </w:tcPr>
          <w:p w14:paraId="19F06134"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26</w:t>
            </w:r>
          </w:p>
        </w:tc>
        <w:tc>
          <w:tcPr>
            <w:tcW w:w="1367" w:type="dxa"/>
            <w:tcBorders>
              <w:top w:val="nil"/>
              <w:left w:val="nil"/>
              <w:bottom w:val="single" w:sz="4" w:space="0" w:color="auto"/>
              <w:right w:val="single" w:sz="4" w:space="0" w:color="auto"/>
            </w:tcBorders>
            <w:noWrap/>
            <w:vAlign w:val="center"/>
            <w:hideMark/>
          </w:tcPr>
          <w:p w14:paraId="35CDC914"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43.3</w:t>
            </w:r>
          </w:p>
        </w:tc>
      </w:tr>
      <w:tr w:rsidR="008E1665" w:rsidRPr="008E1665" w14:paraId="3F187ABB"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6D28C1AB"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4F9AA98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Postmenopausal</w:t>
            </w:r>
          </w:p>
        </w:tc>
        <w:tc>
          <w:tcPr>
            <w:tcW w:w="1088" w:type="dxa"/>
            <w:tcBorders>
              <w:top w:val="nil"/>
              <w:left w:val="nil"/>
              <w:bottom w:val="single" w:sz="4" w:space="0" w:color="auto"/>
              <w:right w:val="single" w:sz="4" w:space="0" w:color="auto"/>
            </w:tcBorders>
            <w:noWrap/>
            <w:vAlign w:val="center"/>
            <w:hideMark/>
          </w:tcPr>
          <w:p w14:paraId="7B670D0A"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34</w:t>
            </w:r>
          </w:p>
        </w:tc>
        <w:tc>
          <w:tcPr>
            <w:tcW w:w="1367" w:type="dxa"/>
            <w:tcBorders>
              <w:top w:val="nil"/>
              <w:left w:val="nil"/>
              <w:bottom w:val="single" w:sz="4" w:space="0" w:color="auto"/>
              <w:right w:val="single" w:sz="4" w:space="0" w:color="auto"/>
            </w:tcBorders>
            <w:noWrap/>
            <w:vAlign w:val="center"/>
            <w:hideMark/>
          </w:tcPr>
          <w:p w14:paraId="3B6C26C7"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56.7</w:t>
            </w:r>
          </w:p>
        </w:tc>
      </w:tr>
    </w:tbl>
    <w:p w14:paraId="4A86C692" w14:textId="77777777" w:rsidR="008E1665" w:rsidRPr="008E1665" w:rsidRDefault="008E1665" w:rsidP="000B30A9">
      <w:pPr>
        <w:spacing w:after="0"/>
        <w:jc w:val="both"/>
        <w:rPr>
          <w:rFonts w:ascii="Times New Roman" w:eastAsia="Times New Roman" w:hAnsi="Times New Roman" w:cs="Times New Roman"/>
          <w:bCs/>
          <w:sz w:val="10"/>
          <w:szCs w:val="10"/>
        </w:rPr>
      </w:pPr>
    </w:p>
    <w:p w14:paraId="4C72F135" w14:textId="2E108338" w:rsidR="001B2388" w:rsidRDefault="001B2388" w:rsidP="000B30A9">
      <w:pPr>
        <w:spacing w:after="0"/>
        <w:jc w:val="both"/>
        <w:rPr>
          <w:rFonts w:ascii="Times New Roman" w:eastAsia="Times New Roman" w:hAnsi="Times New Roman" w:cs="Times New Roman"/>
          <w:bCs/>
        </w:rPr>
      </w:pPr>
      <w:r w:rsidRPr="001B2388">
        <w:rPr>
          <w:rFonts w:ascii="Times New Roman" w:eastAsia="Times New Roman" w:hAnsi="Times New Roman" w:cs="Times New Roman"/>
          <w:bCs/>
        </w:rPr>
        <w:t>Table 1 presents the age distribution and menopausal status of the study population. The mean age was 52.1 years, ranging from 31 to above 60 years. Most patients were between 51–60 years (36.7%), followed by 41–50 years (31.7%). More than half of the patients were postmenopausal (56.7%), while 43.3% were premenopausal.</w:t>
      </w:r>
    </w:p>
    <w:p w14:paraId="1094CC40" w14:textId="77777777" w:rsidR="005125A6" w:rsidRDefault="005125A6" w:rsidP="000B30A9">
      <w:pPr>
        <w:spacing w:after="0"/>
        <w:jc w:val="both"/>
        <w:rPr>
          <w:rFonts w:ascii="Times New Roman" w:eastAsia="Times New Roman" w:hAnsi="Times New Roman" w:cs="Times New Roman"/>
          <w:bCs/>
        </w:rPr>
      </w:pPr>
    </w:p>
    <w:p w14:paraId="53211117" w14:textId="0661E2CC"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2. Clinical presentations of the study population (n=60)</w:t>
      </w:r>
    </w:p>
    <w:tbl>
      <w:tblPr>
        <w:tblW w:w="5566" w:type="dxa"/>
        <w:jc w:val="center"/>
        <w:tblLook w:val="04A0" w:firstRow="1" w:lastRow="0" w:firstColumn="1" w:lastColumn="0" w:noHBand="0" w:noVBand="1"/>
      </w:tblPr>
      <w:tblGrid>
        <w:gridCol w:w="2823"/>
        <w:gridCol w:w="1216"/>
        <w:gridCol w:w="1527"/>
      </w:tblGrid>
      <w:tr w:rsidR="005125A6" w:rsidRPr="005125A6" w14:paraId="6F7B4043" w14:textId="77777777" w:rsidTr="00EE7C26">
        <w:trPr>
          <w:trHeight w:val="288"/>
          <w:jc w:val="center"/>
        </w:trPr>
        <w:tc>
          <w:tcPr>
            <w:tcW w:w="2823" w:type="dxa"/>
            <w:tcBorders>
              <w:top w:val="single" w:sz="4" w:space="0" w:color="auto"/>
              <w:left w:val="single" w:sz="4" w:space="0" w:color="auto"/>
              <w:bottom w:val="single" w:sz="4" w:space="0" w:color="auto"/>
              <w:right w:val="single" w:sz="4" w:space="0" w:color="auto"/>
            </w:tcBorders>
            <w:noWrap/>
            <w:vAlign w:val="center"/>
            <w:hideMark/>
          </w:tcPr>
          <w:p w14:paraId="0E911987"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Presentation</w:t>
            </w:r>
          </w:p>
        </w:tc>
        <w:tc>
          <w:tcPr>
            <w:tcW w:w="1216" w:type="dxa"/>
            <w:tcBorders>
              <w:top w:val="single" w:sz="4" w:space="0" w:color="auto"/>
              <w:left w:val="nil"/>
              <w:bottom w:val="single" w:sz="4" w:space="0" w:color="auto"/>
              <w:right w:val="single" w:sz="4" w:space="0" w:color="auto"/>
            </w:tcBorders>
            <w:noWrap/>
            <w:vAlign w:val="center"/>
            <w:hideMark/>
          </w:tcPr>
          <w:p w14:paraId="6F8D09CF"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527" w:type="dxa"/>
            <w:tcBorders>
              <w:top w:val="single" w:sz="4" w:space="0" w:color="auto"/>
              <w:left w:val="nil"/>
              <w:bottom w:val="single" w:sz="4" w:space="0" w:color="auto"/>
              <w:right w:val="single" w:sz="4" w:space="0" w:color="auto"/>
            </w:tcBorders>
            <w:noWrap/>
            <w:vAlign w:val="center"/>
            <w:hideMark/>
          </w:tcPr>
          <w:p w14:paraId="10BE4C21"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402AFFBA" w14:textId="77777777" w:rsidTr="00EE7C26">
        <w:trPr>
          <w:trHeight w:val="265"/>
          <w:jc w:val="center"/>
        </w:trPr>
        <w:tc>
          <w:tcPr>
            <w:tcW w:w="2823" w:type="dxa"/>
            <w:tcBorders>
              <w:top w:val="nil"/>
              <w:left w:val="single" w:sz="4" w:space="0" w:color="auto"/>
              <w:bottom w:val="single" w:sz="4" w:space="0" w:color="auto"/>
              <w:right w:val="single" w:sz="4" w:space="0" w:color="auto"/>
            </w:tcBorders>
            <w:noWrap/>
            <w:vAlign w:val="center"/>
            <w:hideMark/>
          </w:tcPr>
          <w:p w14:paraId="665D45F8"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Abdominal pain</w:t>
            </w:r>
          </w:p>
        </w:tc>
        <w:tc>
          <w:tcPr>
            <w:tcW w:w="1216" w:type="dxa"/>
            <w:tcBorders>
              <w:top w:val="nil"/>
              <w:left w:val="nil"/>
              <w:bottom w:val="single" w:sz="4" w:space="0" w:color="auto"/>
              <w:right w:val="single" w:sz="4" w:space="0" w:color="auto"/>
            </w:tcBorders>
            <w:noWrap/>
            <w:vAlign w:val="center"/>
            <w:hideMark/>
          </w:tcPr>
          <w:p w14:paraId="2352303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40</w:t>
            </w:r>
          </w:p>
        </w:tc>
        <w:tc>
          <w:tcPr>
            <w:tcW w:w="1527" w:type="dxa"/>
            <w:tcBorders>
              <w:top w:val="nil"/>
              <w:left w:val="nil"/>
              <w:bottom w:val="single" w:sz="4" w:space="0" w:color="auto"/>
              <w:right w:val="single" w:sz="4" w:space="0" w:color="auto"/>
            </w:tcBorders>
            <w:noWrap/>
            <w:vAlign w:val="center"/>
            <w:hideMark/>
          </w:tcPr>
          <w:p w14:paraId="2310376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66.7</w:t>
            </w:r>
          </w:p>
        </w:tc>
      </w:tr>
      <w:tr w:rsidR="005125A6" w:rsidRPr="005125A6" w14:paraId="25857BCF"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4CA1661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Abdominal distension</w:t>
            </w:r>
          </w:p>
        </w:tc>
        <w:tc>
          <w:tcPr>
            <w:tcW w:w="1216" w:type="dxa"/>
            <w:tcBorders>
              <w:top w:val="nil"/>
              <w:left w:val="nil"/>
              <w:bottom w:val="single" w:sz="4" w:space="0" w:color="auto"/>
              <w:right w:val="single" w:sz="4" w:space="0" w:color="auto"/>
            </w:tcBorders>
            <w:noWrap/>
            <w:vAlign w:val="center"/>
            <w:hideMark/>
          </w:tcPr>
          <w:p w14:paraId="66D5C922"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34</w:t>
            </w:r>
          </w:p>
        </w:tc>
        <w:tc>
          <w:tcPr>
            <w:tcW w:w="1527" w:type="dxa"/>
            <w:tcBorders>
              <w:top w:val="nil"/>
              <w:left w:val="nil"/>
              <w:bottom w:val="single" w:sz="4" w:space="0" w:color="auto"/>
              <w:right w:val="single" w:sz="4" w:space="0" w:color="auto"/>
            </w:tcBorders>
            <w:noWrap/>
            <w:vAlign w:val="center"/>
            <w:hideMark/>
          </w:tcPr>
          <w:p w14:paraId="3291FC3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56.7</w:t>
            </w:r>
          </w:p>
        </w:tc>
      </w:tr>
      <w:tr w:rsidR="005125A6" w:rsidRPr="005125A6" w14:paraId="47174C19"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0CEB860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Anorexia</w:t>
            </w:r>
          </w:p>
        </w:tc>
        <w:tc>
          <w:tcPr>
            <w:tcW w:w="1216" w:type="dxa"/>
            <w:tcBorders>
              <w:top w:val="nil"/>
              <w:left w:val="nil"/>
              <w:bottom w:val="single" w:sz="4" w:space="0" w:color="auto"/>
              <w:right w:val="single" w:sz="4" w:space="0" w:color="auto"/>
            </w:tcBorders>
            <w:noWrap/>
            <w:vAlign w:val="center"/>
            <w:hideMark/>
          </w:tcPr>
          <w:p w14:paraId="4281552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21</w:t>
            </w:r>
          </w:p>
        </w:tc>
        <w:tc>
          <w:tcPr>
            <w:tcW w:w="1527" w:type="dxa"/>
            <w:tcBorders>
              <w:top w:val="nil"/>
              <w:left w:val="nil"/>
              <w:bottom w:val="single" w:sz="4" w:space="0" w:color="auto"/>
              <w:right w:val="single" w:sz="4" w:space="0" w:color="auto"/>
            </w:tcBorders>
            <w:noWrap/>
            <w:vAlign w:val="center"/>
            <w:hideMark/>
          </w:tcPr>
          <w:p w14:paraId="76AC326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35</w:t>
            </w:r>
          </w:p>
        </w:tc>
      </w:tr>
      <w:tr w:rsidR="005125A6" w:rsidRPr="005125A6" w14:paraId="5CD6F3A8"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63CF467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Nausea</w:t>
            </w:r>
          </w:p>
        </w:tc>
        <w:tc>
          <w:tcPr>
            <w:tcW w:w="1216" w:type="dxa"/>
            <w:tcBorders>
              <w:top w:val="nil"/>
              <w:left w:val="nil"/>
              <w:bottom w:val="single" w:sz="4" w:space="0" w:color="auto"/>
              <w:right w:val="single" w:sz="4" w:space="0" w:color="auto"/>
            </w:tcBorders>
            <w:noWrap/>
            <w:vAlign w:val="center"/>
            <w:hideMark/>
          </w:tcPr>
          <w:p w14:paraId="21CEB52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24</w:t>
            </w:r>
          </w:p>
        </w:tc>
        <w:tc>
          <w:tcPr>
            <w:tcW w:w="1527" w:type="dxa"/>
            <w:tcBorders>
              <w:top w:val="nil"/>
              <w:left w:val="nil"/>
              <w:bottom w:val="single" w:sz="4" w:space="0" w:color="auto"/>
              <w:right w:val="single" w:sz="4" w:space="0" w:color="auto"/>
            </w:tcBorders>
            <w:noWrap/>
            <w:vAlign w:val="center"/>
            <w:hideMark/>
          </w:tcPr>
          <w:p w14:paraId="1208209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40</w:t>
            </w:r>
          </w:p>
        </w:tc>
      </w:tr>
      <w:tr w:rsidR="005125A6" w:rsidRPr="005125A6" w14:paraId="599868C5"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3D4E53B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Early satiety</w:t>
            </w:r>
          </w:p>
        </w:tc>
        <w:tc>
          <w:tcPr>
            <w:tcW w:w="1216" w:type="dxa"/>
            <w:tcBorders>
              <w:top w:val="nil"/>
              <w:left w:val="nil"/>
              <w:bottom w:val="single" w:sz="4" w:space="0" w:color="auto"/>
              <w:right w:val="single" w:sz="4" w:space="0" w:color="auto"/>
            </w:tcBorders>
            <w:noWrap/>
            <w:vAlign w:val="center"/>
            <w:hideMark/>
          </w:tcPr>
          <w:p w14:paraId="00EE6B9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32</w:t>
            </w:r>
          </w:p>
        </w:tc>
        <w:tc>
          <w:tcPr>
            <w:tcW w:w="1527" w:type="dxa"/>
            <w:tcBorders>
              <w:top w:val="nil"/>
              <w:left w:val="nil"/>
              <w:bottom w:val="single" w:sz="4" w:space="0" w:color="auto"/>
              <w:right w:val="single" w:sz="4" w:space="0" w:color="auto"/>
            </w:tcBorders>
            <w:noWrap/>
            <w:vAlign w:val="center"/>
            <w:hideMark/>
          </w:tcPr>
          <w:p w14:paraId="55A2976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53.3</w:t>
            </w:r>
          </w:p>
        </w:tc>
      </w:tr>
      <w:tr w:rsidR="005125A6" w:rsidRPr="005125A6" w14:paraId="094700BA"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46F8450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Palpable abdominal lump</w:t>
            </w:r>
          </w:p>
        </w:tc>
        <w:tc>
          <w:tcPr>
            <w:tcW w:w="1216" w:type="dxa"/>
            <w:tcBorders>
              <w:top w:val="nil"/>
              <w:left w:val="nil"/>
              <w:bottom w:val="single" w:sz="4" w:space="0" w:color="auto"/>
              <w:right w:val="single" w:sz="4" w:space="0" w:color="auto"/>
            </w:tcBorders>
            <w:noWrap/>
            <w:vAlign w:val="center"/>
            <w:hideMark/>
          </w:tcPr>
          <w:p w14:paraId="3D7BFF5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38</w:t>
            </w:r>
          </w:p>
        </w:tc>
        <w:tc>
          <w:tcPr>
            <w:tcW w:w="1527" w:type="dxa"/>
            <w:tcBorders>
              <w:top w:val="nil"/>
              <w:left w:val="nil"/>
              <w:bottom w:val="single" w:sz="4" w:space="0" w:color="auto"/>
              <w:right w:val="single" w:sz="4" w:space="0" w:color="auto"/>
            </w:tcBorders>
            <w:noWrap/>
            <w:vAlign w:val="center"/>
            <w:hideMark/>
          </w:tcPr>
          <w:p w14:paraId="5900A85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63.3</w:t>
            </w:r>
          </w:p>
        </w:tc>
      </w:tr>
    </w:tbl>
    <w:p w14:paraId="37B75141" w14:textId="77777777" w:rsidR="005125A6" w:rsidRDefault="005125A6" w:rsidP="000B30A9">
      <w:pPr>
        <w:spacing w:after="0"/>
        <w:jc w:val="both"/>
        <w:rPr>
          <w:rFonts w:ascii="Times New Roman" w:eastAsia="Times New Roman" w:hAnsi="Times New Roman" w:cs="Times New Roman"/>
          <w:bCs/>
        </w:rPr>
      </w:pPr>
    </w:p>
    <w:p w14:paraId="2EC93278" w14:textId="6297F5EB" w:rsidR="005125A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2 shows the clinical presentations at diagnosis. Abdominal pain was the most frequently reported symptom, affecting 66.7% of patients. A palpable abdominal lump was observed in 63.3%, abdominal distension in 56.7%, and early satiety in 53.3%. Nausea and anorexia were reported in 40.0% and 35.0% of patients, respectively.</w:t>
      </w:r>
    </w:p>
    <w:p w14:paraId="183F2BA2" w14:textId="77777777" w:rsidR="005125A6" w:rsidRDefault="005125A6" w:rsidP="000B30A9">
      <w:pPr>
        <w:spacing w:after="0"/>
        <w:jc w:val="both"/>
        <w:rPr>
          <w:rFonts w:ascii="Times New Roman" w:eastAsia="Times New Roman" w:hAnsi="Times New Roman" w:cs="Times New Roman"/>
          <w:bCs/>
        </w:rPr>
      </w:pPr>
    </w:p>
    <w:p w14:paraId="3A124E1D" w14:textId="2CADE275"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3. Morphological features of the ovarian lump (n=60)</w:t>
      </w:r>
    </w:p>
    <w:tbl>
      <w:tblPr>
        <w:tblW w:w="4180" w:type="dxa"/>
        <w:jc w:val="center"/>
        <w:tblLook w:val="04A0" w:firstRow="1" w:lastRow="0" w:firstColumn="1" w:lastColumn="0" w:noHBand="0" w:noVBand="1"/>
      </w:tblPr>
      <w:tblGrid>
        <w:gridCol w:w="1960"/>
        <w:gridCol w:w="999"/>
        <w:gridCol w:w="1260"/>
      </w:tblGrid>
      <w:tr w:rsidR="005125A6" w:rsidRPr="005125A6" w14:paraId="08A5DEA0" w14:textId="77777777" w:rsidTr="00EE7C26">
        <w:trPr>
          <w:trHeight w:val="312"/>
          <w:jc w:val="center"/>
        </w:trPr>
        <w:tc>
          <w:tcPr>
            <w:tcW w:w="1960" w:type="dxa"/>
            <w:tcBorders>
              <w:top w:val="single" w:sz="4" w:space="0" w:color="auto"/>
              <w:left w:val="single" w:sz="4" w:space="0" w:color="auto"/>
              <w:bottom w:val="single" w:sz="4" w:space="0" w:color="auto"/>
              <w:right w:val="single" w:sz="4" w:space="0" w:color="auto"/>
            </w:tcBorders>
            <w:noWrap/>
            <w:vAlign w:val="center"/>
            <w:hideMark/>
          </w:tcPr>
          <w:p w14:paraId="6B63AC71"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Feature</w:t>
            </w:r>
          </w:p>
        </w:tc>
        <w:tc>
          <w:tcPr>
            <w:tcW w:w="960" w:type="dxa"/>
            <w:tcBorders>
              <w:top w:val="single" w:sz="4" w:space="0" w:color="auto"/>
              <w:left w:val="nil"/>
              <w:bottom w:val="single" w:sz="4" w:space="0" w:color="auto"/>
              <w:right w:val="single" w:sz="4" w:space="0" w:color="auto"/>
            </w:tcBorders>
            <w:noWrap/>
            <w:vAlign w:val="center"/>
            <w:hideMark/>
          </w:tcPr>
          <w:p w14:paraId="69DB694D"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260" w:type="dxa"/>
            <w:tcBorders>
              <w:top w:val="single" w:sz="4" w:space="0" w:color="auto"/>
              <w:left w:val="nil"/>
              <w:bottom w:val="single" w:sz="4" w:space="0" w:color="auto"/>
              <w:right w:val="single" w:sz="4" w:space="0" w:color="auto"/>
            </w:tcBorders>
            <w:noWrap/>
            <w:vAlign w:val="center"/>
            <w:hideMark/>
          </w:tcPr>
          <w:p w14:paraId="2163B1BA"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1675107D" w14:textId="77777777" w:rsidTr="00EE7C26">
        <w:trPr>
          <w:trHeight w:val="288"/>
          <w:jc w:val="center"/>
        </w:trPr>
        <w:tc>
          <w:tcPr>
            <w:tcW w:w="1960" w:type="dxa"/>
            <w:tcBorders>
              <w:top w:val="nil"/>
              <w:left w:val="single" w:sz="4" w:space="0" w:color="auto"/>
              <w:bottom w:val="single" w:sz="4" w:space="0" w:color="auto"/>
              <w:right w:val="single" w:sz="4" w:space="0" w:color="auto"/>
            </w:tcBorders>
            <w:noWrap/>
            <w:vAlign w:val="center"/>
            <w:hideMark/>
          </w:tcPr>
          <w:p w14:paraId="5E5A607D"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Lump present</w:t>
            </w:r>
          </w:p>
        </w:tc>
        <w:tc>
          <w:tcPr>
            <w:tcW w:w="960" w:type="dxa"/>
            <w:tcBorders>
              <w:top w:val="nil"/>
              <w:left w:val="nil"/>
              <w:bottom w:val="single" w:sz="4" w:space="0" w:color="auto"/>
              <w:right w:val="single" w:sz="4" w:space="0" w:color="auto"/>
            </w:tcBorders>
            <w:noWrap/>
            <w:vAlign w:val="center"/>
            <w:hideMark/>
          </w:tcPr>
          <w:p w14:paraId="4C34765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38</w:t>
            </w:r>
          </w:p>
        </w:tc>
        <w:tc>
          <w:tcPr>
            <w:tcW w:w="1260" w:type="dxa"/>
            <w:tcBorders>
              <w:top w:val="nil"/>
              <w:left w:val="nil"/>
              <w:bottom w:val="single" w:sz="4" w:space="0" w:color="auto"/>
              <w:right w:val="single" w:sz="4" w:space="0" w:color="auto"/>
            </w:tcBorders>
            <w:noWrap/>
            <w:vAlign w:val="center"/>
            <w:hideMark/>
          </w:tcPr>
          <w:p w14:paraId="13AE07F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63.3</w:t>
            </w:r>
          </w:p>
        </w:tc>
      </w:tr>
      <w:tr w:rsidR="005125A6" w:rsidRPr="005125A6" w14:paraId="5CADBDD0"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240638E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Size &lt;100 cm²</w:t>
            </w:r>
          </w:p>
        </w:tc>
        <w:tc>
          <w:tcPr>
            <w:tcW w:w="960" w:type="dxa"/>
            <w:tcBorders>
              <w:top w:val="nil"/>
              <w:left w:val="nil"/>
              <w:bottom w:val="single" w:sz="4" w:space="0" w:color="auto"/>
              <w:right w:val="single" w:sz="4" w:space="0" w:color="auto"/>
            </w:tcBorders>
            <w:noWrap/>
            <w:vAlign w:val="center"/>
            <w:hideMark/>
          </w:tcPr>
          <w:p w14:paraId="1DC1667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25</w:t>
            </w:r>
          </w:p>
        </w:tc>
        <w:tc>
          <w:tcPr>
            <w:tcW w:w="1260" w:type="dxa"/>
            <w:tcBorders>
              <w:top w:val="nil"/>
              <w:left w:val="nil"/>
              <w:bottom w:val="single" w:sz="4" w:space="0" w:color="auto"/>
              <w:right w:val="single" w:sz="4" w:space="0" w:color="auto"/>
            </w:tcBorders>
            <w:noWrap/>
            <w:vAlign w:val="center"/>
            <w:hideMark/>
          </w:tcPr>
          <w:p w14:paraId="1F856CDB"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65.8</w:t>
            </w:r>
          </w:p>
        </w:tc>
      </w:tr>
      <w:tr w:rsidR="005125A6" w:rsidRPr="005125A6" w14:paraId="1375592F"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1057AD8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Irregular margin</w:t>
            </w:r>
          </w:p>
        </w:tc>
        <w:tc>
          <w:tcPr>
            <w:tcW w:w="960" w:type="dxa"/>
            <w:tcBorders>
              <w:top w:val="nil"/>
              <w:left w:val="nil"/>
              <w:bottom w:val="single" w:sz="4" w:space="0" w:color="auto"/>
              <w:right w:val="single" w:sz="4" w:space="0" w:color="auto"/>
            </w:tcBorders>
            <w:noWrap/>
            <w:vAlign w:val="center"/>
            <w:hideMark/>
          </w:tcPr>
          <w:p w14:paraId="0EA7F8A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29</w:t>
            </w:r>
          </w:p>
        </w:tc>
        <w:tc>
          <w:tcPr>
            <w:tcW w:w="1260" w:type="dxa"/>
            <w:tcBorders>
              <w:top w:val="nil"/>
              <w:left w:val="nil"/>
              <w:bottom w:val="single" w:sz="4" w:space="0" w:color="auto"/>
              <w:right w:val="single" w:sz="4" w:space="0" w:color="auto"/>
            </w:tcBorders>
            <w:noWrap/>
            <w:vAlign w:val="center"/>
            <w:hideMark/>
          </w:tcPr>
          <w:p w14:paraId="5CFA900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76.3</w:t>
            </w:r>
          </w:p>
        </w:tc>
      </w:tr>
      <w:tr w:rsidR="005125A6" w:rsidRPr="005125A6" w14:paraId="6DB729C6"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17EB095D"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Nodular surface</w:t>
            </w:r>
          </w:p>
        </w:tc>
        <w:tc>
          <w:tcPr>
            <w:tcW w:w="960" w:type="dxa"/>
            <w:tcBorders>
              <w:top w:val="nil"/>
              <w:left w:val="nil"/>
              <w:bottom w:val="single" w:sz="4" w:space="0" w:color="auto"/>
              <w:right w:val="single" w:sz="4" w:space="0" w:color="auto"/>
            </w:tcBorders>
            <w:noWrap/>
            <w:vAlign w:val="center"/>
            <w:hideMark/>
          </w:tcPr>
          <w:p w14:paraId="2ED2EB7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27</w:t>
            </w:r>
          </w:p>
        </w:tc>
        <w:tc>
          <w:tcPr>
            <w:tcW w:w="1260" w:type="dxa"/>
            <w:tcBorders>
              <w:top w:val="nil"/>
              <w:left w:val="nil"/>
              <w:bottom w:val="single" w:sz="4" w:space="0" w:color="auto"/>
              <w:right w:val="single" w:sz="4" w:space="0" w:color="auto"/>
            </w:tcBorders>
            <w:noWrap/>
            <w:vAlign w:val="center"/>
            <w:hideMark/>
          </w:tcPr>
          <w:p w14:paraId="6CA0BE7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71.1</w:t>
            </w:r>
          </w:p>
        </w:tc>
      </w:tr>
      <w:tr w:rsidR="005125A6" w:rsidRPr="005125A6" w14:paraId="44B3D752"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26CA95A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Solid/partly solid</w:t>
            </w:r>
          </w:p>
        </w:tc>
        <w:tc>
          <w:tcPr>
            <w:tcW w:w="960" w:type="dxa"/>
            <w:tcBorders>
              <w:top w:val="nil"/>
              <w:left w:val="nil"/>
              <w:bottom w:val="single" w:sz="4" w:space="0" w:color="auto"/>
              <w:right w:val="single" w:sz="4" w:space="0" w:color="auto"/>
            </w:tcBorders>
            <w:noWrap/>
            <w:vAlign w:val="center"/>
            <w:hideMark/>
          </w:tcPr>
          <w:p w14:paraId="44DB0F5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33</w:t>
            </w:r>
          </w:p>
        </w:tc>
        <w:tc>
          <w:tcPr>
            <w:tcW w:w="1260" w:type="dxa"/>
            <w:tcBorders>
              <w:top w:val="nil"/>
              <w:left w:val="nil"/>
              <w:bottom w:val="single" w:sz="4" w:space="0" w:color="auto"/>
              <w:right w:val="single" w:sz="4" w:space="0" w:color="auto"/>
            </w:tcBorders>
            <w:noWrap/>
            <w:vAlign w:val="center"/>
            <w:hideMark/>
          </w:tcPr>
          <w:p w14:paraId="22E84BE2"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86.8</w:t>
            </w:r>
          </w:p>
        </w:tc>
      </w:tr>
      <w:tr w:rsidR="005125A6" w:rsidRPr="005125A6" w14:paraId="2118DABD"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425843C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Restricted mobility</w:t>
            </w:r>
          </w:p>
        </w:tc>
        <w:tc>
          <w:tcPr>
            <w:tcW w:w="960" w:type="dxa"/>
            <w:tcBorders>
              <w:top w:val="nil"/>
              <w:left w:val="nil"/>
              <w:bottom w:val="single" w:sz="4" w:space="0" w:color="auto"/>
              <w:right w:val="single" w:sz="4" w:space="0" w:color="auto"/>
            </w:tcBorders>
            <w:noWrap/>
            <w:vAlign w:val="center"/>
            <w:hideMark/>
          </w:tcPr>
          <w:p w14:paraId="4F2DCF3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24</w:t>
            </w:r>
          </w:p>
        </w:tc>
        <w:tc>
          <w:tcPr>
            <w:tcW w:w="1260" w:type="dxa"/>
            <w:tcBorders>
              <w:top w:val="nil"/>
              <w:left w:val="nil"/>
              <w:bottom w:val="single" w:sz="4" w:space="0" w:color="auto"/>
              <w:right w:val="single" w:sz="4" w:space="0" w:color="auto"/>
            </w:tcBorders>
            <w:noWrap/>
            <w:vAlign w:val="center"/>
            <w:hideMark/>
          </w:tcPr>
          <w:p w14:paraId="2B7420B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63.2</w:t>
            </w:r>
          </w:p>
        </w:tc>
      </w:tr>
    </w:tbl>
    <w:p w14:paraId="4B14E40C" w14:textId="77777777" w:rsidR="005125A6" w:rsidRPr="00E7593D" w:rsidRDefault="005125A6" w:rsidP="000B30A9">
      <w:pPr>
        <w:spacing w:after="0"/>
        <w:jc w:val="both"/>
        <w:rPr>
          <w:rFonts w:ascii="Times New Roman" w:eastAsia="Times New Roman" w:hAnsi="Times New Roman" w:cs="Times New Roman"/>
          <w:bCs/>
          <w:sz w:val="10"/>
          <w:szCs w:val="10"/>
        </w:rPr>
      </w:pPr>
    </w:p>
    <w:p w14:paraId="249814F1" w14:textId="1F03FC02" w:rsidR="005125A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 xml:space="preserve">Table 3 describes the morphological features of the ovarian lump detected on clinical and imaging evaluation. Of the 60 patients, 38 (63.3%) presented with an identifiable lump. Among these, two-thirds had lumps measuring less than 100 cm². Irregular margins (76.3%), nodular surfaces (71.1%), and solid or </w:t>
      </w:r>
      <w:r w:rsidRPr="00EE7C26">
        <w:rPr>
          <w:rFonts w:ascii="Times New Roman" w:eastAsia="Times New Roman" w:hAnsi="Times New Roman" w:cs="Times New Roman"/>
          <w:bCs/>
        </w:rPr>
        <w:lastRenderedPageBreak/>
        <w:t>partly solid consistency (86.8%) were common features. Restricted mobility was observed in 63.2% of the cases.</w:t>
      </w:r>
    </w:p>
    <w:p w14:paraId="2AF2558A" w14:textId="77777777" w:rsidR="008E1665" w:rsidRDefault="008E1665" w:rsidP="000B30A9">
      <w:pPr>
        <w:spacing w:after="0"/>
        <w:jc w:val="both"/>
        <w:rPr>
          <w:rFonts w:ascii="Times New Roman" w:eastAsia="Times New Roman" w:hAnsi="Times New Roman" w:cs="Times New Roman"/>
          <w:bCs/>
        </w:rPr>
      </w:pPr>
    </w:p>
    <w:p w14:paraId="29A7F775" w14:textId="5A84079A"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4. FNAC findings of the study population (n=60)</w:t>
      </w:r>
    </w:p>
    <w:tbl>
      <w:tblPr>
        <w:tblW w:w="6734" w:type="dxa"/>
        <w:jc w:val="center"/>
        <w:tblLook w:val="04A0" w:firstRow="1" w:lastRow="0" w:firstColumn="1" w:lastColumn="0" w:noHBand="0" w:noVBand="1"/>
      </w:tblPr>
      <w:tblGrid>
        <w:gridCol w:w="4069"/>
        <w:gridCol w:w="1181"/>
        <w:gridCol w:w="1484"/>
      </w:tblGrid>
      <w:tr w:rsidR="005125A6" w:rsidRPr="005125A6" w14:paraId="7DFEB5FD" w14:textId="77777777" w:rsidTr="00E7593D">
        <w:trPr>
          <w:trHeight w:val="294"/>
          <w:jc w:val="center"/>
        </w:trPr>
        <w:tc>
          <w:tcPr>
            <w:tcW w:w="4069" w:type="dxa"/>
            <w:tcBorders>
              <w:top w:val="single" w:sz="4" w:space="0" w:color="auto"/>
              <w:left w:val="single" w:sz="4" w:space="0" w:color="auto"/>
              <w:bottom w:val="single" w:sz="4" w:space="0" w:color="auto"/>
              <w:right w:val="single" w:sz="4" w:space="0" w:color="auto"/>
            </w:tcBorders>
            <w:noWrap/>
            <w:vAlign w:val="center"/>
            <w:hideMark/>
          </w:tcPr>
          <w:p w14:paraId="01EB46C6"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FNAC findings</w:t>
            </w:r>
          </w:p>
        </w:tc>
        <w:tc>
          <w:tcPr>
            <w:tcW w:w="1181" w:type="dxa"/>
            <w:tcBorders>
              <w:top w:val="single" w:sz="4" w:space="0" w:color="auto"/>
              <w:left w:val="nil"/>
              <w:bottom w:val="single" w:sz="4" w:space="0" w:color="auto"/>
              <w:right w:val="single" w:sz="4" w:space="0" w:color="auto"/>
            </w:tcBorders>
            <w:noWrap/>
            <w:vAlign w:val="center"/>
            <w:hideMark/>
          </w:tcPr>
          <w:p w14:paraId="3A06D75F"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484" w:type="dxa"/>
            <w:tcBorders>
              <w:top w:val="single" w:sz="4" w:space="0" w:color="auto"/>
              <w:left w:val="nil"/>
              <w:bottom w:val="single" w:sz="4" w:space="0" w:color="auto"/>
              <w:right w:val="single" w:sz="4" w:space="0" w:color="auto"/>
            </w:tcBorders>
            <w:noWrap/>
            <w:vAlign w:val="center"/>
            <w:hideMark/>
          </w:tcPr>
          <w:p w14:paraId="33812F42"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5913B23A" w14:textId="77777777" w:rsidTr="00E7593D">
        <w:trPr>
          <w:trHeight w:val="271"/>
          <w:jc w:val="center"/>
        </w:trPr>
        <w:tc>
          <w:tcPr>
            <w:tcW w:w="4069" w:type="dxa"/>
            <w:tcBorders>
              <w:top w:val="nil"/>
              <w:left w:val="single" w:sz="4" w:space="0" w:color="auto"/>
              <w:bottom w:val="single" w:sz="4" w:space="0" w:color="auto"/>
              <w:right w:val="single" w:sz="4" w:space="0" w:color="auto"/>
            </w:tcBorders>
            <w:noWrap/>
            <w:vAlign w:val="center"/>
            <w:hideMark/>
          </w:tcPr>
          <w:p w14:paraId="2F98A1E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Adenocarcinoma</w:t>
            </w:r>
          </w:p>
        </w:tc>
        <w:tc>
          <w:tcPr>
            <w:tcW w:w="1181" w:type="dxa"/>
            <w:tcBorders>
              <w:top w:val="nil"/>
              <w:left w:val="nil"/>
              <w:bottom w:val="single" w:sz="4" w:space="0" w:color="auto"/>
              <w:right w:val="single" w:sz="4" w:space="0" w:color="auto"/>
            </w:tcBorders>
            <w:noWrap/>
            <w:vAlign w:val="center"/>
            <w:hideMark/>
          </w:tcPr>
          <w:p w14:paraId="0D87B91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32</w:t>
            </w:r>
          </w:p>
        </w:tc>
        <w:tc>
          <w:tcPr>
            <w:tcW w:w="1484" w:type="dxa"/>
            <w:tcBorders>
              <w:top w:val="nil"/>
              <w:left w:val="nil"/>
              <w:bottom w:val="single" w:sz="4" w:space="0" w:color="auto"/>
              <w:right w:val="single" w:sz="4" w:space="0" w:color="auto"/>
            </w:tcBorders>
            <w:noWrap/>
            <w:vAlign w:val="center"/>
            <w:hideMark/>
          </w:tcPr>
          <w:p w14:paraId="2AD56F18"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53.3</w:t>
            </w:r>
          </w:p>
        </w:tc>
      </w:tr>
      <w:tr w:rsidR="005125A6" w:rsidRPr="005125A6" w14:paraId="013C1466"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63A931F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Malignant cells present (NOS)</w:t>
            </w:r>
          </w:p>
        </w:tc>
        <w:tc>
          <w:tcPr>
            <w:tcW w:w="1181" w:type="dxa"/>
            <w:tcBorders>
              <w:top w:val="nil"/>
              <w:left w:val="nil"/>
              <w:bottom w:val="single" w:sz="4" w:space="0" w:color="auto"/>
              <w:right w:val="single" w:sz="4" w:space="0" w:color="auto"/>
            </w:tcBorders>
            <w:noWrap/>
            <w:vAlign w:val="center"/>
            <w:hideMark/>
          </w:tcPr>
          <w:p w14:paraId="6CEF855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9</w:t>
            </w:r>
          </w:p>
        </w:tc>
        <w:tc>
          <w:tcPr>
            <w:tcW w:w="1484" w:type="dxa"/>
            <w:tcBorders>
              <w:top w:val="nil"/>
              <w:left w:val="nil"/>
              <w:bottom w:val="single" w:sz="4" w:space="0" w:color="auto"/>
              <w:right w:val="single" w:sz="4" w:space="0" w:color="auto"/>
            </w:tcBorders>
            <w:noWrap/>
            <w:vAlign w:val="center"/>
            <w:hideMark/>
          </w:tcPr>
          <w:p w14:paraId="3BDBFB1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15</w:t>
            </w:r>
          </w:p>
        </w:tc>
      </w:tr>
      <w:tr w:rsidR="005125A6" w:rsidRPr="005125A6" w14:paraId="23414E36"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78E7304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Mucinous cystadenocarcinoma</w:t>
            </w:r>
          </w:p>
        </w:tc>
        <w:tc>
          <w:tcPr>
            <w:tcW w:w="1181" w:type="dxa"/>
            <w:tcBorders>
              <w:top w:val="nil"/>
              <w:left w:val="nil"/>
              <w:bottom w:val="single" w:sz="4" w:space="0" w:color="auto"/>
              <w:right w:val="single" w:sz="4" w:space="0" w:color="auto"/>
            </w:tcBorders>
            <w:noWrap/>
            <w:vAlign w:val="center"/>
            <w:hideMark/>
          </w:tcPr>
          <w:p w14:paraId="5833AF2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w:t>
            </w:r>
          </w:p>
        </w:tc>
        <w:tc>
          <w:tcPr>
            <w:tcW w:w="1484" w:type="dxa"/>
            <w:tcBorders>
              <w:top w:val="nil"/>
              <w:left w:val="nil"/>
              <w:bottom w:val="single" w:sz="4" w:space="0" w:color="auto"/>
              <w:right w:val="single" w:sz="4" w:space="0" w:color="auto"/>
            </w:tcBorders>
            <w:noWrap/>
            <w:vAlign w:val="center"/>
            <w:hideMark/>
          </w:tcPr>
          <w:p w14:paraId="51D2E8F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w:t>
            </w:r>
          </w:p>
        </w:tc>
      </w:tr>
      <w:tr w:rsidR="005125A6" w:rsidRPr="005125A6" w14:paraId="63735EBF"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1B6243B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Papillary serous cystadenocarcinoma</w:t>
            </w:r>
          </w:p>
        </w:tc>
        <w:tc>
          <w:tcPr>
            <w:tcW w:w="1181" w:type="dxa"/>
            <w:tcBorders>
              <w:top w:val="nil"/>
              <w:left w:val="nil"/>
              <w:bottom w:val="single" w:sz="4" w:space="0" w:color="auto"/>
              <w:right w:val="single" w:sz="4" w:space="0" w:color="auto"/>
            </w:tcBorders>
            <w:noWrap/>
            <w:vAlign w:val="center"/>
            <w:hideMark/>
          </w:tcPr>
          <w:p w14:paraId="23CC6BA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w:t>
            </w:r>
          </w:p>
        </w:tc>
        <w:tc>
          <w:tcPr>
            <w:tcW w:w="1484" w:type="dxa"/>
            <w:tcBorders>
              <w:top w:val="nil"/>
              <w:left w:val="nil"/>
              <w:bottom w:val="single" w:sz="4" w:space="0" w:color="auto"/>
              <w:right w:val="single" w:sz="4" w:space="0" w:color="auto"/>
            </w:tcBorders>
            <w:noWrap/>
            <w:vAlign w:val="center"/>
            <w:hideMark/>
          </w:tcPr>
          <w:p w14:paraId="744A5A3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6.7</w:t>
            </w:r>
          </w:p>
        </w:tc>
      </w:tr>
      <w:tr w:rsidR="005125A6" w:rsidRPr="005125A6" w14:paraId="4215FF41"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5C06A7EB"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Malignant cells absent</w:t>
            </w:r>
          </w:p>
        </w:tc>
        <w:tc>
          <w:tcPr>
            <w:tcW w:w="1181" w:type="dxa"/>
            <w:tcBorders>
              <w:top w:val="nil"/>
              <w:left w:val="nil"/>
              <w:bottom w:val="single" w:sz="4" w:space="0" w:color="auto"/>
              <w:right w:val="single" w:sz="4" w:space="0" w:color="auto"/>
            </w:tcBorders>
            <w:noWrap/>
            <w:vAlign w:val="center"/>
            <w:hideMark/>
          </w:tcPr>
          <w:p w14:paraId="0664B6B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w:t>
            </w:r>
          </w:p>
        </w:tc>
        <w:tc>
          <w:tcPr>
            <w:tcW w:w="1484" w:type="dxa"/>
            <w:tcBorders>
              <w:top w:val="nil"/>
              <w:left w:val="nil"/>
              <w:bottom w:val="single" w:sz="4" w:space="0" w:color="auto"/>
              <w:right w:val="single" w:sz="4" w:space="0" w:color="auto"/>
            </w:tcBorders>
            <w:noWrap/>
            <w:vAlign w:val="center"/>
            <w:hideMark/>
          </w:tcPr>
          <w:p w14:paraId="60C35EB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8.3</w:t>
            </w:r>
          </w:p>
        </w:tc>
      </w:tr>
      <w:tr w:rsidR="005125A6" w:rsidRPr="005125A6" w14:paraId="5BB87E3E"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60EE39D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Metastatic adenocarcinoma/serous ca.</w:t>
            </w:r>
          </w:p>
        </w:tc>
        <w:tc>
          <w:tcPr>
            <w:tcW w:w="1181" w:type="dxa"/>
            <w:tcBorders>
              <w:top w:val="nil"/>
              <w:left w:val="nil"/>
              <w:bottom w:val="single" w:sz="4" w:space="0" w:color="auto"/>
              <w:right w:val="single" w:sz="4" w:space="0" w:color="auto"/>
            </w:tcBorders>
            <w:noWrap/>
            <w:vAlign w:val="center"/>
            <w:hideMark/>
          </w:tcPr>
          <w:p w14:paraId="2E2E46D9"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w:t>
            </w:r>
          </w:p>
        </w:tc>
        <w:tc>
          <w:tcPr>
            <w:tcW w:w="1484" w:type="dxa"/>
            <w:tcBorders>
              <w:top w:val="nil"/>
              <w:left w:val="nil"/>
              <w:bottom w:val="single" w:sz="4" w:space="0" w:color="auto"/>
              <w:right w:val="single" w:sz="4" w:space="0" w:color="auto"/>
            </w:tcBorders>
            <w:noWrap/>
            <w:vAlign w:val="center"/>
            <w:hideMark/>
          </w:tcPr>
          <w:p w14:paraId="4060C6D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11.7</w:t>
            </w:r>
          </w:p>
        </w:tc>
      </w:tr>
    </w:tbl>
    <w:p w14:paraId="7450A8A4" w14:textId="77777777" w:rsidR="005125A6" w:rsidRPr="00E7593D" w:rsidRDefault="005125A6" w:rsidP="000B30A9">
      <w:pPr>
        <w:spacing w:after="0"/>
        <w:jc w:val="both"/>
        <w:rPr>
          <w:rFonts w:ascii="Times New Roman" w:eastAsia="Times New Roman" w:hAnsi="Times New Roman" w:cs="Times New Roman"/>
          <w:bCs/>
          <w:sz w:val="10"/>
          <w:szCs w:val="10"/>
        </w:rPr>
      </w:pPr>
    </w:p>
    <w:p w14:paraId="20B94915" w14:textId="7B7A2BC9" w:rsidR="00EE7C2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4 outlines the FNAC findings. Adenocarcinoma was the most frequent cytological diagnosis, observed in 32 cases (53.3%). Malignant cells not otherwise specified were reported in 15.0% of patients, while mucinous cystadenocarcinoma and papillary serous cystadenocarcinoma accounted for 5.0% and 6.7%, respectively. FNAC reported malignant cells as absent in 5 cases (8.3%), and metastatic adenocarcinoma or serous carcinoma was identified in 7 cases (11.7%).</w:t>
      </w:r>
    </w:p>
    <w:p w14:paraId="1ABA72A9" w14:textId="77777777" w:rsidR="005125A6" w:rsidRDefault="005125A6" w:rsidP="000B30A9">
      <w:pPr>
        <w:spacing w:after="0"/>
        <w:jc w:val="both"/>
        <w:rPr>
          <w:rFonts w:ascii="Times New Roman" w:eastAsia="Times New Roman" w:hAnsi="Times New Roman" w:cs="Times New Roman"/>
          <w:bCs/>
        </w:rPr>
      </w:pPr>
    </w:p>
    <w:p w14:paraId="4DA3AA5B" w14:textId="2AAB0E9C"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5. Histopathological findings of the study population (n=60)</w:t>
      </w:r>
    </w:p>
    <w:tbl>
      <w:tblPr>
        <w:tblW w:w="6920" w:type="dxa"/>
        <w:jc w:val="center"/>
        <w:tblLook w:val="04A0" w:firstRow="1" w:lastRow="0" w:firstColumn="1" w:lastColumn="0" w:noHBand="0" w:noVBand="1"/>
      </w:tblPr>
      <w:tblGrid>
        <w:gridCol w:w="4185"/>
        <w:gridCol w:w="1210"/>
        <w:gridCol w:w="1525"/>
      </w:tblGrid>
      <w:tr w:rsidR="005125A6" w:rsidRPr="005125A6" w14:paraId="10F9BC77" w14:textId="77777777" w:rsidTr="00E7593D">
        <w:trPr>
          <w:trHeight w:val="246"/>
          <w:jc w:val="center"/>
        </w:trPr>
        <w:tc>
          <w:tcPr>
            <w:tcW w:w="4185" w:type="dxa"/>
            <w:tcBorders>
              <w:top w:val="single" w:sz="4" w:space="0" w:color="auto"/>
              <w:left w:val="single" w:sz="4" w:space="0" w:color="auto"/>
              <w:bottom w:val="single" w:sz="4" w:space="0" w:color="auto"/>
              <w:right w:val="single" w:sz="4" w:space="0" w:color="auto"/>
            </w:tcBorders>
            <w:noWrap/>
            <w:vAlign w:val="center"/>
            <w:hideMark/>
          </w:tcPr>
          <w:p w14:paraId="2A55AF84"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Histological type</w:t>
            </w:r>
          </w:p>
        </w:tc>
        <w:tc>
          <w:tcPr>
            <w:tcW w:w="1210" w:type="dxa"/>
            <w:tcBorders>
              <w:top w:val="single" w:sz="4" w:space="0" w:color="auto"/>
              <w:left w:val="nil"/>
              <w:bottom w:val="single" w:sz="4" w:space="0" w:color="auto"/>
              <w:right w:val="single" w:sz="4" w:space="0" w:color="auto"/>
            </w:tcBorders>
            <w:noWrap/>
            <w:vAlign w:val="center"/>
            <w:hideMark/>
          </w:tcPr>
          <w:p w14:paraId="343B1313"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Number</w:t>
            </w:r>
          </w:p>
        </w:tc>
        <w:tc>
          <w:tcPr>
            <w:tcW w:w="1525" w:type="dxa"/>
            <w:tcBorders>
              <w:top w:val="single" w:sz="4" w:space="0" w:color="auto"/>
              <w:left w:val="nil"/>
              <w:bottom w:val="single" w:sz="4" w:space="0" w:color="auto"/>
              <w:right w:val="single" w:sz="4" w:space="0" w:color="auto"/>
            </w:tcBorders>
            <w:noWrap/>
            <w:vAlign w:val="center"/>
            <w:hideMark/>
          </w:tcPr>
          <w:p w14:paraId="59579B9D"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Percentage</w:t>
            </w:r>
          </w:p>
        </w:tc>
      </w:tr>
      <w:tr w:rsidR="005125A6" w:rsidRPr="005125A6" w14:paraId="377D5A91" w14:textId="77777777" w:rsidTr="00E7593D">
        <w:trPr>
          <w:trHeight w:val="227"/>
          <w:jc w:val="center"/>
        </w:trPr>
        <w:tc>
          <w:tcPr>
            <w:tcW w:w="4185" w:type="dxa"/>
            <w:tcBorders>
              <w:top w:val="nil"/>
              <w:left w:val="single" w:sz="4" w:space="0" w:color="auto"/>
              <w:bottom w:val="single" w:sz="4" w:space="0" w:color="auto"/>
              <w:right w:val="single" w:sz="4" w:space="0" w:color="auto"/>
            </w:tcBorders>
            <w:noWrap/>
            <w:vAlign w:val="center"/>
            <w:hideMark/>
          </w:tcPr>
          <w:p w14:paraId="57BFE052"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Papillary serous cystadenocarcinoma</w:t>
            </w:r>
          </w:p>
        </w:tc>
        <w:tc>
          <w:tcPr>
            <w:tcW w:w="1210" w:type="dxa"/>
            <w:tcBorders>
              <w:top w:val="nil"/>
              <w:left w:val="nil"/>
              <w:bottom w:val="single" w:sz="4" w:space="0" w:color="auto"/>
              <w:right w:val="single" w:sz="4" w:space="0" w:color="auto"/>
            </w:tcBorders>
            <w:noWrap/>
            <w:vAlign w:val="center"/>
            <w:hideMark/>
          </w:tcPr>
          <w:p w14:paraId="770D816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22</w:t>
            </w:r>
          </w:p>
        </w:tc>
        <w:tc>
          <w:tcPr>
            <w:tcW w:w="1525" w:type="dxa"/>
            <w:tcBorders>
              <w:top w:val="nil"/>
              <w:left w:val="nil"/>
              <w:bottom w:val="single" w:sz="4" w:space="0" w:color="auto"/>
              <w:right w:val="single" w:sz="4" w:space="0" w:color="auto"/>
            </w:tcBorders>
            <w:noWrap/>
            <w:vAlign w:val="center"/>
            <w:hideMark/>
          </w:tcPr>
          <w:p w14:paraId="5C294D0A"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36.7</w:t>
            </w:r>
          </w:p>
        </w:tc>
      </w:tr>
      <w:tr w:rsidR="005125A6" w:rsidRPr="005125A6" w14:paraId="094E2E57"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5F082FA9"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Serous cystadenocarcinoma</w:t>
            </w:r>
          </w:p>
        </w:tc>
        <w:tc>
          <w:tcPr>
            <w:tcW w:w="1210" w:type="dxa"/>
            <w:tcBorders>
              <w:top w:val="nil"/>
              <w:left w:val="nil"/>
              <w:bottom w:val="single" w:sz="4" w:space="0" w:color="auto"/>
              <w:right w:val="single" w:sz="4" w:space="0" w:color="auto"/>
            </w:tcBorders>
            <w:noWrap/>
            <w:vAlign w:val="center"/>
            <w:hideMark/>
          </w:tcPr>
          <w:p w14:paraId="58194F1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15</w:t>
            </w:r>
          </w:p>
        </w:tc>
        <w:tc>
          <w:tcPr>
            <w:tcW w:w="1525" w:type="dxa"/>
            <w:tcBorders>
              <w:top w:val="nil"/>
              <w:left w:val="nil"/>
              <w:bottom w:val="single" w:sz="4" w:space="0" w:color="auto"/>
              <w:right w:val="single" w:sz="4" w:space="0" w:color="auto"/>
            </w:tcBorders>
            <w:noWrap/>
            <w:vAlign w:val="center"/>
            <w:hideMark/>
          </w:tcPr>
          <w:p w14:paraId="5DFB35D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25</w:t>
            </w:r>
          </w:p>
        </w:tc>
      </w:tr>
      <w:tr w:rsidR="005125A6" w:rsidRPr="005125A6" w14:paraId="2BB3ACB0"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175464E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Endometrioid adenocarcinoma</w:t>
            </w:r>
          </w:p>
        </w:tc>
        <w:tc>
          <w:tcPr>
            <w:tcW w:w="1210" w:type="dxa"/>
            <w:tcBorders>
              <w:top w:val="nil"/>
              <w:left w:val="nil"/>
              <w:bottom w:val="single" w:sz="4" w:space="0" w:color="auto"/>
              <w:right w:val="single" w:sz="4" w:space="0" w:color="auto"/>
            </w:tcBorders>
            <w:noWrap/>
            <w:vAlign w:val="center"/>
            <w:hideMark/>
          </w:tcPr>
          <w:p w14:paraId="1BB076BF"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8</w:t>
            </w:r>
          </w:p>
        </w:tc>
        <w:tc>
          <w:tcPr>
            <w:tcW w:w="1525" w:type="dxa"/>
            <w:tcBorders>
              <w:top w:val="nil"/>
              <w:left w:val="nil"/>
              <w:bottom w:val="single" w:sz="4" w:space="0" w:color="auto"/>
              <w:right w:val="single" w:sz="4" w:space="0" w:color="auto"/>
            </w:tcBorders>
            <w:noWrap/>
            <w:vAlign w:val="center"/>
            <w:hideMark/>
          </w:tcPr>
          <w:p w14:paraId="5BC83C07"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13.3</w:t>
            </w:r>
          </w:p>
        </w:tc>
      </w:tr>
      <w:tr w:rsidR="005125A6" w:rsidRPr="005125A6" w14:paraId="504E6EA9"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26F4B51B"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Mucinous cystadenocarcinoma</w:t>
            </w:r>
          </w:p>
        </w:tc>
        <w:tc>
          <w:tcPr>
            <w:tcW w:w="1210" w:type="dxa"/>
            <w:tcBorders>
              <w:top w:val="nil"/>
              <w:left w:val="nil"/>
              <w:bottom w:val="single" w:sz="4" w:space="0" w:color="auto"/>
              <w:right w:val="single" w:sz="4" w:space="0" w:color="auto"/>
            </w:tcBorders>
            <w:noWrap/>
            <w:vAlign w:val="center"/>
            <w:hideMark/>
          </w:tcPr>
          <w:p w14:paraId="14D48622"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6</w:t>
            </w:r>
          </w:p>
        </w:tc>
        <w:tc>
          <w:tcPr>
            <w:tcW w:w="1525" w:type="dxa"/>
            <w:tcBorders>
              <w:top w:val="nil"/>
              <w:left w:val="nil"/>
              <w:bottom w:val="single" w:sz="4" w:space="0" w:color="auto"/>
              <w:right w:val="single" w:sz="4" w:space="0" w:color="auto"/>
            </w:tcBorders>
            <w:noWrap/>
            <w:vAlign w:val="center"/>
            <w:hideMark/>
          </w:tcPr>
          <w:p w14:paraId="382A781B"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10</w:t>
            </w:r>
          </w:p>
        </w:tc>
      </w:tr>
      <w:tr w:rsidR="005125A6" w:rsidRPr="005125A6" w14:paraId="2F114B4B"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6BF834D7"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High-grade serous adenocarcinoma</w:t>
            </w:r>
          </w:p>
        </w:tc>
        <w:tc>
          <w:tcPr>
            <w:tcW w:w="1210" w:type="dxa"/>
            <w:tcBorders>
              <w:top w:val="nil"/>
              <w:left w:val="nil"/>
              <w:bottom w:val="single" w:sz="4" w:space="0" w:color="auto"/>
              <w:right w:val="single" w:sz="4" w:space="0" w:color="auto"/>
            </w:tcBorders>
            <w:noWrap/>
            <w:vAlign w:val="center"/>
            <w:hideMark/>
          </w:tcPr>
          <w:p w14:paraId="2C100814"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5</w:t>
            </w:r>
          </w:p>
        </w:tc>
        <w:tc>
          <w:tcPr>
            <w:tcW w:w="1525" w:type="dxa"/>
            <w:tcBorders>
              <w:top w:val="nil"/>
              <w:left w:val="nil"/>
              <w:bottom w:val="single" w:sz="4" w:space="0" w:color="auto"/>
              <w:right w:val="single" w:sz="4" w:space="0" w:color="auto"/>
            </w:tcBorders>
            <w:noWrap/>
            <w:vAlign w:val="center"/>
            <w:hideMark/>
          </w:tcPr>
          <w:p w14:paraId="7E12B75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8.3</w:t>
            </w:r>
          </w:p>
        </w:tc>
      </w:tr>
      <w:tr w:rsidR="005125A6" w:rsidRPr="005125A6" w14:paraId="31F4952A"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45825449"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Secondary metastatic carcinoma</w:t>
            </w:r>
          </w:p>
        </w:tc>
        <w:tc>
          <w:tcPr>
            <w:tcW w:w="1210" w:type="dxa"/>
            <w:tcBorders>
              <w:top w:val="nil"/>
              <w:left w:val="nil"/>
              <w:bottom w:val="single" w:sz="4" w:space="0" w:color="auto"/>
              <w:right w:val="single" w:sz="4" w:space="0" w:color="auto"/>
            </w:tcBorders>
            <w:noWrap/>
            <w:vAlign w:val="center"/>
            <w:hideMark/>
          </w:tcPr>
          <w:p w14:paraId="33E85EC5"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3</w:t>
            </w:r>
          </w:p>
        </w:tc>
        <w:tc>
          <w:tcPr>
            <w:tcW w:w="1525" w:type="dxa"/>
            <w:tcBorders>
              <w:top w:val="nil"/>
              <w:left w:val="nil"/>
              <w:bottom w:val="single" w:sz="4" w:space="0" w:color="auto"/>
              <w:right w:val="single" w:sz="4" w:space="0" w:color="auto"/>
            </w:tcBorders>
            <w:noWrap/>
            <w:vAlign w:val="center"/>
            <w:hideMark/>
          </w:tcPr>
          <w:p w14:paraId="748874C5"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5</w:t>
            </w:r>
          </w:p>
        </w:tc>
      </w:tr>
      <w:tr w:rsidR="005125A6" w:rsidRPr="005125A6" w14:paraId="4DB9D10E" w14:textId="77777777" w:rsidTr="00E7593D">
        <w:trPr>
          <w:trHeight w:val="227"/>
          <w:jc w:val="center"/>
        </w:trPr>
        <w:tc>
          <w:tcPr>
            <w:tcW w:w="4185" w:type="dxa"/>
            <w:tcBorders>
              <w:top w:val="nil"/>
              <w:left w:val="single" w:sz="4" w:space="0" w:color="auto"/>
              <w:bottom w:val="single" w:sz="4" w:space="0" w:color="auto"/>
              <w:right w:val="single" w:sz="4" w:space="0" w:color="auto"/>
            </w:tcBorders>
            <w:noWrap/>
            <w:vAlign w:val="center"/>
            <w:hideMark/>
          </w:tcPr>
          <w:p w14:paraId="0F0B3FCE"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Other (e.g., granulomatous)</w:t>
            </w:r>
          </w:p>
        </w:tc>
        <w:tc>
          <w:tcPr>
            <w:tcW w:w="1210" w:type="dxa"/>
            <w:tcBorders>
              <w:top w:val="nil"/>
              <w:left w:val="nil"/>
              <w:bottom w:val="single" w:sz="4" w:space="0" w:color="auto"/>
              <w:right w:val="single" w:sz="4" w:space="0" w:color="auto"/>
            </w:tcBorders>
            <w:noWrap/>
            <w:vAlign w:val="center"/>
            <w:hideMark/>
          </w:tcPr>
          <w:p w14:paraId="3D9B899E"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w:t>
            </w:r>
          </w:p>
        </w:tc>
        <w:tc>
          <w:tcPr>
            <w:tcW w:w="1525" w:type="dxa"/>
            <w:tcBorders>
              <w:top w:val="nil"/>
              <w:left w:val="nil"/>
              <w:bottom w:val="single" w:sz="4" w:space="0" w:color="auto"/>
              <w:right w:val="single" w:sz="4" w:space="0" w:color="auto"/>
            </w:tcBorders>
            <w:noWrap/>
            <w:vAlign w:val="center"/>
            <w:hideMark/>
          </w:tcPr>
          <w:p w14:paraId="12FB4CB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1.7</w:t>
            </w:r>
          </w:p>
        </w:tc>
      </w:tr>
    </w:tbl>
    <w:p w14:paraId="02894B9C" w14:textId="77777777" w:rsidR="005125A6" w:rsidRPr="00E7593D" w:rsidRDefault="005125A6" w:rsidP="000B30A9">
      <w:pPr>
        <w:spacing w:after="0"/>
        <w:jc w:val="both"/>
        <w:rPr>
          <w:rFonts w:ascii="Times New Roman" w:eastAsia="Times New Roman" w:hAnsi="Times New Roman" w:cs="Times New Roman"/>
          <w:bCs/>
          <w:sz w:val="10"/>
          <w:szCs w:val="10"/>
        </w:rPr>
      </w:pPr>
    </w:p>
    <w:p w14:paraId="4A505980" w14:textId="0976DA8A" w:rsidR="00EE7C2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5 details the histopathological diagnoses. Papillary serous cystadenocarcinoma was the most common subtype, comprising 36.7% of cases, followed by serous cystadenocarcinoma at 25.0%. Endometrioid adenocarcinoma and mucinous cystadenocarcinoma represented 13.3% and 10.0%, respectively. High-grade serous adenocarcinoma was seen in 8.3%, secondary metastatic carcinoma in 5.0%, and one case (1.7%) was diagnosed as other pathology, such as granulomatous inflammation.</w:t>
      </w:r>
    </w:p>
    <w:p w14:paraId="58723B56" w14:textId="77777777" w:rsidR="001B2388" w:rsidRPr="000B30A9" w:rsidRDefault="001B2388" w:rsidP="000B30A9">
      <w:pPr>
        <w:spacing w:after="0"/>
        <w:jc w:val="both"/>
        <w:rPr>
          <w:rFonts w:ascii="Times New Roman" w:eastAsia="Times New Roman" w:hAnsi="Times New Roman" w:cs="Times New Roman"/>
          <w:bCs/>
        </w:rPr>
      </w:pPr>
    </w:p>
    <w:p w14:paraId="522A68D2"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758FB04" w14:textId="24E0615F"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This institutional study demonstrated that FNAC is a reliable diagnostic tool in detecting ovarian malignancies, showing strong concordance with histopathological findings. The mean age of patients was 52.1 years, and most cases occurred in postmenopausal women, which is consistent with existing data. Kjellgren et al. described a similar demographic trend, emphasizing that ovarian carcinoma is more common in the postmenopausal age group </w:t>
      </w:r>
      <w:r w:rsidR="00E1591B">
        <w:rPr>
          <w:rFonts w:ascii="Times New Roman" w:eastAsia="Times New Roman" w:hAnsi="Times New Roman" w:cs="Times New Roman"/>
        </w:rPr>
        <w:t>[10]</w:t>
      </w:r>
      <w:r w:rsidRPr="006A17EA">
        <w:rPr>
          <w:rFonts w:ascii="Times New Roman" w:eastAsia="Times New Roman" w:hAnsi="Times New Roman" w:cs="Times New Roman"/>
        </w:rPr>
        <w:t xml:space="preserve">. This reflects the global epidemiology of ovarian cancer, where advancing age and menopausal status are recognized risk factors </w:t>
      </w:r>
      <w:r w:rsidR="00E1591B">
        <w:rPr>
          <w:rFonts w:ascii="Times New Roman" w:eastAsia="Times New Roman" w:hAnsi="Times New Roman" w:cs="Times New Roman"/>
        </w:rPr>
        <w:t>[11]</w:t>
      </w:r>
      <w:r w:rsidRPr="006A17EA">
        <w:rPr>
          <w:rFonts w:ascii="Times New Roman" w:eastAsia="Times New Roman" w:hAnsi="Times New Roman" w:cs="Times New Roman"/>
        </w:rPr>
        <w:t>.</w:t>
      </w:r>
    </w:p>
    <w:p w14:paraId="3BA29EC5" w14:textId="77777777" w:rsidR="006A17EA" w:rsidRPr="00296B84" w:rsidRDefault="006A17EA" w:rsidP="006A17EA">
      <w:pPr>
        <w:spacing w:after="0"/>
        <w:jc w:val="both"/>
        <w:rPr>
          <w:rFonts w:ascii="Times New Roman" w:eastAsia="Times New Roman" w:hAnsi="Times New Roman" w:cs="Times New Roman"/>
          <w:sz w:val="10"/>
          <w:szCs w:val="10"/>
        </w:rPr>
      </w:pPr>
    </w:p>
    <w:p w14:paraId="68B1CEFE" w14:textId="03D53D45"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The clinical features in our series were typical of advanced ovarian cancer, with abdominal pain, palpable lumps, distension, and early satiety being the most common. These nonspecific symptoms contribute to </w:t>
      </w:r>
      <w:r w:rsidRPr="006A17EA">
        <w:rPr>
          <w:rFonts w:ascii="Times New Roman" w:eastAsia="Times New Roman" w:hAnsi="Times New Roman" w:cs="Times New Roman"/>
        </w:rPr>
        <w:lastRenderedPageBreak/>
        <w:t xml:space="preserve">delayed diagnosis and late-stage presentation. Ray et al. noted similar observations in their analysis of ovarian masses, where vague abdominal complaints were frequent and often contributed to delayed recognition of malignancy </w:t>
      </w:r>
      <w:r w:rsidR="00E1591B">
        <w:rPr>
          <w:rFonts w:ascii="Times New Roman" w:eastAsia="Times New Roman" w:hAnsi="Times New Roman" w:cs="Times New Roman"/>
        </w:rPr>
        <w:t>[12]</w:t>
      </w:r>
      <w:r w:rsidRPr="006A17EA">
        <w:rPr>
          <w:rFonts w:ascii="Times New Roman" w:eastAsia="Times New Roman" w:hAnsi="Times New Roman" w:cs="Times New Roman"/>
        </w:rPr>
        <w:t xml:space="preserve">. Wojcik and Selvaggi also highlighted </w:t>
      </w:r>
      <w:r w:rsidR="00E1591B" w:rsidRPr="006A17EA">
        <w:rPr>
          <w:rFonts w:ascii="Times New Roman" w:eastAsia="Times New Roman" w:hAnsi="Times New Roman" w:cs="Times New Roman"/>
        </w:rPr>
        <w:t>those ovarian malignancies</w:t>
      </w:r>
      <w:r w:rsidRPr="006A17EA">
        <w:rPr>
          <w:rFonts w:ascii="Times New Roman" w:eastAsia="Times New Roman" w:hAnsi="Times New Roman" w:cs="Times New Roman"/>
        </w:rPr>
        <w:t xml:space="preserve"> frequently present with non-specific abdominal findings, complicating early detection </w:t>
      </w:r>
      <w:r w:rsidR="00E1591B">
        <w:rPr>
          <w:rFonts w:ascii="Times New Roman" w:eastAsia="Times New Roman" w:hAnsi="Times New Roman" w:cs="Times New Roman"/>
        </w:rPr>
        <w:t>[13]</w:t>
      </w:r>
      <w:r w:rsidRPr="006A17EA">
        <w:rPr>
          <w:rFonts w:ascii="Times New Roman" w:eastAsia="Times New Roman" w:hAnsi="Times New Roman" w:cs="Times New Roman"/>
        </w:rPr>
        <w:t>.</w:t>
      </w:r>
    </w:p>
    <w:p w14:paraId="085EE7E7" w14:textId="77777777" w:rsidR="006A17EA" w:rsidRPr="00165E06" w:rsidRDefault="006A17EA" w:rsidP="006A17EA">
      <w:pPr>
        <w:spacing w:after="0"/>
        <w:jc w:val="both"/>
        <w:rPr>
          <w:rFonts w:ascii="Times New Roman" w:eastAsia="Times New Roman" w:hAnsi="Times New Roman" w:cs="Times New Roman"/>
          <w:sz w:val="10"/>
          <w:szCs w:val="10"/>
        </w:rPr>
      </w:pPr>
    </w:p>
    <w:p w14:paraId="3BF34589" w14:textId="37D57CEC"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FNAC findings in this study were dominated by adenocarcinoma (53.3%), while histopathology most frequently confirmed papillary serous cystadenocarcinoma (36.7%). This concordance is consistent with institutional reports where serous tumors represented the majority of ovarian carcinomas </w:t>
      </w:r>
      <w:r w:rsidR="00E1591B">
        <w:rPr>
          <w:rFonts w:ascii="Times New Roman" w:eastAsia="Times New Roman" w:hAnsi="Times New Roman" w:cs="Times New Roman"/>
        </w:rPr>
        <w:t>[6,14]</w:t>
      </w:r>
      <w:r w:rsidRPr="006A17EA">
        <w:rPr>
          <w:rFonts w:ascii="Times New Roman" w:eastAsia="Times New Roman" w:hAnsi="Times New Roman" w:cs="Times New Roman"/>
        </w:rPr>
        <w:t xml:space="preserve">. While FNAC provided valuable preliminary classification, there were limitations in distinguishing between certain histological subtypes, particularly high-grade serous and endometrioid adenocarcinoma. Freedman et al. highlighted similar challenges, noting that cytology may lack sufficient detail for precise subtyping </w:t>
      </w:r>
      <w:r w:rsidR="00E1591B">
        <w:rPr>
          <w:rFonts w:ascii="Times New Roman" w:eastAsia="Times New Roman" w:hAnsi="Times New Roman" w:cs="Times New Roman"/>
        </w:rPr>
        <w:t>[15]</w:t>
      </w:r>
      <w:r w:rsidRPr="006A17EA">
        <w:rPr>
          <w:rFonts w:ascii="Times New Roman" w:eastAsia="Times New Roman" w:hAnsi="Times New Roman" w:cs="Times New Roman"/>
        </w:rPr>
        <w:t>. Nevertheless, the ability of FNAC to broadly categorize tumors as malignant versus benign remains its most significant clinical utility.</w:t>
      </w:r>
    </w:p>
    <w:p w14:paraId="7EBF7095" w14:textId="77777777" w:rsidR="006A17EA" w:rsidRPr="00165E06" w:rsidRDefault="006A17EA" w:rsidP="006A17EA">
      <w:pPr>
        <w:spacing w:after="0"/>
        <w:jc w:val="both"/>
        <w:rPr>
          <w:rFonts w:ascii="Times New Roman" w:eastAsia="Times New Roman" w:hAnsi="Times New Roman" w:cs="Times New Roman"/>
          <w:sz w:val="10"/>
          <w:szCs w:val="10"/>
        </w:rPr>
      </w:pPr>
    </w:p>
    <w:p w14:paraId="114EFFD7" w14:textId="60EB4653"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The detection of metastatic ovarian involvement in 11.7% of cases in our series highlights FNAC’s practical value. Malmström observed that FNAC is particularly effective for diagnosing recurrent and metastatic gynecologic malignancies, especially in patients where repeat surgical procedures are not feasible </w:t>
      </w:r>
      <w:r w:rsidR="00E1591B">
        <w:rPr>
          <w:rFonts w:ascii="Times New Roman" w:eastAsia="Times New Roman" w:hAnsi="Times New Roman" w:cs="Times New Roman"/>
        </w:rPr>
        <w:t>[16]</w:t>
      </w:r>
      <w:r w:rsidRPr="006A17EA">
        <w:rPr>
          <w:rFonts w:ascii="Times New Roman" w:eastAsia="Times New Roman" w:hAnsi="Times New Roman" w:cs="Times New Roman"/>
        </w:rPr>
        <w:t>. Our findings align with this observation, showing FNAC’s relevance for both primary and advanced disease documentation.</w:t>
      </w:r>
    </w:p>
    <w:p w14:paraId="1EB98A63" w14:textId="77777777" w:rsidR="006A17EA" w:rsidRPr="00165E06" w:rsidRDefault="006A17EA" w:rsidP="006A17EA">
      <w:pPr>
        <w:spacing w:after="0"/>
        <w:jc w:val="both"/>
        <w:rPr>
          <w:rFonts w:ascii="Times New Roman" w:eastAsia="Times New Roman" w:hAnsi="Times New Roman" w:cs="Times New Roman"/>
          <w:sz w:val="10"/>
          <w:szCs w:val="10"/>
        </w:rPr>
      </w:pPr>
    </w:p>
    <w:p w14:paraId="4EFEC30B" w14:textId="616A4B2D"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Several institutional studies corroborate our results. Ray et al. demonstrated high cyto-histological concordance in ovarian masses and advocated for FNAC as a preoperative diagnostic tool </w:t>
      </w:r>
      <w:r w:rsidR="00E1591B">
        <w:rPr>
          <w:rFonts w:ascii="Times New Roman" w:eastAsia="Times New Roman" w:hAnsi="Times New Roman" w:cs="Times New Roman"/>
        </w:rPr>
        <w:t>[12]</w:t>
      </w:r>
      <w:r w:rsidRPr="006A17EA">
        <w:rPr>
          <w:rFonts w:ascii="Times New Roman" w:eastAsia="Times New Roman" w:hAnsi="Times New Roman" w:cs="Times New Roman"/>
        </w:rPr>
        <w:t xml:space="preserve">. Larsen et al. reported similar findings, where FNAC combined with imaging significantly improved diagnostic accuracy </w:t>
      </w:r>
      <w:r w:rsidR="00E1591B">
        <w:rPr>
          <w:rFonts w:ascii="Times New Roman" w:eastAsia="Times New Roman" w:hAnsi="Times New Roman" w:cs="Times New Roman"/>
        </w:rPr>
        <w:t>[17]</w:t>
      </w:r>
      <w:r w:rsidRPr="006A17EA">
        <w:rPr>
          <w:rFonts w:ascii="Times New Roman" w:eastAsia="Times New Roman" w:hAnsi="Times New Roman" w:cs="Times New Roman"/>
        </w:rPr>
        <w:t>. The concordance observed in our study, with only a few false negatives, reinforces FNAC’s diagnostic reliability when interpreted alongside clinical and radiological features.</w:t>
      </w:r>
    </w:p>
    <w:p w14:paraId="1E8D56FD" w14:textId="77777777" w:rsidR="006A17EA" w:rsidRPr="00165E06" w:rsidRDefault="006A17EA" w:rsidP="006A17EA">
      <w:pPr>
        <w:spacing w:after="0"/>
        <w:jc w:val="both"/>
        <w:rPr>
          <w:rFonts w:ascii="Times New Roman" w:eastAsia="Times New Roman" w:hAnsi="Times New Roman" w:cs="Times New Roman"/>
          <w:sz w:val="10"/>
          <w:szCs w:val="10"/>
        </w:rPr>
      </w:pPr>
    </w:p>
    <w:p w14:paraId="2F4EE128" w14:textId="42A42281"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Despite its strengths, FNAC is not without limitations. False negatives may arise due to sampling inadequacy or cystic degeneration. In our study, five cases were initially reported as negative but were later proven malignant on histopathology. Higgins et al. previously reported similar pitfalls, emphasizing that cystic ovarian tumors often yield insufficient aspirates </w:t>
      </w:r>
      <w:r w:rsidR="00E1591B">
        <w:rPr>
          <w:rFonts w:ascii="Times New Roman" w:eastAsia="Times New Roman" w:hAnsi="Times New Roman" w:cs="Times New Roman"/>
        </w:rPr>
        <w:t>[18]</w:t>
      </w:r>
      <w:r w:rsidRPr="006A17EA">
        <w:rPr>
          <w:rFonts w:ascii="Times New Roman" w:eastAsia="Times New Roman" w:hAnsi="Times New Roman" w:cs="Times New Roman"/>
        </w:rPr>
        <w:t>. This underscores the need for careful integration of FNAC findings with imaging and clinical assessment for optimal accuracy.</w:t>
      </w:r>
    </w:p>
    <w:p w14:paraId="00208CAF" w14:textId="77777777" w:rsidR="006A17EA" w:rsidRPr="00661BAE" w:rsidRDefault="006A17EA" w:rsidP="006A17EA">
      <w:pPr>
        <w:spacing w:after="0"/>
        <w:jc w:val="both"/>
        <w:rPr>
          <w:rFonts w:ascii="Times New Roman" w:eastAsia="Times New Roman" w:hAnsi="Times New Roman" w:cs="Times New Roman"/>
          <w:sz w:val="10"/>
          <w:szCs w:val="10"/>
        </w:rPr>
      </w:pPr>
    </w:p>
    <w:p w14:paraId="522A68D4" w14:textId="7BC1BE2F" w:rsidR="00912FD0"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The institutional experience presented here reaffirms FNAC’s role as a safe, rapid, and cost-effective diagnostic tool in ovarian malignancy. In resource-limited settings such as Bangladesh, where advanced diagnostic modalities are not always readily accessible, FNAC offers valuable support for early clinical decision-making. Its integration into routine institutional protocols can expedite diagnosis, facilitate the timely initiation of neoadjuvant chemotherapy, and assist in the management of recurrent or disseminated disease.</w:t>
      </w:r>
    </w:p>
    <w:p w14:paraId="5E3B1565" w14:textId="77777777" w:rsidR="006A17EA" w:rsidRDefault="006A17EA" w:rsidP="006A17EA">
      <w:pPr>
        <w:spacing w:after="0"/>
        <w:jc w:val="both"/>
        <w:rPr>
          <w:rFonts w:ascii="Times New Roman" w:eastAsia="Times New Roman" w:hAnsi="Times New Roman" w:cs="Times New Roman"/>
        </w:rPr>
      </w:pPr>
    </w:p>
    <w:p w14:paraId="522A68D5"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14:paraId="048884D2" w14:textId="77777777" w:rsidR="00FA5DF9" w:rsidRPr="00FA5DF9" w:rsidRDefault="00FA5DF9" w:rsidP="00FA5DF9">
      <w:pPr>
        <w:spacing w:after="0"/>
        <w:jc w:val="both"/>
        <w:rPr>
          <w:rFonts w:ascii="Times New Roman" w:eastAsia="Times New Roman" w:hAnsi="Times New Roman" w:cs="Times New Roman"/>
        </w:rPr>
      </w:pPr>
      <w:r w:rsidRPr="00FA5DF9">
        <w:rPr>
          <w:rFonts w:ascii="Times New Roman" w:eastAsia="Times New Roman" w:hAnsi="Times New Roman" w:cs="Times New Roman"/>
        </w:rPr>
        <w:t>This study had several limitations. Which are-</w:t>
      </w:r>
    </w:p>
    <w:p w14:paraId="045C1BDF" w14:textId="73EB004E" w:rsidR="00FA5DF9" w:rsidRPr="00FA5DF9"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This was a single-center study with a limited follow-up duration.</w:t>
      </w:r>
    </w:p>
    <w:p w14:paraId="5CA5FA99" w14:textId="543CAA22" w:rsidR="00FA5DF9" w:rsidRPr="00FA5DF9"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It may not capture the full spectrum of ovarian malignancies observed across the country.</w:t>
      </w:r>
    </w:p>
    <w:p w14:paraId="752A28D7" w14:textId="1406E7DE" w:rsidR="00191EFF"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FNAC interpretation is occasionally limited by sampling inadequacy in cystic lesions.</w:t>
      </w:r>
    </w:p>
    <w:p w14:paraId="7AB76158" w14:textId="77777777" w:rsidR="00FA5DF9" w:rsidRPr="00FA5DF9" w:rsidRDefault="00FA5DF9" w:rsidP="00FA5DF9">
      <w:pPr>
        <w:spacing w:after="0"/>
        <w:jc w:val="both"/>
        <w:rPr>
          <w:rFonts w:ascii="Times New Roman" w:eastAsia="Times New Roman" w:hAnsi="Times New Roman" w:cs="Times New Roman"/>
        </w:rPr>
      </w:pPr>
    </w:p>
    <w:p w14:paraId="522A68DC"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522A68E4" w14:textId="6C27857B" w:rsidR="00912FD0" w:rsidRDefault="00E7593D">
      <w:pPr>
        <w:spacing w:after="0"/>
        <w:jc w:val="both"/>
        <w:rPr>
          <w:rFonts w:ascii="Times New Roman" w:eastAsia="Times New Roman" w:hAnsi="Times New Roman" w:cs="Times New Roman"/>
        </w:rPr>
      </w:pPr>
      <w:r w:rsidRPr="00E7593D">
        <w:rPr>
          <w:rFonts w:ascii="Times New Roman" w:eastAsia="Times New Roman" w:hAnsi="Times New Roman" w:cs="Times New Roman"/>
        </w:rPr>
        <w:lastRenderedPageBreak/>
        <w:t>In this study, FNAC demonstrated a strong correlation with histopathology in the detection of ovarian malignancies. The technique was minimally invasive, safe, and cost-effective, with utility in confirming malignancy, suggesting histological subtypes, and documenting metastatic disease. Its role in institutional practice is particularly significant in guiding management decisions for patients presenting with advanced stages or those unfit for immediate surgery.</w:t>
      </w:r>
    </w:p>
    <w:p w14:paraId="38838327" w14:textId="77777777" w:rsidR="00E7593D" w:rsidRDefault="00E7593D">
      <w:pPr>
        <w:spacing w:after="0"/>
        <w:jc w:val="both"/>
        <w:rPr>
          <w:rFonts w:ascii="Times New Roman" w:eastAsia="Times New Roman" w:hAnsi="Times New Roman" w:cs="Times New Roman"/>
        </w:rPr>
      </w:pPr>
    </w:p>
    <w:p w14:paraId="522A68E7" w14:textId="16DA3A8A" w:rsidR="00912FD0" w:rsidRDefault="009A115C">
      <w:pPr>
        <w:spacing w:after="0"/>
        <w:jc w:val="both"/>
        <w:rPr>
          <w:rFonts w:ascii="Times New Roman" w:eastAsia="Times New Roman" w:hAnsi="Times New Roman" w:cs="Times New Roman"/>
          <w:b/>
          <w:i/>
          <w:iCs/>
        </w:rPr>
      </w:pPr>
      <w:r w:rsidRPr="005075AC">
        <w:rPr>
          <w:rFonts w:ascii="Times New Roman" w:eastAsia="Times New Roman" w:hAnsi="Times New Roman" w:cs="Times New Roman"/>
          <w:b/>
          <w:i/>
          <w:iCs/>
        </w:rPr>
        <w:t>Conflicts of interest</w:t>
      </w:r>
      <w:r w:rsidR="005075AC" w:rsidRPr="005075AC">
        <w:rPr>
          <w:rFonts w:ascii="Times New Roman" w:eastAsia="Times New Roman" w:hAnsi="Times New Roman" w:cs="Times New Roman"/>
          <w:b/>
          <w:i/>
          <w:iCs/>
        </w:rPr>
        <w:t xml:space="preserve">: </w:t>
      </w:r>
      <w:r w:rsidRPr="005075AC">
        <w:rPr>
          <w:rFonts w:ascii="Times New Roman" w:eastAsia="Times New Roman" w:hAnsi="Times New Roman" w:cs="Times New Roman"/>
          <w:i/>
          <w:iCs/>
        </w:rPr>
        <w:t>There are no conflicts of interest.</w:t>
      </w:r>
    </w:p>
    <w:p w14:paraId="41971988" w14:textId="77777777" w:rsidR="005075AC" w:rsidRPr="005075AC" w:rsidRDefault="005075AC">
      <w:pPr>
        <w:spacing w:after="0"/>
        <w:jc w:val="both"/>
        <w:rPr>
          <w:rFonts w:ascii="Times New Roman" w:eastAsia="Times New Roman" w:hAnsi="Times New Roman" w:cs="Times New Roman"/>
          <w:b/>
          <w:i/>
          <w:iCs/>
          <w:sz w:val="10"/>
          <w:szCs w:val="10"/>
        </w:rPr>
      </w:pPr>
    </w:p>
    <w:p w14:paraId="522A68E9" w14:textId="4406A4B1" w:rsidR="00912FD0" w:rsidRDefault="009A115C">
      <w:pPr>
        <w:spacing w:after="0"/>
        <w:jc w:val="both"/>
        <w:rPr>
          <w:rFonts w:ascii="Times New Roman" w:eastAsia="Times New Roman" w:hAnsi="Times New Roman" w:cs="Times New Roman"/>
          <w:i/>
          <w:iCs/>
        </w:rPr>
      </w:pPr>
      <w:r w:rsidRPr="005075AC">
        <w:rPr>
          <w:rFonts w:ascii="Times New Roman" w:eastAsia="Times New Roman" w:hAnsi="Times New Roman" w:cs="Times New Roman"/>
          <w:b/>
          <w:i/>
          <w:iCs/>
        </w:rPr>
        <w:t>Ethical approval</w:t>
      </w:r>
      <w:r w:rsidR="005075AC" w:rsidRPr="005075AC">
        <w:rPr>
          <w:rFonts w:ascii="Times New Roman" w:eastAsia="Times New Roman" w:hAnsi="Times New Roman" w:cs="Times New Roman"/>
          <w:b/>
          <w:i/>
          <w:iCs/>
        </w:rPr>
        <w:t xml:space="preserve">: </w:t>
      </w:r>
      <w:r w:rsidRPr="005075AC">
        <w:rPr>
          <w:rFonts w:ascii="Times New Roman" w:eastAsia="Times New Roman" w:hAnsi="Times New Roman" w:cs="Times New Roman"/>
          <w:i/>
          <w:iCs/>
        </w:rPr>
        <w:t>The study was approved by the Institutional Ethics Committee.</w:t>
      </w:r>
    </w:p>
    <w:p w14:paraId="4E7D2E01" w14:textId="77777777" w:rsidR="004D075E" w:rsidRDefault="004D075E">
      <w:pPr>
        <w:spacing w:after="0"/>
        <w:jc w:val="both"/>
        <w:rPr>
          <w:rFonts w:ascii="Times New Roman" w:eastAsia="Times New Roman" w:hAnsi="Times New Roman" w:cs="Times New Roman"/>
          <w:i/>
          <w:iCs/>
        </w:rPr>
      </w:pPr>
    </w:p>
    <w:p w14:paraId="3BE1457C" w14:textId="77777777" w:rsidR="004D075E" w:rsidRDefault="004D075E">
      <w:pPr>
        <w:spacing w:after="0"/>
        <w:jc w:val="both"/>
        <w:rPr>
          <w:rFonts w:ascii="Times New Roman" w:eastAsia="Times New Roman" w:hAnsi="Times New Roman" w:cs="Times New Roman"/>
          <w:i/>
          <w:iCs/>
        </w:rPr>
      </w:pPr>
    </w:p>
    <w:p w14:paraId="05235C3F" w14:textId="77777777" w:rsidR="004D075E" w:rsidRPr="004D075E" w:rsidRDefault="004D075E" w:rsidP="004D075E">
      <w:pPr>
        <w:spacing w:after="0"/>
        <w:jc w:val="both"/>
        <w:rPr>
          <w:rFonts w:ascii="Times New Roman" w:eastAsia="Times New Roman" w:hAnsi="Times New Roman" w:cs="Times New Roman"/>
          <w:b/>
          <w:i/>
          <w:iCs/>
        </w:rPr>
      </w:pPr>
      <w:r w:rsidRPr="004D075E">
        <w:rPr>
          <w:rFonts w:ascii="Times New Roman" w:eastAsia="Times New Roman" w:hAnsi="Times New Roman" w:cs="Times New Roman"/>
          <w:b/>
          <w:i/>
          <w:iCs/>
        </w:rPr>
        <w:t>COMPETING INTERESTS DISCLAIMER:</w:t>
      </w:r>
    </w:p>
    <w:p w14:paraId="6BBE7BAA" w14:textId="389691DD" w:rsidR="004D075E" w:rsidRPr="005075AC" w:rsidRDefault="004D075E" w:rsidP="004D075E">
      <w:pPr>
        <w:spacing w:after="0"/>
        <w:jc w:val="both"/>
        <w:rPr>
          <w:rFonts w:ascii="Times New Roman" w:eastAsia="Times New Roman" w:hAnsi="Times New Roman" w:cs="Times New Roman"/>
          <w:b/>
          <w:i/>
          <w:iCs/>
        </w:rPr>
      </w:pPr>
      <w:r w:rsidRPr="004D075E">
        <w:rPr>
          <w:rFonts w:ascii="Times New Roman" w:eastAsia="Times New Roman" w:hAnsi="Times New Roman" w:cs="Times New Roman"/>
          <w:b/>
          <w:i/>
          <w:iCs/>
        </w:rPr>
        <w:t>Authors have declared that they have no known competing financial interests OR non-financial interests OR personal relationships that could have appeared to influence the work reported in this paper.</w:t>
      </w:r>
    </w:p>
    <w:p w14:paraId="522A68EA" w14:textId="77777777" w:rsidR="00912FD0" w:rsidRDefault="00912FD0">
      <w:pPr>
        <w:spacing w:after="0"/>
        <w:jc w:val="both"/>
        <w:rPr>
          <w:rFonts w:ascii="Times New Roman" w:eastAsia="Times New Roman" w:hAnsi="Times New Roman" w:cs="Times New Roman"/>
        </w:rPr>
      </w:pPr>
    </w:p>
    <w:p w14:paraId="522A68EB"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ECB6BEF" w14:textId="47187459"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Torre LA, Trabert B, DeSantis CE, Miller KD, </w:t>
      </w:r>
      <w:proofErr w:type="spellStart"/>
      <w:r w:rsidRPr="00191EFF">
        <w:rPr>
          <w:rFonts w:ascii="Times New Roman" w:eastAsia="Times New Roman" w:hAnsi="Times New Roman" w:cs="Times New Roman"/>
        </w:rPr>
        <w:t>Samimi</w:t>
      </w:r>
      <w:proofErr w:type="spellEnd"/>
      <w:r w:rsidRPr="00191EFF">
        <w:rPr>
          <w:rFonts w:ascii="Times New Roman" w:eastAsia="Times New Roman" w:hAnsi="Times New Roman" w:cs="Times New Roman"/>
        </w:rPr>
        <w:t xml:space="preserve"> G, </w:t>
      </w:r>
      <w:proofErr w:type="spellStart"/>
      <w:r w:rsidRPr="00191EFF">
        <w:rPr>
          <w:rFonts w:ascii="Times New Roman" w:eastAsia="Times New Roman" w:hAnsi="Times New Roman" w:cs="Times New Roman"/>
        </w:rPr>
        <w:t>Runowicz</w:t>
      </w:r>
      <w:proofErr w:type="spellEnd"/>
      <w:r w:rsidRPr="00191EFF">
        <w:rPr>
          <w:rFonts w:ascii="Times New Roman" w:eastAsia="Times New Roman" w:hAnsi="Times New Roman" w:cs="Times New Roman"/>
        </w:rPr>
        <w:t xml:space="preserve"> CD, et al. Ovarian cancer statistics, 2018. CA Cancer J Clin. 2018;68(4):284–96.</w:t>
      </w:r>
    </w:p>
    <w:p w14:paraId="2CF86852" w14:textId="272A9E2B"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Ledermann JA, Raja FA, Fotopoulou C, Gonzalez-Martin A, Colombo N, Sessa C. Newly diagnosed and relapsed epithelial ovarian carcinoma: ESMO Clinical Practice Guidelines. Ann Oncol. 2013;24 Suppl 6:vi24–32.</w:t>
      </w:r>
    </w:p>
    <w:p w14:paraId="50C6E9FB" w14:textId="2EFDCFD3"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Jeong YY, Outwater EK, Kang HK. Imaging evaluation of ovarian masses. </w:t>
      </w:r>
      <w:proofErr w:type="spellStart"/>
      <w:r w:rsidRPr="00191EFF">
        <w:rPr>
          <w:rFonts w:ascii="Times New Roman" w:eastAsia="Times New Roman" w:hAnsi="Times New Roman" w:cs="Times New Roman"/>
        </w:rPr>
        <w:t>Radiographics</w:t>
      </w:r>
      <w:proofErr w:type="spellEnd"/>
      <w:r w:rsidRPr="00191EFF">
        <w:rPr>
          <w:rFonts w:ascii="Times New Roman" w:eastAsia="Times New Roman" w:hAnsi="Times New Roman" w:cs="Times New Roman"/>
        </w:rPr>
        <w:t>. 2000;20(5):1445–70.</w:t>
      </w:r>
    </w:p>
    <w:p w14:paraId="7A0B1401" w14:textId="4A657A24"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Jha B, Shah R, Patel J. Effectiveness of image-guided fine needle aspiration cytology in cases of deep-seated lesions. Int J Med Sci Public Health. 2013;2(2):439–42.</w:t>
      </w:r>
    </w:p>
    <w:p w14:paraId="160B51B1" w14:textId="739A6698"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Gupta N, </w:t>
      </w:r>
      <w:proofErr w:type="spellStart"/>
      <w:r w:rsidRPr="00191EFF">
        <w:rPr>
          <w:rFonts w:ascii="Times New Roman" w:eastAsia="Times New Roman" w:hAnsi="Times New Roman" w:cs="Times New Roman"/>
        </w:rPr>
        <w:t>Rajwanshi</w:t>
      </w:r>
      <w:proofErr w:type="spellEnd"/>
      <w:r w:rsidRPr="00191EFF">
        <w:rPr>
          <w:rFonts w:ascii="Times New Roman" w:eastAsia="Times New Roman" w:hAnsi="Times New Roman" w:cs="Times New Roman"/>
        </w:rPr>
        <w:t xml:space="preserve"> A, Srinivasan R, Nijhawan R. Fine needle aspiration cytology of ovarian lesions: an institutional experience of 584 cases. Cytopathology. 2012;23(5):300–7.</w:t>
      </w:r>
    </w:p>
    <w:p w14:paraId="4B49B95C" w14:textId="6DAB644A"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proofErr w:type="spellStart"/>
      <w:r w:rsidRPr="00191EFF">
        <w:rPr>
          <w:rFonts w:ascii="Times New Roman" w:eastAsia="Times New Roman" w:hAnsi="Times New Roman" w:cs="Times New Roman"/>
        </w:rPr>
        <w:t>Uguz</w:t>
      </w:r>
      <w:proofErr w:type="spellEnd"/>
      <w:r w:rsidRPr="00191EFF">
        <w:rPr>
          <w:rFonts w:ascii="Times New Roman" w:eastAsia="Times New Roman" w:hAnsi="Times New Roman" w:cs="Times New Roman"/>
        </w:rPr>
        <w:t xml:space="preserve"> A, </w:t>
      </w:r>
      <w:proofErr w:type="spellStart"/>
      <w:r w:rsidRPr="00191EFF">
        <w:rPr>
          <w:rFonts w:ascii="Times New Roman" w:eastAsia="Times New Roman" w:hAnsi="Times New Roman" w:cs="Times New Roman"/>
        </w:rPr>
        <w:t>Ersoz</w:t>
      </w:r>
      <w:proofErr w:type="spellEnd"/>
      <w:r w:rsidRPr="00191EFF">
        <w:rPr>
          <w:rFonts w:ascii="Times New Roman" w:eastAsia="Times New Roman" w:hAnsi="Times New Roman" w:cs="Times New Roman"/>
        </w:rPr>
        <w:t xml:space="preserve"> C, </w:t>
      </w:r>
      <w:proofErr w:type="spellStart"/>
      <w:r w:rsidRPr="00191EFF">
        <w:rPr>
          <w:rFonts w:ascii="Times New Roman" w:eastAsia="Times New Roman" w:hAnsi="Times New Roman" w:cs="Times New Roman"/>
        </w:rPr>
        <w:t>Bolat</w:t>
      </w:r>
      <w:proofErr w:type="spellEnd"/>
      <w:r w:rsidRPr="00191EFF">
        <w:rPr>
          <w:rFonts w:ascii="Times New Roman" w:eastAsia="Times New Roman" w:hAnsi="Times New Roman" w:cs="Times New Roman"/>
        </w:rPr>
        <w:t xml:space="preserve"> F, </w:t>
      </w:r>
      <w:proofErr w:type="spellStart"/>
      <w:r w:rsidRPr="00191EFF">
        <w:rPr>
          <w:rFonts w:ascii="Times New Roman" w:eastAsia="Times New Roman" w:hAnsi="Times New Roman" w:cs="Times New Roman"/>
        </w:rPr>
        <w:t>Gokdemir</w:t>
      </w:r>
      <w:proofErr w:type="spellEnd"/>
      <w:r w:rsidRPr="00191EFF">
        <w:rPr>
          <w:rFonts w:ascii="Times New Roman" w:eastAsia="Times New Roman" w:hAnsi="Times New Roman" w:cs="Times New Roman"/>
        </w:rPr>
        <w:t xml:space="preserve"> A, Vardar MA. Fine needle aspiration cytology of ovarian lesions. Acta Cytol. 2005;49(2):144–8.</w:t>
      </w:r>
    </w:p>
    <w:p w14:paraId="6658D1E4" w14:textId="3B8766D8"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Sood T, Handa U, Mohan H, Goel P. Evaluation of aspiration cytology of ovarian masses with histopathological correlation. Cytopathology. 2010;21(3):176–85.</w:t>
      </w:r>
    </w:p>
    <w:p w14:paraId="7878FF00" w14:textId="4DC3348F"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Sengupta S, Mondal R, Bose K, Ray R, Jana S, </w:t>
      </w:r>
      <w:proofErr w:type="spellStart"/>
      <w:r w:rsidRPr="00191EFF">
        <w:rPr>
          <w:rFonts w:ascii="Times New Roman" w:eastAsia="Times New Roman" w:hAnsi="Times New Roman" w:cs="Times New Roman"/>
        </w:rPr>
        <w:t>Deoghoria</w:t>
      </w:r>
      <w:proofErr w:type="spellEnd"/>
      <w:r w:rsidRPr="00191EFF">
        <w:rPr>
          <w:rFonts w:ascii="Times New Roman" w:eastAsia="Times New Roman" w:hAnsi="Times New Roman" w:cs="Times New Roman"/>
        </w:rPr>
        <w:t xml:space="preserve"> D. Evaluation of role of ultrasound guided FNAC for diagnosis of ovarian lesions with particular reference to diagnostic pitfalls. Bangladesh J Med Sci. 2014;13(2):177–81.</w:t>
      </w:r>
    </w:p>
    <w:p w14:paraId="522A68EC" w14:textId="5474F4EA" w:rsidR="00EA10BD"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Bandyopadhyay A, Chakraborty J, Bhattacharya A, Bhattacharya P. Fine needle aspiration cytology of ovarian tumors with histological correlation. J Cytol. 2012;29(1):35–40.</w:t>
      </w:r>
    </w:p>
    <w:p w14:paraId="38F9E2A7" w14:textId="2936515B"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lang w:val="de-DE"/>
        </w:rPr>
        <w:t xml:space="preserve">Kjellgren O, Årngström T, Bergman F, Wiklund DE. </w:t>
      </w:r>
      <w:r w:rsidRPr="006A17EA">
        <w:rPr>
          <w:rFonts w:ascii="Times New Roman" w:eastAsia="Times New Roman" w:hAnsi="Times New Roman" w:cs="Times New Roman"/>
        </w:rPr>
        <w:t>Fine‐needle aspiration biopsy in diagnosis, and classification of ovarian carcinoma. Cancer. 1971;28(4):967-76.</w:t>
      </w:r>
    </w:p>
    <w:p w14:paraId="13123BD9" w14:textId="3E86F2B8"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rPr>
        <w:t>IARC. Estimated Incidence, Mortality, and Prevalence Worldwide in 2008; All Cancers (excluding non-melanoma skin cancer) 2008. Available from: http://globocan.iarc.fr/factsheet.asp, Accessed October 20, 2013</w:t>
      </w:r>
    </w:p>
    <w:p w14:paraId="6B159714" w14:textId="2333A651"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rPr>
        <w:t>Ray S, Gangopadhyay M, Bandyopadhyay A, Majumdar K, Chaudhury N. USG guided FNAC of ovarian mass lesions: A cyto-histopathological correlation, with emphasis on its role in pre-operative management guidelines. Journal of the Turkish German Gynecological Association. 2014 Mar 1;15(1):6.</w:t>
      </w:r>
    </w:p>
    <w:p w14:paraId="3651DD64" w14:textId="375ED8DC"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lastRenderedPageBreak/>
        <w:t>Wojcik EM, Selvaggi SM. Fine‐needle aspiration cytology of cystic ovarian lesions. Diagnostic cytopathology. 1994 Jul;11(1):9-14.</w:t>
      </w:r>
    </w:p>
    <w:p w14:paraId="7DA71A5E" w14:textId="16F0F5E0"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 xml:space="preserve">Shahid M, Zaheer S, Mubeen A, Rahman K, Sherwani RK. The role of intraoperative cytology in the diagnostic evaluation of ovarian neoplasms. Acta </w:t>
      </w:r>
      <w:proofErr w:type="spellStart"/>
      <w:r w:rsidRPr="00E1591B">
        <w:rPr>
          <w:rFonts w:ascii="Times New Roman" w:eastAsia="Times New Roman" w:hAnsi="Times New Roman" w:cs="Times New Roman"/>
        </w:rPr>
        <w:t>Cytologica</w:t>
      </w:r>
      <w:proofErr w:type="spellEnd"/>
      <w:r w:rsidRPr="00E1591B">
        <w:rPr>
          <w:rFonts w:ascii="Times New Roman" w:eastAsia="Times New Roman" w:hAnsi="Times New Roman" w:cs="Times New Roman"/>
        </w:rPr>
        <w:t>. 2012 Oct 1;56(5):467-73.</w:t>
      </w:r>
    </w:p>
    <w:p w14:paraId="24131ACE" w14:textId="77777777" w:rsidR="00E1591B" w:rsidRPr="00530B23" w:rsidRDefault="00E1591B" w:rsidP="00E1591B">
      <w:pPr>
        <w:pStyle w:val="ListParagraph"/>
        <w:numPr>
          <w:ilvl w:val="0"/>
          <w:numId w:val="10"/>
        </w:numPr>
        <w:spacing w:after="0"/>
        <w:jc w:val="both"/>
        <w:rPr>
          <w:rFonts w:ascii="Times New Roman" w:eastAsia="Times New Roman" w:hAnsi="Times New Roman" w:cs="Times New Roman"/>
        </w:rPr>
      </w:pPr>
      <w:r w:rsidRPr="00530B23">
        <w:rPr>
          <w:rFonts w:ascii="Times New Roman" w:eastAsia="Times New Roman" w:hAnsi="Times New Roman" w:cs="Times New Roman"/>
        </w:rPr>
        <w:t xml:space="preserve">Freedman OC, Dodge J, Shaw P, Oza AM, </w:t>
      </w:r>
      <w:proofErr w:type="spellStart"/>
      <w:r w:rsidRPr="00530B23">
        <w:rPr>
          <w:rFonts w:ascii="Times New Roman" w:eastAsia="Times New Roman" w:hAnsi="Times New Roman" w:cs="Times New Roman"/>
        </w:rPr>
        <w:t>Bernadini</w:t>
      </w:r>
      <w:proofErr w:type="spellEnd"/>
      <w:r w:rsidRPr="00530B23">
        <w:rPr>
          <w:rFonts w:ascii="Times New Roman" w:eastAsia="Times New Roman" w:hAnsi="Times New Roman" w:cs="Times New Roman"/>
        </w:rPr>
        <w:t xml:space="preserve"> M, </w:t>
      </w:r>
      <w:proofErr w:type="spellStart"/>
      <w:r w:rsidRPr="00530B23">
        <w:rPr>
          <w:rFonts w:ascii="Times New Roman" w:eastAsia="Times New Roman" w:hAnsi="Times New Roman" w:cs="Times New Roman"/>
        </w:rPr>
        <w:t>Klachook</w:t>
      </w:r>
      <w:proofErr w:type="spellEnd"/>
      <w:r w:rsidRPr="00530B23">
        <w:rPr>
          <w:rFonts w:ascii="Times New Roman" w:eastAsia="Times New Roman" w:hAnsi="Times New Roman" w:cs="Times New Roman"/>
        </w:rPr>
        <w:t xml:space="preserve"> S, Murphy KJ, Lo E, Rosen B, Mackay H. Diagnosis of epithelial ovarian carcinoma prior to neoadjuvant chemotherapy. Gynecologic oncology. 2010 Oct 1;119(1):22-5.</w:t>
      </w:r>
    </w:p>
    <w:p w14:paraId="3C2D2234" w14:textId="4F1283D5"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Malmström H. Fine-needle aspiration cytology versus core biopsies in the evaluation of recurrent gynecologic malignancies. Gynecologic oncology. 1997 Apr 1;65(1):69-73.</w:t>
      </w:r>
    </w:p>
    <w:p w14:paraId="2A8609F8" w14:textId="4BE5FBC8"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Larsen T, Torp-Pedersen ST, Ottesen M, Bostofte E, Sehested M, Rank FE, Holm HH. Abdominal ultrasound combined with histological and cytological fine needle biopsy of suspected ovarian tumors. European Journal of Obstetrics &amp; Gynecology and Reproductive Biology. 1993 Aug 1;50(3):203-9.</w:t>
      </w:r>
    </w:p>
    <w:p w14:paraId="5EF305BA" w14:textId="3AC65CEE" w:rsidR="00EE7C26" w:rsidRPr="00E1591B" w:rsidRDefault="00E1591B" w:rsidP="00E1591B">
      <w:pPr>
        <w:pStyle w:val="ListParagraph"/>
        <w:numPr>
          <w:ilvl w:val="0"/>
          <w:numId w:val="10"/>
        </w:numPr>
        <w:spacing w:after="0"/>
        <w:jc w:val="both"/>
        <w:rPr>
          <w:rFonts w:ascii="Times New Roman" w:eastAsia="Times New Roman" w:hAnsi="Times New Roman" w:cs="Times New Roman"/>
        </w:rPr>
      </w:pPr>
      <w:r w:rsidRPr="00530B23">
        <w:rPr>
          <w:rFonts w:ascii="Times New Roman" w:eastAsia="Times New Roman" w:hAnsi="Times New Roman" w:cs="Times New Roman"/>
        </w:rPr>
        <w:t xml:space="preserve">Higgins RV, </w:t>
      </w:r>
      <w:proofErr w:type="spellStart"/>
      <w:r w:rsidRPr="00530B23">
        <w:rPr>
          <w:rFonts w:ascii="Times New Roman" w:eastAsia="Times New Roman" w:hAnsi="Times New Roman" w:cs="Times New Roman"/>
        </w:rPr>
        <w:t>Matkins</w:t>
      </w:r>
      <w:proofErr w:type="spellEnd"/>
      <w:r w:rsidRPr="00530B23">
        <w:rPr>
          <w:rFonts w:ascii="Times New Roman" w:eastAsia="Times New Roman" w:hAnsi="Times New Roman" w:cs="Times New Roman"/>
        </w:rPr>
        <w:t xml:space="preserve"> JF, </w:t>
      </w:r>
      <w:proofErr w:type="spellStart"/>
      <w:r w:rsidRPr="00530B23">
        <w:rPr>
          <w:rFonts w:ascii="Times New Roman" w:eastAsia="Times New Roman" w:hAnsi="Times New Roman" w:cs="Times New Roman"/>
        </w:rPr>
        <w:t>Marroum</w:t>
      </w:r>
      <w:proofErr w:type="spellEnd"/>
      <w:r w:rsidRPr="00530B23">
        <w:rPr>
          <w:rFonts w:ascii="Times New Roman" w:eastAsia="Times New Roman" w:hAnsi="Times New Roman" w:cs="Times New Roman"/>
        </w:rPr>
        <w:t xml:space="preserve"> MC. Comparison of fine-needle aspiration cytologic findings of ovarian cysts with ovarian histologic findings. American journal of obstetrics and gynecology. 1999 Mar 1;180(3):550-3.</w:t>
      </w:r>
    </w:p>
    <w:sectPr w:rsidR="00EE7C26" w:rsidRPr="00E1591B" w:rsidSect="006B1B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E91F8" w14:textId="77777777" w:rsidR="00DB7865" w:rsidRDefault="00DB7865" w:rsidP="008664FE">
      <w:pPr>
        <w:spacing w:after="0" w:line="240" w:lineRule="auto"/>
      </w:pPr>
      <w:r>
        <w:separator/>
      </w:r>
    </w:p>
  </w:endnote>
  <w:endnote w:type="continuationSeparator" w:id="0">
    <w:p w14:paraId="0FE85ED8" w14:textId="77777777" w:rsidR="00DB7865" w:rsidRDefault="00DB7865" w:rsidP="0086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1098" w14:textId="77777777" w:rsidR="008664FE" w:rsidRDefault="0086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4382" w14:textId="77777777" w:rsidR="008664FE" w:rsidRDefault="00866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A3F4" w14:textId="77777777" w:rsidR="008664FE" w:rsidRDefault="0086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6FF7A" w14:textId="77777777" w:rsidR="00DB7865" w:rsidRDefault="00DB7865" w:rsidP="008664FE">
      <w:pPr>
        <w:spacing w:after="0" w:line="240" w:lineRule="auto"/>
      </w:pPr>
      <w:r>
        <w:separator/>
      </w:r>
    </w:p>
  </w:footnote>
  <w:footnote w:type="continuationSeparator" w:id="0">
    <w:p w14:paraId="1B8237AE" w14:textId="77777777" w:rsidR="00DB7865" w:rsidRDefault="00DB7865" w:rsidP="0086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12A0" w14:textId="303FACBB" w:rsidR="008664FE" w:rsidRDefault="008664FE">
    <w:pPr>
      <w:pStyle w:val="Header"/>
    </w:pPr>
    <w:r>
      <w:rPr>
        <w:noProof/>
      </w:rPr>
      <w:pict w14:anchorId="52CD7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8143" w14:textId="4E68F568" w:rsidR="008664FE" w:rsidRDefault="008664FE">
    <w:pPr>
      <w:pStyle w:val="Header"/>
    </w:pPr>
    <w:r>
      <w:rPr>
        <w:noProof/>
      </w:rPr>
      <w:pict w14:anchorId="1D89E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2BB2" w14:textId="227F8F07" w:rsidR="008664FE" w:rsidRDefault="008664FE">
    <w:pPr>
      <w:pStyle w:val="Header"/>
    </w:pPr>
    <w:r>
      <w:rPr>
        <w:noProof/>
      </w:rPr>
      <w:pict w14:anchorId="5BE60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7EA"/>
    <w:multiLevelType w:val="hybridMultilevel"/>
    <w:tmpl w:val="E684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57C8"/>
    <w:multiLevelType w:val="hybridMultilevel"/>
    <w:tmpl w:val="AA7E53F2"/>
    <w:lvl w:ilvl="0" w:tplc="4D007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20BD"/>
    <w:multiLevelType w:val="hybridMultilevel"/>
    <w:tmpl w:val="C22A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776A"/>
    <w:multiLevelType w:val="hybridMultilevel"/>
    <w:tmpl w:val="C204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6A68"/>
    <w:multiLevelType w:val="multilevel"/>
    <w:tmpl w:val="AE9C07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1DF286C"/>
    <w:multiLevelType w:val="hybridMultilevel"/>
    <w:tmpl w:val="48DA6A84"/>
    <w:lvl w:ilvl="0" w:tplc="AEFEDA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7EC0"/>
    <w:multiLevelType w:val="hybridMultilevel"/>
    <w:tmpl w:val="ADB2F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15CE0"/>
    <w:multiLevelType w:val="hybridMultilevel"/>
    <w:tmpl w:val="AAF0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6582B"/>
    <w:multiLevelType w:val="hybridMultilevel"/>
    <w:tmpl w:val="5762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10AF9"/>
    <w:multiLevelType w:val="multilevel"/>
    <w:tmpl w:val="5D2C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07524"/>
    <w:multiLevelType w:val="hybridMultilevel"/>
    <w:tmpl w:val="7880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54FCA"/>
    <w:multiLevelType w:val="multilevel"/>
    <w:tmpl w:val="737A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130B91"/>
    <w:multiLevelType w:val="hybridMultilevel"/>
    <w:tmpl w:val="F092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33DD7"/>
    <w:multiLevelType w:val="hybridMultilevel"/>
    <w:tmpl w:val="39C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C2701"/>
    <w:multiLevelType w:val="hybridMultilevel"/>
    <w:tmpl w:val="F5BA6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3"/>
  </w:num>
  <w:num w:numId="4">
    <w:abstractNumId w:val="1"/>
  </w:num>
  <w:num w:numId="5">
    <w:abstractNumId w:val="9"/>
  </w:num>
  <w:num w:numId="6">
    <w:abstractNumId w:val="13"/>
  </w:num>
  <w:num w:numId="7">
    <w:abstractNumId w:val="11"/>
  </w:num>
  <w:num w:numId="8">
    <w:abstractNumId w:val="10"/>
  </w:num>
  <w:num w:numId="9">
    <w:abstractNumId w:val="8"/>
  </w:num>
  <w:num w:numId="10">
    <w:abstractNumId w:val="12"/>
  </w:num>
  <w:num w:numId="11">
    <w:abstractNumId w:val="5"/>
  </w:num>
  <w:num w:numId="12">
    <w:abstractNumId w:val="6"/>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D0"/>
    <w:rsid w:val="000100A7"/>
    <w:rsid w:val="00032752"/>
    <w:rsid w:val="000A3AB7"/>
    <w:rsid w:val="000B30A9"/>
    <w:rsid w:val="000B34D3"/>
    <w:rsid w:val="000F2CB7"/>
    <w:rsid w:val="00113D30"/>
    <w:rsid w:val="00153E6C"/>
    <w:rsid w:val="00165E06"/>
    <w:rsid w:val="001901B7"/>
    <w:rsid w:val="00191EFF"/>
    <w:rsid w:val="001B2388"/>
    <w:rsid w:val="001C536A"/>
    <w:rsid w:val="002067EE"/>
    <w:rsid w:val="00212C43"/>
    <w:rsid w:val="00296B84"/>
    <w:rsid w:val="002D0EB8"/>
    <w:rsid w:val="003238E4"/>
    <w:rsid w:val="003273C8"/>
    <w:rsid w:val="003576DE"/>
    <w:rsid w:val="00360BE4"/>
    <w:rsid w:val="00396843"/>
    <w:rsid w:val="003C6367"/>
    <w:rsid w:val="003D10B1"/>
    <w:rsid w:val="00470091"/>
    <w:rsid w:val="004B465D"/>
    <w:rsid w:val="004D075E"/>
    <w:rsid w:val="004D175D"/>
    <w:rsid w:val="005075AC"/>
    <w:rsid w:val="005125A6"/>
    <w:rsid w:val="005E0BD7"/>
    <w:rsid w:val="00606F97"/>
    <w:rsid w:val="0061517B"/>
    <w:rsid w:val="00655A76"/>
    <w:rsid w:val="00661BAE"/>
    <w:rsid w:val="006A0888"/>
    <w:rsid w:val="006A17EA"/>
    <w:rsid w:val="006B1BC2"/>
    <w:rsid w:val="006E526B"/>
    <w:rsid w:val="006F622D"/>
    <w:rsid w:val="007222B7"/>
    <w:rsid w:val="00722FD2"/>
    <w:rsid w:val="007370B8"/>
    <w:rsid w:val="00751E6C"/>
    <w:rsid w:val="00760FE6"/>
    <w:rsid w:val="00781B87"/>
    <w:rsid w:val="007A68CA"/>
    <w:rsid w:val="007D1568"/>
    <w:rsid w:val="00800D06"/>
    <w:rsid w:val="008664FE"/>
    <w:rsid w:val="008966AC"/>
    <w:rsid w:val="008A6951"/>
    <w:rsid w:val="008B6A9A"/>
    <w:rsid w:val="008E1665"/>
    <w:rsid w:val="008E7416"/>
    <w:rsid w:val="0090024F"/>
    <w:rsid w:val="009039A4"/>
    <w:rsid w:val="00912FD0"/>
    <w:rsid w:val="009A115C"/>
    <w:rsid w:val="009A1E33"/>
    <w:rsid w:val="009B384D"/>
    <w:rsid w:val="009C0737"/>
    <w:rsid w:val="009E49EB"/>
    <w:rsid w:val="00A0217F"/>
    <w:rsid w:val="00AB2B3D"/>
    <w:rsid w:val="00B022A6"/>
    <w:rsid w:val="00B45D46"/>
    <w:rsid w:val="00B81C95"/>
    <w:rsid w:val="00BA0491"/>
    <w:rsid w:val="00BA6C80"/>
    <w:rsid w:val="00BA7BEC"/>
    <w:rsid w:val="00BB321B"/>
    <w:rsid w:val="00BD1F9C"/>
    <w:rsid w:val="00BE6D0D"/>
    <w:rsid w:val="00C96283"/>
    <w:rsid w:val="00D44530"/>
    <w:rsid w:val="00D87001"/>
    <w:rsid w:val="00DA3AA9"/>
    <w:rsid w:val="00DB7865"/>
    <w:rsid w:val="00E137CE"/>
    <w:rsid w:val="00E1591B"/>
    <w:rsid w:val="00E7593D"/>
    <w:rsid w:val="00E779E4"/>
    <w:rsid w:val="00E86253"/>
    <w:rsid w:val="00E93DFC"/>
    <w:rsid w:val="00EA10BD"/>
    <w:rsid w:val="00EB14B0"/>
    <w:rsid w:val="00ED5986"/>
    <w:rsid w:val="00EE7C26"/>
    <w:rsid w:val="00F63B02"/>
    <w:rsid w:val="00F66048"/>
    <w:rsid w:val="00F670F2"/>
    <w:rsid w:val="00FA5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A68AB"/>
  <w15:docId w15:val="{B3447CF5-D3CB-4408-802B-DCF6E33C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F1A"/>
  </w:style>
  <w:style w:type="paragraph" w:styleId="Heading1">
    <w:name w:val="heading 1"/>
    <w:basedOn w:val="Normal"/>
    <w:next w:val="Normal"/>
    <w:rsid w:val="006B1BC2"/>
    <w:pPr>
      <w:keepNext/>
      <w:keepLines/>
      <w:spacing w:before="480" w:after="120"/>
      <w:outlineLvl w:val="0"/>
    </w:pPr>
    <w:rPr>
      <w:b/>
      <w:sz w:val="48"/>
      <w:szCs w:val="48"/>
    </w:rPr>
  </w:style>
  <w:style w:type="paragraph" w:styleId="Heading2">
    <w:name w:val="heading 2"/>
    <w:basedOn w:val="Normal"/>
    <w:next w:val="Normal"/>
    <w:rsid w:val="006B1BC2"/>
    <w:pPr>
      <w:keepNext/>
      <w:keepLines/>
      <w:spacing w:before="360" w:after="80"/>
      <w:outlineLvl w:val="1"/>
    </w:pPr>
    <w:rPr>
      <w:b/>
      <w:sz w:val="36"/>
      <w:szCs w:val="36"/>
    </w:rPr>
  </w:style>
  <w:style w:type="paragraph" w:styleId="Heading3">
    <w:name w:val="heading 3"/>
    <w:basedOn w:val="Normal"/>
    <w:next w:val="Normal"/>
    <w:rsid w:val="006B1BC2"/>
    <w:pPr>
      <w:keepNext/>
      <w:keepLines/>
      <w:spacing w:before="280" w:after="80"/>
      <w:outlineLvl w:val="2"/>
    </w:pPr>
    <w:rPr>
      <w:b/>
      <w:sz w:val="28"/>
      <w:szCs w:val="28"/>
    </w:rPr>
  </w:style>
  <w:style w:type="paragraph" w:styleId="Heading4">
    <w:name w:val="heading 4"/>
    <w:basedOn w:val="Normal"/>
    <w:next w:val="Normal"/>
    <w:rsid w:val="006B1BC2"/>
    <w:pPr>
      <w:keepNext/>
      <w:keepLines/>
      <w:spacing w:before="240" w:after="40"/>
      <w:outlineLvl w:val="3"/>
    </w:pPr>
    <w:rPr>
      <w:b/>
      <w:sz w:val="24"/>
      <w:szCs w:val="24"/>
    </w:rPr>
  </w:style>
  <w:style w:type="paragraph" w:styleId="Heading5">
    <w:name w:val="heading 5"/>
    <w:basedOn w:val="Normal"/>
    <w:next w:val="Normal"/>
    <w:rsid w:val="006B1BC2"/>
    <w:pPr>
      <w:keepNext/>
      <w:keepLines/>
      <w:spacing w:before="220" w:after="40"/>
      <w:outlineLvl w:val="4"/>
    </w:pPr>
    <w:rPr>
      <w:b/>
    </w:rPr>
  </w:style>
  <w:style w:type="paragraph" w:styleId="Heading6">
    <w:name w:val="heading 6"/>
    <w:basedOn w:val="Normal"/>
    <w:next w:val="Normal"/>
    <w:rsid w:val="006B1B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1BC2"/>
    <w:pPr>
      <w:keepNext/>
      <w:keepLines/>
      <w:spacing w:before="480" w:after="120"/>
    </w:pPr>
    <w:rPr>
      <w:b/>
      <w:sz w:val="72"/>
      <w:szCs w:val="72"/>
    </w:rPr>
  </w:style>
  <w:style w:type="paragraph" w:styleId="ListParagraph">
    <w:name w:val="List Paragraph"/>
    <w:basedOn w:val="Normal"/>
    <w:uiPriority w:val="34"/>
    <w:qFormat/>
    <w:rsid w:val="00962417"/>
    <w:pPr>
      <w:ind w:left="720"/>
      <w:contextualSpacing/>
    </w:pPr>
  </w:style>
  <w:style w:type="table" w:customStyle="1" w:styleId="Style1">
    <w:name w:val="Style1"/>
    <w:basedOn w:val="TableNormal"/>
    <w:uiPriority w:val="99"/>
    <w:rsid w:val="007824DF"/>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style>
  <w:style w:type="paragraph" w:styleId="BalloonText">
    <w:name w:val="Balloon Text"/>
    <w:basedOn w:val="Normal"/>
    <w:link w:val="BalloonTextChar"/>
    <w:uiPriority w:val="99"/>
    <w:semiHidden/>
    <w:unhideWhenUsed/>
    <w:rsid w:val="0083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C6"/>
    <w:rPr>
      <w:rFonts w:ascii="Tahoma" w:hAnsi="Tahoma" w:cs="Tahoma"/>
      <w:sz w:val="16"/>
      <w:szCs w:val="16"/>
    </w:rPr>
  </w:style>
  <w:style w:type="paragraph" w:styleId="NoSpacing">
    <w:name w:val="No Spacing"/>
    <w:uiPriority w:val="1"/>
    <w:qFormat/>
    <w:rsid w:val="00D92215"/>
    <w:pPr>
      <w:spacing w:after="0" w:line="240" w:lineRule="auto"/>
    </w:pPr>
  </w:style>
  <w:style w:type="paragraph" w:styleId="Subtitle">
    <w:name w:val="Subtitle"/>
    <w:basedOn w:val="Normal"/>
    <w:next w:val="Normal"/>
    <w:rsid w:val="006B1BC2"/>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A1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0BD"/>
    <w:rPr>
      <w:b/>
      <w:bCs/>
    </w:rPr>
  </w:style>
  <w:style w:type="character" w:styleId="Emphasis">
    <w:name w:val="Emphasis"/>
    <w:basedOn w:val="DefaultParagraphFont"/>
    <w:uiPriority w:val="20"/>
    <w:qFormat/>
    <w:rsid w:val="00EA10BD"/>
    <w:rPr>
      <w:i/>
      <w:iCs/>
    </w:rPr>
  </w:style>
  <w:style w:type="character" w:styleId="Hyperlink">
    <w:name w:val="Hyperlink"/>
    <w:basedOn w:val="DefaultParagraphFont"/>
    <w:uiPriority w:val="99"/>
    <w:unhideWhenUsed/>
    <w:rsid w:val="00BA7BEC"/>
    <w:rPr>
      <w:color w:val="0000FF" w:themeColor="hyperlink"/>
      <w:u w:val="single"/>
    </w:rPr>
  </w:style>
  <w:style w:type="character" w:styleId="UnresolvedMention">
    <w:name w:val="Unresolved Mention"/>
    <w:basedOn w:val="DefaultParagraphFont"/>
    <w:uiPriority w:val="99"/>
    <w:semiHidden/>
    <w:unhideWhenUsed/>
    <w:rsid w:val="00BA7BEC"/>
    <w:rPr>
      <w:color w:val="605E5C"/>
      <w:shd w:val="clear" w:color="auto" w:fill="E1DFDD"/>
    </w:rPr>
  </w:style>
  <w:style w:type="paragraph" w:styleId="Header">
    <w:name w:val="header"/>
    <w:basedOn w:val="Normal"/>
    <w:link w:val="HeaderChar"/>
    <w:uiPriority w:val="99"/>
    <w:unhideWhenUsed/>
    <w:rsid w:val="00866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FE"/>
  </w:style>
  <w:style w:type="paragraph" w:styleId="Footer">
    <w:name w:val="footer"/>
    <w:basedOn w:val="Normal"/>
    <w:link w:val="FooterChar"/>
    <w:uiPriority w:val="99"/>
    <w:unhideWhenUsed/>
    <w:rsid w:val="00866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1953">
      <w:bodyDiv w:val="1"/>
      <w:marLeft w:val="0"/>
      <w:marRight w:val="0"/>
      <w:marTop w:val="0"/>
      <w:marBottom w:val="0"/>
      <w:divBdr>
        <w:top w:val="none" w:sz="0" w:space="0" w:color="auto"/>
        <w:left w:val="none" w:sz="0" w:space="0" w:color="auto"/>
        <w:bottom w:val="none" w:sz="0" w:space="0" w:color="auto"/>
        <w:right w:val="none" w:sz="0" w:space="0" w:color="auto"/>
      </w:divBdr>
    </w:div>
    <w:div w:id="145825638">
      <w:bodyDiv w:val="1"/>
      <w:marLeft w:val="0"/>
      <w:marRight w:val="0"/>
      <w:marTop w:val="0"/>
      <w:marBottom w:val="0"/>
      <w:divBdr>
        <w:top w:val="none" w:sz="0" w:space="0" w:color="auto"/>
        <w:left w:val="none" w:sz="0" w:space="0" w:color="auto"/>
        <w:bottom w:val="none" w:sz="0" w:space="0" w:color="auto"/>
        <w:right w:val="none" w:sz="0" w:space="0" w:color="auto"/>
      </w:divBdr>
    </w:div>
    <w:div w:id="230848301">
      <w:bodyDiv w:val="1"/>
      <w:marLeft w:val="0"/>
      <w:marRight w:val="0"/>
      <w:marTop w:val="0"/>
      <w:marBottom w:val="0"/>
      <w:divBdr>
        <w:top w:val="none" w:sz="0" w:space="0" w:color="auto"/>
        <w:left w:val="none" w:sz="0" w:space="0" w:color="auto"/>
        <w:bottom w:val="none" w:sz="0" w:space="0" w:color="auto"/>
        <w:right w:val="none" w:sz="0" w:space="0" w:color="auto"/>
      </w:divBdr>
    </w:div>
    <w:div w:id="332147771">
      <w:bodyDiv w:val="1"/>
      <w:marLeft w:val="0"/>
      <w:marRight w:val="0"/>
      <w:marTop w:val="0"/>
      <w:marBottom w:val="0"/>
      <w:divBdr>
        <w:top w:val="none" w:sz="0" w:space="0" w:color="auto"/>
        <w:left w:val="none" w:sz="0" w:space="0" w:color="auto"/>
        <w:bottom w:val="none" w:sz="0" w:space="0" w:color="auto"/>
        <w:right w:val="none" w:sz="0" w:space="0" w:color="auto"/>
      </w:divBdr>
    </w:div>
    <w:div w:id="405961160">
      <w:bodyDiv w:val="1"/>
      <w:marLeft w:val="0"/>
      <w:marRight w:val="0"/>
      <w:marTop w:val="0"/>
      <w:marBottom w:val="0"/>
      <w:divBdr>
        <w:top w:val="none" w:sz="0" w:space="0" w:color="auto"/>
        <w:left w:val="none" w:sz="0" w:space="0" w:color="auto"/>
        <w:bottom w:val="none" w:sz="0" w:space="0" w:color="auto"/>
        <w:right w:val="none" w:sz="0" w:space="0" w:color="auto"/>
      </w:divBdr>
    </w:div>
    <w:div w:id="419447029">
      <w:bodyDiv w:val="1"/>
      <w:marLeft w:val="0"/>
      <w:marRight w:val="0"/>
      <w:marTop w:val="0"/>
      <w:marBottom w:val="0"/>
      <w:divBdr>
        <w:top w:val="none" w:sz="0" w:space="0" w:color="auto"/>
        <w:left w:val="none" w:sz="0" w:space="0" w:color="auto"/>
        <w:bottom w:val="none" w:sz="0" w:space="0" w:color="auto"/>
        <w:right w:val="none" w:sz="0" w:space="0" w:color="auto"/>
      </w:divBdr>
    </w:div>
    <w:div w:id="428357633">
      <w:bodyDiv w:val="1"/>
      <w:marLeft w:val="0"/>
      <w:marRight w:val="0"/>
      <w:marTop w:val="0"/>
      <w:marBottom w:val="0"/>
      <w:divBdr>
        <w:top w:val="none" w:sz="0" w:space="0" w:color="auto"/>
        <w:left w:val="none" w:sz="0" w:space="0" w:color="auto"/>
        <w:bottom w:val="none" w:sz="0" w:space="0" w:color="auto"/>
        <w:right w:val="none" w:sz="0" w:space="0" w:color="auto"/>
      </w:divBdr>
    </w:div>
    <w:div w:id="467356653">
      <w:bodyDiv w:val="1"/>
      <w:marLeft w:val="0"/>
      <w:marRight w:val="0"/>
      <w:marTop w:val="0"/>
      <w:marBottom w:val="0"/>
      <w:divBdr>
        <w:top w:val="none" w:sz="0" w:space="0" w:color="auto"/>
        <w:left w:val="none" w:sz="0" w:space="0" w:color="auto"/>
        <w:bottom w:val="none" w:sz="0" w:space="0" w:color="auto"/>
        <w:right w:val="none" w:sz="0" w:space="0" w:color="auto"/>
      </w:divBdr>
    </w:div>
    <w:div w:id="538978043">
      <w:bodyDiv w:val="1"/>
      <w:marLeft w:val="0"/>
      <w:marRight w:val="0"/>
      <w:marTop w:val="0"/>
      <w:marBottom w:val="0"/>
      <w:divBdr>
        <w:top w:val="none" w:sz="0" w:space="0" w:color="auto"/>
        <w:left w:val="none" w:sz="0" w:space="0" w:color="auto"/>
        <w:bottom w:val="none" w:sz="0" w:space="0" w:color="auto"/>
        <w:right w:val="none" w:sz="0" w:space="0" w:color="auto"/>
      </w:divBdr>
    </w:div>
    <w:div w:id="574163856">
      <w:bodyDiv w:val="1"/>
      <w:marLeft w:val="0"/>
      <w:marRight w:val="0"/>
      <w:marTop w:val="0"/>
      <w:marBottom w:val="0"/>
      <w:divBdr>
        <w:top w:val="none" w:sz="0" w:space="0" w:color="auto"/>
        <w:left w:val="none" w:sz="0" w:space="0" w:color="auto"/>
        <w:bottom w:val="none" w:sz="0" w:space="0" w:color="auto"/>
        <w:right w:val="none" w:sz="0" w:space="0" w:color="auto"/>
      </w:divBdr>
    </w:div>
    <w:div w:id="592905309">
      <w:bodyDiv w:val="1"/>
      <w:marLeft w:val="0"/>
      <w:marRight w:val="0"/>
      <w:marTop w:val="0"/>
      <w:marBottom w:val="0"/>
      <w:divBdr>
        <w:top w:val="none" w:sz="0" w:space="0" w:color="auto"/>
        <w:left w:val="none" w:sz="0" w:space="0" w:color="auto"/>
        <w:bottom w:val="none" w:sz="0" w:space="0" w:color="auto"/>
        <w:right w:val="none" w:sz="0" w:space="0" w:color="auto"/>
      </w:divBdr>
    </w:div>
    <w:div w:id="686177313">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
    <w:div w:id="1375160297">
      <w:bodyDiv w:val="1"/>
      <w:marLeft w:val="0"/>
      <w:marRight w:val="0"/>
      <w:marTop w:val="0"/>
      <w:marBottom w:val="0"/>
      <w:divBdr>
        <w:top w:val="none" w:sz="0" w:space="0" w:color="auto"/>
        <w:left w:val="none" w:sz="0" w:space="0" w:color="auto"/>
        <w:bottom w:val="none" w:sz="0" w:space="0" w:color="auto"/>
        <w:right w:val="none" w:sz="0" w:space="0" w:color="auto"/>
      </w:divBdr>
    </w:div>
    <w:div w:id="1689985811">
      <w:bodyDiv w:val="1"/>
      <w:marLeft w:val="0"/>
      <w:marRight w:val="0"/>
      <w:marTop w:val="0"/>
      <w:marBottom w:val="0"/>
      <w:divBdr>
        <w:top w:val="none" w:sz="0" w:space="0" w:color="auto"/>
        <w:left w:val="none" w:sz="0" w:space="0" w:color="auto"/>
        <w:bottom w:val="none" w:sz="0" w:space="0" w:color="auto"/>
        <w:right w:val="none" w:sz="0" w:space="0" w:color="auto"/>
      </w:divBdr>
    </w:div>
    <w:div w:id="1823424130">
      <w:bodyDiv w:val="1"/>
      <w:marLeft w:val="0"/>
      <w:marRight w:val="0"/>
      <w:marTop w:val="0"/>
      <w:marBottom w:val="0"/>
      <w:divBdr>
        <w:top w:val="none" w:sz="0" w:space="0" w:color="auto"/>
        <w:left w:val="none" w:sz="0" w:space="0" w:color="auto"/>
        <w:bottom w:val="none" w:sz="0" w:space="0" w:color="auto"/>
        <w:right w:val="none" w:sz="0" w:space="0" w:color="auto"/>
      </w:divBdr>
    </w:div>
    <w:div w:id="1829202053">
      <w:bodyDiv w:val="1"/>
      <w:marLeft w:val="0"/>
      <w:marRight w:val="0"/>
      <w:marTop w:val="0"/>
      <w:marBottom w:val="0"/>
      <w:divBdr>
        <w:top w:val="none" w:sz="0" w:space="0" w:color="auto"/>
        <w:left w:val="none" w:sz="0" w:space="0" w:color="auto"/>
        <w:bottom w:val="none" w:sz="0" w:space="0" w:color="auto"/>
        <w:right w:val="none" w:sz="0" w:space="0" w:color="auto"/>
      </w:divBdr>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47695183">
      <w:bodyDiv w:val="1"/>
      <w:marLeft w:val="0"/>
      <w:marRight w:val="0"/>
      <w:marTop w:val="0"/>
      <w:marBottom w:val="0"/>
      <w:divBdr>
        <w:top w:val="none" w:sz="0" w:space="0" w:color="auto"/>
        <w:left w:val="none" w:sz="0" w:space="0" w:color="auto"/>
        <w:bottom w:val="none" w:sz="0" w:space="0" w:color="auto"/>
        <w:right w:val="none" w:sz="0" w:space="0" w:color="auto"/>
      </w:divBdr>
    </w:div>
    <w:div w:id="195725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gCid/5dQUuntuKmOR8s2kASuQ==">CgMxLjAyCGguZ2pkZ3hzOAByITFOMVBaX3BMcHptMXNaZEQtNUJqSEtxc2FpdnhXZXJYaA==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12</cp:revision>
  <dcterms:created xsi:type="dcterms:W3CDTF">2025-09-06T05:51:00Z</dcterms:created>
  <dcterms:modified xsi:type="dcterms:W3CDTF">2025-09-09T10:24:00Z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3ebfaef6-76f4-4073-8d5b-46d58711744f</vt:lpwstr>
  </property>
</Properties>
</file>