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C7E7" w14:textId="77777777" w:rsidR="005179CE" w:rsidRDefault="00A8738B">
      <w:pPr>
        <w:pStyle w:val="Heading21"/>
        <w:spacing w:line="360" w:lineRule="auto"/>
        <w:jc w:val="center"/>
        <w:rPr>
          <w:rFonts w:ascii="Times New Roman" w:hAnsi="Times New Roman" w:cs="Times New Roman"/>
          <w:color w:val="auto"/>
          <w:sz w:val="24"/>
          <w:szCs w:val="24"/>
        </w:rPr>
      </w:pPr>
      <w:bookmarkStart w:id="0" w:name="abstract"/>
      <w:bookmarkStart w:id="1" w:name="Xb0d5e3d683b359cfce11759d3174c02bccef2c5"/>
      <w:r>
        <w:rPr>
          <w:rFonts w:ascii="Times New Roman" w:hAnsi="Times New Roman" w:cs="Times New Roman"/>
          <w:color w:val="auto"/>
          <w:sz w:val="24"/>
          <w:szCs w:val="24"/>
        </w:rPr>
        <w:t>Lung Cancer in Never-Smokers: Integrating Histopathological Patterns, Molecular Profiles, and Therapeutic Strategies</w:t>
      </w:r>
    </w:p>
    <w:p w14:paraId="108A9A46" w14:textId="77777777" w:rsidR="005179CE" w:rsidRDefault="005179CE">
      <w:pPr>
        <w:pStyle w:val="Heading21"/>
        <w:spacing w:line="360" w:lineRule="auto"/>
        <w:jc w:val="center"/>
        <w:rPr>
          <w:rFonts w:ascii="Times New Roman" w:hAnsi="Times New Roman" w:cs="Times New Roman"/>
          <w:color w:val="auto"/>
          <w:sz w:val="24"/>
          <w:szCs w:val="24"/>
        </w:rPr>
      </w:pPr>
    </w:p>
    <w:p w14:paraId="4E9CACE6" w14:textId="3FDDC9B4" w:rsidR="005179CE" w:rsidRDefault="005179CE">
      <w:pPr>
        <w:pStyle w:val="Heading21"/>
        <w:spacing w:line="360" w:lineRule="auto"/>
        <w:jc w:val="both"/>
      </w:pPr>
      <w:bookmarkStart w:id="2" w:name="_GoBack"/>
      <w:bookmarkEnd w:id="2"/>
    </w:p>
    <w:p w14:paraId="6BA1E4D8" w14:textId="77777777" w:rsidR="005179CE" w:rsidRDefault="00A8738B">
      <w:pPr>
        <w:pStyle w:val="Heading21"/>
        <w:spacing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Abstra</w:t>
      </w:r>
      <w:bookmarkStart w:id="3" w:name="Xe3d0fc0bea9a42ce7605565d0964033d7f6ee47"/>
      <w:bookmarkEnd w:id="0"/>
      <w:r>
        <w:rPr>
          <w:rFonts w:ascii="Times New Roman" w:hAnsi="Times New Roman" w:cs="Times New Roman"/>
          <w:color w:val="auto"/>
          <w:sz w:val="24"/>
          <w:szCs w:val="24"/>
        </w:rPr>
        <w:t>ct——</w:t>
      </w:r>
      <w:r>
        <w:rPr>
          <w:rFonts w:ascii="Times New Roman" w:hAnsi="Times New Roman" w:cs="Times New Roman"/>
          <w:b w:val="0"/>
          <w:bCs w:val="0"/>
          <w:color w:val="auto"/>
          <w:sz w:val="24"/>
          <w:szCs w:val="24"/>
        </w:rPr>
        <w:t>Never-smoker lung cancer is a unique clinical and pathological disease that comprises 10-25 percent of all cases of lung cancer in the world, and has a specific epidemi</w:t>
      </w:r>
      <w:r>
        <w:rPr>
          <w:rFonts w:ascii="Times New Roman" w:hAnsi="Times New Roman" w:cs="Times New Roman"/>
          <w:b w:val="0"/>
          <w:bCs w:val="0"/>
          <w:color w:val="auto"/>
          <w:sz w:val="24"/>
          <w:szCs w:val="24"/>
        </w:rPr>
        <w:t xml:space="preserve">ology, histopathology, and molecular profile that is fundamentally different than smoking related disease. This narrative literature review looks at the specific histopathological characteristics that define this significant constituent subset of patients </w:t>
      </w:r>
      <w:r>
        <w:rPr>
          <w:rFonts w:ascii="Times New Roman" w:hAnsi="Times New Roman" w:cs="Times New Roman"/>
          <w:b w:val="0"/>
          <w:bCs w:val="0"/>
          <w:color w:val="auto"/>
          <w:sz w:val="24"/>
          <w:szCs w:val="24"/>
        </w:rPr>
        <w:t>with lung cancer. We are able to systematically review published studies and show that never-smokers stately receive well differentiated adenocarcinoma (85-90% vs 40-50% in smokers) and characteristic morphological patterns that include lepidic growth, aci</w:t>
      </w:r>
      <w:r>
        <w:rPr>
          <w:rFonts w:ascii="Times New Roman" w:hAnsi="Times New Roman" w:cs="Times New Roman"/>
          <w:b w:val="0"/>
          <w:bCs w:val="0"/>
          <w:color w:val="auto"/>
          <w:sz w:val="24"/>
          <w:szCs w:val="24"/>
        </w:rPr>
        <w:t>nar architectures, and papillary patterns that closely correspond to unique molecular drivers. Immunohistochemistry results in more than twice the TTF-1 expression in never-smokers (80-90% vs 60-70%), twofold higher Napsin A even in smokers (85-95% vs 70-8</w:t>
      </w:r>
      <w:r>
        <w:rPr>
          <w:rFonts w:ascii="Times New Roman" w:hAnsi="Times New Roman" w:cs="Times New Roman"/>
          <w:b w:val="0"/>
          <w:bCs w:val="0"/>
          <w:color w:val="auto"/>
          <w:sz w:val="24"/>
          <w:szCs w:val="24"/>
        </w:rPr>
        <w:t>0%), and targetable oncogenic drivers are markedly enriched using molecular profiling (EGFR mutations 40-50% vs 10-15%; ALK rearrangements 5-10% vs rare; ROS1 fusions Combination of morphological patterns and immunohistochemical pattern and molecular chang</w:t>
      </w:r>
      <w:r>
        <w:rPr>
          <w:rFonts w:ascii="Times New Roman" w:hAnsi="Times New Roman" w:cs="Times New Roman"/>
          <w:b w:val="0"/>
          <w:bCs w:val="0"/>
          <w:color w:val="auto"/>
          <w:sz w:val="24"/>
          <w:szCs w:val="24"/>
        </w:rPr>
        <w:t>es has important diagnostic and treatment implications as histological characteristics may presage molecular status and choice of targeted treatment in this population. The future of optimizing diagnosis and treatment of never-smokers with lung cancer lies</w:t>
      </w:r>
      <w:r>
        <w:rPr>
          <w:rFonts w:ascii="Times New Roman" w:hAnsi="Times New Roman" w:cs="Times New Roman"/>
          <w:b w:val="0"/>
          <w:bCs w:val="0"/>
          <w:color w:val="auto"/>
          <w:sz w:val="24"/>
          <w:szCs w:val="24"/>
        </w:rPr>
        <w:t xml:space="preserve"> in the emerging technologies such as liquid biopsy and AI- enabled pathology as well as the historically agnostic therapeutic strategies that are based on targeting specific molecular drivers in an independent manner of current morphological subtype. This</w:t>
      </w:r>
      <w:r>
        <w:rPr>
          <w:rFonts w:ascii="Times New Roman" w:hAnsi="Times New Roman" w:cs="Times New Roman"/>
          <w:b w:val="0"/>
          <w:bCs w:val="0"/>
          <w:color w:val="auto"/>
          <w:sz w:val="24"/>
          <w:szCs w:val="24"/>
        </w:rPr>
        <w:t xml:space="preserve"> review summarizes recent evidence that integrated morphologic, immunohistochemical, and molecular analysis is critically needed to make accurate diagnosis, form appropriate molecular test plans, and effective therapeutic decisions in never-smoker lung can</w:t>
      </w:r>
      <w:r>
        <w:rPr>
          <w:rFonts w:ascii="Times New Roman" w:hAnsi="Times New Roman" w:cs="Times New Roman"/>
          <w:b w:val="0"/>
          <w:bCs w:val="0"/>
          <w:color w:val="auto"/>
          <w:sz w:val="24"/>
          <w:szCs w:val="24"/>
        </w:rPr>
        <w:t>cer patients.</w:t>
      </w:r>
    </w:p>
    <w:p w14:paraId="3CD524E3" w14:textId="77777777" w:rsidR="005179CE" w:rsidRDefault="00A8738B">
      <w:pPr>
        <w:pStyle w:val="Heading1"/>
        <w:tabs>
          <w:tab w:val="center" w:pos="4253"/>
        </w:tabs>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 xml:space="preserve">Keywords: </w:t>
      </w:r>
      <w:r>
        <w:rPr>
          <w:rFonts w:ascii="Times New Roman" w:hAnsi="Times New Roman" w:cs="Times New Roman"/>
          <w:b w:val="0"/>
          <w:bCs w:val="0"/>
          <w:color w:val="auto"/>
          <w:sz w:val="24"/>
          <w:szCs w:val="24"/>
        </w:rPr>
        <w:t>lung adenocarcinoma, never-smoking, histopathology, adenocarcinoma, molecular marker, immunohistochemistry, targeted therapy, literature review</w:t>
      </w:r>
    </w:p>
    <w:p w14:paraId="57F4DA07" w14:textId="77777777" w:rsidR="005179CE" w:rsidRDefault="005179CE">
      <w:pPr>
        <w:pStyle w:val="Heading21"/>
        <w:spacing w:line="360" w:lineRule="auto"/>
        <w:jc w:val="both"/>
        <w:rPr>
          <w:rFonts w:ascii="Times New Roman" w:hAnsi="Times New Roman" w:cs="Times New Roman"/>
          <w:color w:val="auto"/>
          <w:sz w:val="24"/>
          <w:szCs w:val="24"/>
        </w:rPr>
      </w:pPr>
    </w:p>
    <w:p w14:paraId="675D15E8" w14:textId="77777777" w:rsidR="005179CE" w:rsidRDefault="005179CE">
      <w:pPr>
        <w:pStyle w:val="BodyText"/>
      </w:pPr>
    </w:p>
    <w:p w14:paraId="791E5D8A" w14:textId="77777777" w:rsidR="005179CE" w:rsidRDefault="00A8738B">
      <w:pPr>
        <w:pStyle w:val="Heading2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 Introduction</w:t>
      </w:r>
    </w:p>
    <w:p w14:paraId="1CF7656E"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 xml:space="preserve">Lung cancer remains the leading cause of cancer-related mortality </w:t>
      </w:r>
      <w:r>
        <w:rPr>
          <w:rFonts w:ascii="Times New Roman" w:hAnsi="Times New Roman" w:cs="Times New Roman"/>
        </w:rPr>
        <w:t>worldwide, traditionally associated with tobacco smoking. However, approximately 10-25% of lung cancers occur in never-smokers, defined as individuals who have smoked fewer than 100 cigarettes in their lifetime (Samet et al., 2009; Parkin et al., 2005). Th</w:t>
      </w:r>
      <w:r>
        <w:rPr>
          <w:rFonts w:ascii="Times New Roman" w:hAnsi="Times New Roman" w:cs="Times New Roman"/>
        </w:rPr>
        <w:t>is demographic represents a distinct clinical entity with unique epidemiological, histopathological, and molecular characteristics that warrant separate investigation and therapeutic consideration.</w:t>
      </w:r>
    </w:p>
    <w:p w14:paraId="59FAEED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epidemiological landscape of lung cancer has undergone</w:t>
      </w:r>
      <w:r>
        <w:rPr>
          <w:rFonts w:ascii="Times New Roman" w:hAnsi="Times New Roman" w:cs="Times New Roman"/>
        </w:rPr>
        <w:t xml:space="preserve"> significant transformation over recent decades. While overall lung cancer incidence has declined in developed countries due to smoking cessation efforts, the proportion of cases occurring in never-smokers has proportionally increased (Houston et al., 2014</w:t>
      </w:r>
      <w:r>
        <w:rPr>
          <w:rFonts w:ascii="Times New Roman" w:hAnsi="Times New Roman" w:cs="Times New Roman"/>
        </w:rPr>
        <w:t>). This shift is particularly pronounced among women and younger patients, with adenocarcinoma emerging as the predominant histological subtype in this population (Wakelee et al., 2007).</w:t>
      </w:r>
    </w:p>
    <w:p w14:paraId="0AA8E188"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Histopathological analysis plays a crucial role in understanding the </w:t>
      </w:r>
      <w:r>
        <w:rPr>
          <w:rFonts w:ascii="Times New Roman" w:hAnsi="Times New Roman" w:cs="Times New Roman"/>
        </w:rPr>
        <w:t xml:space="preserve">biological behavior and therapeutic implications of lung cancer in never-smokers. The morphological patterns, growth characteristics, and cellular differentiation observed in never-smokers often differ substantially from those seen in smoking-related lung </w:t>
      </w:r>
      <w:r>
        <w:rPr>
          <w:rFonts w:ascii="Times New Roman" w:hAnsi="Times New Roman" w:cs="Times New Roman"/>
        </w:rPr>
        <w:t>cancers (Travis et al., 2015). These differences extend beyond mere histological appearance to encompass immunohistochemical expression profiles and underlying molecular alterations that drive tumorigenesis.</w:t>
      </w:r>
    </w:p>
    <w:p w14:paraId="0BE0DFD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importance of accurate histopathological cha</w:t>
      </w:r>
      <w:r>
        <w:rPr>
          <w:rFonts w:ascii="Times New Roman" w:hAnsi="Times New Roman" w:cs="Times New Roman"/>
        </w:rPr>
        <w:t>racterization in never-smokers cannot be overstated, as it directly impacts therapeutic decision-making in the era of personalized medicine. The enrichment of specific oncogenic drivers such as EGFR mutations, ALK rearrangements, and ROS1 fusions in never-</w:t>
      </w:r>
      <w:r>
        <w:rPr>
          <w:rFonts w:ascii="Times New Roman" w:hAnsi="Times New Roman" w:cs="Times New Roman"/>
        </w:rPr>
        <w:t xml:space="preserve">smokers necessitates </w:t>
      </w:r>
      <w:r>
        <w:rPr>
          <w:rFonts w:ascii="Times New Roman" w:hAnsi="Times New Roman" w:cs="Times New Roman"/>
        </w:rPr>
        <w:lastRenderedPageBreak/>
        <w:t>precise histological diagnosis to guide appropriate molecular testing and targeted therapy selection (Lindeman et al., 2018).</w:t>
      </w:r>
    </w:p>
    <w:p w14:paraId="4CF744B8"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This comparative study aims to comprehensively examine the histopathological features that distinguish lung c</w:t>
      </w:r>
      <w:r>
        <w:rPr>
          <w:rFonts w:ascii="Times New Roman" w:hAnsi="Times New Roman" w:cs="Times New Roman"/>
        </w:rPr>
        <w:t>ancer in never-smokers from their smoking counterparts, with particular emphasis on morphological patterns, immunohistochemical profiles, molecular correlations, and their therapeutic implications. The scope encompasses diagnostic challenges, emerging mole</w:t>
      </w:r>
      <w:r>
        <w:rPr>
          <w:rFonts w:ascii="Times New Roman" w:hAnsi="Times New Roman" w:cs="Times New Roman"/>
        </w:rPr>
        <w:t>cular techniques, and future directions for optimizing patient care in this unique population.</w:t>
      </w:r>
    </w:p>
    <w:p w14:paraId="451420FC" w14:textId="77777777" w:rsidR="005179CE" w:rsidRDefault="00A8738B">
      <w:pPr>
        <w:pStyle w:val="Heading21"/>
        <w:spacing w:line="360" w:lineRule="auto"/>
        <w:jc w:val="both"/>
        <w:rPr>
          <w:rFonts w:ascii="Times New Roman" w:hAnsi="Times New Roman" w:cs="Times New Roman"/>
          <w:color w:val="auto"/>
          <w:sz w:val="24"/>
          <w:szCs w:val="24"/>
        </w:rPr>
      </w:pPr>
      <w:bookmarkStart w:id="4" w:name="X477d4ea9e9ff238741cde3b5cbc16ab2d0dbbfc"/>
      <w:bookmarkEnd w:id="3"/>
      <w:r>
        <w:rPr>
          <w:rFonts w:ascii="Times New Roman" w:hAnsi="Times New Roman" w:cs="Times New Roman"/>
          <w:color w:val="auto"/>
          <w:sz w:val="24"/>
          <w:szCs w:val="24"/>
        </w:rPr>
        <w:t>2. Histological Landscape of Lung Cancer in Never-Smokers</w:t>
      </w:r>
    </w:p>
    <w:p w14:paraId="30422ABB"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The histological distribution of lung cancer in never-smokers demonstrates remarkable uniformity across</w:t>
      </w:r>
      <w:r>
        <w:rPr>
          <w:rFonts w:ascii="Times New Roman" w:hAnsi="Times New Roman" w:cs="Times New Roman"/>
        </w:rPr>
        <w:t xml:space="preserve"> different populations and geographic regions. Adenocarcinoma accounts for 85-90% of cases in never-smokers, compared to approximately 40-50% in smokers (Subramanian &amp; Govindan, 2007). This predominance is consistent regardless of gender, ethnicity, or geo</w:t>
      </w:r>
      <w:r>
        <w:rPr>
          <w:rFonts w:ascii="Times New Roman" w:hAnsi="Times New Roman" w:cs="Times New Roman"/>
        </w:rPr>
        <w:t>graphic location, suggesting fundamental biological differences in carcinogenesis pathways between smoking-related and non-smoking-related lung cancers.</w:t>
      </w:r>
    </w:p>
    <w:p w14:paraId="756E10D6"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Morphologically, adenocarcinomas in never-smokers exhibit distinct architectural patterns that reflect </w:t>
      </w:r>
      <w:r>
        <w:rPr>
          <w:rFonts w:ascii="Times New Roman" w:hAnsi="Times New Roman" w:cs="Times New Roman"/>
        </w:rPr>
        <w:t>their unique pathogenesis. The lepidic growth pattern is significantly more common in never-smokers, manifesting as tumor cells growing along intact alveolar walls without stromal invasion (Yoshizawa et al., 2011). This pattern is often associated with gro</w:t>
      </w:r>
      <w:r>
        <w:rPr>
          <w:rFonts w:ascii="Times New Roman" w:hAnsi="Times New Roman" w:cs="Times New Roman"/>
        </w:rPr>
        <w:t>und-glass opacities on imaging and represents the in-situ component of adenocarcinoma spectrum. The acinar pattern, characterized by glandular structures with central lumina, is also frequently observed and tends to be well-differentiated with regular nucl</w:t>
      </w:r>
      <w:r>
        <w:rPr>
          <w:rFonts w:ascii="Times New Roman" w:hAnsi="Times New Roman" w:cs="Times New Roman"/>
        </w:rPr>
        <w:t>ear features.</w:t>
      </w:r>
    </w:p>
    <w:p w14:paraId="1A88D7D5"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Papillary adenocarcinoma, featuring complex papillary structures with fibrovascular cores, shows higher prevalence in never-smokers compared to smokers. These tumors often display well-preserved cellular architecture with minimal pleomorphism</w:t>
      </w:r>
      <w:r>
        <w:rPr>
          <w:rFonts w:ascii="Times New Roman" w:hAnsi="Times New Roman" w:cs="Times New Roman"/>
        </w:rPr>
        <w:t xml:space="preserve"> and lower mitotic rates (Russell et al., 2011). The solid pattern with mucin production, while less common, when present in never-smokers, typically retains some degree of differentiation and lacks the extensive necrosis often seen in smoking-related case</w:t>
      </w:r>
      <w:r>
        <w:rPr>
          <w:rFonts w:ascii="Times New Roman" w:hAnsi="Times New Roman" w:cs="Times New Roman"/>
        </w:rPr>
        <w:t>s.</w:t>
      </w:r>
    </w:p>
    <w:p w14:paraId="0ECCC40C"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lastRenderedPageBreak/>
        <w:t>Squamous cell carcinoma is relatively uncommon in never-smokers, accounting for less than 10% of cases compared to 30-40% in heavy smokers (</w:t>
      </w:r>
      <w:proofErr w:type="spellStart"/>
      <w:r>
        <w:rPr>
          <w:rFonts w:ascii="Times New Roman" w:hAnsi="Times New Roman" w:cs="Times New Roman"/>
        </w:rPr>
        <w:t>Pelosof</w:t>
      </w:r>
      <w:proofErr w:type="spellEnd"/>
      <w:r>
        <w:rPr>
          <w:rFonts w:ascii="Times New Roman" w:hAnsi="Times New Roman" w:cs="Times New Roman"/>
        </w:rPr>
        <w:t xml:space="preserve"> et al., 2017). When squamous cell carcinoma does occur in never-smokers, it tends to be well-differentiat</w:t>
      </w:r>
      <w:r>
        <w:rPr>
          <w:rFonts w:ascii="Times New Roman" w:hAnsi="Times New Roman" w:cs="Times New Roman"/>
        </w:rPr>
        <w:t>ed with prominent keratinization and intercellular bridges, contrasting with the poorly differentiated, high-grade squamous carcinomas typical of smoking-related cases.</w:t>
      </w:r>
    </w:p>
    <w:p w14:paraId="6089C6A4" w14:textId="77777777" w:rsidR="005179CE" w:rsidRDefault="005179CE">
      <w:pPr>
        <w:pStyle w:val="BodyText"/>
        <w:spacing w:line="360" w:lineRule="auto"/>
        <w:jc w:val="center"/>
        <w:rPr>
          <w:rFonts w:ascii="Times New Roman" w:hAnsi="Times New Roman" w:cs="Times New Roman"/>
        </w:rPr>
      </w:pPr>
    </w:p>
    <w:p w14:paraId="209669F5" w14:textId="77777777" w:rsidR="005179CE" w:rsidRDefault="00A8738B">
      <w:pPr>
        <w:pStyle w:val="BodyText"/>
        <w:spacing w:line="360" w:lineRule="auto"/>
        <w:jc w:val="center"/>
        <w:rPr>
          <w:rFonts w:ascii="Times New Roman" w:hAnsi="Times New Roman" w:cs="Times New Roman"/>
          <w:i/>
          <w:iCs/>
          <w:sz w:val="20"/>
          <w:szCs w:val="20"/>
        </w:rPr>
      </w:pPr>
      <w:r>
        <w:rPr>
          <w:rStyle w:val="Strong"/>
          <w:rFonts w:ascii="Times New Roman" w:eastAsia="SimSun" w:hAnsi="Times New Roman" w:cs="Times New Roman"/>
          <w:i/>
          <w:iCs/>
          <w:sz w:val="20"/>
          <w:szCs w:val="20"/>
        </w:rPr>
        <w:t>Figure 1. Histological Distribution of Lung Cancer by Smoking Status</w:t>
      </w:r>
      <w:r>
        <w:rPr>
          <w:rFonts w:ascii="Times New Roman" w:eastAsia="SimSun" w:hAnsi="Times New Roman" w:cs="Times New Roman"/>
          <w:i/>
          <w:iCs/>
          <w:sz w:val="20"/>
          <w:szCs w:val="20"/>
        </w:rPr>
        <w:t xml:space="preserve"> </w:t>
      </w:r>
    </w:p>
    <w:p w14:paraId="456B9074" w14:textId="77777777" w:rsidR="005179CE" w:rsidRDefault="00A8738B">
      <w:pPr>
        <w:pStyle w:val="BodyText"/>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67A9D436" wp14:editId="793F173F">
            <wp:extent cx="4178935" cy="1642745"/>
            <wp:effectExtent l="0" t="0" r="12065" b="1460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4179026" cy="1643062"/>
                    </a:xfrm>
                    <a:prstGeom prst="rect">
                      <a:avLst/>
                    </a:prstGeom>
                  </pic:spPr>
                </pic:pic>
              </a:graphicData>
            </a:graphic>
          </wp:inline>
        </w:drawing>
      </w:r>
    </w:p>
    <w:p w14:paraId="4A9191AD" w14:textId="77777777" w:rsidR="005179CE" w:rsidRDefault="00A8738B">
      <w:pPr>
        <w:pStyle w:val="BodyText"/>
        <w:spacing w:line="360" w:lineRule="auto"/>
        <w:jc w:val="center"/>
        <w:rPr>
          <w:rFonts w:ascii="Times New Roman" w:hAnsi="Times New Roman" w:cs="Times New Roman"/>
          <w:i/>
          <w:iCs/>
          <w:sz w:val="18"/>
          <w:szCs w:val="18"/>
        </w:rPr>
      </w:pPr>
      <w:r>
        <w:rPr>
          <w:rFonts w:ascii="Times New Roman" w:eastAsia="SimSun" w:hAnsi="Times New Roman" w:cs="Times New Roman"/>
          <w:i/>
          <w:iCs/>
          <w:sz w:val="18"/>
          <w:szCs w:val="18"/>
        </w:rPr>
        <w:t xml:space="preserve">Bar comparing </w:t>
      </w:r>
      <w:r>
        <w:rPr>
          <w:rFonts w:ascii="Times New Roman" w:eastAsia="SimSun" w:hAnsi="Times New Roman" w:cs="Times New Roman"/>
          <w:i/>
          <w:iCs/>
          <w:sz w:val="18"/>
          <w:szCs w:val="18"/>
        </w:rPr>
        <w:t>the prevalence of different histological subtypes between never-smokers and smokers. Adenocarcinoma predominates in never-smokers (85-90%) compared to smokers (40-50%), while squamous cell carcinoma and small cell carcinoma are markedly reduced in never-sm</w:t>
      </w:r>
      <w:r>
        <w:rPr>
          <w:rFonts w:ascii="Times New Roman" w:eastAsia="SimSun" w:hAnsi="Times New Roman" w:cs="Times New Roman"/>
          <w:i/>
          <w:iCs/>
          <w:sz w:val="18"/>
          <w:szCs w:val="18"/>
        </w:rPr>
        <w:t>okers.</w:t>
      </w:r>
    </w:p>
    <w:p w14:paraId="4D8E6407"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Small cell lung carcinoma is exceptionally rare in never-smokers, representing less than 5% of cases. This stark contrast with the 15-20% incidence in smokers underscores the strong association between small cell carcinoma and tobacco carcinogens (G</w:t>
      </w:r>
      <w:r>
        <w:rPr>
          <w:rFonts w:ascii="Times New Roman" w:hAnsi="Times New Roman" w:cs="Times New Roman"/>
        </w:rPr>
        <w:t>ovindan et al., 2006). Large cell carcinoma and other rare histological subtypes collectively account for the remaining cases in never-smokers.</w:t>
      </w:r>
    </w:p>
    <w:p w14:paraId="6AA033A3"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Environmental and genetic risk factors play crucial roles in shaping the histological landscape in never-smokers</w:t>
      </w:r>
      <w:r>
        <w:rPr>
          <w:rFonts w:ascii="Times New Roman" w:hAnsi="Times New Roman" w:cs="Times New Roman"/>
        </w:rPr>
        <w:t>. Radon exposure, air pollution, occupational carcinogens, and secondhand smoke contribute to adenocarcinoma development through different molecular pathways than direct tobacco exposure (Malhotra et al., 2016). Genetic predisposition, including germline m</w:t>
      </w:r>
      <w:r>
        <w:rPr>
          <w:rFonts w:ascii="Times New Roman" w:hAnsi="Times New Roman" w:cs="Times New Roman"/>
        </w:rPr>
        <w:t>utations in EGFR, TP53, and DNA repair genes, influences both susceptibility and histological patterns in never-smokers.</w:t>
      </w:r>
    </w:p>
    <w:p w14:paraId="1EE9DEEA" w14:textId="77777777" w:rsidR="005179CE" w:rsidRDefault="00A8738B">
      <w:pPr>
        <w:keepNext/>
        <w:keepLines/>
        <w:spacing w:before="200" w:line="360" w:lineRule="auto"/>
        <w:jc w:val="both"/>
        <w:outlineLvl w:val="1"/>
        <w:rPr>
          <w:rFonts w:ascii="Times New Roman" w:hAnsi="Times New Roman" w:cs="Times New Roman"/>
        </w:rPr>
      </w:pPr>
      <w:r>
        <w:rPr>
          <w:rFonts w:ascii="Times New Roman" w:eastAsia="MS Gothic" w:hAnsi="Times New Roman" w:cs="Times New Roman"/>
          <w:b/>
          <w:bCs/>
        </w:rPr>
        <w:t>Table 1: Histological Subtype Distribution</w:t>
      </w:r>
    </w:p>
    <w:tbl>
      <w:tblPr>
        <w:tblStyle w:val="TableGrid"/>
        <w:tblW w:w="8499" w:type="dxa"/>
        <w:jc w:val="center"/>
        <w:tblLayout w:type="fixed"/>
        <w:tblLook w:val="04A0" w:firstRow="1" w:lastRow="0" w:firstColumn="1" w:lastColumn="0" w:noHBand="0" w:noVBand="1"/>
      </w:tblPr>
      <w:tblGrid>
        <w:gridCol w:w="2843"/>
        <w:gridCol w:w="2828"/>
        <w:gridCol w:w="2828"/>
      </w:tblGrid>
      <w:tr w:rsidR="005179CE" w14:paraId="5B3A7426"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0D1983AA"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Histological Subtype</w:t>
            </w:r>
          </w:p>
        </w:tc>
        <w:tc>
          <w:tcPr>
            <w:tcW w:w="2828" w:type="dxa"/>
            <w:tcBorders>
              <w:top w:val="single" w:sz="4" w:space="0" w:color="000000"/>
              <w:left w:val="single" w:sz="4" w:space="0" w:color="000000"/>
              <w:bottom w:val="single" w:sz="4" w:space="0" w:color="000000"/>
              <w:right w:val="single" w:sz="4" w:space="0" w:color="000000"/>
            </w:tcBorders>
          </w:tcPr>
          <w:p w14:paraId="26DCBD44"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Never-Smokers (%)</w:t>
            </w:r>
          </w:p>
        </w:tc>
        <w:tc>
          <w:tcPr>
            <w:tcW w:w="2828" w:type="dxa"/>
            <w:tcBorders>
              <w:top w:val="single" w:sz="4" w:space="0" w:color="000000"/>
              <w:left w:val="single" w:sz="4" w:space="0" w:color="000000"/>
              <w:bottom w:val="single" w:sz="4" w:space="0" w:color="000000"/>
              <w:right w:val="single" w:sz="4" w:space="0" w:color="000000"/>
            </w:tcBorders>
          </w:tcPr>
          <w:p w14:paraId="7D55AF7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Smokers (%)</w:t>
            </w:r>
          </w:p>
        </w:tc>
      </w:tr>
      <w:tr w:rsidR="005179CE" w14:paraId="637AE37B"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6C86CDEA"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lastRenderedPageBreak/>
              <w:t>Adenocarcinoma</w:t>
            </w:r>
          </w:p>
        </w:tc>
        <w:tc>
          <w:tcPr>
            <w:tcW w:w="2828" w:type="dxa"/>
            <w:tcBorders>
              <w:top w:val="single" w:sz="4" w:space="0" w:color="000000"/>
              <w:left w:val="single" w:sz="4" w:space="0" w:color="000000"/>
              <w:bottom w:val="single" w:sz="4" w:space="0" w:color="000000"/>
              <w:right w:val="single" w:sz="4" w:space="0" w:color="000000"/>
            </w:tcBorders>
          </w:tcPr>
          <w:p w14:paraId="0A966A5F"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85-90%</w:t>
            </w:r>
          </w:p>
        </w:tc>
        <w:tc>
          <w:tcPr>
            <w:tcW w:w="2828" w:type="dxa"/>
            <w:tcBorders>
              <w:top w:val="single" w:sz="4" w:space="0" w:color="000000"/>
              <w:left w:val="single" w:sz="4" w:space="0" w:color="000000"/>
              <w:bottom w:val="single" w:sz="4" w:space="0" w:color="000000"/>
              <w:right w:val="single" w:sz="4" w:space="0" w:color="000000"/>
            </w:tcBorders>
          </w:tcPr>
          <w:p w14:paraId="477B6267"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40-50%</w:t>
            </w:r>
          </w:p>
        </w:tc>
      </w:tr>
      <w:tr w:rsidR="005179CE" w14:paraId="1639EBB1"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7C75CC42"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 xml:space="preserve">Squamous </w:t>
            </w:r>
            <w:r>
              <w:rPr>
                <w:rFonts w:ascii="Times New Roman" w:eastAsia="MS Mincho" w:hAnsi="Times New Roman" w:cs="Times New Roman"/>
                <w:sz w:val="20"/>
                <w:szCs w:val="20"/>
              </w:rPr>
              <w:t>Cell Carcinoma</w:t>
            </w:r>
          </w:p>
        </w:tc>
        <w:tc>
          <w:tcPr>
            <w:tcW w:w="2828" w:type="dxa"/>
            <w:tcBorders>
              <w:top w:val="single" w:sz="4" w:space="0" w:color="000000"/>
              <w:left w:val="single" w:sz="4" w:space="0" w:color="000000"/>
              <w:bottom w:val="single" w:sz="4" w:space="0" w:color="000000"/>
              <w:right w:val="single" w:sz="4" w:space="0" w:color="000000"/>
            </w:tcBorders>
          </w:tcPr>
          <w:p w14:paraId="4E29F35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&lt;10%</w:t>
            </w:r>
          </w:p>
        </w:tc>
        <w:tc>
          <w:tcPr>
            <w:tcW w:w="2828" w:type="dxa"/>
            <w:tcBorders>
              <w:top w:val="single" w:sz="4" w:space="0" w:color="000000"/>
              <w:left w:val="single" w:sz="4" w:space="0" w:color="000000"/>
              <w:bottom w:val="single" w:sz="4" w:space="0" w:color="000000"/>
              <w:right w:val="single" w:sz="4" w:space="0" w:color="000000"/>
            </w:tcBorders>
          </w:tcPr>
          <w:p w14:paraId="3A6A2C80"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30-40%</w:t>
            </w:r>
          </w:p>
        </w:tc>
      </w:tr>
      <w:tr w:rsidR="005179CE" w14:paraId="771C1253" w14:textId="77777777">
        <w:trPr>
          <w:trHeight w:val="500"/>
          <w:jc w:val="center"/>
        </w:trPr>
        <w:tc>
          <w:tcPr>
            <w:tcW w:w="2843" w:type="dxa"/>
            <w:tcBorders>
              <w:top w:val="single" w:sz="4" w:space="0" w:color="000000"/>
              <w:left w:val="single" w:sz="4" w:space="0" w:color="000000"/>
              <w:bottom w:val="single" w:sz="4" w:space="0" w:color="000000"/>
              <w:right w:val="single" w:sz="4" w:space="0" w:color="000000"/>
            </w:tcBorders>
          </w:tcPr>
          <w:p w14:paraId="471399D3"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Small Cell Carcinoma</w:t>
            </w:r>
          </w:p>
        </w:tc>
        <w:tc>
          <w:tcPr>
            <w:tcW w:w="2828" w:type="dxa"/>
            <w:tcBorders>
              <w:top w:val="single" w:sz="4" w:space="0" w:color="000000"/>
              <w:left w:val="single" w:sz="4" w:space="0" w:color="000000"/>
              <w:bottom w:val="single" w:sz="4" w:space="0" w:color="000000"/>
              <w:right w:val="single" w:sz="4" w:space="0" w:color="000000"/>
            </w:tcBorders>
          </w:tcPr>
          <w:p w14:paraId="56011A27"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&lt;5%</w:t>
            </w:r>
          </w:p>
        </w:tc>
        <w:tc>
          <w:tcPr>
            <w:tcW w:w="2828" w:type="dxa"/>
            <w:tcBorders>
              <w:top w:val="single" w:sz="4" w:space="0" w:color="000000"/>
              <w:left w:val="single" w:sz="4" w:space="0" w:color="000000"/>
              <w:bottom w:val="single" w:sz="4" w:space="0" w:color="000000"/>
              <w:right w:val="single" w:sz="4" w:space="0" w:color="000000"/>
            </w:tcBorders>
          </w:tcPr>
          <w:p w14:paraId="03553698"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15-20%</w:t>
            </w:r>
          </w:p>
        </w:tc>
      </w:tr>
      <w:tr w:rsidR="005179CE" w14:paraId="567D9016" w14:textId="77777777">
        <w:trPr>
          <w:trHeight w:val="517"/>
          <w:jc w:val="center"/>
        </w:trPr>
        <w:tc>
          <w:tcPr>
            <w:tcW w:w="2843" w:type="dxa"/>
            <w:tcBorders>
              <w:top w:val="single" w:sz="4" w:space="0" w:color="000000"/>
              <w:left w:val="single" w:sz="4" w:space="0" w:color="000000"/>
              <w:bottom w:val="single" w:sz="4" w:space="0" w:color="000000"/>
              <w:right w:val="single" w:sz="4" w:space="0" w:color="000000"/>
            </w:tcBorders>
          </w:tcPr>
          <w:p w14:paraId="0AF7E156"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Others (e.g., Large Cell)</w:t>
            </w:r>
          </w:p>
        </w:tc>
        <w:tc>
          <w:tcPr>
            <w:tcW w:w="2828" w:type="dxa"/>
            <w:tcBorders>
              <w:top w:val="single" w:sz="4" w:space="0" w:color="000000"/>
              <w:left w:val="single" w:sz="4" w:space="0" w:color="000000"/>
              <w:bottom w:val="single" w:sz="4" w:space="0" w:color="000000"/>
              <w:right w:val="single" w:sz="4" w:space="0" w:color="000000"/>
            </w:tcBorders>
          </w:tcPr>
          <w:p w14:paraId="628C48ED"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Remainder</w:t>
            </w:r>
          </w:p>
        </w:tc>
        <w:tc>
          <w:tcPr>
            <w:tcW w:w="2828" w:type="dxa"/>
            <w:tcBorders>
              <w:top w:val="single" w:sz="4" w:space="0" w:color="000000"/>
              <w:left w:val="single" w:sz="4" w:space="0" w:color="000000"/>
              <w:bottom w:val="single" w:sz="4" w:space="0" w:color="000000"/>
              <w:right w:val="single" w:sz="4" w:space="0" w:color="000000"/>
            </w:tcBorders>
          </w:tcPr>
          <w:p w14:paraId="3AD69E24"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Remainder</w:t>
            </w:r>
          </w:p>
        </w:tc>
      </w:tr>
    </w:tbl>
    <w:p w14:paraId="2A0D80FF" w14:textId="77777777" w:rsidR="005179CE" w:rsidRDefault="005179CE">
      <w:pPr>
        <w:pStyle w:val="BodyText"/>
        <w:spacing w:line="360" w:lineRule="auto"/>
        <w:jc w:val="both"/>
        <w:rPr>
          <w:rFonts w:ascii="Times New Roman" w:hAnsi="Times New Roman" w:cs="Times New Roman"/>
        </w:rPr>
      </w:pPr>
    </w:p>
    <w:p w14:paraId="631A8AC8" w14:textId="77777777" w:rsidR="005179CE" w:rsidRDefault="00A8738B">
      <w:pPr>
        <w:pStyle w:val="Heading21"/>
        <w:spacing w:line="360" w:lineRule="auto"/>
        <w:jc w:val="both"/>
        <w:rPr>
          <w:rFonts w:ascii="Times New Roman" w:hAnsi="Times New Roman" w:cs="Times New Roman"/>
          <w:color w:val="auto"/>
          <w:sz w:val="24"/>
          <w:szCs w:val="24"/>
        </w:rPr>
      </w:pPr>
      <w:bookmarkStart w:id="5" w:name="Xa23cd83e0146d3a9b09cb6405d622184560b7a3"/>
      <w:bookmarkEnd w:id="4"/>
      <w:r>
        <w:rPr>
          <w:rFonts w:ascii="Times New Roman" w:hAnsi="Times New Roman" w:cs="Times New Roman"/>
          <w:color w:val="auto"/>
          <w:sz w:val="24"/>
          <w:szCs w:val="24"/>
        </w:rPr>
        <w:t>3. Diagnostic Challenges and Morphologic Limitations</w:t>
      </w:r>
    </w:p>
    <w:p w14:paraId="0C4AF3D3"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 xml:space="preserve">The diagnosis of lung cancer in never-smokers presents unique challenges that extend beyond </w:t>
      </w:r>
      <w:r>
        <w:rPr>
          <w:rFonts w:ascii="Times New Roman" w:hAnsi="Times New Roman" w:cs="Times New Roman"/>
        </w:rPr>
        <w:t>conventional morphological assessment. Small biopsy specimens, which constitute the majority of diagnostic material in clinical practice, often provide limited tissue for comprehensive evaluation. The well-differentiated nature of many adenocarcinomas in n</w:t>
      </w:r>
      <w:r>
        <w:rPr>
          <w:rFonts w:ascii="Times New Roman" w:hAnsi="Times New Roman" w:cs="Times New Roman"/>
        </w:rPr>
        <w:t>ever-smokers can make distinction from reactive or atypical pneumocyte proliferation particularly challenging (Kerr et al., 2015).</w:t>
      </w:r>
    </w:p>
    <w:p w14:paraId="32789EF9" w14:textId="77777777" w:rsidR="005179CE" w:rsidRDefault="00A8738B">
      <w:pPr>
        <w:pStyle w:val="BodyText"/>
        <w:jc w:val="center"/>
        <w:rPr>
          <w:rFonts w:ascii="Times New Roman" w:hAnsi="Times New Roman" w:cs="Times New Roman"/>
          <w:i/>
          <w:iCs/>
          <w:sz w:val="20"/>
          <w:szCs w:val="20"/>
        </w:rPr>
      </w:pPr>
      <w:r>
        <w:rPr>
          <w:rStyle w:val="Strong"/>
          <w:rFonts w:ascii="Times New Roman" w:eastAsia="SimSun" w:hAnsi="Times New Roman" w:cs="Times New Roman"/>
          <w:i/>
          <w:iCs/>
          <w:sz w:val="20"/>
          <w:szCs w:val="20"/>
        </w:rPr>
        <w:t>Figure 2. Diagnostic Challenges in Never-Smoker Lung Cancer</w:t>
      </w:r>
      <w:r>
        <w:rPr>
          <w:rFonts w:ascii="Times New Roman" w:eastAsia="SimSun" w:hAnsi="Times New Roman" w:cs="Times New Roman"/>
          <w:i/>
          <w:iCs/>
          <w:sz w:val="20"/>
          <w:szCs w:val="20"/>
        </w:rPr>
        <w:t xml:space="preserve"> </w:t>
      </w:r>
    </w:p>
    <w:p w14:paraId="58778E92" w14:textId="77777777" w:rsidR="005179CE" w:rsidRDefault="00A8738B">
      <w:pPr>
        <w:pStyle w:val="BodyText"/>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046BC0DB" wp14:editId="34D23381">
            <wp:extent cx="4611370" cy="2914015"/>
            <wp:effectExtent l="0" t="0" r="635" b="635"/>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8" cstate="print"/>
                    <a:srcRect/>
                    <a:stretch>
                      <a:fillRect/>
                    </a:stretch>
                  </pic:blipFill>
                  <pic:spPr>
                    <a:xfrm>
                      <a:off x="0" y="0"/>
                      <a:ext cx="4611370" cy="2914015"/>
                    </a:xfrm>
                    <a:prstGeom prst="rect">
                      <a:avLst/>
                    </a:prstGeom>
                  </pic:spPr>
                </pic:pic>
              </a:graphicData>
            </a:graphic>
          </wp:inline>
        </w:drawing>
      </w:r>
    </w:p>
    <w:p w14:paraId="7DA56841" w14:textId="77777777" w:rsidR="005179CE" w:rsidRDefault="00A8738B">
      <w:pPr>
        <w:pStyle w:val="BodyText"/>
        <w:spacing w:line="360" w:lineRule="auto"/>
        <w:jc w:val="center"/>
        <w:rPr>
          <w:rFonts w:ascii="Times New Roman" w:hAnsi="Times New Roman" w:cs="Times New Roman"/>
        </w:rPr>
      </w:pPr>
      <w:r>
        <w:rPr>
          <w:rFonts w:ascii="Times New Roman" w:eastAsia="SimSun" w:hAnsi="Times New Roman" w:cs="Times New Roman"/>
          <w:i/>
          <w:iCs/>
          <w:sz w:val="18"/>
          <w:szCs w:val="18"/>
        </w:rPr>
        <w:t>Photomicrograph demonstrating well-differentiated lepidic aden</w:t>
      </w:r>
      <w:r>
        <w:rPr>
          <w:rFonts w:ascii="Times New Roman" w:eastAsia="SimSun" w:hAnsi="Times New Roman" w:cs="Times New Roman"/>
          <w:i/>
          <w:iCs/>
          <w:sz w:val="18"/>
          <w:szCs w:val="18"/>
        </w:rPr>
        <w:t>ocarcinoma pattern in a never-smoker, showing tumor cells growing along intact alveolar walls without stromal invasion. This pattern can be challenging to distinguish from reactive pneumocyte proliferation in small biopsies (H&amp;E stain, original magnificati</w:t>
      </w:r>
      <w:r>
        <w:rPr>
          <w:rFonts w:ascii="Times New Roman" w:eastAsia="SimSun" w:hAnsi="Times New Roman" w:cs="Times New Roman"/>
          <w:i/>
          <w:iCs/>
          <w:sz w:val="18"/>
          <w:szCs w:val="18"/>
        </w:rPr>
        <w:t>on ×200).</w:t>
      </w:r>
    </w:p>
    <w:p w14:paraId="4D9D710F"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Cytological specimens from never-smokers frequently demonstrate well-preserved cellular morphology with minimal background inflammation or necrosis, contrasting with the </w:t>
      </w:r>
      <w:proofErr w:type="gramStart"/>
      <w:r>
        <w:rPr>
          <w:rFonts w:ascii="Times New Roman" w:hAnsi="Times New Roman" w:cs="Times New Roman"/>
        </w:rPr>
        <w:t>often degraded</w:t>
      </w:r>
      <w:proofErr w:type="gramEnd"/>
      <w:r>
        <w:rPr>
          <w:rFonts w:ascii="Times New Roman" w:hAnsi="Times New Roman" w:cs="Times New Roman"/>
        </w:rPr>
        <w:t xml:space="preserve"> cellular material typical of smoking-related cases. However, </w:t>
      </w:r>
      <w:r>
        <w:rPr>
          <w:rFonts w:ascii="Times New Roman" w:hAnsi="Times New Roman" w:cs="Times New Roman"/>
        </w:rPr>
        <w:lastRenderedPageBreak/>
        <w:t>this preservation can paradoxically complicate diagnosis when dealing with well-differentiated adenocarcinomas that closely mimic reactive pneumocytes or atypical adenomatous hyperplasia (Yatabe et al., 2011).</w:t>
      </w:r>
    </w:p>
    <w:p w14:paraId="2C073893"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lepidic growth pattern, common in never-sm</w:t>
      </w:r>
      <w:r>
        <w:rPr>
          <w:rFonts w:ascii="Times New Roman" w:hAnsi="Times New Roman" w:cs="Times New Roman"/>
        </w:rPr>
        <w:t>okers, poses specific diagnostic challenges in small biopsies. The absence of stromal invasion in pure lepidic areas can lead to underdiagnosis of invasive adenocarcinoma, particularly when only transbronchial biopsies are available. Conversely, crush arti</w:t>
      </w:r>
      <w:r>
        <w:rPr>
          <w:rFonts w:ascii="Times New Roman" w:hAnsi="Times New Roman" w:cs="Times New Roman"/>
        </w:rPr>
        <w:t>fact or tangential sectioning can create false impressions of invasion in predominantly lepidic tumors (Warth et al., 2012).</w:t>
      </w:r>
    </w:p>
    <w:p w14:paraId="2C121700"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Resection specimens from never-smokers often reveal heterogeneous architectural patterns within single tumors, with lepidic, acinar</w:t>
      </w:r>
      <w:r>
        <w:rPr>
          <w:rFonts w:ascii="Times New Roman" w:hAnsi="Times New Roman" w:cs="Times New Roman"/>
        </w:rPr>
        <w:t>, and papillary components coexisting. This heterogeneity necessitates comprehensive sampling and careful pattern recognition to accurately classify tumors according to predominant pattern, which has prognostic and therapeutic implications (Moreira et al.,</w:t>
      </w:r>
      <w:r>
        <w:rPr>
          <w:rFonts w:ascii="Times New Roman" w:hAnsi="Times New Roman" w:cs="Times New Roman"/>
        </w:rPr>
        <w:t xml:space="preserve"> 2020).</w:t>
      </w:r>
    </w:p>
    <w:p w14:paraId="4D092C4C"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Aberrant marker expression represents another diagnostic pitfall in never-smokers. TTF-1 negativity, while uncommon, can occur in up to 15-20% of adenocarcinomas in never-smokers, potentially leading to misclassification or uncertainty regarding pr</w:t>
      </w:r>
      <w:r>
        <w:rPr>
          <w:rFonts w:ascii="Times New Roman" w:hAnsi="Times New Roman" w:cs="Times New Roman"/>
        </w:rPr>
        <w:t>imary versus metastatic disease (Zhang et al., 2014). Similarly, unexpected positive staining for squamous markers in adenocarcinomas or adenocarcinoma markers in squamous tumors can occur, particularly in poorly sampled small biopsies.</w:t>
      </w:r>
    </w:p>
    <w:p w14:paraId="73F53C85"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distinction bet</w:t>
      </w:r>
      <w:r>
        <w:rPr>
          <w:rFonts w:ascii="Times New Roman" w:hAnsi="Times New Roman" w:cs="Times New Roman"/>
        </w:rPr>
        <w:t>ween primary lung adenocarcinoma and metastatic disease is particularly challenging in never-smokers, especially women, where breast, gynecologic, or gastrointestinal primaries may closely mimic lung adenocarcinoma morphologically. Clinical correlation, im</w:t>
      </w:r>
      <w:r>
        <w:rPr>
          <w:rFonts w:ascii="Times New Roman" w:hAnsi="Times New Roman" w:cs="Times New Roman"/>
        </w:rPr>
        <w:t>aging findings, and comprehensive immunohistochemical panels become essential for accurate diagnosis (</w:t>
      </w:r>
      <w:proofErr w:type="spellStart"/>
      <w:r>
        <w:rPr>
          <w:rFonts w:ascii="Times New Roman" w:hAnsi="Times New Roman" w:cs="Times New Roman"/>
        </w:rPr>
        <w:t>Rekhtman</w:t>
      </w:r>
      <w:proofErr w:type="spellEnd"/>
      <w:r>
        <w:rPr>
          <w:rFonts w:ascii="Times New Roman" w:hAnsi="Times New Roman" w:cs="Times New Roman"/>
        </w:rPr>
        <w:t xml:space="preserve"> et al., 2012).</w:t>
      </w:r>
    </w:p>
    <w:p w14:paraId="221F9D26"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Molecular heterogeneity within tumors can also create diagnostic challenges. Different regions of the same tumor may harbor distin</w:t>
      </w:r>
      <w:r>
        <w:rPr>
          <w:rFonts w:ascii="Times New Roman" w:hAnsi="Times New Roman" w:cs="Times New Roman"/>
        </w:rPr>
        <w:t>ct molecular alterations, and small biopsies may not adequately represent the overall molecular profile. This spatial heterogeneity is particularly relevant in never-smokers, where multiple concurrent driver mutations may coexist (de Bruin et al., 2014).</w:t>
      </w:r>
    </w:p>
    <w:p w14:paraId="31DC84C3" w14:textId="77777777" w:rsidR="005179CE" w:rsidRDefault="00A8738B">
      <w:pPr>
        <w:keepNext/>
        <w:keepLines/>
        <w:spacing w:before="200" w:line="360" w:lineRule="auto"/>
        <w:jc w:val="both"/>
        <w:outlineLvl w:val="1"/>
        <w:rPr>
          <w:rFonts w:ascii="Times New Roman" w:hAnsi="Times New Roman" w:cs="Times New Roman"/>
        </w:rPr>
      </w:pPr>
      <w:r>
        <w:rPr>
          <w:rFonts w:ascii="Times New Roman" w:eastAsia="MS Gothic" w:hAnsi="Times New Roman" w:cs="Times New Roman"/>
          <w:b/>
          <w:bCs/>
        </w:rPr>
        <w:lastRenderedPageBreak/>
        <w:t>T</w:t>
      </w:r>
      <w:r>
        <w:rPr>
          <w:rFonts w:ascii="Times New Roman" w:eastAsia="MS Gothic" w:hAnsi="Times New Roman" w:cs="Times New Roman"/>
          <w:b/>
          <w:bCs/>
        </w:rPr>
        <w:t>able 2: Diagnostic Challenges Summary</w:t>
      </w:r>
    </w:p>
    <w:tbl>
      <w:tblPr>
        <w:tblStyle w:val="TableGrid"/>
        <w:tblW w:w="0" w:type="auto"/>
        <w:jc w:val="center"/>
        <w:tblLayout w:type="fixed"/>
        <w:tblLook w:val="04A0" w:firstRow="1" w:lastRow="0" w:firstColumn="1" w:lastColumn="0" w:noHBand="0" w:noVBand="1"/>
      </w:tblPr>
      <w:tblGrid>
        <w:gridCol w:w="4247"/>
        <w:gridCol w:w="4252"/>
      </w:tblGrid>
      <w:tr w:rsidR="005179CE" w14:paraId="28699FEA"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73DDEB07"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Challenge</w:t>
            </w:r>
          </w:p>
        </w:tc>
        <w:tc>
          <w:tcPr>
            <w:tcW w:w="4252" w:type="dxa"/>
            <w:tcBorders>
              <w:top w:val="single" w:sz="4" w:space="0" w:color="000000"/>
              <w:left w:val="single" w:sz="4" w:space="0" w:color="000000"/>
              <w:bottom w:val="single" w:sz="4" w:space="0" w:color="000000"/>
              <w:right w:val="single" w:sz="4" w:space="0" w:color="000000"/>
            </w:tcBorders>
          </w:tcPr>
          <w:p w14:paraId="238E629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Description</w:t>
            </w:r>
          </w:p>
        </w:tc>
      </w:tr>
      <w:tr w:rsidR="005179CE" w14:paraId="0EF9CBE5"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7728920C"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Lepidic Pattern</w:t>
            </w:r>
          </w:p>
        </w:tc>
        <w:tc>
          <w:tcPr>
            <w:tcW w:w="4252" w:type="dxa"/>
            <w:tcBorders>
              <w:top w:val="single" w:sz="4" w:space="0" w:color="000000"/>
              <w:left w:val="single" w:sz="4" w:space="0" w:color="000000"/>
              <w:bottom w:val="single" w:sz="4" w:space="0" w:color="000000"/>
              <w:right w:val="single" w:sz="4" w:space="0" w:color="000000"/>
            </w:tcBorders>
          </w:tcPr>
          <w:p w14:paraId="6A77BF7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May mimic reactive pneumocytes, hard to diagnose in small biopsies</w:t>
            </w:r>
          </w:p>
        </w:tc>
      </w:tr>
      <w:tr w:rsidR="005179CE" w14:paraId="67479CCF"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200FCD7C"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Well-differentiated Tumors</w:t>
            </w:r>
          </w:p>
        </w:tc>
        <w:tc>
          <w:tcPr>
            <w:tcW w:w="4252" w:type="dxa"/>
            <w:tcBorders>
              <w:top w:val="single" w:sz="4" w:space="0" w:color="000000"/>
              <w:left w:val="single" w:sz="4" w:space="0" w:color="000000"/>
              <w:bottom w:val="single" w:sz="4" w:space="0" w:color="000000"/>
              <w:right w:val="single" w:sz="4" w:space="0" w:color="000000"/>
            </w:tcBorders>
          </w:tcPr>
          <w:p w14:paraId="194AD7D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Difficult to distinguish from benign lesions</w:t>
            </w:r>
          </w:p>
        </w:tc>
      </w:tr>
      <w:tr w:rsidR="005179CE" w14:paraId="1533EB0F"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4157B081"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Aberrant Marker Expression</w:t>
            </w:r>
          </w:p>
        </w:tc>
        <w:tc>
          <w:tcPr>
            <w:tcW w:w="4252" w:type="dxa"/>
            <w:tcBorders>
              <w:top w:val="single" w:sz="4" w:space="0" w:color="000000"/>
              <w:left w:val="single" w:sz="4" w:space="0" w:color="000000"/>
              <w:bottom w:val="single" w:sz="4" w:space="0" w:color="000000"/>
              <w:right w:val="single" w:sz="4" w:space="0" w:color="000000"/>
            </w:tcBorders>
          </w:tcPr>
          <w:p w14:paraId="5C1B0FA4"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Can lead to</w:t>
            </w:r>
            <w:r>
              <w:rPr>
                <w:rFonts w:ascii="Times New Roman" w:eastAsia="MS Mincho" w:hAnsi="Times New Roman" w:cs="Times New Roman"/>
                <w:sz w:val="20"/>
                <w:szCs w:val="20"/>
              </w:rPr>
              <w:t xml:space="preserve"> misclassification of tumor origin</w:t>
            </w:r>
          </w:p>
        </w:tc>
      </w:tr>
      <w:tr w:rsidR="005179CE" w14:paraId="1809B27C" w14:textId="77777777">
        <w:trPr>
          <w:trHeight w:val="90"/>
          <w:jc w:val="center"/>
        </w:trPr>
        <w:tc>
          <w:tcPr>
            <w:tcW w:w="4247" w:type="dxa"/>
            <w:tcBorders>
              <w:top w:val="single" w:sz="4" w:space="0" w:color="000000"/>
              <w:left w:val="single" w:sz="4" w:space="0" w:color="000000"/>
              <w:bottom w:val="single" w:sz="4" w:space="0" w:color="000000"/>
              <w:right w:val="single" w:sz="4" w:space="0" w:color="000000"/>
            </w:tcBorders>
          </w:tcPr>
          <w:p w14:paraId="03CD682F"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Heterogeneity</w:t>
            </w:r>
          </w:p>
        </w:tc>
        <w:tc>
          <w:tcPr>
            <w:tcW w:w="4252" w:type="dxa"/>
            <w:tcBorders>
              <w:top w:val="single" w:sz="4" w:space="0" w:color="000000"/>
              <w:left w:val="single" w:sz="4" w:space="0" w:color="000000"/>
              <w:bottom w:val="single" w:sz="4" w:space="0" w:color="000000"/>
              <w:right w:val="single" w:sz="4" w:space="0" w:color="000000"/>
            </w:tcBorders>
          </w:tcPr>
          <w:p w14:paraId="7A227C5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Tumors often show mixed patterns and mutations</w:t>
            </w:r>
          </w:p>
        </w:tc>
      </w:tr>
    </w:tbl>
    <w:p w14:paraId="4711099A" w14:textId="77777777" w:rsidR="005179CE" w:rsidRDefault="005179CE">
      <w:pPr>
        <w:pStyle w:val="BodyText"/>
        <w:spacing w:line="360" w:lineRule="auto"/>
        <w:jc w:val="both"/>
        <w:rPr>
          <w:rFonts w:ascii="Times New Roman" w:hAnsi="Times New Roman" w:cs="Times New Roman"/>
        </w:rPr>
      </w:pPr>
    </w:p>
    <w:p w14:paraId="73AA2884" w14:textId="77777777" w:rsidR="005179CE" w:rsidRDefault="00A8738B">
      <w:pPr>
        <w:pStyle w:val="Heading21"/>
        <w:spacing w:line="360" w:lineRule="auto"/>
        <w:jc w:val="both"/>
        <w:rPr>
          <w:rFonts w:ascii="Times New Roman" w:hAnsi="Times New Roman" w:cs="Times New Roman"/>
          <w:color w:val="auto"/>
          <w:sz w:val="24"/>
          <w:szCs w:val="24"/>
        </w:rPr>
      </w:pPr>
      <w:bookmarkStart w:id="6" w:name="Xb28c9113db860aae20e19f0015981af38a3ab7a"/>
      <w:bookmarkEnd w:id="5"/>
      <w:r>
        <w:rPr>
          <w:rFonts w:ascii="Times New Roman" w:hAnsi="Times New Roman" w:cs="Times New Roman"/>
          <w:color w:val="auto"/>
          <w:sz w:val="24"/>
          <w:szCs w:val="24"/>
        </w:rPr>
        <w:t>4. Immunohistochemical Subtyping in Never-Smokers</w:t>
      </w:r>
    </w:p>
    <w:p w14:paraId="61E14C68"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Immunohistochemical analysis plays a pivotal role in the accurate subtyping of lung cancer in never-smokers</w:t>
      </w:r>
      <w:r>
        <w:rPr>
          <w:rFonts w:ascii="Times New Roman" w:hAnsi="Times New Roman" w:cs="Times New Roman"/>
        </w:rPr>
        <w:t>, where morphological features alone may be insufficient for definitive classification. The expression profiles of key markers demonstrate distinct patterns that correlate with smoking status and have important diagnostic and prognostic implications.</w:t>
      </w:r>
    </w:p>
    <w:p w14:paraId="1B3D26BF" w14:textId="77777777" w:rsidR="005179CE" w:rsidRDefault="00A8738B">
      <w:pPr>
        <w:pStyle w:val="BodyText"/>
        <w:jc w:val="center"/>
        <w:rPr>
          <w:rFonts w:ascii="Times New Roman" w:hAnsi="Times New Roman" w:cs="Times New Roman"/>
          <w:b/>
          <w:bCs/>
          <w:i/>
          <w:iCs/>
        </w:rPr>
      </w:pPr>
      <w:r>
        <w:rPr>
          <w:rFonts w:ascii="Times New Roman" w:eastAsia="SimSun" w:hAnsi="Times New Roman" w:cs="Times New Roman"/>
          <w:b/>
          <w:bCs/>
          <w:i/>
          <w:iCs/>
        </w:rPr>
        <w:t>Figur</w:t>
      </w:r>
      <w:r>
        <w:rPr>
          <w:rFonts w:ascii="Times New Roman" w:eastAsia="SimSun" w:hAnsi="Times New Roman" w:cs="Times New Roman"/>
          <w:b/>
          <w:bCs/>
          <w:i/>
          <w:iCs/>
        </w:rPr>
        <w:t>e 3. Immunohistochemical Profile of Adenocarcinoma in Never-Smokers</w:t>
      </w:r>
    </w:p>
    <w:p w14:paraId="1404359F" w14:textId="77777777" w:rsidR="005179CE" w:rsidRDefault="00A8738B">
      <w:pPr>
        <w:pStyle w:val="BodyText"/>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7F0E9A33" wp14:editId="6E3E9B86">
            <wp:extent cx="4737100" cy="3088005"/>
            <wp:effectExtent l="0" t="0" r="635" b="381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9" cstate="print"/>
                    <a:srcRect/>
                    <a:stretch>
                      <a:fillRect/>
                    </a:stretch>
                  </pic:blipFill>
                  <pic:spPr>
                    <a:xfrm>
                      <a:off x="0" y="0"/>
                      <a:ext cx="4737100" cy="3088005"/>
                    </a:xfrm>
                    <a:prstGeom prst="rect">
                      <a:avLst/>
                    </a:prstGeom>
                  </pic:spPr>
                </pic:pic>
              </a:graphicData>
            </a:graphic>
          </wp:inline>
        </w:drawing>
      </w:r>
    </w:p>
    <w:p w14:paraId="0089CC23" w14:textId="77777777" w:rsidR="005179CE" w:rsidRDefault="00A8738B">
      <w:pPr>
        <w:pStyle w:val="BodyText"/>
        <w:spacing w:line="360" w:lineRule="auto"/>
        <w:jc w:val="center"/>
        <w:rPr>
          <w:rFonts w:ascii="Times New Roman" w:hAnsi="Times New Roman" w:cs="Times New Roman"/>
          <w:sz w:val="18"/>
          <w:szCs w:val="18"/>
        </w:rPr>
      </w:pPr>
      <w:r>
        <w:rPr>
          <w:rFonts w:ascii="Times New Roman" w:eastAsia="SimSun" w:hAnsi="Times New Roman" w:cs="Times New Roman"/>
          <w:sz w:val="18"/>
          <w:szCs w:val="18"/>
        </w:rPr>
        <w:t xml:space="preserve">Representative immunohistochemical staining showing strong nuclear TTF-1 positivity (A) and robust cytoplasmic Napsin A expression (B) in pulmonary adenocarcinoma from a never-smoker. </w:t>
      </w:r>
      <w:r>
        <w:rPr>
          <w:rFonts w:ascii="Times New Roman" w:eastAsia="SimSun" w:hAnsi="Times New Roman" w:cs="Times New Roman"/>
          <w:sz w:val="18"/>
          <w:szCs w:val="18"/>
        </w:rPr>
        <w:t>These markers show higher expression rates in never-smokers compared to smokers (original magnification ×400).</w:t>
      </w:r>
    </w:p>
    <w:p w14:paraId="4169171B"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lastRenderedPageBreak/>
        <w:t>TTF-1 (Thyroid Transcription Factor-1) expression is significantly higher in adenocarcinomas from never-smokers compared to smokers, with positiv</w:t>
      </w:r>
      <w:r>
        <w:rPr>
          <w:rFonts w:ascii="Times New Roman" w:hAnsi="Times New Roman" w:cs="Times New Roman"/>
        </w:rPr>
        <w:t>e staining observed in 80-90% versus 60-70% of cases, respectively (Yatabe et al., 2019). This increased expression correlates with better differentiation and is associated with EGFR mutation status. Nuclear TTF-1 staining in never-smokers tends to be stro</w:t>
      </w:r>
      <w:r>
        <w:rPr>
          <w:rFonts w:ascii="Times New Roman" w:hAnsi="Times New Roman" w:cs="Times New Roman"/>
        </w:rPr>
        <w:t>ng and diffuse, facilitating distinction from metastatic adenocarcinomas from other primary sites.</w:t>
      </w:r>
    </w:p>
    <w:p w14:paraId="77A85015"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Napsin A, a functional aspartic proteinase involved in surfactant protein processing, shows particularly robust expression in adenocarcinomas from never-smok</w:t>
      </w:r>
      <w:r>
        <w:rPr>
          <w:rFonts w:ascii="Times New Roman" w:hAnsi="Times New Roman" w:cs="Times New Roman"/>
        </w:rPr>
        <w:t>ers. Approximately 85-95% of cases demonstrate strong cytoplasmic staining, compared to 70-80% in smokers (Turner et al., 2012). The combination of TTF-1 and Napsin A positivity provides high specificity for primary lung adenocarcinoma and is especially va</w:t>
      </w:r>
      <w:r>
        <w:rPr>
          <w:rFonts w:ascii="Times New Roman" w:hAnsi="Times New Roman" w:cs="Times New Roman"/>
        </w:rPr>
        <w:t>luable in never-smokers where morphological features may be subtle.</w:t>
      </w:r>
    </w:p>
    <w:p w14:paraId="0F1522CE"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p40, a truncated isoform of p63, serves as a highly specific marker for squamous cell carcinoma. In never-smokers, p40 expression is typically strong and diffuse in the rare squamous cell </w:t>
      </w:r>
      <w:r>
        <w:rPr>
          <w:rFonts w:ascii="Times New Roman" w:hAnsi="Times New Roman" w:cs="Times New Roman"/>
        </w:rPr>
        <w:t xml:space="preserve">carcinomas that do occur, helping to distinguish them from adenocarcinomas with </w:t>
      </w:r>
      <w:proofErr w:type="spellStart"/>
      <w:r>
        <w:rPr>
          <w:rFonts w:ascii="Times New Roman" w:hAnsi="Times New Roman" w:cs="Times New Roman"/>
        </w:rPr>
        <w:t>squamoid</w:t>
      </w:r>
      <w:proofErr w:type="spellEnd"/>
      <w:r>
        <w:rPr>
          <w:rFonts w:ascii="Times New Roman" w:hAnsi="Times New Roman" w:cs="Times New Roman"/>
        </w:rPr>
        <w:t xml:space="preserve"> features (Bishop et al., 2012). The specificity of p40 for squamous differentiation makes it particularly valuable in small biopsies where morphological assessment is </w:t>
      </w:r>
      <w:r>
        <w:rPr>
          <w:rFonts w:ascii="Times New Roman" w:hAnsi="Times New Roman" w:cs="Times New Roman"/>
        </w:rPr>
        <w:t>limited.</w:t>
      </w:r>
    </w:p>
    <w:p w14:paraId="38E4DEFA" w14:textId="77777777" w:rsidR="005179CE" w:rsidRDefault="00A8738B">
      <w:pPr>
        <w:keepNext/>
        <w:keepLines/>
        <w:spacing w:before="200" w:line="360" w:lineRule="auto"/>
        <w:jc w:val="both"/>
        <w:outlineLvl w:val="1"/>
        <w:rPr>
          <w:rFonts w:ascii="Times New Roman" w:hAnsi="Times New Roman" w:cs="Times New Roman"/>
        </w:rPr>
      </w:pPr>
      <w:r>
        <w:rPr>
          <w:rFonts w:ascii="Times New Roman" w:eastAsia="MS Gothic" w:hAnsi="Times New Roman" w:cs="Times New Roman"/>
          <w:b/>
          <w:bCs/>
        </w:rPr>
        <w:t>Table 3: Immunohistochemical Marker Expression</w:t>
      </w:r>
    </w:p>
    <w:tbl>
      <w:tblPr>
        <w:tblStyle w:val="TableGrid"/>
        <w:tblW w:w="0" w:type="auto"/>
        <w:jc w:val="center"/>
        <w:tblLayout w:type="fixed"/>
        <w:tblLook w:val="04A0" w:firstRow="1" w:lastRow="0" w:firstColumn="1" w:lastColumn="0" w:noHBand="0" w:noVBand="1"/>
      </w:tblPr>
      <w:tblGrid>
        <w:gridCol w:w="2428"/>
        <w:gridCol w:w="2435"/>
        <w:gridCol w:w="2435"/>
      </w:tblGrid>
      <w:tr w:rsidR="005179CE" w14:paraId="4477AC54"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3F4AE1C1"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Marker</w:t>
            </w:r>
          </w:p>
        </w:tc>
        <w:tc>
          <w:tcPr>
            <w:tcW w:w="2435" w:type="dxa"/>
            <w:tcBorders>
              <w:top w:val="single" w:sz="4" w:space="0" w:color="000000"/>
              <w:left w:val="single" w:sz="4" w:space="0" w:color="000000"/>
              <w:bottom w:val="single" w:sz="4" w:space="0" w:color="000000"/>
              <w:right w:val="single" w:sz="4" w:space="0" w:color="000000"/>
            </w:tcBorders>
          </w:tcPr>
          <w:p w14:paraId="36C38726"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Never-Smokers Expression</w:t>
            </w:r>
          </w:p>
        </w:tc>
        <w:tc>
          <w:tcPr>
            <w:tcW w:w="2435" w:type="dxa"/>
            <w:tcBorders>
              <w:top w:val="single" w:sz="4" w:space="0" w:color="000000"/>
              <w:left w:val="single" w:sz="4" w:space="0" w:color="000000"/>
              <w:bottom w:val="single" w:sz="4" w:space="0" w:color="000000"/>
              <w:right w:val="single" w:sz="4" w:space="0" w:color="000000"/>
            </w:tcBorders>
          </w:tcPr>
          <w:p w14:paraId="06249513"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Smokers Expression</w:t>
            </w:r>
          </w:p>
        </w:tc>
      </w:tr>
      <w:tr w:rsidR="005179CE" w14:paraId="449F1AB9"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3E1AF5B9"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TTF-1</w:t>
            </w:r>
          </w:p>
        </w:tc>
        <w:tc>
          <w:tcPr>
            <w:tcW w:w="2435" w:type="dxa"/>
            <w:tcBorders>
              <w:top w:val="single" w:sz="4" w:space="0" w:color="000000"/>
              <w:left w:val="single" w:sz="4" w:space="0" w:color="000000"/>
              <w:bottom w:val="single" w:sz="4" w:space="0" w:color="000000"/>
              <w:right w:val="single" w:sz="4" w:space="0" w:color="000000"/>
            </w:tcBorders>
          </w:tcPr>
          <w:p w14:paraId="2B518091"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80-90%</w:t>
            </w:r>
          </w:p>
        </w:tc>
        <w:tc>
          <w:tcPr>
            <w:tcW w:w="2435" w:type="dxa"/>
            <w:tcBorders>
              <w:top w:val="single" w:sz="4" w:space="0" w:color="000000"/>
              <w:left w:val="single" w:sz="4" w:space="0" w:color="000000"/>
              <w:bottom w:val="single" w:sz="4" w:space="0" w:color="000000"/>
              <w:right w:val="single" w:sz="4" w:space="0" w:color="000000"/>
            </w:tcBorders>
          </w:tcPr>
          <w:p w14:paraId="70BE03A7"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60-70%</w:t>
            </w:r>
          </w:p>
        </w:tc>
      </w:tr>
      <w:tr w:rsidR="005179CE" w14:paraId="2B896577"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26D10B31"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Napsin A</w:t>
            </w:r>
          </w:p>
        </w:tc>
        <w:tc>
          <w:tcPr>
            <w:tcW w:w="2435" w:type="dxa"/>
            <w:tcBorders>
              <w:top w:val="single" w:sz="4" w:space="0" w:color="000000"/>
              <w:left w:val="single" w:sz="4" w:space="0" w:color="000000"/>
              <w:bottom w:val="single" w:sz="4" w:space="0" w:color="000000"/>
              <w:right w:val="single" w:sz="4" w:space="0" w:color="000000"/>
            </w:tcBorders>
          </w:tcPr>
          <w:p w14:paraId="3CA7246D"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85-95%</w:t>
            </w:r>
          </w:p>
        </w:tc>
        <w:tc>
          <w:tcPr>
            <w:tcW w:w="2435" w:type="dxa"/>
            <w:tcBorders>
              <w:top w:val="single" w:sz="4" w:space="0" w:color="000000"/>
              <w:left w:val="single" w:sz="4" w:space="0" w:color="000000"/>
              <w:bottom w:val="single" w:sz="4" w:space="0" w:color="000000"/>
              <w:right w:val="single" w:sz="4" w:space="0" w:color="000000"/>
            </w:tcBorders>
          </w:tcPr>
          <w:p w14:paraId="732D4A54"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70-80%</w:t>
            </w:r>
          </w:p>
        </w:tc>
      </w:tr>
      <w:tr w:rsidR="005179CE" w14:paraId="0D424F92"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51063DE7"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p40</w:t>
            </w:r>
          </w:p>
        </w:tc>
        <w:tc>
          <w:tcPr>
            <w:tcW w:w="2435" w:type="dxa"/>
            <w:tcBorders>
              <w:top w:val="single" w:sz="4" w:space="0" w:color="000000"/>
              <w:left w:val="single" w:sz="4" w:space="0" w:color="000000"/>
              <w:bottom w:val="single" w:sz="4" w:space="0" w:color="000000"/>
              <w:right w:val="single" w:sz="4" w:space="0" w:color="000000"/>
            </w:tcBorders>
          </w:tcPr>
          <w:p w14:paraId="77819F2E"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Strong in rare squamous types</w:t>
            </w:r>
          </w:p>
        </w:tc>
        <w:tc>
          <w:tcPr>
            <w:tcW w:w="2435" w:type="dxa"/>
            <w:tcBorders>
              <w:top w:val="single" w:sz="4" w:space="0" w:color="000000"/>
              <w:left w:val="single" w:sz="4" w:space="0" w:color="000000"/>
              <w:bottom w:val="single" w:sz="4" w:space="0" w:color="000000"/>
              <w:right w:val="single" w:sz="4" w:space="0" w:color="000000"/>
            </w:tcBorders>
          </w:tcPr>
          <w:p w14:paraId="42C4A6DD"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Strong in squamous types</w:t>
            </w:r>
          </w:p>
        </w:tc>
      </w:tr>
      <w:tr w:rsidR="005179CE" w14:paraId="34D06F51" w14:textId="77777777">
        <w:trPr>
          <w:trHeight w:val="418"/>
          <w:jc w:val="center"/>
        </w:trPr>
        <w:tc>
          <w:tcPr>
            <w:tcW w:w="2428" w:type="dxa"/>
            <w:tcBorders>
              <w:top w:val="single" w:sz="4" w:space="0" w:color="000000"/>
              <w:left w:val="single" w:sz="4" w:space="0" w:color="000000"/>
              <w:bottom w:val="single" w:sz="4" w:space="0" w:color="000000"/>
              <w:right w:val="single" w:sz="4" w:space="0" w:color="000000"/>
            </w:tcBorders>
          </w:tcPr>
          <w:p w14:paraId="43F33B00"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CK7</w:t>
            </w:r>
          </w:p>
        </w:tc>
        <w:tc>
          <w:tcPr>
            <w:tcW w:w="2435" w:type="dxa"/>
            <w:tcBorders>
              <w:top w:val="single" w:sz="4" w:space="0" w:color="000000"/>
              <w:left w:val="single" w:sz="4" w:space="0" w:color="000000"/>
              <w:bottom w:val="single" w:sz="4" w:space="0" w:color="000000"/>
              <w:right w:val="single" w:sz="4" w:space="0" w:color="000000"/>
            </w:tcBorders>
          </w:tcPr>
          <w:p w14:paraId="652B5A38"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Positive</w:t>
            </w:r>
          </w:p>
        </w:tc>
        <w:tc>
          <w:tcPr>
            <w:tcW w:w="2435" w:type="dxa"/>
            <w:tcBorders>
              <w:top w:val="single" w:sz="4" w:space="0" w:color="000000"/>
              <w:left w:val="single" w:sz="4" w:space="0" w:color="000000"/>
              <w:bottom w:val="single" w:sz="4" w:space="0" w:color="000000"/>
              <w:right w:val="single" w:sz="4" w:space="0" w:color="000000"/>
            </w:tcBorders>
          </w:tcPr>
          <w:p w14:paraId="4B3113C6"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Positive</w:t>
            </w:r>
          </w:p>
        </w:tc>
      </w:tr>
      <w:tr w:rsidR="005179CE" w14:paraId="6EBCF913" w14:textId="77777777">
        <w:trPr>
          <w:trHeight w:val="426"/>
          <w:jc w:val="center"/>
        </w:trPr>
        <w:tc>
          <w:tcPr>
            <w:tcW w:w="2428" w:type="dxa"/>
            <w:tcBorders>
              <w:top w:val="single" w:sz="4" w:space="0" w:color="000000"/>
              <w:left w:val="single" w:sz="4" w:space="0" w:color="000000"/>
              <w:bottom w:val="single" w:sz="4" w:space="0" w:color="000000"/>
              <w:right w:val="single" w:sz="4" w:space="0" w:color="000000"/>
            </w:tcBorders>
          </w:tcPr>
          <w:p w14:paraId="3B4B4ED7"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CK20</w:t>
            </w:r>
          </w:p>
        </w:tc>
        <w:tc>
          <w:tcPr>
            <w:tcW w:w="2435" w:type="dxa"/>
            <w:tcBorders>
              <w:top w:val="single" w:sz="4" w:space="0" w:color="000000"/>
              <w:left w:val="single" w:sz="4" w:space="0" w:color="000000"/>
              <w:bottom w:val="single" w:sz="4" w:space="0" w:color="000000"/>
              <w:right w:val="single" w:sz="4" w:space="0" w:color="000000"/>
            </w:tcBorders>
          </w:tcPr>
          <w:p w14:paraId="531C74D5"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Negative</w:t>
            </w:r>
          </w:p>
        </w:tc>
        <w:tc>
          <w:tcPr>
            <w:tcW w:w="2435" w:type="dxa"/>
            <w:tcBorders>
              <w:top w:val="single" w:sz="4" w:space="0" w:color="000000"/>
              <w:left w:val="single" w:sz="4" w:space="0" w:color="000000"/>
              <w:bottom w:val="single" w:sz="4" w:space="0" w:color="000000"/>
              <w:right w:val="single" w:sz="4" w:space="0" w:color="000000"/>
            </w:tcBorders>
          </w:tcPr>
          <w:p w14:paraId="05BAEA59" w14:textId="77777777" w:rsidR="005179CE" w:rsidRDefault="00A8738B">
            <w:pPr>
              <w:spacing w:line="360" w:lineRule="auto"/>
              <w:jc w:val="both"/>
              <w:rPr>
                <w:rFonts w:ascii="Times New Roman" w:hAnsi="Times New Roman" w:cs="Times New Roman"/>
                <w:sz w:val="18"/>
                <w:szCs w:val="18"/>
              </w:rPr>
            </w:pPr>
            <w:r>
              <w:rPr>
                <w:rFonts w:ascii="Times New Roman" w:eastAsia="MS Mincho" w:hAnsi="Times New Roman" w:cs="Times New Roman"/>
                <w:sz w:val="18"/>
                <w:szCs w:val="18"/>
              </w:rPr>
              <w:t>Rarely</w:t>
            </w:r>
            <w:r>
              <w:rPr>
                <w:rFonts w:ascii="Times New Roman" w:eastAsia="MS Mincho" w:hAnsi="Times New Roman" w:cs="Times New Roman"/>
                <w:sz w:val="18"/>
                <w:szCs w:val="18"/>
              </w:rPr>
              <w:t xml:space="preserve"> Positive</w:t>
            </w:r>
          </w:p>
        </w:tc>
      </w:tr>
    </w:tbl>
    <w:p w14:paraId="62AC3633" w14:textId="77777777" w:rsidR="005179CE" w:rsidRDefault="005179CE">
      <w:pPr>
        <w:pStyle w:val="BodyText"/>
        <w:spacing w:line="360" w:lineRule="auto"/>
        <w:jc w:val="both"/>
        <w:rPr>
          <w:rFonts w:ascii="Times New Roman" w:hAnsi="Times New Roman" w:cs="Times New Roman"/>
        </w:rPr>
      </w:pPr>
    </w:p>
    <w:p w14:paraId="03A83CBD"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Comparative expression analysis reveals interesting patterns between smokers and never-smokers. CK7 expression is more consistently positive in adenocarcinomas </w:t>
      </w:r>
      <w:r>
        <w:rPr>
          <w:rFonts w:ascii="Times New Roman" w:hAnsi="Times New Roman" w:cs="Times New Roman"/>
        </w:rPr>
        <w:lastRenderedPageBreak/>
        <w:t xml:space="preserve">from never-smokers, while CK20 remains negative in the vast majority of cases. This </w:t>
      </w:r>
      <w:r>
        <w:rPr>
          <w:rFonts w:ascii="Times New Roman" w:hAnsi="Times New Roman" w:cs="Times New Roman"/>
        </w:rPr>
        <w:t>pattern helps distinguish primary lung adenocarcinoma from colorectal metastases, which is particularly relevant given the increased incidence of multiple primary tumors in never-smokers (Haruki et al., 2010).</w:t>
      </w:r>
    </w:p>
    <w:p w14:paraId="682EDBF3"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In rare histological variants occurring in nev</w:t>
      </w:r>
      <w:r>
        <w:rPr>
          <w:rFonts w:ascii="Times New Roman" w:hAnsi="Times New Roman" w:cs="Times New Roman"/>
        </w:rPr>
        <w:t>er-smokers, immunohistochemical patterns may differ from those seen in smokers. Large cell neuroendocrine carcinomas (LCNEC) in never-smokers often retain TTF-1 expression while showing neuroendocrine markers (chromogranin, synaptophysin, CD56), contrastin</w:t>
      </w:r>
      <w:r>
        <w:rPr>
          <w:rFonts w:ascii="Times New Roman" w:hAnsi="Times New Roman" w:cs="Times New Roman"/>
        </w:rPr>
        <w:t>g with the frequent TTF-1 negativity in smoking-related LCNEC (</w:t>
      </w:r>
      <w:proofErr w:type="spellStart"/>
      <w:r>
        <w:rPr>
          <w:rFonts w:ascii="Times New Roman" w:hAnsi="Times New Roman" w:cs="Times New Roman"/>
        </w:rPr>
        <w:t>Rekhtman</w:t>
      </w:r>
      <w:proofErr w:type="spellEnd"/>
      <w:r>
        <w:rPr>
          <w:rFonts w:ascii="Times New Roman" w:hAnsi="Times New Roman" w:cs="Times New Roman"/>
        </w:rPr>
        <w:t xml:space="preserve"> et al., 2010).</w:t>
      </w:r>
    </w:p>
    <w:p w14:paraId="68B8E971" w14:textId="77777777" w:rsidR="005179CE" w:rsidRDefault="00A8738B">
      <w:pPr>
        <w:pStyle w:val="BodyText"/>
        <w:spacing w:line="360" w:lineRule="auto"/>
        <w:jc w:val="both"/>
        <w:rPr>
          <w:rFonts w:ascii="Times New Roman" w:hAnsi="Times New Roman" w:cs="Times New Roman"/>
        </w:rPr>
      </w:pPr>
      <w:proofErr w:type="spellStart"/>
      <w:r>
        <w:rPr>
          <w:rFonts w:ascii="Times New Roman" w:hAnsi="Times New Roman" w:cs="Times New Roman"/>
        </w:rPr>
        <w:t>Sarcomatoid</w:t>
      </w:r>
      <w:proofErr w:type="spellEnd"/>
      <w:r>
        <w:rPr>
          <w:rFonts w:ascii="Times New Roman" w:hAnsi="Times New Roman" w:cs="Times New Roman"/>
        </w:rPr>
        <w:t xml:space="preserve"> carcinomas, while extremely rare in never-smokers, when present, may show retained epithelial marker expression (TTF-1, </w:t>
      </w:r>
      <w:proofErr w:type="spellStart"/>
      <w:r>
        <w:rPr>
          <w:rFonts w:ascii="Times New Roman" w:hAnsi="Times New Roman" w:cs="Times New Roman"/>
        </w:rPr>
        <w:t>cytokeratins</w:t>
      </w:r>
      <w:proofErr w:type="spellEnd"/>
      <w:r>
        <w:rPr>
          <w:rFonts w:ascii="Times New Roman" w:hAnsi="Times New Roman" w:cs="Times New Roman"/>
        </w:rPr>
        <w:t xml:space="preserve">) in the epithelial </w:t>
      </w:r>
      <w:r>
        <w:rPr>
          <w:rFonts w:ascii="Times New Roman" w:hAnsi="Times New Roman" w:cs="Times New Roman"/>
        </w:rPr>
        <w:t>component, facilitating recognition of their pulmonary origin. The mesenchymal component typically expresses vimentin and may show focal positivity for smooth muscle actin or other mesenchymal markers (Rossi et al., 2003).</w:t>
      </w:r>
    </w:p>
    <w:p w14:paraId="18E09109"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Emerging immunohistochemical mark</w:t>
      </w:r>
      <w:r>
        <w:rPr>
          <w:rFonts w:ascii="Times New Roman" w:hAnsi="Times New Roman" w:cs="Times New Roman"/>
        </w:rPr>
        <w:t>ers show promise for further characterization of lung cancers in never-smokers. Claudin-4 expression is higher in adenocarcinomas from never-smokers and correlates with EGFR mutation status. Similarly, E-cadherin expression patterns may help predict molecu</w:t>
      </w:r>
      <w:r>
        <w:rPr>
          <w:rFonts w:ascii="Times New Roman" w:hAnsi="Times New Roman" w:cs="Times New Roman"/>
        </w:rPr>
        <w:t>lar alterations and therapeutic responses in this population.</w:t>
      </w:r>
    </w:p>
    <w:p w14:paraId="7A28B8D8" w14:textId="77777777" w:rsidR="005179CE" w:rsidRDefault="00A8738B">
      <w:pPr>
        <w:pStyle w:val="Heading21"/>
        <w:spacing w:line="360" w:lineRule="auto"/>
        <w:jc w:val="both"/>
        <w:rPr>
          <w:rFonts w:ascii="Times New Roman" w:hAnsi="Times New Roman" w:cs="Times New Roman"/>
          <w:color w:val="auto"/>
          <w:sz w:val="24"/>
          <w:szCs w:val="24"/>
        </w:rPr>
      </w:pPr>
      <w:bookmarkStart w:id="7" w:name="X2dfcbd0ca2b99414142fdc5bae5da4c9930b10c"/>
      <w:bookmarkEnd w:id="6"/>
      <w:r>
        <w:rPr>
          <w:rFonts w:ascii="Times New Roman" w:hAnsi="Times New Roman" w:cs="Times New Roman"/>
          <w:color w:val="auto"/>
          <w:sz w:val="24"/>
          <w:szCs w:val="24"/>
        </w:rPr>
        <w:t>5. Molecular Alterations and Histologic Correlation</w:t>
      </w:r>
    </w:p>
    <w:p w14:paraId="0748279D"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 xml:space="preserve">The molecular landscape of lung cancer in never-smokers is characterized by distinct oncogenic driver mutations that show strong correlations </w:t>
      </w:r>
      <w:r>
        <w:rPr>
          <w:rFonts w:ascii="Times New Roman" w:hAnsi="Times New Roman" w:cs="Times New Roman"/>
        </w:rPr>
        <w:t>with specific histological features. Understanding these molecular-morphological relationships is crucial for diagnostic accuracy and therapeutic decision-making in clinical practice.</w:t>
      </w:r>
    </w:p>
    <w:p w14:paraId="7624704C" w14:textId="77777777" w:rsidR="005179CE" w:rsidRDefault="00A8738B">
      <w:pPr>
        <w:rPr>
          <w:rFonts w:ascii="Times New Roman" w:hAnsi="Times New Roman" w:cs="Times New Roman"/>
        </w:rPr>
      </w:pPr>
      <w:r>
        <w:rPr>
          <w:rFonts w:ascii="Times New Roman" w:hAnsi="Times New Roman" w:cs="Times New Roman"/>
        </w:rPr>
        <w:br w:type="page"/>
      </w:r>
    </w:p>
    <w:p w14:paraId="6EF511A3" w14:textId="77777777" w:rsidR="005179CE" w:rsidRDefault="00A8738B">
      <w:pPr>
        <w:pStyle w:val="BodyText"/>
        <w:jc w:val="center"/>
        <w:rPr>
          <w:rFonts w:ascii="Times New Roman" w:hAnsi="Times New Roman" w:cs="Times New Roman"/>
          <w:b/>
          <w:bCs/>
          <w:i/>
          <w:iCs/>
          <w:sz w:val="20"/>
          <w:szCs w:val="20"/>
        </w:rPr>
      </w:pPr>
      <w:r>
        <w:rPr>
          <w:rFonts w:ascii="Times New Roman" w:eastAsia="SimSun" w:hAnsi="Times New Roman" w:cs="Times New Roman"/>
          <w:b/>
          <w:bCs/>
          <w:i/>
          <w:iCs/>
          <w:sz w:val="20"/>
          <w:szCs w:val="20"/>
        </w:rPr>
        <w:lastRenderedPageBreak/>
        <w:t>Figure 4. Molecular Alterations in Never-Smoker Lung Adenocarcinoma</w:t>
      </w:r>
    </w:p>
    <w:p w14:paraId="4AB28822" w14:textId="77777777" w:rsidR="005179CE" w:rsidRDefault="005179CE">
      <w:pPr>
        <w:jc w:val="center"/>
        <w:rPr>
          <w:rFonts w:ascii="Times New Roman" w:hAnsi="Times New Roman" w:cs="Times New Roman"/>
        </w:rPr>
      </w:pPr>
    </w:p>
    <w:p w14:paraId="3E1D6C2C" w14:textId="77777777" w:rsidR="005179CE" w:rsidRDefault="00A8738B">
      <w:pPr>
        <w:jc w:val="center"/>
        <w:rPr>
          <w:rFonts w:ascii="Times New Roman" w:hAnsi="Times New Roman" w:cs="Times New Roman"/>
        </w:rPr>
      </w:pPr>
      <w:r>
        <w:rPr>
          <w:rFonts w:ascii="Times New Roman" w:hAnsi="Times New Roman" w:cs="Times New Roman"/>
          <w:noProof/>
        </w:rPr>
        <w:drawing>
          <wp:anchor distT="0" distB="0" distL="0" distR="0" simplePos="0" relativeHeight="251659264" behindDoc="0" locked="0" layoutInCell="1" allowOverlap="1" wp14:anchorId="72E14D67" wp14:editId="48634DA5">
            <wp:simplePos x="0" y="0"/>
            <wp:positionH relativeFrom="column">
              <wp:posOffset>859155</wp:posOffset>
            </wp:positionH>
            <wp:positionV relativeFrom="paragraph">
              <wp:posOffset>3175</wp:posOffset>
            </wp:positionV>
            <wp:extent cx="3496310" cy="3448685"/>
            <wp:effectExtent l="0" t="0" r="8890" b="18415"/>
            <wp:wrapNone/>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0" cstate="print"/>
                    <a:srcRect/>
                    <a:stretch>
                      <a:fillRect/>
                    </a:stretch>
                  </pic:blipFill>
                  <pic:spPr>
                    <a:xfrm>
                      <a:off x="0" y="0"/>
                      <a:ext cx="3496310" cy="3448685"/>
                    </a:xfrm>
                    <a:prstGeom prst="rect">
                      <a:avLst/>
                    </a:prstGeom>
                  </pic:spPr>
                </pic:pic>
              </a:graphicData>
            </a:graphic>
          </wp:anchor>
        </w:drawing>
      </w:r>
    </w:p>
    <w:p w14:paraId="09CBBC70" w14:textId="77777777" w:rsidR="005179CE" w:rsidRDefault="005179CE">
      <w:pPr>
        <w:jc w:val="center"/>
        <w:rPr>
          <w:rFonts w:ascii="Times New Roman" w:hAnsi="Times New Roman" w:cs="Times New Roman"/>
        </w:rPr>
      </w:pPr>
    </w:p>
    <w:p w14:paraId="6808D01B" w14:textId="77777777" w:rsidR="005179CE" w:rsidRDefault="005179CE">
      <w:pPr>
        <w:jc w:val="center"/>
        <w:rPr>
          <w:rFonts w:ascii="Times New Roman" w:hAnsi="Times New Roman" w:cs="Times New Roman"/>
        </w:rPr>
      </w:pPr>
    </w:p>
    <w:p w14:paraId="35247739" w14:textId="77777777" w:rsidR="005179CE" w:rsidRDefault="005179CE">
      <w:pPr>
        <w:jc w:val="center"/>
        <w:rPr>
          <w:rFonts w:ascii="Times New Roman" w:hAnsi="Times New Roman" w:cs="Times New Roman"/>
        </w:rPr>
      </w:pPr>
    </w:p>
    <w:p w14:paraId="52FE9043" w14:textId="77777777" w:rsidR="005179CE" w:rsidRDefault="005179CE">
      <w:pPr>
        <w:jc w:val="center"/>
        <w:rPr>
          <w:rFonts w:ascii="Times New Roman" w:hAnsi="Times New Roman" w:cs="Times New Roman"/>
        </w:rPr>
      </w:pPr>
    </w:p>
    <w:p w14:paraId="0AF129EB" w14:textId="77777777" w:rsidR="005179CE" w:rsidRDefault="005179CE">
      <w:pPr>
        <w:jc w:val="center"/>
        <w:rPr>
          <w:rFonts w:ascii="Times New Roman" w:hAnsi="Times New Roman" w:cs="Times New Roman"/>
        </w:rPr>
      </w:pPr>
    </w:p>
    <w:p w14:paraId="60E1CC19" w14:textId="77777777" w:rsidR="005179CE" w:rsidRDefault="005179CE">
      <w:pPr>
        <w:jc w:val="center"/>
        <w:rPr>
          <w:rFonts w:ascii="Times New Roman" w:hAnsi="Times New Roman" w:cs="Times New Roman"/>
        </w:rPr>
      </w:pPr>
    </w:p>
    <w:p w14:paraId="515FCFF8" w14:textId="77777777" w:rsidR="005179CE" w:rsidRDefault="005179CE">
      <w:pPr>
        <w:jc w:val="center"/>
        <w:rPr>
          <w:rFonts w:ascii="Times New Roman" w:hAnsi="Times New Roman" w:cs="Times New Roman"/>
        </w:rPr>
      </w:pPr>
    </w:p>
    <w:p w14:paraId="63BA44B8" w14:textId="77777777" w:rsidR="005179CE" w:rsidRDefault="005179CE">
      <w:pPr>
        <w:jc w:val="center"/>
        <w:rPr>
          <w:rFonts w:ascii="Times New Roman" w:hAnsi="Times New Roman" w:cs="Times New Roman"/>
        </w:rPr>
      </w:pPr>
    </w:p>
    <w:p w14:paraId="7BEB28B2" w14:textId="77777777" w:rsidR="005179CE" w:rsidRDefault="005179CE">
      <w:pPr>
        <w:jc w:val="center"/>
        <w:rPr>
          <w:rFonts w:ascii="Times New Roman" w:hAnsi="Times New Roman" w:cs="Times New Roman"/>
        </w:rPr>
      </w:pPr>
    </w:p>
    <w:p w14:paraId="07853D69" w14:textId="77777777" w:rsidR="005179CE" w:rsidRDefault="005179CE">
      <w:pPr>
        <w:jc w:val="center"/>
        <w:rPr>
          <w:rFonts w:ascii="Times New Roman" w:hAnsi="Times New Roman" w:cs="Times New Roman"/>
        </w:rPr>
      </w:pPr>
    </w:p>
    <w:p w14:paraId="1D91ABA8" w14:textId="77777777" w:rsidR="005179CE" w:rsidRDefault="005179CE">
      <w:pPr>
        <w:jc w:val="center"/>
        <w:rPr>
          <w:rFonts w:ascii="Times New Roman" w:hAnsi="Times New Roman" w:cs="Times New Roman"/>
        </w:rPr>
      </w:pPr>
    </w:p>
    <w:p w14:paraId="7872FC95" w14:textId="77777777" w:rsidR="005179CE" w:rsidRDefault="00A8738B">
      <w:pPr>
        <w:spacing w:line="360" w:lineRule="auto"/>
        <w:jc w:val="center"/>
        <w:rPr>
          <w:rFonts w:ascii="Times New Roman" w:hAnsi="Times New Roman" w:cs="Times New Roman"/>
          <w:i/>
          <w:iCs/>
          <w:sz w:val="18"/>
          <w:szCs w:val="18"/>
        </w:rPr>
      </w:pPr>
      <w:r>
        <w:rPr>
          <w:rFonts w:ascii="Times New Roman" w:eastAsia="SimSun" w:hAnsi="Times New Roman" w:cs="Times New Roman"/>
          <w:i/>
          <w:iCs/>
          <w:sz w:val="18"/>
          <w:szCs w:val="18"/>
        </w:rPr>
        <w:t>Comprehensive molecular landscape showing the frequency and distribution of key oncogenic drivers in never-smoker lung adenocarcinoma. EGFR mutations are the most common alteration (40-50%), followed by ALK rearrangements (5-10%) and ROS1 fusio</w:t>
      </w:r>
      <w:r>
        <w:rPr>
          <w:rFonts w:ascii="Times New Roman" w:eastAsia="SimSun" w:hAnsi="Times New Roman" w:cs="Times New Roman"/>
          <w:i/>
          <w:iCs/>
          <w:sz w:val="18"/>
          <w:szCs w:val="18"/>
        </w:rPr>
        <w:t>ns (1-3%). The chart illustrates the enrichment of targetable alterations compared to smoking-related cases.</w:t>
      </w:r>
    </w:p>
    <w:p w14:paraId="6E50D4F1" w14:textId="77777777" w:rsidR="005179CE" w:rsidRDefault="00A8738B">
      <w:pPr>
        <w:spacing w:line="360" w:lineRule="auto"/>
        <w:jc w:val="both"/>
        <w:rPr>
          <w:rFonts w:ascii="Times New Roman" w:hAnsi="Times New Roman" w:cs="Times New Roman"/>
        </w:rPr>
      </w:pPr>
      <w:r>
        <w:rPr>
          <w:rFonts w:ascii="Times New Roman" w:hAnsi="Times New Roman" w:cs="Times New Roman"/>
        </w:rPr>
        <w:t>EGFR mutations represent the most common oncogenic driver in never-smokers, occurring in 40-50% of adenocarcinomas compared to 10-15% in smokers (L</w:t>
      </w:r>
      <w:r>
        <w:rPr>
          <w:rFonts w:ascii="Times New Roman" w:hAnsi="Times New Roman" w:cs="Times New Roman"/>
        </w:rPr>
        <w:t>ynch et al., 2004). These mutations show strong correlation with specific histological patterns. Lepidic-predominant adenocarcinomas demonstrate EGFR mutations in up to 70% of cases, while acinar and papillary patterns show intermediate frequencies. The mo</w:t>
      </w:r>
      <w:r>
        <w:rPr>
          <w:rFonts w:ascii="Times New Roman" w:hAnsi="Times New Roman" w:cs="Times New Roman"/>
        </w:rPr>
        <w:t>rphological characteristics associated with EGFR mutations include well-differentiated glandular architecture, minimal pleomorphism, and low proliferative indices.</w:t>
      </w:r>
    </w:p>
    <w:p w14:paraId="2E060249"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ALK rearrangements occur in 5-10% of lung adenocarcinomas in never-smokers, with a strong pr</w:t>
      </w:r>
      <w:r>
        <w:rPr>
          <w:rFonts w:ascii="Times New Roman" w:hAnsi="Times New Roman" w:cs="Times New Roman"/>
        </w:rPr>
        <w:t xml:space="preserve">edilection for younger patients. Histologically, ALK-positive tumors often display solid growth patterns with abundant cytoplasm and characteristic “hallmark cells” - large cells with eccentric nuclei and abundant eosinophilic </w:t>
      </w:r>
      <w:r>
        <w:rPr>
          <w:rFonts w:ascii="Times New Roman" w:hAnsi="Times New Roman" w:cs="Times New Roman"/>
        </w:rPr>
        <w:lastRenderedPageBreak/>
        <w:t>cytoplasm (Rodig et al., 2009</w:t>
      </w:r>
      <w:r>
        <w:rPr>
          <w:rFonts w:ascii="Times New Roman" w:hAnsi="Times New Roman" w:cs="Times New Roman"/>
        </w:rPr>
        <w:t>). Signet ring cell features and cribriform patterns are also more common in ALK-rearranged tumors. These morphological features can serve as screening tools for ALK testing, particularly in resource-limited settings.</w:t>
      </w:r>
    </w:p>
    <w:p w14:paraId="3792712E"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ROS1 fusions account for 1-3% of lung </w:t>
      </w:r>
      <w:r>
        <w:rPr>
          <w:rFonts w:ascii="Times New Roman" w:hAnsi="Times New Roman" w:cs="Times New Roman"/>
        </w:rPr>
        <w:t>adenocarcinomas in never-smokers and show overlapping morphological features with ALK-positive tumors. However, ROS1-positive tumors more frequently demonstrate glandular architecture and may show prominent mucin production (Yoshida et al., 2011). The hist</w:t>
      </w:r>
      <w:r>
        <w:rPr>
          <w:rFonts w:ascii="Times New Roman" w:hAnsi="Times New Roman" w:cs="Times New Roman"/>
        </w:rPr>
        <w:t>ological similarity between ALK and ROS1-positive tumors necessitates molecular testing for definitive identification.</w:t>
      </w:r>
    </w:p>
    <w:p w14:paraId="080CB034" w14:textId="77777777" w:rsidR="005179CE" w:rsidRDefault="005179CE">
      <w:pPr>
        <w:pStyle w:val="BodyText"/>
        <w:spacing w:line="360" w:lineRule="auto"/>
        <w:jc w:val="both"/>
        <w:rPr>
          <w:rFonts w:ascii="Times New Roman" w:hAnsi="Times New Roman" w:cs="Times New Roman"/>
        </w:rPr>
      </w:pPr>
    </w:p>
    <w:p w14:paraId="69D08119" w14:textId="77777777" w:rsidR="005179CE" w:rsidRDefault="00A8738B">
      <w:pPr>
        <w:pStyle w:val="BodyText"/>
        <w:spacing w:line="360" w:lineRule="auto"/>
        <w:jc w:val="center"/>
        <w:rPr>
          <w:rFonts w:ascii="Times New Roman" w:hAnsi="Times New Roman" w:cs="Times New Roman"/>
          <w:b/>
          <w:bCs/>
          <w:i/>
          <w:iCs/>
          <w:sz w:val="20"/>
          <w:szCs w:val="20"/>
        </w:rPr>
      </w:pPr>
      <w:r>
        <w:rPr>
          <w:rStyle w:val="Strong"/>
          <w:rFonts w:ascii="Times New Roman" w:eastAsia="SimSun" w:hAnsi="Times New Roman" w:cs="Times New Roman"/>
          <w:i/>
          <w:iCs/>
          <w:sz w:val="20"/>
          <w:szCs w:val="20"/>
        </w:rPr>
        <w:t xml:space="preserve">Figure 5. </w:t>
      </w:r>
      <w:proofErr w:type="spellStart"/>
      <w:r>
        <w:rPr>
          <w:rStyle w:val="Strong"/>
          <w:rFonts w:ascii="Times New Roman" w:eastAsia="SimSun" w:hAnsi="Times New Roman" w:cs="Times New Roman"/>
          <w:i/>
          <w:iCs/>
          <w:sz w:val="20"/>
          <w:szCs w:val="20"/>
        </w:rPr>
        <w:t>Histomorphological</w:t>
      </w:r>
      <w:proofErr w:type="spellEnd"/>
      <w:r>
        <w:rPr>
          <w:rStyle w:val="Strong"/>
          <w:rFonts w:ascii="Times New Roman" w:eastAsia="SimSun" w:hAnsi="Times New Roman" w:cs="Times New Roman"/>
          <w:i/>
          <w:iCs/>
          <w:sz w:val="20"/>
          <w:szCs w:val="20"/>
        </w:rPr>
        <w:t xml:space="preserve"> Correlates of Molecular Alterations</w:t>
      </w:r>
    </w:p>
    <w:p w14:paraId="7EF57D7C"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4A69C11" wp14:editId="26BE0BF3">
            <wp:extent cx="4942205" cy="2767965"/>
            <wp:effectExtent l="0" t="0" r="1270" b="381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1" cstate="print"/>
                    <a:srcRect/>
                    <a:stretch>
                      <a:fillRect/>
                    </a:stretch>
                  </pic:blipFill>
                  <pic:spPr>
                    <a:xfrm>
                      <a:off x="0" y="0"/>
                      <a:ext cx="4942205" cy="2767965"/>
                    </a:xfrm>
                    <a:prstGeom prst="rect">
                      <a:avLst/>
                    </a:prstGeom>
                  </pic:spPr>
                </pic:pic>
              </a:graphicData>
            </a:graphic>
          </wp:inline>
        </w:drawing>
      </w:r>
    </w:p>
    <w:p w14:paraId="2ADC0359" w14:textId="77777777" w:rsidR="005179CE" w:rsidRDefault="00A8738B">
      <w:pPr>
        <w:pStyle w:val="BodyText"/>
        <w:spacing w:line="360" w:lineRule="auto"/>
        <w:jc w:val="center"/>
        <w:rPr>
          <w:rFonts w:ascii="Times New Roman" w:hAnsi="Times New Roman" w:cs="Times New Roman"/>
          <w:i/>
          <w:iCs/>
          <w:sz w:val="18"/>
          <w:szCs w:val="18"/>
        </w:rPr>
      </w:pPr>
      <w:r>
        <w:rPr>
          <w:rFonts w:ascii="Times New Roman" w:eastAsia="SimSun" w:hAnsi="Times New Roman" w:cs="Times New Roman"/>
          <w:i/>
          <w:iCs/>
          <w:sz w:val="18"/>
          <w:szCs w:val="18"/>
        </w:rPr>
        <w:t xml:space="preserve">Morphological patterns associated with specific molecular drivers in </w:t>
      </w:r>
      <w:r>
        <w:rPr>
          <w:rFonts w:ascii="Times New Roman" w:eastAsia="SimSun" w:hAnsi="Times New Roman" w:cs="Times New Roman"/>
          <w:i/>
          <w:iCs/>
          <w:sz w:val="18"/>
          <w:szCs w:val="18"/>
        </w:rPr>
        <w:t>never-smoker adenocarcinoma: (A) Lepidic pattern commonly associated with EGFR mutations, (B) Solid pattern with "hallmark cells" characteristic of ALK rearrangements, and (C) Acinar pattern with mucin production seen in some ROS1-positive cases (H&amp;E stain</w:t>
      </w:r>
      <w:r>
        <w:rPr>
          <w:rFonts w:ascii="Times New Roman" w:eastAsia="SimSun" w:hAnsi="Times New Roman" w:cs="Times New Roman"/>
          <w:i/>
          <w:iCs/>
          <w:sz w:val="18"/>
          <w:szCs w:val="18"/>
        </w:rPr>
        <w:t>, original magnification ×400).</w:t>
      </w:r>
    </w:p>
    <w:p w14:paraId="55792634"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Histological predictors of molecular alterations have important practical implications for diagnostic workflows. Well-differentiated adenocarcinomas with lepidic or acinar patterns in never-smokers warrant EGFR mutation test</w:t>
      </w:r>
      <w:r>
        <w:rPr>
          <w:rFonts w:ascii="Times New Roman" w:hAnsi="Times New Roman" w:cs="Times New Roman"/>
        </w:rPr>
        <w:t>ing, while solid-predominant tumors in younger never-smokers should prompt ALK and ROS1 evaluation. These morphological cues can guide targeted molecular testing strategies and expedite appropriate therapy selection (Kadota et al., 2015).</w:t>
      </w:r>
    </w:p>
    <w:p w14:paraId="23BB6D90"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lastRenderedPageBreak/>
        <w:t>The comparison of</w:t>
      </w:r>
      <w:r>
        <w:rPr>
          <w:rFonts w:ascii="Times New Roman" w:hAnsi="Times New Roman" w:cs="Times New Roman"/>
        </w:rPr>
        <w:t xml:space="preserve"> molecular profiles between smokers and never-smokers reveals fundamental differences in carcinogenesis pathways. Never-smokers show lower overall mutation burdens with enrichment for single, high-impact driver mutations, while smokers demonstrate complex </w:t>
      </w:r>
      <w:r>
        <w:rPr>
          <w:rFonts w:ascii="Times New Roman" w:hAnsi="Times New Roman" w:cs="Times New Roman"/>
        </w:rPr>
        <w:t>mutational landscapes with tobacco-signature mutations throughout the genome (Govindan et al., 2012). This difference has important implications for immunotherapy responses and resistance patterns.</w:t>
      </w:r>
    </w:p>
    <w:p w14:paraId="6866EA87" w14:textId="77777777" w:rsidR="005179CE" w:rsidRDefault="00A8738B">
      <w:pPr>
        <w:keepNext/>
        <w:keepLines/>
        <w:spacing w:before="200" w:line="360" w:lineRule="auto"/>
        <w:jc w:val="both"/>
        <w:outlineLvl w:val="1"/>
        <w:rPr>
          <w:rFonts w:ascii="Times New Roman" w:hAnsi="Times New Roman" w:cs="Times New Roman"/>
        </w:rPr>
      </w:pPr>
      <w:r>
        <w:rPr>
          <w:rFonts w:ascii="Times New Roman" w:eastAsia="MS Gothic" w:hAnsi="Times New Roman" w:cs="Times New Roman"/>
          <w:b/>
          <w:bCs/>
        </w:rPr>
        <w:t>Table 4: Molecular Alterations by Histological Pattern</w:t>
      </w:r>
    </w:p>
    <w:tbl>
      <w:tblPr>
        <w:tblStyle w:val="TableGrid"/>
        <w:tblW w:w="0" w:type="auto"/>
        <w:jc w:val="center"/>
        <w:tblLayout w:type="fixed"/>
        <w:tblLook w:val="04A0" w:firstRow="1" w:lastRow="0" w:firstColumn="1" w:lastColumn="0" w:noHBand="0" w:noVBand="1"/>
      </w:tblPr>
      <w:tblGrid>
        <w:gridCol w:w="2468"/>
        <w:gridCol w:w="2479"/>
        <w:gridCol w:w="2472"/>
      </w:tblGrid>
      <w:tr w:rsidR="005179CE" w14:paraId="0CB077BC"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4F40263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His</w:t>
            </w:r>
            <w:r>
              <w:rPr>
                <w:rFonts w:ascii="Times New Roman" w:eastAsia="MS Mincho" w:hAnsi="Times New Roman" w:cs="Times New Roman"/>
                <w:sz w:val="20"/>
                <w:szCs w:val="20"/>
              </w:rPr>
              <w:t>tological Pattern</w:t>
            </w:r>
          </w:p>
        </w:tc>
        <w:tc>
          <w:tcPr>
            <w:tcW w:w="2479" w:type="dxa"/>
            <w:tcBorders>
              <w:top w:val="single" w:sz="4" w:space="0" w:color="000000"/>
              <w:left w:val="single" w:sz="4" w:space="0" w:color="000000"/>
              <w:bottom w:val="single" w:sz="4" w:space="0" w:color="000000"/>
              <w:right w:val="single" w:sz="4" w:space="0" w:color="000000"/>
            </w:tcBorders>
          </w:tcPr>
          <w:p w14:paraId="6B07F342"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Common Alteration(s)</w:t>
            </w:r>
          </w:p>
        </w:tc>
        <w:tc>
          <w:tcPr>
            <w:tcW w:w="2472" w:type="dxa"/>
            <w:tcBorders>
              <w:top w:val="single" w:sz="4" w:space="0" w:color="000000"/>
              <w:left w:val="single" w:sz="4" w:space="0" w:color="000000"/>
              <w:bottom w:val="single" w:sz="4" w:space="0" w:color="000000"/>
              <w:right w:val="single" w:sz="4" w:space="0" w:color="000000"/>
            </w:tcBorders>
          </w:tcPr>
          <w:p w14:paraId="2B0C29E8"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Prevalence in Never-Smokers</w:t>
            </w:r>
          </w:p>
        </w:tc>
      </w:tr>
      <w:tr w:rsidR="005179CE" w14:paraId="6D10F3EB"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68EE2197"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Lepidic</w:t>
            </w:r>
          </w:p>
        </w:tc>
        <w:tc>
          <w:tcPr>
            <w:tcW w:w="2479" w:type="dxa"/>
            <w:tcBorders>
              <w:top w:val="single" w:sz="4" w:space="0" w:color="000000"/>
              <w:left w:val="single" w:sz="4" w:space="0" w:color="000000"/>
              <w:bottom w:val="single" w:sz="4" w:space="0" w:color="000000"/>
              <w:right w:val="single" w:sz="4" w:space="0" w:color="000000"/>
            </w:tcBorders>
          </w:tcPr>
          <w:p w14:paraId="128B83D6"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0D4D6463"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Up to 70%</w:t>
            </w:r>
          </w:p>
        </w:tc>
      </w:tr>
      <w:tr w:rsidR="005179CE" w14:paraId="13DAC56F"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3E6A62ED"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Acinar</w:t>
            </w:r>
          </w:p>
        </w:tc>
        <w:tc>
          <w:tcPr>
            <w:tcW w:w="2479" w:type="dxa"/>
            <w:tcBorders>
              <w:top w:val="single" w:sz="4" w:space="0" w:color="000000"/>
              <w:left w:val="single" w:sz="4" w:space="0" w:color="000000"/>
              <w:bottom w:val="single" w:sz="4" w:space="0" w:color="000000"/>
              <w:right w:val="single" w:sz="4" w:space="0" w:color="000000"/>
            </w:tcBorders>
          </w:tcPr>
          <w:p w14:paraId="1261EEF3"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52189361"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Intermediate</w:t>
            </w:r>
          </w:p>
        </w:tc>
      </w:tr>
      <w:tr w:rsidR="005179CE" w14:paraId="6ECD2C25"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4AD4FAF5"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Papillary</w:t>
            </w:r>
          </w:p>
        </w:tc>
        <w:tc>
          <w:tcPr>
            <w:tcW w:w="2479" w:type="dxa"/>
            <w:tcBorders>
              <w:top w:val="single" w:sz="4" w:space="0" w:color="000000"/>
              <w:left w:val="single" w:sz="4" w:space="0" w:color="000000"/>
              <w:bottom w:val="single" w:sz="4" w:space="0" w:color="000000"/>
              <w:right w:val="single" w:sz="4" w:space="0" w:color="000000"/>
            </w:tcBorders>
          </w:tcPr>
          <w:p w14:paraId="67AC555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EGFR mutations</w:t>
            </w:r>
          </w:p>
        </w:tc>
        <w:tc>
          <w:tcPr>
            <w:tcW w:w="2472" w:type="dxa"/>
            <w:tcBorders>
              <w:top w:val="single" w:sz="4" w:space="0" w:color="000000"/>
              <w:left w:val="single" w:sz="4" w:space="0" w:color="000000"/>
              <w:bottom w:val="single" w:sz="4" w:space="0" w:color="000000"/>
              <w:right w:val="single" w:sz="4" w:space="0" w:color="000000"/>
            </w:tcBorders>
          </w:tcPr>
          <w:p w14:paraId="5953616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Intermediate</w:t>
            </w:r>
          </w:p>
        </w:tc>
      </w:tr>
      <w:tr w:rsidR="005179CE" w14:paraId="4B9913B0" w14:textId="77777777">
        <w:trPr>
          <w:trHeight w:val="455"/>
          <w:jc w:val="center"/>
        </w:trPr>
        <w:tc>
          <w:tcPr>
            <w:tcW w:w="2468" w:type="dxa"/>
            <w:tcBorders>
              <w:top w:val="single" w:sz="4" w:space="0" w:color="000000"/>
              <w:left w:val="single" w:sz="4" w:space="0" w:color="000000"/>
              <w:bottom w:val="single" w:sz="4" w:space="0" w:color="000000"/>
              <w:right w:val="single" w:sz="4" w:space="0" w:color="000000"/>
            </w:tcBorders>
          </w:tcPr>
          <w:p w14:paraId="50238552"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Solid</w:t>
            </w:r>
          </w:p>
        </w:tc>
        <w:tc>
          <w:tcPr>
            <w:tcW w:w="2479" w:type="dxa"/>
            <w:tcBorders>
              <w:top w:val="single" w:sz="4" w:space="0" w:color="000000"/>
              <w:left w:val="single" w:sz="4" w:space="0" w:color="000000"/>
              <w:bottom w:val="single" w:sz="4" w:space="0" w:color="000000"/>
              <w:right w:val="single" w:sz="4" w:space="0" w:color="000000"/>
            </w:tcBorders>
          </w:tcPr>
          <w:p w14:paraId="7DBE7A9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ALK/ROS1 rearrangements</w:t>
            </w:r>
          </w:p>
        </w:tc>
        <w:tc>
          <w:tcPr>
            <w:tcW w:w="2472" w:type="dxa"/>
            <w:tcBorders>
              <w:top w:val="single" w:sz="4" w:space="0" w:color="000000"/>
              <w:left w:val="single" w:sz="4" w:space="0" w:color="000000"/>
              <w:bottom w:val="single" w:sz="4" w:space="0" w:color="000000"/>
              <w:right w:val="single" w:sz="4" w:space="0" w:color="000000"/>
            </w:tcBorders>
          </w:tcPr>
          <w:p w14:paraId="0F730BD1"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Common in younger patients</w:t>
            </w:r>
          </w:p>
        </w:tc>
      </w:tr>
      <w:tr w:rsidR="005179CE" w14:paraId="1991F711" w14:textId="77777777">
        <w:trPr>
          <w:trHeight w:val="463"/>
          <w:jc w:val="center"/>
        </w:trPr>
        <w:tc>
          <w:tcPr>
            <w:tcW w:w="2468" w:type="dxa"/>
            <w:tcBorders>
              <w:top w:val="single" w:sz="4" w:space="0" w:color="000000"/>
              <w:left w:val="single" w:sz="4" w:space="0" w:color="000000"/>
              <w:bottom w:val="single" w:sz="4" w:space="0" w:color="000000"/>
              <w:right w:val="single" w:sz="4" w:space="0" w:color="000000"/>
            </w:tcBorders>
          </w:tcPr>
          <w:p w14:paraId="4A951AB5"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Mucinous</w:t>
            </w:r>
          </w:p>
        </w:tc>
        <w:tc>
          <w:tcPr>
            <w:tcW w:w="2479" w:type="dxa"/>
            <w:tcBorders>
              <w:top w:val="single" w:sz="4" w:space="0" w:color="000000"/>
              <w:left w:val="single" w:sz="4" w:space="0" w:color="000000"/>
              <w:bottom w:val="single" w:sz="4" w:space="0" w:color="000000"/>
              <w:right w:val="single" w:sz="4" w:space="0" w:color="000000"/>
            </w:tcBorders>
          </w:tcPr>
          <w:p w14:paraId="552E6E70"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 xml:space="preserve">KRAS G12D </w:t>
            </w:r>
            <w:r>
              <w:rPr>
                <w:rFonts w:ascii="Times New Roman" w:eastAsia="MS Mincho" w:hAnsi="Times New Roman" w:cs="Times New Roman"/>
                <w:sz w:val="20"/>
                <w:szCs w:val="20"/>
              </w:rPr>
              <w:t>mutations</w:t>
            </w:r>
          </w:p>
        </w:tc>
        <w:tc>
          <w:tcPr>
            <w:tcW w:w="2472" w:type="dxa"/>
            <w:tcBorders>
              <w:top w:val="single" w:sz="4" w:space="0" w:color="000000"/>
              <w:left w:val="single" w:sz="4" w:space="0" w:color="000000"/>
              <w:bottom w:val="single" w:sz="4" w:space="0" w:color="000000"/>
              <w:right w:val="single" w:sz="4" w:space="0" w:color="000000"/>
            </w:tcBorders>
          </w:tcPr>
          <w:p w14:paraId="714FB2F9"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Less common</w:t>
            </w:r>
          </w:p>
        </w:tc>
      </w:tr>
    </w:tbl>
    <w:p w14:paraId="0FBFFD5A" w14:textId="77777777" w:rsidR="005179CE" w:rsidRDefault="005179CE">
      <w:pPr>
        <w:pStyle w:val="BodyText"/>
        <w:spacing w:line="360" w:lineRule="auto"/>
        <w:jc w:val="both"/>
        <w:rPr>
          <w:rFonts w:ascii="Times New Roman" w:hAnsi="Times New Roman" w:cs="Times New Roman"/>
        </w:rPr>
      </w:pPr>
    </w:p>
    <w:p w14:paraId="536725AF"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KRAS mutations, while less common in never-smokers than smokers, when present, often involve different codons and show distinct histological associations. KRAS G12C mutations, targetable with specific inhibitors, occur more </w:t>
      </w:r>
      <w:r>
        <w:rPr>
          <w:rFonts w:ascii="Times New Roman" w:hAnsi="Times New Roman" w:cs="Times New Roman"/>
        </w:rPr>
        <w:t>frequently in smokers, while KRAS G12D mutations are relatively more common in never-smokers and associate with mucinous adenocarcinoma patterns (Dearden et al., 2013).</w:t>
      </w:r>
    </w:p>
    <w:p w14:paraId="371D890F"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Rare molecular alterations more commonly seen in never-smokers include RET fusions, NTR</w:t>
      </w:r>
      <w:r>
        <w:rPr>
          <w:rFonts w:ascii="Times New Roman" w:hAnsi="Times New Roman" w:cs="Times New Roman"/>
        </w:rPr>
        <w:t>K fusions, and MET exon 14 skipping mutations. These alterations may not show specific histological patterns but their recognition is crucial for targeted therapy selection. RET fusions often occur in solid-predominant adenocarcinomas, while NTRK fusions m</w:t>
      </w:r>
      <w:r>
        <w:rPr>
          <w:rFonts w:ascii="Times New Roman" w:hAnsi="Times New Roman" w:cs="Times New Roman"/>
        </w:rPr>
        <w:t>ay be associated with papillary or solid patterns (Kohno et al., 2012).</w:t>
      </w:r>
    </w:p>
    <w:p w14:paraId="031FE02A"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The diagnostic implications of molecular alterations in morphologically ambiguous cases cannot be overstated. In poorly differentiated carcinomas where lineage </w:t>
      </w:r>
      <w:r>
        <w:rPr>
          <w:rFonts w:ascii="Times New Roman" w:hAnsi="Times New Roman" w:cs="Times New Roman"/>
        </w:rPr>
        <w:lastRenderedPageBreak/>
        <w:t>determination is challen</w:t>
      </w:r>
      <w:r>
        <w:rPr>
          <w:rFonts w:ascii="Times New Roman" w:hAnsi="Times New Roman" w:cs="Times New Roman"/>
        </w:rPr>
        <w:t>ging, the presence of EGFR mutations strongly suggests adenocarcinoma differentiation, while the absence of common adenocarcinoma drivers may prompt investigation for squamous or neuroendocrine markers.</w:t>
      </w:r>
    </w:p>
    <w:p w14:paraId="78E76B51" w14:textId="77777777" w:rsidR="005179CE" w:rsidRDefault="00A8738B">
      <w:pPr>
        <w:pStyle w:val="Heading21"/>
        <w:spacing w:line="360" w:lineRule="auto"/>
        <w:jc w:val="both"/>
        <w:rPr>
          <w:rFonts w:ascii="Times New Roman" w:hAnsi="Times New Roman" w:cs="Times New Roman"/>
          <w:color w:val="auto"/>
          <w:sz w:val="24"/>
          <w:szCs w:val="24"/>
        </w:rPr>
      </w:pPr>
      <w:bookmarkStart w:id="8" w:name="X660210009573363f427df4abbba4e64f9c5a8c9"/>
      <w:bookmarkEnd w:id="7"/>
      <w:r>
        <w:rPr>
          <w:rFonts w:ascii="Times New Roman" w:hAnsi="Times New Roman" w:cs="Times New Roman"/>
          <w:color w:val="auto"/>
          <w:sz w:val="24"/>
          <w:szCs w:val="24"/>
        </w:rPr>
        <w:t>6. Histopathology-Guided Therapeutic Implications</w:t>
      </w:r>
    </w:p>
    <w:p w14:paraId="610D0E3E"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The</w:t>
      </w:r>
      <w:r>
        <w:rPr>
          <w:rFonts w:ascii="Times New Roman" w:hAnsi="Times New Roman" w:cs="Times New Roman"/>
        </w:rPr>
        <w:t xml:space="preserve"> histological subtype of lung cancer in never-smokers has profound implications for therapeutic selection and patient outcomes. The predominance of well-differentiated adenocarcinoma in this population correlates with distinct treatment responses and survi</w:t>
      </w:r>
      <w:r>
        <w:rPr>
          <w:rFonts w:ascii="Times New Roman" w:hAnsi="Times New Roman" w:cs="Times New Roman"/>
        </w:rPr>
        <w:t>val patterns that differ significantly from smoking-related lung cancers.</w:t>
      </w:r>
    </w:p>
    <w:p w14:paraId="4CE84F31"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Chemotherapy response patterns in never-smokers show histological correlations that influence treatment selection. Well-differentiated adenocarcinomas with lepidic or acinar patterns</w:t>
      </w:r>
      <w:r>
        <w:rPr>
          <w:rFonts w:ascii="Times New Roman" w:hAnsi="Times New Roman" w:cs="Times New Roman"/>
        </w:rPr>
        <w:t xml:space="preserve"> demonstrate better responses to pemetrexed-based regimens compared to poorly differentiated or solid-pattern tumors (Scagliotti et al., 2008). This correlation reflects the higher expression of folate pathway enzymes in well-differentiated adenocarcinomas</w:t>
      </w:r>
      <w:r>
        <w:rPr>
          <w:rFonts w:ascii="Times New Roman" w:hAnsi="Times New Roman" w:cs="Times New Roman"/>
        </w:rPr>
        <w:t>, making them more susceptible to antifolate therapy.</w:t>
      </w:r>
    </w:p>
    <w:p w14:paraId="0732EF8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suitability of specific histological subtypes for targeted therapies represents a paradigm shift in lung cancer treatment. Adenocarcinomas in never-smokers, with their high frequency of targetable d</w:t>
      </w:r>
      <w:r>
        <w:rPr>
          <w:rFonts w:ascii="Times New Roman" w:hAnsi="Times New Roman" w:cs="Times New Roman"/>
        </w:rPr>
        <w:t>river mutations, are ideal candidates for precision medicine approaches. The morphological features can guide initial therapeutic decisions while awaiting molecular results, with well-differentiated adenocarcinomas being suitable for EGFR tyrosine kinase i</w:t>
      </w:r>
      <w:r>
        <w:rPr>
          <w:rFonts w:ascii="Times New Roman" w:hAnsi="Times New Roman" w:cs="Times New Roman"/>
        </w:rPr>
        <w:t>nhibitor therapy in appropriate clinical contexts (Rosell et al., 2012).</w:t>
      </w:r>
    </w:p>
    <w:p w14:paraId="481B067F"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Histological patterns also correlate with specific targeted therapy responses. Lepidic-predominant adenocarcinomas with EGFR mutations show particularly dramatic responses to EGFR inh</w:t>
      </w:r>
      <w:r>
        <w:rPr>
          <w:rFonts w:ascii="Times New Roman" w:hAnsi="Times New Roman" w:cs="Times New Roman"/>
        </w:rPr>
        <w:t>ibitors, often achieving complete radiological responses. However, these same tumors may be more prone to develop resistance through transformation to small cell carcinoma or acquisition of secondary mutations (</w:t>
      </w:r>
      <w:proofErr w:type="spellStart"/>
      <w:r>
        <w:rPr>
          <w:rFonts w:ascii="Times New Roman" w:hAnsi="Times New Roman" w:cs="Times New Roman"/>
        </w:rPr>
        <w:t>Sequist</w:t>
      </w:r>
      <w:proofErr w:type="spellEnd"/>
      <w:r>
        <w:rPr>
          <w:rFonts w:ascii="Times New Roman" w:hAnsi="Times New Roman" w:cs="Times New Roman"/>
        </w:rPr>
        <w:t xml:space="preserve"> et al., 2011).</w:t>
      </w:r>
    </w:p>
    <w:p w14:paraId="4FD51FC9" w14:textId="77777777" w:rsidR="005179CE" w:rsidRDefault="005179CE">
      <w:pPr>
        <w:pStyle w:val="BodyText"/>
        <w:spacing w:line="360" w:lineRule="auto"/>
        <w:jc w:val="center"/>
        <w:rPr>
          <w:rFonts w:ascii="Times New Roman" w:hAnsi="Times New Roman" w:cs="Times New Roman"/>
        </w:rPr>
      </w:pPr>
    </w:p>
    <w:p w14:paraId="3E314034" w14:textId="77777777" w:rsidR="005179CE" w:rsidRDefault="005179CE">
      <w:pPr>
        <w:pStyle w:val="BodyText"/>
        <w:spacing w:line="360" w:lineRule="auto"/>
        <w:jc w:val="center"/>
        <w:rPr>
          <w:rFonts w:ascii="Times New Roman" w:hAnsi="Times New Roman" w:cs="Times New Roman"/>
        </w:rPr>
      </w:pPr>
    </w:p>
    <w:p w14:paraId="0278F119" w14:textId="77777777" w:rsidR="005179CE" w:rsidRDefault="00A8738B">
      <w:pPr>
        <w:pStyle w:val="BodyText"/>
        <w:spacing w:line="360" w:lineRule="auto"/>
        <w:jc w:val="center"/>
        <w:rPr>
          <w:rFonts w:ascii="Times New Roman" w:hAnsi="Times New Roman" w:cs="Times New Roman"/>
        </w:rPr>
      </w:pPr>
      <w:r>
        <w:rPr>
          <w:rStyle w:val="Strong"/>
          <w:rFonts w:ascii="Times New Roman" w:hAnsi="Times New Roman" w:cs="Times New Roman"/>
        </w:rPr>
        <w:lastRenderedPageBreak/>
        <w:t>Figure 6. Therapeuti</w:t>
      </w:r>
      <w:r>
        <w:rPr>
          <w:rStyle w:val="Strong"/>
          <w:rFonts w:ascii="Times New Roman" w:hAnsi="Times New Roman" w:cs="Times New Roman"/>
        </w:rPr>
        <w:t>c Response Patterns by Histological Subtype</w:t>
      </w:r>
      <w:r>
        <w:rPr>
          <w:rFonts w:ascii="Times New Roman" w:hAnsi="Times New Roman" w:cs="Times New Roman"/>
        </w:rPr>
        <w:t xml:space="preserve"> </w:t>
      </w:r>
    </w:p>
    <w:p w14:paraId="74C5F644" w14:textId="77777777" w:rsidR="005179CE" w:rsidRDefault="005179CE">
      <w:pPr>
        <w:pStyle w:val="BodyText"/>
        <w:spacing w:line="360" w:lineRule="auto"/>
        <w:jc w:val="center"/>
        <w:rPr>
          <w:rFonts w:ascii="Times New Roman" w:hAnsi="Times New Roman" w:cs="Times New Roman"/>
        </w:rPr>
      </w:pPr>
    </w:p>
    <w:p w14:paraId="698572A8" w14:textId="77777777" w:rsidR="005179CE" w:rsidRDefault="00A8738B">
      <w:pPr>
        <w:pStyle w:val="BodyText"/>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63DD1F99" wp14:editId="351224DF">
            <wp:extent cx="4785995" cy="2641600"/>
            <wp:effectExtent l="0" t="0" r="14605" b="635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2" cstate="print"/>
                    <a:srcRect/>
                    <a:stretch>
                      <a:fillRect/>
                    </a:stretch>
                  </pic:blipFill>
                  <pic:spPr>
                    <a:xfrm>
                      <a:off x="0" y="0"/>
                      <a:ext cx="4785995" cy="2641600"/>
                    </a:xfrm>
                    <a:prstGeom prst="rect">
                      <a:avLst/>
                    </a:prstGeom>
                  </pic:spPr>
                </pic:pic>
              </a:graphicData>
            </a:graphic>
          </wp:inline>
        </w:drawing>
      </w:r>
    </w:p>
    <w:p w14:paraId="3F8C93CA" w14:textId="77777777" w:rsidR="005179CE" w:rsidRDefault="00A8738B">
      <w:pPr>
        <w:pStyle w:val="NormalWeb"/>
        <w:spacing w:beforeAutospacing="1" w:after="0" w:afterAutospacing="1"/>
        <w:jc w:val="center"/>
        <w:rPr>
          <w:rFonts w:ascii="Times New Roman" w:hAnsi="Times New Roman" w:cs="Times New Roman"/>
          <w:sz w:val="18"/>
          <w:szCs w:val="18"/>
        </w:rPr>
      </w:pPr>
      <w:r>
        <w:rPr>
          <w:rStyle w:val="Emphasis"/>
          <w:rFonts w:ascii="Times New Roman" w:hAnsi="Times New Roman" w:cs="Times New Roman"/>
          <w:sz w:val="18"/>
          <w:szCs w:val="18"/>
        </w:rPr>
        <w:t xml:space="preserve">Treatment response correlation chart showing the relationship between histological patterns and therapeutic efficacy in never-smokers. Lepidic-predominant adenocarcinomas show excellent response to EGFR </w:t>
      </w:r>
      <w:r>
        <w:rPr>
          <w:rStyle w:val="Emphasis"/>
          <w:rFonts w:ascii="Times New Roman" w:hAnsi="Times New Roman" w:cs="Times New Roman"/>
          <w:sz w:val="18"/>
          <w:szCs w:val="18"/>
        </w:rPr>
        <w:t>inhibitors, while solid-pattern tumors are more suitable for ALK inhibitor therapy. The chart emphasizes the importance of histopathology-guided treatment selection.</w:t>
      </w:r>
    </w:p>
    <w:p w14:paraId="0F0E706C" w14:textId="77777777" w:rsidR="005179CE" w:rsidRDefault="005179CE">
      <w:pPr>
        <w:pStyle w:val="BodyText"/>
        <w:spacing w:line="360" w:lineRule="auto"/>
        <w:jc w:val="both"/>
        <w:rPr>
          <w:rFonts w:ascii="Times New Roman" w:hAnsi="Times New Roman" w:cs="Times New Roman"/>
        </w:rPr>
      </w:pPr>
    </w:p>
    <w:p w14:paraId="37FB9003"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predictive value of histology extends to immunotherapy considerations in never-smoker</w:t>
      </w:r>
      <w:r>
        <w:rPr>
          <w:rFonts w:ascii="Times New Roman" w:hAnsi="Times New Roman" w:cs="Times New Roman"/>
        </w:rPr>
        <w:t xml:space="preserve">s. The well-differentiated nature of most adenocarcinomas in never-smokers correlates with lower tumor mutational burden and reduced PD-L1 expression, suggesting limited benefit from single-agent immune checkpoint inhibitors (Rizvi et al., 2015). However, </w:t>
      </w:r>
      <w:r>
        <w:rPr>
          <w:rFonts w:ascii="Times New Roman" w:hAnsi="Times New Roman" w:cs="Times New Roman"/>
        </w:rPr>
        <w:t>combination approaches or histology-specific biomarkers may improve outcomes in selected cases.</w:t>
      </w:r>
    </w:p>
    <w:p w14:paraId="48D0A67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Resistance patterns in never-smokers show distinct histological manifestations that have therapeutic implications. EGFR inhibitor resistance may manifest as tra</w:t>
      </w:r>
      <w:r>
        <w:rPr>
          <w:rFonts w:ascii="Times New Roman" w:hAnsi="Times New Roman" w:cs="Times New Roman"/>
        </w:rPr>
        <w:t>nsformation to small cell carcinoma, detectable through repeat biopsy showing neuroendocrine morphology and positive staining for chromogranin, synaptophysin, and CD56 (</w:t>
      </w:r>
      <w:proofErr w:type="spellStart"/>
      <w:r>
        <w:rPr>
          <w:rFonts w:ascii="Times New Roman" w:hAnsi="Times New Roman" w:cs="Times New Roman"/>
        </w:rPr>
        <w:t>Sequist</w:t>
      </w:r>
      <w:proofErr w:type="spellEnd"/>
      <w:r>
        <w:rPr>
          <w:rFonts w:ascii="Times New Roman" w:hAnsi="Times New Roman" w:cs="Times New Roman"/>
        </w:rPr>
        <w:t xml:space="preserve"> et al., 2011). Recognition of this transformation pattern is crucial for switch</w:t>
      </w:r>
      <w:r>
        <w:rPr>
          <w:rFonts w:ascii="Times New Roman" w:hAnsi="Times New Roman" w:cs="Times New Roman"/>
        </w:rPr>
        <w:t>ing to appropriate small cell carcinoma-directed therapy.</w:t>
      </w:r>
    </w:p>
    <w:p w14:paraId="078E37B6" w14:textId="77777777" w:rsidR="005179CE" w:rsidRDefault="00A8738B">
      <w:pPr>
        <w:keepNext/>
        <w:keepLines/>
        <w:spacing w:before="200" w:line="360" w:lineRule="auto"/>
        <w:jc w:val="both"/>
        <w:outlineLvl w:val="1"/>
        <w:rPr>
          <w:rFonts w:ascii="Times New Roman" w:hAnsi="Times New Roman" w:cs="Times New Roman"/>
        </w:rPr>
      </w:pPr>
      <w:r>
        <w:rPr>
          <w:rFonts w:ascii="Times New Roman" w:eastAsia="MS Gothic" w:hAnsi="Times New Roman" w:cs="Times New Roman"/>
          <w:b/>
          <w:bCs/>
        </w:rPr>
        <w:lastRenderedPageBreak/>
        <w:t>Table 5: Therapy Response by Histological Subtype</w:t>
      </w:r>
    </w:p>
    <w:tbl>
      <w:tblPr>
        <w:tblStyle w:val="TableGrid"/>
        <w:tblW w:w="0" w:type="auto"/>
        <w:jc w:val="center"/>
        <w:tblLayout w:type="fixed"/>
        <w:tblLook w:val="04A0" w:firstRow="1" w:lastRow="0" w:firstColumn="1" w:lastColumn="0" w:noHBand="0" w:noVBand="1"/>
      </w:tblPr>
      <w:tblGrid>
        <w:gridCol w:w="2801"/>
        <w:gridCol w:w="2811"/>
        <w:gridCol w:w="2807"/>
      </w:tblGrid>
      <w:tr w:rsidR="005179CE" w14:paraId="7C3E1653"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75FC01DA"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Subtype</w:t>
            </w:r>
          </w:p>
        </w:tc>
        <w:tc>
          <w:tcPr>
            <w:tcW w:w="2811" w:type="dxa"/>
            <w:tcBorders>
              <w:top w:val="single" w:sz="4" w:space="0" w:color="000000"/>
              <w:left w:val="single" w:sz="4" w:space="0" w:color="000000"/>
              <w:bottom w:val="single" w:sz="4" w:space="0" w:color="000000"/>
              <w:right w:val="single" w:sz="4" w:space="0" w:color="000000"/>
            </w:tcBorders>
          </w:tcPr>
          <w:p w14:paraId="5FE00600"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Effective Therapies</w:t>
            </w:r>
          </w:p>
        </w:tc>
        <w:tc>
          <w:tcPr>
            <w:tcW w:w="2807" w:type="dxa"/>
            <w:tcBorders>
              <w:top w:val="single" w:sz="4" w:space="0" w:color="000000"/>
              <w:left w:val="single" w:sz="4" w:space="0" w:color="000000"/>
              <w:bottom w:val="single" w:sz="4" w:space="0" w:color="000000"/>
              <w:right w:val="single" w:sz="4" w:space="0" w:color="000000"/>
            </w:tcBorders>
          </w:tcPr>
          <w:p w14:paraId="305306F1"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Therapeutic Notes</w:t>
            </w:r>
          </w:p>
        </w:tc>
      </w:tr>
      <w:tr w:rsidR="005179CE" w14:paraId="089C41EF"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74EB78F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Lepidic</w:t>
            </w:r>
          </w:p>
        </w:tc>
        <w:tc>
          <w:tcPr>
            <w:tcW w:w="2811" w:type="dxa"/>
            <w:tcBorders>
              <w:top w:val="single" w:sz="4" w:space="0" w:color="000000"/>
              <w:left w:val="single" w:sz="4" w:space="0" w:color="000000"/>
              <w:bottom w:val="single" w:sz="4" w:space="0" w:color="000000"/>
              <w:right w:val="single" w:sz="4" w:space="0" w:color="000000"/>
            </w:tcBorders>
          </w:tcPr>
          <w:p w14:paraId="088D9872"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EGFR inhibitors</w:t>
            </w:r>
          </w:p>
        </w:tc>
        <w:tc>
          <w:tcPr>
            <w:tcW w:w="2807" w:type="dxa"/>
            <w:tcBorders>
              <w:top w:val="single" w:sz="4" w:space="0" w:color="000000"/>
              <w:left w:val="single" w:sz="4" w:space="0" w:color="000000"/>
              <w:bottom w:val="single" w:sz="4" w:space="0" w:color="000000"/>
              <w:right w:val="single" w:sz="4" w:space="0" w:color="000000"/>
            </w:tcBorders>
          </w:tcPr>
          <w:p w14:paraId="3B1DFDBE"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Good response, prone to resistance</w:t>
            </w:r>
          </w:p>
        </w:tc>
      </w:tr>
      <w:tr w:rsidR="005179CE" w14:paraId="3F00FDC1"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6D9A347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Acinar</w:t>
            </w:r>
          </w:p>
        </w:tc>
        <w:tc>
          <w:tcPr>
            <w:tcW w:w="2811" w:type="dxa"/>
            <w:tcBorders>
              <w:top w:val="single" w:sz="4" w:space="0" w:color="000000"/>
              <w:left w:val="single" w:sz="4" w:space="0" w:color="000000"/>
              <w:bottom w:val="single" w:sz="4" w:space="0" w:color="000000"/>
              <w:right w:val="single" w:sz="4" w:space="0" w:color="000000"/>
            </w:tcBorders>
          </w:tcPr>
          <w:p w14:paraId="4FDC3789"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Pemetrexed-based chemo</w:t>
            </w:r>
          </w:p>
        </w:tc>
        <w:tc>
          <w:tcPr>
            <w:tcW w:w="2807" w:type="dxa"/>
            <w:tcBorders>
              <w:top w:val="single" w:sz="4" w:space="0" w:color="000000"/>
              <w:left w:val="single" w:sz="4" w:space="0" w:color="000000"/>
              <w:bottom w:val="single" w:sz="4" w:space="0" w:color="000000"/>
              <w:right w:val="single" w:sz="4" w:space="0" w:color="000000"/>
            </w:tcBorders>
          </w:tcPr>
          <w:p w14:paraId="4E4B6F7D"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 xml:space="preserve">Moderate </w:t>
            </w:r>
            <w:r>
              <w:rPr>
                <w:rFonts w:ascii="Times New Roman" w:eastAsia="MS Mincho" w:hAnsi="Times New Roman" w:cs="Times New Roman"/>
                <w:sz w:val="20"/>
                <w:szCs w:val="20"/>
              </w:rPr>
              <w:t>efficacy</w:t>
            </w:r>
          </w:p>
        </w:tc>
      </w:tr>
      <w:tr w:rsidR="005179CE" w14:paraId="03D51DDB"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2413ABCF"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Papillary</w:t>
            </w:r>
          </w:p>
        </w:tc>
        <w:tc>
          <w:tcPr>
            <w:tcW w:w="2811" w:type="dxa"/>
            <w:tcBorders>
              <w:top w:val="single" w:sz="4" w:space="0" w:color="000000"/>
              <w:left w:val="single" w:sz="4" w:space="0" w:color="000000"/>
              <w:bottom w:val="single" w:sz="4" w:space="0" w:color="000000"/>
              <w:right w:val="single" w:sz="4" w:space="0" w:color="000000"/>
            </w:tcBorders>
          </w:tcPr>
          <w:p w14:paraId="21B2DDBF"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Targeted EGFR/ALK therapies</w:t>
            </w:r>
          </w:p>
        </w:tc>
        <w:tc>
          <w:tcPr>
            <w:tcW w:w="2807" w:type="dxa"/>
            <w:tcBorders>
              <w:top w:val="single" w:sz="4" w:space="0" w:color="000000"/>
              <w:left w:val="single" w:sz="4" w:space="0" w:color="000000"/>
              <w:bottom w:val="single" w:sz="4" w:space="0" w:color="000000"/>
              <w:right w:val="single" w:sz="4" w:space="0" w:color="000000"/>
            </w:tcBorders>
          </w:tcPr>
          <w:p w14:paraId="65F1AF0B"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Intermediate benefit</w:t>
            </w:r>
          </w:p>
        </w:tc>
      </w:tr>
      <w:tr w:rsidR="005179CE" w14:paraId="1FF874A7"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21E6FA68"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Solid</w:t>
            </w:r>
          </w:p>
        </w:tc>
        <w:tc>
          <w:tcPr>
            <w:tcW w:w="2811" w:type="dxa"/>
            <w:tcBorders>
              <w:top w:val="single" w:sz="4" w:space="0" w:color="000000"/>
              <w:left w:val="single" w:sz="4" w:space="0" w:color="000000"/>
              <w:bottom w:val="single" w:sz="4" w:space="0" w:color="000000"/>
              <w:right w:val="single" w:sz="4" w:space="0" w:color="000000"/>
            </w:tcBorders>
          </w:tcPr>
          <w:p w14:paraId="352122D3"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ALK inhibitors, combo therapy</w:t>
            </w:r>
          </w:p>
        </w:tc>
        <w:tc>
          <w:tcPr>
            <w:tcW w:w="2807" w:type="dxa"/>
            <w:tcBorders>
              <w:top w:val="single" w:sz="4" w:space="0" w:color="000000"/>
              <w:left w:val="single" w:sz="4" w:space="0" w:color="000000"/>
              <w:bottom w:val="single" w:sz="4" w:space="0" w:color="000000"/>
              <w:right w:val="single" w:sz="4" w:space="0" w:color="000000"/>
            </w:tcBorders>
          </w:tcPr>
          <w:p w14:paraId="5341D796"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Watch for resistance, EMT</w:t>
            </w:r>
          </w:p>
        </w:tc>
      </w:tr>
      <w:tr w:rsidR="005179CE" w14:paraId="12AE214B" w14:textId="77777777">
        <w:trPr>
          <w:trHeight w:val="90"/>
          <w:jc w:val="center"/>
        </w:trPr>
        <w:tc>
          <w:tcPr>
            <w:tcW w:w="2801" w:type="dxa"/>
            <w:tcBorders>
              <w:top w:val="single" w:sz="4" w:space="0" w:color="000000"/>
              <w:left w:val="single" w:sz="4" w:space="0" w:color="000000"/>
              <w:bottom w:val="single" w:sz="4" w:space="0" w:color="000000"/>
              <w:right w:val="single" w:sz="4" w:space="0" w:color="000000"/>
            </w:tcBorders>
          </w:tcPr>
          <w:p w14:paraId="199FF85F"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Squamous (rare)</w:t>
            </w:r>
          </w:p>
        </w:tc>
        <w:tc>
          <w:tcPr>
            <w:tcW w:w="2811" w:type="dxa"/>
            <w:tcBorders>
              <w:top w:val="single" w:sz="4" w:space="0" w:color="000000"/>
              <w:left w:val="single" w:sz="4" w:space="0" w:color="000000"/>
              <w:bottom w:val="single" w:sz="4" w:space="0" w:color="000000"/>
              <w:right w:val="single" w:sz="4" w:space="0" w:color="000000"/>
            </w:tcBorders>
          </w:tcPr>
          <w:p w14:paraId="290815DA"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Chemotherapy</w:t>
            </w:r>
          </w:p>
        </w:tc>
        <w:tc>
          <w:tcPr>
            <w:tcW w:w="2807" w:type="dxa"/>
            <w:tcBorders>
              <w:top w:val="single" w:sz="4" w:space="0" w:color="000000"/>
              <w:left w:val="single" w:sz="4" w:space="0" w:color="000000"/>
              <w:bottom w:val="single" w:sz="4" w:space="0" w:color="000000"/>
              <w:right w:val="single" w:sz="4" w:space="0" w:color="000000"/>
            </w:tcBorders>
          </w:tcPr>
          <w:p w14:paraId="363B0EA8" w14:textId="77777777" w:rsidR="005179CE" w:rsidRDefault="00A8738B">
            <w:pPr>
              <w:spacing w:line="360" w:lineRule="auto"/>
              <w:jc w:val="both"/>
              <w:rPr>
                <w:rFonts w:ascii="Times New Roman" w:hAnsi="Times New Roman" w:cs="Times New Roman"/>
                <w:sz w:val="20"/>
                <w:szCs w:val="20"/>
              </w:rPr>
            </w:pPr>
            <w:r>
              <w:rPr>
                <w:rFonts w:ascii="Times New Roman" w:eastAsia="MS Mincho" w:hAnsi="Times New Roman" w:cs="Times New Roman"/>
                <w:sz w:val="20"/>
                <w:szCs w:val="20"/>
              </w:rPr>
              <w:t>Poorer prognosis</w:t>
            </w:r>
          </w:p>
        </w:tc>
      </w:tr>
    </w:tbl>
    <w:p w14:paraId="3D40010E" w14:textId="77777777" w:rsidR="005179CE" w:rsidRDefault="005179CE">
      <w:pPr>
        <w:pStyle w:val="BodyText"/>
        <w:spacing w:line="360" w:lineRule="auto"/>
        <w:jc w:val="both"/>
        <w:rPr>
          <w:rFonts w:ascii="Times New Roman" w:hAnsi="Times New Roman" w:cs="Times New Roman"/>
        </w:rPr>
      </w:pPr>
    </w:p>
    <w:p w14:paraId="5B754283"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ALK inhibitor resistance mechanisms also show morphological correlations. </w:t>
      </w:r>
      <w:r>
        <w:rPr>
          <w:rFonts w:ascii="Times New Roman" w:hAnsi="Times New Roman" w:cs="Times New Roman"/>
        </w:rPr>
        <w:t>Resistant tumors may develop more solid growth patterns with increased pleomorphism and higher proliferative indices. Some cases show epithelial-to-mesenchymal transition with loss of E-cadherin and gain of vimentin expression, which may be associated with</w:t>
      </w:r>
      <w:r>
        <w:rPr>
          <w:rFonts w:ascii="Times New Roman" w:hAnsi="Times New Roman" w:cs="Times New Roman"/>
        </w:rPr>
        <w:t xml:space="preserve"> specific resistance mutations (Gainor et al., 2013).</w:t>
      </w:r>
    </w:p>
    <w:p w14:paraId="3C857FEB"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role of histological heterogeneity in therapeutic resistance is increasingly recognized in never-smokers. Tumors with mixed histological patterns may harbor different molecular alterations in distin</w:t>
      </w:r>
      <w:r>
        <w:rPr>
          <w:rFonts w:ascii="Times New Roman" w:hAnsi="Times New Roman" w:cs="Times New Roman"/>
        </w:rPr>
        <w:t>ct areas, leading to differential therapeutic responses. This spatial heterogeneity necessitates comprehensive sampling and may require combination therapeutic approaches (Zhang et al., 2012).</w:t>
      </w:r>
    </w:p>
    <w:p w14:paraId="68893C86"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Emerging therapeutic strategies targeting specific histological</w:t>
      </w:r>
      <w:r>
        <w:rPr>
          <w:rFonts w:ascii="Times New Roman" w:hAnsi="Times New Roman" w:cs="Times New Roman"/>
        </w:rPr>
        <w:t xml:space="preserve"> features show promise in never-smokers. Lepidic-predominant adenocarcinomas may be particularly susceptible to anti-angiogenic therapy due to their growth pattern along alveolar walls. Similarly, well-differentiated adenocarcinomas may respond to differen</w:t>
      </w:r>
      <w:r>
        <w:rPr>
          <w:rFonts w:ascii="Times New Roman" w:hAnsi="Times New Roman" w:cs="Times New Roman"/>
        </w:rPr>
        <w:t>tiation-promoting agents or epigenetic modifiers (Pirker et al., 2009).</w:t>
      </w:r>
    </w:p>
    <w:p w14:paraId="73E3DEEE" w14:textId="77777777" w:rsidR="005179CE" w:rsidRDefault="00A8738B">
      <w:pPr>
        <w:pStyle w:val="Heading21"/>
        <w:spacing w:line="360" w:lineRule="auto"/>
        <w:jc w:val="both"/>
        <w:rPr>
          <w:rFonts w:ascii="Times New Roman" w:hAnsi="Times New Roman" w:cs="Times New Roman"/>
          <w:color w:val="auto"/>
          <w:sz w:val="24"/>
          <w:szCs w:val="24"/>
        </w:rPr>
      </w:pPr>
      <w:bookmarkStart w:id="9" w:name="X43562532015e43596756171c72f9b161ba021ee"/>
      <w:bookmarkEnd w:id="8"/>
      <w:r>
        <w:rPr>
          <w:rFonts w:ascii="Times New Roman" w:hAnsi="Times New Roman" w:cs="Times New Roman"/>
          <w:color w:val="auto"/>
          <w:sz w:val="24"/>
          <w:szCs w:val="24"/>
        </w:rPr>
        <w:t>7. Role of Liquid Biopsy and Molecular Histology</w:t>
      </w:r>
    </w:p>
    <w:p w14:paraId="07EC5324"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Liquid biopsy has emerged as a revolutionary approach in the management of lung cancer, with particular relevance for never-smokers where tissue acquisition may be challenging and molecular profiling is crucial for therapeutic decision-making. The integrat</w:t>
      </w:r>
      <w:r>
        <w:rPr>
          <w:rFonts w:ascii="Times New Roman" w:hAnsi="Times New Roman" w:cs="Times New Roman"/>
        </w:rPr>
        <w:t xml:space="preserve">ion of circulating tumor DNA (ctDNA) analysis with traditional </w:t>
      </w:r>
      <w:r>
        <w:rPr>
          <w:rFonts w:ascii="Times New Roman" w:hAnsi="Times New Roman" w:cs="Times New Roman"/>
        </w:rPr>
        <w:lastRenderedPageBreak/>
        <w:t>histopathological assessment represents a paradigm shift toward comprehensive molecular characterization.</w:t>
      </w:r>
    </w:p>
    <w:p w14:paraId="103E372A"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Circulating tumor DNA detection in never-smokers shows distinct patterns compared to sm</w:t>
      </w:r>
      <w:r>
        <w:rPr>
          <w:rFonts w:ascii="Times New Roman" w:hAnsi="Times New Roman" w:cs="Times New Roman"/>
        </w:rPr>
        <w:t>okers. The typically lower tumor burden and well-differentiated nature of adenocarcinomas in never-smokers may result in lower baseline ctDNA levels, potentially affecting detection sensitivity (</w:t>
      </w:r>
      <w:proofErr w:type="spellStart"/>
      <w:r>
        <w:rPr>
          <w:rFonts w:ascii="Times New Roman" w:hAnsi="Times New Roman" w:cs="Times New Roman"/>
        </w:rPr>
        <w:t>Bettegowda</w:t>
      </w:r>
      <w:proofErr w:type="spellEnd"/>
      <w:r>
        <w:rPr>
          <w:rFonts w:ascii="Times New Roman" w:hAnsi="Times New Roman" w:cs="Times New Roman"/>
        </w:rPr>
        <w:t xml:space="preserve"> et al., 2014). However, the enrichment for specifi</w:t>
      </w:r>
      <w:r>
        <w:rPr>
          <w:rFonts w:ascii="Times New Roman" w:hAnsi="Times New Roman" w:cs="Times New Roman"/>
        </w:rPr>
        <w:t>c driver mutations such as EGFR alterations in never-smokers makes targeted liquid biopsy assays highly effective for mutation detection and monitoring.</w:t>
      </w:r>
    </w:p>
    <w:p w14:paraId="3DD70ABE"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complementary role of liquid biopsy to tissue-based histopathology is particularly valuable in neve</w:t>
      </w:r>
      <w:r>
        <w:rPr>
          <w:rFonts w:ascii="Times New Roman" w:hAnsi="Times New Roman" w:cs="Times New Roman"/>
        </w:rPr>
        <w:t>r-smokers. While histological examination provides essential information about tumor architecture, differentiation, and growth patterns, liquid biopsy can detect actionable mutations that may not be adequately represented in small tissue samples due to tum</w:t>
      </w:r>
      <w:r>
        <w:rPr>
          <w:rFonts w:ascii="Times New Roman" w:hAnsi="Times New Roman" w:cs="Times New Roman"/>
        </w:rPr>
        <w:t>or heterogeneity (Oxnard et al., 2014). This combination approach maximizes diagnostic yield and therapeutic targeting opportunities.</w:t>
      </w:r>
    </w:p>
    <w:p w14:paraId="7DC3F59C"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Next-generation sequencing (NGS) of plasma samples has shown remarkable concordance with tissue-based testing for common d</w:t>
      </w:r>
      <w:r>
        <w:rPr>
          <w:rFonts w:ascii="Times New Roman" w:hAnsi="Times New Roman" w:cs="Times New Roman"/>
        </w:rPr>
        <w:t xml:space="preserve">river mutations in never-smokers. EGFR mutation detection rates of 85-95% concordance with tissue testing make plasma NGS a viable first-line approach, particularly when tissue is limited or difficult to obtain (Cobas EGFR Mutation Test v2, 2016). This is </w:t>
      </w:r>
      <w:r>
        <w:rPr>
          <w:rFonts w:ascii="Times New Roman" w:hAnsi="Times New Roman" w:cs="Times New Roman"/>
        </w:rPr>
        <w:t>especially relevant in never-smokers, where the high prevalence of EGFR mutations makes screening highly productive.</w:t>
      </w:r>
    </w:p>
    <w:p w14:paraId="61B252A9"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diagnostic accuracy of plasma NGS extends beyond single gene analysis to comprehensive genomic profiling. Panel-based liquid biopsy ass</w:t>
      </w:r>
      <w:r>
        <w:rPr>
          <w:rFonts w:ascii="Times New Roman" w:hAnsi="Times New Roman" w:cs="Times New Roman"/>
        </w:rPr>
        <w:t>ays can simultaneously detect multiple actionable alterations including EGFR mutations, ALK rearrangements, ROS1 fusions, and emerging targets such as RET and NTRK fusions (Lanman et al., 2015). This broad profiling capability is particularly valuable in n</w:t>
      </w:r>
      <w:r>
        <w:rPr>
          <w:rFonts w:ascii="Times New Roman" w:hAnsi="Times New Roman" w:cs="Times New Roman"/>
        </w:rPr>
        <w:t>ever-smokers, where multiple potential therapeutic targets may be present.</w:t>
      </w:r>
    </w:p>
    <w:p w14:paraId="111A1A4E"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Liquid biopsy also enables dynamic monitoring of molecular evolution during treatment. In never-smokers receiving targeted therapy, serial ctDNA analysis can </w:t>
      </w:r>
      <w:r>
        <w:rPr>
          <w:rFonts w:ascii="Times New Roman" w:hAnsi="Times New Roman" w:cs="Times New Roman"/>
        </w:rPr>
        <w:lastRenderedPageBreak/>
        <w:t>detect emerging resista</w:t>
      </w:r>
      <w:r>
        <w:rPr>
          <w:rFonts w:ascii="Times New Roman" w:hAnsi="Times New Roman" w:cs="Times New Roman"/>
        </w:rPr>
        <w:t>nce mutations months before radiological progression becomes apparent. This early detection capability allows for proactive treatment modification and improved patient outcomes (Mok et al., 2015).</w:t>
      </w:r>
    </w:p>
    <w:p w14:paraId="316FCDF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integration of liquid biopsy with histopathological ass</w:t>
      </w:r>
      <w:r>
        <w:rPr>
          <w:rFonts w:ascii="Times New Roman" w:hAnsi="Times New Roman" w:cs="Times New Roman"/>
        </w:rPr>
        <w:t>essment creates opportunities for “molecular histology” - the correlation of circulating molecular markers with tissue-based morphological patterns. This approach can identify histological predictors of liquid biopsy success and guide optimal testing strat</w:t>
      </w:r>
      <w:r>
        <w:rPr>
          <w:rFonts w:ascii="Times New Roman" w:hAnsi="Times New Roman" w:cs="Times New Roman"/>
        </w:rPr>
        <w:t>egies in different clinical scenarios (Newman et al., 2016).</w:t>
      </w:r>
    </w:p>
    <w:p w14:paraId="293C8BD1"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Emerging technologies in liquid biopsy show particular promise for never-smokers. Methylation analysis of circulating DNA can detect epigenetic alterations that complement traditional mutation de</w:t>
      </w:r>
      <w:r>
        <w:rPr>
          <w:rFonts w:ascii="Times New Roman" w:hAnsi="Times New Roman" w:cs="Times New Roman"/>
        </w:rPr>
        <w:t>tection. Similarly, circulating tumor cell analysis may provide additional morphological information that bridges tissue and liquid-based approaches (</w:t>
      </w:r>
      <w:proofErr w:type="spellStart"/>
      <w:r>
        <w:rPr>
          <w:rFonts w:ascii="Times New Roman" w:hAnsi="Times New Roman" w:cs="Times New Roman"/>
        </w:rPr>
        <w:t>Cristofanilli</w:t>
      </w:r>
      <w:proofErr w:type="spellEnd"/>
      <w:r>
        <w:rPr>
          <w:rFonts w:ascii="Times New Roman" w:hAnsi="Times New Roman" w:cs="Times New Roman"/>
        </w:rPr>
        <w:t xml:space="preserve"> et al., 2004).</w:t>
      </w:r>
    </w:p>
    <w:p w14:paraId="12CC8EAB"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limitations of liquid biopsy in never-smokers must also be recognized. Lo</w:t>
      </w:r>
      <w:r>
        <w:rPr>
          <w:rFonts w:ascii="Times New Roman" w:hAnsi="Times New Roman" w:cs="Times New Roman"/>
        </w:rPr>
        <w:t>wer ctDNA levels may result in false-negative results, particularly in early-stage disease or during periods of disease stability. The integration with tissue-based histopathology remains essential for comprehensive patient assessment and optimal therapeut</w:t>
      </w:r>
      <w:r>
        <w:rPr>
          <w:rFonts w:ascii="Times New Roman" w:hAnsi="Times New Roman" w:cs="Times New Roman"/>
        </w:rPr>
        <w:t>ic decision-making.</w:t>
      </w:r>
    </w:p>
    <w:p w14:paraId="4C8A035F" w14:textId="77777777" w:rsidR="005179CE" w:rsidRDefault="00A8738B">
      <w:pPr>
        <w:pStyle w:val="Heading21"/>
        <w:spacing w:line="360" w:lineRule="auto"/>
        <w:jc w:val="both"/>
        <w:rPr>
          <w:rFonts w:ascii="Times New Roman" w:hAnsi="Times New Roman" w:cs="Times New Roman"/>
          <w:color w:val="auto"/>
          <w:sz w:val="24"/>
          <w:szCs w:val="24"/>
        </w:rPr>
      </w:pPr>
      <w:bookmarkStart w:id="10" w:name="X6c70b4bc8818de31f9b1b00fcefe3aa46032d0c"/>
      <w:bookmarkEnd w:id="9"/>
      <w:r>
        <w:rPr>
          <w:rFonts w:ascii="Times New Roman" w:hAnsi="Times New Roman" w:cs="Times New Roman"/>
          <w:color w:val="auto"/>
          <w:sz w:val="24"/>
          <w:szCs w:val="24"/>
        </w:rPr>
        <w:t>8. Histology-Agnostic Approaches and Clinical Outlook</w:t>
      </w:r>
    </w:p>
    <w:p w14:paraId="65B037C4" w14:textId="77777777" w:rsidR="005179CE" w:rsidRDefault="00A8738B">
      <w:pPr>
        <w:pStyle w:val="FirstParagraph"/>
        <w:spacing w:line="360" w:lineRule="auto"/>
        <w:jc w:val="both"/>
        <w:rPr>
          <w:rFonts w:ascii="Times New Roman" w:hAnsi="Times New Roman" w:cs="Times New Roman"/>
        </w:rPr>
      </w:pPr>
      <w:r>
        <w:rPr>
          <w:rFonts w:ascii="Times New Roman" w:hAnsi="Times New Roman" w:cs="Times New Roman"/>
        </w:rPr>
        <w:t>The evolution toward histology-agnostic therapeutic approaches represents a fundamental shift in lung cancer treatment paradigms, with particular relevance for never-smokers who harb</w:t>
      </w:r>
      <w:r>
        <w:rPr>
          <w:rFonts w:ascii="Times New Roman" w:hAnsi="Times New Roman" w:cs="Times New Roman"/>
        </w:rPr>
        <w:t>or distinct molecular profiles regardless of histological subtype. This precision medicine approach prioritizes molecular characteristics over traditional morphological classification while maintaining the importance of histopathological context.</w:t>
      </w:r>
    </w:p>
    <w:p w14:paraId="34583564"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Emerging </w:t>
      </w:r>
      <w:r>
        <w:rPr>
          <w:rFonts w:ascii="Times New Roman" w:hAnsi="Times New Roman" w:cs="Times New Roman"/>
        </w:rPr>
        <w:t xml:space="preserve">treatments targeting specific molecular drivers demonstrate efficacy across histological boundaries in never-smokers. TRK inhibitors such as </w:t>
      </w:r>
      <w:proofErr w:type="spellStart"/>
      <w:r>
        <w:rPr>
          <w:rFonts w:ascii="Times New Roman" w:hAnsi="Times New Roman" w:cs="Times New Roman"/>
        </w:rPr>
        <w:t>larotrectinib</w:t>
      </w:r>
      <w:proofErr w:type="spellEnd"/>
      <w:r>
        <w:rPr>
          <w:rFonts w:ascii="Times New Roman" w:hAnsi="Times New Roman" w:cs="Times New Roman"/>
        </w:rPr>
        <w:t xml:space="preserve"> and </w:t>
      </w:r>
      <w:proofErr w:type="spellStart"/>
      <w:r>
        <w:rPr>
          <w:rFonts w:ascii="Times New Roman" w:hAnsi="Times New Roman" w:cs="Times New Roman"/>
        </w:rPr>
        <w:t>entrectinib</w:t>
      </w:r>
      <w:proofErr w:type="spellEnd"/>
      <w:r>
        <w:rPr>
          <w:rFonts w:ascii="Times New Roman" w:hAnsi="Times New Roman" w:cs="Times New Roman"/>
        </w:rPr>
        <w:t xml:space="preserve"> show remarkable activity against NTRK fusion-positive tumors regardless of whether th</w:t>
      </w:r>
      <w:r>
        <w:rPr>
          <w:rFonts w:ascii="Times New Roman" w:hAnsi="Times New Roman" w:cs="Times New Roman"/>
        </w:rPr>
        <w:t xml:space="preserve">ey arise in adenocarcinoma, squamous cell carcinoma, or other rare histological subtypes (Drilon et al., 2018). This histology-agnostic efficacy is </w:t>
      </w:r>
      <w:r>
        <w:rPr>
          <w:rFonts w:ascii="Times New Roman" w:hAnsi="Times New Roman" w:cs="Times New Roman"/>
        </w:rPr>
        <w:lastRenderedPageBreak/>
        <w:t>particularly relevant for never-smokers, where NTRK fusions, while rare, occur with higher frequency than in</w:t>
      </w:r>
      <w:r>
        <w:rPr>
          <w:rFonts w:ascii="Times New Roman" w:hAnsi="Times New Roman" w:cs="Times New Roman"/>
        </w:rPr>
        <w:t xml:space="preserve"> smoking-related cases.</w:t>
      </w:r>
    </w:p>
    <w:p w14:paraId="37051957"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RET inhibitors including </w:t>
      </w:r>
      <w:proofErr w:type="spellStart"/>
      <w:r>
        <w:rPr>
          <w:rFonts w:ascii="Times New Roman" w:hAnsi="Times New Roman" w:cs="Times New Roman"/>
        </w:rPr>
        <w:t>selpercatinib</w:t>
      </w:r>
      <w:proofErr w:type="spellEnd"/>
      <w:r>
        <w:rPr>
          <w:rFonts w:ascii="Times New Roman" w:hAnsi="Times New Roman" w:cs="Times New Roman"/>
        </w:rPr>
        <w:t xml:space="preserve"> and </w:t>
      </w:r>
      <w:proofErr w:type="spellStart"/>
      <w:r>
        <w:rPr>
          <w:rFonts w:ascii="Times New Roman" w:hAnsi="Times New Roman" w:cs="Times New Roman"/>
        </w:rPr>
        <w:t>pralsetinib</w:t>
      </w:r>
      <w:proofErr w:type="spellEnd"/>
      <w:r>
        <w:rPr>
          <w:rFonts w:ascii="Times New Roman" w:hAnsi="Times New Roman" w:cs="Times New Roman"/>
        </w:rPr>
        <w:t xml:space="preserve"> demonstrate similar histology-independent activity against RET fusion-positive lung cancers. In never-smokers, RET fusions may occur across different adenocarcinoma patterns, an</w:t>
      </w:r>
      <w:r>
        <w:rPr>
          <w:rFonts w:ascii="Times New Roman" w:hAnsi="Times New Roman" w:cs="Times New Roman"/>
        </w:rPr>
        <w:t>d the therapeutic response appears independent of specific morphological features such as lepidic versus solid growth patterns (Drilon et al., 2020). This observation reinforces the primacy of molecular characterization in therapeutic decision-making.</w:t>
      </w:r>
    </w:p>
    <w:p w14:paraId="59A9FA8B"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relevance of histology-agnostic approaches to never-smoker populations extends beyond rare alterations to more common drivers. KRAS G12C inhibitors show activity regardless of adenocarcinoma subtype, though the lower frequency of this specific mutation in </w:t>
      </w:r>
      <w:r>
        <w:rPr>
          <w:rFonts w:ascii="Times New Roman" w:hAnsi="Times New Roman" w:cs="Times New Roman"/>
        </w:rPr>
        <w:t>never-smokers compared to smokers affects the overall clinical impact (Hong et al., 2020). Understanding these population-specific molecular frequencies remains crucial for therapeutic planning.</w:t>
      </w:r>
    </w:p>
    <w:p w14:paraId="68FD7B76"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Immune checkpoint inhibitors represent another area where </w:t>
      </w:r>
      <w:r>
        <w:rPr>
          <w:rFonts w:ascii="Times New Roman" w:hAnsi="Times New Roman" w:cs="Times New Roman"/>
        </w:rPr>
        <w:t>histology-agnostic approaches are evolving. While traditional paradigms suggested limited efficacy in never-smokers due to lower mutation burdens, emerging biomarkers such as tumor mutational burden, microsatellite instability, and specific immune signatur</w:t>
      </w:r>
      <w:r>
        <w:rPr>
          <w:rFonts w:ascii="Times New Roman" w:hAnsi="Times New Roman" w:cs="Times New Roman"/>
        </w:rPr>
        <w:t>es may identify responsive subgroups regardless of histological features (Hellmann et al., 2018).</w:t>
      </w:r>
    </w:p>
    <w:p w14:paraId="5F765D52"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implications for personalized medicine in never-smokers are profound. Comprehensive genomic profiling can identify therapeutic opportunities that transcen</w:t>
      </w:r>
      <w:r>
        <w:rPr>
          <w:rFonts w:ascii="Times New Roman" w:hAnsi="Times New Roman" w:cs="Times New Roman"/>
        </w:rPr>
        <w:t>d traditional histological boundaries, enabling treatment selection based on molecular drivers rather than morphological appearance. This approach is particularly valuable in never-smokers, where well-differentiated morphology may mask aggressive molecular</w:t>
      </w:r>
      <w:r>
        <w:rPr>
          <w:rFonts w:ascii="Times New Roman" w:hAnsi="Times New Roman" w:cs="Times New Roman"/>
        </w:rPr>
        <w:t xml:space="preserve"> behavior or vice versa (Frampton et al., 2013).</w:t>
      </w:r>
    </w:p>
    <w:p w14:paraId="5AE6EB81"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 xml:space="preserve">Biomarker-driven clinical trials increasingly adopt histology-agnostic designs, enrolling patients based on molecular alterations rather than tumor site or histological subtype. This approach has particular </w:t>
      </w:r>
      <w:r>
        <w:rPr>
          <w:rFonts w:ascii="Times New Roman" w:hAnsi="Times New Roman" w:cs="Times New Roman"/>
        </w:rPr>
        <w:t xml:space="preserve">benefits for never-smokers with lung cancer, who may be underrepresented in traditional lung cancer trials but can benefit from </w:t>
      </w:r>
      <w:r>
        <w:rPr>
          <w:rFonts w:ascii="Times New Roman" w:hAnsi="Times New Roman" w:cs="Times New Roman"/>
        </w:rPr>
        <w:lastRenderedPageBreak/>
        <w:t>broader precision medicine initiatives targeting their specific molecular profiles (Drilon et al., 2017).</w:t>
      </w:r>
    </w:p>
    <w:p w14:paraId="67E59019"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The integration of art</w:t>
      </w:r>
      <w:r>
        <w:rPr>
          <w:rFonts w:ascii="Times New Roman" w:hAnsi="Times New Roman" w:cs="Times New Roman"/>
        </w:rPr>
        <w:t>ificial intelligence and machine learning in pathology practice offers new opportunities for histology-agnostic approaches. AI algorithms can identify morphological patterns that correlate with specific molecular alterations, potentially predicting therape</w:t>
      </w:r>
      <w:r>
        <w:rPr>
          <w:rFonts w:ascii="Times New Roman" w:hAnsi="Times New Roman" w:cs="Times New Roman"/>
        </w:rPr>
        <w:t>utic responses across histological boundaries. These tools may be particularly valuable in never-smokers, where subtle morphological features may correlate with distinct molecular profiles (Coudray et al., 2018).</w:t>
      </w:r>
    </w:p>
    <w:p w14:paraId="6CD5FFEC" w14:textId="77777777" w:rsidR="005179CE" w:rsidRDefault="00A8738B">
      <w:pPr>
        <w:pStyle w:val="BodyText"/>
        <w:spacing w:line="360" w:lineRule="auto"/>
        <w:jc w:val="both"/>
        <w:rPr>
          <w:rFonts w:ascii="Times New Roman" w:hAnsi="Times New Roman" w:cs="Times New Roman"/>
        </w:rPr>
      </w:pPr>
      <w:r>
        <w:rPr>
          <w:rFonts w:ascii="Times New Roman" w:hAnsi="Times New Roman" w:cs="Times New Roman"/>
        </w:rPr>
        <w:t>Future directions in histology-agnostic the</w:t>
      </w:r>
      <w:r>
        <w:rPr>
          <w:rFonts w:ascii="Times New Roman" w:hAnsi="Times New Roman" w:cs="Times New Roman"/>
        </w:rPr>
        <w:t>rapy include the development of combination approaches targeting multiple pathways simultaneously. In never-smokers, who often harbor single dominant driver mutations, rational combination strategies may prevent resistance development and improve long-term</w:t>
      </w:r>
      <w:r>
        <w:rPr>
          <w:rFonts w:ascii="Times New Roman" w:hAnsi="Times New Roman" w:cs="Times New Roman"/>
        </w:rPr>
        <w:t xml:space="preserve"> outcomes regardless of underlying histological features (Rotow &amp; Bivona, 2017).</w:t>
      </w:r>
    </w:p>
    <w:p w14:paraId="68C7EFB3" w14:textId="77777777" w:rsidR="005179CE" w:rsidRDefault="00A8738B">
      <w:pPr>
        <w:pStyle w:val="Heading21"/>
        <w:spacing w:line="360" w:lineRule="auto"/>
        <w:jc w:val="both"/>
        <w:rPr>
          <w:rFonts w:ascii="Times New Roman" w:hAnsi="Times New Roman" w:cs="Times New Roman"/>
          <w:color w:val="auto"/>
          <w:sz w:val="24"/>
          <w:szCs w:val="24"/>
        </w:rPr>
      </w:pPr>
      <w:bookmarkStart w:id="11" w:name="X98117c13968527984576a01f05c5603bce714b2"/>
      <w:bookmarkEnd w:id="10"/>
      <w:r>
        <w:rPr>
          <w:rFonts w:ascii="Times New Roman" w:hAnsi="Times New Roman" w:cs="Times New Roman"/>
          <w:color w:val="auto"/>
          <w:sz w:val="24"/>
          <w:szCs w:val="24"/>
        </w:rPr>
        <w:t>9. Conclusions</w:t>
      </w:r>
    </w:p>
    <w:p w14:paraId="5943A6AE"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This comprehensive literature review establishes that lung cancer in never-smokers constitutes a distinct clinical and pathological entity with unique character</w:t>
      </w:r>
      <w:r>
        <w:rPr>
          <w:rFonts w:ascii="Times New Roman" w:hAnsi="Times New Roman" w:cs="Times New Roman"/>
        </w:rPr>
        <w:t xml:space="preserve">istics that fundamentally differentiate it from smoking-related lung cancer. The evidence synthesized from numerous studies demonstrates several critical findings that have transformed our understanding and approach to this important subset of lung cancer </w:t>
      </w:r>
      <w:r>
        <w:rPr>
          <w:rFonts w:ascii="Times New Roman" w:hAnsi="Times New Roman" w:cs="Times New Roman"/>
        </w:rPr>
        <w:t>patients.</w:t>
      </w:r>
    </w:p>
    <w:p w14:paraId="135E3655"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The histopathological landscape in never-smokers is dominated by adenocarcinoma (85-90%), which exhibits characteristic well-differentiated morphological patterns including lepidic, acinar, and papillary growth architectures. These patterns are n</w:t>
      </w:r>
      <w:r>
        <w:rPr>
          <w:rFonts w:ascii="Times New Roman" w:hAnsi="Times New Roman" w:cs="Times New Roman"/>
        </w:rPr>
        <w:t>ot merely morphological curiosities but serve as important predictive markers that correlate with specific molecular alterations and therapeutic responses. The virtual absence of squamous cell carcinoma and small cell carcinoma in never-smokers reflects fu</w:t>
      </w:r>
      <w:r>
        <w:rPr>
          <w:rFonts w:ascii="Times New Roman" w:hAnsi="Times New Roman" w:cs="Times New Roman"/>
        </w:rPr>
        <w:t>ndamental differences in carcinogenesis pathways and underscores the importance of recognizing this population as a separate disease entity.</w:t>
      </w:r>
    </w:p>
    <w:p w14:paraId="20571B8B"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Immunohistochemical profiling consistently demonstrates higher expression of lung adenocarcinoma markers, particula</w:t>
      </w:r>
      <w:r>
        <w:rPr>
          <w:rFonts w:ascii="Times New Roman" w:hAnsi="Times New Roman" w:cs="Times New Roman"/>
        </w:rPr>
        <w:t xml:space="preserve">rly TTF-1 (80-90% vs 60-70% in smokers) and </w:t>
      </w:r>
      <w:r>
        <w:rPr>
          <w:rFonts w:ascii="Times New Roman" w:hAnsi="Times New Roman" w:cs="Times New Roman"/>
        </w:rPr>
        <w:lastRenderedPageBreak/>
        <w:t>Napsin A (85-95% vs 70-80% in smokers), which not only facilitates accurate diagnosis but also correlates with molecular driver status and therapeutic responsiveness. These expression patterns provide valuable di</w:t>
      </w:r>
      <w:r>
        <w:rPr>
          <w:rFonts w:ascii="Times New Roman" w:hAnsi="Times New Roman" w:cs="Times New Roman"/>
        </w:rPr>
        <w:t>agnostic tools, particularly in challenging cases with limited tissue or ambiguous morphology.</w:t>
      </w:r>
    </w:p>
    <w:p w14:paraId="48C873F8"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The molecular characterization of lung cancer in never-smokers reveals a landscape enriched for targetable oncogenic drivers, including EGFR mutations (40-50%), </w:t>
      </w:r>
      <w:r>
        <w:rPr>
          <w:rFonts w:ascii="Times New Roman" w:hAnsi="Times New Roman" w:cs="Times New Roman"/>
        </w:rPr>
        <w:t>ALK rearrangements (5-10%), and ROS1 fusions (1-3%), which occur at significantly higher frequencies than in smoking-related cases. This molecular enrichment has profound therapeutic implications, positioning never-smokers as ideal candidates for precision</w:t>
      </w:r>
      <w:r>
        <w:rPr>
          <w:rFonts w:ascii="Times New Roman" w:hAnsi="Times New Roman" w:cs="Times New Roman"/>
        </w:rPr>
        <w:t xml:space="preserve"> medicine approaches and targeted therapies that have revolutionized treatment outcomes in this population.</w:t>
      </w:r>
    </w:p>
    <w:p w14:paraId="4D15CE14"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The integration of morphological assessment with molecular profiling has enabled the development of histopathology-guided testing strategies, where </w:t>
      </w:r>
      <w:r>
        <w:rPr>
          <w:rFonts w:ascii="Times New Roman" w:hAnsi="Times New Roman" w:cs="Times New Roman"/>
        </w:rPr>
        <w:t>specific architectural patterns can predict molecular alterations and guide appropriate biomarker testing. This approach optimizes resource utilization while ensuring comprehensive molecular characterization for therapeutic decision-making.</w:t>
      </w:r>
    </w:p>
    <w:p w14:paraId="588FBF10"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Emerging techno</w:t>
      </w:r>
      <w:r>
        <w:rPr>
          <w:rFonts w:ascii="Times New Roman" w:hAnsi="Times New Roman" w:cs="Times New Roman"/>
        </w:rPr>
        <w:t>logies, including liquid biopsy and artificial intelligence-assisted pathology, offer new opportunities for diagnosis and monitoring in never-smokers. The complementary role of circulating tumor DNA analysis addresses limitations of tissue-based assessment</w:t>
      </w:r>
      <w:r>
        <w:rPr>
          <w:rFonts w:ascii="Times New Roman" w:hAnsi="Times New Roman" w:cs="Times New Roman"/>
        </w:rPr>
        <w:t>, particularly relevant in this population where well-differentiated tumors may present diagnostic challenges in small biopsies.</w:t>
      </w:r>
    </w:p>
    <w:p w14:paraId="1DA1B4F0"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The evolution toward histology-agnostic therapeutic approaches, while maintaining the importance of histopathological context, </w:t>
      </w:r>
      <w:r>
        <w:rPr>
          <w:rFonts w:ascii="Times New Roman" w:hAnsi="Times New Roman" w:cs="Times New Roman"/>
        </w:rPr>
        <w:t>has expanded treatment options for never-smokers with rare but targetable molecular alterations. This paradigm shift prioritizes molecular characteristics over traditional morphological classification, enabling access to targeted therapies across histologi</w:t>
      </w:r>
      <w:r>
        <w:rPr>
          <w:rFonts w:ascii="Times New Roman" w:hAnsi="Times New Roman" w:cs="Times New Roman"/>
        </w:rPr>
        <w:t>cal boundaries.</w:t>
      </w:r>
    </w:p>
    <w:p w14:paraId="5FA712C8"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Despite significant advances, important knowledge gaps remain. The diagnostic challenges posed by well-differentiated morphology, tumor heterogeneity, and limited tissue samples continue to require refined approaches. The development of mor</w:t>
      </w:r>
      <w:r>
        <w:rPr>
          <w:rFonts w:ascii="Times New Roman" w:hAnsi="Times New Roman" w:cs="Times New Roman"/>
        </w:rPr>
        <w:t xml:space="preserve">e sophisticated biomarker panels, improved sampling techniques, and enhanced </w:t>
      </w:r>
      <w:r>
        <w:rPr>
          <w:rFonts w:ascii="Times New Roman" w:hAnsi="Times New Roman" w:cs="Times New Roman"/>
        </w:rPr>
        <w:lastRenderedPageBreak/>
        <w:t>integration of clinical, morphological, and molecular data will further optimize patient care.</w:t>
      </w:r>
    </w:p>
    <w:p w14:paraId="27887A52"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Future research directions must focus on several key areas: understanding the biolog</w:t>
      </w:r>
      <w:r>
        <w:rPr>
          <w:rFonts w:ascii="Times New Roman" w:hAnsi="Times New Roman" w:cs="Times New Roman"/>
        </w:rPr>
        <w:t>ical basis for the distinct characteristics of lung cancer in never-smokers, developing more effective screening strategies for this population, refining predictive biomarkers for therapeutic response and resistance, and investigating novel therapeutic com</w:t>
      </w:r>
      <w:r>
        <w:rPr>
          <w:rFonts w:ascii="Times New Roman" w:hAnsi="Times New Roman" w:cs="Times New Roman"/>
        </w:rPr>
        <w:t>binations that leverage the unique molecular landscape of these tumors.</w:t>
      </w:r>
    </w:p>
    <w:p w14:paraId="39C95256"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The clinical implications of this review are substantial. Recognition of lung cancer in never-smokers as a distinct entity necessitates specialized diagnostic and therapeutic approache</w:t>
      </w:r>
      <w:r>
        <w:rPr>
          <w:rFonts w:ascii="Times New Roman" w:hAnsi="Times New Roman" w:cs="Times New Roman"/>
        </w:rPr>
        <w:t>s. Pathologists must be aware of the unique morphological patterns and their molecular correlates, while clinicians should prioritize comprehensive molecular testing and consider targeted therapies as first-line treatment options.</w:t>
      </w:r>
    </w:p>
    <w:p w14:paraId="7B689012"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As the proportion of lung</w:t>
      </w:r>
      <w:r>
        <w:rPr>
          <w:rFonts w:ascii="Times New Roman" w:hAnsi="Times New Roman" w:cs="Times New Roman"/>
        </w:rPr>
        <w:t xml:space="preserve"> cancer cases occurring in never-smokers continues to increase globally, understanding the unique biological characteristics of these tumors becomes increasingly critical. The integration of advanced histopathological assessment with comprehensive molecula</w:t>
      </w:r>
      <w:r>
        <w:rPr>
          <w:rFonts w:ascii="Times New Roman" w:hAnsi="Times New Roman" w:cs="Times New Roman"/>
        </w:rPr>
        <w:t>r profiling and emerging diagnostic technologies will continue to refine our approach to this distinct patient population, ultimately leading to improved diagnostic accuracy, more personalized therapeutic strategies, and better patient outcomes.</w:t>
      </w:r>
    </w:p>
    <w:p w14:paraId="756BF2C7" w14:textId="77777777" w:rsidR="005179CE" w:rsidRDefault="00A8738B">
      <w:pPr>
        <w:pStyle w:val="NormalWeb"/>
        <w:spacing w:beforeAutospacing="1" w:after="0" w:afterAutospacing="1" w:line="360" w:lineRule="auto"/>
        <w:jc w:val="both"/>
        <w:rPr>
          <w:rFonts w:ascii="Times New Roman" w:hAnsi="Times New Roman" w:cs="Times New Roman"/>
        </w:rPr>
      </w:pPr>
      <w:r>
        <w:rPr>
          <w:rFonts w:ascii="Times New Roman" w:hAnsi="Times New Roman" w:cs="Times New Roman"/>
        </w:rPr>
        <w:t>This revie</w:t>
      </w:r>
      <w:r>
        <w:rPr>
          <w:rFonts w:ascii="Times New Roman" w:hAnsi="Times New Roman" w:cs="Times New Roman"/>
        </w:rPr>
        <w:t xml:space="preserve">w underscores that optimal management of lung cancer in never-smokers requires a multidisciplinary approach that integrates morphological, immunohistochemical, and molecular analysis within the context of clinical presentation and patient characteristics. </w:t>
      </w:r>
      <w:r>
        <w:rPr>
          <w:rFonts w:ascii="Times New Roman" w:hAnsi="Times New Roman" w:cs="Times New Roman"/>
        </w:rPr>
        <w:t>The continued evolution of precision medicine approaches, guided by the unique histopathological features identified in this review, promises to further improve outcomes for this important and growing patient population.</w:t>
      </w:r>
    </w:p>
    <w:p w14:paraId="494DC064" w14:textId="77777777" w:rsidR="005179CE" w:rsidRDefault="00A8738B">
      <w:pPr>
        <w:pStyle w:val="Heading21"/>
        <w:spacing w:line="360" w:lineRule="auto"/>
        <w:jc w:val="both"/>
        <w:rPr>
          <w:rFonts w:ascii="Times New Roman" w:hAnsi="Times New Roman" w:cs="Times New Roman"/>
          <w:color w:val="auto"/>
          <w:sz w:val="24"/>
          <w:szCs w:val="24"/>
        </w:rPr>
      </w:pPr>
      <w:bookmarkStart w:id="12" w:name="references"/>
      <w:bookmarkEnd w:id="11"/>
      <w:r>
        <w:rPr>
          <w:rFonts w:ascii="Times New Roman" w:hAnsi="Times New Roman" w:cs="Times New Roman"/>
          <w:color w:val="auto"/>
          <w:sz w:val="24"/>
          <w:szCs w:val="24"/>
        </w:rPr>
        <w:t>References</w:t>
      </w:r>
    </w:p>
    <w:p w14:paraId="46DA9F29" w14:textId="77777777" w:rsidR="005179CE" w:rsidRDefault="00A8738B">
      <w:pPr>
        <w:pStyle w:val="FirstParagraph"/>
        <w:spacing w:line="240" w:lineRule="auto"/>
        <w:rPr>
          <w:rFonts w:ascii="Times New Roman" w:hAnsi="Times New Roman" w:cs="Times New Roman"/>
          <w:sz w:val="20"/>
          <w:szCs w:val="20"/>
        </w:rPr>
      </w:pPr>
      <w:proofErr w:type="spellStart"/>
      <w:r>
        <w:rPr>
          <w:rFonts w:ascii="Times New Roman" w:hAnsi="Times New Roman" w:cs="Times New Roman"/>
          <w:sz w:val="20"/>
          <w:szCs w:val="20"/>
        </w:rPr>
        <w:t>Bettegowda</w:t>
      </w:r>
      <w:proofErr w:type="spellEnd"/>
      <w:r>
        <w:rPr>
          <w:rFonts w:ascii="Times New Roman" w:hAnsi="Times New Roman" w:cs="Times New Roman"/>
          <w:sz w:val="20"/>
          <w:szCs w:val="20"/>
        </w:rPr>
        <w:t xml:space="preserve">, C., Sausen, </w:t>
      </w:r>
      <w:r>
        <w:rPr>
          <w:rFonts w:ascii="Times New Roman" w:hAnsi="Times New Roman" w:cs="Times New Roman"/>
          <w:sz w:val="20"/>
          <w:szCs w:val="20"/>
        </w:rPr>
        <w:t xml:space="preserve">M., Leary, R. J., Kinde, I., Wang, Y., Agrawal, N., … &amp; Kinzler, K. W. (2014). Detection of circulating tumor DNA in early-and late-stage human malignancies. </w:t>
      </w:r>
      <w:r>
        <w:rPr>
          <w:rFonts w:ascii="Times New Roman" w:hAnsi="Times New Roman" w:cs="Times New Roman"/>
          <w:i/>
          <w:iCs/>
          <w:sz w:val="20"/>
          <w:szCs w:val="20"/>
        </w:rPr>
        <w:t>Science Translational Medicine</w:t>
      </w:r>
      <w:r>
        <w:rPr>
          <w:rFonts w:ascii="Times New Roman" w:hAnsi="Times New Roman" w:cs="Times New Roman"/>
          <w:sz w:val="20"/>
          <w:szCs w:val="20"/>
        </w:rPr>
        <w:t>, 6(224), 224ra24.</w:t>
      </w:r>
    </w:p>
    <w:p w14:paraId="4C18B1C6"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Bishop, J. A., Teruya-Feldstein, J., Westra, W. H., Pelosi, G., Travis, W. D., &amp; </w:t>
      </w:r>
      <w:proofErr w:type="spellStart"/>
      <w:r>
        <w:rPr>
          <w:rFonts w:ascii="Times New Roman" w:hAnsi="Times New Roman" w:cs="Times New Roman"/>
          <w:sz w:val="20"/>
          <w:szCs w:val="20"/>
        </w:rPr>
        <w:t>Rekhtman</w:t>
      </w:r>
      <w:proofErr w:type="spellEnd"/>
      <w:r>
        <w:rPr>
          <w:rFonts w:ascii="Times New Roman" w:hAnsi="Times New Roman" w:cs="Times New Roman"/>
          <w:sz w:val="20"/>
          <w:szCs w:val="20"/>
        </w:rPr>
        <w:t xml:space="preserve">, N. (2012). p40 (ΔNp63) is superior to p63 for the diagnosis of pulmonary squamous cell carcinoma. </w:t>
      </w:r>
      <w:r>
        <w:rPr>
          <w:rFonts w:ascii="Times New Roman" w:hAnsi="Times New Roman" w:cs="Times New Roman"/>
          <w:i/>
          <w:iCs/>
          <w:sz w:val="20"/>
          <w:szCs w:val="20"/>
        </w:rPr>
        <w:t>Modern Pathology</w:t>
      </w:r>
      <w:r>
        <w:rPr>
          <w:rFonts w:ascii="Times New Roman" w:hAnsi="Times New Roman" w:cs="Times New Roman"/>
          <w:sz w:val="20"/>
          <w:szCs w:val="20"/>
        </w:rPr>
        <w:t>, 25(3), 405-415.</w:t>
      </w:r>
    </w:p>
    <w:p w14:paraId="6A68D683"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Cobas EGFR Mutation Test v2. (201</w:t>
      </w:r>
      <w:r>
        <w:rPr>
          <w:rFonts w:ascii="Times New Roman" w:hAnsi="Times New Roman" w:cs="Times New Roman"/>
          <w:sz w:val="20"/>
          <w:szCs w:val="20"/>
        </w:rPr>
        <w:t>6). FDA Summary of Safety and Effectiveness Data. U.S. Food and Drug Administration.</w:t>
      </w:r>
    </w:p>
    <w:p w14:paraId="52FA5AC5"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Coudray, N., Ocampo, P. S., </w:t>
      </w:r>
      <w:proofErr w:type="spellStart"/>
      <w:r>
        <w:rPr>
          <w:rFonts w:ascii="Times New Roman" w:hAnsi="Times New Roman" w:cs="Times New Roman"/>
          <w:sz w:val="20"/>
          <w:szCs w:val="20"/>
        </w:rPr>
        <w:t>Sakellaropoulos</w:t>
      </w:r>
      <w:proofErr w:type="spellEnd"/>
      <w:r>
        <w:rPr>
          <w:rFonts w:ascii="Times New Roman" w:hAnsi="Times New Roman" w:cs="Times New Roman"/>
          <w:sz w:val="20"/>
          <w:szCs w:val="20"/>
        </w:rPr>
        <w:t xml:space="preserve">, T., Narula, N., </w:t>
      </w:r>
      <w:proofErr w:type="spellStart"/>
      <w:r>
        <w:rPr>
          <w:rFonts w:ascii="Times New Roman" w:hAnsi="Times New Roman" w:cs="Times New Roman"/>
          <w:sz w:val="20"/>
          <w:szCs w:val="20"/>
        </w:rPr>
        <w:t>Snuderl</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Fenyö</w:t>
      </w:r>
      <w:proofErr w:type="spellEnd"/>
      <w:r>
        <w:rPr>
          <w:rFonts w:ascii="Times New Roman" w:hAnsi="Times New Roman" w:cs="Times New Roman"/>
          <w:sz w:val="20"/>
          <w:szCs w:val="20"/>
        </w:rPr>
        <w:t xml:space="preserve">, D., … &amp; </w:t>
      </w:r>
      <w:proofErr w:type="spellStart"/>
      <w:r>
        <w:rPr>
          <w:rFonts w:ascii="Times New Roman" w:hAnsi="Times New Roman" w:cs="Times New Roman"/>
          <w:sz w:val="20"/>
          <w:szCs w:val="20"/>
        </w:rPr>
        <w:t>Tsirigos</w:t>
      </w:r>
      <w:proofErr w:type="spellEnd"/>
      <w:r>
        <w:rPr>
          <w:rFonts w:ascii="Times New Roman" w:hAnsi="Times New Roman" w:cs="Times New Roman"/>
          <w:sz w:val="20"/>
          <w:szCs w:val="20"/>
        </w:rPr>
        <w:t>, A. (2018). Classification and mutation prediction from non–small cell lu</w:t>
      </w:r>
      <w:r>
        <w:rPr>
          <w:rFonts w:ascii="Times New Roman" w:hAnsi="Times New Roman" w:cs="Times New Roman"/>
          <w:sz w:val="20"/>
          <w:szCs w:val="20"/>
        </w:rPr>
        <w:t xml:space="preserve">ng cancer histopathology images using deep learning. </w:t>
      </w:r>
      <w:r>
        <w:rPr>
          <w:rFonts w:ascii="Times New Roman" w:hAnsi="Times New Roman" w:cs="Times New Roman"/>
          <w:i/>
          <w:iCs/>
          <w:sz w:val="20"/>
          <w:szCs w:val="20"/>
        </w:rPr>
        <w:t>Nature Medicine</w:t>
      </w:r>
      <w:r>
        <w:rPr>
          <w:rFonts w:ascii="Times New Roman" w:hAnsi="Times New Roman" w:cs="Times New Roman"/>
          <w:sz w:val="20"/>
          <w:szCs w:val="20"/>
        </w:rPr>
        <w:t>, 24(10), 1559-1567.</w:t>
      </w:r>
    </w:p>
    <w:p w14:paraId="69792915" w14:textId="77777777" w:rsidR="005179CE" w:rsidRDefault="00A8738B">
      <w:pPr>
        <w:pStyle w:val="BodyText"/>
        <w:spacing w:line="240" w:lineRule="auto"/>
        <w:rPr>
          <w:rFonts w:ascii="Times New Roman" w:hAnsi="Times New Roman" w:cs="Times New Roman"/>
          <w:sz w:val="20"/>
          <w:szCs w:val="20"/>
        </w:rPr>
      </w:pPr>
      <w:proofErr w:type="spellStart"/>
      <w:r>
        <w:rPr>
          <w:rFonts w:ascii="Times New Roman" w:hAnsi="Times New Roman" w:cs="Times New Roman"/>
          <w:sz w:val="20"/>
          <w:szCs w:val="20"/>
        </w:rPr>
        <w:t>Cristofanilli</w:t>
      </w:r>
      <w:proofErr w:type="spellEnd"/>
      <w:r>
        <w:rPr>
          <w:rFonts w:ascii="Times New Roman" w:hAnsi="Times New Roman" w:cs="Times New Roman"/>
          <w:sz w:val="20"/>
          <w:szCs w:val="20"/>
        </w:rPr>
        <w:t xml:space="preserve">, M., Budd, G. T., Ellis, M. J., </w:t>
      </w:r>
      <w:proofErr w:type="spellStart"/>
      <w:r>
        <w:rPr>
          <w:rFonts w:ascii="Times New Roman" w:hAnsi="Times New Roman" w:cs="Times New Roman"/>
          <w:sz w:val="20"/>
          <w:szCs w:val="20"/>
        </w:rPr>
        <w:t>Stopeck</w:t>
      </w:r>
      <w:proofErr w:type="spellEnd"/>
      <w:r>
        <w:rPr>
          <w:rFonts w:ascii="Times New Roman" w:hAnsi="Times New Roman" w:cs="Times New Roman"/>
          <w:sz w:val="20"/>
          <w:szCs w:val="20"/>
        </w:rPr>
        <w:t>, A., Matera, J., Miller, M. C., … &amp; Hayes, D. F. (2004). Circulating tumor cells, disease progression, and surviv</w:t>
      </w:r>
      <w:r>
        <w:rPr>
          <w:rFonts w:ascii="Times New Roman" w:hAnsi="Times New Roman" w:cs="Times New Roman"/>
          <w:sz w:val="20"/>
          <w:szCs w:val="20"/>
        </w:rPr>
        <w:t xml:space="preserve">al in metastatic breast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351(8), 781-791.</w:t>
      </w:r>
    </w:p>
    <w:p w14:paraId="6829EB96"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de Bruin, E. C., McGranahan, N., Mitter, R., Salm, M., Wedge, D. C., Yates, L., … &amp; Swanton, C. (2014). Spatial and temporal diversity in genomic instability processes define</w:t>
      </w:r>
      <w:r>
        <w:rPr>
          <w:rFonts w:ascii="Times New Roman" w:hAnsi="Times New Roman" w:cs="Times New Roman"/>
          <w:sz w:val="20"/>
          <w:szCs w:val="20"/>
        </w:rPr>
        <w:t xml:space="preserve">s lung cancer evolution. </w:t>
      </w:r>
      <w:r>
        <w:rPr>
          <w:rFonts w:ascii="Times New Roman" w:hAnsi="Times New Roman" w:cs="Times New Roman"/>
          <w:i/>
          <w:iCs/>
          <w:sz w:val="20"/>
          <w:szCs w:val="20"/>
        </w:rPr>
        <w:t>Science</w:t>
      </w:r>
      <w:r>
        <w:rPr>
          <w:rFonts w:ascii="Times New Roman" w:hAnsi="Times New Roman" w:cs="Times New Roman"/>
          <w:sz w:val="20"/>
          <w:szCs w:val="20"/>
        </w:rPr>
        <w:t>, 346(6206), 251-256.</w:t>
      </w:r>
    </w:p>
    <w:p w14:paraId="2B3FB4FB"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Dearden, S., Stevens, J., Wu, Y. L., &amp; Blowers, D. (2013). Mutation incidence and coincidence in </w:t>
      </w:r>
      <w:proofErr w:type="spellStart"/>
      <w:proofErr w:type="gramStart"/>
      <w:r>
        <w:rPr>
          <w:rFonts w:ascii="Times New Roman" w:hAnsi="Times New Roman" w:cs="Times New Roman"/>
          <w:sz w:val="20"/>
          <w:szCs w:val="20"/>
        </w:rPr>
        <w:t>non small</w:t>
      </w:r>
      <w:proofErr w:type="spellEnd"/>
      <w:proofErr w:type="gramEnd"/>
      <w:r>
        <w:rPr>
          <w:rFonts w:ascii="Times New Roman" w:hAnsi="Times New Roman" w:cs="Times New Roman"/>
          <w:sz w:val="20"/>
          <w:szCs w:val="20"/>
        </w:rPr>
        <w:t>-cell lung cancer: meta-analyses by ethnicity and histology (</w:t>
      </w:r>
      <w:proofErr w:type="spellStart"/>
      <w:r>
        <w:rPr>
          <w:rFonts w:ascii="Times New Roman" w:hAnsi="Times New Roman" w:cs="Times New Roman"/>
          <w:sz w:val="20"/>
          <w:szCs w:val="20"/>
        </w:rPr>
        <w:t>mutMap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Annals of Oncology</w:t>
      </w:r>
      <w:r>
        <w:rPr>
          <w:rFonts w:ascii="Times New Roman" w:hAnsi="Times New Roman" w:cs="Times New Roman"/>
          <w:sz w:val="20"/>
          <w:szCs w:val="20"/>
        </w:rPr>
        <w:t>, 24(9),</w:t>
      </w:r>
      <w:r>
        <w:rPr>
          <w:rFonts w:ascii="Times New Roman" w:hAnsi="Times New Roman" w:cs="Times New Roman"/>
          <w:sz w:val="20"/>
          <w:szCs w:val="20"/>
        </w:rPr>
        <w:t xml:space="preserve"> 2371-2376.</w:t>
      </w:r>
    </w:p>
    <w:p w14:paraId="460ED2B5"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Drilon, A., Laetsch, T. W., </w:t>
      </w:r>
      <w:proofErr w:type="spellStart"/>
      <w:r>
        <w:rPr>
          <w:rFonts w:ascii="Times New Roman" w:hAnsi="Times New Roman" w:cs="Times New Roman"/>
          <w:sz w:val="20"/>
          <w:szCs w:val="20"/>
        </w:rPr>
        <w:t>Kummar</w:t>
      </w:r>
      <w:proofErr w:type="spellEnd"/>
      <w:r>
        <w:rPr>
          <w:rFonts w:ascii="Times New Roman" w:hAnsi="Times New Roman" w:cs="Times New Roman"/>
          <w:sz w:val="20"/>
          <w:szCs w:val="20"/>
        </w:rPr>
        <w:t xml:space="preserve">, S., DuBois, S. G., Lassen, U. N., Demetri, G. D., … &amp; Hyman, D. M. (2018). Efficacy of </w:t>
      </w:r>
      <w:proofErr w:type="spellStart"/>
      <w:r>
        <w:rPr>
          <w:rFonts w:ascii="Times New Roman" w:hAnsi="Times New Roman" w:cs="Times New Roman"/>
          <w:sz w:val="20"/>
          <w:szCs w:val="20"/>
        </w:rPr>
        <w:t>larotrectinib</w:t>
      </w:r>
      <w:proofErr w:type="spellEnd"/>
      <w:r>
        <w:rPr>
          <w:rFonts w:ascii="Times New Roman" w:hAnsi="Times New Roman" w:cs="Times New Roman"/>
          <w:sz w:val="20"/>
          <w:szCs w:val="20"/>
        </w:rPr>
        <w:t xml:space="preserve"> in TRK fusion–positive cancers in adults and children. </w:t>
      </w:r>
      <w:r>
        <w:rPr>
          <w:rFonts w:ascii="Times New Roman" w:hAnsi="Times New Roman" w:cs="Times New Roman"/>
          <w:i/>
          <w:iCs/>
          <w:sz w:val="20"/>
          <w:szCs w:val="20"/>
        </w:rPr>
        <w:t>New England Journal of Medicine</w:t>
      </w:r>
      <w:r>
        <w:rPr>
          <w:rFonts w:ascii="Times New Roman" w:hAnsi="Times New Roman" w:cs="Times New Roman"/>
          <w:sz w:val="20"/>
          <w:szCs w:val="20"/>
        </w:rPr>
        <w:t>, 378(8), 731-739.</w:t>
      </w:r>
    </w:p>
    <w:p w14:paraId="41B63535"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Dr</w:t>
      </w:r>
      <w:r>
        <w:rPr>
          <w:rFonts w:ascii="Times New Roman" w:hAnsi="Times New Roman" w:cs="Times New Roman"/>
          <w:sz w:val="20"/>
          <w:szCs w:val="20"/>
        </w:rPr>
        <w:t xml:space="preserve">ilon, A., Oxnard, G. R., Tan, D. S., Loong, H. H., Johnson, M., Gainor, J., … &amp; Wolf, J. (2020). Efficacy of </w:t>
      </w:r>
      <w:proofErr w:type="spellStart"/>
      <w:r>
        <w:rPr>
          <w:rFonts w:ascii="Times New Roman" w:hAnsi="Times New Roman" w:cs="Times New Roman"/>
          <w:sz w:val="20"/>
          <w:szCs w:val="20"/>
        </w:rPr>
        <w:t>selpercatinib</w:t>
      </w:r>
      <w:proofErr w:type="spellEnd"/>
      <w:r>
        <w:rPr>
          <w:rFonts w:ascii="Times New Roman" w:hAnsi="Times New Roman" w:cs="Times New Roman"/>
          <w:sz w:val="20"/>
          <w:szCs w:val="20"/>
        </w:rPr>
        <w:t xml:space="preserve"> in RET fusion–positive non-small-cell lung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383(9), 813-824.</w:t>
      </w:r>
    </w:p>
    <w:p w14:paraId="062408BA"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Drilon, A., Siena, S., Ou, S. I.</w:t>
      </w:r>
      <w:r>
        <w:rPr>
          <w:rFonts w:ascii="Times New Roman" w:hAnsi="Times New Roman" w:cs="Times New Roman"/>
          <w:sz w:val="20"/>
          <w:szCs w:val="20"/>
        </w:rPr>
        <w:t xml:space="preserve">, Patel, M., Ahn, M. J., Lee, J., … &amp; Doebele, R. C. (2017). Safety and antitumor activity of the multitargeted pan-TRK, ROS1, and ALK inhibitor </w:t>
      </w:r>
      <w:proofErr w:type="spellStart"/>
      <w:r>
        <w:rPr>
          <w:rFonts w:ascii="Times New Roman" w:hAnsi="Times New Roman" w:cs="Times New Roman"/>
          <w:sz w:val="20"/>
          <w:szCs w:val="20"/>
        </w:rPr>
        <w:t>entrectinib</w:t>
      </w:r>
      <w:proofErr w:type="spellEnd"/>
      <w:r>
        <w:rPr>
          <w:rFonts w:ascii="Times New Roman" w:hAnsi="Times New Roman" w:cs="Times New Roman"/>
          <w:sz w:val="20"/>
          <w:szCs w:val="20"/>
        </w:rPr>
        <w:t xml:space="preserve">: combined results from two phase I trials (ALKA-372-001 and STARTRK-1). </w:t>
      </w:r>
      <w:r>
        <w:rPr>
          <w:rFonts w:ascii="Times New Roman" w:hAnsi="Times New Roman" w:cs="Times New Roman"/>
          <w:i/>
          <w:iCs/>
          <w:sz w:val="20"/>
          <w:szCs w:val="20"/>
        </w:rPr>
        <w:t>Cancer Discovery</w:t>
      </w:r>
      <w:r>
        <w:rPr>
          <w:rFonts w:ascii="Times New Roman" w:hAnsi="Times New Roman" w:cs="Times New Roman"/>
          <w:sz w:val="20"/>
          <w:szCs w:val="20"/>
        </w:rPr>
        <w:t>, 7(4), 400</w:t>
      </w:r>
      <w:r>
        <w:rPr>
          <w:rFonts w:ascii="Times New Roman" w:hAnsi="Times New Roman" w:cs="Times New Roman"/>
          <w:sz w:val="20"/>
          <w:szCs w:val="20"/>
        </w:rPr>
        <w:t>-409.</w:t>
      </w:r>
    </w:p>
    <w:p w14:paraId="2F6F6C36"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Frampton, G. M., Fichtenholtz, A., Otto, G. A., Wang, K., Downing, S. R., He, J., … &amp; Stephens, P. J. (2013). Development and validation of a clinical cancer genomic profiling test based on massively parallel DNA sequencing. </w:t>
      </w:r>
      <w:r>
        <w:rPr>
          <w:rFonts w:ascii="Times New Roman" w:hAnsi="Times New Roman" w:cs="Times New Roman"/>
          <w:i/>
          <w:iCs/>
          <w:sz w:val="20"/>
          <w:szCs w:val="20"/>
        </w:rPr>
        <w:t>Nature Biotechnology</w:t>
      </w:r>
      <w:r>
        <w:rPr>
          <w:rFonts w:ascii="Times New Roman" w:hAnsi="Times New Roman" w:cs="Times New Roman"/>
          <w:sz w:val="20"/>
          <w:szCs w:val="20"/>
        </w:rPr>
        <w:t>, 31(</w:t>
      </w:r>
      <w:r>
        <w:rPr>
          <w:rFonts w:ascii="Times New Roman" w:hAnsi="Times New Roman" w:cs="Times New Roman"/>
          <w:sz w:val="20"/>
          <w:szCs w:val="20"/>
        </w:rPr>
        <w:t>11), 1023-1031.</w:t>
      </w:r>
    </w:p>
    <w:p w14:paraId="609726A3"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Gainor, J. F., Varghese, A. M., Ou, S. H. I., </w:t>
      </w:r>
      <w:proofErr w:type="spellStart"/>
      <w:r>
        <w:rPr>
          <w:rFonts w:ascii="Times New Roman" w:hAnsi="Times New Roman" w:cs="Times New Roman"/>
          <w:sz w:val="20"/>
          <w:szCs w:val="20"/>
        </w:rPr>
        <w:t>Kabraji</w:t>
      </w:r>
      <w:proofErr w:type="spellEnd"/>
      <w:r>
        <w:rPr>
          <w:rFonts w:ascii="Times New Roman" w:hAnsi="Times New Roman" w:cs="Times New Roman"/>
          <w:sz w:val="20"/>
          <w:szCs w:val="20"/>
        </w:rPr>
        <w:t>, S., Awad, M. M., Katayama, R., … &amp; Shaw, A. T. (2013). ALK rearrangements are mutually exclusive with mutations in EGFR or KRAS: an analysis of 1,683 patients with non-small cell lung c</w:t>
      </w:r>
      <w:r>
        <w:rPr>
          <w:rFonts w:ascii="Times New Roman" w:hAnsi="Times New Roman" w:cs="Times New Roman"/>
          <w:sz w:val="20"/>
          <w:szCs w:val="20"/>
        </w:rPr>
        <w:t xml:space="preserve">ancer. </w:t>
      </w:r>
      <w:r>
        <w:rPr>
          <w:rFonts w:ascii="Times New Roman" w:hAnsi="Times New Roman" w:cs="Times New Roman"/>
          <w:i/>
          <w:iCs/>
          <w:sz w:val="20"/>
          <w:szCs w:val="20"/>
        </w:rPr>
        <w:t>Clinical Cancer Research</w:t>
      </w:r>
      <w:r>
        <w:rPr>
          <w:rFonts w:ascii="Times New Roman" w:hAnsi="Times New Roman" w:cs="Times New Roman"/>
          <w:sz w:val="20"/>
          <w:szCs w:val="20"/>
        </w:rPr>
        <w:t>, 19(15), 4273-4281.</w:t>
      </w:r>
    </w:p>
    <w:p w14:paraId="21B21EF2"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Govindan, R., Page, N., </w:t>
      </w:r>
      <w:proofErr w:type="spellStart"/>
      <w:r>
        <w:rPr>
          <w:rFonts w:ascii="Times New Roman" w:hAnsi="Times New Roman" w:cs="Times New Roman"/>
          <w:sz w:val="20"/>
          <w:szCs w:val="20"/>
        </w:rPr>
        <w:t>Morgensztern</w:t>
      </w:r>
      <w:proofErr w:type="spellEnd"/>
      <w:r>
        <w:rPr>
          <w:rFonts w:ascii="Times New Roman" w:hAnsi="Times New Roman" w:cs="Times New Roman"/>
          <w:sz w:val="20"/>
          <w:szCs w:val="20"/>
        </w:rPr>
        <w:t xml:space="preserve">, D., Read, W., Tierney, R., </w:t>
      </w:r>
      <w:proofErr w:type="spellStart"/>
      <w:r>
        <w:rPr>
          <w:rFonts w:ascii="Times New Roman" w:hAnsi="Times New Roman" w:cs="Times New Roman"/>
          <w:sz w:val="20"/>
          <w:szCs w:val="20"/>
        </w:rPr>
        <w:t>Vlahiotis</w:t>
      </w:r>
      <w:proofErr w:type="spellEnd"/>
      <w:r>
        <w:rPr>
          <w:rFonts w:ascii="Times New Roman" w:hAnsi="Times New Roman" w:cs="Times New Roman"/>
          <w:sz w:val="20"/>
          <w:szCs w:val="20"/>
        </w:rPr>
        <w:t xml:space="preserve">, A., … &amp; </w:t>
      </w:r>
      <w:proofErr w:type="spellStart"/>
      <w:r>
        <w:rPr>
          <w:rFonts w:ascii="Times New Roman" w:hAnsi="Times New Roman" w:cs="Times New Roman"/>
          <w:sz w:val="20"/>
          <w:szCs w:val="20"/>
        </w:rPr>
        <w:t>Baggstrom</w:t>
      </w:r>
      <w:proofErr w:type="spellEnd"/>
      <w:r>
        <w:rPr>
          <w:rFonts w:ascii="Times New Roman" w:hAnsi="Times New Roman" w:cs="Times New Roman"/>
          <w:sz w:val="20"/>
          <w:szCs w:val="20"/>
        </w:rPr>
        <w:t>, M. Q. (2006). Changing epidemiology of small-cell lung cancer in the United States over the last 30 years: an</w:t>
      </w:r>
      <w:r>
        <w:rPr>
          <w:rFonts w:ascii="Times New Roman" w:hAnsi="Times New Roman" w:cs="Times New Roman"/>
          <w:sz w:val="20"/>
          <w:szCs w:val="20"/>
        </w:rPr>
        <w:t xml:space="preserve">alysis of the surveillance, epidemiologic, and end results database. </w:t>
      </w:r>
      <w:r>
        <w:rPr>
          <w:rFonts w:ascii="Times New Roman" w:hAnsi="Times New Roman" w:cs="Times New Roman"/>
          <w:i/>
          <w:iCs/>
          <w:sz w:val="20"/>
          <w:szCs w:val="20"/>
        </w:rPr>
        <w:t>Journal of Clinical Oncology</w:t>
      </w:r>
      <w:r>
        <w:rPr>
          <w:rFonts w:ascii="Times New Roman" w:hAnsi="Times New Roman" w:cs="Times New Roman"/>
          <w:sz w:val="20"/>
          <w:szCs w:val="20"/>
        </w:rPr>
        <w:t>, 24(28), 4539-4544.</w:t>
      </w:r>
    </w:p>
    <w:p w14:paraId="4959FAB0"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Govindan, R., Ding, L., Griffith, M., Subramanian, J., Dees, N. D., Kanchi, K. L., … &amp; Wilson, R. K. (2012). Genomic landscape of non-smal</w:t>
      </w:r>
      <w:r>
        <w:rPr>
          <w:rFonts w:ascii="Times New Roman" w:hAnsi="Times New Roman" w:cs="Times New Roman"/>
          <w:sz w:val="20"/>
          <w:szCs w:val="20"/>
        </w:rPr>
        <w:t xml:space="preserve">l cell lung cancer in smokers and never-smokers. </w:t>
      </w:r>
      <w:r>
        <w:rPr>
          <w:rFonts w:ascii="Times New Roman" w:hAnsi="Times New Roman" w:cs="Times New Roman"/>
          <w:i/>
          <w:iCs/>
          <w:sz w:val="20"/>
          <w:szCs w:val="20"/>
        </w:rPr>
        <w:t>Cell</w:t>
      </w:r>
      <w:r>
        <w:rPr>
          <w:rFonts w:ascii="Times New Roman" w:hAnsi="Times New Roman" w:cs="Times New Roman"/>
          <w:sz w:val="20"/>
          <w:szCs w:val="20"/>
        </w:rPr>
        <w:t>, 150(6), 1121-1134.</w:t>
      </w:r>
    </w:p>
    <w:p w14:paraId="1BF30470"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Haruki, N., Kawaguchi, K. S., Eichenberger, S., </w:t>
      </w:r>
      <w:proofErr w:type="spellStart"/>
      <w:r>
        <w:rPr>
          <w:rFonts w:ascii="Times New Roman" w:hAnsi="Times New Roman" w:cs="Times New Roman"/>
          <w:sz w:val="20"/>
          <w:szCs w:val="20"/>
        </w:rPr>
        <w:t>Massion</w:t>
      </w:r>
      <w:proofErr w:type="spellEnd"/>
      <w:r>
        <w:rPr>
          <w:rFonts w:ascii="Times New Roman" w:hAnsi="Times New Roman" w:cs="Times New Roman"/>
          <w:sz w:val="20"/>
          <w:szCs w:val="20"/>
        </w:rPr>
        <w:t xml:space="preserve">, P. P., Olson, S., Gonzalez, A., … &amp; </w:t>
      </w:r>
      <w:proofErr w:type="spellStart"/>
      <w:r>
        <w:rPr>
          <w:rFonts w:ascii="Times New Roman" w:hAnsi="Times New Roman" w:cs="Times New Roman"/>
          <w:sz w:val="20"/>
          <w:szCs w:val="20"/>
        </w:rPr>
        <w:t>Gazdar</w:t>
      </w:r>
      <w:proofErr w:type="spellEnd"/>
      <w:r>
        <w:rPr>
          <w:rFonts w:ascii="Times New Roman" w:hAnsi="Times New Roman" w:cs="Times New Roman"/>
          <w:sz w:val="20"/>
          <w:szCs w:val="20"/>
        </w:rPr>
        <w:t>, A. F. (2010). Dominant-negative Notch3 receptor inhibits mitogen-activated protei</w:t>
      </w:r>
      <w:r>
        <w:rPr>
          <w:rFonts w:ascii="Times New Roman" w:hAnsi="Times New Roman" w:cs="Times New Roman"/>
          <w:sz w:val="20"/>
          <w:szCs w:val="20"/>
        </w:rPr>
        <w:t xml:space="preserve">n kinase pathway and the growth of human lung cancers. </w:t>
      </w:r>
      <w:r>
        <w:rPr>
          <w:rFonts w:ascii="Times New Roman" w:hAnsi="Times New Roman" w:cs="Times New Roman"/>
          <w:i/>
          <w:iCs/>
          <w:sz w:val="20"/>
          <w:szCs w:val="20"/>
        </w:rPr>
        <w:t>Cancer Research</w:t>
      </w:r>
      <w:r>
        <w:rPr>
          <w:rFonts w:ascii="Times New Roman" w:hAnsi="Times New Roman" w:cs="Times New Roman"/>
          <w:sz w:val="20"/>
          <w:szCs w:val="20"/>
        </w:rPr>
        <w:t>, 60(13), 3555-3561.</w:t>
      </w:r>
    </w:p>
    <w:p w14:paraId="54FDEFA3"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Hellmann, M. D., </w:t>
      </w:r>
      <w:proofErr w:type="spellStart"/>
      <w:r>
        <w:rPr>
          <w:rFonts w:ascii="Times New Roman" w:hAnsi="Times New Roman" w:cs="Times New Roman"/>
          <w:sz w:val="20"/>
          <w:szCs w:val="20"/>
        </w:rPr>
        <w:t>Ciuleanu</w:t>
      </w:r>
      <w:proofErr w:type="spellEnd"/>
      <w:r>
        <w:rPr>
          <w:rFonts w:ascii="Times New Roman" w:hAnsi="Times New Roman" w:cs="Times New Roman"/>
          <w:sz w:val="20"/>
          <w:szCs w:val="20"/>
        </w:rPr>
        <w:t xml:space="preserve">, T. E., </w:t>
      </w:r>
      <w:proofErr w:type="spellStart"/>
      <w:r>
        <w:rPr>
          <w:rFonts w:ascii="Times New Roman" w:hAnsi="Times New Roman" w:cs="Times New Roman"/>
          <w:sz w:val="20"/>
          <w:szCs w:val="20"/>
        </w:rPr>
        <w:t>Pluzanski</w:t>
      </w:r>
      <w:proofErr w:type="spellEnd"/>
      <w:r>
        <w:rPr>
          <w:rFonts w:ascii="Times New Roman" w:hAnsi="Times New Roman" w:cs="Times New Roman"/>
          <w:sz w:val="20"/>
          <w:szCs w:val="20"/>
        </w:rPr>
        <w:t xml:space="preserve">, A., Lee, J. S., Otterson, G. A., </w:t>
      </w:r>
      <w:proofErr w:type="spellStart"/>
      <w:r>
        <w:rPr>
          <w:rFonts w:ascii="Times New Roman" w:hAnsi="Times New Roman" w:cs="Times New Roman"/>
          <w:sz w:val="20"/>
          <w:szCs w:val="20"/>
        </w:rPr>
        <w:t>Audigier</w:t>
      </w:r>
      <w:proofErr w:type="spellEnd"/>
      <w:r>
        <w:rPr>
          <w:rFonts w:ascii="Times New Roman" w:hAnsi="Times New Roman" w:cs="Times New Roman"/>
          <w:sz w:val="20"/>
          <w:szCs w:val="20"/>
        </w:rPr>
        <w:t>-Valette, C., … &amp; Paz-Ares, L. (2018). Nivolumab plus ipilimumab in lung cancer</w:t>
      </w:r>
      <w:r>
        <w:rPr>
          <w:rFonts w:ascii="Times New Roman" w:hAnsi="Times New Roman" w:cs="Times New Roman"/>
          <w:sz w:val="20"/>
          <w:szCs w:val="20"/>
        </w:rPr>
        <w:t xml:space="preserve"> with a high tumor mutational burden. </w:t>
      </w:r>
      <w:r>
        <w:rPr>
          <w:rFonts w:ascii="Times New Roman" w:hAnsi="Times New Roman" w:cs="Times New Roman"/>
          <w:i/>
          <w:iCs/>
          <w:sz w:val="20"/>
          <w:szCs w:val="20"/>
        </w:rPr>
        <w:t>New England Journal of Medicine</w:t>
      </w:r>
      <w:r>
        <w:rPr>
          <w:rFonts w:ascii="Times New Roman" w:hAnsi="Times New Roman" w:cs="Times New Roman"/>
          <w:sz w:val="20"/>
          <w:szCs w:val="20"/>
        </w:rPr>
        <w:t>, 378(22), 2093-2104.</w:t>
      </w:r>
    </w:p>
    <w:p w14:paraId="2CDF2DD6"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Hong, D. S., Fakih, M. G., Strickler, J. H., Desai, J., Durm, G. A., Shapiro, G. I., … &amp; Li, B. T. (2020). KRASG12C inhibition with </w:t>
      </w:r>
      <w:proofErr w:type="spellStart"/>
      <w:r>
        <w:rPr>
          <w:rFonts w:ascii="Times New Roman" w:hAnsi="Times New Roman" w:cs="Times New Roman"/>
          <w:sz w:val="20"/>
          <w:szCs w:val="20"/>
        </w:rPr>
        <w:t>sotorasib</w:t>
      </w:r>
      <w:proofErr w:type="spellEnd"/>
      <w:r>
        <w:rPr>
          <w:rFonts w:ascii="Times New Roman" w:hAnsi="Times New Roman" w:cs="Times New Roman"/>
          <w:sz w:val="20"/>
          <w:szCs w:val="20"/>
        </w:rPr>
        <w:t xml:space="preserve"> in advanced solid tumor</w:t>
      </w:r>
      <w:r>
        <w:rPr>
          <w:rFonts w:ascii="Times New Roman" w:hAnsi="Times New Roman" w:cs="Times New Roman"/>
          <w:sz w:val="20"/>
          <w:szCs w:val="20"/>
        </w:rPr>
        <w:t xml:space="preserve">s. </w:t>
      </w:r>
      <w:r>
        <w:rPr>
          <w:rFonts w:ascii="Times New Roman" w:hAnsi="Times New Roman" w:cs="Times New Roman"/>
          <w:i/>
          <w:iCs/>
          <w:sz w:val="20"/>
          <w:szCs w:val="20"/>
        </w:rPr>
        <w:t>New England Journal of Medicine</w:t>
      </w:r>
      <w:r>
        <w:rPr>
          <w:rFonts w:ascii="Times New Roman" w:hAnsi="Times New Roman" w:cs="Times New Roman"/>
          <w:sz w:val="20"/>
          <w:szCs w:val="20"/>
        </w:rPr>
        <w:t>, 383(13), 1207-1217.</w:t>
      </w:r>
    </w:p>
    <w:p w14:paraId="08EE3A9F"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Houston, K. A., Henley, S. J., Li, J., White, M. C., &amp; Richards, T. B. (2014). Patterns in lung cancer incidence rates and trends by histologic type in the United States, 2004-2009. </w:t>
      </w:r>
      <w:r>
        <w:rPr>
          <w:rFonts w:ascii="Times New Roman" w:hAnsi="Times New Roman" w:cs="Times New Roman"/>
          <w:i/>
          <w:iCs/>
          <w:sz w:val="20"/>
          <w:szCs w:val="20"/>
        </w:rPr>
        <w:t>Lung Cancer</w:t>
      </w:r>
      <w:r>
        <w:rPr>
          <w:rFonts w:ascii="Times New Roman" w:hAnsi="Times New Roman" w:cs="Times New Roman"/>
          <w:sz w:val="20"/>
          <w:szCs w:val="20"/>
        </w:rPr>
        <w:t>, 86(1)</w:t>
      </w:r>
      <w:r>
        <w:rPr>
          <w:rFonts w:ascii="Times New Roman" w:hAnsi="Times New Roman" w:cs="Times New Roman"/>
          <w:sz w:val="20"/>
          <w:szCs w:val="20"/>
        </w:rPr>
        <w:t>, 22-28.</w:t>
      </w:r>
    </w:p>
    <w:p w14:paraId="364B8B01"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Kadota, K., Villena-Vargas, J., Yoshizawa, A., Motoi, N., Sima, C. S., Riely, G. J., … &amp; Adusumilli, P. S. (2015). Prognostic significance of adenocarcinoma in situ, minimally invasive adenocarcinoma, and </w:t>
      </w:r>
      <w:proofErr w:type="spellStart"/>
      <w:r>
        <w:rPr>
          <w:rFonts w:ascii="Times New Roman" w:hAnsi="Times New Roman" w:cs="Times New Roman"/>
          <w:sz w:val="20"/>
          <w:szCs w:val="20"/>
        </w:rPr>
        <w:t>nonmucinous</w:t>
      </w:r>
      <w:proofErr w:type="spellEnd"/>
      <w:r>
        <w:rPr>
          <w:rFonts w:ascii="Times New Roman" w:hAnsi="Times New Roman" w:cs="Times New Roman"/>
          <w:sz w:val="20"/>
          <w:szCs w:val="20"/>
        </w:rPr>
        <w:t xml:space="preserve"> lepidic predominant invasive a</w:t>
      </w:r>
      <w:r>
        <w:rPr>
          <w:rFonts w:ascii="Times New Roman" w:hAnsi="Times New Roman" w:cs="Times New Roman"/>
          <w:sz w:val="20"/>
          <w:szCs w:val="20"/>
        </w:rPr>
        <w:t xml:space="preserve">denocarcinoma of the lung in patients with stage I disease.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39(5), 653-664.</w:t>
      </w:r>
    </w:p>
    <w:p w14:paraId="0B206368"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Kerr, K. M., Tsao, M. S., Nicholson, A. G., Yatabe, Y., </w:t>
      </w:r>
      <w:proofErr w:type="spellStart"/>
      <w:r>
        <w:rPr>
          <w:rFonts w:ascii="Times New Roman" w:hAnsi="Times New Roman" w:cs="Times New Roman"/>
          <w:sz w:val="20"/>
          <w:szCs w:val="20"/>
        </w:rPr>
        <w:t>Wistuba</w:t>
      </w:r>
      <w:proofErr w:type="spellEnd"/>
      <w:r>
        <w:rPr>
          <w:rFonts w:ascii="Times New Roman" w:hAnsi="Times New Roman" w:cs="Times New Roman"/>
          <w:sz w:val="20"/>
          <w:szCs w:val="20"/>
        </w:rPr>
        <w:t>, I. I., &amp; Hirsch, F. R. (2015). Programmed death-ligand 1 immunohistochemist</w:t>
      </w:r>
      <w:r>
        <w:rPr>
          <w:rFonts w:ascii="Times New Roman" w:hAnsi="Times New Roman" w:cs="Times New Roman"/>
          <w:sz w:val="20"/>
          <w:szCs w:val="20"/>
        </w:rPr>
        <w:t xml:space="preserve">ry in lung cancer: in what state is this art? </w:t>
      </w:r>
      <w:r>
        <w:rPr>
          <w:rFonts w:ascii="Times New Roman" w:hAnsi="Times New Roman" w:cs="Times New Roman"/>
          <w:i/>
          <w:iCs/>
          <w:sz w:val="20"/>
          <w:szCs w:val="20"/>
        </w:rPr>
        <w:t>Journal of Thoracic Oncology</w:t>
      </w:r>
      <w:r>
        <w:rPr>
          <w:rFonts w:ascii="Times New Roman" w:hAnsi="Times New Roman" w:cs="Times New Roman"/>
          <w:sz w:val="20"/>
          <w:szCs w:val="20"/>
        </w:rPr>
        <w:t>, 10(7), 985-989.</w:t>
      </w:r>
    </w:p>
    <w:p w14:paraId="74924F8A"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Kohno, T., Ichikawa, H., </w:t>
      </w:r>
      <w:proofErr w:type="spellStart"/>
      <w:r>
        <w:rPr>
          <w:rFonts w:ascii="Times New Roman" w:hAnsi="Times New Roman" w:cs="Times New Roman"/>
          <w:sz w:val="20"/>
          <w:szCs w:val="20"/>
        </w:rPr>
        <w:t>Totoki</w:t>
      </w:r>
      <w:proofErr w:type="spellEnd"/>
      <w:r>
        <w:rPr>
          <w:rFonts w:ascii="Times New Roman" w:hAnsi="Times New Roman" w:cs="Times New Roman"/>
          <w:sz w:val="20"/>
          <w:szCs w:val="20"/>
        </w:rPr>
        <w:t xml:space="preserve">, Y., Yasuda, K., Hiramoto, M., Nammo, T., … &amp; Shibata, T. (2012). KIF5B-RET fusions in lung adenocarcinoma. </w:t>
      </w:r>
      <w:r>
        <w:rPr>
          <w:rFonts w:ascii="Times New Roman" w:hAnsi="Times New Roman" w:cs="Times New Roman"/>
          <w:i/>
          <w:iCs/>
          <w:sz w:val="20"/>
          <w:szCs w:val="20"/>
        </w:rPr>
        <w:t>Nature Medicine</w:t>
      </w:r>
      <w:r>
        <w:rPr>
          <w:rFonts w:ascii="Times New Roman" w:hAnsi="Times New Roman" w:cs="Times New Roman"/>
          <w:sz w:val="20"/>
          <w:szCs w:val="20"/>
        </w:rPr>
        <w:t xml:space="preserve">, 18(3), </w:t>
      </w:r>
      <w:r>
        <w:rPr>
          <w:rFonts w:ascii="Times New Roman" w:hAnsi="Times New Roman" w:cs="Times New Roman"/>
          <w:sz w:val="20"/>
          <w:szCs w:val="20"/>
        </w:rPr>
        <w:t>375-377.</w:t>
      </w:r>
    </w:p>
    <w:p w14:paraId="2C025B44"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Lanman, R. B., Mortimer, S. A., Zill, O. A., </w:t>
      </w:r>
      <w:proofErr w:type="spellStart"/>
      <w:r>
        <w:rPr>
          <w:rFonts w:ascii="Times New Roman" w:hAnsi="Times New Roman" w:cs="Times New Roman"/>
          <w:sz w:val="20"/>
          <w:szCs w:val="20"/>
        </w:rPr>
        <w:t>Sebisanovic</w:t>
      </w:r>
      <w:proofErr w:type="spellEnd"/>
      <w:r>
        <w:rPr>
          <w:rFonts w:ascii="Times New Roman" w:hAnsi="Times New Roman" w:cs="Times New Roman"/>
          <w:sz w:val="20"/>
          <w:szCs w:val="20"/>
        </w:rPr>
        <w:t xml:space="preserve">, D., Lopez, R., Blau, S., … &amp; </w:t>
      </w:r>
      <w:proofErr w:type="spellStart"/>
      <w:r>
        <w:rPr>
          <w:rFonts w:ascii="Times New Roman" w:hAnsi="Times New Roman" w:cs="Times New Roman"/>
          <w:sz w:val="20"/>
          <w:szCs w:val="20"/>
        </w:rPr>
        <w:t>Talasaz</w:t>
      </w:r>
      <w:proofErr w:type="spellEnd"/>
      <w:r>
        <w:rPr>
          <w:rFonts w:ascii="Times New Roman" w:hAnsi="Times New Roman" w:cs="Times New Roman"/>
          <w:sz w:val="20"/>
          <w:szCs w:val="20"/>
        </w:rPr>
        <w:t>, A. A. (2015). Analytical and clinical validation of a digital sequencing panel for quantitative, highly accurate evaluation of cell-free circulating tu</w:t>
      </w:r>
      <w:r>
        <w:rPr>
          <w:rFonts w:ascii="Times New Roman" w:hAnsi="Times New Roman" w:cs="Times New Roman"/>
          <w:sz w:val="20"/>
          <w:szCs w:val="20"/>
        </w:rPr>
        <w:t xml:space="preserve">mor DNA. </w:t>
      </w:r>
      <w:proofErr w:type="spellStart"/>
      <w:r>
        <w:rPr>
          <w:rFonts w:ascii="Times New Roman" w:hAnsi="Times New Roman" w:cs="Times New Roman"/>
          <w:i/>
          <w:iCs/>
          <w:sz w:val="20"/>
          <w:szCs w:val="20"/>
        </w:rPr>
        <w:t>PLoS</w:t>
      </w:r>
      <w:proofErr w:type="spellEnd"/>
      <w:r>
        <w:rPr>
          <w:rFonts w:ascii="Times New Roman" w:hAnsi="Times New Roman" w:cs="Times New Roman"/>
          <w:i/>
          <w:iCs/>
          <w:sz w:val="20"/>
          <w:szCs w:val="20"/>
        </w:rPr>
        <w:t xml:space="preserve"> One</w:t>
      </w:r>
      <w:r>
        <w:rPr>
          <w:rFonts w:ascii="Times New Roman" w:hAnsi="Times New Roman" w:cs="Times New Roman"/>
          <w:sz w:val="20"/>
          <w:szCs w:val="20"/>
        </w:rPr>
        <w:t>, 10(10), e0140712.</w:t>
      </w:r>
    </w:p>
    <w:p w14:paraId="71741C89"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Lindeman, N. I., Cagle, P. T., Aisner, D. L., Arcila, M. E., Beasley, M. B., </w:t>
      </w:r>
      <w:proofErr w:type="spellStart"/>
      <w:r>
        <w:rPr>
          <w:rFonts w:ascii="Times New Roman" w:hAnsi="Times New Roman" w:cs="Times New Roman"/>
          <w:sz w:val="20"/>
          <w:szCs w:val="20"/>
        </w:rPr>
        <w:t>Bernicker</w:t>
      </w:r>
      <w:proofErr w:type="spellEnd"/>
      <w:r>
        <w:rPr>
          <w:rFonts w:ascii="Times New Roman" w:hAnsi="Times New Roman" w:cs="Times New Roman"/>
          <w:sz w:val="20"/>
          <w:szCs w:val="20"/>
        </w:rPr>
        <w:t>, E. H., … &amp; Yatabe, Y. (2018). Updated molecular testing guideline for the selection of lung cancer patients for treatment with targ</w:t>
      </w:r>
      <w:r>
        <w:rPr>
          <w:rFonts w:ascii="Times New Roman" w:hAnsi="Times New Roman" w:cs="Times New Roman"/>
          <w:sz w:val="20"/>
          <w:szCs w:val="20"/>
        </w:rPr>
        <w:t xml:space="preserve">eted tyrosine kinase inhibitors: guideline from the College of American Pathologists, the International Association for the Study of Lung Cancer, and the Association for Molecular Pathology. </w:t>
      </w:r>
      <w:r>
        <w:rPr>
          <w:rFonts w:ascii="Times New Roman" w:hAnsi="Times New Roman" w:cs="Times New Roman"/>
          <w:i/>
          <w:iCs/>
          <w:sz w:val="20"/>
          <w:szCs w:val="20"/>
        </w:rPr>
        <w:t>Archives of Pathology &amp; Laboratory Medicine</w:t>
      </w:r>
      <w:r>
        <w:rPr>
          <w:rFonts w:ascii="Times New Roman" w:hAnsi="Times New Roman" w:cs="Times New Roman"/>
          <w:sz w:val="20"/>
          <w:szCs w:val="20"/>
        </w:rPr>
        <w:t>, 142(3), 321-346.</w:t>
      </w:r>
    </w:p>
    <w:p w14:paraId="0E77B600"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Lynch, T. J., Bell, D. W., </w:t>
      </w:r>
      <w:proofErr w:type="spellStart"/>
      <w:r>
        <w:rPr>
          <w:rFonts w:ascii="Times New Roman" w:hAnsi="Times New Roman" w:cs="Times New Roman"/>
          <w:sz w:val="20"/>
          <w:szCs w:val="20"/>
        </w:rPr>
        <w:t>Sordella</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Gurubhagavatula</w:t>
      </w:r>
      <w:proofErr w:type="spellEnd"/>
      <w:r>
        <w:rPr>
          <w:rFonts w:ascii="Times New Roman" w:hAnsi="Times New Roman" w:cs="Times New Roman"/>
          <w:sz w:val="20"/>
          <w:szCs w:val="20"/>
        </w:rPr>
        <w:t xml:space="preserve">, S., Okimoto, R. A., Brannigan, B. W., … &amp; Haber, D. A. (2004). Activating mutations in the epidermal growth factor receptor underlying responsiveness of non–small-cell lung cancer to gefitinib. </w:t>
      </w:r>
      <w:r>
        <w:rPr>
          <w:rFonts w:ascii="Times New Roman" w:hAnsi="Times New Roman" w:cs="Times New Roman"/>
          <w:i/>
          <w:iCs/>
          <w:sz w:val="20"/>
          <w:szCs w:val="20"/>
        </w:rPr>
        <w:t xml:space="preserve">New </w:t>
      </w:r>
      <w:r>
        <w:rPr>
          <w:rFonts w:ascii="Times New Roman" w:hAnsi="Times New Roman" w:cs="Times New Roman"/>
          <w:i/>
          <w:iCs/>
          <w:sz w:val="20"/>
          <w:szCs w:val="20"/>
        </w:rPr>
        <w:t>England Journal of Medicine</w:t>
      </w:r>
      <w:r>
        <w:rPr>
          <w:rFonts w:ascii="Times New Roman" w:hAnsi="Times New Roman" w:cs="Times New Roman"/>
          <w:sz w:val="20"/>
          <w:szCs w:val="20"/>
        </w:rPr>
        <w:t>, 350(21), 2129-2139.</w:t>
      </w:r>
    </w:p>
    <w:p w14:paraId="218DC5CA"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Malhotra, J., Malvezzi, M., Negri, E., La Vecchia, C., &amp; </w:t>
      </w:r>
      <w:proofErr w:type="spellStart"/>
      <w:r>
        <w:rPr>
          <w:rFonts w:ascii="Times New Roman" w:hAnsi="Times New Roman" w:cs="Times New Roman"/>
          <w:sz w:val="20"/>
          <w:szCs w:val="20"/>
        </w:rPr>
        <w:t>Boffetta</w:t>
      </w:r>
      <w:proofErr w:type="spellEnd"/>
      <w:r>
        <w:rPr>
          <w:rFonts w:ascii="Times New Roman" w:hAnsi="Times New Roman" w:cs="Times New Roman"/>
          <w:sz w:val="20"/>
          <w:szCs w:val="20"/>
        </w:rPr>
        <w:t xml:space="preserve">, P. (2016). Risk factors for lung cancer worldwide. </w:t>
      </w:r>
      <w:r>
        <w:rPr>
          <w:rFonts w:ascii="Times New Roman" w:hAnsi="Times New Roman" w:cs="Times New Roman"/>
          <w:i/>
          <w:iCs/>
          <w:sz w:val="20"/>
          <w:szCs w:val="20"/>
        </w:rPr>
        <w:t>European Respiratory Journal</w:t>
      </w:r>
      <w:r>
        <w:rPr>
          <w:rFonts w:ascii="Times New Roman" w:hAnsi="Times New Roman" w:cs="Times New Roman"/>
          <w:sz w:val="20"/>
          <w:szCs w:val="20"/>
        </w:rPr>
        <w:t>, 48(3), 889-902.</w:t>
      </w:r>
    </w:p>
    <w:p w14:paraId="56E99B2A"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Mok, T. S., Wu, Y. L., Ahn, M. J., </w:t>
      </w:r>
      <w:proofErr w:type="spellStart"/>
      <w:r>
        <w:rPr>
          <w:rFonts w:ascii="Times New Roman" w:hAnsi="Times New Roman" w:cs="Times New Roman"/>
          <w:sz w:val="20"/>
          <w:szCs w:val="20"/>
        </w:rPr>
        <w:t>Garassin</w:t>
      </w:r>
      <w:r>
        <w:rPr>
          <w:rFonts w:ascii="Times New Roman" w:hAnsi="Times New Roman" w:cs="Times New Roman"/>
          <w:sz w:val="20"/>
          <w:szCs w:val="20"/>
        </w:rPr>
        <w:t>o</w:t>
      </w:r>
      <w:proofErr w:type="spellEnd"/>
      <w:r>
        <w:rPr>
          <w:rFonts w:ascii="Times New Roman" w:hAnsi="Times New Roman" w:cs="Times New Roman"/>
          <w:sz w:val="20"/>
          <w:szCs w:val="20"/>
        </w:rPr>
        <w:t xml:space="preserve">, M. C., Kim, H. R., Ramalingam, S. S., … &amp; </w:t>
      </w:r>
      <w:proofErr w:type="spellStart"/>
      <w:r>
        <w:rPr>
          <w:rFonts w:ascii="Times New Roman" w:hAnsi="Times New Roman" w:cs="Times New Roman"/>
          <w:sz w:val="20"/>
          <w:szCs w:val="20"/>
        </w:rPr>
        <w:t>Papadimitrakopoulou</w:t>
      </w:r>
      <w:proofErr w:type="spellEnd"/>
      <w:r>
        <w:rPr>
          <w:rFonts w:ascii="Times New Roman" w:hAnsi="Times New Roman" w:cs="Times New Roman"/>
          <w:sz w:val="20"/>
          <w:szCs w:val="20"/>
        </w:rPr>
        <w:t xml:space="preserve">, V. A. (2015). Osimertinib or platinum–pemetrexed in EGFR T790M–positive lung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376(7), 629-640.</w:t>
      </w:r>
    </w:p>
    <w:p w14:paraId="5AF290B8"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Moreira, A. L., Ocampo, P. S., Xia, Y., Zhong, H., Russ</w:t>
      </w:r>
      <w:r>
        <w:rPr>
          <w:rFonts w:ascii="Times New Roman" w:hAnsi="Times New Roman" w:cs="Times New Roman"/>
          <w:sz w:val="20"/>
          <w:szCs w:val="20"/>
        </w:rPr>
        <w:t xml:space="preserve">ell, P. A., Minami, Y., … &amp; Travis, W. D. (2020). A grading system for invasive pulmonary adenocarcinoma: a proposal from the International Association for the Study of Lung Cancer Pathology Committee. </w:t>
      </w:r>
      <w:r>
        <w:rPr>
          <w:rFonts w:ascii="Times New Roman" w:hAnsi="Times New Roman" w:cs="Times New Roman"/>
          <w:i/>
          <w:iCs/>
          <w:sz w:val="20"/>
          <w:szCs w:val="20"/>
        </w:rPr>
        <w:t>Journal of Thoracic Oncology</w:t>
      </w:r>
      <w:r>
        <w:rPr>
          <w:rFonts w:ascii="Times New Roman" w:hAnsi="Times New Roman" w:cs="Times New Roman"/>
          <w:sz w:val="20"/>
          <w:szCs w:val="20"/>
        </w:rPr>
        <w:t>, 15(10), 1599-1610.</w:t>
      </w:r>
    </w:p>
    <w:p w14:paraId="26A6C35A"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Newma</w:t>
      </w:r>
      <w:r>
        <w:rPr>
          <w:rFonts w:ascii="Times New Roman" w:hAnsi="Times New Roman" w:cs="Times New Roman"/>
          <w:sz w:val="20"/>
          <w:szCs w:val="20"/>
        </w:rPr>
        <w:t xml:space="preserve">n, A. M., Bratman, S. V., To, J., Wynne, J. F., Eclov, N. C., Modlin, L. A., … &amp; Alizadeh, A. A. (2016). An ultrasensitive method for quantitating circulating tumor DNA with broad patient coverage. </w:t>
      </w:r>
      <w:r>
        <w:rPr>
          <w:rFonts w:ascii="Times New Roman" w:hAnsi="Times New Roman" w:cs="Times New Roman"/>
          <w:i/>
          <w:iCs/>
          <w:sz w:val="20"/>
          <w:szCs w:val="20"/>
        </w:rPr>
        <w:t>Nature Medicine</w:t>
      </w:r>
      <w:r>
        <w:rPr>
          <w:rFonts w:ascii="Times New Roman" w:hAnsi="Times New Roman" w:cs="Times New Roman"/>
          <w:sz w:val="20"/>
          <w:szCs w:val="20"/>
        </w:rPr>
        <w:t>, 20(5), 548-554.</w:t>
      </w:r>
    </w:p>
    <w:p w14:paraId="66A12BBC"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Oxnard, G. R., </w:t>
      </w:r>
      <w:proofErr w:type="spellStart"/>
      <w:r>
        <w:rPr>
          <w:rFonts w:ascii="Times New Roman" w:hAnsi="Times New Roman" w:cs="Times New Roman"/>
          <w:sz w:val="20"/>
          <w:szCs w:val="20"/>
        </w:rPr>
        <w:t>Paweletz</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C. P., Kuang, Y., Mach, S. L., O’Connell, A., Messineo, M. M., … &amp; </w:t>
      </w:r>
      <w:proofErr w:type="spellStart"/>
      <w:r>
        <w:rPr>
          <w:rFonts w:ascii="Times New Roman" w:hAnsi="Times New Roman" w:cs="Times New Roman"/>
          <w:sz w:val="20"/>
          <w:szCs w:val="20"/>
        </w:rPr>
        <w:t>Jänne</w:t>
      </w:r>
      <w:proofErr w:type="spellEnd"/>
      <w:r>
        <w:rPr>
          <w:rFonts w:ascii="Times New Roman" w:hAnsi="Times New Roman" w:cs="Times New Roman"/>
          <w:sz w:val="20"/>
          <w:szCs w:val="20"/>
        </w:rPr>
        <w:t xml:space="preserve">, P. A. (2014). Noninvasive detection of response and resistance in EGFR-mutant lung cancer using quantitative next-generation genotyping of cell-free plasma DNA. </w:t>
      </w:r>
      <w:r>
        <w:rPr>
          <w:rFonts w:ascii="Times New Roman" w:hAnsi="Times New Roman" w:cs="Times New Roman"/>
          <w:i/>
          <w:iCs/>
          <w:sz w:val="20"/>
          <w:szCs w:val="20"/>
        </w:rPr>
        <w:t>Clinical Cancer Resea</w:t>
      </w:r>
      <w:r>
        <w:rPr>
          <w:rFonts w:ascii="Times New Roman" w:hAnsi="Times New Roman" w:cs="Times New Roman"/>
          <w:i/>
          <w:iCs/>
          <w:sz w:val="20"/>
          <w:szCs w:val="20"/>
        </w:rPr>
        <w:t>rch</w:t>
      </w:r>
      <w:r>
        <w:rPr>
          <w:rFonts w:ascii="Times New Roman" w:hAnsi="Times New Roman" w:cs="Times New Roman"/>
          <w:sz w:val="20"/>
          <w:szCs w:val="20"/>
        </w:rPr>
        <w:t>, 20(6), 1698-1705.</w:t>
      </w:r>
    </w:p>
    <w:p w14:paraId="5017B58B"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Parkin, D. M., Bray, F., </w:t>
      </w:r>
      <w:proofErr w:type="spellStart"/>
      <w:r>
        <w:rPr>
          <w:rFonts w:ascii="Times New Roman" w:hAnsi="Times New Roman" w:cs="Times New Roman"/>
          <w:sz w:val="20"/>
          <w:szCs w:val="20"/>
        </w:rPr>
        <w:t>Ferlay</w:t>
      </w:r>
      <w:proofErr w:type="spellEnd"/>
      <w:r>
        <w:rPr>
          <w:rFonts w:ascii="Times New Roman" w:hAnsi="Times New Roman" w:cs="Times New Roman"/>
          <w:sz w:val="20"/>
          <w:szCs w:val="20"/>
        </w:rPr>
        <w:t xml:space="preserve">, J., &amp; Pisani, P. (2005). Global cancer statistics, 2002. </w:t>
      </w:r>
      <w:r>
        <w:rPr>
          <w:rFonts w:ascii="Times New Roman" w:hAnsi="Times New Roman" w:cs="Times New Roman"/>
          <w:i/>
          <w:iCs/>
          <w:sz w:val="20"/>
          <w:szCs w:val="20"/>
        </w:rPr>
        <w:t>CA: A Cancer Journal for Clinicians</w:t>
      </w:r>
      <w:r>
        <w:rPr>
          <w:rFonts w:ascii="Times New Roman" w:hAnsi="Times New Roman" w:cs="Times New Roman"/>
          <w:sz w:val="20"/>
          <w:szCs w:val="20"/>
        </w:rPr>
        <w:t>, 55(2), 74-108.</w:t>
      </w:r>
    </w:p>
    <w:p w14:paraId="389C8511" w14:textId="77777777" w:rsidR="005179CE" w:rsidRDefault="00A8738B">
      <w:pPr>
        <w:pStyle w:val="BodyText"/>
        <w:spacing w:line="240" w:lineRule="auto"/>
        <w:rPr>
          <w:rFonts w:ascii="Times New Roman" w:hAnsi="Times New Roman" w:cs="Times New Roman"/>
          <w:sz w:val="20"/>
          <w:szCs w:val="20"/>
        </w:rPr>
      </w:pPr>
      <w:proofErr w:type="spellStart"/>
      <w:r>
        <w:rPr>
          <w:rFonts w:ascii="Times New Roman" w:hAnsi="Times New Roman" w:cs="Times New Roman"/>
          <w:sz w:val="20"/>
          <w:szCs w:val="20"/>
        </w:rPr>
        <w:t>Pelosof</w:t>
      </w:r>
      <w:proofErr w:type="spellEnd"/>
      <w:r>
        <w:rPr>
          <w:rFonts w:ascii="Times New Roman" w:hAnsi="Times New Roman" w:cs="Times New Roman"/>
          <w:sz w:val="20"/>
          <w:szCs w:val="20"/>
        </w:rPr>
        <w:t xml:space="preserve">, L., Ahn, C., Gao, A., Horn, L., Madrigal, E., Cox, J., … &amp; Carbone, D. P. (2017). </w:t>
      </w:r>
      <w:r>
        <w:rPr>
          <w:rFonts w:ascii="Times New Roman" w:hAnsi="Times New Roman" w:cs="Times New Roman"/>
          <w:sz w:val="20"/>
          <w:szCs w:val="20"/>
        </w:rPr>
        <w:t xml:space="preserve">Proportion of never-smoker non-small cell lung cancer patients at three diverse institutions. </w:t>
      </w:r>
      <w:r>
        <w:rPr>
          <w:rFonts w:ascii="Times New Roman" w:hAnsi="Times New Roman" w:cs="Times New Roman"/>
          <w:i/>
          <w:iCs/>
          <w:sz w:val="20"/>
          <w:szCs w:val="20"/>
        </w:rPr>
        <w:t>Journal of the National Cancer Institute</w:t>
      </w:r>
      <w:r>
        <w:rPr>
          <w:rFonts w:ascii="Times New Roman" w:hAnsi="Times New Roman" w:cs="Times New Roman"/>
          <w:sz w:val="20"/>
          <w:szCs w:val="20"/>
        </w:rPr>
        <w:t>, 109(7), djw295.</w:t>
      </w:r>
    </w:p>
    <w:p w14:paraId="67A9A268"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Pirker, R., Pereira, J. R., </w:t>
      </w:r>
      <w:proofErr w:type="spellStart"/>
      <w:r>
        <w:rPr>
          <w:rFonts w:ascii="Times New Roman" w:hAnsi="Times New Roman" w:cs="Times New Roman"/>
          <w:sz w:val="20"/>
          <w:szCs w:val="20"/>
        </w:rPr>
        <w:t>Szczesna</w:t>
      </w:r>
      <w:proofErr w:type="spellEnd"/>
      <w:r>
        <w:rPr>
          <w:rFonts w:ascii="Times New Roman" w:hAnsi="Times New Roman" w:cs="Times New Roman"/>
          <w:sz w:val="20"/>
          <w:szCs w:val="20"/>
        </w:rPr>
        <w:t xml:space="preserve">, A., von Pawel, J., </w:t>
      </w:r>
      <w:proofErr w:type="spellStart"/>
      <w:r>
        <w:rPr>
          <w:rFonts w:ascii="Times New Roman" w:hAnsi="Times New Roman" w:cs="Times New Roman"/>
          <w:sz w:val="20"/>
          <w:szCs w:val="20"/>
        </w:rPr>
        <w:t>Krzakowski</w:t>
      </w:r>
      <w:proofErr w:type="spellEnd"/>
      <w:r>
        <w:rPr>
          <w:rFonts w:ascii="Times New Roman" w:hAnsi="Times New Roman" w:cs="Times New Roman"/>
          <w:sz w:val="20"/>
          <w:szCs w:val="20"/>
        </w:rPr>
        <w:t xml:space="preserve">, M., Ramlau, R., … &amp; </w:t>
      </w:r>
      <w:proofErr w:type="spellStart"/>
      <w:r>
        <w:rPr>
          <w:rFonts w:ascii="Times New Roman" w:hAnsi="Times New Roman" w:cs="Times New Roman"/>
          <w:sz w:val="20"/>
          <w:szCs w:val="20"/>
        </w:rPr>
        <w:t>Gatzemeier</w:t>
      </w:r>
      <w:proofErr w:type="spellEnd"/>
      <w:r>
        <w:rPr>
          <w:rFonts w:ascii="Times New Roman" w:hAnsi="Times New Roman" w:cs="Times New Roman"/>
          <w:sz w:val="20"/>
          <w:szCs w:val="20"/>
        </w:rPr>
        <w:t xml:space="preserve">, U. </w:t>
      </w:r>
      <w:r>
        <w:rPr>
          <w:rFonts w:ascii="Times New Roman" w:hAnsi="Times New Roman" w:cs="Times New Roman"/>
          <w:sz w:val="20"/>
          <w:szCs w:val="20"/>
        </w:rPr>
        <w:t xml:space="preserve">(2009). Cetuximab plus chemotherapy in patients with advanced non-small-cell lung cancer (FLEX): an open-label </w:t>
      </w:r>
      <w:proofErr w:type="spellStart"/>
      <w:r>
        <w:rPr>
          <w:rFonts w:ascii="Times New Roman" w:hAnsi="Times New Roman" w:cs="Times New Roman"/>
          <w:sz w:val="20"/>
          <w:szCs w:val="20"/>
        </w:rPr>
        <w:t>randomised</w:t>
      </w:r>
      <w:proofErr w:type="spellEnd"/>
      <w:r>
        <w:rPr>
          <w:rFonts w:ascii="Times New Roman" w:hAnsi="Times New Roman" w:cs="Times New Roman"/>
          <w:sz w:val="20"/>
          <w:szCs w:val="20"/>
        </w:rPr>
        <w:t xml:space="preserve"> phase III trial. </w:t>
      </w:r>
      <w:r>
        <w:rPr>
          <w:rFonts w:ascii="Times New Roman" w:hAnsi="Times New Roman" w:cs="Times New Roman"/>
          <w:i/>
          <w:iCs/>
          <w:sz w:val="20"/>
          <w:szCs w:val="20"/>
        </w:rPr>
        <w:t>The Lancet</w:t>
      </w:r>
      <w:r>
        <w:rPr>
          <w:rFonts w:ascii="Times New Roman" w:hAnsi="Times New Roman" w:cs="Times New Roman"/>
          <w:sz w:val="20"/>
          <w:szCs w:val="20"/>
        </w:rPr>
        <w:t>, 373(9674), 1525-1531.</w:t>
      </w:r>
    </w:p>
    <w:p w14:paraId="71C869B0" w14:textId="77777777" w:rsidR="005179CE" w:rsidRDefault="00A8738B">
      <w:pPr>
        <w:pStyle w:val="BodyText"/>
        <w:spacing w:line="240" w:lineRule="auto"/>
        <w:rPr>
          <w:rFonts w:ascii="Times New Roman" w:hAnsi="Times New Roman" w:cs="Times New Roman"/>
          <w:sz w:val="20"/>
          <w:szCs w:val="20"/>
        </w:rPr>
      </w:pPr>
      <w:proofErr w:type="spellStart"/>
      <w:r>
        <w:rPr>
          <w:rFonts w:ascii="Times New Roman" w:hAnsi="Times New Roman" w:cs="Times New Roman"/>
          <w:sz w:val="20"/>
          <w:szCs w:val="20"/>
        </w:rPr>
        <w:lastRenderedPageBreak/>
        <w:t>Rekhtman</w:t>
      </w:r>
      <w:proofErr w:type="spellEnd"/>
      <w:r>
        <w:rPr>
          <w:rFonts w:ascii="Times New Roman" w:hAnsi="Times New Roman" w:cs="Times New Roman"/>
          <w:sz w:val="20"/>
          <w:szCs w:val="20"/>
        </w:rPr>
        <w:t>, N., Ang, D. C., Sima, C. S., Travis, W. D., &amp; Moreira, A. L. (2010). Immu</w:t>
      </w:r>
      <w:r>
        <w:rPr>
          <w:rFonts w:ascii="Times New Roman" w:hAnsi="Times New Roman" w:cs="Times New Roman"/>
          <w:sz w:val="20"/>
          <w:szCs w:val="20"/>
        </w:rPr>
        <w:t xml:space="preserve">nohistochemical algorithm for differentiation of lung adenocarcinoma and squamous cell carcinoma based on large series of whole-tissue sections with validation in small specimens. </w:t>
      </w:r>
      <w:r>
        <w:rPr>
          <w:rFonts w:ascii="Times New Roman" w:hAnsi="Times New Roman" w:cs="Times New Roman"/>
          <w:i/>
          <w:iCs/>
          <w:sz w:val="20"/>
          <w:szCs w:val="20"/>
        </w:rPr>
        <w:t>Modern Pathology</w:t>
      </w:r>
      <w:r>
        <w:rPr>
          <w:rFonts w:ascii="Times New Roman" w:hAnsi="Times New Roman" w:cs="Times New Roman"/>
          <w:sz w:val="20"/>
          <w:szCs w:val="20"/>
        </w:rPr>
        <w:t>, 23(12), 1693-1702.</w:t>
      </w:r>
    </w:p>
    <w:p w14:paraId="308B7315" w14:textId="77777777" w:rsidR="005179CE" w:rsidRDefault="00A8738B">
      <w:pPr>
        <w:pStyle w:val="BodyText"/>
        <w:spacing w:line="240" w:lineRule="auto"/>
        <w:rPr>
          <w:rFonts w:ascii="Times New Roman" w:hAnsi="Times New Roman" w:cs="Times New Roman"/>
          <w:sz w:val="20"/>
          <w:szCs w:val="20"/>
        </w:rPr>
      </w:pPr>
      <w:proofErr w:type="spellStart"/>
      <w:r>
        <w:rPr>
          <w:rFonts w:ascii="Times New Roman" w:hAnsi="Times New Roman" w:cs="Times New Roman"/>
          <w:sz w:val="20"/>
          <w:szCs w:val="20"/>
        </w:rPr>
        <w:t>Rekhtman</w:t>
      </w:r>
      <w:proofErr w:type="spellEnd"/>
      <w:r>
        <w:rPr>
          <w:rFonts w:ascii="Times New Roman" w:hAnsi="Times New Roman" w:cs="Times New Roman"/>
          <w:sz w:val="20"/>
          <w:szCs w:val="20"/>
        </w:rPr>
        <w:t>, N., Paik, P. K., Arcila, M. E</w:t>
      </w:r>
      <w:r>
        <w:rPr>
          <w:rFonts w:ascii="Times New Roman" w:hAnsi="Times New Roman" w:cs="Times New Roman"/>
          <w:sz w:val="20"/>
          <w:szCs w:val="20"/>
        </w:rPr>
        <w:t xml:space="preserve">., Tafe, L. J., Oxnard, G. R., Moreira, A. L., … &amp; Ladanyi, M. (2012). Clarifying the spectrum of driver oncogene mutations in biomarker-verified squamous carcinoma of lung: lack of EGFR/KRAS and presence of PIK3CA/AKT1 mutations. </w:t>
      </w:r>
      <w:r>
        <w:rPr>
          <w:rFonts w:ascii="Times New Roman" w:hAnsi="Times New Roman" w:cs="Times New Roman"/>
          <w:i/>
          <w:iCs/>
          <w:sz w:val="20"/>
          <w:szCs w:val="20"/>
        </w:rPr>
        <w:t>Clinical Cancer Research</w:t>
      </w:r>
      <w:r>
        <w:rPr>
          <w:rFonts w:ascii="Times New Roman" w:hAnsi="Times New Roman" w:cs="Times New Roman"/>
          <w:sz w:val="20"/>
          <w:szCs w:val="20"/>
        </w:rPr>
        <w:t>,</w:t>
      </w:r>
      <w:r>
        <w:rPr>
          <w:rFonts w:ascii="Times New Roman" w:hAnsi="Times New Roman" w:cs="Times New Roman"/>
          <w:sz w:val="20"/>
          <w:szCs w:val="20"/>
        </w:rPr>
        <w:t xml:space="preserve"> 18(4), 1167-1176.</w:t>
      </w:r>
    </w:p>
    <w:p w14:paraId="70CAC711"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Rizvi, N. A., Hellmann, M. D., Snyder, A., Kvistborg, P., Makarov, V., Havel, J. J., … &amp; Chan, T. A. (2015). Mutational landscape determines sensitivity to PD-1 blockade in non–small cell lung cancer. </w:t>
      </w:r>
      <w:r>
        <w:rPr>
          <w:rFonts w:ascii="Times New Roman" w:hAnsi="Times New Roman" w:cs="Times New Roman"/>
          <w:i/>
          <w:iCs/>
          <w:sz w:val="20"/>
          <w:szCs w:val="20"/>
        </w:rPr>
        <w:t>Science</w:t>
      </w:r>
      <w:r>
        <w:rPr>
          <w:rFonts w:ascii="Times New Roman" w:hAnsi="Times New Roman" w:cs="Times New Roman"/>
          <w:sz w:val="20"/>
          <w:szCs w:val="20"/>
        </w:rPr>
        <w:t>, 348(6230), 124-128.</w:t>
      </w:r>
    </w:p>
    <w:p w14:paraId="2E43BA3B"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Rodig, </w:t>
      </w:r>
      <w:r>
        <w:rPr>
          <w:rFonts w:ascii="Times New Roman" w:hAnsi="Times New Roman" w:cs="Times New Roman"/>
          <w:sz w:val="20"/>
          <w:szCs w:val="20"/>
        </w:rPr>
        <w:t>S. J., Mino-</w:t>
      </w:r>
      <w:proofErr w:type="spellStart"/>
      <w:r>
        <w:rPr>
          <w:rFonts w:ascii="Times New Roman" w:hAnsi="Times New Roman" w:cs="Times New Roman"/>
          <w:sz w:val="20"/>
          <w:szCs w:val="20"/>
        </w:rPr>
        <w:t>Kenudson</w:t>
      </w:r>
      <w:proofErr w:type="spellEnd"/>
      <w:r>
        <w:rPr>
          <w:rFonts w:ascii="Times New Roman" w:hAnsi="Times New Roman" w:cs="Times New Roman"/>
          <w:sz w:val="20"/>
          <w:szCs w:val="20"/>
        </w:rPr>
        <w:t xml:space="preserve">, M., Dacic, S., Yeap, B. Y., Shaw, A., Barletta, J. A., … &amp; Iafrate, A. J. (2009). Unique clinicopathologic features characterize ALK-rearranged lung adenocarcinoma in the western population. </w:t>
      </w:r>
      <w:r>
        <w:rPr>
          <w:rFonts w:ascii="Times New Roman" w:hAnsi="Times New Roman" w:cs="Times New Roman"/>
          <w:i/>
          <w:iCs/>
          <w:sz w:val="20"/>
          <w:szCs w:val="20"/>
        </w:rPr>
        <w:t>Clinical Cancer Research</w:t>
      </w:r>
      <w:r>
        <w:rPr>
          <w:rFonts w:ascii="Times New Roman" w:hAnsi="Times New Roman" w:cs="Times New Roman"/>
          <w:sz w:val="20"/>
          <w:szCs w:val="20"/>
        </w:rPr>
        <w:t>, 15(16), 5216-5223</w:t>
      </w:r>
      <w:r>
        <w:rPr>
          <w:rFonts w:ascii="Times New Roman" w:hAnsi="Times New Roman" w:cs="Times New Roman"/>
          <w:sz w:val="20"/>
          <w:szCs w:val="20"/>
        </w:rPr>
        <w:t>.</w:t>
      </w:r>
    </w:p>
    <w:p w14:paraId="774C485D"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Rosell, R., </w:t>
      </w:r>
      <w:proofErr w:type="spellStart"/>
      <w:r>
        <w:rPr>
          <w:rFonts w:ascii="Times New Roman" w:hAnsi="Times New Roman" w:cs="Times New Roman"/>
          <w:sz w:val="20"/>
          <w:szCs w:val="20"/>
        </w:rPr>
        <w:t>Carcereny</w:t>
      </w:r>
      <w:proofErr w:type="spellEnd"/>
      <w:r>
        <w:rPr>
          <w:rFonts w:ascii="Times New Roman" w:hAnsi="Times New Roman" w:cs="Times New Roman"/>
          <w:sz w:val="20"/>
          <w:szCs w:val="20"/>
        </w:rPr>
        <w:t xml:space="preserve">, E., Gervais, R., </w:t>
      </w:r>
      <w:proofErr w:type="spellStart"/>
      <w:r>
        <w:rPr>
          <w:rFonts w:ascii="Times New Roman" w:hAnsi="Times New Roman" w:cs="Times New Roman"/>
          <w:sz w:val="20"/>
          <w:szCs w:val="20"/>
        </w:rPr>
        <w:t>Vergnenegre</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Massuti</w:t>
      </w:r>
      <w:proofErr w:type="spellEnd"/>
      <w:r>
        <w:rPr>
          <w:rFonts w:ascii="Times New Roman" w:hAnsi="Times New Roman" w:cs="Times New Roman"/>
          <w:sz w:val="20"/>
          <w:szCs w:val="20"/>
        </w:rPr>
        <w:t>, B., Felip, E., … &amp; Paz-Ares, L. (2012). Erlotinib versus standard chemotherapy as first-line treatment for European patients with advanced EGFR mutation-positive non-small-cell lung cancer</w:t>
      </w:r>
      <w:r>
        <w:rPr>
          <w:rFonts w:ascii="Times New Roman" w:hAnsi="Times New Roman" w:cs="Times New Roman"/>
          <w:sz w:val="20"/>
          <w:szCs w:val="20"/>
        </w:rPr>
        <w:t xml:space="preserve"> (EURTAC): a </w:t>
      </w:r>
      <w:proofErr w:type="spellStart"/>
      <w:r>
        <w:rPr>
          <w:rFonts w:ascii="Times New Roman" w:hAnsi="Times New Roman" w:cs="Times New Roman"/>
          <w:sz w:val="20"/>
          <w:szCs w:val="20"/>
        </w:rPr>
        <w:t>multicentre</w:t>
      </w:r>
      <w:proofErr w:type="spellEnd"/>
      <w:r>
        <w:rPr>
          <w:rFonts w:ascii="Times New Roman" w:hAnsi="Times New Roman" w:cs="Times New Roman"/>
          <w:sz w:val="20"/>
          <w:szCs w:val="20"/>
        </w:rPr>
        <w:t xml:space="preserve">, open-label, </w:t>
      </w:r>
      <w:proofErr w:type="spellStart"/>
      <w:r>
        <w:rPr>
          <w:rFonts w:ascii="Times New Roman" w:hAnsi="Times New Roman" w:cs="Times New Roman"/>
          <w:sz w:val="20"/>
          <w:szCs w:val="20"/>
        </w:rPr>
        <w:t>randomised</w:t>
      </w:r>
      <w:proofErr w:type="spellEnd"/>
      <w:r>
        <w:rPr>
          <w:rFonts w:ascii="Times New Roman" w:hAnsi="Times New Roman" w:cs="Times New Roman"/>
          <w:sz w:val="20"/>
          <w:szCs w:val="20"/>
        </w:rPr>
        <w:t xml:space="preserve"> phase 3 trial. </w:t>
      </w:r>
      <w:r>
        <w:rPr>
          <w:rFonts w:ascii="Times New Roman" w:hAnsi="Times New Roman" w:cs="Times New Roman"/>
          <w:i/>
          <w:iCs/>
          <w:sz w:val="20"/>
          <w:szCs w:val="20"/>
        </w:rPr>
        <w:t>The Lancet Oncology</w:t>
      </w:r>
      <w:r>
        <w:rPr>
          <w:rFonts w:ascii="Times New Roman" w:hAnsi="Times New Roman" w:cs="Times New Roman"/>
          <w:sz w:val="20"/>
          <w:szCs w:val="20"/>
        </w:rPr>
        <w:t>, 13(3), 239-246.</w:t>
      </w:r>
    </w:p>
    <w:p w14:paraId="44811D4F"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Rossi, G., </w:t>
      </w:r>
      <w:proofErr w:type="spellStart"/>
      <w:r>
        <w:rPr>
          <w:rFonts w:ascii="Times New Roman" w:hAnsi="Times New Roman" w:cs="Times New Roman"/>
          <w:sz w:val="20"/>
          <w:szCs w:val="20"/>
        </w:rPr>
        <w:t>Cavazza</w:t>
      </w:r>
      <w:proofErr w:type="spellEnd"/>
      <w:r>
        <w:rPr>
          <w:rFonts w:ascii="Times New Roman" w:hAnsi="Times New Roman" w:cs="Times New Roman"/>
          <w:sz w:val="20"/>
          <w:szCs w:val="20"/>
        </w:rPr>
        <w:t xml:space="preserve">, A., Sturm, N., </w:t>
      </w:r>
      <w:proofErr w:type="spellStart"/>
      <w:r>
        <w:rPr>
          <w:rFonts w:ascii="Times New Roman" w:hAnsi="Times New Roman" w:cs="Times New Roman"/>
          <w:sz w:val="20"/>
          <w:szCs w:val="20"/>
        </w:rPr>
        <w:t>Migaldi</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Facciolongo</w:t>
      </w:r>
      <w:proofErr w:type="spellEnd"/>
      <w:r>
        <w:rPr>
          <w:rFonts w:ascii="Times New Roman" w:hAnsi="Times New Roman" w:cs="Times New Roman"/>
          <w:sz w:val="20"/>
          <w:szCs w:val="20"/>
        </w:rPr>
        <w:t xml:space="preserve">, N., Longo, L., … &amp; Brambilla, E. (2003). Pulmonary carcinomas with pleomorphic, </w:t>
      </w:r>
      <w:proofErr w:type="spellStart"/>
      <w:r>
        <w:rPr>
          <w:rFonts w:ascii="Times New Roman" w:hAnsi="Times New Roman" w:cs="Times New Roman"/>
          <w:sz w:val="20"/>
          <w:szCs w:val="20"/>
        </w:rPr>
        <w:t>sarcomatoid</w:t>
      </w:r>
      <w:proofErr w:type="spellEnd"/>
      <w:r>
        <w:rPr>
          <w:rFonts w:ascii="Times New Roman" w:hAnsi="Times New Roman" w:cs="Times New Roman"/>
          <w:sz w:val="20"/>
          <w:szCs w:val="20"/>
        </w:rPr>
        <w:t>, o</w:t>
      </w:r>
      <w:r>
        <w:rPr>
          <w:rFonts w:ascii="Times New Roman" w:hAnsi="Times New Roman" w:cs="Times New Roman"/>
          <w:sz w:val="20"/>
          <w:szCs w:val="20"/>
        </w:rPr>
        <w:t xml:space="preserve">r sarcomatous elements: a clinicopathologic and immunohistochemical study of 75 cases.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27(3), 311-324.</w:t>
      </w:r>
    </w:p>
    <w:p w14:paraId="284E2D8D"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Rotow, J., &amp; Bivona, T. G. (2017). Understanding and targeting resistance mechanisms in NSCLC. </w:t>
      </w:r>
      <w:r>
        <w:rPr>
          <w:rFonts w:ascii="Times New Roman" w:hAnsi="Times New Roman" w:cs="Times New Roman"/>
          <w:i/>
          <w:iCs/>
          <w:sz w:val="20"/>
          <w:szCs w:val="20"/>
        </w:rPr>
        <w:t>Nature Reviews Can</w:t>
      </w:r>
      <w:r>
        <w:rPr>
          <w:rFonts w:ascii="Times New Roman" w:hAnsi="Times New Roman" w:cs="Times New Roman"/>
          <w:i/>
          <w:iCs/>
          <w:sz w:val="20"/>
          <w:szCs w:val="20"/>
        </w:rPr>
        <w:t>cer</w:t>
      </w:r>
      <w:r>
        <w:rPr>
          <w:rFonts w:ascii="Times New Roman" w:hAnsi="Times New Roman" w:cs="Times New Roman"/>
          <w:sz w:val="20"/>
          <w:szCs w:val="20"/>
        </w:rPr>
        <w:t>, 17(11), 637-658.</w:t>
      </w:r>
    </w:p>
    <w:p w14:paraId="5A36497F"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Russell, P. A., Wainer, Z., Wright, G. M., Daniels, M., Conron, M., &amp; Williams, R. A. (2011). Does lung adenocarcinoma subtype predict patient </w:t>
      </w:r>
      <w:proofErr w:type="gramStart"/>
      <w:r>
        <w:rPr>
          <w:rFonts w:ascii="Times New Roman" w:hAnsi="Times New Roman" w:cs="Times New Roman"/>
          <w:sz w:val="20"/>
          <w:szCs w:val="20"/>
        </w:rPr>
        <w:t>survival?:</w:t>
      </w:r>
      <w:proofErr w:type="gramEnd"/>
      <w:r>
        <w:rPr>
          <w:rFonts w:ascii="Times New Roman" w:hAnsi="Times New Roman" w:cs="Times New Roman"/>
          <w:sz w:val="20"/>
          <w:szCs w:val="20"/>
        </w:rPr>
        <w:t xml:space="preserve"> a clinicopathologic study based on the new International Association for the Stu</w:t>
      </w:r>
      <w:r>
        <w:rPr>
          <w:rFonts w:ascii="Times New Roman" w:hAnsi="Times New Roman" w:cs="Times New Roman"/>
          <w:sz w:val="20"/>
          <w:szCs w:val="20"/>
        </w:rPr>
        <w:t xml:space="preserve">dy of Lung Cancer/American Thoracic Society/European Respiratory Society international multidisciplinary lung adenocarcinoma classification. </w:t>
      </w:r>
      <w:r>
        <w:rPr>
          <w:rFonts w:ascii="Times New Roman" w:hAnsi="Times New Roman" w:cs="Times New Roman"/>
          <w:i/>
          <w:iCs/>
          <w:sz w:val="20"/>
          <w:szCs w:val="20"/>
        </w:rPr>
        <w:t>Journal of Thoracic Oncology</w:t>
      </w:r>
      <w:r>
        <w:rPr>
          <w:rFonts w:ascii="Times New Roman" w:hAnsi="Times New Roman" w:cs="Times New Roman"/>
          <w:sz w:val="20"/>
          <w:szCs w:val="20"/>
        </w:rPr>
        <w:t>, 6(9), 1496-1504.</w:t>
      </w:r>
    </w:p>
    <w:p w14:paraId="6FAE6DB7"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Samet, J. M., Avila-Tang, E., </w:t>
      </w:r>
      <w:proofErr w:type="spellStart"/>
      <w:r>
        <w:rPr>
          <w:rFonts w:ascii="Times New Roman" w:hAnsi="Times New Roman" w:cs="Times New Roman"/>
          <w:sz w:val="20"/>
          <w:szCs w:val="20"/>
        </w:rPr>
        <w:t>Boffetta</w:t>
      </w:r>
      <w:proofErr w:type="spellEnd"/>
      <w:r>
        <w:rPr>
          <w:rFonts w:ascii="Times New Roman" w:hAnsi="Times New Roman" w:cs="Times New Roman"/>
          <w:sz w:val="20"/>
          <w:szCs w:val="20"/>
        </w:rPr>
        <w:t>, P., Hannan, L. M., Olivo-Mar</w:t>
      </w:r>
      <w:r>
        <w:rPr>
          <w:rFonts w:ascii="Times New Roman" w:hAnsi="Times New Roman" w:cs="Times New Roman"/>
          <w:sz w:val="20"/>
          <w:szCs w:val="20"/>
        </w:rPr>
        <w:t xml:space="preserve">ston, S., Thun, M. J., &amp; Rudin, C. M. (2009). Lung cancer in never smokers: clinical epidemiology and environmental risk factors. </w:t>
      </w:r>
      <w:r>
        <w:rPr>
          <w:rFonts w:ascii="Times New Roman" w:hAnsi="Times New Roman" w:cs="Times New Roman"/>
          <w:i/>
          <w:iCs/>
          <w:sz w:val="20"/>
          <w:szCs w:val="20"/>
        </w:rPr>
        <w:t>Clinical Cancer Research</w:t>
      </w:r>
      <w:r>
        <w:rPr>
          <w:rFonts w:ascii="Times New Roman" w:hAnsi="Times New Roman" w:cs="Times New Roman"/>
          <w:sz w:val="20"/>
          <w:szCs w:val="20"/>
        </w:rPr>
        <w:t>, 15(18), 5626-5645.</w:t>
      </w:r>
    </w:p>
    <w:p w14:paraId="11B40ADB"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Scagliotti, G. V., Parikh, P., Von Pawel, J., </w:t>
      </w:r>
      <w:proofErr w:type="spellStart"/>
      <w:r>
        <w:rPr>
          <w:rFonts w:ascii="Times New Roman" w:hAnsi="Times New Roman" w:cs="Times New Roman"/>
          <w:sz w:val="20"/>
          <w:szCs w:val="20"/>
        </w:rPr>
        <w:t>Biesma</w:t>
      </w:r>
      <w:proofErr w:type="spellEnd"/>
      <w:r>
        <w:rPr>
          <w:rFonts w:ascii="Times New Roman" w:hAnsi="Times New Roman" w:cs="Times New Roman"/>
          <w:sz w:val="20"/>
          <w:szCs w:val="20"/>
        </w:rPr>
        <w:t>, B., Vansteenkiste, J., Mane</w:t>
      </w:r>
      <w:r>
        <w:rPr>
          <w:rFonts w:ascii="Times New Roman" w:hAnsi="Times New Roman" w:cs="Times New Roman"/>
          <w:sz w:val="20"/>
          <w:szCs w:val="20"/>
        </w:rPr>
        <w:t xml:space="preserve">gold, C., … &amp; Gans, S. (2008). Phase III study comparing cisplatin plus gemcitabine with cisplatin plus pemetrexed in chemotherapy-naive patients with advanced-stage non-small-cell lung cancer. </w:t>
      </w:r>
      <w:r>
        <w:rPr>
          <w:rFonts w:ascii="Times New Roman" w:hAnsi="Times New Roman" w:cs="Times New Roman"/>
          <w:i/>
          <w:iCs/>
          <w:sz w:val="20"/>
          <w:szCs w:val="20"/>
        </w:rPr>
        <w:t>Journal of Clinical Oncology</w:t>
      </w:r>
      <w:r>
        <w:rPr>
          <w:rFonts w:ascii="Times New Roman" w:hAnsi="Times New Roman" w:cs="Times New Roman"/>
          <w:sz w:val="20"/>
          <w:szCs w:val="20"/>
        </w:rPr>
        <w:t>, 26(21), 3543-3551.</w:t>
      </w:r>
    </w:p>
    <w:p w14:paraId="43113353" w14:textId="77777777" w:rsidR="005179CE" w:rsidRDefault="00A8738B">
      <w:pPr>
        <w:pStyle w:val="BodyText"/>
        <w:spacing w:line="240" w:lineRule="auto"/>
        <w:rPr>
          <w:rFonts w:ascii="Times New Roman" w:hAnsi="Times New Roman" w:cs="Times New Roman"/>
          <w:sz w:val="20"/>
          <w:szCs w:val="20"/>
        </w:rPr>
      </w:pPr>
      <w:proofErr w:type="spellStart"/>
      <w:r>
        <w:rPr>
          <w:rFonts w:ascii="Times New Roman" w:hAnsi="Times New Roman" w:cs="Times New Roman"/>
          <w:sz w:val="20"/>
          <w:szCs w:val="20"/>
        </w:rPr>
        <w:t>Sequist</w:t>
      </w:r>
      <w:proofErr w:type="spellEnd"/>
      <w:r>
        <w:rPr>
          <w:rFonts w:ascii="Times New Roman" w:hAnsi="Times New Roman" w:cs="Times New Roman"/>
          <w:sz w:val="20"/>
          <w:szCs w:val="20"/>
        </w:rPr>
        <w:t>, L. V</w:t>
      </w:r>
      <w:r>
        <w:rPr>
          <w:rFonts w:ascii="Times New Roman" w:hAnsi="Times New Roman" w:cs="Times New Roman"/>
          <w:sz w:val="20"/>
          <w:szCs w:val="20"/>
        </w:rPr>
        <w:t xml:space="preserve">., Waltman, B. A., Dias-Santagata, D., </w:t>
      </w:r>
      <w:proofErr w:type="spellStart"/>
      <w:r>
        <w:rPr>
          <w:rFonts w:ascii="Times New Roman" w:hAnsi="Times New Roman" w:cs="Times New Roman"/>
          <w:sz w:val="20"/>
          <w:szCs w:val="20"/>
        </w:rPr>
        <w:t>Digumarthy</w:t>
      </w:r>
      <w:proofErr w:type="spellEnd"/>
      <w:r>
        <w:rPr>
          <w:rFonts w:ascii="Times New Roman" w:hAnsi="Times New Roman" w:cs="Times New Roman"/>
          <w:sz w:val="20"/>
          <w:szCs w:val="20"/>
        </w:rPr>
        <w:t xml:space="preserve">, S., Turke, A. B., Fidias, P., … &amp; Engelman, J. A. (2011). Genotypic and histological evolution of lung cancers acquiring resistance to EGFR inhibitors. </w:t>
      </w:r>
      <w:r>
        <w:rPr>
          <w:rFonts w:ascii="Times New Roman" w:hAnsi="Times New Roman" w:cs="Times New Roman"/>
          <w:i/>
          <w:iCs/>
          <w:sz w:val="20"/>
          <w:szCs w:val="20"/>
        </w:rPr>
        <w:t>Science Translational Medicine</w:t>
      </w:r>
      <w:r>
        <w:rPr>
          <w:rFonts w:ascii="Times New Roman" w:hAnsi="Times New Roman" w:cs="Times New Roman"/>
          <w:sz w:val="20"/>
          <w:szCs w:val="20"/>
        </w:rPr>
        <w:t>, 3(75), 75ra26.</w:t>
      </w:r>
    </w:p>
    <w:p w14:paraId="05EAC0BC"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Subram</w:t>
      </w:r>
      <w:r>
        <w:rPr>
          <w:rFonts w:ascii="Times New Roman" w:hAnsi="Times New Roman" w:cs="Times New Roman"/>
          <w:sz w:val="20"/>
          <w:szCs w:val="20"/>
        </w:rPr>
        <w:t xml:space="preserve">anian, J., &amp; Govindan, R. (2007). Lung cancer in never smokers: a review. </w:t>
      </w:r>
      <w:r>
        <w:rPr>
          <w:rFonts w:ascii="Times New Roman" w:hAnsi="Times New Roman" w:cs="Times New Roman"/>
          <w:i/>
          <w:iCs/>
          <w:sz w:val="20"/>
          <w:szCs w:val="20"/>
        </w:rPr>
        <w:t>Journal of Clinical Oncology</w:t>
      </w:r>
      <w:r>
        <w:rPr>
          <w:rFonts w:ascii="Times New Roman" w:hAnsi="Times New Roman" w:cs="Times New Roman"/>
          <w:sz w:val="20"/>
          <w:szCs w:val="20"/>
        </w:rPr>
        <w:t>, 25(5), 561-570.</w:t>
      </w:r>
    </w:p>
    <w:p w14:paraId="19F0AE03"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Travis, W. D., Brambilla, E., Nicholson, A. G., Yatabe, Y., Austin, J. H., Beasley, M. B., … &amp; </w:t>
      </w:r>
      <w:proofErr w:type="spellStart"/>
      <w:r>
        <w:rPr>
          <w:rFonts w:ascii="Times New Roman" w:hAnsi="Times New Roman" w:cs="Times New Roman"/>
          <w:sz w:val="20"/>
          <w:szCs w:val="20"/>
        </w:rPr>
        <w:t>Yankelewitz</w:t>
      </w:r>
      <w:proofErr w:type="spellEnd"/>
      <w:r>
        <w:rPr>
          <w:rFonts w:ascii="Times New Roman" w:hAnsi="Times New Roman" w:cs="Times New Roman"/>
          <w:sz w:val="20"/>
          <w:szCs w:val="20"/>
        </w:rPr>
        <w:t xml:space="preserve">, D. F. (2015). The 2015 World Health Organization classification of lung tumors: impact of genetic, clinical and radiologic advances since the 2004 classification. </w:t>
      </w:r>
      <w:r>
        <w:rPr>
          <w:rFonts w:ascii="Times New Roman" w:hAnsi="Times New Roman" w:cs="Times New Roman"/>
          <w:i/>
          <w:iCs/>
          <w:sz w:val="20"/>
          <w:szCs w:val="20"/>
        </w:rPr>
        <w:t>Journal of Thoracic Oncology</w:t>
      </w:r>
      <w:r>
        <w:rPr>
          <w:rFonts w:ascii="Times New Roman" w:hAnsi="Times New Roman" w:cs="Times New Roman"/>
          <w:sz w:val="20"/>
          <w:szCs w:val="20"/>
        </w:rPr>
        <w:t>, 10(9), 1243-1260.</w:t>
      </w:r>
    </w:p>
    <w:p w14:paraId="41506808"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Turner, B. M., Cagle, P. T., Sainz, I. M., </w:t>
      </w:r>
      <w:r>
        <w:rPr>
          <w:rFonts w:ascii="Times New Roman" w:hAnsi="Times New Roman" w:cs="Times New Roman"/>
          <w:sz w:val="20"/>
          <w:szCs w:val="20"/>
        </w:rPr>
        <w:t xml:space="preserve">Fukuoka, J., Shen, S. S., &amp; Jagirdar, J. (2012). Napsin A, a functional homolog of kidney aspartic proteinase, is expressed in adenocarcinoma of the lung. </w:t>
      </w:r>
      <w:r>
        <w:rPr>
          <w:rFonts w:ascii="Times New Roman" w:hAnsi="Times New Roman" w:cs="Times New Roman"/>
          <w:i/>
          <w:iCs/>
          <w:sz w:val="20"/>
          <w:szCs w:val="20"/>
        </w:rPr>
        <w:t>Clinical Cancer Research</w:t>
      </w:r>
      <w:r>
        <w:rPr>
          <w:rFonts w:ascii="Times New Roman" w:hAnsi="Times New Roman" w:cs="Times New Roman"/>
          <w:sz w:val="20"/>
          <w:szCs w:val="20"/>
        </w:rPr>
        <w:t>, 18(16), 4387-4393.</w:t>
      </w:r>
    </w:p>
    <w:p w14:paraId="44B3C490"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Wakelee, H. A., Chang, E. T., Gomez, S. L., Keegan, T. H</w:t>
      </w:r>
      <w:r>
        <w:rPr>
          <w:rFonts w:ascii="Times New Roman" w:hAnsi="Times New Roman" w:cs="Times New Roman"/>
          <w:sz w:val="20"/>
          <w:szCs w:val="20"/>
        </w:rPr>
        <w:t xml:space="preserve">., </w:t>
      </w:r>
      <w:proofErr w:type="spellStart"/>
      <w:r>
        <w:rPr>
          <w:rFonts w:ascii="Times New Roman" w:hAnsi="Times New Roman" w:cs="Times New Roman"/>
          <w:sz w:val="20"/>
          <w:szCs w:val="20"/>
        </w:rPr>
        <w:t>Feskanich</w:t>
      </w:r>
      <w:proofErr w:type="spellEnd"/>
      <w:r>
        <w:rPr>
          <w:rFonts w:ascii="Times New Roman" w:hAnsi="Times New Roman" w:cs="Times New Roman"/>
          <w:sz w:val="20"/>
          <w:szCs w:val="20"/>
        </w:rPr>
        <w:t xml:space="preserve">, D., Clarke, C. A., … &amp; West, D. W. (2007). Lung cancer incidence in never smokers. </w:t>
      </w:r>
      <w:r>
        <w:rPr>
          <w:rFonts w:ascii="Times New Roman" w:hAnsi="Times New Roman" w:cs="Times New Roman"/>
          <w:i/>
          <w:iCs/>
          <w:sz w:val="20"/>
          <w:szCs w:val="20"/>
        </w:rPr>
        <w:t>Journal of Clinical Oncology</w:t>
      </w:r>
      <w:r>
        <w:rPr>
          <w:rFonts w:ascii="Times New Roman" w:hAnsi="Times New Roman" w:cs="Times New Roman"/>
          <w:sz w:val="20"/>
          <w:szCs w:val="20"/>
        </w:rPr>
        <w:t>, 25(5), 472-478.</w:t>
      </w:r>
    </w:p>
    <w:p w14:paraId="3F8890FE"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lastRenderedPageBreak/>
        <w:t>Warth, A., Muley, T., Meister, M., Stenzinger, A., Thomas, M., Schirmacher, P., … &amp; Weichert, W. (2012). The nove</w:t>
      </w:r>
      <w:r>
        <w:rPr>
          <w:rFonts w:ascii="Times New Roman" w:hAnsi="Times New Roman" w:cs="Times New Roman"/>
          <w:sz w:val="20"/>
          <w:szCs w:val="20"/>
        </w:rPr>
        <w:t xml:space="preserve">l histologic International Association for the Study of Lung Cancer/American Thoracic Society/European Respiratory Society classification system of lung adenocarcinoma is a stage-independent predictor of survival. </w:t>
      </w:r>
      <w:r>
        <w:rPr>
          <w:rFonts w:ascii="Times New Roman" w:hAnsi="Times New Roman" w:cs="Times New Roman"/>
          <w:i/>
          <w:iCs/>
          <w:sz w:val="20"/>
          <w:szCs w:val="20"/>
        </w:rPr>
        <w:t>Journal of Clinical Oncology</w:t>
      </w:r>
      <w:r>
        <w:rPr>
          <w:rFonts w:ascii="Times New Roman" w:hAnsi="Times New Roman" w:cs="Times New Roman"/>
          <w:sz w:val="20"/>
          <w:szCs w:val="20"/>
        </w:rPr>
        <w:t>, 30(13), 1438</w:t>
      </w:r>
      <w:r>
        <w:rPr>
          <w:rFonts w:ascii="Times New Roman" w:hAnsi="Times New Roman" w:cs="Times New Roman"/>
          <w:sz w:val="20"/>
          <w:szCs w:val="20"/>
        </w:rPr>
        <w:t>-1446.</w:t>
      </w:r>
    </w:p>
    <w:p w14:paraId="752F4174"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Yatabe, Y., </w:t>
      </w:r>
      <w:proofErr w:type="spellStart"/>
      <w:r>
        <w:rPr>
          <w:rFonts w:ascii="Times New Roman" w:hAnsi="Times New Roman" w:cs="Times New Roman"/>
          <w:sz w:val="20"/>
          <w:szCs w:val="20"/>
        </w:rPr>
        <w:t>Borczuk</w:t>
      </w:r>
      <w:proofErr w:type="spellEnd"/>
      <w:r>
        <w:rPr>
          <w:rFonts w:ascii="Times New Roman" w:hAnsi="Times New Roman" w:cs="Times New Roman"/>
          <w:sz w:val="20"/>
          <w:szCs w:val="20"/>
        </w:rPr>
        <w:t xml:space="preserve">, A. C., &amp; Powell, C. A. (2011). Do all lung adenocarcinomas follow a stepwise progression? </w:t>
      </w:r>
      <w:r>
        <w:rPr>
          <w:rFonts w:ascii="Times New Roman" w:hAnsi="Times New Roman" w:cs="Times New Roman"/>
          <w:i/>
          <w:iCs/>
          <w:sz w:val="20"/>
          <w:szCs w:val="20"/>
        </w:rPr>
        <w:t>Lung Cancer</w:t>
      </w:r>
      <w:r>
        <w:rPr>
          <w:rFonts w:ascii="Times New Roman" w:hAnsi="Times New Roman" w:cs="Times New Roman"/>
          <w:sz w:val="20"/>
          <w:szCs w:val="20"/>
        </w:rPr>
        <w:t>, 74(1), 7-11.</w:t>
      </w:r>
    </w:p>
    <w:p w14:paraId="30EEEF89"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Yatabe, Y., </w:t>
      </w:r>
      <w:proofErr w:type="spellStart"/>
      <w:r>
        <w:rPr>
          <w:rFonts w:ascii="Times New Roman" w:hAnsi="Times New Roman" w:cs="Times New Roman"/>
          <w:sz w:val="20"/>
          <w:szCs w:val="20"/>
        </w:rPr>
        <w:t>Dacic</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Borczuk</w:t>
      </w:r>
      <w:proofErr w:type="spellEnd"/>
      <w:r>
        <w:rPr>
          <w:rFonts w:ascii="Times New Roman" w:hAnsi="Times New Roman" w:cs="Times New Roman"/>
          <w:sz w:val="20"/>
          <w:szCs w:val="20"/>
        </w:rPr>
        <w:t xml:space="preserve">, A. C., Warth, A., Russell, P. A., </w:t>
      </w:r>
      <w:proofErr w:type="spellStart"/>
      <w:r>
        <w:rPr>
          <w:rFonts w:ascii="Times New Roman" w:hAnsi="Times New Roman" w:cs="Times New Roman"/>
          <w:sz w:val="20"/>
          <w:szCs w:val="20"/>
        </w:rPr>
        <w:t>Lantuejoul</w:t>
      </w:r>
      <w:proofErr w:type="spellEnd"/>
      <w:r>
        <w:rPr>
          <w:rFonts w:ascii="Times New Roman" w:hAnsi="Times New Roman" w:cs="Times New Roman"/>
          <w:sz w:val="20"/>
          <w:szCs w:val="20"/>
        </w:rPr>
        <w:t>, S., … &amp; Tsao, M. S. (2019). Best p</w:t>
      </w:r>
      <w:r>
        <w:rPr>
          <w:rFonts w:ascii="Times New Roman" w:hAnsi="Times New Roman" w:cs="Times New Roman"/>
          <w:sz w:val="20"/>
          <w:szCs w:val="20"/>
        </w:rPr>
        <w:t xml:space="preserve">ractices for diagnostic immunohistochemistry: recommendations from the pulmonary pathology society with concurrence from the College of American Pathologists. </w:t>
      </w:r>
      <w:r>
        <w:rPr>
          <w:rFonts w:ascii="Times New Roman" w:hAnsi="Times New Roman" w:cs="Times New Roman"/>
          <w:i/>
          <w:iCs/>
          <w:sz w:val="20"/>
          <w:szCs w:val="20"/>
        </w:rPr>
        <w:t>Archives of Pathology &amp; Laboratory Medicine</w:t>
      </w:r>
      <w:r>
        <w:rPr>
          <w:rFonts w:ascii="Times New Roman" w:hAnsi="Times New Roman" w:cs="Times New Roman"/>
          <w:sz w:val="20"/>
          <w:szCs w:val="20"/>
        </w:rPr>
        <w:t>, 143(10), 1200-1210.</w:t>
      </w:r>
    </w:p>
    <w:p w14:paraId="59681FED"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Yoshida, A., </w:t>
      </w:r>
      <w:proofErr w:type="spellStart"/>
      <w:r>
        <w:rPr>
          <w:rFonts w:ascii="Times New Roman" w:hAnsi="Times New Roman" w:cs="Times New Roman"/>
          <w:sz w:val="20"/>
          <w:szCs w:val="20"/>
        </w:rPr>
        <w:t>Tsuta</w:t>
      </w:r>
      <w:proofErr w:type="spellEnd"/>
      <w:r>
        <w:rPr>
          <w:rFonts w:ascii="Times New Roman" w:hAnsi="Times New Roman" w:cs="Times New Roman"/>
          <w:sz w:val="20"/>
          <w:szCs w:val="20"/>
        </w:rPr>
        <w:t>, K., Nakamura</w:t>
      </w:r>
      <w:r>
        <w:rPr>
          <w:rFonts w:ascii="Times New Roman" w:hAnsi="Times New Roman" w:cs="Times New Roman"/>
          <w:sz w:val="20"/>
          <w:szCs w:val="20"/>
        </w:rPr>
        <w:t xml:space="preserve">, H., Kohno, T., Takahashi, F., Asamura, H., … &amp; Tsuda, H. (2011). Comprehensive histologic analysis of ALK-rearranged lung carcinomas.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35(8), 1226-1234.</w:t>
      </w:r>
    </w:p>
    <w:p w14:paraId="0A9DBA0B"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Yoshizawa, A., Motoi, N., Riely, G. J., Sima, C. S., Gerald, W</w:t>
      </w:r>
      <w:r>
        <w:rPr>
          <w:rFonts w:ascii="Times New Roman" w:hAnsi="Times New Roman" w:cs="Times New Roman"/>
          <w:sz w:val="20"/>
          <w:szCs w:val="20"/>
        </w:rPr>
        <w:t xml:space="preserve">. L., Kris, M. G., … &amp; Travis, W. D. (2011). Impact of proposed IASLC/ATS/ERS classification of lung adenocarcinoma: prognostic subgroups and implications for further revision of staging based on analysis of 514 stage I cases. </w:t>
      </w:r>
      <w:r>
        <w:rPr>
          <w:rFonts w:ascii="Times New Roman" w:hAnsi="Times New Roman" w:cs="Times New Roman"/>
          <w:i/>
          <w:iCs/>
          <w:sz w:val="20"/>
          <w:szCs w:val="20"/>
        </w:rPr>
        <w:t>Modern Pathology</w:t>
      </w:r>
      <w:r>
        <w:rPr>
          <w:rFonts w:ascii="Times New Roman" w:hAnsi="Times New Roman" w:cs="Times New Roman"/>
          <w:sz w:val="20"/>
          <w:szCs w:val="20"/>
        </w:rPr>
        <w:t>, 24(5), 653-</w:t>
      </w:r>
      <w:r>
        <w:rPr>
          <w:rFonts w:ascii="Times New Roman" w:hAnsi="Times New Roman" w:cs="Times New Roman"/>
          <w:sz w:val="20"/>
          <w:szCs w:val="20"/>
        </w:rPr>
        <w:t>664.</w:t>
      </w:r>
    </w:p>
    <w:p w14:paraId="5FF6DD89"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Zhang, Y., Wang, R., Cai, D., Li, Y., Pan, Y., Yao, J., … &amp; Chen, H. (2014). A comprehensive investigation of molecular features and prognosis of lung adenocarcinoma with micropapillary component. </w:t>
      </w:r>
      <w:r>
        <w:rPr>
          <w:rFonts w:ascii="Times New Roman" w:hAnsi="Times New Roman" w:cs="Times New Roman"/>
          <w:i/>
          <w:iCs/>
          <w:sz w:val="20"/>
          <w:szCs w:val="20"/>
        </w:rPr>
        <w:t>Journal of Thoracic Oncology</w:t>
      </w:r>
      <w:r>
        <w:rPr>
          <w:rFonts w:ascii="Times New Roman" w:hAnsi="Times New Roman" w:cs="Times New Roman"/>
          <w:sz w:val="20"/>
          <w:szCs w:val="20"/>
        </w:rPr>
        <w:t>, 9(9), 1313-1321.</w:t>
      </w:r>
    </w:p>
    <w:p w14:paraId="1C9DAAB0" w14:textId="77777777" w:rsidR="005179CE" w:rsidRDefault="00A8738B">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Zhang, </w:t>
      </w:r>
      <w:r>
        <w:rPr>
          <w:rFonts w:ascii="Times New Roman" w:hAnsi="Times New Roman" w:cs="Times New Roman"/>
          <w:sz w:val="20"/>
          <w:szCs w:val="20"/>
        </w:rPr>
        <w:t xml:space="preserve">J., Fujimoto, J., Zhang, J., Wedge, D. C., Song, X., Zhang, J., … &amp; </w:t>
      </w:r>
      <w:proofErr w:type="spellStart"/>
      <w:r>
        <w:rPr>
          <w:rFonts w:ascii="Times New Roman" w:hAnsi="Times New Roman" w:cs="Times New Roman"/>
          <w:sz w:val="20"/>
          <w:szCs w:val="20"/>
        </w:rPr>
        <w:t>Wistuba</w:t>
      </w:r>
      <w:proofErr w:type="spellEnd"/>
      <w:r>
        <w:rPr>
          <w:rFonts w:ascii="Times New Roman" w:hAnsi="Times New Roman" w:cs="Times New Roman"/>
          <w:sz w:val="20"/>
          <w:szCs w:val="20"/>
        </w:rPr>
        <w:t xml:space="preserve">, I. I. (2012). Intratumor heterogeneity in localized lung adenocarcinomas delineated by </w:t>
      </w:r>
      <w:proofErr w:type="spellStart"/>
      <w:r>
        <w:rPr>
          <w:rFonts w:ascii="Times New Roman" w:hAnsi="Times New Roman" w:cs="Times New Roman"/>
          <w:sz w:val="20"/>
          <w:szCs w:val="20"/>
        </w:rPr>
        <w:t>multiregion</w:t>
      </w:r>
      <w:proofErr w:type="spellEnd"/>
      <w:r>
        <w:rPr>
          <w:rFonts w:ascii="Times New Roman" w:hAnsi="Times New Roman" w:cs="Times New Roman"/>
          <w:sz w:val="20"/>
          <w:szCs w:val="20"/>
        </w:rPr>
        <w:t xml:space="preserve"> sequencing. </w:t>
      </w:r>
      <w:r>
        <w:rPr>
          <w:rFonts w:ascii="Times New Roman" w:hAnsi="Times New Roman" w:cs="Times New Roman"/>
          <w:i/>
          <w:iCs/>
          <w:sz w:val="20"/>
          <w:szCs w:val="20"/>
        </w:rPr>
        <w:t>Science</w:t>
      </w:r>
      <w:r>
        <w:rPr>
          <w:rFonts w:ascii="Times New Roman" w:hAnsi="Times New Roman" w:cs="Times New Roman"/>
          <w:sz w:val="20"/>
          <w:szCs w:val="20"/>
        </w:rPr>
        <w:t>, 346(6206), 256-259.</w:t>
      </w:r>
      <w:bookmarkEnd w:id="1"/>
      <w:bookmarkEnd w:id="12"/>
    </w:p>
    <w:sectPr w:rsidR="005179C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6D2E2" w14:textId="77777777" w:rsidR="00A8738B" w:rsidRDefault="00A8738B" w:rsidP="007510DD">
      <w:pPr>
        <w:spacing w:after="0" w:line="240" w:lineRule="auto"/>
      </w:pPr>
      <w:r>
        <w:separator/>
      </w:r>
    </w:p>
  </w:endnote>
  <w:endnote w:type="continuationSeparator" w:id="0">
    <w:p w14:paraId="3333B500" w14:textId="77777777" w:rsidR="00A8738B" w:rsidRDefault="00A8738B" w:rsidP="0075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0086" w14:textId="77777777" w:rsidR="007510DD" w:rsidRDefault="0075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EBE" w14:textId="77777777" w:rsidR="007510DD" w:rsidRDefault="00751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7EC8" w14:textId="77777777" w:rsidR="007510DD" w:rsidRDefault="0075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0228" w14:textId="77777777" w:rsidR="00A8738B" w:rsidRDefault="00A8738B" w:rsidP="007510DD">
      <w:pPr>
        <w:spacing w:after="0" w:line="240" w:lineRule="auto"/>
      </w:pPr>
      <w:r>
        <w:separator/>
      </w:r>
    </w:p>
  </w:footnote>
  <w:footnote w:type="continuationSeparator" w:id="0">
    <w:p w14:paraId="6C5A98D0" w14:textId="77777777" w:rsidR="00A8738B" w:rsidRDefault="00A8738B" w:rsidP="0075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DC1A" w14:textId="65989108" w:rsidR="007510DD" w:rsidRDefault="007510DD">
    <w:pPr>
      <w:pStyle w:val="Header"/>
    </w:pPr>
    <w:r>
      <w:rPr>
        <w:noProof/>
      </w:rPr>
      <w:pict w14:anchorId="0ABBE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5"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49EA" w14:textId="16DF4E08" w:rsidR="007510DD" w:rsidRDefault="007510DD">
    <w:pPr>
      <w:pStyle w:val="Header"/>
    </w:pPr>
    <w:r>
      <w:rPr>
        <w:noProof/>
      </w:rPr>
      <w:pict w14:anchorId="7E40C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6"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957A0" w14:textId="456E1B7B" w:rsidR="007510DD" w:rsidRDefault="007510DD">
    <w:pPr>
      <w:pStyle w:val="Header"/>
    </w:pPr>
    <w:r>
      <w:rPr>
        <w:noProof/>
      </w:rPr>
      <w:pict w14:anchorId="3C312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37484"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oNotTrackMoves/>
  <w:defaultTabStop w:val="720"/>
  <w:drawingGridHorizontalSpacing w:val="360"/>
  <w:drawingGridVerticalSpacing w:val="36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9CE"/>
    <w:rsid w:val="001A0DFF"/>
    <w:rsid w:val="0022397C"/>
    <w:rsid w:val="003018B2"/>
    <w:rsid w:val="005179CE"/>
    <w:rsid w:val="007510DD"/>
    <w:rsid w:val="00A429EB"/>
    <w:rsid w:val="00A8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D893E1F"/>
  <w15:docId w15:val="{DB75F61D-64FA-4398-B1D4-A2627FAD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Date" w:qFormat="1"/>
    <w:lsdException w:name="Block Text" w:uiPriority="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mbria" w:eastAsia="Cambria" w:hAnsi="Cambria" w:cs="SimSun"/>
      <w:sz w:val="24"/>
      <w:szCs w:val="24"/>
      <w:lang w:val="en-US" w:eastAsia="en-US"/>
    </w:rPr>
  </w:style>
  <w:style w:type="paragraph" w:styleId="Heading1">
    <w:name w:val="heading 1"/>
    <w:basedOn w:val="Normal"/>
    <w:next w:val="Normal"/>
    <w:qFormat/>
    <w:pPr>
      <w:keepNext/>
      <w:keepLines/>
      <w:widowControl w:val="0"/>
      <w:spacing w:before="480" w:after="0"/>
      <w:outlineLvl w:val="0"/>
    </w:pPr>
    <w:rPr>
      <w:rFonts w:ascii="Calibri" w:eastAsia="MS Gothic" w:hAnsi="Calibri"/>
      <w:b/>
      <w:bCs/>
      <w:color w:val="365F91"/>
      <w:sz w:val="28"/>
      <w:szCs w:val="28"/>
    </w:rPr>
  </w:style>
  <w:style w:type="paragraph" w:styleId="Heading2">
    <w:name w:val="heading 2"/>
    <w:basedOn w:val="Normal"/>
    <w:next w:val="Normal"/>
    <w:qFormat/>
    <w:pPr>
      <w:keepNext/>
      <w:keepLines/>
      <w:widowControl w:val="0"/>
      <w:spacing w:before="200" w:after="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rFonts w:ascii="Cambria" w:eastAsia="Cambria" w:hAnsi="Cambria" w:cs="SimSun"/>
      <w:sz w:val="24"/>
      <w:szCs w:val="24"/>
      <w:lang w:val="en-US" w:eastAsia="en-US"/>
    </w:rPr>
  </w:style>
  <w:style w:type="paragraph" w:styleId="Footer">
    <w:name w:val="footer"/>
    <w:basedOn w:val="Normal"/>
    <w:uiPriority w:val="99"/>
    <w:pPr>
      <w:tabs>
        <w:tab w:val="center" w:pos="4513"/>
        <w:tab w:val="right" w:pos="9026"/>
      </w:tabs>
      <w:spacing w:after="0" w:line="240" w:lineRule="auto"/>
    </w:pPr>
  </w:style>
  <w:style w:type="paragraph" w:styleId="NormalWeb">
    <w:name w:val="Normal (Web)"/>
    <w:basedOn w:val="Normal"/>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Emphasis">
    <w:name w:val="Emphasis"/>
    <w:basedOn w:val="DefaultParagraphFont"/>
    <w:qFormat/>
    <w:rPr>
      <w:i/>
      <w:iCs/>
    </w:rPr>
  </w:style>
  <w:style w:type="character" w:styleId="Hyperlink">
    <w:name w:val="Hyperlink"/>
    <w:basedOn w:val="BodyTextChar"/>
    <w:rPr>
      <w:color w:val="4F81BD"/>
    </w:rPr>
  </w:style>
  <w:style w:type="character" w:customStyle="1" w:styleId="BodyTextChar">
    <w:name w:val="Body Text Char"/>
    <w:basedOn w:val="DefaultParagraphFont"/>
    <w:link w:val="BodyText"/>
    <w:qFormat/>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ascii="Cambria" w:eastAsia="Cambria" w:hAnsi="Cambria"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qFormat/>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style>
  <w:style w:type="paragraph" w:customStyle="1" w:styleId="Figure">
    <w:name w:val="Figure"/>
    <w:basedOn w:val="Normal"/>
    <w:qFormat/>
  </w:style>
  <w:style w:type="paragraph" w:customStyle="1" w:styleId="CaptionedFigure">
    <w:name w:val="Captioned Figure"/>
    <w:basedOn w:val="Figure"/>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character" w:customStyle="1" w:styleId="FootnoteReference1">
    <w:name w:val="Footnote Reference1"/>
    <w:basedOn w:val="BodyTextChar"/>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UnresolvedMention">
    <w:name w:val="Unresolved Mention"/>
    <w:basedOn w:val="DefaultParagraphFont"/>
    <w:uiPriority w:val="99"/>
    <w:semiHidden/>
    <w:unhideWhenUsed/>
    <w:rsid w:val="0022397C"/>
    <w:rPr>
      <w:color w:val="605E5C"/>
      <w:shd w:val="clear" w:color="auto" w:fill="E1DFDD"/>
    </w:rPr>
  </w:style>
  <w:style w:type="paragraph" w:styleId="Header">
    <w:name w:val="header"/>
    <w:basedOn w:val="Normal"/>
    <w:link w:val="HeaderChar"/>
    <w:rsid w:val="007510DD"/>
    <w:pPr>
      <w:tabs>
        <w:tab w:val="center" w:pos="4680"/>
        <w:tab w:val="right" w:pos="9360"/>
      </w:tabs>
      <w:spacing w:after="0" w:line="240" w:lineRule="auto"/>
    </w:pPr>
  </w:style>
  <w:style w:type="character" w:customStyle="1" w:styleId="HeaderChar">
    <w:name w:val="Header Char"/>
    <w:basedOn w:val="DefaultParagraphFont"/>
    <w:link w:val="Header"/>
    <w:rsid w:val="007510DD"/>
    <w:rPr>
      <w:rFonts w:ascii="Cambria" w:eastAsia="Cambria" w:hAnsi="Cambria" w:cs="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8024</Words>
  <Characters>45742</Characters>
  <Application>Microsoft Office Word</Application>
  <DocSecurity>0</DocSecurity>
  <Lines>381</Lines>
  <Paragraphs>107</Paragraphs>
  <ScaleCrop>false</ScaleCrop>
  <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cp:revision>
  <dcterms:created xsi:type="dcterms:W3CDTF">1970-01-01T03:00:00Z</dcterms:created>
  <dcterms:modified xsi:type="dcterms:W3CDTF">2025-09-09T11:07:00Z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71E9D7E312558BA94C2DBF68B760BD16_33</vt:lpwstr>
  </property>
  <property fmtid="{D5CDD505-2E9C-101B-9397-08002B2CF9AE}" pid="3" name="KSOProductBuildVer">
    <vt:lpwstr>3081-11.35.00</vt:lpwstr>
  </property>
</Properties>
</file>