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2FAB7A" w14:textId="77777777" w:rsidR="00754C9A" w:rsidRDefault="00754C9A" w:rsidP="00441B6F">
      <w:pPr>
        <w:pStyle w:val="Title"/>
        <w:spacing w:after="0"/>
        <w:jc w:val="both"/>
        <w:rPr>
          <w:rFonts w:ascii="Arial" w:hAnsi="Arial" w:cs="Arial"/>
        </w:rPr>
      </w:pPr>
    </w:p>
    <w:p w14:paraId="4128A5FF" w14:textId="77777777" w:rsidR="007F33A0" w:rsidRPr="007F33A0" w:rsidRDefault="007F33A0" w:rsidP="007F33A0">
      <w:pPr>
        <w:pStyle w:val="Author"/>
        <w:rPr>
          <w:rFonts w:ascii="Arial" w:hAnsi="Arial" w:cs="Arial"/>
          <w:bCs/>
          <w:i/>
          <w:iCs/>
          <w:kern w:val="28"/>
          <w:sz w:val="18"/>
          <w:szCs w:val="18"/>
          <w:u w:val="single"/>
        </w:rPr>
      </w:pPr>
      <w:r w:rsidRPr="007F33A0">
        <w:rPr>
          <w:rFonts w:ascii="Arial" w:hAnsi="Arial" w:cs="Arial"/>
          <w:bCs/>
          <w:i/>
          <w:iCs/>
          <w:kern w:val="28"/>
          <w:sz w:val="18"/>
          <w:szCs w:val="18"/>
          <w:u w:val="single"/>
        </w:rPr>
        <w:t>Original Research Article</w:t>
      </w:r>
    </w:p>
    <w:p w14:paraId="10D20EE3" w14:textId="70D3AC15" w:rsidR="00163BC4" w:rsidRPr="00163BC4" w:rsidRDefault="0095658E" w:rsidP="00441B6F">
      <w:pPr>
        <w:pStyle w:val="Author"/>
        <w:spacing w:line="240" w:lineRule="auto"/>
        <w:rPr>
          <w:rFonts w:ascii="Arial" w:hAnsi="Arial" w:cs="Arial"/>
          <w:bCs/>
          <w:iCs/>
          <w:kern w:val="28"/>
          <w:sz w:val="36"/>
        </w:rPr>
      </w:pPr>
      <w:r>
        <w:rPr>
          <w:rFonts w:ascii="Arial" w:hAnsi="Arial" w:cs="Arial"/>
          <w:bCs/>
          <w:iCs/>
          <w:kern w:val="28"/>
          <w:sz w:val="36"/>
        </w:rPr>
        <w:t>Chemotherapy-</w:t>
      </w:r>
      <w:r w:rsidR="00B83825">
        <w:rPr>
          <w:rFonts w:ascii="Arial" w:hAnsi="Arial" w:cs="Arial"/>
          <w:bCs/>
          <w:iCs/>
          <w:kern w:val="28"/>
          <w:sz w:val="36"/>
        </w:rPr>
        <w:t>induced</w:t>
      </w:r>
      <w:r>
        <w:rPr>
          <w:rFonts w:ascii="Arial" w:hAnsi="Arial" w:cs="Arial"/>
          <w:bCs/>
          <w:iCs/>
          <w:kern w:val="28"/>
          <w:sz w:val="36"/>
        </w:rPr>
        <w:t xml:space="preserve"> </w:t>
      </w:r>
      <w:proofErr w:type="spellStart"/>
      <w:r>
        <w:rPr>
          <w:rFonts w:ascii="Arial" w:hAnsi="Arial" w:cs="Arial"/>
          <w:bCs/>
          <w:iCs/>
          <w:kern w:val="28"/>
          <w:sz w:val="36"/>
        </w:rPr>
        <w:t>Thrombocytopaenia</w:t>
      </w:r>
      <w:proofErr w:type="spellEnd"/>
      <w:r>
        <w:rPr>
          <w:rFonts w:ascii="Arial" w:hAnsi="Arial" w:cs="Arial"/>
          <w:bCs/>
          <w:iCs/>
          <w:kern w:val="28"/>
          <w:sz w:val="36"/>
        </w:rPr>
        <w:t xml:space="preserve"> in Adult</w:t>
      </w:r>
      <w:r w:rsidR="001B024E">
        <w:rPr>
          <w:rFonts w:ascii="Arial" w:hAnsi="Arial" w:cs="Arial"/>
          <w:bCs/>
          <w:iCs/>
          <w:kern w:val="28"/>
          <w:sz w:val="36"/>
        </w:rPr>
        <w:t>s</w:t>
      </w:r>
      <w:r>
        <w:rPr>
          <w:rFonts w:ascii="Arial" w:hAnsi="Arial" w:cs="Arial"/>
          <w:bCs/>
          <w:iCs/>
          <w:kern w:val="28"/>
          <w:sz w:val="36"/>
        </w:rPr>
        <w:t xml:space="preserve"> with </w:t>
      </w:r>
      <w:proofErr w:type="spellStart"/>
      <w:r>
        <w:rPr>
          <w:rFonts w:ascii="Arial" w:hAnsi="Arial" w:cs="Arial"/>
          <w:bCs/>
          <w:iCs/>
          <w:kern w:val="28"/>
          <w:sz w:val="36"/>
        </w:rPr>
        <w:t>Haematologi</w:t>
      </w:r>
      <w:r w:rsidR="00CB384F">
        <w:rPr>
          <w:rFonts w:ascii="Arial" w:hAnsi="Arial" w:cs="Arial"/>
          <w:bCs/>
          <w:iCs/>
          <w:kern w:val="28"/>
          <w:sz w:val="36"/>
        </w:rPr>
        <w:t>c</w:t>
      </w:r>
      <w:proofErr w:type="spellEnd"/>
      <w:r>
        <w:rPr>
          <w:rFonts w:ascii="Arial" w:hAnsi="Arial" w:cs="Arial"/>
          <w:bCs/>
          <w:iCs/>
          <w:kern w:val="28"/>
          <w:sz w:val="36"/>
        </w:rPr>
        <w:t xml:space="preserve"> Malignancies: </w:t>
      </w:r>
      <w:r w:rsidR="001B024E">
        <w:rPr>
          <w:rFonts w:ascii="Arial" w:hAnsi="Arial" w:cs="Arial"/>
          <w:bCs/>
          <w:iCs/>
          <w:kern w:val="28"/>
          <w:sz w:val="36"/>
        </w:rPr>
        <w:t>A Clinical Review from a Nigerian Tertiary Hospital</w:t>
      </w:r>
      <w:r w:rsidR="00231920">
        <w:rPr>
          <w:rFonts w:ascii="Arial" w:hAnsi="Arial" w:cs="Arial"/>
          <w:bCs/>
          <w:iCs/>
          <w:kern w:val="28"/>
          <w:sz w:val="36"/>
        </w:rPr>
        <w:t xml:space="preserve"> </w:t>
      </w:r>
    </w:p>
    <w:p w14:paraId="6591CA58" w14:textId="77777777" w:rsidR="00A258C3" w:rsidRPr="00790ADA" w:rsidRDefault="00A258C3" w:rsidP="00441B6F">
      <w:pPr>
        <w:pStyle w:val="Author"/>
        <w:spacing w:line="240" w:lineRule="auto"/>
        <w:jc w:val="both"/>
        <w:rPr>
          <w:rFonts w:ascii="Arial" w:hAnsi="Arial" w:cs="Arial"/>
          <w:sz w:val="36"/>
        </w:rPr>
      </w:pPr>
    </w:p>
    <w:p w14:paraId="0ADE8AB3" w14:textId="77777777" w:rsidR="00B01FCD" w:rsidRPr="00FB3A86" w:rsidRDefault="00756F4A" w:rsidP="00441B6F">
      <w:pPr>
        <w:pStyle w:val="Copyright"/>
        <w:spacing w:after="0" w:line="240" w:lineRule="auto"/>
        <w:jc w:val="both"/>
        <w:rPr>
          <w:rFonts w:ascii="Arial" w:hAnsi="Arial" w:cs="Arial"/>
        </w:rPr>
        <w:sectPr w:rsidR="00B01FCD" w:rsidRPr="00FB3A86" w:rsidSect="007B46D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F08C91C">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167BA489" w14:textId="301C0A90" w:rsidR="00B01FCD" w:rsidRDefault="00B01FCD" w:rsidP="00441B6F">
      <w:pPr>
        <w:pStyle w:val="AbstHead"/>
        <w:spacing w:after="0"/>
        <w:jc w:val="both"/>
        <w:rPr>
          <w:rFonts w:ascii="Arial" w:hAnsi="Arial" w:cs="Arial"/>
        </w:rPr>
      </w:pPr>
      <w:r w:rsidRPr="00FB3A86">
        <w:rPr>
          <w:rFonts w:ascii="Arial" w:hAnsi="Arial" w:cs="Arial"/>
        </w:rPr>
        <w:t>ABSTRACT</w:t>
      </w:r>
    </w:p>
    <w:p w14:paraId="2063D56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77C96B50" w14:textId="77777777" w:rsidTr="001E44FE">
        <w:tc>
          <w:tcPr>
            <w:tcW w:w="9576" w:type="dxa"/>
            <w:shd w:val="clear" w:color="auto" w:fill="F2F2F2"/>
          </w:tcPr>
          <w:p w14:paraId="573CD70C" w14:textId="77777777" w:rsidR="00CB122A" w:rsidRPr="00CB122A" w:rsidRDefault="00CB122A" w:rsidP="00CB122A">
            <w:pPr>
              <w:pStyle w:val="Body"/>
              <w:spacing w:after="0"/>
              <w:rPr>
                <w:rFonts w:ascii="Arial" w:eastAsia="Calibri" w:hAnsi="Arial" w:cs="Arial"/>
                <w:b/>
                <w:bCs/>
                <w:szCs w:val="22"/>
              </w:rPr>
            </w:pPr>
            <w:r w:rsidRPr="00CB122A">
              <w:rPr>
                <w:rFonts w:ascii="Arial" w:eastAsia="Calibri" w:hAnsi="Arial" w:cs="Arial"/>
                <w:b/>
                <w:bCs/>
                <w:szCs w:val="22"/>
              </w:rPr>
              <w:t xml:space="preserve">Background: As with other cancers, treatment of </w:t>
            </w:r>
            <w:proofErr w:type="spellStart"/>
            <w:r w:rsidRPr="00CB122A">
              <w:rPr>
                <w:rFonts w:ascii="Arial" w:eastAsia="Calibri" w:hAnsi="Arial" w:cs="Arial"/>
                <w:b/>
                <w:bCs/>
                <w:szCs w:val="22"/>
              </w:rPr>
              <w:t>haematologic</w:t>
            </w:r>
            <w:proofErr w:type="spellEnd"/>
            <w:r w:rsidRPr="00CB122A">
              <w:rPr>
                <w:rFonts w:ascii="Arial" w:eastAsia="Calibri" w:hAnsi="Arial" w:cs="Arial"/>
                <w:b/>
                <w:bCs/>
                <w:szCs w:val="22"/>
              </w:rPr>
              <w:t xml:space="preserve"> malignancies with chemotherapy is associated with side effects. Chemotherapy-induced </w:t>
            </w:r>
            <w:proofErr w:type="spellStart"/>
            <w:r w:rsidRPr="00CB122A">
              <w:rPr>
                <w:rFonts w:ascii="Arial" w:eastAsia="Calibri" w:hAnsi="Arial" w:cs="Arial"/>
                <w:b/>
                <w:bCs/>
                <w:szCs w:val="22"/>
              </w:rPr>
              <w:t>thrombocytopae</w:t>
            </w:r>
            <w:bookmarkStart w:id="0" w:name="_GoBack"/>
            <w:bookmarkEnd w:id="0"/>
            <w:r w:rsidRPr="00CB122A">
              <w:rPr>
                <w:rFonts w:ascii="Arial" w:eastAsia="Calibri" w:hAnsi="Arial" w:cs="Arial"/>
                <w:b/>
                <w:bCs/>
                <w:szCs w:val="22"/>
              </w:rPr>
              <w:t>nia</w:t>
            </w:r>
            <w:proofErr w:type="spellEnd"/>
            <w:r w:rsidRPr="00CB122A">
              <w:rPr>
                <w:rFonts w:ascii="Arial" w:eastAsia="Calibri" w:hAnsi="Arial" w:cs="Arial"/>
                <w:b/>
                <w:bCs/>
                <w:szCs w:val="22"/>
              </w:rPr>
              <w:t>, a recognized side effect, have been defined by nadir platelet counts, at different cycles of chemotherapy. A lot more studies describe this occurrence in those with non-</w:t>
            </w:r>
            <w:proofErr w:type="spellStart"/>
            <w:r w:rsidRPr="00CB122A">
              <w:rPr>
                <w:rFonts w:ascii="Arial" w:eastAsia="Calibri" w:hAnsi="Arial" w:cs="Arial"/>
                <w:b/>
                <w:bCs/>
                <w:szCs w:val="22"/>
              </w:rPr>
              <w:t>haematologic</w:t>
            </w:r>
            <w:proofErr w:type="spellEnd"/>
            <w:r w:rsidRPr="00CB122A">
              <w:rPr>
                <w:rFonts w:ascii="Arial" w:eastAsia="Calibri" w:hAnsi="Arial" w:cs="Arial"/>
                <w:b/>
                <w:bCs/>
                <w:szCs w:val="22"/>
              </w:rPr>
              <w:t xml:space="preserve"> cancers. The aim of this study is to ascertain the prevalence of chemotherapy-induced </w:t>
            </w:r>
            <w:proofErr w:type="spellStart"/>
            <w:r w:rsidRPr="00CB122A">
              <w:rPr>
                <w:rFonts w:ascii="Arial" w:eastAsia="Calibri" w:hAnsi="Arial" w:cs="Arial"/>
                <w:b/>
                <w:bCs/>
                <w:szCs w:val="22"/>
              </w:rPr>
              <w:t>thrombocytopaenia</w:t>
            </w:r>
            <w:proofErr w:type="spellEnd"/>
            <w:r w:rsidRPr="00CB122A">
              <w:rPr>
                <w:rFonts w:ascii="Arial" w:eastAsia="Calibri" w:hAnsi="Arial" w:cs="Arial"/>
                <w:b/>
                <w:bCs/>
                <w:szCs w:val="22"/>
              </w:rPr>
              <w:t xml:space="preserve"> among adult patients with </w:t>
            </w:r>
            <w:proofErr w:type="spellStart"/>
            <w:r w:rsidRPr="00CB122A">
              <w:rPr>
                <w:rFonts w:ascii="Arial" w:eastAsia="Calibri" w:hAnsi="Arial" w:cs="Arial"/>
                <w:b/>
                <w:bCs/>
                <w:szCs w:val="22"/>
              </w:rPr>
              <w:t>haematologic</w:t>
            </w:r>
            <w:proofErr w:type="spellEnd"/>
            <w:r w:rsidRPr="00CB122A">
              <w:rPr>
                <w:rFonts w:ascii="Arial" w:eastAsia="Calibri" w:hAnsi="Arial" w:cs="Arial"/>
                <w:b/>
                <w:bCs/>
                <w:szCs w:val="22"/>
              </w:rPr>
              <w:t xml:space="preserve"> cancers, and also to determine if there is a significant relationship between chemotherapy regimen and </w:t>
            </w:r>
            <w:proofErr w:type="spellStart"/>
            <w:r w:rsidRPr="00CB122A">
              <w:rPr>
                <w:rFonts w:ascii="Arial" w:eastAsia="Calibri" w:hAnsi="Arial" w:cs="Arial"/>
                <w:b/>
                <w:bCs/>
                <w:szCs w:val="22"/>
              </w:rPr>
              <w:t>thrombocytopaenia</w:t>
            </w:r>
            <w:proofErr w:type="spellEnd"/>
            <w:r w:rsidRPr="00CB122A">
              <w:rPr>
                <w:rFonts w:ascii="Arial" w:eastAsia="Calibri" w:hAnsi="Arial" w:cs="Arial"/>
                <w:b/>
                <w:bCs/>
                <w:szCs w:val="22"/>
              </w:rPr>
              <w:t xml:space="preserve">, and which of these regimen causes the most </w:t>
            </w:r>
            <w:proofErr w:type="spellStart"/>
            <w:r w:rsidRPr="00CB122A">
              <w:rPr>
                <w:rFonts w:ascii="Arial" w:eastAsia="Calibri" w:hAnsi="Arial" w:cs="Arial"/>
                <w:b/>
                <w:bCs/>
                <w:szCs w:val="22"/>
              </w:rPr>
              <w:t>thrombocytopaenia</w:t>
            </w:r>
            <w:proofErr w:type="spellEnd"/>
            <w:r w:rsidRPr="00CB122A">
              <w:rPr>
                <w:rFonts w:ascii="Arial" w:eastAsia="Calibri" w:hAnsi="Arial" w:cs="Arial"/>
                <w:b/>
                <w:bCs/>
                <w:szCs w:val="22"/>
              </w:rPr>
              <w:t xml:space="preserve"> in these patients.</w:t>
            </w:r>
          </w:p>
          <w:p w14:paraId="5412DCB2" w14:textId="77777777" w:rsidR="00CB122A" w:rsidRPr="00CB122A" w:rsidRDefault="00CB122A" w:rsidP="00CB122A">
            <w:pPr>
              <w:pStyle w:val="Body"/>
              <w:spacing w:after="0"/>
              <w:rPr>
                <w:rFonts w:ascii="Arial" w:eastAsia="Calibri" w:hAnsi="Arial" w:cs="Arial"/>
                <w:b/>
                <w:bCs/>
                <w:szCs w:val="22"/>
              </w:rPr>
            </w:pPr>
            <w:r w:rsidRPr="00CB122A">
              <w:rPr>
                <w:rFonts w:ascii="Arial" w:eastAsia="Calibri" w:hAnsi="Arial" w:cs="Arial"/>
                <w:b/>
                <w:bCs/>
                <w:szCs w:val="22"/>
              </w:rPr>
              <w:t xml:space="preserve">Method: A retrospective study involving adult </w:t>
            </w:r>
            <w:proofErr w:type="spellStart"/>
            <w:r w:rsidRPr="00CB122A">
              <w:rPr>
                <w:rFonts w:ascii="Arial" w:eastAsia="Calibri" w:hAnsi="Arial" w:cs="Arial"/>
                <w:b/>
                <w:bCs/>
                <w:szCs w:val="22"/>
              </w:rPr>
              <w:t>haematologic</w:t>
            </w:r>
            <w:proofErr w:type="spellEnd"/>
            <w:r w:rsidRPr="00CB122A">
              <w:rPr>
                <w:rFonts w:ascii="Arial" w:eastAsia="Calibri" w:hAnsi="Arial" w:cs="Arial"/>
                <w:b/>
                <w:bCs/>
                <w:szCs w:val="22"/>
              </w:rPr>
              <w:t xml:space="preserve"> cancer patients over a period of 10 years at the </w:t>
            </w:r>
            <w:proofErr w:type="spellStart"/>
            <w:r w:rsidRPr="00CB122A">
              <w:rPr>
                <w:rFonts w:ascii="Arial" w:eastAsia="Calibri" w:hAnsi="Arial" w:cs="Arial"/>
                <w:b/>
                <w:bCs/>
                <w:szCs w:val="22"/>
              </w:rPr>
              <w:t>haematology</w:t>
            </w:r>
            <w:proofErr w:type="spellEnd"/>
            <w:r w:rsidRPr="00CB122A">
              <w:rPr>
                <w:rFonts w:ascii="Arial" w:eastAsia="Calibri" w:hAnsi="Arial" w:cs="Arial"/>
                <w:b/>
                <w:bCs/>
                <w:szCs w:val="22"/>
              </w:rPr>
              <w:t xml:space="preserve"> department of the University of Port Harcourt Teaching Hospital. 126 patients were identified but 72 had complete, relevant clinical and laboratory data and were included in the study. Statistical analysis was by SPSS version 26.</w:t>
            </w:r>
          </w:p>
          <w:p w14:paraId="72A983BC" w14:textId="24C00110" w:rsidR="00CB122A" w:rsidRPr="00CB122A" w:rsidRDefault="00CB122A" w:rsidP="00CB122A">
            <w:pPr>
              <w:pStyle w:val="Body"/>
              <w:spacing w:after="0"/>
              <w:rPr>
                <w:rFonts w:ascii="Arial" w:eastAsia="Calibri" w:hAnsi="Arial" w:cs="Arial"/>
                <w:b/>
                <w:bCs/>
                <w:szCs w:val="22"/>
              </w:rPr>
            </w:pPr>
            <w:r w:rsidRPr="00CB122A">
              <w:rPr>
                <w:rFonts w:ascii="Arial" w:eastAsia="Calibri" w:hAnsi="Arial" w:cs="Arial"/>
                <w:b/>
                <w:bCs/>
                <w:szCs w:val="22"/>
              </w:rPr>
              <w:t xml:space="preserve">Results: Prevalence of chemotherapy-induced </w:t>
            </w:r>
            <w:proofErr w:type="spellStart"/>
            <w:r w:rsidRPr="00CB122A">
              <w:rPr>
                <w:rFonts w:ascii="Arial" w:eastAsia="Calibri" w:hAnsi="Arial" w:cs="Arial"/>
                <w:b/>
                <w:bCs/>
                <w:szCs w:val="22"/>
              </w:rPr>
              <w:t>thrombocytopaenia</w:t>
            </w:r>
            <w:proofErr w:type="spellEnd"/>
            <w:r w:rsidRPr="00CB122A">
              <w:rPr>
                <w:rFonts w:ascii="Arial" w:eastAsia="Calibri" w:hAnsi="Arial" w:cs="Arial"/>
                <w:b/>
                <w:bCs/>
                <w:szCs w:val="22"/>
              </w:rPr>
              <w:t xml:space="preserve"> was 26.0%. Tyrosine kinase inhibitors used in the treatment of CML showed more </w:t>
            </w:r>
            <w:proofErr w:type="spellStart"/>
            <w:r w:rsidRPr="00CB122A">
              <w:rPr>
                <w:rFonts w:ascii="Arial" w:eastAsia="Calibri" w:hAnsi="Arial" w:cs="Arial"/>
                <w:b/>
                <w:bCs/>
                <w:szCs w:val="22"/>
              </w:rPr>
              <w:t>thrombocytopaenia</w:t>
            </w:r>
            <w:proofErr w:type="spellEnd"/>
            <w:r w:rsidRPr="00CB122A">
              <w:rPr>
                <w:rFonts w:ascii="Arial" w:eastAsia="Calibri" w:hAnsi="Arial" w:cs="Arial"/>
                <w:b/>
                <w:bCs/>
                <w:szCs w:val="22"/>
              </w:rPr>
              <w:t xml:space="preserve"> but this was not statistically significant, </w:t>
            </w:r>
            <w:r w:rsidRPr="00CB122A">
              <w:rPr>
                <w:rFonts w:ascii="Arial" w:eastAsia="Calibri" w:hAnsi="Arial" w:cs="Arial"/>
                <w:b/>
                <w:bCs/>
                <w:i/>
                <w:iCs/>
                <w:szCs w:val="22"/>
              </w:rPr>
              <w:t>P</w:t>
            </w:r>
            <w:r w:rsidR="00F13999">
              <w:rPr>
                <w:rFonts w:ascii="Arial" w:eastAsia="Calibri" w:hAnsi="Arial" w:cs="Arial"/>
                <w:b/>
                <w:bCs/>
                <w:i/>
                <w:iCs/>
                <w:szCs w:val="22"/>
              </w:rPr>
              <w:t xml:space="preserve"> </w:t>
            </w:r>
            <w:r w:rsidR="00F13999">
              <w:rPr>
                <w:rFonts w:ascii="Arial" w:eastAsia="Calibri" w:hAnsi="Arial" w:cs="Arial"/>
                <w:b/>
                <w:bCs/>
                <w:szCs w:val="22"/>
              </w:rPr>
              <w:t>=</w:t>
            </w:r>
            <w:r w:rsidRPr="00CB122A">
              <w:rPr>
                <w:rFonts w:ascii="Arial" w:eastAsia="Calibri" w:hAnsi="Arial" w:cs="Arial"/>
                <w:b/>
                <w:bCs/>
                <w:szCs w:val="22"/>
              </w:rPr>
              <w:t>.</w:t>
            </w:r>
            <w:r w:rsidR="00F13999">
              <w:rPr>
                <w:rFonts w:ascii="Arial" w:eastAsia="Calibri" w:hAnsi="Arial" w:cs="Arial"/>
                <w:b/>
                <w:bCs/>
                <w:szCs w:val="22"/>
              </w:rPr>
              <w:t>20</w:t>
            </w:r>
            <w:r w:rsidRPr="00CB122A">
              <w:rPr>
                <w:rFonts w:ascii="Arial" w:eastAsia="Calibri" w:hAnsi="Arial" w:cs="Arial"/>
                <w:b/>
                <w:bCs/>
                <w:szCs w:val="22"/>
              </w:rPr>
              <w:t xml:space="preserve">. Ethnicity of patients showed relation to chemotherapy-induced </w:t>
            </w:r>
            <w:proofErr w:type="spellStart"/>
            <w:r w:rsidRPr="00CB122A">
              <w:rPr>
                <w:rFonts w:ascii="Arial" w:eastAsia="Calibri" w:hAnsi="Arial" w:cs="Arial"/>
                <w:b/>
                <w:bCs/>
                <w:szCs w:val="22"/>
              </w:rPr>
              <w:t>thrombocytopaenia</w:t>
            </w:r>
            <w:proofErr w:type="spellEnd"/>
            <w:r w:rsidRPr="00CB122A">
              <w:rPr>
                <w:rFonts w:ascii="Arial" w:eastAsia="Calibri" w:hAnsi="Arial" w:cs="Arial"/>
                <w:b/>
                <w:bCs/>
                <w:szCs w:val="22"/>
              </w:rPr>
              <w:t xml:space="preserve"> with </w:t>
            </w:r>
            <w:r w:rsidRPr="00CB122A">
              <w:rPr>
                <w:rFonts w:ascii="Arial" w:eastAsia="Calibri" w:hAnsi="Arial" w:cs="Arial"/>
                <w:b/>
                <w:bCs/>
                <w:i/>
                <w:iCs/>
                <w:szCs w:val="22"/>
              </w:rPr>
              <w:t>P</w:t>
            </w:r>
            <w:r w:rsidRPr="00CB122A">
              <w:rPr>
                <w:rFonts w:ascii="Arial" w:eastAsia="Calibri" w:hAnsi="Arial" w:cs="Arial"/>
                <w:b/>
                <w:bCs/>
                <w:szCs w:val="22"/>
              </w:rPr>
              <w:t xml:space="preserve"> </w:t>
            </w:r>
            <w:r>
              <w:rPr>
                <w:rFonts w:ascii="Arial" w:eastAsia="Calibri" w:hAnsi="Arial" w:cs="Arial"/>
                <w:b/>
                <w:bCs/>
                <w:szCs w:val="22"/>
              </w:rPr>
              <w:t>=</w:t>
            </w:r>
            <w:r w:rsidRPr="00CB122A">
              <w:rPr>
                <w:rFonts w:ascii="Arial" w:eastAsia="Calibri" w:hAnsi="Arial" w:cs="Arial"/>
                <w:b/>
                <w:bCs/>
                <w:szCs w:val="22"/>
              </w:rPr>
              <w:t xml:space="preserve"> .0</w:t>
            </w:r>
            <w:r w:rsidR="00F13999">
              <w:rPr>
                <w:rFonts w:ascii="Arial" w:eastAsia="Calibri" w:hAnsi="Arial" w:cs="Arial"/>
                <w:b/>
                <w:bCs/>
                <w:szCs w:val="22"/>
              </w:rPr>
              <w:t>3</w:t>
            </w:r>
            <w:r w:rsidRPr="00CB122A">
              <w:rPr>
                <w:rFonts w:ascii="Arial" w:eastAsia="Calibri" w:hAnsi="Arial" w:cs="Arial"/>
                <w:b/>
                <w:bCs/>
                <w:szCs w:val="22"/>
              </w:rPr>
              <w:t>.</w:t>
            </w:r>
          </w:p>
          <w:p w14:paraId="6C2FB2CA" w14:textId="77777777" w:rsidR="00CB122A" w:rsidRPr="00CB122A" w:rsidRDefault="00CB122A" w:rsidP="00CB122A">
            <w:pPr>
              <w:pStyle w:val="Body"/>
              <w:spacing w:after="0"/>
              <w:rPr>
                <w:rFonts w:ascii="Arial" w:eastAsia="Calibri" w:hAnsi="Arial" w:cs="Arial"/>
                <w:b/>
                <w:bCs/>
                <w:szCs w:val="22"/>
              </w:rPr>
            </w:pPr>
            <w:r w:rsidRPr="00CB122A">
              <w:rPr>
                <w:rFonts w:ascii="Arial" w:eastAsia="Calibri" w:hAnsi="Arial" w:cs="Arial"/>
                <w:b/>
                <w:bCs/>
                <w:szCs w:val="22"/>
              </w:rPr>
              <w:t xml:space="preserve">Conclusion: Up to a quarter of patients with </w:t>
            </w:r>
            <w:proofErr w:type="spellStart"/>
            <w:r w:rsidRPr="00CB122A">
              <w:rPr>
                <w:rFonts w:ascii="Arial" w:eastAsia="Calibri" w:hAnsi="Arial" w:cs="Arial"/>
                <w:b/>
                <w:bCs/>
                <w:szCs w:val="22"/>
              </w:rPr>
              <w:t>haematologic</w:t>
            </w:r>
            <w:proofErr w:type="spellEnd"/>
            <w:r w:rsidRPr="00CB122A">
              <w:rPr>
                <w:rFonts w:ascii="Arial" w:eastAsia="Calibri" w:hAnsi="Arial" w:cs="Arial"/>
                <w:b/>
                <w:bCs/>
                <w:szCs w:val="22"/>
              </w:rPr>
              <w:t xml:space="preserve"> malignancy in this part of the world would develop </w:t>
            </w:r>
            <w:proofErr w:type="spellStart"/>
            <w:r w:rsidRPr="00CB122A">
              <w:rPr>
                <w:rFonts w:ascii="Arial" w:eastAsia="Calibri" w:hAnsi="Arial" w:cs="Arial"/>
                <w:b/>
                <w:bCs/>
                <w:szCs w:val="22"/>
              </w:rPr>
              <w:t>thrombocytopaenia</w:t>
            </w:r>
            <w:proofErr w:type="spellEnd"/>
            <w:r w:rsidRPr="00CB122A">
              <w:rPr>
                <w:rFonts w:ascii="Arial" w:eastAsia="Calibri" w:hAnsi="Arial" w:cs="Arial"/>
                <w:b/>
                <w:bCs/>
                <w:szCs w:val="22"/>
              </w:rPr>
              <w:t xml:space="preserve"> when treated with chemotherapy. This should be expected when treating patients with </w:t>
            </w:r>
            <w:proofErr w:type="spellStart"/>
            <w:r w:rsidRPr="00CB122A">
              <w:rPr>
                <w:rFonts w:ascii="Arial" w:eastAsia="Calibri" w:hAnsi="Arial" w:cs="Arial"/>
                <w:b/>
                <w:bCs/>
                <w:szCs w:val="22"/>
              </w:rPr>
              <w:t>haematologic</w:t>
            </w:r>
            <w:proofErr w:type="spellEnd"/>
            <w:r w:rsidRPr="00CB122A">
              <w:rPr>
                <w:rFonts w:ascii="Arial" w:eastAsia="Calibri" w:hAnsi="Arial" w:cs="Arial"/>
                <w:b/>
                <w:bCs/>
                <w:szCs w:val="22"/>
              </w:rPr>
              <w:t xml:space="preserve"> malignancies.</w:t>
            </w:r>
          </w:p>
          <w:p w14:paraId="6BB0C6D9" w14:textId="764E5CFB" w:rsidR="00505F06" w:rsidRPr="00FC1A9C" w:rsidRDefault="00505F06" w:rsidP="00FC1A9C">
            <w:pPr>
              <w:pStyle w:val="Body"/>
              <w:spacing w:after="0"/>
              <w:rPr>
                <w:rFonts w:ascii="Arial" w:eastAsia="Calibri" w:hAnsi="Arial" w:cs="Arial"/>
                <w:b/>
                <w:bCs/>
                <w:szCs w:val="22"/>
              </w:rPr>
            </w:pPr>
          </w:p>
        </w:tc>
      </w:tr>
    </w:tbl>
    <w:p w14:paraId="0526DF44" w14:textId="77777777" w:rsidR="00636EB2" w:rsidRDefault="00636EB2" w:rsidP="00441B6F">
      <w:pPr>
        <w:pStyle w:val="Body"/>
        <w:spacing w:after="0"/>
        <w:rPr>
          <w:rFonts w:ascii="Arial" w:hAnsi="Arial" w:cs="Arial"/>
          <w:i/>
        </w:rPr>
      </w:pPr>
    </w:p>
    <w:p w14:paraId="3F4FE947" w14:textId="4440892D" w:rsidR="00A24E7E" w:rsidRDefault="00A24E7E" w:rsidP="00441B6F">
      <w:pPr>
        <w:pStyle w:val="Body"/>
        <w:spacing w:after="0"/>
        <w:rPr>
          <w:rFonts w:ascii="Arial" w:hAnsi="Arial" w:cs="Arial"/>
          <w:i/>
        </w:rPr>
      </w:pPr>
      <w:r>
        <w:rPr>
          <w:rFonts w:ascii="Arial" w:hAnsi="Arial" w:cs="Arial"/>
          <w:i/>
        </w:rPr>
        <w:t>Keywords: [</w:t>
      </w:r>
      <w:r w:rsidR="00F13999">
        <w:rPr>
          <w:rFonts w:ascii="Arial" w:hAnsi="Arial" w:cs="Arial"/>
          <w:i/>
        </w:rPr>
        <w:t>Chemotherapy-relat</w:t>
      </w:r>
      <w:r w:rsidR="00172310">
        <w:rPr>
          <w:rFonts w:ascii="Arial" w:hAnsi="Arial" w:cs="Arial"/>
          <w:i/>
        </w:rPr>
        <w:t xml:space="preserve">ed </w:t>
      </w:r>
      <w:proofErr w:type="spellStart"/>
      <w:r w:rsidR="00172310">
        <w:rPr>
          <w:rFonts w:ascii="Arial" w:hAnsi="Arial" w:cs="Arial"/>
          <w:i/>
        </w:rPr>
        <w:t>thrombocytopaenia</w:t>
      </w:r>
      <w:proofErr w:type="spellEnd"/>
      <w:r w:rsidR="00172310">
        <w:rPr>
          <w:rFonts w:ascii="Arial" w:hAnsi="Arial" w:cs="Arial"/>
          <w:i/>
        </w:rPr>
        <w:t xml:space="preserve">, </w:t>
      </w:r>
      <w:proofErr w:type="spellStart"/>
      <w:r w:rsidR="00172310">
        <w:rPr>
          <w:rFonts w:ascii="Arial" w:hAnsi="Arial" w:cs="Arial"/>
          <w:i/>
        </w:rPr>
        <w:t>haematologic</w:t>
      </w:r>
      <w:proofErr w:type="spellEnd"/>
      <w:r w:rsidR="00172310">
        <w:rPr>
          <w:rFonts w:ascii="Arial" w:hAnsi="Arial" w:cs="Arial"/>
          <w:i/>
        </w:rPr>
        <w:t xml:space="preserve"> </w:t>
      </w:r>
      <w:proofErr w:type="gramStart"/>
      <w:r w:rsidR="00172310">
        <w:rPr>
          <w:rFonts w:ascii="Arial" w:hAnsi="Arial" w:cs="Arial"/>
          <w:i/>
        </w:rPr>
        <w:t xml:space="preserve">malignancies, </w:t>
      </w:r>
      <w:r>
        <w:rPr>
          <w:rFonts w:ascii="Arial" w:hAnsi="Arial" w:cs="Arial"/>
          <w:i/>
        </w:rPr>
        <w:t xml:space="preserve"> }</w:t>
      </w:r>
      <w:proofErr w:type="gramEnd"/>
    </w:p>
    <w:p w14:paraId="77B51DC2" w14:textId="77777777" w:rsidR="00790ADA" w:rsidRDefault="00790ADA" w:rsidP="00441B6F">
      <w:pPr>
        <w:pStyle w:val="Body"/>
        <w:spacing w:after="0"/>
        <w:rPr>
          <w:rFonts w:ascii="Arial" w:hAnsi="Arial" w:cs="Arial"/>
          <w:i/>
        </w:rPr>
      </w:pPr>
    </w:p>
    <w:p w14:paraId="7133BA27" w14:textId="77777777" w:rsidR="00505F06" w:rsidRPr="00A24E7E" w:rsidRDefault="00505F06" w:rsidP="00441B6F">
      <w:pPr>
        <w:pStyle w:val="Body"/>
        <w:spacing w:after="0"/>
        <w:rPr>
          <w:rFonts w:ascii="Arial" w:hAnsi="Arial" w:cs="Arial"/>
          <w:i/>
        </w:rPr>
      </w:pPr>
    </w:p>
    <w:p w14:paraId="68796799" w14:textId="2E690105"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1488351F" w14:textId="77777777" w:rsidR="00790ADA" w:rsidRPr="00FB3A86" w:rsidRDefault="00790ADA" w:rsidP="00441B6F">
      <w:pPr>
        <w:pStyle w:val="AbstHead"/>
        <w:spacing w:after="0"/>
        <w:jc w:val="both"/>
        <w:rPr>
          <w:rFonts w:ascii="Arial" w:hAnsi="Arial" w:cs="Arial"/>
        </w:rPr>
      </w:pPr>
    </w:p>
    <w:p w14:paraId="4EF69DBF" w14:textId="77777777" w:rsidR="004224C4" w:rsidRPr="004224C4" w:rsidRDefault="004224C4" w:rsidP="004224C4">
      <w:pPr>
        <w:pStyle w:val="Body"/>
        <w:spacing w:after="0"/>
        <w:rPr>
          <w:rFonts w:ascii="Arial" w:hAnsi="Arial" w:cs="Arial"/>
        </w:rPr>
      </w:pPr>
      <w:r w:rsidRPr="004224C4">
        <w:rPr>
          <w:rFonts w:ascii="Arial" w:hAnsi="Arial" w:cs="Arial"/>
        </w:rPr>
        <w:t xml:space="preserve">Abnormalities of </w:t>
      </w:r>
      <w:proofErr w:type="spellStart"/>
      <w:r w:rsidRPr="004224C4">
        <w:rPr>
          <w:rFonts w:ascii="Arial" w:hAnsi="Arial" w:cs="Arial"/>
        </w:rPr>
        <w:t>haematopoietic</w:t>
      </w:r>
      <w:proofErr w:type="spellEnd"/>
      <w:r w:rsidRPr="004224C4">
        <w:rPr>
          <w:rFonts w:ascii="Arial" w:hAnsi="Arial" w:cs="Arial"/>
        </w:rPr>
        <w:t xml:space="preserve"> stem cells, the various progenitors and precursors, and even mature blood cells, could confer a proliferative advantage to them. With the </w:t>
      </w:r>
      <w:proofErr w:type="spellStart"/>
      <w:r w:rsidRPr="004224C4">
        <w:rPr>
          <w:rFonts w:ascii="Arial" w:hAnsi="Arial" w:cs="Arial"/>
        </w:rPr>
        <w:t>leukaemias</w:t>
      </w:r>
      <w:proofErr w:type="spellEnd"/>
      <w:r w:rsidRPr="004224C4">
        <w:rPr>
          <w:rFonts w:ascii="Arial" w:hAnsi="Arial" w:cs="Arial"/>
        </w:rPr>
        <w:t xml:space="preserve">, especially the acute types and multiple myeloma, there is an initial infiltration of the bone marrow with these abnormal cells, resulting in failure of </w:t>
      </w:r>
      <w:proofErr w:type="spellStart"/>
      <w:r w:rsidRPr="004224C4">
        <w:rPr>
          <w:rFonts w:ascii="Arial" w:hAnsi="Arial" w:cs="Arial"/>
        </w:rPr>
        <w:t>haematopoiesis</w:t>
      </w:r>
      <w:proofErr w:type="spellEnd"/>
      <w:r w:rsidRPr="004224C4">
        <w:rPr>
          <w:rFonts w:ascii="Arial" w:hAnsi="Arial" w:cs="Arial"/>
        </w:rPr>
        <w:t xml:space="preserve"> and attendant </w:t>
      </w:r>
      <w:proofErr w:type="spellStart"/>
      <w:r w:rsidRPr="004224C4">
        <w:rPr>
          <w:rFonts w:ascii="Arial" w:hAnsi="Arial" w:cs="Arial"/>
        </w:rPr>
        <w:t>cytopaenia</w:t>
      </w:r>
      <w:proofErr w:type="spellEnd"/>
      <w:r w:rsidRPr="004224C4">
        <w:rPr>
          <w:rFonts w:ascii="Arial" w:hAnsi="Arial" w:cs="Arial"/>
        </w:rPr>
        <w:t xml:space="preserve">(s). </w:t>
      </w:r>
      <w:proofErr w:type="spellStart"/>
      <w:r w:rsidRPr="004224C4">
        <w:rPr>
          <w:rFonts w:ascii="Arial" w:hAnsi="Arial" w:cs="Arial"/>
        </w:rPr>
        <w:t>Haematologic</w:t>
      </w:r>
      <w:proofErr w:type="spellEnd"/>
      <w:r w:rsidRPr="004224C4">
        <w:rPr>
          <w:rFonts w:ascii="Arial" w:hAnsi="Arial" w:cs="Arial"/>
        </w:rPr>
        <w:t xml:space="preserve"> malignancies which affect the lymph nodes and lymphoid organs may eventually infiltrate the bone marrow and cause failure, but would present with swellings of the nodes or </w:t>
      </w:r>
      <w:proofErr w:type="spellStart"/>
      <w:r w:rsidRPr="004224C4">
        <w:rPr>
          <w:rFonts w:ascii="Arial" w:hAnsi="Arial" w:cs="Arial"/>
        </w:rPr>
        <w:t>extranodal</w:t>
      </w:r>
      <w:proofErr w:type="spellEnd"/>
      <w:r w:rsidRPr="004224C4">
        <w:rPr>
          <w:rFonts w:ascii="Arial" w:hAnsi="Arial" w:cs="Arial"/>
        </w:rPr>
        <w:t xml:space="preserve"> tissues in the initial moments. As such, the occurrence of </w:t>
      </w:r>
      <w:proofErr w:type="spellStart"/>
      <w:r w:rsidRPr="004224C4">
        <w:rPr>
          <w:rFonts w:ascii="Arial" w:hAnsi="Arial" w:cs="Arial"/>
        </w:rPr>
        <w:t>anaemia</w:t>
      </w:r>
      <w:proofErr w:type="spellEnd"/>
      <w:r w:rsidRPr="004224C4">
        <w:rPr>
          <w:rFonts w:ascii="Arial" w:hAnsi="Arial" w:cs="Arial"/>
        </w:rPr>
        <w:t xml:space="preserve">, </w:t>
      </w:r>
      <w:proofErr w:type="spellStart"/>
      <w:r w:rsidRPr="004224C4">
        <w:rPr>
          <w:rFonts w:ascii="Arial" w:hAnsi="Arial" w:cs="Arial"/>
        </w:rPr>
        <w:t>neutropaenia</w:t>
      </w:r>
      <w:proofErr w:type="spellEnd"/>
      <w:r w:rsidRPr="004224C4">
        <w:rPr>
          <w:rFonts w:ascii="Arial" w:hAnsi="Arial" w:cs="Arial"/>
        </w:rPr>
        <w:t xml:space="preserve">, and/or </w:t>
      </w:r>
      <w:proofErr w:type="spellStart"/>
      <w:r w:rsidRPr="004224C4">
        <w:rPr>
          <w:rFonts w:ascii="Arial" w:hAnsi="Arial" w:cs="Arial"/>
        </w:rPr>
        <w:t>thrombocytopaenia</w:t>
      </w:r>
      <w:proofErr w:type="spellEnd"/>
      <w:r w:rsidRPr="004224C4">
        <w:rPr>
          <w:rFonts w:ascii="Arial" w:hAnsi="Arial" w:cs="Arial"/>
        </w:rPr>
        <w:t xml:space="preserve"> is an expected finding in patients with </w:t>
      </w:r>
      <w:proofErr w:type="spellStart"/>
      <w:r w:rsidRPr="004224C4">
        <w:rPr>
          <w:rFonts w:ascii="Arial" w:hAnsi="Arial" w:cs="Arial"/>
        </w:rPr>
        <w:t>haematologic</w:t>
      </w:r>
      <w:proofErr w:type="spellEnd"/>
      <w:r w:rsidRPr="004224C4">
        <w:rPr>
          <w:rFonts w:ascii="Arial" w:hAnsi="Arial" w:cs="Arial"/>
        </w:rPr>
        <w:t xml:space="preserve"> cancers.</w:t>
      </w:r>
    </w:p>
    <w:p w14:paraId="660E7C9B" w14:textId="77777777" w:rsidR="004224C4" w:rsidRPr="004224C4" w:rsidRDefault="004224C4" w:rsidP="004224C4">
      <w:pPr>
        <w:pStyle w:val="Body"/>
        <w:spacing w:after="0"/>
        <w:rPr>
          <w:rFonts w:ascii="Arial" w:hAnsi="Arial" w:cs="Arial"/>
        </w:rPr>
      </w:pPr>
      <w:r w:rsidRPr="004224C4">
        <w:rPr>
          <w:rFonts w:ascii="Arial" w:hAnsi="Arial" w:cs="Arial"/>
        </w:rPr>
        <w:t>Platelets are produced following fragmentation of cytoplasm of megakaryocytes in the bone marrow. They enter into the circulation and live about 6 – 10 days and are removed from circulation by hepatocytes via ligand-receptor interaction mechanisms. (Chaudhary et al., 2022) In the adult populations, normal platelets count is between 150 x 10</w:t>
      </w:r>
      <w:r w:rsidRPr="004224C4">
        <w:rPr>
          <w:rFonts w:ascii="Arial" w:hAnsi="Arial" w:cs="Arial"/>
          <w:vertAlign w:val="superscript"/>
        </w:rPr>
        <w:t>9</w:t>
      </w:r>
      <w:r w:rsidRPr="004224C4">
        <w:rPr>
          <w:rFonts w:ascii="Arial" w:hAnsi="Arial" w:cs="Arial"/>
        </w:rPr>
        <w:t>/l – 450 x 10</w:t>
      </w:r>
      <w:r w:rsidRPr="004224C4">
        <w:rPr>
          <w:rFonts w:ascii="Arial" w:hAnsi="Arial" w:cs="Arial"/>
          <w:vertAlign w:val="superscript"/>
        </w:rPr>
        <w:t>9</w:t>
      </w:r>
      <w:r w:rsidRPr="004224C4">
        <w:rPr>
          <w:rFonts w:ascii="Arial" w:hAnsi="Arial" w:cs="Arial"/>
        </w:rPr>
        <w:t xml:space="preserve">/l. This value may be higher in </w:t>
      </w:r>
      <w:proofErr w:type="spellStart"/>
      <w:r w:rsidRPr="004224C4">
        <w:rPr>
          <w:rFonts w:ascii="Arial" w:hAnsi="Arial" w:cs="Arial"/>
        </w:rPr>
        <w:t>paediatric</w:t>
      </w:r>
      <w:proofErr w:type="spellEnd"/>
      <w:r w:rsidRPr="004224C4">
        <w:rPr>
          <w:rFonts w:ascii="Arial" w:hAnsi="Arial" w:cs="Arial"/>
        </w:rPr>
        <w:t xml:space="preserve"> populations, especially in infants and toddlers, due to factors like less mature immune system, faster metabolism, and higher marrow activity. (Davenport et al., 2023) </w:t>
      </w:r>
      <w:proofErr w:type="spellStart"/>
      <w:r w:rsidRPr="004224C4">
        <w:rPr>
          <w:rFonts w:ascii="Arial" w:hAnsi="Arial" w:cs="Arial"/>
        </w:rPr>
        <w:t>Thrombocytopaenia</w:t>
      </w:r>
      <w:proofErr w:type="spellEnd"/>
      <w:r w:rsidRPr="004224C4">
        <w:rPr>
          <w:rFonts w:ascii="Arial" w:hAnsi="Arial" w:cs="Arial"/>
        </w:rPr>
        <w:t xml:space="preserve"> is defined as </w:t>
      </w:r>
      <w:r w:rsidRPr="004224C4">
        <w:rPr>
          <w:rFonts w:ascii="Arial" w:hAnsi="Arial" w:cs="Arial"/>
        </w:rPr>
        <w:lastRenderedPageBreak/>
        <w:t>counts of &lt; 100 x 10</w:t>
      </w:r>
      <w:r w:rsidRPr="004224C4">
        <w:rPr>
          <w:rFonts w:ascii="Arial" w:hAnsi="Arial" w:cs="Arial"/>
          <w:vertAlign w:val="superscript"/>
        </w:rPr>
        <w:t>9</w:t>
      </w:r>
      <w:r w:rsidRPr="004224C4">
        <w:rPr>
          <w:rFonts w:ascii="Arial" w:hAnsi="Arial" w:cs="Arial"/>
        </w:rPr>
        <w:t>/l; (</w:t>
      </w:r>
      <w:proofErr w:type="spellStart"/>
      <w:r w:rsidRPr="004224C4">
        <w:rPr>
          <w:rFonts w:ascii="Arial" w:hAnsi="Arial" w:cs="Arial"/>
        </w:rPr>
        <w:t>Gauer</w:t>
      </w:r>
      <w:proofErr w:type="spellEnd"/>
      <w:r w:rsidRPr="004224C4">
        <w:rPr>
          <w:rFonts w:ascii="Arial" w:hAnsi="Arial" w:cs="Arial"/>
        </w:rPr>
        <w:t xml:space="preserve"> &amp; Whitaker, 2022) and it is at these counts that the risk of bleeding becomes significant, when all other factors are normal.</w:t>
      </w:r>
    </w:p>
    <w:p w14:paraId="54CF2671" w14:textId="77777777" w:rsidR="004224C4" w:rsidRPr="004224C4" w:rsidRDefault="004224C4" w:rsidP="004224C4">
      <w:pPr>
        <w:pStyle w:val="Body"/>
        <w:spacing w:after="0"/>
        <w:rPr>
          <w:rFonts w:ascii="Arial" w:hAnsi="Arial" w:cs="Arial"/>
        </w:rPr>
      </w:pPr>
      <w:r w:rsidRPr="004224C4">
        <w:rPr>
          <w:rFonts w:ascii="Arial" w:hAnsi="Arial" w:cs="Arial"/>
        </w:rPr>
        <w:t xml:space="preserve">Chemotherapy is a vital component in the definitive treatment of </w:t>
      </w:r>
      <w:proofErr w:type="spellStart"/>
      <w:r w:rsidRPr="004224C4">
        <w:rPr>
          <w:rFonts w:ascii="Arial" w:hAnsi="Arial" w:cs="Arial"/>
        </w:rPr>
        <w:t>haematologic</w:t>
      </w:r>
      <w:proofErr w:type="spellEnd"/>
      <w:r w:rsidRPr="004224C4">
        <w:rPr>
          <w:rFonts w:ascii="Arial" w:hAnsi="Arial" w:cs="Arial"/>
        </w:rPr>
        <w:t xml:space="preserve"> malignancies. It utilizes a wide range of agents, both targeted and non-targeted, with more toxicity, including </w:t>
      </w:r>
      <w:proofErr w:type="spellStart"/>
      <w:r w:rsidRPr="004224C4">
        <w:rPr>
          <w:rFonts w:ascii="Arial" w:hAnsi="Arial" w:cs="Arial"/>
        </w:rPr>
        <w:t>thrombocytopaenia</w:t>
      </w:r>
      <w:proofErr w:type="spellEnd"/>
      <w:r w:rsidRPr="004224C4">
        <w:rPr>
          <w:rFonts w:ascii="Arial" w:hAnsi="Arial" w:cs="Arial"/>
        </w:rPr>
        <w:t xml:space="preserve">, associated with non-targeted chemotherapy regimens. This could be due to direct cytotoxic effect on the megakaryocytes, immune destruction, and disruption of the bone marrow </w:t>
      </w:r>
      <w:proofErr w:type="spellStart"/>
      <w:r w:rsidRPr="004224C4">
        <w:rPr>
          <w:rFonts w:ascii="Arial" w:hAnsi="Arial" w:cs="Arial"/>
        </w:rPr>
        <w:t>microenviroment</w:t>
      </w:r>
      <w:proofErr w:type="spellEnd"/>
      <w:r w:rsidRPr="004224C4">
        <w:rPr>
          <w:rFonts w:ascii="Arial" w:hAnsi="Arial" w:cs="Arial"/>
        </w:rPr>
        <w:t xml:space="preserve">. (Gao et al., 2023) On the basis of counts, chemotherapy-induced </w:t>
      </w:r>
      <w:proofErr w:type="spellStart"/>
      <w:r w:rsidRPr="004224C4">
        <w:rPr>
          <w:rFonts w:ascii="Arial" w:hAnsi="Arial" w:cs="Arial"/>
        </w:rPr>
        <w:t>thrombocytopaenia</w:t>
      </w:r>
      <w:proofErr w:type="spellEnd"/>
      <w:r w:rsidRPr="004224C4">
        <w:rPr>
          <w:rFonts w:ascii="Arial" w:hAnsi="Arial" w:cs="Arial"/>
        </w:rPr>
        <w:t xml:space="preserve"> has been graded into four as per Common Terminology Criteria for Adverse Events, CTCAE: grade 1, platelet count &gt;75 – &lt;100 x 10</w:t>
      </w:r>
      <w:r w:rsidRPr="004224C4">
        <w:rPr>
          <w:rFonts w:ascii="Arial" w:hAnsi="Arial" w:cs="Arial"/>
          <w:vertAlign w:val="superscript"/>
        </w:rPr>
        <w:t>9</w:t>
      </w:r>
      <w:r w:rsidRPr="004224C4">
        <w:rPr>
          <w:rFonts w:ascii="Arial" w:hAnsi="Arial" w:cs="Arial"/>
        </w:rPr>
        <w:t>/l; grade 2, platelet count &gt;50 – 75 x 10</w:t>
      </w:r>
      <w:r w:rsidRPr="004224C4">
        <w:rPr>
          <w:rFonts w:ascii="Arial" w:hAnsi="Arial" w:cs="Arial"/>
          <w:vertAlign w:val="superscript"/>
        </w:rPr>
        <w:t>9</w:t>
      </w:r>
      <w:r w:rsidRPr="004224C4">
        <w:rPr>
          <w:rFonts w:ascii="Arial" w:hAnsi="Arial" w:cs="Arial"/>
        </w:rPr>
        <w:t>/l; grade 3, platelet count 25 – 50 x 10</w:t>
      </w:r>
      <w:r w:rsidRPr="004224C4">
        <w:rPr>
          <w:rFonts w:ascii="Arial" w:hAnsi="Arial" w:cs="Arial"/>
          <w:vertAlign w:val="superscript"/>
        </w:rPr>
        <w:t>9</w:t>
      </w:r>
      <w:r w:rsidRPr="004224C4">
        <w:rPr>
          <w:rFonts w:ascii="Arial" w:hAnsi="Arial" w:cs="Arial"/>
        </w:rPr>
        <w:t>/l; and grade 4, platelet counts &lt; 25 x 10</w:t>
      </w:r>
      <w:r w:rsidRPr="004224C4">
        <w:rPr>
          <w:rFonts w:ascii="Arial" w:hAnsi="Arial" w:cs="Arial"/>
          <w:vertAlign w:val="superscript"/>
        </w:rPr>
        <w:t>9</w:t>
      </w:r>
      <w:r w:rsidRPr="004224C4">
        <w:rPr>
          <w:rFonts w:ascii="Arial" w:hAnsi="Arial" w:cs="Arial"/>
        </w:rPr>
        <w:t>/l. These grades are associated with worsening risk of bleeding. (Gao et al., 2023) After commencement of chemotherapy, platelet count begins to drop and may reach lowest values within two weeks; afterwards, it rises to reach pre-chemo levels on days 28 – 35.</w:t>
      </w:r>
    </w:p>
    <w:p w14:paraId="2A02989D" w14:textId="77777777" w:rsidR="004224C4" w:rsidRPr="004224C4" w:rsidRDefault="004224C4" w:rsidP="004224C4">
      <w:pPr>
        <w:pStyle w:val="Body"/>
        <w:spacing w:after="0"/>
        <w:rPr>
          <w:rFonts w:ascii="Arial" w:hAnsi="Arial" w:cs="Arial"/>
        </w:rPr>
      </w:pPr>
      <w:r w:rsidRPr="004224C4">
        <w:rPr>
          <w:rFonts w:ascii="Arial" w:hAnsi="Arial" w:cs="Arial"/>
        </w:rPr>
        <w:t xml:space="preserve">This study aims to establish the prevalence of chemotherapy-related </w:t>
      </w:r>
      <w:proofErr w:type="spellStart"/>
      <w:r w:rsidRPr="004224C4">
        <w:rPr>
          <w:rFonts w:ascii="Arial" w:hAnsi="Arial" w:cs="Arial"/>
        </w:rPr>
        <w:t>thrombocytopaenia</w:t>
      </w:r>
      <w:proofErr w:type="spellEnd"/>
      <w:r w:rsidRPr="004224C4">
        <w:rPr>
          <w:rFonts w:ascii="Arial" w:hAnsi="Arial" w:cs="Arial"/>
        </w:rPr>
        <w:t xml:space="preserve"> in adult patients with </w:t>
      </w:r>
      <w:proofErr w:type="spellStart"/>
      <w:r w:rsidRPr="004224C4">
        <w:rPr>
          <w:rFonts w:ascii="Arial" w:hAnsi="Arial" w:cs="Arial"/>
        </w:rPr>
        <w:t>haematologic</w:t>
      </w:r>
      <w:proofErr w:type="spellEnd"/>
      <w:r w:rsidRPr="004224C4">
        <w:rPr>
          <w:rFonts w:ascii="Arial" w:hAnsi="Arial" w:cs="Arial"/>
        </w:rPr>
        <w:t xml:space="preserve"> cancers. It also seeks to determine if there is a significant relationship between chemotherapy regimen and </w:t>
      </w:r>
      <w:proofErr w:type="spellStart"/>
      <w:r w:rsidRPr="004224C4">
        <w:rPr>
          <w:rFonts w:ascii="Arial" w:hAnsi="Arial" w:cs="Arial"/>
        </w:rPr>
        <w:t>thrombocytopaenia</w:t>
      </w:r>
      <w:proofErr w:type="spellEnd"/>
      <w:r w:rsidRPr="004224C4">
        <w:rPr>
          <w:rFonts w:ascii="Arial" w:hAnsi="Arial" w:cs="Arial"/>
        </w:rPr>
        <w:t xml:space="preserve">, and which chemotherapy regimen is associated with the most </w:t>
      </w:r>
      <w:proofErr w:type="spellStart"/>
      <w:r w:rsidRPr="004224C4">
        <w:rPr>
          <w:rFonts w:ascii="Arial" w:hAnsi="Arial" w:cs="Arial"/>
        </w:rPr>
        <w:t>thrombocytopaenia</w:t>
      </w:r>
      <w:proofErr w:type="spellEnd"/>
      <w:r w:rsidRPr="004224C4">
        <w:rPr>
          <w:rFonts w:ascii="Arial" w:hAnsi="Arial" w:cs="Arial"/>
        </w:rPr>
        <w:t xml:space="preserve"> among these patients.</w:t>
      </w:r>
    </w:p>
    <w:p w14:paraId="39F9DF03" w14:textId="3B06E3DC" w:rsidR="00B01FCD" w:rsidRDefault="00B01FCD" w:rsidP="00441B6F">
      <w:pPr>
        <w:pStyle w:val="Body"/>
        <w:spacing w:after="0"/>
        <w:rPr>
          <w:rFonts w:ascii="Arial" w:hAnsi="Arial" w:cs="Arial"/>
        </w:rPr>
      </w:pPr>
    </w:p>
    <w:p w14:paraId="41ED3627" w14:textId="77777777" w:rsidR="00790ADA" w:rsidRPr="00FB3A86" w:rsidRDefault="00790ADA" w:rsidP="00441B6F">
      <w:pPr>
        <w:pStyle w:val="Body"/>
        <w:spacing w:after="0"/>
        <w:rPr>
          <w:rFonts w:ascii="Arial" w:hAnsi="Arial" w:cs="Arial"/>
        </w:rPr>
      </w:pPr>
    </w:p>
    <w:p w14:paraId="44435B9F" w14:textId="3F7005EC"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p>
    <w:p w14:paraId="671EBA5A" w14:textId="77777777" w:rsidR="00790ADA" w:rsidRPr="00FB3A86" w:rsidRDefault="00790ADA" w:rsidP="00441B6F">
      <w:pPr>
        <w:pStyle w:val="AbstHead"/>
        <w:spacing w:after="0"/>
        <w:jc w:val="both"/>
        <w:rPr>
          <w:rFonts w:ascii="Arial" w:hAnsi="Arial" w:cs="Arial"/>
        </w:rPr>
      </w:pPr>
    </w:p>
    <w:p w14:paraId="7307D3F0" w14:textId="77777777" w:rsidR="00C77701" w:rsidRPr="00C77701" w:rsidRDefault="00C77701" w:rsidP="00C77701">
      <w:pPr>
        <w:pStyle w:val="Body"/>
        <w:spacing w:after="0"/>
        <w:rPr>
          <w:rFonts w:ascii="Arial" w:hAnsi="Arial" w:cs="Arial"/>
        </w:rPr>
      </w:pPr>
      <w:r w:rsidRPr="00C77701">
        <w:rPr>
          <w:rFonts w:ascii="Arial" w:hAnsi="Arial" w:cs="Arial"/>
        </w:rPr>
        <w:t xml:space="preserve">It is a retrospective, cross-sectional study involving patients with </w:t>
      </w:r>
      <w:proofErr w:type="spellStart"/>
      <w:r w:rsidRPr="00C77701">
        <w:rPr>
          <w:rFonts w:ascii="Arial" w:hAnsi="Arial" w:cs="Arial"/>
        </w:rPr>
        <w:t>haematologic</w:t>
      </w:r>
      <w:proofErr w:type="spellEnd"/>
      <w:r w:rsidRPr="00C77701">
        <w:rPr>
          <w:rFonts w:ascii="Arial" w:hAnsi="Arial" w:cs="Arial"/>
        </w:rPr>
        <w:t xml:space="preserve"> malignancies that were treated in the department of the </w:t>
      </w:r>
      <w:proofErr w:type="spellStart"/>
      <w:r w:rsidRPr="00C77701">
        <w:rPr>
          <w:rFonts w:ascii="Arial" w:hAnsi="Arial" w:cs="Arial"/>
        </w:rPr>
        <w:t>Haematology</w:t>
      </w:r>
      <w:proofErr w:type="spellEnd"/>
      <w:r w:rsidRPr="00C77701">
        <w:rPr>
          <w:rFonts w:ascii="Arial" w:hAnsi="Arial" w:cs="Arial"/>
        </w:rPr>
        <w:t xml:space="preserve"> and Blood Transfusion of the University of Port Harcourt Teaching Hospital between the years 2015 – 2025. A total of 126 folders of patients with various </w:t>
      </w:r>
      <w:proofErr w:type="spellStart"/>
      <w:r w:rsidRPr="00C77701">
        <w:rPr>
          <w:rFonts w:ascii="Arial" w:hAnsi="Arial" w:cs="Arial"/>
        </w:rPr>
        <w:t>haematologic</w:t>
      </w:r>
      <w:proofErr w:type="spellEnd"/>
      <w:r w:rsidRPr="00C77701">
        <w:rPr>
          <w:rFonts w:ascii="Arial" w:hAnsi="Arial" w:cs="Arial"/>
        </w:rPr>
        <w:t xml:space="preserve"> cancers were retrieved. Seventy-two (72) were with complete and relevant clinical and laboratory data and were included in the study. Data analysis was by SPSS version 26 and results are reported in bar charts, pie charts, and histograms. Statistical significance is set at </w:t>
      </w:r>
      <w:r w:rsidRPr="00C77701">
        <w:rPr>
          <w:rFonts w:ascii="Arial" w:hAnsi="Arial" w:cs="Arial"/>
          <w:i/>
          <w:iCs/>
        </w:rPr>
        <w:t>P</w:t>
      </w:r>
      <w:r w:rsidRPr="00C77701">
        <w:rPr>
          <w:rFonts w:ascii="Arial" w:hAnsi="Arial" w:cs="Arial"/>
        </w:rPr>
        <w:t xml:space="preserve"> = .05. Institutional ethical approval was obtained from the department of Health Research and Ethics committee of the hospital, and data from folders were handled with good patient anonymity.</w:t>
      </w:r>
    </w:p>
    <w:p w14:paraId="6EBEBC85" w14:textId="267FDE80" w:rsidR="00790ADA" w:rsidRPr="00FB3A86" w:rsidRDefault="00790ADA" w:rsidP="004224C4">
      <w:pPr>
        <w:pStyle w:val="Body"/>
        <w:spacing w:after="0"/>
        <w:rPr>
          <w:rFonts w:ascii="Arial" w:hAnsi="Arial" w:cs="Arial"/>
        </w:rPr>
      </w:pPr>
    </w:p>
    <w:p w14:paraId="26533C8B" w14:textId="4D2707BC"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w:t>
      </w:r>
    </w:p>
    <w:p w14:paraId="62466EA5" w14:textId="77777777" w:rsidR="00790ADA" w:rsidRPr="00FB3A86" w:rsidRDefault="00790ADA" w:rsidP="00441B6F">
      <w:pPr>
        <w:pStyle w:val="Head1"/>
        <w:spacing w:after="0"/>
        <w:jc w:val="both"/>
        <w:rPr>
          <w:rFonts w:ascii="Arial" w:hAnsi="Arial" w:cs="Arial"/>
        </w:rPr>
      </w:pPr>
    </w:p>
    <w:p w14:paraId="1EFEB627" w14:textId="77777777" w:rsidR="00FA7F6D" w:rsidRPr="00FA7F6D" w:rsidRDefault="00FA7F6D" w:rsidP="00FA7F6D">
      <w:pPr>
        <w:pStyle w:val="Body"/>
        <w:spacing w:after="0"/>
        <w:rPr>
          <w:rFonts w:ascii="Arial" w:hAnsi="Arial" w:cs="Arial"/>
        </w:rPr>
      </w:pPr>
      <w:r w:rsidRPr="00FA7F6D">
        <w:rPr>
          <w:rFonts w:ascii="Arial" w:hAnsi="Arial" w:cs="Arial"/>
        </w:rPr>
        <w:t xml:space="preserve">The </w:t>
      </w:r>
      <w:proofErr w:type="spellStart"/>
      <w:r w:rsidRPr="00FA7F6D">
        <w:rPr>
          <w:rFonts w:ascii="Arial" w:hAnsi="Arial" w:cs="Arial"/>
        </w:rPr>
        <w:t>haematologic</w:t>
      </w:r>
      <w:proofErr w:type="spellEnd"/>
      <w:r w:rsidRPr="00FA7F6D">
        <w:rPr>
          <w:rFonts w:ascii="Arial" w:hAnsi="Arial" w:cs="Arial"/>
        </w:rPr>
        <w:t xml:space="preserve"> malignancies which were treated in the department in the period reviewed are small lymphocytic lymphoma, SLL, chronic lymphocytic </w:t>
      </w:r>
      <w:proofErr w:type="spellStart"/>
      <w:r w:rsidRPr="00FA7F6D">
        <w:rPr>
          <w:rFonts w:ascii="Arial" w:hAnsi="Arial" w:cs="Arial"/>
        </w:rPr>
        <w:t>leukaemia</w:t>
      </w:r>
      <w:proofErr w:type="spellEnd"/>
      <w:r w:rsidRPr="00FA7F6D">
        <w:rPr>
          <w:rFonts w:ascii="Arial" w:hAnsi="Arial" w:cs="Arial"/>
        </w:rPr>
        <w:t xml:space="preserve">, CLL, multiple myeloma, MM, non-Hodgkin lymphoma, NHL, Hodgkin lymphoma, HL, acute myeloid </w:t>
      </w:r>
      <w:proofErr w:type="spellStart"/>
      <w:r w:rsidRPr="00FA7F6D">
        <w:rPr>
          <w:rFonts w:ascii="Arial" w:hAnsi="Arial" w:cs="Arial"/>
        </w:rPr>
        <w:t>leukaemia</w:t>
      </w:r>
      <w:proofErr w:type="spellEnd"/>
      <w:r w:rsidRPr="00FA7F6D">
        <w:rPr>
          <w:rFonts w:ascii="Arial" w:hAnsi="Arial" w:cs="Arial"/>
        </w:rPr>
        <w:t xml:space="preserve">, AML, and acute lymphoblastic lymphoma, ALL. The frequencies of these conditions </w:t>
      </w:r>
      <w:proofErr w:type="gramStart"/>
      <w:r w:rsidRPr="00FA7F6D">
        <w:rPr>
          <w:rFonts w:ascii="Arial" w:hAnsi="Arial" w:cs="Arial"/>
        </w:rPr>
        <w:t>is</w:t>
      </w:r>
      <w:proofErr w:type="gramEnd"/>
      <w:r w:rsidRPr="00FA7F6D">
        <w:rPr>
          <w:rFonts w:ascii="Arial" w:hAnsi="Arial" w:cs="Arial"/>
        </w:rPr>
        <w:t xml:space="preserve"> captured in the figure 1 below. These values represent the individual </w:t>
      </w:r>
      <w:proofErr w:type="spellStart"/>
      <w:r w:rsidRPr="00FA7F6D">
        <w:rPr>
          <w:rFonts w:ascii="Arial" w:hAnsi="Arial" w:cs="Arial"/>
        </w:rPr>
        <w:t>haematologic</w:t>
      </w:r>
      <w:proofErr w:type="spellEnd"/>
      <w:r w:rsidRPr="00FA7F6D">
        <w:rPr>
          <w:rFonts w:ascii="Arial" w:hAnsi="Arial" w:cs="Arial"/>
        </w:rPr>
        <w:t xml:space="preserve"> cancers and not those that were able to receive chemotherapy.</w:t>
      </w:r>
    </w:p>
    <w:p w14:paraId="2C9EBF73" w14:textId="77777777" w:rsidR="00FA7F6D" w:rsidRPr="00FA7F6D" w:rsidRDefault="00FA7F6D" w:rsidP="00FA7F6D">
      <w:pPr>
        <w:pStyle w:val="Body"/>
        <w:spacing w:after="0"/>
        <w:rPr>
          <w:rFonts w:ascii="Arial" w:hAnsi="Arial" w:cs="Arial"/>
          <w:b/>
          <w:bCs/>
        </w:rPr>
      </w:pPr>
      <w:r w:rsidRPr="00FA7F6D">
        <w:rPr>
          <w:rFonts w:ascii="Arial" w:hAnsi="Arial" w:cs="Arial"/>
          <w:noProof/>
        </w:rPr>
        <w:lastRenderedPageBreak/>
        <w:drawing>
          <wp:inline distT="0" distB="0" distL="0" distR="0" wp14:anchorId="23F37408" wp14:editId="4DB71F83">
            <wp:extent cx="5172075" cy="4305300"/>
            <wp:effectExtent l="0" t="0" r="9525" b="0"/>
            <wp:docPr id="1642356945" name="Chart 1642356945">
              <a:extLst xmlns:a="http://schemas.openxmlformats.org/drawingml/2006/main">
                <a:ext uri="{FF2B5EF4-FFF2-40B4-BE49-F238E27FC236}">
                  <a16:creationId xmlns:a16="http://schemas.microsoft.com/office/drawing/2014/main" id="{6777FF66-15DE-47EA-8590-0E6188BFF18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BAA205B" w14:textId="48F96A6C" w:rsidR="00895CAF" w:rsidRDefault="00FA7F6D" w:rsidP="00FA7F6D">
      <w:pPr>
        <w:pStyle w:val="Body"/>
        <w:spacing w:after="0"/>
        <w:rPr>
          <w:rFonts w:ascii="Arial" w:hAnsi="Arial" w:cs="Arial"/>
          <w:b/>
          <w:bCs/>
        </w:rPr>
      </w:pPr>
      <w:r w:rsidRPr="00FA7F6D">
        <w:rPr>
          <w:rFonts w:ascii="Arial" w:hAnsi="Arial" w:cs="Arial"/>
          <w:b/>
          <w:bCs/>
        </w:rPr>
        <w:t>Fig. 1. Bar chart of the proportion of the different types of cancer seen in the study</w:t>
      </w:r>
    </w:p>
    <w:p w14:paraId="43152F7B" w14:textId="77777777" w:rsidR="00F62AE0" w:rsidRDefault="00F62AE0" w:rsidP="00FA7F6D">
      <w:pPr>
        <w:pStyle w:val="Body"/>
        <w:spacing w:after="0"/>
        <w:rPr>
          <w:rFonts w:ascii="Arial" w:hAnsi="Arial" w:cs="Arial"/>
          <w:b/>
          <w:bCs/>
        </w:rPr>
      </w:pPr>
    </w:p>
    <w:p w14:paraId="7EC341A8" w14:textId="6848B0B5" w:rsidR="00D94B3B" w:rsidRDefault="009B378D" w:rsidP="00FA7F6D">
      <w:pPr>
        <w:pStyle w:val="Body"/>
        <w:spacing w:after="0"/>
        <w:rPr>
          <w:rFonts w:ascii="Arial" w:hAnsi="Arial" w:cs="Arial"/>
          <w:b/>
          <w:bCs/>
        </w:rPr>
      </w:pPr>
      <w:r>
        <w:rPr>
          <w:rFonts w:ascii="Arial" w:hAnsi="Arial" w:cs="Arial"/>
          <w:b/>
          <w:bCs/>
        </w:rPr>
        <w:t xml:space="preserve">(SLL-small lymphocytic </w:t>
      </w:r>
      <w:proofErr w:type="spellStart"/>
      <w:r>
        <w:rPr>
          <w:rFonts w:ascii="Arial" w:hAnsi="Arial" w:cs="Arial"/>
          <w:b/>
          <w:bCs/>
        </w:rPr>
        <w:t>leukaemia</w:t>
      </w:r>
      <w:proofErr w:type="spellEnd"/>
      <w:r>
        <w:rPr>
          <w:rFonts w:ascii="Arial" w:hAnsi="Arial" w:cs="Arial"/>
          <w:b/>
          <w:bCs/>
        </w:rPr>
        <w:t xml:space="preserve">, FL- follicular lymphoma, MM- multiple myeloma, MDN- myelodysplastic neoplasia, HL- Hodgkin lymphoma, DLBCL- Diffuse large B-cell lymphoma, CML- chronic myeloid </w:t>
      </w:r>
      <w:proofErr w:type="spellStart"/>
      <w:r>
        <w:rPr>
          <w:rFonts w:ascii="Arial" w:hAnsi="Arial" w:cs="Arial"/>
          <w:b/>
          <w:bCs/>
        </w:rPr>
        <w:t>leukaemia</w:t>
      </w:r>
      <w:proofErr w:type="spellEnd"/>
      <w:r>
        <w:rPr>
          <w:rFonts w:ascii="Arial" w:hAnsi="Arial" w:cs="Arial"/>
          <w:b/>
          <w:bCs/>
        </w:rPr>
        <w:t>, CLL- chronic lymph</w:t>
      </w:r>
      <w:r w:rsidR="00F959EB">
        <w:rPr>
          <w:rFonts w:ascii="Arial" w:hAnsi="Arial" w:cs="Arial"/>
          <w:b/>
          <w:bCs/>
        </w:rPr>
        <w:t xml:space="preserve">ocytic </w:t>
      </w:r>
      <w:proofErr w:type="spellStart"/>
      <w:r w:rsidR="00F959EB">
        <w:rPr>
          <w:rFonts w:ascii="Arial" w:hAnsi="Arial" w:cs="Arial"/>
          <w:b/>
          <w:bCs/>
        </w:rPr>
        <w:t>leukaemia</w:t>
      </w:r>
      <w:proofErr w:type="spellEnd"/>
      <w:r w:rsidR="00F959EB">
        <w:rPr>
          <w:rFonts w:ascii="Arial" w:hAnsi="Arial" w:cs="Arial"/>
          <w:b/>
          <w:bCs/>
        </w:rPr>
        <w:t xml:space="preserve">, AML- acute myeloid </w:t>
      </w:r>
      <w:proofErr w:type="spellStart"/>
      <w:r w:rsidR="00F959EB">
        <w:rPr>
          <w:rFonts w:ascii="Arial" w:hAnsi="Arial" w:cs="Arial"/>
          <w:b/>
          <w:bCs/>
        </w:rPr>
        <w:t>leukaemia</w:t>
      </w:r>
      <w:proofErr w:type="spellEnd"/>
      <w:r w:rsidR="00F959EB">
        <w:rPr>
          <w:rFonts w:ascii="Arial" w:hAnsi="Arial" w:cs="Arial"/>
          <w:b/>
          <w:bCs/>
        </w:rPr>
        <w:t xml:space="preserve">, ALL- acute lymphoblastic </w:t>
      </w:r>
      <w:proofErr w:type="spellStart"/>
      <w:r w:rsidR="00F959EB">
        <w:rPr>
          <w:rFonts w:ascii="Arial" w:hAnsi="Arial" w:cs="Arial"/>
          <w:b/>
          <w:bCs/>
        </w:rPr>
        <w:t>leukaemia</w:t>
      </w:r>
      <w:proofErr w:type="spellEnd"/>
      <w:r w:rsidR="00F959EB">
        <w:rPr>
          <w:rFonts w:ascii="Arial" w:hAnsi="Arial" w:cs="Arial"/>
          <w:b/>
          <w:bCs/>
        </w:rPr>
        <w:t>)</w:t>
      </w:r>
    </w:p>
    <w:p w14:paraId="113C6122" w14:textId="77777777" w:rsidR="00F959EB" w:rsidRPr="00FA7F6D" w:rsidRDefault="00F959EB" w:rsidP="00FA7F6D">
      <w:pPr>
        <w:pStyle w:val="Body"/>
        <w:spacing w:after="0"/>
        <w:rPr>
          <w:rFonts w:ascii="Arial" w:hAnsi="Arial" w:cs="Arial"/>
          <w:b/>
          <w:bCs/>
        </w:rPr>
      </w:pPr>
    </w:p>
    <w:p w14:paraId="26CBEE9C" w14:textId="77777777" w:rsidR="00FA7F6D" w:rsidRPr="00FA7F6D" w:rsidRDefault="00FA7F6D" w:rsidP="00FA7F6D">
      <w:pPr>
        <w:pStyle w:val="Body"/>
        <w:spacing w:after="0"/>
        <w:rPr>
          <w:rFonts w:ascii="Arial" w:hAnsi="Arial" w:cs="Arial"/>
        </w:rPr>
      </w:pPr>
      <w:r w:rsidRPr="00FA7F6D">
        <w:rPr>
          <w:rFonts w:ascii="Arial" w:hAnsi="Arial" w:cs="Arial"/>
        </w:rPr>
        <w:t xml:space="preserve">Of the 72 patients included in the study, 63.9% were males while 36.1% were females. Patients were of various ethnic groups but predominantly Igbo, Ijaw and </w:t>
      </w:r>
      <w:proofErr w:type="spellStart"/>
      <w:r w:rsidRPr="00FA7F6D">
        <w:rPr>
          <w:rFonts w:ascii="Arial" w:hAnsi="Arial" w:cs="Arial"/>
        </w:rPr>
        <w:t>Ikwerre</w:t>
      </w:r>
      <w:proofErr w:type="spellEnd"/>
      <w:r w:rsidRPr="00FA7F6D">
        <w:rPr>
          <w:rFonts w:ascii="Arial" w:hAnsi="Arial" w:cs="Arial"/>
        </w:rPr>
        <w:t xml:space="preserve"> as captured in table 1. The results established a statistically significant relationship between the ethnicity of patients and the occurrence of chemotherapy-induced </w:t>
      </w:r>
      <w:proofErr w:type="spellStart"/>
      <w:r w:rsidRPr="00FA7F6D">
        <w:rPr>
          <w:rFonts w:ascii="Arial" w:hAnsi="Arial" w:cs="Arial"/>
        </w:rPr>
        <w:t>thrombocytopaenia</w:t>
      </w:r>
      <w:proofErr w:type="spellEnd"/>
      <w:r w:rsidRPr="00FA7F6D">
        <w:rPr>
          <w:rFonts w:ascii="Arial" w:hAnsi="Arial" w:cs="Arial"/>
        </w:rPr>
        <w:t xml:space="preserve"> (</w:t>
      </w:r>
      <w:r w:rsidRPr="00FA7F6D">
        <w:rPr>
          <w:rFonts w:ascii="Arial" w:hAnsi="Arial" w:cs="Arial"/>
          <w:i/>
          <w:iCs/>
        </w:rPr>
        <w:t>P</w:t>
      </w:r>
      <w:r w:rsidRPr="00FA7F6D">
        <w:rPr>
          <w:rFonts w:ascii="Arial" w:hAnsi="Arial" w:cs="Arial"/>
        </w:rPr>
        <w:t xml:space="preserve"> = .03) as shown in table 2.</w:t>
      </w:r>
    </w:p>
    <w:p w14:paraId="788D9ED3" w14:textId="77777777" w:rsidR="00FA7F6D" w:rsidRPr="00FA7F6D" w:rsidRDefault="00FA7F6D" w:rsidP="00FA7F6D">
      <w:pPr>
        <w:pStyle w:val="Body"/>
        <w:spacing w:after="0"/>
        <w:rPr>
          <w:rFonts w:ascii="Arial" w:hAnsi="Arial" w:cs="Arial"/>
        </w:rPr>
      </w:pPr>
    </w:p>
    <w:p w14:paraId="6C1301C8" w14:textId="77777777" w:rsidR="00FA7F6D" w:rsidRPr="00FA7F6D" w:rsidRDefault="00FA7F6D" w:rsidP="00FA7F6D">
      <w:pPr>
        <w:pStyle w:val="Body"/>
        <w:spacing w:after="0"/>
        <w:rPr>
          <w:rFonts w:ascii="Arial" w:hAnsi="Arial" w:cs="Arial"/>
          <w:b/>
          <w:bCs/>
        </w:rPr>
      </w:pPr>
      <w:r w:rsidRPr="00FA7F6D">
        <w:rPr>
          <w:rFonts w:ascii="Arial" w:hAnsi="Arial" w:cs="Arial"/>
          <w:b/>
          <w:bCs/>
        </w:rPr>
        <w:t>Table 1. Sociodemographic characteristics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940"/>
        <w:gridCol w:w="2941"/>
        <w:gridCol w:w="2941"/>
      </w:tblGrid>
      <w:tr w:rsidR="00FA7F6D" w:rsidRPr="00FA7F6D" w14:paraId="78CBEECE" w14:textId="77777777" w:rsidTr="005D3C89">
        <w:trPr>
          <w:trHeight w:val="438"/>
        </w:trPr>
        <w:tc>
          <w:tcPr>
            <w:tcW w:w="2940" w:type="dxa"/>
            <w:tcBorders>
              <w:top w:val="single" w:sz="4" w:space="0" w:color="auto"/>
              <w:bottom w:val="single" w:sz="4" w:space="0" w:color="auto"/>
            </w:tcBorders>
          </w:tcPr>
          <w:p w14:paraId="30383CAF" w14:textId="77777777" w:rsidR="00FA7F6D" w:rsidRPr="00FA7F6D" w:rsidRDefault="00FA7F6D" w:rsidP="00FA7F6D">
            <w:pPr>
              <w:pStyle w:val="Body"/>
              <w:spacing w:after="0"/>
              <w:rPr>
                <w:rFonts w:ascii="Arial" w:eastAsia="Times New Roman" w:hAnsi="Arial" w:cs="Arial"/>
                <w:b/>
                <w:bCs/>
              </w:rPr>
            </w:pPr>
            <w:r w:rsidRPr="00FA7F6D">
              <w:rPr>
                <w:rFonts w:ascii="Arial" w:eastAsia="Times New Roman" w:hAnsi="Arial" w:cs="Arial"/>
                <w:b/>
                <w:bCs/>
              </w:rPr>
              <w:t>Variables</w:t>
            </w:r>
          </w:p>
        </w:tc>
        <w:tc>
          <w:tcPr>
            <w:tcW w:w="2941" w:type="dxa"/>
            <w:tcBorders>
              <w:top w:val="single" w:sz="4" w:space="0" w:color="auto"/>
              <w:bottom w:val="single" w:sz="4" w:space="0" w:color="auto"/>
            </w:tcBorders>
          </w:tcPr>
          <w:p w14:paraId="787CD61E" w14:textId="77777777" w:rsidR="00FA7F6D" w:rsidRPr="00FA7F6D" w:rsidRDefault="00FA7F6D" w:rsidP="00FA7F6D">
            <w:pPr>
              <w:pStyle w:val="Body"/>
              <w:spacing w:after="0"/>
              <w:rPr>
                <w:rFonts w:ascii="Arial" w:eastAsia="Times New Roman" w:hAnsi="Arial" w:cs="Arial"/>
                <w:b/>
                <w:bCs/>
              </w:rPr>
            </w:pPr>
            <w:r w:rsidRPr="00FA7F6D">
              <w:rPr>
                <w:rFonts w:ascii="Arial" w:eastAsia="Times New Roman" w:hAnsi="Arial" w:cs="Arial"/>
                <w:b/>
                <w:bCs/>
              </w:rPr>
              <w:t>Frequency (N=72)</w:t>
            </w:r>
          </w:p>
        </w:tc>
        <w:tc>
          <w:tcPr>
            <w:tcW w:w="2941" w:type="dxa"/>
            <w:tcBorders>
              <w:top w:val="single" w:sz="4" w:space="0" w:color="auto"/>
              <w:bottom w:val="single" w:sz="4" w:space="0" w:color="auto"/>
            </w:tcBorders>
          </w:tcPr>
          <w:p w14:paraId="682F4737" w14:textId="77777777" w:rsidR="00FA7F6D" w:rsidRPr="00FA7F6D" w:rsidRDefault="00FA7F6D" w:rsidP="00FA7F6D">
            <w:pPr>
              <w:pStyle w:val="Body"/>
              <w:spacing w:after="0"/>
              <w:rPr>
                <w:rFonts w:ascii="Arial" w:eastAsia="Times New Roman" w:hAnsi="Arial" w:cs="Arial"/>
                <w:b/>
                <w:bCs/>
              </w:rPr>
            </w:pPr>
            <w:r w:rsidRPr="00FA7F6D">
              <w:rPr>
                <w:rFonts w:ascii="Arial" w:eastAsia="Times New Roman" w:hAnsi="Arial" w:cs="Arial"/>
                <w:b/>
                <w:bCs/>
              </w:rPr>
              <w:t>Percentage</w:t>
            </w:r>
          </w:p>
        </w:tc>
      </w:tr>
      <w:tr w:rsidR="00FA7F6D" w:rsidRPr="00FA7F6D" w14:paraId="3B5E691D" w14:textId="77777777" w:rsidTr="005D3C89">
        <w:trPr>
          <w:trHeight w:val="416"/>
        </w:trPr>
        <w:tc>
          <w:tcPr>
            <w:tcW w:w="2940" w:type="dxa"/>
            <w:tcBorders>
              <w:top w:val="single" w:sz="4" w:space="0" w:color="auto"/>
            </w:tcBorders>
          </w:tcPr>
          <w:p w14:paraId="42954F45" w14:textId="77777777" w:rsidR="00FA7F6D" w:rsidRPr="00FA7F6D" w:rsidRDefault="00FA7F6D" w:rsidP="00FA7F6D">
            <w:pPr>
              <w:pStyle w:val="Body"/>
              <w:spacing w:after="0"/>
              <w:rPr>
                <w:rFonts w:ascii="Arial" w:eastAsia="Times New Roman" w:hAnsi="Arial" w:cs="Arial"/>
                <w:b/>
                <w:bCs/>
              </w:rPr>
            </w:pPr>
            <w:r w:rsidRPr="00FA7F6D">
              <w:rPr>
                <w:rFonts w:ascii="Arial" w:eastAsia="Times New Roman" w:hAnsi="Arial" w:cs="Arial"/>
                <w:b/>
                <w:bCs/>
              </w:rPr>
              <w:t>Sex</w:t>
            </w:r>
          </w:p>
        </w:tc>
        <w:tc>
          <w:tcPr>
            <w:tcW w:w="2941" w:type="dxa"/>
            <w:tcBorders>
              <w:top w:val="single" w:sz="4" w:space="0" w:color="auto"/>
            </w:tcBorders>
          </w:tcPr>
          <w:p w14:paraId="750EDC69" w14:textId="77777777" w:rsidR="00FA7F6D" w:rsidRPr="00FA7F6D" w:rsidRDefault="00FA7F6D" w:rsidP="00FA7F6D">
            <w:pPr>
              <w:pStyle w:val="Body"/>
              <w:spacing w:after="0"/>
              <w:rPr>
                <w:rFonts w:ascii="Arial" w:eastAsia="Times New Roman" w:hAnsi="Arial" w:cs="Arial"/>
              </w:rPr>
            </w:pPr>
          </w:p>
        </w:tc>
        <w:tc>
          <w:tcPr>
            <w:tcW w:w="2941" w:type="dxa"/>
            <w:tcBorders>
              <w:top w:val="single" w:sz="4" w:space="0" w:color="auto"/>
            </w:tcBorders>
          </w:tcPr>
          <w:p w14:paraId="562A99E2" w14:textId="77777777" w:rsidR="00FA7F6D" w:rsidRPr="00FA7F6D" w:rsidRDefault="00FA7F6D" w:rsidP="00FA7F6D">
            <w:pPr>
              <w:pStyle w:val="Body"/>
              <w:spacing w:after="0"/>
              <w:rPr>
                <w:rFonts w:ascii="Arial" w:eastAsia="Times New Roman" w:hAnsi="Arial" w:cs="Arial"/>
              </w:rPr>
            </w:pPr>
          </w:p>
        </w:tc>
      </w:tr>
      <w:tr w:rsidR="00FA7F6D" w:rsidRPr="00FA7F6D" w14:paraId="74226931" w14:textId="77777777" w:rsidTr="005D3C89">
        <w:trPr>
          <w:trHeight w:val="438"/>
        </w:trPr>
        <w:tc>
          <w:tcPr>
            <w:tcW w:w="2940" w:type="dxa"/>
            <w:tcBorders>
              <w:bottom w:val="nil"/>
            </w:tcBorders>
          </w:tcPr>
          <w:p w14:paraId="2FF35A99"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Female</w:t>
            </w:r>
          </w:p>
        </w:tc>
        <w:tc>
          <w:tcPr>
            <w:tcW w:w="2941" w:type="dxa"/>
            <w:tcBorders>
              <w:bottom w:val="nil"/>
            </w:tcBorders>
          </w:tcPr>
          <w:p w14:paraId="25E769FD"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26</w:t>
            </w:r>
          </w:p>
        </w:tc>
        <w:tc>
          <w:tcPr>
            <w:tcW w:w="2941" w:type="dxa"/>
            <w:tcBorders>
              <w:bottom w:val="nil"/>
            </w:tcBorders>
          </w:tcPr>
          <w:p w14:paraId="39D9D08C"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36.1</w:t>
            </w:r>
          </w:p>
        </w:tc>
      </w:tr>
      <w:tr w:rsidR="00FA7F6D" w:rsidRPr="00FA7F6D" w14:paraId="690BD7C1" w14:textId="77777777" w:rsidTr="005D3C89">
        <w:trPr>
          <w:trHeight w:val="438"/>
        </w:trPr>
        <w:tc>
          <w:tcPr>
            <w:tcW w:w="2940" w:type="dxa"/>
            <w:tcBorders>
              <w:top w:val="nil"/>
              <w:bottom w:val="single" w:sz="4" w:space="0" w:color="auto"/>
            </w:tcBorders>
          </w:tcPr>
          <w:p w14:paraId="672A70F0"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Male</w:t>
            </w:r>
          </w:p>
        </w:tc>
        <w:tc>
          <w:tcPr>
            <w:tcW w:w="2941" w:type="dxa"/>
            <w:tcBorders>
              <w:top w:val="nil"/>
              <w:bottom w:val="single" w:sz="4" w:space="0" w:color="auto"/>
            </w:tcBorders>
          </w:tcPr>
          <w:p w14:paraId="623B9601"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46</w:t>
            </w:r>
          </w:p>
        </w:tc>
        <w:tc>
          <w:tcPr>
            <w:tcW w:w="2941" w:type="dxa"/>
            <w:tcBorders>
              <w:top w:val="nil"/>
              <w:bottom w:val="single" w:sz="4" w:space="0" w:color="auto"/>
            </w:tcBorders>
          </w:tcPr>
          <w:p w14:paraId="22F69701"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63.9</w:t>
            </w:r>
          </w:p>
        </w:tc>
      </w:tr>
      <w:tr w:rsidR="00FA7F6D" w:rsidRPr="00FA7F6D" w14:paraId="57CD7D2D" w14:textId="77777777" w:rsidTr="005D3C89">
        <w:trPr>
          <w:trHeight w:val="438"/>
        </w:trPr>
        <w:tc>
          <w:tcPr>
            <w:tcW w:w="2940" w:type="dxa"/>
            <w:tcBorders>
              <w:top w:val="single" w:sz="4" w:space="0" w:color="auto"/>
            </w:tcBorders>
          </w:tcPr>
          <w:p w14:paraId="0660F184" w14:textId="77777777" w:rsidR="00FA7F6D" w:rsidRPr="00FA7F6D" w:rsidRDefault="00FA7F6D" w:rsidP="00FA7F6D">
            <w:pPr>
              <w:pStyle w:val="Body"/>
              <w:spacing w:after="0"/>
              <w:rPr>
                <w:rFonts w:ascii="Arial" w:eastAsia="Times New Roman" w:hAnsi="Arial" w:cs="Arial"/>
                <w:b/>
                <w:bCs/>
              </w:rPr>
            </w:pPr>
            <w:r w:rsidRPr="00FA7F6D">
              <w:rPr>
                <w:rFonts w:ascii="Arial" w:eastAsia="Times New Roman" w:hAnsi="Arial" w:cs="Arial"/>
                <w:b/>
                <w:bCs/>
              </w:rPr>
              <w:t>Ethnicity</w:t>
            </w:r>
          </w:p>
        </w:tc>
        <w:tc>
          <w:tcPr>
            <w:tcW w:w="2941" w:type="dxa"/>
            <w:tcBorders>
              <w:top w:val="single" w:sz="4" w:space="0" w:color="auto"/>
            </w:tcBorders>
          </w:tcPr>
          <w:p w14:paraId="501E05BB" w14:textId="77777777" w:rsidR="00FA7F6D" w:rsidRPr="00FA7F6D" w:rsidRDefault="00FA7F6D" w:rsidP="00FA7F6D">
            <w:pPr>
              <w:pStyle w:val="Body"/>
              <w:spacing w:after="0"/>
              <w:rPr>
                <w:rFonts w:ascii="Arial" w:eastAsia="Times New Roman" w:hAnsi="Arial" w:cs="Arial"/>
              </w:rPr>
            </w:pPr>
          </w:p>
        </w:tc>
        <w:tc>
          <w:tcPr>
            <w:tcW w:w="2941" w:type="dxa"/>
            <w:tcBorders>
              <w:top w:val="single" w:sz="4" w:space="0" w:color="auto"/>
            </w:tcBorders>
          </w:tcPr>
          <w:p w14:paraId="2ACEBA4A" w14:textId="77777777" w:rsidR="00FA7F6D" w:rsidRPr="00FA7F6D" w:rsidRDefault="00FA7F6D" w:rsidP="00FA7F6D">
            <w:pPr>
              <w:pStyle w:val="Body"/>
              <w:spacing w:after="0"/>
              <w:rPr>
                <w:rFonts w:ascii="Arial" w:eastAsia="Times New Roman" w:hAnsi="Arial" w:cs="Arial"/>
              </w:rPr>
            </w:pPr>
          </w:p>
        </w:tc>
      </w:tr>
      <w:tr w:rsidR="00FA7F6D" w:rsidRPr="00FA7F6D" w14:paraId="1FD640E5" w14:textId="77777777" w:rsidTr="005D3C89">
        <w:trPr>
          <w:trHeight w:val="438"/>
        </w:trPr>
        <w:tc>
          <w:tcPr>
            <w:tcW w:w="2940" w:type="dxa"/>
          </w:tcPr>
          <w:p w14:paraId="01480E74"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Hausa/TIV</w:t>
            </w:r>
          </w:p>
        </w:tc>
        <w:tc>
          <w:tcPr>
            <w:tcW w:w="2941" w:type="dxa"/>
          </w:tcPr>
          <w:p w14:paraId="445F2938"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3</w:t>
            </w:r>
          </w:p>
        </w:tc>
        <w:tc>
          <w:tcPr>
            <w:tcW w:w="2941" w:type="dxa"/>
          </w:tcPr>
          <w:p w14:paraId="11BD2237"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4.2</w:t>
            </w:r>
          </w:p>
        </w:tc>
      </w:tr>
      <w:tr w:rsidR="00FA7F6D" w:rsidRPr="00FA7F6D" w14:paraId="512D5D30" w14:textId="77777777" w:rsidTr="005D3C89">
        <w:trPr>
          <w:trHeight w:val="438"/>
        </w:trPr>
        <w:tc>
          <w:tcPr>
            <w:tcW w:w="2940" w:type="dxa"/>
          </w:tcPr>
          <w:p w14:paraId="79844B68"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Igbo</w:t>
            </w:r>
          </w:p>
        </w:tc>
        <w:tc>
          <w:tcPr>
            <w:tcW w:w="2941" w:type="dxa"/>
          </w:tcPr>
          <w:p w14:paraId="634DDA27"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39</w:t>
            </w:r>
          </w:p>
        </w:tc>
        <w:tc>
          <w:tcPr>
            <w:tcW w:w="2941" w:type="dxa"/>
          </w:tcPr>
          <w:p w14:paraId="3CB6F04C"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54.2</w:t>
            </w:r>
          </w:p>
        </w:tc>
      </w:tr>
      <w:tr w:rsidR="00FA7F6D" w:rsidRPr="00FA7F6D" w14:paraId="3EFD5F83" w14:textId="77777777" w:rsidTr="005D3C89">
        <w:trPr>
          <w:trHeight w:val="438"/>
        </w:trPr>
        <w:tc>
          <w:tcPr>
            <w:tcW w:w="2940" w:type="dxa"/>
          </w:tcPr>
          <w:p w14:paraId="545CE283"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Ijaw</w:t>
            </w:r>
          </w:p>
        </w:tc>
        <w:tc>
          <w:tcPr>
            <w:tcW w:w="2941" w:type="dxa"/>
          </w:tcPr>
          <w:p w14:paraId="0A6AA0E6"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10</w:t>
            </w:r>
          </w:p>
        </w:tc>
        <w:tc>
          <w:tcPr>
            <w:tcW w:w="2941" w:type="dxa"/>
          </w:tcPr>
          <w:p w14:paraId="37AB3AD9"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13.9</w:t>
            </w:r>
          </w:p>
        </w:tc>
      </w:tr>
      <w:tr w:rsidR="00FA7F6D" w:rsidRPr="00FA7F6D" w14:paraId="2331D79F" w14:textId="77777777" w:rsidTr="005D3C89">
        <w:trPr>
          <w:trHeight w:val="438"/>
        </w:trPr>
        <w:tc>
          <w:tcPr>
            <w:tcW w:w="2940" w:type="dxa"/>
          </w:tcPr>
          <w:p w14:paraId="194605C6" w14:textId="77777777" w:rsidR="00FA7F6D" w:rsidRPr="00FA7F6D" w:rsidRDefault="00FA7F6D" w:rsidP="00FA7F6D">
            <w:pPr>
              <w:pStyle w:val="Body"/>
              <w:spacing w:after="0"/>
              <w:rPr>
                <w:rFonts w:ascii="Arial" w:eastAsia="Times New Roman" w:hAnsi="Arial" w:cs="Arial"/>
              </w:rPr>
            </w:pPr>
            <w:proofErr w:type="spellStart"/>
            <w:r w:rsidRPr="00FA7F6D">
              <w:rPr>
                <w:rFonts w:ascii="Arial" w:eastAsia="Times New Roman" w:hAnsi="Arial" w:cs="Arial"/>
              </w:rPr>
              <w:t>Ikwerre</w:t>
            </w:r>
            <w:proofErr w:type="spellEnd"/>
          </w:p>
        </w:tc>
        <w:tc>
          <w:tcPr>
            <w:tcW w:w="2941" w:type="dxa"/>
          </w:tcPr>
          <w:p w14:paraId="2E5846F6"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7</w:t>
            </w:r>
          </w:p>
        </w:tc>
        <w:tc>
          <w:tcPr>
            <w:tcW w:w="2941" w:type="dxa"/>
          </w:tcPr>
          <w:p w14:paraId="0BA71088"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9.7</w:t>
            </w:r>
          </w:p>
        </w:tc>
      </w:tr>
      <w:tr w:rsidR="00FA7F6D" w:rsidRPr="00FA7F6D" w14:paraId="173230E5" w14:textId="77777777" w:rsidTr="005D3C89">
        <w:trPr>
          <w:trHeight w:val="416"/>
        </w:trPr>
        <w:tc>
          <w:tcPr>
            <w:tcW w:w="2940" w:type="dxa"/>
          </w:tcPr>
          <w:p w14:paraId="4A29BAAA"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Others</w:t>
            </w:r>
          </w:p>
        </w:tc>
        <w:tc>
          <w:tcPr>
            <w:tcW w:w="2941" w:type="dxa"/>
          </w:tcPr>
          <w:p w14:paraId="3DEAE5AC"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13</w:t>
            </w:r>
          </w:p>
        </w:tc>
        <w:tc>
          <w:tcPr>
            <w:tcW w:w="2941" w:type="dxa"/>
          </w:tcPr>
          <w:p w14:paraId="7779D01F"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18.1</w:t>
            </w:r>
          </w:p>
        </w:tc>
      </w:tr>
    </w:tbl>
    <w:p w14:paraId="7B8A8FF0" w14:textId="77777777" w:rsidR="00FA7F6D" w:rsidRPr="00FA7F6D" w:rsidRDefault="00FA7F6D" w:rsidP="00FA7F6D">
      <w:pPr>
        <w:pStyle w:val="Body"/>
        <w:spacing w:after="0"/>
        <w:rPr>
          <w:rFonts w:ascii="Arial" w:hAnsi="Arial" w:cs="Arial"/>
        </w:rPr>
      </w:pPr>
      <w:bookmarkStart w:id="1" w:name="_Hlk206858575"/>
    </w:p>
    <w:p w14:paraId="0DC0E6B9" w14:textId="77777777" w:rsidR="00FA7F6D" w:rsidRPr="00FA7F6D" w:rsidRDefault="00FA7F6D" w:rsidP="00FA7F6D">
      <w:pPr>
        <w:pStyle w:val="Body"/>
        <w:spacing w:after="0"/>
        <w:rPr>
          <w:rFonts w:ascii="Arial" w:hAnsi="Arial" w:cs="Arial"/>
          <w:b/>
          <w:bCs/>
        </w:rPr>
      </w:pPr>
      <w:r w:rsidRPr="00FA7F6D">
        <w:rPr>
          <w:rFonts w:ascii="Arial" w:hAnsi="Arial" w:cs="Arial"/>
        </w:rPr>
        <w:t>T</w:t>
      </w:r>
      <w:r w:rsidRPr="00FA7F6D">
        <w:rPr>
          <w:rFonts w:ascii="Arial" w:hAnsi="Arial" w:cs="Arial"/>
          <w:b/>
          <w:bCs/>
        </w:rPr>
        <w:t>able 2. Relationship between sociodemographic variables and prevalence of CIT</w:t>
      </w:r>
    </w:p>
    <w:tbl>
      <w:tblPr>
        <w:tblStyle w:val="TableGrid"/>
        <w:tblW w:w="9363"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2340"/>
        <w:gridCol w:w="2342"/>
        <w:gridCol w:w="2341"/>
      </w:tblGrid>
      <w:tr w:rsidR="00FA7F6D" w:rsidRPr="00FA7F6D" w14:paraId="19714DAA" w14:textId="77777777" w:rsidTr="005D3C89">
        <w:trPr>
          <w:trHeight w:val="536"/>
        </w:trPr>
        <w:tc>
          <w:tcPr>
            <w:tcW w:w="2340" w:type="dxa"/>
            <w:tcBorders>
              <w:top w:val="single" w:sz="4" w:space="0" w:color="auto"/>
              <w:bottom w:val="nil"/>
            </w:tcBorders>
          </w:tcPr>
          <w:p w14:paraId="3C5FF67D" w14:textId="77777777" w:rsidR="00FA7F6D" w:rsidRPr="00FA7F6D" w:rsidRDefault="00FA7F6D" w:rsidP="00FA7F6D">
            <w:pPr>
              <w:pStyle w:val="Body"/>
              <w:spacing w:after="0"/>
              <w:rPr>
                <w:rFonts w:ascii="Arial" w:eastAsia="Times New Roman" w:hAnsi="Arial" w:cs="Arial"/>
                <w:b/>
                <w:bCs/>
              </w:rPr>
            </w:pPr>
            <w:r w:rsidRPr="00FA7F6D">
              <w:rPr>
                <w:rFonts w:ascii="Arial" w:eastAsia="Times New Roman" w:hAnsi="Arial" w:cs="Arial"/>
                <w:b/>
                <w:bCs/>
              </w:rPr>
              <w:t>Variables</w:t>
            </w:r>
          </w:p>
        </w:tc>
        <w:tc>
          <w:tcPr>
            <w:tcW w:w="4682" w:type="dxa"/>
            <w:gridSpan w:val="2"/>
            <w:tcBorders>
              <w:top w:val="single" w:sz="4" w:space="0" w:color="auto"/>
              <w:bottom w:val="single" w:sz="4" w:space="0" w:color="auto"/>
            </w:tcBorders>
          </w:tcPr>
          <w:p w14:paraId="487FE47D" w14:textId="77777777" w:rsidR="00FA7F6D" w:rsidRPr="00FA7F6D" w:rsidRDefault="00FA7F6D" w:rsidP="00FA7F6D">
            <w:pPr>
              <w:pStyle w:val="Body"/>
              <w:spacing w:after="0"/>
              <w:rPr>
                <w:rFonts w:ascii="Arial" w:eastAsia="Times New Roman" w:hAnsi="Arial" w:cs="Arial"/>
                <w:b/>
                <w:bCs/>
              </w:rPr>
            </w:pPr>
            <w:r w:rsidRPr="00FA7F6D">
              <w:rPr>
                <w:rFonts w:ascii="Arial" w:eastAsia="Times New Roman" w:hAnsi="Arial" w:cs="Arial"/>
                <w:b/>
                <w:bCs/>
              </w:rPr>
              <w:t>Prevalence of CIT (n=50)</w:t>
            </w:r>
          </w:p>
        </w:tc>
        <w:tc>
          <w:tcPr>
            <w:tcW w:w="2341" w:type="dxa"/>
            <w:tcBorders>
              <w:top w:val="single" w:sz="4" w:space="0" w:color="auto"/>
              <w:bottom w:val="nil"/>
            </w:tcBorders>
          </w:tcPr>
          <w:p w14:paraId="6D6D6966" w14:textId="77777777" w:rsidR="00FA7F6D" w:rsidRPr="00FA7F6D" w:rsidRDefault="00FA7F6D" w:rsidP="00FA7F6D">
            <w:pPr>
              <w:pStyle w:val="Body"/>
              <w:spacing w:after="0"/>
              <w:rPr>
                <w:rFonts w:ascii="Arial" w:eastAsia="Times New Roman" w:hAnsi="Arial" w:cs="Arial"/>
                <w:b/>
                <w:bCs/>
              </w:rPr>
            </w:pPr>
            <w:r w:rsidRPr="00FA7F6D">
              <w:rPr>
                <w:rFonts w:ascii="Arial" w:eastAsia="Times New Roman" w:hAnsi="Arial" w:cs="Arial"/>
                <w:b/>
                <w:bCs/>
              </w:rPr>
              <w:t>Total</w:t>
            </w:r>
          </w:p>
        </w:tc>
      </w:tr>
      <w:tr w:rsidR="00FA7F6D" w:rsidRPr="00FA7F6D" w14:paraId="656FCFCD" w14:textId="77777777" w:rsidTr="005D3C89">
        <w:trPr>
          <w:trHeight w:val="536"/>
        </w:trPr>
        <w:tc>
          <w:tcPr>
            <w:tcW w:w="2340" w:type="dxa"/>
            <w:tcBorders>
              <w:top w:val="nil"/>
              <w:bottom w:val="single" w:sz="4" w:space="0" w:color="auto"/>
            </w:tcBorders>
          </w:tcPr>
          <w:p w14:paraId="2ABD43E8" w14:textId="77777777" w:rsidR="00FA7F6D" w:rsidRPr="00FA7F6D" w:rsidRDefault="00FA7F6D" w:rsidP="00FA7F6D">
            <w:pPr>
              <w:pStyle w:val="Body"/>
              <w:spacing w:after="0"/>
              <w:rPr>
                <w:rFonts w:ascii="Arial" w:eastAsia="Times New Roman" w:hAnsi="Arial" w:cs="Arial"/>
                <w:b/>
                <w:bCs/>
              </w:rPr>
            </w:pPr>
          </w:p>
        </w:tc>
        <w:tc>
          <w:tcPr>
            <w:tcW w:w="2340" w:type="dxa"/>
            <w:tcBorders>
              <w:top w:val="single" w:sz="4" w:space="0" w:color="auto"/>
              <w:bottom w:val="single" w:sz="4" w:space="0" w:color="auto"/>
            </w:tcBorders>
          </w:tcPr>
          <w:p w14:paraId="39E2EA42" w14:textId="77777777" w:rsidR="00FA7F6D" w:rsidRPr="00FA7F6D" w:rsidRDefault="00FA7F6D" w:rsidP="00FA7F6D">
            <w:pPr>
              <w:pStyle w:val="Body"/>
              <w:spacing w:after="0"/>
              <w:rPr>
                <w:rFonts w:ascii="Arial" w:eastAsia="Times New Roman" w:hAnsi="Arial" w:cs="Arial"/>
                <w:b/>
                <w:bCs/>
              </w:rPr>
            </w:pPr>
            <w:r w:rsidRPr="00FA7F6D">
              <w:rPr>
                <w:rFonts w:ascii="Arial" w:eastAsia="Times New Roman" w:hAnsi="Arial" w:cs="Arial"/>
                <w:b/>
                <w:bCs/>
              </w:rPr>
              <w:t xml:space="preserve">Yes </w:t>
            </w:r>
            <w:proofErr w:type="gramStart"/>
            <w:r w:rsidRPr="00FA7F6D">
              <w:rPr>
                <w:rFonts w:ascii="Arial" w:eastAsia="Times New Roman" w:hAnsi="Arial" w:cs="Arial"/>
                <w:b/>
                <w:bCs/>
              </w:rPr>
              <w:t>n(</w:t>
            </w:r>
            <w:proofErr w:type="gramEnd"/>
            <w:r w:rsidRPr="00FA7F6D">
              <w:rPr>
                <w:rFonts w:ascii="Arial" w:eastAsia="Times New Roman" w:hAnsi="Arial" w:cs="Arial"/>
                <w:b/>
                <w:bCs/>
              </w:rPr>
              <w:t>%)</w:t>
            </w:r>
          </w:p>
        </w:tc>
        <w:tc>
          <w:tcPr>
            <w:tcW w:w="2342" w:type="dxa"/>
            <w:tcBorders>
              <w:top w:val="single" w:sz="4" w:space="0" w:color="auto"/>
              <w:bottom w:val="single" w:sz="4" w:space="0" w:color="auto"/>
            </w:tcBorders>
          </w:tcPr>
          <w:p w14:paraId="5141AAAF" w14:textId="77777777" w:rsidR="00FA7F6D" w:rsidRPr="00FA7F6D" w:rsidRDefault="00FA7F6D" w:rsidP="00FA7F6D">
            <w:pPr>
              <w:pStyle w:val="Body"/>
              <w:spacing w:after="0"/>
              <w:rPr>
                <w:rFonts w:ascii="Arial" w:eastAsia="Times New Roman" w:hAnsi="Arial" w:cs="Arial"/>
                <w:b/>
                <w:bCs/>
              </w:rPr>
            </w:pPr>
            <w:r w:rsidRPr="00FA7F6D">
              <w:rPr>
                <w:rFonts w:ascii="Arial" w:eastAsia="Times New Roman" w:hAnsi="Arial" w:cs="Arial"/>
                <w:b/>
                <w:bCs/>
              </w:rPr>
              <w:t xml:space="preserve">No </w:t>
            </w:r>
            <w:proofErr w:type="gramStart"/>
            <w:r w:rsidRPr="00FA7F6D">
              <w:rPr>
                <w:rFonts w:ascii="Arial" w:eastAsia="Times New Roman" w:hAnsi="Arial" w:cs="Arial"/>
                <w:b/>
                <w:bCs/>
              </w:rPr>
              <w:t>n(</w:t>
            </w:r>
            <w:proofErr w:type="gramEnd"/>
            <w:r w:rsidRPr="00FA7F6D">
              <w:rPr>
                <w:rFonts w:ascii="Arial" w:eastAsia="Times New Roman" w:hAnsi="Arial" w:cs="Arial"/>
                <w:b/>
                <w:bCs/>
              </w:rPr>
              <w:t xml:space="preserve">%) </w:t>
            </w:r>
          </w:p>
        </w:tc>
        <w:tc>
          <w:tcPr>
            <w:tcW w:w="2341" w:type="dxa"/>
            <w:tcBorders>
              <w:top w:val="nil"/>
              <w:bottom w:val="single" w:sz="4" w:space="0" w:color="auto"/>
            </w:tcBorders>
          </w:tcPr>
          <w:p w14:paraId="5F3DEB11" w14:textId="77777777" w:rsidR="00FA7F6D" w:rsidRPr="00FA7F6D" w:rsidRDefault="00FA7F6D" w:rsidP="00FA7F6D">
            <w:pPr>
              <w:pStyle w:val="Body"/>
              <w:spacing w:after="0"/>
              <w:rPr>
                <w:rFonts w:ascii="Arial" w:eastAsia="Times New Roman" w:hAnsi="Arial" w:cs="Arial"/>
                <w:b/>
                <w:bCs/>
              </w:rPr>
            </w:pPr>
          </w:p>
        </w:tc>
      </w:tr>
      <w:tr w:rsidR="00FA7F6D" w:rsidRPr="00FA7F6D" w14:paraId="00C1EC3D" w14:textId="77777777" w:rsidTr="005D3C89">
        <w:trPr>
          <w:trHeight w:val="536"/>
        </w:trPr>
        <w:tc>
          <w:tcPr>
            <w:tcW w:w="2340" w:type="dxa"/>
            <w:tcBorders>
              <w:top w:val="single" w:sz="4" w:space="0" w:color="auto"/>
            </w:tcBorders>
          </w:tcPr>
          <w:p w14:paraId="0D83E981" w14:textId="77777777" w:rsidR="00FA7F6D" w:rsidRPr="00FA7F6D" w:rsidRDefault="00FA7F6D" w:rsidP="00FA7F6D">
            <w:pPr>
              <w:pStyle w:val="Body"/>
              <w:spacing w:after="0"/>
              <w:rPr>
                <w:rFonts w:ascii="Arial" w:eastAsia="Times New Roman" w:hAnsi="Arial" w:cs="Arial"/>
                <w:b/>
                <w:bCs/>
              </w:rPr>
            </w:pPr>
            <w:r w:rsidRPr="00FA7F6D">
              <w:rPr>
                <w:rFonts w:ascii="Arial" w:eastAsia="Times New Roman" w:hAnsi="Arial" w:cs="Arial"/>
                <w:b/>
                <w:bCs/>
              </w:rPr>
              <w:t>Sex</w:t>
            </w:r>
          </w:p>
        </w:tc>
        <w:tc>
          <w:tcPr>
            <w:tcW w:w="2340" w:type="dxa"/>
            <w:tcBorders>
              <w:top w:val="single" w:sz="4" w:space="0" w:color="auto"/>
            </w:tcBorders>
          </w:tcPr>
          <w:p w14:paraId="18A1C146" w14:textId="77777777" w:rsidR="00FA7F6D" w:rsidRPr="00FA7F6D" w:rsidRDefault="00FA7F6D" w:rsidP="00FA7F6D">
            <w:pPr>
              <w:pStyle w:val="Body"/>
              <w:spacing w:after="0"/>
              <w:rPr>
                <w:rFonts w:ascii="Arial" w:eastAsia="Times New Roman" w:hAnsi="Arial" w:cs="Arial"/>
              </w:rPr>
            </w:pPr>
          </w:p>
        </w:tc>
        <w:tc>
          <w:tcPr>
            <w:tcW w:w="2342" w:type="dxa"/>
            <w:tcBorders>
              <w:top w:val="single" w:sz="4" w:space="0" w:color="auto"/>
            </w:tcBorders>
          </w:tcPr>
          <w:p w14:paraId="108051E1" w14:textId="77777777" w:rsidR="00FA7F6D" w:rsidRPr="00FA7F6D" w:rsidRDefault="00FA7F6D" w:rsidP="00FA7F6D">
            <w:pPr>
              <w:pStyle w:val="Body"/>
              <w:spacing w:after="0"/>
              <w:rPr>
                <w:rFonts w:ascii="Arial" w:eastAsia="Times New Roman" w:hAnsi="Arial" w:cs="Arial"/>
              </w:rPr>
            </w:pPr>
          </w:p>
        </w:tc>
        <w:tc>
          <w:tcPr>
            <w:tcW w:w="2341" w:type="dxa"/>
            <w:tcBorders>
              <w:top w:val="single" w:sz="4" w:space="0" w:color="auto"/>
            </w:tcBorders>
          </w:tcPr>
          <w:p w14:paraId="25D1E81A" w14:textId="77777777" w:rsidR="00FA7F6D" w:rsidRPr="00FA7F6D" w:rsidRDefault="00FA7F6D" w:rsidP="00FA7F6D">
            <w:pPr>
              <w:pStyle w:val="Body"/>
              <w:spacing w:after="0"/>
              <w:rPr>
                <w:rFonts w:ascii="Arial" w:eastAsia="Times New Roman" w:hAnsi="Arial" w:cs="Arial"/>
              </w:rPr>
            </w:pPr>
          </w:p>
        </w:tc>
      </w:tr>
      <w:tr w:rsidR="00FA7F6D" w:rsidRPr="00FA7F6D" w14:paraId="11F8748B" w14:textId="77777777" w:rsidTr="005D3C89">
        <w:trPr>
          <w:trHeight w:val="536"/>
        </w:trPr>
        <w:tc>
          <w:tcPr>
            <w:tcW w:w="2340" w:type="dxa"/>
          </w:tcPr>
          <w:p w14:paraId="2A909BE1"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Female</w:t>
            </w:r>
          </w:p>
        </w:tc>
        <w:tc>
          <w:tcPr>
            <w:tcW w:w="2340" w:type="dxa"/>
          </w:tcPr>
          <w:p w14:paraId="08B8D7AA"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5 (38.5)</w:t>
            </w:r>
          </w:p>
        </w:tc>
        <w:tc>
          <w:tcPr>
            <w:tcW w:w="2342" w:type="dxa"/>
          </w:tcPr>
          <w:p w14:paraId="36365A54"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12 (32.4)</w:t>
            </w:r>
          </w:p>
        </w:tc>
        <w:tc>
          <w:tcPr>
            <w:tcW w:w="2341" w:type="dxa"/>
          </w:tcPr>
          <w:p w14:paraId="5E34283C"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17 (34.0)</w:t>
            </w:r>
          </w:p>
        </w:tc>
      </w:tr>
      <w:tr w:rsidR="00FA7F6D" w:rsidRPr="00FA7F6D" w14:paraId="31C51DCE" w14:textId="77777777" w:rsidTr="005D3C89">
        <w:trPr>
          <w:trHeight w:val="536"/>
        </w:trPr>
        <w:tc>
          <w:tcPr>
            <w:tcW w:w="2340" w:type="dxa"/>
            <w:tcBorders>
              <w:bottom w:val="nil"/>
            </w:tcBorders>
          </w:tcPr>
          <w:p w14:paraId="039BBDCF"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Male</w:t>
            </w:r>
          </w:p>
        </w:tc>
        <w:tc>
          <w:tcPr>
            <w:tcW w:w="2340" w:type="dxa"/>
            <w:tcBorders>
              <w:bottom w:val="nil"/>
            </w:tcBorders>
          </w:tcPr>
          <w:p w14:paraId="08CD625A"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8 (61.5)</w:t>
            </w:r>
          </w:p>
        </w:tc>
        <w:tc>
          <w:tcPr>
            <w:tcW w:w="2342" w:type="dxa"/>
            <w:tcBorders>
              <w:bottom w:val="nil"/>
            </w:tcBorders>
          </w:tcPr>
          <w:p w14:paraId="4A42DA5B"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25 (67.6)</w:t>
            </w:r>
          </w:p>
        </w:tc>
        <w:tc>
          <w:tcPr>
            <w:tcW w:w="2341" w:type="dxa"/>
            <w:tcBorders>
              <w:bottom w:val="nil"/>
            </w:tcBorders>
          </w:tcPr>
          <w:p w14:paraId="01BFAFBA"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33 (66.0)</w:t>
            </w:r>
          </w:p>
        </w:tc>
      </w:tr>
      <w:tr w:rsidR="00FA7F6D" w:rsidRPr="00FA7F6D" w14:paraId="61716414" w14:textId="77777777" w:rsidTr="005D3C89">
        <w:trPr>
          <w:trHeight w:val="559"/>
        </w:trPr>
        <w:tc>
          <w:tcPr>
            <w:tcW w:w="2340" w:type="dxa"/>
            <w:tcBorders>
              <w:top w:val="nil"/>
              <w:bottom w:val="single" w:sz="4" w:space="0" w:color="auto"/>
            </w:tcBorders>
          </w:tcPr>
          <w:p w14:paraId="72153A42" w14:textId="77777777" w:rsidR="00FA7F6D" w:rsidRPr="00FA7F6D" w:rsidRDefault="00FA7F6D" w:rsidP="00FA7F6D">
            <w:pPr>
              <w:pStyle w:val="Body"/>
              <w:spacing w:after="0"/>
              <w:rPr>
                <w:rFonts w:ascii="Arial" w:eastAsia="Times New Roman" w:hAnsi="Arial" w:cs="Arial"/>
              </w:rPr>
            </w:pPr>
          </w:p>
        </w:tc>
        <w:tc>
          <w:tcPr>
            <w:tcW w:w="4682" w:type="dxa"/>
            <w:gridSpan w:val="2"/>
            <w:tcBorders>
              <w:top w:val="nil"/>
              <w:bottom w:val="single" w:sz="4" w:space="0" w:color="auto"/>
            </w:tcBorders>
          </w:tcPr>
          <w:p w14:paraId="3368DF54"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i/>
                <w:iCs/>
              </w:rPr>
              <w:t>Chi square=0.156; p=0.741</w:t>
            </w:r>
          </w:p>
        </w:tc>
        <w:tc>
          <w:tcPr>
            <w:tcW w:w="2341" w:type="dxa"/>
            <w:tcBorders>
              <w:top w:val="nil"/>
              <w:bottom w:val="single" w:sz="4" w:space="0" w:color="auto"/>
            </w:tcBorders>
          </w:tcPr>
          <w:p w14:paraId="594C5BFA" w14:textId="77777777" w:rsidR="00FA7F6D" w:rsidRPr="00FA7F6D" w:rsidRDefault="00FA7F6D" w:rsidP="00FA7F6D">
            <w:pPr>
              <w:pStyle w:val="Body"/>
              <w:spacing w:after="0"/>
              <w:rPr>
                <w:rFonts w:ascii="Arial" w:eastAsia="Times New Roman" w:hAnsi="Arial" w:cs="Arial"/>
              </w:rPr>
            </w:pPr>
          </w:p>
        </w:tc>
      </w:tr>
      <w:tr w:rsidR="00FA7F6D" w:rsidRPr="00FA7F6D" w14:paraId="73010BF0" w14:textId="77777777" w:rsidTr="005D3C89">
        <w:trPr>
          <w:trHeight w:val="536"/>
        </w:trPr>
        <w:tc>
          <w:tcPr>
            <w:tcW w:w="2340" w:type="dxa"/>
            <w:tcBorders>
              <w:top w:val="single" w:sz="4" w:space="0" w:color="auto"/>
            </w:tcBorders>
          </w:tcPr>
          <w:p w14:paraId="5619406F" w14:textId="77777777" w:rsidR="00FA7F6D" w:rsidRPr="00FA7F6D" w:rsidRDefault="00FA7F6D" w:rsidP="00FA7F6D">
            <w:pPr>
              <w:pStyle w:val="Body"/>
              <w:spacing w:after="0"/>
              <w:rPr>
                <w:rFonts w:ascii="Arial" w:eastAsia="Times New Roman" w:hAnsi="Arial" w:cs="Arial"/>
                <w:b/>
                <w:bCs/>
              </w:rPr>
            </w:pPr>
            <w:r w:rsidRPr="00FA7F6D">
              <w:rPr>
                <w:rFonts w:ascii="Arial" w:eastAsia="Times New Roman" w:hAnsi="Arial" w:cs="Arial"/>
                <w:b/>
                <w:bCs/>
              </w:rPr>
              <w:t>Ethnicity</w:t>
            </w:r>
          </w:p>
        </w:tc>
        <w:tc>
          <w:tcPr>
            <w:tcW w:w="2340" w:type="dxa"/>
            <w:tcBorders>
              <w:top w:val="single" w:sz="4" w:space="0" w:color="auto"/>
            </w:tcBorders>
          </w:tcPr>
          <w:p w14:paraId="21C9D51E" w14:textId="77777777" w:rsidR="00FA7F6D" w:rsidRPr="00FA7F6D" w:rsidRDefault="00FA7F6D" w:rsidP="00FA7F6D">
            <w:pPr>
              <w:pStyle w:val="Body"/>
              <w:spacing w:after="0"/>
              <w:rPr>
                <w:rFonts w:ascii="Arial" w:eastAsia="Times New Roman" w:hAnsi="Arial" w:cs="Arial"/>
              </w:rPr>
            </w:pPr>
          </w:p>
        </w:tc>
        <w:tc>
          <w:tcPr>
            <w:tcW w:w="2342" w:type="dxa"/>
            <w:tcBorders>
              <w:top w:val="single" w:sz="4" w:space="0" w:color="auto"/>
            </w:tcBorders>
          </w:tcPr>
          <w:p w14:paraId="57019DDD" w14:textId="77777777" w:rsidR="00FA7F6D" w:rsidRPr="00FA7F6D" w:rsidRDefault="00FA7F6D" w:rsidP="00FA7F6D">
            <w:pPr>
              <w:pStyle w:val="Body"/>
              <w:spacing w:after="0"/>
              <w:rPr>
                <w:rFonts w:ascii="Arial" w:eastAsia="Times New Roman" w:hAnsi="Arial" w:cs="Arial"/>
              </w:rPr>
            </w:pPr>
          </w:p>
        </w:tc>
        <w:tc>
          <w:tcPr>
            <w:tcW w:w="2341" w:type="dxa"/>
            <w:tcBorders>
              <w:top w:val="single" w:sz="4" w:space="0" w:color="auto"/>
            </w:tcBorders>
          </w:tcPr>
          <w:p w14:paraId="74120970" w14:textId="77777777" w:rsidR="00FA7F6D" w:rsidRPr="00FA7F6D" w:rsidRDefault="00FA7F6D" w:rsidP="00FA7F6D">
            <w:pPr>
              <w:pStyle w:val="Body"/>
              <w:spacing w:after="0"/>
              <w:rPr>
                <w:rFonts w:ascii="Arial" w:eastAsia="Times New Roman" w:hAnsi="Arial" w:cs="Arial"/>
              </w:rPr>
            </w:pPr>
          </w:p>
        </w:tc>
      </w:tr>
      <w:tr w:rsidR="00FA7F6D" w:rsidRPr="00FA7F6D" w14:paraId="200B9D17" w14:textId="77777777" w:rsidTr="005D3C89">
        <w:trPr>
          <w:trHeight w:val="536"/>
        </w:trPr>
        <w:tc>
          <w:tcPr>
            <w:tcW w:w="2340" w:type="dxa"/>
          </w:tcPr>
          <w:p w14:paraId="0A33F8F1"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Hausa/</w:t>
            </w:r>
            <w:proofErr w:type="spellStart"/>
            <w:r w:rsidRPr="00FA7F6D">
              <w:rPr>
                <w:rFonts w:ascii="Arial" w:eastAsia="Times New Roman" w:hAnsi="Arial" w:cs="Arial"/>
              </w:rPr>
              <w:t>Tiv</w:t>
            </w:r>
            <w:proofErr w:type="spellEnd"/>
          </w:p>
        </w:tc>
        <w:tc>
          <w:tcPr>
            <w:tcW w:w="2340" w:type="dxa"/>
          </w:tcPr>
          <w:p w14:paraId="06E1E7AE"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1 (7.7)</w:t>
            </w:r>
          </w:p>
        </w:tc>
        <w:tc>
          <w:tcPr>
            <w:tcW w:w="2342" w:type="dxa"/>
          </w:tcPr>
          <w:p w14:paraId="2381C58B"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0 (0.0)</w:t>
            </w:r>
          </w:p>
        </w:tc>
        <w:tc>
          <w:tcPr>
            <w:tcW w:w="2341" w:type="dxa"/>
          </w:tcPr>
          <w:p w14:paraId="44843C57"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1 (2.0)</w:t>
            </w:r>
          </w:p>
        </w:tc>
      </w:tr>
      <w:tr w:rsidR="00FA7F6D" w:rsidRPr="00FA7F6D" w14:paraId="04A31178" w14:textId="77777777" w:rsidTr="005D3C89">
        <w:trPr>
          <w:trHeight w:val="536"/>
        </w:trPr>
        <w:tc>
          <w:tcPr>
            <w:tcW w:w="2340" w:type="dxa"/>
          </w:tcPr>
          <w:p w14:paraId="789639C5"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Igbo</w:t>
            </w:r>
          </w:p>
        </w:tc>
        <w:tc>
          <w:tcPr>
            <w:tcW w:w="2340" w:type="dxa"/>
          </w:tcPr>
          <w:p w14:paraId="3633202C"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5 (38.5)</w:t>
            </w:r>
          </w:p>
        </w:tc>
        <w:tc>
          <w:tcPr>
            <w:tcW w:w="2342" w:type="dxa"/>
          </w:tcPr>
          <w:p w14:paraId="6265F726"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26 (70.3)</w:t>
            </w:r>
          </w:p>
        </w:tc>
        <w:tc>
          <w:tcPr>
            <w:tcW w:w="2341" w:type="dxa"/>
          </w:tcPr>
          <w:p w14:paraId="7CC74B5C"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31 (62.0)</w:t>
            </w:r>
          </w:p>
        </w:tc>
      </w:tr>
      <w:tr w:rsidR="00FA7F6D" w:rsidRPr="00FA7F6D" w14:paraId="45241F75" w14:textId="77777777" w:rsidTr="005D3C89">
        <w:trPr>
          <w:trHeight w:val="536"/>
        </w:trPr>
        <w:tc>
          <w:tcPr>
            <w:tcW w:w="2340" w:type="dxa"/>
          </w:tcPr>
          <w:p w14:paraId="7EE1E49C"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Ijaw</w:t>
            </w:r>
          </w:p>
        </w:tc>
        <w:tc>
          <w:tcPr>
            <w:tcW w:w="2340" w:type="dxa"/>
          </w:tcPr>
          <w:p w14:paraId="3B0C2178"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3 (23.1)</w:t>
            </w:r>
          </w:p>
        </w:tc>
        <w:tc>
          <w:tcPr>
            <w:tcW w:w="2342" w:type="dxa"/>
          </w:tcPr>
          <w:p w14:paraId="5B6CC88A"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6 (16.2)</w:t>
            </w:r>
          </w:p>
        </w:tc>
        <w:tc>
          <w:tcPr>
            <w:tcW w:w="2341" w:type="dxa"/>
          </w:tcPr>
          <w:p w14:paraId="77564F10"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9 (18.0)</w:t>
            </w:r>
          </w:p>
        </w:tc>
      </w:tr>
      <w:tr w:rsidR="00FA7F6D" w:rsidRPr="00FA7F6D" w14:paraId="3FD95F08" w14:textId="77777777" w:rsidTr="005D3C89">
        <w:trPr>
          <w:trHeight w:val="536"/>
        </w:trPr>
        <w:tc>
          <w:tcPr>
            <w:tcW w:w="2340" w:type="dxa"/>
          </w:tcPr>
          <w:p w14:paraId="15D7B515" w14:textId="77777777" w:rsidR="00FA7F6D" w:rsidRPr="00FA7F6D" w:rsidRDefault="00FA7F6D" w:rsidP="00FA7F6D">
            <w:pPr>
              <w:pStyle w:val="Body"/>
              <w:spacing w:after="0"/>
              <w:rPr>
                <w:rFonts w:ascii="Arial" w:eastAsia="Times New Roman" w:hAnsi="Arial" w:cs="Arial"/>
              </w:rPr>
            </w:pPr>
            <w:proofErr w:type="spellStart"/>
            <w:r w:rsidRPr="00FA7F6D">
              <w:rPr>
                <w:rFonts w:ascii="Arial" w:eastAsia="Times New Roman" w:hAnsi="Arial" w:cs="Arial"/>
              </w:rPr>
              <w:t>Ikwerre</w:t>
            </w:r>
            <w:proofErr w:type="spellEnd"/>
          </w:p>
        </w:tc>
        <w:tc>
          <w:tcPr>
            <w:tcW w:w="2340" w:type="dxa"/>
          </w:tcPr>
          <w:p w14:paraId="0F4A977C"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3 (23.1)</w:t>
            </w:r>
          </w:p>
        </w:tc>
        <w:tc>
          <w:tcPr>
            <w:tcW w:w="2342" w:type="dxa"/>
          </w:tcPr>
          <w:p w14:paraId="3BA23402"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1 (2.7)</w:t>
            </w:r>
          </w:p>
        </w:tc>
        <w:tc>
          <w:tcPr>
            <w:tcW w:w="2341" w:type="dxa"/>
          </w:tcPr>
          <w:p w14:paraId="58B200E6"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4 (8.0)</w:t>
            </w:r>
          </w:p>
        </w:tc>
      </w:tr>
      <w:tr w:rsidR="00FA7F6D" w:rsidRPr="00FA7F6D" w14:paraId="01AC237A" w14:textId="77777777" w:rsidTr="005D3C89">
        <w:trPr>
          <w:trHeight w:val="536"/>
        </w:trPr>
        <w:tc>
          <w:tcPr>
            <w:tcW w:w="2340" w:type="dxa"/>
          </w:tcPr>
          <w:p w14:paraId="111F89D4"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Others</w:t>
            </w:r>
          </w:p>
        </w:tc>
        <w:tc>
          <w:tcPr>
            <w:tcW w:w="2340" w:type="dxa"/>
          </w:tcPr>
          <w:p w14:paraId="01F74E48"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1 (7.7)</w:t>
            </w:r>
          </w:p>
        </w:tc>
        <w:tc>
          <w:tcPr>
            <w:tcW w:w="2342" w:type="dxa"/>
          </w:tcPr>
          <w:p w14:paraId="0782BF7B"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4 (10.8)</w:t>
            </w:r>
          </w:p>
        </w:tc>
        <w:tc>
          <w:tcPr>
            <w:tcW w:w="2341" w:type="dxa"/>
          </w:tcPr>
          <w:p w14:paraId="3DF88251"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5 (10.0)</w:t>
            </w:r>
          </w:p>
        </w:tc>
      </w:tr>
      <w:tr w:rsidR="00FA7F6D" w:rsidRPr="00FA7F6D" w14:paraId="0E2D6F1A" w14:textId="77777777" w:rsidTr="005D3C89">
        <w:trPr>
          <w:trHeight w:val="536"/>
        </w:trPr>
        <w:tc>
          <w:tcPr>
            <w:tcW w:w="2340" w:type="dxa"/>
          </w:tcPr>
          <w:p w14:paraId="43D9C381" w14:textId="77777777" w:rsidR="00FA7F6D" w:rsidRPr="00FA7F6D" w:rsidRDefault="00FA7F6D" w:rsidP="00FA7F6D">
            <w:pPr>
              <w:pStyle w:val="Body"/>
              <w:spacing w:after="0"/>
              <w:rPr>
                <w:rFonts w:ascii="Arial" w:eastAsia="Times New Roman" w:hAnsi="Arial" w:cs="Arial"/>
              </w:rPr>
            </w:pPr>
          </w:p>
        </w:tc>
        <w:tc>
          <w:tcPr>
            <w:tcW w:w="4682" w:type="dxa"/>
            <w:gridSpan w:val="2"/>
          </w:tcPr>
          <w:p w14:paraId="142E10F2" w14:textId="77777777" w:rsidR="00FA7F6D" w:rsidRPr="00FA7F6D" w:rsidRDefault="00FA7F6D" w:rsidP="00FA7F6D">
            <w:pPr>
              <w:pStyle w:val="Body"/>
              <w:spacing w:after="0"/>
              <w:rPr>
                <w:rFonts w:ascii="Arial" w:eastAsia="Times New Roman" w:hAnsi="Arial" w:cs="Arial"/>
                <w:i/>
                <w:iCs/>
              </w:rPr>
            </w:pPr>
            <w:r w:rsidRPr="00FA7F6D">
              <w:rPr>
                <w:rFonts w:ascii="Arial" w:eastAsia="Times New Roman" w:hAnsi="Arial" w:cs="Arial"/>
                <w:i/>
                <w:iCs/>
              </w:rPr>
              <w:t>Fisher’s Exact=8.777; p=0.034</w:t>
            </w:r>
          </w:p>
        </w:tc>
        <w:tc>
          <w:tcPr>
            <w:tcW w:w="2341" w:type="dxa"/>
          </w:tcPr>
          <w:p w14:paraId="464CDFAB" w14:textId="77777777" w:rsidR="00FA7F6D" w:rsidRPr="00FA7F6D" w:rsidRDefault="00FA7F6D" w:rsidP="00FA7F6D">
            <w:pPr>
              <w:pStyle w:val="Body"/>
              <w:spacing w:after="0"/>
              <w:rPr>
                <w:rFonts w:ascii="Arial" w:eastAsia="Times New Roman" w:hAnsi="Arial" w:cs="Arial"/>
              </w:rPr>
            </w:pPr>
          </w:p>
        </w:tc>
      </w:tr>
    </w:tbl>
    <w:p w14:paraId="000BF2F8" w14:textId="77777777" w:rsidR="00FA7F6D" w:rsidRPr="00FA7F6D" w:rsidRDefault="00FA7F6D" w:rsidP="00FA7F6D">
      <w:pPr>
        <w:pStyle w:val="Body"/>
        <w:spacing w:after="0"/>
        <w:rPr>
          <w:rFonts w:ascii="Arial" w:hAnsi="Arial" w:cs="Arial"/>
        </w:rPr>
      </w:pPr>
    </w:p>
    <w:p w14:paraId="6574C23F" w14:textId="77777777" w:rsidR="00FA7F6D" w:rsidRPr="00FA7F6D" w:rsidRDefault="00FA7F6D" w:rsidP="00FA7F6D">
      <w:pPr>
        <w:pStyle w:val="Body"/>
        <w:spacing w:after="0"/>
        <w:rPr>
          <w:rFonts w:ascii="Arial" w:hAnsi="Arial" w:cs="Arial"/>
        </w:rPr>
      </w:pPr>
      <w:r w:rsidRPr="00FA7F6D">
        <w:rPr>
          <w:rFonts w:ascii="Arial" w:hAnsi="Arial" w:cs="Arial"/>
        </w:rPr>
        <w:t>Mean± SD</w:t>
      </w:r>
      <w:bookmarkEnd w:id="1"/>
      <w:r w:rsidRPr="00FA7F6D">
        <w:rPr>
          <w:rFonts w:ascii="Arial" w:hAnsi="Arial" w:cs="Arial"/>
        </w:rPr>
        <w:t xml:space="preserve">, median, and range of parameters like age at diagnosis of the malignancies, full blood count, FBC parameter values before commence of chemotherapy, and the nadir values observed in the course of chemotherapy for platelets count, </w:t>
      </w:r>
      <w:proofErr w:type="spellStart"/>
      <w:r w:rsidRPr="00FA7F6D">
        <w:rPr>
          <w:rFonts w:ascii="Arial" w:hAnsi="Arial" w:cs="Arial"/>
        </w:rPr>
        <w:t>haemoglobin</w:t>
      </w:r>
      <w:proofErr w:type="spellEnd"/>
      <w:r w:rsidRPr="00FA7F6D">
        <w:rPr>
          <w:rFonts w:ascii="Arial" w:hAnsi="Arial" w:cs="Arial"/>
        </w:rPr>
        <w:t>, and absolute neutrophil counts are as presented in the table 3 below. In this study, nadir values represent the lowest laboratory parameters measured within 1 month following commence of chemotherapy.</w:t>
      </w:r>
    </w:p>
    <w:p w14:paraId="4B4CE6E5" w14:textId="77777777" w:rsidR="00FA7F6D" w:rsidRPr="00FA7F6D" w:rsidRDefault="00FA7F6D" w:rsidP="00FA7F6D">
      <w:pPr>
        <w:pStyle w:val="Body"/>
        <w:spacing w:after="0"/>
        <w:rPr>
          <w:rFonts w:ascii="Arial" w:hAnsi="Arial" w:cs="Arial"/>
          <w:b/>
          <w:bCs/>
        </w:rPr>
      </w:pPr>
      <w:r w:rsidRPr="00FA7F6D">
        <w:rPr>
          <w:rFonts w:ascii="Arial" w:hAnsi="Arial" w:cs="Arial"/>
          <w:b/>
          <w:bCs/>
        </w:rPr>
        <w:t xml:space="preserve">Table 3. Baseline and Nadir descriptive statistics of patients in the study </w:t>
      </w:r>
    </w:p>
    <w:tbl>
      <w:tblPr>
        <w:tblStyle w:val="TableGrid"/>
        <w:tblW w:w="9431"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143"/>
        <w:gridCol w:w="3144"/>
        <w:gridCol w:w="3144"/>
      </w:tblGrid>
      <w:tr w:rsidR="00FA7F6D" w:rsidRPr="00FA7F6D" w14:paraId="082865DE" w14:textId="77777777" w:rsidTr="005D3C89">
        <w:trPr>
          <w:trHeight w:val="545"/>
        </w:trPr>
        <w:tc>
          <w:tcPr>
            <w:tcW w:w="3143" w:type="dxa"/>
            <w:tcBorders>
              <w:top w:val="single" w:sz="4" w:space="0" w:color="auto"/>
              <w:bottom w:val="single" w:sz="4" w:space="0" w:color="auto"/>
            </w:tcBorders>
          </w:tcPr>
          <w:p w14:paraId="6042B7E8" w14:textId="77777777" w:rsidR="00FA7F6D" w:rsidRPr="00FA7F6D" w:rsidRDefault="00FA7F6D" w:rsidP="00FA7F6D">
            <w:pPr>
              <w:pStyle w:val="Body"/>
              <w:spacing w:after="0"/>
              <w:rPr>
                <w:rFonts w:ascii="Arial" w:eastAsia="Times New Roman" w:hAnsi="Arial" w:cs="Arial"/>
                <w:b/>
                <w:bCs/>
              </w:rPr>
            </w:pPr>
            <w:r w:rsidRPr="00FA7F6D">
              <w:rPr>
                <w:rFonts w:ascii="Arial" w:eastAsia="Times New Roman" w:hAnsi="Arial" w:cs="Arial"/>
                <w:b/>
                <w:bCs/>
              </w:rPr>
              <w:t>Variables</w:t>
            </w:r>
          </w:p>
        </w:tc>
        <w:tc>
          <w:tcPr>
            <w:tcW w:w="3144" w:type="dxa"/>
            <w:tcBorders>
              <w:top w:val="single" w:sz="4" w:space="0" w:color="auto"/>
              <w:bottom w:val="single" w:sz="4" w:space="0" w:color="auto"/>
            </w:tcBorders>
          </w:tcPr>
          <w:p w14:paraId="7A961B84" w14:textId="77777777" w:rsidR="00FA7F6D" w:rsidRPr="00FA7F6D" w:rsidRDefault="00FA7F6D" w:rsidP="00FA7F6D">
            <w:pPr>
              <w:pStyle w:val="Body"/>
              <w:spacing w:after="0"/>
              <w:rPr>
                <w:rFonts w:ascii="Arial" w:eastAsia="Times New Roman" w:hAnsi="Arial" w:cs="Arial"/>
                <w:b/>
                <w:bCs/>
              </w:rPr>
            </w:pPr>
            <w:r w:rsidRPr="00FA7F6D">
              <w:rPr>
                <w:rFonts w:ascii="Arial" w:eastAsia="Times New Roman" w:hAnsi="Arial" w:cs="Arial"/>
                <w:b/>
                <w:bCs/>
              </w:rPr>
              <w:t>Mean ± SD (N=72)</w:t>
            </w:r>
          </w:p>
        </w:tc>
        <w:tc>
          <w:tcPr>
            <w:tcW w:w="3144" w:type="dxa"/>
            <w:tcBorders>
              <w:top w:val="single" w:sz="4" w:space="0" w:color="auto"/>
              <w:bottom w:val="single" w:sz="4" w:space="0" w:color="auto"/>
            </w:tcBorders>
          </w:tcPr>
          <w:p w14:paraId="6BAA87CB" w14:textId="77777777" w:rsidR="00FA7F6D" w:rsidRPr="00FA7F6D" w:rsidRDefault="00FA7F6D" w:rsidP="00FA7F6D">
            <w:pPr>
              <w:pStyle w:val="Body"/>
              <w:spacing w:after="0"/>
              <w:rPr>
                <w:rFonts w:ascii="Arial" w:eastAsia="Times New Roman" w:hAnsi="Arial" w:cs="Arial"/>
                <w:b/>
                <w:bCs/>
              </w:rPr>
            </w:pPr>
            <w:r w:rsidRPr="00FA7F6D">
              <w:rPr>
                <w:rFonts w:ascii="Arial" w:eastAsia="Times New Roman" w:hAnsi="Arial" w:cs="Arial"/>
                <w:b/>
                <w:bCs/>
              </w:rPr>
              <w:t>Range (Min-Max)</w:t>
            </w:r>
          </w:p>
        </w:tc>
      </w:tr>
      <w:tr w:rsidR="00FA7F6D" w:rsidRPr="00FA7F6D" w14:paraId="4D25B028" w14:textId="77777777" w:rsidTr="005D3C89">
        <w:trPr>
          <w:trHeight w:val="517"/>
        </w:trPr>
        <w:tc>
          <w:tcPr>
            <w:tcW w:w="3143" w:type="dxa"/>
            <w:tcBorders>
              <w:top w:val="single" w:sz="4" w:space="0" w:color="auto"/>
            </w:tcBorders>
          </w:tcPr>
          <w:p w14:paraId="10D8B783"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Age at diagnosis</w:t>
            </w:r>
          </w:p>
        </w:tc>
        <w:tc>
          <w:tcPr>
            <w:tcW w:w="3144" w:type="dxa"/>
            <w:tcBorders>
              <w:top w:val="single" w:sz="4" w:space="0" w:color="auto"/>
            </w:tcBorders>
          </w:tcPr>
          <w:p w14:paraId="6504E977"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45.61 ± 14.80</w:t>
            </w:r>
          </w:p>
        </w:tc>
        <w:tc>
          <w:tcPr>
            <w:tcW w:w="3144" w:type="dxa"/>
            <w:tcBorders>
              <w:top w:val="single" w:sz="4" w:space="0" w:color="auto"/>
            </w:tcBorders>
          </w:tcPr>
          <w:p w14:paraId="087D6203"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19 -76</w:t>
            </w:r>
          </w:p>
        </w:tc>
      </w:tr>
      <w:tr w:rsidR="00FA7F6D" w:rsidRPr="00FA7F6D" w14:paraId="13A89E58" w14:textId="77777777" w:rsidTr="005D3C89">
        <w:trPr>
          <w:trHeight w:val="545"/>
        </w:trPr>
        <w:tc>
          <w:tcPr>
            <w:tcW w:w="3143" w:type="dxa"/>
          </w:tcPr>
          <w:p w14:paraId="39E3C8AC"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Baseline platelets</w:t>
            </w:r>
          </w:p>
        </w:tc>
        <w:tc>
          <w:tcPr>
            <w:tcW w:w="3144" w:type="dxa"/>
          </w:tcPr>
          <w:p w14:paraId="729635AA"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222.50*</w:t>
            </w:r>
          </w:p>
        </w:tc>
        <w:tc>
          <w:tcPr>
            <w:tcW w:w="3144" w:type="dxa"/>
          </w:tcPr>
          <w:p w14:paraId="0795AA08"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23.6 - 890.0</w:t>
            </w:r>
          </w:p>
        </w:tc>
      </w:tr>
      <w:tr w:rsidR="00FA7F6D" w:rsidRPr="00FA7F6D" w14:paraId="7DD47942" w14:textId="77777777" w:rsidTr="005D3C89">
        <w:trPr>
          <w:trHeight w:val="545"/>
        </w:trPr>
        <w:tc>
          <w:tcPr>
            <w:tcW w:w="3143" w:type="dxa"/>
          </w:tcPr>
          <w:p w14:paraId="46CF5A9A"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Baseline Hemoglobin</w:t>
            </w:r>
          </w:p>
        </w:tc>
        <w:tc>
          <w:tcPr>
            <w:tcW w:w="3144" w:type="dxa"/>
          </w:tcPr>
          <w:p w14:paraId="1BD3AE79"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9.23 ± 2.85</w:t>
            </w:r>
          </w:p>
        </w:tc>
        <w:tc>
          <w:tcPr>
            <w:tcW w:w="3144" w:type="dxa"/>
          </w:tcPr>
          <w:p w14:paraId="22D91A58"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3.40 - 15.80</w:t>
            </w:r>
          </w:p>
        </w:tc>
      </w:tr>
      <w:tr w:rsidR="00FA7F6D" w:rsidRPr="00FA7F6D" w14:paraId="40A11126" w14:textId="77777777" w:rsidTr="005D3C89">
        <w:trPr>
          <w:trHeight w:val="517"/>
        </w:trPr>
        <w:tc>
          <w:tcPr>
            <w:tcW w:w="3143" w:type="dxa"/>
          </w:tcPr>
          <w:p w14:paraId="5B3CCA44"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Baseline ANC</w:t>
            </w:r>
          </w:p>
        </w:tc>
        <w:tc>
          <w:tcPr>
            <w:tcW w:w="3144" w:type="dxa"/>
          </w:tcPr>
          <w:p w14:paraId="4628851E"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4.45*</w:t>
            </w:r>
          </w:p>
        </w:tc>
        <w:tc>
          <w:tcPr>
            <w:tcW w:w="3144" w:type="dxa"/>
          </w:tcPr>
          <w:p w14:paraId="1B87B7C0"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0.50 - 654.0</w:t>
            </w:r>
          </w:p>
        </w:tc>
      </w:tr>
      <w:tr w:rsidR="00FA7F6D" w:rsidRPr="00FA7F6D" w14:paraId="38C6A45A" w14:textId="77777777" w:rsidTr="005D3C89">
        <w:trPr>
          <w:trHeight w:val="545"/>
        </w:trPr>
        <w:tc>
          <w:tcPr>
            <w:tcW w:w="3143" w:type="dxa"/>
          </w:tcPr>
          <w:p w14:paraId="7E1BB4D2"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Nadir platelet</w:t>
            </w:r>
          </w:p>
        </w:tc>
        <w:tc>
          <w:tcPr>
            <w:tcW w:w="3144" w:type="dxa"/>
          </w:tcPr>
          <w:p w14:paraId="07F4CA36" w14:textId="77777777" w:rsidR="00FA7F6D" w:rsidRPr="00FA7F6D" w:rsidRDefault="00FA7F6D" w:rsidP="00FA7F6D">
            <w:pPr>
              <w:pStyle w:val="Body"/>
              <w:spacing w:after="0"/>
              <w:rPr>
                <w:rFonts w:ascii="Arial" w:eastAsia="Times New Roman" w:hAnsi="Arial" w:cs="Arial"/>
              </w:rPr>
            </w:pPr>
            <w:bookmarkStart w:id="2" w:name="_Hlk206909417"/>
            <w:r w:rsidRPr="00FA7F6D">
              <w:rPr>
                <w:rFonts w:ascii="Arial" w:eastAsia="Times New Roman" w:hAnsi="Arial" w:cs="Arial"/>
              </w:rPr>
              <w:t>175.69 ± 83.99</w:t>
            </w:r>
            <w:bookmarkEnd w:id="2"/>
          </w:p>
        </w:tc>
        <w:tc>
          <w:tcPr>
            <w:tcW w:w="3144" w:type="dxa"/>
          </w:tcPr>
          <w:p w14:paraId="54FE3F13"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22.0 - 405.0</w:t>
            </w:r>
          </w:p>
        </w:tc>
      </w:tr>
      <w:tr w:rsidR="00FA7F6D" w:rsidRPr="00FA7F6D" w14:paraId="53F80DD8" w14:textId="77777777" w:rsidTr="005D3C89">
        <w:trPr>
          <w:trHeight w:val="545"/>
        </w:trPr>
        <w:tc>
          <w:tcPr>
            <w:tcW w:w="3143" w:type="dxa"/>
          </w:tcPr>
          <w:p w14:paraId="379BF27A"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Nadir hemoglobin</w:t>
            </w:r>
          </w:p>
        </w:tc>
        <w:tc>
          <w:tcPr>
            <w:tcW w:w="3144" w:type="dxa"/>
          </w:tcPr>
          <w:p w14:paraId="74B20DBB"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10.23 ± 2.42</w:t>
            </w:r>
          </w:p>
        </w:tc>
        <w:tc>
          <w:tcPr>
            <w:tcW w:w="3144" w:type="dxa"/>
          </w:tcPr>
          <w:p w14:paraId="6DC5AFD9"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1.20 – 13.90</w:t>
            </w:r>
          </w:p>
        </w:tc>
      </w:tr>
      <w:tr w:rsidR="00FA7F6D" w:rsidRPr="00FA7F6D" w14:paraId="5B0B32E1" w14:textId="77777777" w:rsidTr="005D3C89">
        <w:trPr>
          <w:trHeight w:val="517"/>
        </w:trPr>
        <w:tc>
          <w:tcPr>
            <w:tcW w:w="3143" w:type="dxa"/>
          </w:tcPr>
          <w:p w14:paraId="6E37F49A"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Nadir ANC</w:t>
            </w:r>
          </w:p>
        </w:tc>
        <w:tc>
          <w:tcPr>
            <w:tcW w:w="3144" w:type="dxa"/>
          </w:tcPr>
          <w:p w14:paraId="73AFAFAE"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3.48*</w:t>
            </w:r>
          </w:p>
        </w:tc>
        <w:tc>
          <w:tcPr>
            <w:tcW w:w="3144" w:type="dxa"/>
          </w:tcPr>
          <w:p w14:paraId="35F38A3E"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0.30 – 432.0</w:t>
            </w:r>
          </w:p>
        </w:tc>
      </w:tr>
    </w:tbl>
    <w:p w14:paraId="57ABD115" w14:textId="77777777" w:rsidR="00FA7F6D" w:rsidRPr="00FA7F6D" w:rsidRDefault="00FA7F6D" w:rsidP="00FA7F6D">
      <w:pPr>
        <w:pStyle w:val="Body"/>
        <w:spacing w:after="0"/>
        <w:rPr>
          <w:rFonts w:ascii="Arial" w:hAnsi="Arial" w:cs="Arial"/>
        </w:rPr>
      </w:pPr>
      <w:r w:rsidRPr="00FA7F6D">
        <w:rPr>
          <w:rFonts w:ascii="Arial" w:hAnsi="Arial" w:cs="Arial"/>
        </w:rPr>
        <w:t>*Indicates use of median for variables that are not normally distributed</w:t>
      </w:r>
    </w:p>
    <w:p w14:paraId="7580E951" w14:textId="77777777" w:rsidR="00FA7F6D" w:rsidRPr="00FA7F6D" w:rsidRDefault="00FA7F6D" w:rsidP="00FA7F6D">
      <w:pPr>
        <w:pStyle w:val="Body"/>
        <w:spacing w:after="0"/>
        <w:rPr>
          <w:rFonts w:ascii="Arial" w:hAnsi="Arial" w:cs="Arial"/>
        </w:rPr>
      </w:pPr>
      <w:r w:rsidRPr="00FA7F6D">
        <w:rPr>
          <w:rFonts w:ascii="Arial" w:hAnsi="Arial" w:cs="Arial"/>
        </w:rPr>
        <w:t>Of the 72 patients with complete data, 69.4% received chemotherapy while 30.6% did not.</w:t>
      </w:r>
    </w:p>
    <w:p w14:paraId="6D83CEB2" w14:textId="77777777" w:rsidR="00FA7F6D" w:rsidRPr="00FA7F6D" w:rsidRDefault="00FA7F6D" w:rsidP="00FA7F6D">
      <w:pPr>
        <w:pStyle w:val="Body"/>
        <w:spacing w:after="0"/>
        <w:rPr>
          <w:rFonts w:ascii="Arial" w:hAnsi="Arial" w:cs="Arial"/>
        </w:rPr>
      </w:pPr>
      <w:r w:rsidRPr="00FA7F6D">
        <w:rPr>
          <w:rFonts w:ascii="Arial" w:hAnsi="Arial" w:cs="Arial"/>
          <w:noProof/>
        </w:rPr>
        <w:lastRenderedPageBreak/>
        <w:drawing>
          <wp:inline distT="0" distB="0" distL="0" distR="0" wp14:anchorId="0540BECF" wp14:editId="1FE4B2FD">
            <wp:extent cx="4657725" cy="3190875"/>
            <wp:effectExtent l="0" t="0" r="9525" b="9525"/>
            <wp:docPr id="2" name="Chart 2">
              <a:extLst xmlns:a="http://schemas.openxmlformats.org/drawingml/2006/main">
                <a:ext uri="{FF2B5EF4-FFF2-40B4-BE49-F238E27FC236}">
                  <a16:creationId xmlns:a16="http://schemas.microsoft.com/office/drawing/2014/main" id="{42DC9157-40FE-4EC7-9FFF-D3DF1AFEFCE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49D6FAF" w14:textId="77777777" w:rsidR="00FA7F6D" w:rsidRPr="00FA7F6D" w:rsidRDefault="00FA7F6D" w:rsidP="00FA7F6D">
      <w:pPr>
        <w:pStyle w:val="Body"/>
        <w:spacing w:after="0"/>
        <w:rPr>
          <w:rFonts w:ascii="Arial" w:hAnsi="Arial" w:cs="Arial"/>
          <w:b/>
          <w:bCs/>
        </w:rPr>
      </w:pPr>
      <w:r w:rsidRPr="00FA7F6D">
        <w:rPr>
          <w:rFonts w:ascii="Arial" w:hAnsi="Arial" w:cs="Arial"/>
          <w:b/>
          <w:bCs/>
        </w:rPr>
        <w:t>Fig. 2: Pie chart showing proportion of patients who did or did not receive chemotherapy</w:t>
      </w:r>
    </w:p>
    <w:p w14:paraId="56D27180" w14:textId="77777777" w:rsidR="00FA7F6D" w:rsidRPr="00FA7F6D" w:rsidRDefault="00FA7F6D" w:rsidP="00FA7F6D">
      <w:pPr>
        <w:pStyle w:val="Body"/>
        <w:spacing w:after="0"/>
        <w:rPr>
          <w:rFonts w:ascii="Arial" w:hAnsi="Arial" w:cs="Arial"/>
        </w:rPr>
      </w:pPr>
      <w:r w:rsidRPr="00FA7F6D">
        <w:rPr>
          <w:rFonts w:ascii="Arial" w:hAnsi="Arial" w:cs="Arial"/>
        </w:rPr>
        <w:t>Platelets count of &lt; 100 x 10</w:t>
      </w:r>
      <w:r w:rsidRPr="00FA7F6D">
        <w:rPr>
          <w:rFonts w:ascii="Arial" w:hAnsi="Arial" w:cs="Arial"/>
          <w:vertAlign w:val="superscript"/>
        </w:rPr>
        <w:t>9</w:t>
      </w:r>
      <w:r w:rsidRPr="00FA7F6D">
        <w:rPr>
          <w:rFonts w:ascii="Arial" w:hAnsi="Arial" w:cs="Arial"/>
        </w:rPr>
        <w:t xml:space="preserve">/l was used to define </w:t>
      </w:r>
      <w:proofErr w:type="spellStart"/>
      <w:r w:rsidRPr="00FA7F6D">
        <w:rPr>
          <w:rFonts w:ascii="Arial" w:hAnsi="Arial" w:cs="Arial"/>
        </w:rPr>
        <w:t>thrombocytopaenia</w:t>
      </w:r>
      <w:proofErr w:type="spellEnd"/>
      <w:r w:rsidRPr="00FA7F6D">
        <w:rPr>
          <w:rFonts w:ascii="Arial" w:hAnsi="Arial" w:cs="Arial"/>
        </w:rPr>
        <w:t xml:space="preserve"> in the study, and 26.0% of those who received chemotherapy developed </w:t>
      </w:r>
      <w:proofErr w:type="spellStart"/>
      <w:r w:rsidRPr="00FA7F6D">
        <w:rPr>
          <w:rFonts w:ascii="Arial" w:hAnsi="Arial" w:cs="Arial"/>
        </w:rPr>
        <w:t>thrombocytopaenia</w:t>
      </w:r>
      <w:proofErr w:type="spellEnd"/>
      <w:r w:rsidRPr="00FA7F6D">
        <w:rPr>
          <w:rFonts w:ascii="Arial" w:hAnsi="Arial" w:cs="Arial"/>
        </w:rPr>
        <w:t xml:space="preserve"> while 74.0% did not; this is show in figure 3 below.</w:t>
      </w:r>
    </w:p>
    <w:p w14:paraId="62592F1D" w14:textId="77777777" w:rsidR="00FA7F6D" w:rsidRPr="00FA7F6D" w:rsidRDefault="00FA7F6D" w:rsidP="00FA7F6D">
      <w:pPr>
        <w:pStyle w:val="Body"/>
        <w:spacing w:after="0"/>
        <w:rPr>
          <w:rFonts w:ascii="Arial" w:hAnsi="Arial" w:cs="Arial"/>
        </w:rPr>
      </w:pPr>
      <w:r w:rsidRPr="00FA7F6D">
        <w:rPr>
          <w:rFonts w:ascii="Arial" w:hAnsi="Arial" w:cs="Arial"/>
          <w:noProof/>
        </w:rPr>
        <w:drawing>
          <wp:inline distT="0" distB="0" distL="0" distR="0" wp14:anchorId="23B358B2" wp14:editId="325E74C3">
            <wp:extent cx="4705350" cy="3190875"/>
            <wp:effectExtent l="0" t="0" r="0" b="9525"/>
            <wp:docPr id="4" name="Chart 4">
              <a:extLst xmlns:a="http://schemas.openxmlformats.org/drawingml/2006/main">
                <a:ext uri="{FF2B5EF4-FFF2-40B4-BE49-F238E27FC236}">
                  <a16:creationId xmlns:a16="http://schemas.microsoft.com/office/drawing/2014/main" id="{EC8B9442-5246-47B5-AE24-6DA36AF4E53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2714FCB" w14:textId="77777777" w:rsidR="00FA7F6D" w:rsidRPr="00FA7F6D" w:rsidRDefault="00FA7F6D" w:rsidP="00FA7F6D">
      <w:pPr>
        <w:pStyle w:val="Body"/>
        <w:spacing w:after="0"/>
        <w:rPr>
          <w:rFonts w:ascii="Arial" w:hAnsi="Arial" w:cs="Arial"/>
          <w:b/>
          <w:bCs/>
        </w:rPr>
      </w:pPr>
      <w:r w:rsidRPr="00FA7F6D">
        <w:rPr>
          <w:rFonts w:ascii="Arial" w:hAnsi="Arial" w:cs="Arial"/>
          <w:b/>
          <w:bCs/>
        </w:rPr>
        <w:t xml:space="preserve">Fig 3. Prevalence of chemotherapy-induced </w:t>
      </w:r>
      <w:proofErr w:type="spellStart"/>
      <w:r w:rsidRPr="00FA7F6D">
        <w:rPr>
          <w:rFonts w:ascii="Arial" w:hAnsi="Arial" w:cs="Arial"/>
          <w:b/>
          <w:bCs/>
        </w:rPr>
        <w:t>thrombocytopaenia</w:t>
      </w:r>
      <w:proofErr w:type="spellEnd"/>
    </w:p>
    <w:p w14:paraId="200ED393" w14:textId="77777777" w:rsidR="00FA7F6D" w:rsidRPr="00FA7F6D" w:rsidRDefault="00FA7F6D" w:rsidP="00FA7F6D">
      <w:pPr>
        <w:pStyle w:val="Body"/>
        <w:spacing w:after="0"/>
        <w:rPr>
          <w:rFonts w:ascii="Arial" w:hAnsi="Arial" w:cs="Arial"/>
        </w:rPr>
      </w:pPr>
      <w:r w:rsidRPr="00FA7F6D">
        <w:rPr>
          <w:rFonts w:ascii="Arial" w:hAnsi="Arial" w:cs="Arial"/>
        </w:rPr>
        <w:t>The mean number of chemotherapy cycles completed, the total number of units of blood transfuse, and the various chemotherapy regimens used in the treatment of these patients are shown in the table 4. Imatinib, which is taken daily, was reported in months of targeted therapy, instead of chemotherapy cycles.</w:t>
      </w:r>
    </w:p>
    <w:p w14:paraId="73D7640C" w14:textId="77777777" w:rsidR="00FA7F6D" w:rsidRPr="00FA7F6D" w:rsidRDefault="00FA7F6D" w:rsidP="00FA7F6D">
      <w:pPr>
        <w:pStyle w:val="Body"/>
        <w:spacing w:after="0"/>
        <w:rPr>
          <w:rFonts w:ascii="Arial" w:hAnsi="Arial" w:cs="Arial"/>
          <w:b/>
          <w:bCs/>
        </w:rPr>
      </w:pPr>
      <w:r w:rsidRPr="00FA7F6D">
        <w:rPr>
          <w:rFonts w:ascii="Arial" w:hAnsi="Arial" w:cs="Arial"/>
          <w:b/>
          <w:bCs/>
        </w:rPr>
        <w:t>Table 4. Number of completed chemotherapy cycles and mean number of units of blood transfused in patients who received chemotherapy</w:t>
      </w:r>
    </w:p>
    <w:tbl>
      <w:tblPr>
        <w:tblStyle w:val="TableGrid"/>
        <w:tblW w:w="9767"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255"/>
        <w:gridCol w:w="3256"/>
        <w:gridCol w:w="3256"/>
      </w:tblGrid>
      <w:tr w:rsidR="00FA7F6D" w:rsidRPr="00FA7F6D" w14:paraId="4EAB8DFB" w14:textId="77777777" w:rsidTr="005D3C89">
        <w:trPr>
          <w:trHeight w:val="220"/>
        </w:trPr>
        <w:tc>
          <w:tcPr>
            <w:tcW w:w="3255" w:type="dxa"/>
            <w:tcBorders>
              <w:top w:val="single" w:sz="4" w:space="0" w:color="auto"/>
              <w:bottom w:val="single" w:sz="4" w:space="0" w:color="auto"/>
            </w:tcBorders>
          </w:tcPr>
          <w:p w14:paraId="292622A9" w14:textId="77777777" w:rsidR="00FA7F6D" w:rsidRPr="00FA7F6D" w:rsidRDefault="00FA7F6D" w:rsidP="00FA7F6D">
            <w:pPr>
              <w:pStyle w:val="Body"/>
              <w:spacing w:after="0"/>
              <w:rPr>
                <w:rFonts w:ascii="Arial" w:eastAsia="Times New Roman" w:hAnsi="Arial" w:cs="Arial"/>
                <w:b/>
                <w:bCs/>
              </w:rPr>
            </w:pPr>
            <w:r w:rsidRPr="00FA7F6D">
              <w:rPr>
                <w:rFonts w:ascii="Arial" w:eastAsia="Times New Roman" w:hAnsi="Arial" w:cs="Arial"/>
                <w:b/>
                <w:bCs/>
              </w:rPr>
              <w:t>Variables</w:t>
            </w:r>
          </w:p>
        </w:tc>
        <w:tc>
          <w:tcPr>
            <w:tcW w:w="3256" w:type="dxa"/>
            <w:tcBorders>
              <w:top w:val="single" w:sz="4" w:space="0" w:color="auto"/>
              <w:bottom w:val="single" w:sz="4" w:space="0" w:color="auto"/>
            </w:tcBorders>
          </w:tcPr>
          <w:p w14:paraId="370C8270" w14:textId="77777777" w:rsidR="00FA7F6D" w:rsidRPr="00FA7F6D" w:rsidRDefault="00FA7F6D" w:rsidP="00FA7F6D">
            <w:pPr>
              <w:pStyle w:val="Body"/>
              <w:spacing w:after="0"/>
              <w:rPr>
                <w:rFonts w:ascii="Arial" w:eastAsia="Times New Roman" w:hAnsi="Arial" w:cs="Arial"/>
                <w:b/>
                <w:bCs/>
              </w:rPr>
            </w:pPr>
            <w:bookmarkStart w:id="3" w:name="_Hlk206877359"/>
            <w:r w:rsidRPr="00FA7F6D">
              <w:rPr>
                <w:rFonts w:ascii="Arial" w:eastAsia="Times New Roman" w:hAnsi="Arial" w:cs="Arial"/>
                <w:b/>
                <w:bCs/>
              </w:rPr>
              <w:t xml:space="preserve">Mean ± SD </w:t>
            </w:r>
            <w:bookmarkEnd w:id="3"/>
            <w:r w:rsidRPr="00FA7F6D">
              <w:rPr>
                <w:rFonts w:ascii="Arial" w:eastAsia="Times New Roman" w:hAnsi="Arial" w:cs="Arial"/>
                <w:b/>
                <w:bCs/>
              </w:rPr>
              <w:t>(n=50)</w:t>
            </w:r>
          </w:p>
        </w:tc>
        <w:tc>
          <w:tcPr>
            <w:tcW w:w="3256" w:type="dxa"/>
            <w:tcBorders>
              <w:top w:val="single" w:sz="4" w:space="0" w:color="auto"/>
              <w:bottom w:val="single" w:sz="4" w:space="0" w:color="auto"/>
            </w:tcBorders>
          </w:tcPr>
          <w:p w14:paraId="75F4E2BE" w14:textId="77777777" w:rsidR="00FA7F6D" w:rsidRPr="00FA7F6D" w:rsidRDefault="00FA7F6D" w:rsidP="00FA7F6D">
            <w:pPr>
              <w:pStyle w:val="Body"/>
              <w:spacing w:after="0"/>
              <w:rPr>
                <w:rFonts w:ascii="Arial" w:eastAsia="Times New Roman" w:hAnsi="Arial" w:cs="Arial"/>
                <w:b/>
                <w:bCs/>
              </w:rPr>
            </w:pPr>
            <w:r w:rsidRPr="00FA7F6D">
              <w:rPr>
                <w:rFonts w:ascii="Arial" w:eastAsia="Times New Roman" w:hAnsi="Arial" w:cs="Arial"/>
                <w:b/>
                <w:bCs/>
              </w:rPr>
              <w:t>Range (Min-Max)</w:t>
            </w:r>
          </w:p>
        </w:tc>
      </w:tr>
      <w:tr w:rsidR="00FA7F6D" w:rsidRPr="00FA7F6D" w14:paraId="0A35436D" w14:textId="77777777" w:rsidTr="005D3C89">
        <w:trPr>
          <w:trHeight w:val="665"/>
        </w:trPr>
        <w:tc>
          <w:tcPr>
            <w:tcW w:w="3255" w:type="dxa"/>
            <w:tcBorders>
              <w:bottom w:val="nil"/>
            </w:tcBorders>
          </w:tcPr>
          <w:p w14:paraId="2672B2DF"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No. of cycles completed</w:t>
            </w:r>
          </w:p>
        </w:tc>
        <w:tc>
          <w:tcPr>
            <w:tcW w:w="3256" w:type="dxa"/>
            <w:tcBorders>
              <w:bottom w:val="nil"/>
            </w:tcBorders>
          </w:tcPr>
          <w:p w14:paraId="1944E2F1"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 xml:space="preserve"> </w:t>
            </w:r>
            <w:bookmarkStart w:id="4" w:name="_Hlk206877569"/>
            <w:r w:rsidRPr="00FA7F6D">
              <w:rPr>
                <w:rFonts w:ascii="Arial" w:eastAsia="Times New Roman" w:hAnsi="Arial" w:cs="Arial"/>
              </w:rPr>
              <w:t>5.64 ± 2.51</w:t>
            </w:r>
            <w:bookmarkEnd w:id="4"/>
          </w:p>
        </w:tc>
        <w:tc>
          <w:tcPr>
            <w:tcW w:w="3256" w:type="dxa"/>
            <w:tcBorders>
              <w:bottom w:val="nil"/>
            </w:tcBorders>
          </w:tcPr>
          <w:p w14:paraId="02C2E76F"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1 – 10</w:t>
            </w:r>
          </w:p>
        </w:tc>
      </w:tr>
      <w:tr w:rsidR="00FA7F6D" w:rsidRPr="00FA7F6D" w14:paraId="33A53E39" w14:textId="77777777" w:rsidTr="005D3C89">
        <w:trPr>
          <w:trHeight w:val="855"/>
        </w:trPr>
        <w:tc>
          <w:tcPr>
            <w:tcW w:w="3255" w:type="dxa"/>
            <w:tcBorders>
              <w:top w:val="nil"/>
              <w:bottom w:val="single" w:sz="4" w:space="0" w:color="auto"/>
            </w:tcBorders>
          </w:tcPr>
          <w:p w14:paraId="3868659F"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lastRenderedPageBreak/>
              <w:t>No. blood transfusion in the course of chemotherapy</w:t>
            </w:r>
          </w:p>
        </w:tc>
        <w:tc>
          <w:tcPr>
            <w:tcW w:w="3256" w:type="dxa"/>
            <w:tcBorders>
              <w:top w:val="nil"/>
              <w:bottom w:val="single" w:sz="4" w:space="0" w:color="auto"/>
            </w:tcBorders>
          </w:tcPr>
          <w:p w14:paraId="180F5800" w14:textId="77777777" w:rsidR="00FA7F6D" w:rsidRPr="00FA7F6D" w:rsidRDefault="00FA7F6D" w:rsidP="00FA7F6D">
            <w:pPr>
              <w:pStyle w:val="Body"/>
              <w:spacing w:after="0"/>
              <w:rPr>
                <w:rFonts w:ascii="Arial" w:eastAsia="Times New Roman" w:hAnsi="Arial" w:cs="Arial"/>
              </w:rPr>
            </w:pPr>
            <w:bookmarkStart w:id="5" w:name="_Hlk206877431"/>
            <w:r w:rsidRPr="00FA7F6D">
              <w:rPr>
                <w:rFonts w:ascii="Arial" w:eastAsia="Times New Roman" w:hAnsi="Arial" w:cs="Arial"/>
              </w:rPr>
              <w:t>1.96 ± 0.40</w:t>
            </w:r>
            <w:bookmarkEnd w:id="5"/>
          </w:p>
        </w:tc>
        <w:tc>
          <w:tcPr>
            <w:tcW w:w="3256" w:type="dxa"/>
            <w:tcBorders>
              <w:top w:val="nil"/>
              <w:bottom w:val="single" w:sz="4" w:space="0" w:color="auto"/>
            </w:tcBorders>
          </w:tcPr>
          <w:p w14:paraId="1FAFBAFD"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0 – 10</w:t>
            </w:r>
          </w:p>
        </w:tc>
      </w:tr>
      <w:tr w:rsidR="00FA7F6D" w:rsidRPr="00FA7F6D" w14:paraId="468766BC" w14:textId="77777777" w:rsidTr="005D3C89">
        <w:trPr>
          <w:trHeight w:val="522"/>
        </w:trPr>
        <w:tc>
          <w:tcPr>
            <w:tcW w:w="3255" w:type="dxa"/>
            <w:tcBorders>
              <w:top w:val="single" w:sz="4" w:space="0" w:color="auto"/>
            </w:tcBorders>
          </w:tcPr>
          <w:p w14:paraId="6550E107" w14:textId="77777777" w:rsidR="00FA7F6D" w:rsidRPr="00FA7F6D" w:rsidRDefault="00FA7F6D" w:rsidP="00FA7F6D">
            <w:pPr>
              <w:pStyle w:val="Body"/>
              <w:spacing w:after="0"/>
              <w:rPr>
                <w:rFonts w:ascii="Arial" w:eastAsia="Times New Roman" w:hAnsi="Arial" w:cs="Arial"/>
                <w:b/>
                <w:bCs/>
              </w:rPr>
            </w:pPr>
            <w:r w:rsidRPr="00FA7F6D">
              <w:rPr>
                <w:rFonts w:ascii="Arial" w:eastAsia="Times New Roman" w:hAnsi="Arial" w:cs="Arial"/>
                <w:b/>
                <w:bCs/>
              </w:rPr>
              <w:t>Chemotherapeutic regimen</w:t>
            </w:r>
          </w:p>
        </w:tc>
        <w:tc>
          <w:tcPr>
            <w:tcW w:w="3256" w:type="dxa"/>
            <w:tcBorders>
              <w:top w:val="single" w:sz="4" w:space="0" w:color="auto"/>
            </w:tcBorders>
          </w:tcPr>
          <w:p w14:paraId="6AD5BEF4" w14:textId="77777777" w:rsidR="00FA7F6D" w:rsidRPr="00FA7F6D" w:rsidRDefault="00FA7F6D" w:rsidP="00FA7F6D">
            <w:pPr>
              <w:pStyle w:val="Body"/>
              <w:spacing w:after="0"/>
              <w:rPr>
                <w:rFonts w:ascii="Arial" w:eastAsia="Times New Roman" w:hAnsi="Arial" w:cs="Arial"/>
                <w:b/>
                <w:bCs/>
              </w:rPr>
            </w:pPr>
            <w:r w:rsidRPr="00FA7F6D">
              <w:rPr>
                <w:rFonts w:ascii="Arial" w:eastAsia="Times New Roman" w:hAnsi="Arial" w:cs="Arial"/>
                <w:b/>
                <w:bCs/>
              </w:rPr>
              <w:t>Frequency (n)</w:t>
            </w:r>
          </w:p>
        </w:tc>
        <w:tc>
          <w:tcPr>
            <w:tcW w:w="3256" w:type="dxa"/>
            <w:tcBorders>
              <w:top w:val="single" w:sz="4" w:space="0" w:color="auto"/>
            </w:tcBorders>
          </w:tcPr>
          <w:p w14:paraId="250B88AF" w14:textId="77777777" w:rsidR="00FA7F6D" w:rsidRPr="00FA7F6D" w:rsidRDefault="00FA7F6D" w:rsidP="00FA7F6D">
            <w:pPr>
              <w:pStyle w:val="Body"/>
              <w:spacing w:after="0"/>
              <w:rPr>
                <w:rFonts w:ascii="Arial" w:eastAsia="Times New Roman" w:hAnsi="Arial" w:cs="Arial"/>
                <w:b/>
                <w:bCs/>
              </w:rPr>
            </w:pPr>
            <w:r w:rsidRPr="00FA7F6D">
              <w:rPr>
                <w:rFonts w:ascii="Arial" w:eastAsia="Times New Roman" w:hAnsi="Arial" w:cs="Arial"/>
                <w:b/>
                <w:bCs/>
              </w:rPr>
              <w:t>Percentage (%)</w:t>
            </w:r>
          </w:p>
        </w:tc>
      </w:tr>
      <w:tr w:rsidR="00FA7F6D" w:rsidRPr="00FA7F6D" w14:paraId="246F8465" w14:textId="77777777" w:rsidTr="005D3C89">
        <w:trPr>
          <w:trHeight w:val="522"/>
        </w:trPr>
        <w:tc>
          <w:tcPr>
            <w:tcW w:w="3255" w:type="dxa"/>
          </w:tcPr>
          <w:p w14:paraId="537D06DF"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ABVD</w:t>
            </w:r>
          </w:p>
        </w:tc>
        <w:tc>
          <w:tcPr>
            <w:tcW w:w="3256" w:type="dxa"/>
          </w:tcPr>
          <w:p w14:paraId="7E7D8B46"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7</w:t>
            </w:r>
          </w:p>
        </w:tc>
        <w:tc>
          <w:tcPr>
            <w:tcW w:w="3256" w:type="dxa"/>
          </w:tcPr>
          <w:p w14:paraId="3154FCB5"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14.0</w:t>
            </w:r>
          </w:p>
        </w:tc>
      </w:tr>
      <w:tr w:rsidR="00FA7F6D" w:rsidRPr="00FA7F6D" w14:paraId="131311E4" w14:textId="77777777" w:rsidTr="005D3C89">
        <w:trPr>
          <w:trHeight w:val="522"/>
        </w:trPr>
        <w:tc>
          <w:tcPr>
            <w:tcW w:w="3255" w:type="dxa"/>
          </w:tcPr>
          <w:p w14:paraId="6536EBF5"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CHOP</w:t>
            </w:r>
          </w:p>
        </w:tc>
        <w:tc>
          <w:tcPr>
            <w:tcW w:w="3256" w:type="dxa"/>
          </w:tcPr>
          <w:p w14:paraId="07070AF9"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8</w:t>
            </w:r>
          </w:p>
        </w:tc>
        <w:tc>
          <w:tcPr>
            <w:tcW w:w="3256" w:type="dxa"/>
          </w:tcPr>
          <w:p w14:paraId="343C9453"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16.0</w:t>
            </w:r>
          </w:p>
        </w:tc>
      </w:tr>
      <w:tr w:rsidR="00FA7F6D" w:rsidRPr="00FA7F6D" w14:paraId="44EFAC41" w14:textId="77777777" w:rsidTr="005D3C89">
        <w:trPr>
          <w:trHeight w:val="522"/>
        </w:trPr>
        <w:tc>
          <w:tcPr>
            <w:tcW w:w="3255" w:type="dxa"/>
          </w:tcPr>
          <w:p w14:paraId="5DA21438"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CVP</w:t>
            </w:r>
          </w:p>
        </w:tc>
        <w:tc>
          <w:tcPr>
            <w:tcW w:w="3256" w:type="dxa"/>
          </w:tcPr>
          <w:p w14:paraId="2DEE919F"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2</w:t>
            </w:r>
          </w:p>
        </w:tc>
        <w:tc>
          <w:tcPr>
            <w:tcW w:w="3256" w:type="dxa"/>
          </w:tcPr>
          <w:p w14:paraId="34553C1B"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4.0</w:t>
            </w:r>
          </w:p>
        </w:tc>
      </w:tr>
      <w:tr w:rsidR="00FA7F6D" w:rsidRPr="00FA7F6D" w14:paraId="13018EA8" w14:textId="77777777" w:rsidTr="005D3C89">
        <w:trPr>
          <w:trHeight w:val="522"/>
        </w:trPr>
        <w:tc>
          <w:tcPr>
            <w:tcW w:w="3255" w:type="dxa"/>
          </w:tcPr>
          <w:p w14:paraId="39B0084A"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R-CHOP</w:t>
            </w:r>
          </w:p>
        </w:tc>
        <w:tc>
          <w:tcPr>
            <w:tcW w:w="3256" w:type="dxa"/>
          </w:tcPr>
          <w:p w14:paraId="313ACE15"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7</w:t>
            </w:r>
          </w:p>
        </w:tc>
        <w:tc>
          <w:tcPr>
            <w:tcW w:w="3256" w:type="dxa"/>
          </w:tcPr>
          <w:p w14:paraId="3800D53E"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14.0</w:t>
            </w:r>
          </w:p>
        </w:tc>
      </w:tr>
      <w:tr w:rsidR="00FA7F6D" w:rsidRPr="00FA7F6D" w14:paraId="0942EC62" w14:textId="77777777" w:rsidTr="005D3C89">
        <w:trPr>
          <w:trHeight w:val="522"/>
        </w:trPr>
        <w:tc>
          <w:tcPr>
            <w:tcW w:w="3255" w:type="dxa"/>
            <w:tcBorders>
              <w:bottom w:val="nil"/>
            </w:tcBorders>
          </w:tcPr>
          <w:p w14:paraId="3DCA826C"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TKIs</w:t>
            </w:r>
          </w:p>
        </w:tc>
        <w:tc>
          <w:tcPr>
            <w:tcW w:w="3256" w:type="dxa"/>
            <w:tcBorders>
              <w:bottom w:val="nil"/>
            </w:tcBorders>
          </w:tcPr>
          <w:p w14:paraId="1CFA3657"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11</w:t>
            </w:r>
          </w:p>
        </w:tc>
        <w:tc>
          <w:tcPr>
            <w:tcW w:w="3256" w:type="dxa"/>
            <w:tcBorders>
              <w:bottom w:val="nil"/>
            </w:tcBorders>
          </w:tcPr>
          <w:p w14:paraId="4603578F"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22.0</w:t>
            </w:r>
          </w:p>
        </w:tc>
      </w:tr>
      <w:tr w:rsidR="00FA7F6D" w:rsidRPr="00FA7F6D" w14:paraId="17DA6AD9" w14:textId="77777777" w:rsidTr="005D3C89">
        <w:trPr>
          <w:trHeight w:val="522"/>
        </w:trPr>
        <w:tc>
          <w:tcPr>
            <w:tcW w:w="3255" w:type="dxa"/>
            <w:tcBorders>
              <w:top w:val="nil"/>
              <w:bottom w:val="single" w:sz="4" w:space="0" w:color="auto"/>
            </w:tcBorders>
          </w:tcPr>
          <w:p w14:paraId="67732080"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VRDs</w:t>
            </w:r>
          </w:p>
        </w:tc>
        <w:tc>
          <w:tcPr>
            <w:tcW w:w="3256" w:type="dxa"/>
            <w:tcBorders>
              <w:top w:val="nil"/>
              <w:bottom w:val="single" w:sz="4" w:space="0" w:color="auto"/>
            </w:tcBorders>
          </w:tcPr>
          <w:p w14:paraId="46B2B17B"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15</w:t>
            </w:r>
          </w:p>
        </w:tc>
        <w:tc>
          <w:tcPr>
            <w:tcW w:w="3256" w:type="dxa"/>
            <w:tcBorders>
              <w:top w:val="nil"/>
              <w:bottom w:val="single" w:sz="4" w:space="0" w:color="auto"/>
            </w:tcBorders>
          </w:tcPr>
          <w:p w14:paraId="504F9380"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30.0</w:t>
            </w:r>
          </w:p>
        </w:tc>
      </w:tr>
      <w:tr w:rsidR="00FA7F6D" w:rsidRPr="00FA7F6D" w14:paraId="2D22BB96" w14:textId="77777777" w:rsidTr="005D3C89">
        <w:trPr>
          <w:trHeight w:val="522"/>
        </w:trPr>
        <w:tc>
          <w:tcPr>
            <w:tcW w:w="3255" w:type="dxa"/>
            <w:tcBorders>
              <w:top w:val="single" w:sz="4" w:space="0" w:color="auto"/>
            </w:tcBorders>
          </w:tcPr>
          <w:p w14:paraId="3141B60A" w14:textId="77777777" w:rsidR="00FA7F6D" w:rsidRPr="00FA7F6D" w:rsidRDefault="00FA7F6D" w:rsidP="00FA7F6D">
            <w:pPr>
              <w:pStyle w:val="Body"/>
              <w:spacing w:after="0"/>
              <w:rPr>
                <w:rFonts w:ascii="Arial" w:eastAsia="Times New Roman" w:hAnsi="Arial" w:cs="Arial"/>
                <w:b/>
                <w:bCs/>
              </w:rPr>
            </w:pPr>
            <w:r w:rsidRPr="00FA7F6D">
              <w:rPr>
                <w:rFonts w:ascii="Arial" w:eastAsia="Times New Roman" w:hAnsi="Arial" w:cs="Arial"/>
                <w:b/>
                <w:bCs/>
              </w:rPr>
              <w:t>Dose adjustments</w:t>
            </w:r>
          </w:p>
        </w:tc>
        <w:tc>
          <w:tcPr>
            <w:tcW w:w="3256" w:type="dxa"/>
            <w:tcBorders>
              <w:top w:val="single" w:sz="4" w:space="0" w:color="auto"/>
            </w:tcBorders>
          </w:tcPr>
          <w:p w14:paraId="40F161BE" w14:textId="77777777" w:rsidR="00FA7F6D" w:rsidRPr="00FA7F6D" w:rsidRDefault="00FA7F6D" w:rsidP="00FA7F6D">
            <w:pPr>
              <w:pStyle w:val="Body"/>
              <w:spacing w:after="0"/>
              <w:rPr>
                <w:rFonts w:ascii="Arial" w:eastAsia="Times New Roman" w:hAnsi="Arial" w:cs="Arial"/>
              </w:rPr>
            </w:pPr>
          </w:p>
        </w:tc>
        <w:tc>
          <w:tcPr>
            <w:tcW w:w="3256" w:type="dxa"/>
            <w:tcBorders>
              <w:top w:val="single" w:sz="4" w:space="0" w:color="auto"/>
            </w:tcBorders>
          </w:tcPr>
          <w:p w14:paraId="073F9423" w14:textId="77777777" w:rsidR="00FA7F6D" w:rsidRPr="00FA7F6D" w:rsidRDefault="00FA7F6D" w:rsidP="00FA7F6D">
            <w:pPr>
              <w:pStyle w:val="Body"/>
              <w:spacing w:after="0"/>
              <w:rPr>
                <w:rFonts w:ascii="Arial" w:eastAsia="Times New Roman" w:hAnsi="Arial" w:cs="Arial"/>
              </w:rPr>
            </w:pPr>
          </w:p>
        </w:tc>
      </w:tr>
      <w:tr w:rsidR="00FA7F6D" w:rsidRPr="00FA7F6D" w14:paraId="44D55645" w14:textId="77777777" w:rsidTr="005D3C89">
        <w:trPr>
          <w:trHeight w:val="522"/>
        </w:trPr>
        <w:tc>
          <w:tcPr>
            <w:tcW w:w="3255" w:type="dxa"/>
            <w:tcBorders>
              <w:bottom w:val="nil"/>
            </w:tcBorders>
          </w:tcPr>
          <w:p w14:paraId="28833E2A"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Yes</w:t>
            </w:r>
          </w:p>
        </w:tc>
        <w:tc>
          <w:tcPr>
            <w:tcW w:w="3256" w:type="dxa"/>
            <w:tcBorders>
              <w:bottom w:val="nil"/>
            </w:tcBorders>
          </w:tcPr>
          <w:p w14:paraId="4DF48E79"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5</w:t>
            </w:r>
          </w:p>
        </w:tc>
        <w:tc>
          <w:tcPr>
            <w:tcW w:w="3256" w:type="dxa"/>
            <w:tcBorders>
              <w:bottom w:val="nil"/>
            </w:tcBorders>
          </w:tcPr>
          <w:p w14:paraId="3A0AA128"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10.0</w:t>
            </w:r>
          </w:p>
        </w:tc>
      </w:tr>
      <w:tr w:rsidR="00FA7F6D" w:rsidRPr="00FA7F6D" w14:paraId="3AC252AF" w14:textId="77777777" w:rsidTr="005D3C89">
        <w:trPr>
          <w:trHeight w:val="522"/>
        </w:trPr>
        <w:tc>
          <w:tcPr>
            <w:tcW w:w="3255" w:type="dxa"/>
            <w:tcBorders>
              <w:top w:val="nil"/>
              <w:bottom w:val="single" w:sz="4" w:space="0" w:color="auto"/>
            </w:tcBorders>
          </w:tcPr>
          <w:p w14:paraId="475B6DA2"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No</w:t>
            </w:r>
          </w:p>
        </w:tc>
        <w:tc>
          <w:tcPr>
            <w:tcW w:w="3256" w:type="dxa"/>
            <w:tcBorders>
              <w:top w:val="nil"/>
              <w:bottom w:val="single" w:sz="4" w:space="0" w:color="auto"/>
            </w:tcBorders>
          </w:tcPr>
          <w:p w14:paraId="1989AE28"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45</w:t>
            </w:r>
          </w:p>
        </w:tc>
        <w:tc>
          <w:tcPr>
            <w:tcW w:w="3256" w:type="dxa"/>
            <w:tcBorders>
              <w:top w:val="nil"/>
              <w:bottom w:val="single" w:sz="4" w:space="0" w:color="auto"/>
            </w:tcBorders>
          </w:tcPr>
          <w:p w14:paraId="51EAE0E3"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90.0</w:t>
            </w:r>
          </w:p>
        </w:tc>
      </w:tr>
    </w:tbl>
    <w:p w14:paraId="4BEAE4D5" w14:textId="77777777" w:rsidR="00FA7F6D" w:rsidRPr="00FA7F6D" w:rsidRDefault="00FA7F6D" w:rsidP="00FA7F6D">
      <w:pPr>
        <w:pStyle w:val="Body"/>
        <w:spacing w:after="0"/>
        <w:rPr>
          <w:rFonts w:ascii="Arial" w:hAnsi="Arial" w:cs="Arial"/>
        </w:rPr>
      </w:pPr>
    </w:p>
    <w:p w14:paraId="0D599061" w14:textId="77777777" w:rsidR="00FA7F6D" w:rsidRPr="00FA7F6D" w:rsidRDefault="00FA7F6D" w:rsidP="00FA7F6D">
      <w:pPr>
        <w:pStyle w:val="Body"/>
        <w:spacing w:after="0"/>
        <w:rPr>
          <w:rFonts w:ascii="Arial" w:hAnsi="Arial" w:cs="Arial"/>
          <w:b/>
          <w:bCs/>
        </w:rPr>
      </w:pPr>
      <w:r w:rsidRPr="00FA7F6D">
        <w:rPr>
          <w:rFonts w:ascii="Arial" w:hAnsi="Arial" w:cs="Arial"/>
          <w:b/>
          <w:bCs/>
        </w:rPr>
        <w:t>Table 5. Association between chemotherapeutic regimen and platelets count in             cancer patients that received chemotherapy</w:t>
      </w:r>
    </w:p>
    <w:tbl>
      <w:tblPr>
        <w:tblStyle w:val="TableGrid"/>
        <w:tblW w:w="4789" w:type="dxa"/>
        <w:tblInd w:w="212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5"/>
      </w:tblGrid>
      <w:tr w:rsidR="00FA7F6D" w:rsidRPr="00FA7F6D" w14:paraId="07FCA7E1" w14:textId="77777777" w:rsidTr="005D3C89">
        <w:trPr>
          <w:trHeight w:val="920"/>
        </w:trPr>
        <w:tc>
          <w:tcPr>
            <w:tcW w:w="2394" w:type="dxa"/>
            <w:tcBorders>
              <w:top w:val="single" w:sz="4" w:space="0" w:color="auto"/>
              <w:bottom w:val="single" w:sz="4" w:space="0" w:color="auto"/>
            </w:tcBorders>
          </w:tcPr>
          <w:p w14:paraId="40049A47" w14:textId="77777777" w:rsidR="00FA7F6D" w:rsidRPr="00FA7F6D" w:rsidRDefault="00FA7F6D" w:rsidP="00FA7F6D">
            <w:pPr>
              <w:pStyle w:val="Body"/>
              <w:rPr>
                <w:rFonts w:ascii="Arial" w:eastAsia="Times New Roman" w:hAnsi="Arial" w:cs="Arial"/>
                <w:b/>
                <w:bCs/>
              </w:rPr>
            </w:pPr>
            <w:r w:rsidRPr="00FA7F6D">
              <w:rPr>
                <w:rFonts w:ascii="Arial" w:eastAsia="Times New Roman" w:hAnsi="Arial" w:cs="Arial"/>
                <w:b/>
                <w:bCs/>
              </w:rPr>
              <w:t>Variables</w:t>
            </w:r>
          </w:p>
        </w:tc>
        <w:tc>
          <w:tcPr>
            <w:tcW w:w="2395" w:type="dxa"/>
            <w:tcBorders>
              <w:top w:val="single" w:sz="4" w:space="0" w:color="auto"/>
              <w:bottom w:val="single" w:sz="4" w:space="0" w:color="auto"/>
            </w:tcBorders>
          </w:tcPr>
          <w:p w14:paraId="0B9F62BF" w14:textId="77777777" w:rsidR="00FA7F6D" w:rsidRPr="00FA7F6D" w:rsidRDefault="00FA7F6D" w:rsidP="00FA7F6D">
            <w:pPr>
              <w:pStyle w:val="Body"/>
              <w:rPr>
                <w:rFonts w:ascii="Arial" w:eastAsia="Times New Roman" w:hAnsi="Arial" w:cs="Arial"/>
                <w:b/>
                <w:bCs/>
              </w:rPr>
            </w:pPr>
            <w:r w:rsidRPr="00FA7F6D">
              <w:rPr>
                <w:rFonts w:ascii="Arial" w:eastAsia="Times New Roman" w:hAnsi="Arial" w:cs="Arial"/>
                <w:b/>
                <w:bCs/>
              </w:rPr>
              <w:t>Platelet count</w:t>
            </w:r>
          </w:p>
          <w:p w14:paraId="7C9C01C4" w14:textId="77777777" w:rsidR="00FA7F6D" w:rsidRPr="00FA7F6D" w:rsidRDefault="00FA7F6D" w:rsidP="00FA7F6D">
            <w:pPr>
              <w:pStyle w:val="Body"/>
              <w:rPr>
                <w:rFonts w:ascii="Arial" w:eastAsia="Times New Roman" w:hAnsi="Arial" w:cs="Arial"/>
                <w:b/>
                <w:bCs/>
              </w:rPr>
            </w:pPr>
            <w:r w:rsidRPr="00FA7F6D">
              <w:rPr>
                <w:rFonts w:ascii="Arial" w:eastAsia="Times New Roman" w:hAnsi="Arial" w:cs="Arial"/>
                <w:b/>
                <w:bCs/>
              </w:rPr>
              <w:t>Mean ± SD</w:t>
            </w:r>
          </w:p>
        </w:tc>
      </w:tr>
      <w:tr w:rsidR="00FA7F6D" w:rsidRPr="00FA7F6D" w14:paraId="019EBBF8" w14:textId="77777777" w:rsidTr="005D3C89">
        <w:trPr>
          <w:trHeight w:val="605"/>
        </w:trPr>
        <w:tc>
          <w:tcPr>
            <w:tcW w:w="2394" w:type="dxa"/>
            <w:tcBorders>
              <w:top w:val="single" w:sz="4" w:space="0" w:color="auto"/>
            </w:tcBorders>
          </w:tcPr>
          <w:p w14:paraId="02C116F8" w14:textId="77777777" w:rsidR="00FA7F6D" w:rsidRPr="00FA7F6D" w:rsidRDefault="00FA7F6D" w:rsidP="00FA7F6D">
            <w:pPr>
              <w:pStyle w:val="Body"/>
              <w:rPr>
                <w:rFonts w:ascii="Arial" w:eastAsia="Times New Roman" w:hAnsi="Arial" w:cs="Arial"/>
              </w:rPr>
            </w:pPr>
            <w:r w:rsidRPr="00FA7F6D">
              <w:rPr>
                <w:rFonts w:ascii="Arial" w:eastAsia="Times New Roman" w:hAnsi="Arial" w:cs="Arial"/>
                <w:b/>
                <w:bCs/>
              </w:rPr>
              <w:t>Chemo regimen</w:t>
            </w:r>
          </w:p>
        </w:tc>
        <w:tc>
          <w:tcPr>
            <w:tcW w:w="2395" w:type="dxa"/>
            <w:tcBorders>
              <w:top w:val="single" w:sz="4" w:space="0" w:color="auto"/>
            </w:tcBorders>
          </w:tcPr>
          <w:p w14:paraId="449ACC5C" w14:textId="77777777" w:rsidR="00FA7F6D" w:rsidRPr="00FA7F6D" w:rsidRDefault="00FA7F6D" w:rsidP="00FA7F6D">
            <w:pPr>
              <w:pStyle w:val="Body"/>
              <w:rPr>
                <w:rFonts w:ascii="Arial" w:eastAsia="Times New Roman" w:hAnsi="Arial" w:cs="Arial"/>
              </w:rPr>
            </w:pPr>
          </w:p>
        </w:tc>
      </w:tr>
      <w:tr w:rsidR="00FA7F6D" w:rsidRPr="00FA7F6D" w14:paraId="593F8EE2" w14:textId="77777777" w:rsidTr="005D3C89">
        <w:trPr>
          <w:trHeight w:val="605"/>
        </w:trPr>
        <w:tc>
          <w:tcPr>
            <w:tcW w:w="2394" w:type="dxa"/>
          </w:tcPr>
          <w:p w14:paraId="419DDBB5" w14:textId="77777777" w:rsidR="00FA7F6D" w:rsidRPr="00FA7F6D" w:rsidRDefault="00FA7F6D" w:rsidP="00FA7F6D">
            <w:pPr>
              <w:pStyle w:val="Body"/>
              <w:rPr>
                <w:rFonts w:ascii="Arial" w:eastAsia="Times New Roman" w:hAnsi="Arial" w:cs="Arial"/>
              </w:rPr>
            </w:pPr>
            <w:r w:rsidRPr="00FA7F6D">
              <w:rPr>
                <w:rFonts w:ascii="Arial" w:eastAsia="Times New Roman" w:hAnsi="Arial" w:cs="Arial"/>
              </w:rPr>
              <w:t>ABVD</w:t>
            </w:r>
          </w:p>
        </w:tc>
        <w:tc>
          <w:tcPr>
            <w:tcW w:w="2395" w:type="dxa"/>
          </w:tcPr>
          <w:p w14:paraId="60027496" w14:textId="77777777" w:rsidR="00FA7F6D" w:rsidRPr="00FA7F6D" w:rsidRDefault="00FA7F6D" w:rsidP="00FA7F6D">
            <w:pPr>
              <w:pStyle w:val="Body"/>
              <w:rPr>
                <w:rFonts w:ascii="Arial" w:eastAsia="Times New Roman" w:hAnsi="Arial" w:cs="Arial"/>
              </w:rPr>
            </w:pPr>
            <w:r w:rsidRPr="00FA7F6D">
              <w:rPr>
                <w:rFonts w:ascii="Arial" w:eastAsia="Times New Roman" w:hAnsi="Arial" w:cs="Arial"/>
              </w:rPr>
              <w:t>233.71 ± 40.39</w:t>
            </w:r>
          </w:p>
        </w:tc>
      </w:tr>
      <w:tr w:rsidR="00FA7F6D" w:rsidRPr="00FA7F6D" w14:paraId="35364A72" w14:textId="77777777" w:rsidTr="005D3C89">
        <w:trPr>
          <w:trHeight w:val="605"/>
        </w:trPr>
        <w:tc>
          <w:tcPr>
            <w:tcW w:w="2394" w:type="dxa"/>
          </w:tcPr>
          <w:p w14:paraId="76595F9F" w14:textId="77777777" w:rsidR="00FA7F6D" w:rsidRPr="00FA7F6D" w:rsidRDefault="00FA7F6D" w:rsidP="00FA7F6D">
            <w:pPr>
              <w:pStyle w:val="Body"/>
              <w:rPr>
                <w:rFonts w:ascii="Arial" w:eastAsia="Times New Roman" w:hAnsi="Arial" w:cs="Arial"/>
              </w:rPr>
            </w:pPr>
            <w:r w:rsidRPr="00FA7F6D">
              <w:rPr>
                <w:rFonts w:ascii="Arial" w:eastAsia="Times New Roman" w:hAnsi="Arial" w:cs="Arial"/>
              </w:rPr>
              <w:t>CHOP</w:t>
            </w:r>
          </w:p>
        </w:tc>
        <w:tc>
          <w:tcPr>
            <w:tcW w:w="2395" w:type="dxa"/>
          </w:tcPr>
          <w:p w14:paraId="5DB649B3" w14:textId="77777777" w:rsidR="00FA7F6D" w:rsidRPr="00FA7F6D" w:rsidRDefault="00FA7F6D" w:rsidP="00FA7F6D">
            <w:pPr>
              <w:pStyle w:val="Body"/>
              <w:rPr>
                <w:rFonts w:ascii="Arial" w:eastAsia="Times New Roman" w:hAnsi="Arial" w:cs="Arial"/>
              </w:rPr>
            </w:pPr>
            <w:r w:rsidRPr="00FA7F6D">
              <w:rPr>
                <w:rFonts w:ascii="Arial" w:eastAsia="Times New Roman" w:hAnsi="Arial" w:cs="Arial"/>
              </w:rPr>
              <w:t>189.50 ± 89.76</w:t>
            </w:r>
          </w:p>
        </w:tc>
      </w:tr>
      <w:tr w:rsidR="00FA7F6D" w:rsidRPr="00FA7F6D" w14:paraId="72F26784" w14:textId="77777777" w:rsidTr="005D3C89">
        <w:trPr>
          <w:trHeight w:val="605"/>
        </w:trPr>
        <w:tc>
          <w:tcPr>
            <w:tcW w:w="2394" w:type="dxa"/>
          </w:tcPr>
          <w:p w14:paraId="7ED2B8E6" w14:textId="77777777" w:rsidR="00FA7F6D" w:rsidRPr="00FA7F6D" w:rsidRDefault="00FA7F6D" w:rsidP="00FA7F6D">
            <w:pPr>
              <w:pStyle w:val="Body"/>
              <w:rPr>
                <w:rFonts w:ascii="Arial" w:eastAsia="Times New Roman" w:hAnsi="Arial" w:cs="Arial"/>
              </w:rPr>
            </w:pPr>
            <w:r w:rsidRPr="00FA7F6D">
              <w:rPr>
                <w:rFonts w:ascii="Arial" w:eastAsia="Times New Roman" w:hAnsi="Arial" w:cs="Arial"/>
              </w:rPr>
              <w:t>CVP</w:t>
            </w:r>
          </w:p>
        </w:tc>
        <w:tc>
          <w:tcPr>
            <w:tcW w:w="2395" w:type="dxa"/>
          </w:tcPr>
          <w:p w14:paraId="750C4650" w14:textId="77777777" w:rsidR="00FA7F6D" w:rsidRPr="00FA7F6D" w:rsidRDefault="00FA7F6D" w:rsidP="00FA7F6D">
            <w:pPr>
              <w:pStyle w:val="Body"/>
              <w:rPr>
                <w:rFonts w:ascii="Arial" w:eastAsia="Times New Roman" w:hAnsi="Arial" w:cs="Arial"/>
              </w:rPr>
            </w:pPr>
            <w:r w:rsidRPr="00FA7F6D">
              <w:rPr>
                <w:rFonts w:ascii="Arial" w:eastAsia="Times New Roman" w:hAnsi="Arial" w:cs="Arial"/>
              </w:rPr>
              <w:t>98.50 ± 26.50</w:t>
            </w:r>
          </w:p>
        </w:tc>
      </w:tr>
      <w:tr w:rsidR="00FA7F6D" w:rsidRPr="00FA7F6D" w14:paraId="5B24138D" w14:textId="77777777" w:rsidTr="005D3C89">
        <w:trPr>
          <w:trHeight w:val="605"/>
        </w:trPr>
        <w:tc>
          <w:tcPr>
            <w:tcW w:w="2394" w:type="dxa"/>
          </w:tcPr>
          <w:p w14:paraId="587A27EA" w14:textId="77777777" w:rsidR="00FA7F6D" w:rsidRPr="00FA7F6D" w:rsidRDefault="00FA7F6D" w:rsidP="00FA7F6D">
            <w:pPr>
              <w:pStyle w:val="Body"/>
              <w:rPr>
                <w:rFonts w:ascii="Arial" w:eastAsia="Times New Roman" w:hAnsi="Arial" w:cs="Arial"/>
              </w:rPr>
            </w:pPr>
            <w:r w:rsidRPr="00FA7F6D">
              <w:rPr>
                <w:rFonts w:ascii="Arial" w:eastAsia="Times New Roman" w:hAnsi="Arial" w:cs="Arial"/>
              </w:rPr>
              <w:t>R-CHOP</w:t>
            </w:r>
          </w:p>
        </w:tc>
        <w:tc>
          <w:tcPr>
            <w:tcW w:w="2395" w:type="dxa"/>
          </w:tcPr>
          <w:p w14:paraId="615A2AAD" w14:textId="77777777" w:rsidR="00FA7F6D" w:rsidRPr="00FA7F6D" w:rsidRDefault="00FA7F6D" w:rsidP="00FA7F6D">
            <w:pPr>
              <w:pStyle w:val="Body"/>
              <w:rPr>
                <w:rFonts w:ascii="Arial" w:eastAsia="Times New Roman" w:hAnsi="Arial" w:cs="Arial"/>
              </w:rPr>
            </w:pPr>
            <w:r w:rsidRPr="00FA7F6D">
              <w:rPr>
                <w:rFonts w:ascii="Arial" w:eastAsia="Times New Roman" w:hAnsi="Arial" w:cs="Arial"/>
              </w:rPr>
              <w:t>174.17 ± 28.51</w:t>
            </w:r>
          </w:p>
        </w:tc>
      </w:tr>
      <w:tr w:rsidR="00FA7F6D" w:rsidRPr="00FA7F6D" w14:paraId="0BF45471" w14:textId="77777777" w:rsidTr="005D3C89">
        <w:trPr>
          <w:trHeight w:val="605"/>
        </w:trPr>
        <w:tc>
          <w:tcPr>
            <w:tcW w:w="2394" w:type="dxa"/>
          </w:tcPr>
          <w:p w14:paraId="120EE6DC" w14:textId="77777777" w:rsidR="00FA7F6D" w:rsidRPr="00FA7F6D" w:rsidRDefault="00FA7F6D" w:rsidP="00FA7F6D">
            <w:pPr>
              <w:pStyle w:val="Body"/>
              <w:rPr>
                <w:rFonts w:ascii="Arial" w:eastAsia="Times New Roman" w:hAnsi="Arial" w:cs="Arial"/>
              </w:rPr>
            </w:pPr>
            <w:r w:rsidRPr="00FA7F6D">
              <w:rPr>
                <w:rFonts w:ascii="Arial" w:eastAsia="Times New Roman" w:hAnsi="Arial" w:cs="Arial"/>
              </w:rPr>
              <w:t>TKIs</w:t>
            </w:r>
          </w:p>
        </w:tc>
        <w:tc>
          <w:tcPr>
            <w:tcW w:w="2395" w:type="dxa"/>
          </w:tcPr>
          <w:p w14:paraId="60BB4935" w14:textId="77777777" w:rsidR="00FA7F6D" w:rsidRPr="00FA7F6D" w:rsidRDefault="00FA7F6D" w:rsidP="00FA7F6D">
            <w:pPr>
              <w:pStyle w:val="Body"/>
              <w:rPr>
                <w:rFonts w:ascii="Arial" w:eastAsia="Times New Roman" w:hAnsi="Arial" w:cs="Arial"/>
              </w:rPr>
            </w:pPr>
            <w:r w:rsidRPr="00FA7F6D">
              <w:rPr>
                <w:rFonts w:ascii="Arial" w:eastAsia="Times New Roman" w:hAnsi="Arial" w:cs="Arial"/>
              </w:rPr>
              <w:t>146.27 ± 24.78</w:t>
            </w:r>
          </w:p>
        </w:tc>
      </w:tr>
      <w:tr w:rsidR="00FA7F6D" w:rsidRPr="00FA7F6D" w14:paraId="5397B7D4" w14:textId="77777777" w:rsidTr="005D3C89">
        <w:trPr>
          <w:trHeight w:val="605"/>
        </w:trPr>
        <w:tc>
          <w:tcPr>
            <w:tcW w:w="2394" w:type="dxa"/>
          </w:tcPr>
          <w:p w14:paraId="375832E4" w14:textId="77777777" w:rsidR="00FA7F6D" w:rsidRPr="00FA7F6D" w:rsidRDefault="00FA7F6D" w:rsidP="00FA7F6D">
            <w:pPr>
              <w:pStyle w:val="Body"/>
              <w:rPr>
                <w:rFonts w:ascii="Arial" w:eastAsia="Times New Roman" w:hAnsi="Arial" w:cs="Arial"/>
              </w:rPr>
            </w:pPr>
            <w:r w:rsidRPr="00FA7F6D">
              <w:rPr>
                <w:rFonts w:ascii="Arial" w:eastAsia="Times New Roman" w:hAnsi="Arial" w:cs="Arial"/>
              </w:rPr>
              <w:t>VRD</w:t>
            </w:r>
          </w:p>
        </w:tc>
        <w:tc>
          <w:tcPr>
            <w:tcW w:w="2395" w:type="dxa"/>
          </w:tcPr>
          <w:p w14:paraId="4DA52560" w14:textId="77777777" w:rsidR="00FA7F6D" w:rsidRPr="00FA7F6D" w:rsidRDefault="00FA7F6D" w:rsidP="00FA7F6D">
            <w:pPr>
              <w:pStyle w:val="Body"/>
              <w:rPr>
                <w:rFonts w:ascii="Arial" w:eastAsia="Times New Roman" w:hAnsi="Arial" w:cs="Arial"/>
              </w:rPr>
            </w:pPr>
            <w:r w:rsidRPr="00FA7F6D">
              <w:rPr>
                <w:rFonts w:ascii="Arial" w:eastAsia="Times New Roman" w:hAnsi="Arial" w:cs="Arial"/>
              </w:rPr>
              <w:t>183.58 ± 14.36</w:t>
            </w:r>
          </w:p>
        </w:tc>
      </w:tr>
      <w:tr w:rsidR="00FA7F6D" w:rsidRPr="00FA7F6D" w14:paraId="1F3F54EB" w14:textId="77777777" w:rsidTr="005D3C89">
        <w:trPr>
          <w:trHeight w:val="720"/>
        </w:trPr>
        <w:tc>
          <w:tcPr>
            <w:tcW w:w="2394" w:type="dxa"/>
          </w:tcPr>
          <w:p w14:paraId="7E7425B1" w14:textId="77777777" w:rsidR="00FA7F6D" w:rsidRPr="00FA7F6D" w:rsidRDefault="00FA7F6D" w:rsidP="00FA7F6D">
            <w:pPr>
              <w:pStyle w:val="Body"/>
              <w:rPr>
                <w:rFonts w:ascii="Arial" w:eastAsia="Times New Roman" w:hAnsi="Arial" w:cs="Arial"/>
              </w:rPr>
            </w:pPr>
          </w:p>
        </w:tc>
        <w:tc>
          <w:tcPr>
            <w:tcW w:w="2395" w:type="dxa"/>
          </w:tcPr>
          <w:p w14:paraId="48D6E3CC" w14:textId="77777777" w:rsidR="00FA7F6D" w:rsidRPr="00FA7F6D" w:rsidRDefault="00FA7F6D" w:rsidP="00FA7F6D">
            <w:pPr>
              <w:pStyle w:val="Body"/>
              <w:rPr>
                <w:rFonts w:ascii="Arial" w:eastAsia="Times New Roman" w:hAnsi="Arial" w:cs="Arial"/>
                <w:b/>
                <w:bCs/>
                <w:i/>
                <w:iCs/>
              </w:rPr>
            </w:pPr>
            <w:r w:rsidRPr="00FA7F6D">
              <w:rPr>
                <w:rFonts w:ascii="Arial" w:eastAsia="Times New Roman" w:hAnsi="Arial" w:cs="Arial"/>
                <w:b/>
                <w:bCs/>
                <w:i/>
                <w:iCs/>
              </w:rPr>
              <w:t>ANOVA = 1.530</w:t>
            </w:r>
          </w:p>
          <w:p w14:paraId="76EDE38B" w14:textId="77777777" w:rsidR="00FA7F6D" w:rsidRPr="00FA7F6D" w:rsidRDefault="00FA7F6D" w:rsidP="00FA7F6D">
            <w:pPr>
              <w:pStyle w:val="Body"/>
              <w:rPr>
                <w:rFonts w:ascii="Arial" w:eastAsia="Times New Roman" w:hAnsi="Arial" w:cs="Arial"/>
                <w:b/>
                <w:bCs/>
                <w:i/>
                <w:iCs/>
              </w:rPr>
            </w:pPr>
            <w:r w:rsidRPr="00FA7F6D">
              <w:rPr>
                <w:rFonts w:ascii="Arial" w:eastAsia="Times New Roman" w:hAnsi="Arial" w:cs="Arial"/>
                <w:b/>
                <w:bCs/>
                <w:i/>
                <w:iCs/>
              </w:rPr>
              <w:t>P value = 0.202</w:t>
            </w:r>
          </w:p>
        </w:tc>
      </w:tr>
    </w:tbl>
    <w:p w14:paraId="5BA973F1" w14:textId="77777777" w:rsidR="00FA7F6D" w:rsidRPr="00FA7F6D" w:rsidRDefault="00FA7F6D" w:rsidP="00FA7F6D">
      <w:pPr>
        <w:pStyle w:val="Body"/>
        <w:spacing w:after="0"/>
        <w:rPr>
          <w:rFonts w:ascii="Arial" w:hAnsi="Arial" w:cs="Arial"/>
        </w:rPr>
      </w:pPr>
    </w:p>
    <w:p w14:paraId="0ED1C3B7" w14:textId="77777777" w:rsidR="00FA7F6D" w:rsidRPr="00FA7F6D" w:rsidRDefault="00FA7F6D" w:rsidP="00FA7F6D">
      <w:pPr>
        <w:pStyle w:val="Body"/>
        <w:spacing w:after="0"/>
        <w:rPr>
          <w:rFonts w:ascii="Arial" w:hAnsi="Arial" w:cs="Arial"/>
          <w:b/>
          <w:bCs/>
        </w:rPr>
      </w:pPr>
      <w:r w:rsidRPr="00FA7F6D">
        <w:rPr>
          <w:rFonts w:ascii="Arial" w:hAnsi="Arial" w:cs="Arial"/>
        </w:rPr>
        <w:t>T</w:t>
      </w:r>
      <w:r w:rsidRPr="00FA7F6D">
        <w:rPr>
          <w:rFonts w:ascii="Arial" w:hAnsi="Arial" w:cs="Arial"/>
          <w:b/>
          <w:bCs/>
        </w:rPr>
        <w:t xml:space="preserve">able 6. Type of cancer vs. prevalence of CIT </w:t>
      </w:r>
    </w:p>
    <w:tbl>
      <w:tblPr>
        <w:tblStyle w:val="TableGrid"/>
        <w:tblW w:w="938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346"/>
        <w:gridCol w:w="2346"/>
        <w:gridCol w:w="2349"/>
        <w:gridCol w:w="2347"/>
      </w:tblGrid>
      <w:tr w:rsidR="00FA7F6D" w:rsidRPr="00FA7F6D" w14:paraId="5246B589" w14:textId="77777777" w:rsidTr="005D3C89">
        <w:trPr>
          <w:trHeight w:val="609"/>
        </w:trPr>
        <w:tc>
          <w:tcPr>
            <w:tcW w:w="2346" w:type="dxa"/>
            <w:tcBorders>
              <w:top w:val="single" w:sz="4" w:space="0" w:color="auto"/>
              <w:bottom w:val="nil"/>
            </w:tcBorders>
          </w:tcPr>
          <w:p w14:paraId="204DEAD2" w14:textId="77777777" w:rsidR="00FA7F6D" w:rsidRPr="00FA7F6D" w:rsidRDefault="00FA7F6D" w:rsidP="00FA7F6D">
            <w:pPr>
              <w:pStyle w:val="Body"/>
              <w:spacing w:after="0"/>
              <w:rPr>
                <w:rFonts w:ascii="Arial" w:eastAsia="Times New Roman" w:hAnsi="Arial" w:cs="Arial"/>
                <w:b/>
                <w:bCs/>
              </w:rPr>
            </w:pPr>
            <w:r w:rsidRPr="00FA7F6D">
              <w:rPr>
                <w:rFonts w:ascii="Arial" w:eastAsia="Times New Roman" w:hAnsi="Arial" w:cs="Arial"/>
                <w:b/>
                <w:bCs/>
              </w:rPr>
              <w:lastRenderedPageBreak/>
              <w:t>Variables</w:t>
            </w:r>
          </w:p>
        </w:tc>
        <w:tc>
          <w:tcPr>
            <w:tcW w:w="4695" w:type="dxa"/>
            <w:gridSpan w:val="2"/>
            <w:tcBorders>
              <w:top w:val="single" w:sz="4" w:space="0" w:color="auto"/>
              <w:bottom w:val="single" w:sz="4" w:space="0" w:color="auto"/>
            </w:tcBorders>
          </w:tcPr>
          <w:p w14:paraId="68363BA0" w14:textId="77777777" w:rsidR="00FA7F6D" w:rsidRPr="00FA7F6D" w:rsidRDefault="00FA7F6D" w:rsidP="00FA7F6D">
            <w:pPr>
              <w:pStyle w:val="Body"/>
              <w:spacing w:after="0"/>
              <w:rPr>
                <w:rFonts w:ascii="Arial" w:eastAsia="Times New Roman" w:hAnsi="Arial" w:cs="Arial"/>
                <w:b/>
                <w:bCs/>
              </w:rPr>
            </w:pPr>
            <w:r w:rsidRPr="00FA7F6D">
              <w:rPr>
                <w:rFonts w:ascii="Arial" w:eastAsia="Times New Roman" w:hAnsi="Arial" w:cs="Arial"/>
                <w:b/>
                <w:bCs/>
              </w:rPr>
              <w:t>Prevalence of CIT (n=50)</w:t>
            </w:r>
          </w:p>
        </w:tc>
        <w:tc>
          <w:tcPr>
            <w:tcW w:w="2347" w:type="dxa"/>
            <w:tcBorders>
              <w:top w:val="single" w:sz="4" w:space="0" w:color="auto"/>
              <w:bottom w:val="nil"/>
            </w:tcBorders>
          </w:tcPr>
          <w:p w14:paraId="039A51F4" w14:textId="77777777" w:rsidR="00FA7F6D" w:rsidRPr="00FA7F6D" w:rsidRDefault="00FA7F6D" w:rsidP="00FA7F6D">
            <w:pPr>
              <w:pStyle w:val="Body"/>
              <w:spacing w:after="0"/>
              <w:rPr>
                <w:rFonts w:ascii="Arial" w:eastAsia="Times New Roman" w:hAnsi="Arial" w:cs="Arial"/>
                <w:b/>
                <w:bCs/>
              </w:rPr>
            </w:pPr>
            <w:r w:rsidRPr="00FA7F6D">
              <w:rPr>
                <w:rFonts w:ascii="Arial" w:eastAsia="Times New Roman" w:hAnsi="Arial" w:cs="Arial"/>
                <w:b/>
                <w:bCs/>
              </w:rPr>
              <w:t>Total</w:t>
            </w:r>
          </w:p>
        </w:tc>
      </w:tr>
      <w:tr w:rsidR="00FA7F6D" w:rsidRPr="00FA7F6D" w14:paraId="22D56143" w14:textId="77777777" w:rsidTr="005D3C89">
        <w:trPr>
          <w:trHeight w:val="609"/>
        </w:trPr>
        <w:tc>
          <w:tcPr>
            <w:tcW w:w="2346" w:type="dxa"/>
            <w:tcBorders>
              <w:top w:val="nil"/>
              <w:bottom w:val="single" w:sz="4" w:space="0" w:color="auto"/>
            </w:tcBorders>
          </w:tcPr>
          <w:p w14:paraId="7DAF35F0" w14:textId="77777777" w:rsidR="00FA7F6D" w:rsidRPr="00FA7F6D" w:rsidRDefault="00FA7F6D" w:rsidP="00FA7F6D">
            <w:pPr>
              <w:pStyle w:val="Body"/>
              <w:spacing w:after="0"/>
              <w:rPr>
                <w:rFonts w:ascii="Arial" w:eastAsia="Times New Roman" w:hAnsi="Arial" w:cs="Arial"/>
                <w:b/>
                <w:bCs/>
              </w:rPr>
            </w:pPr>
          </w:p>
        </w:tc>
        <w:tc>
          <w:tcPr>
            <w:tcW w:w="2346" w:type="dxa"/>
            <w:tcBorders>
              <w:top w:val="single" w:sz="4" w:space="0" w:color="auto"/>
              <w:bottom w:val="single" w:sz="4" w:space="0" w:color="auto"/>
            </w:tcBorders>
          </w:tcPr>
          <w:p w14:paraId="45B52AFA" w14:textId="77777777" w:rsidR="00FA7F6D" w:rsidRPr="00FA7F6D" w:rsidRDefault="00FA7F6D" w:rsidP="00FA7F6D">
            <w:pPr>
              <w:pStyle w:val="Body"/>
              <w:spacing w:after="0"/>
              <w:rPr>
                <w:rFonts w:ascii="Arial" w:eastAsia="Times New Roman" w:hAnsi="Arial" w:cs="Arial"/>
                <w:b/>
                <w:bCs/>
              </w:rPr>
            </w:pPr>
            <w:r w:rsidRPr="00FA7F6D">
              <w:rPr>
                <w:rFonts w:ascii="Arial" w:eastAsia="Times New Roman" w:hAnsi="Arial" w:cs="Arial"/>
                <w:b/>
                <w:bCs/>
              </w:rPr>
              <w:t>Yes n (%)</w:t>
            </w:r>
          </w:p>
        </w:tc>
        <w:tc>
          <w:tcPr>
            <w:tcW w:w="2348" w:type="dxa"/>
            <w:tcBorders>
              <w:top w:val="single" w:sz="4" w:space="0" w:color="auto"/>
              <w:bottom w:val="single" w:sz="4" w:space="0" w:color="auto"/>
            </w:tcBorders>
          </w:tcPr>
          <w:p w14:paraId="523E9D26" w14:textId="77777777" w:rsidR="00FA7F6D" w:rsidRPr="00FA7F6D" w:rsidRDefault="00FA7F6D" w:rsidP="00FA7F6D">
            <w:pPr>
              <w:pStyle w:val="Body"/>
              <w:spacing w:after="0"/>
              <w:rPr>
                <w:rFonts w:ascii="Arial" w:eastAsia="Times New Roman" w:hAnsi="Arial" w:cs="Arial"/>
                <w:b/>
                <w:bCs/>
              </w:rPr>
            </w:pPr>
            <w:r w:rsidRPr="00FA7F6D">
              <w:rPr>
                <w:rFonts w:ascii="Arial" w:eastAsia="Times New Roman" w:hAnsi="Arial" w:cs="Arial"/>
                <w:b/>
                <w:bCs/>
              </w:rPr>
              <w:t xml:space="preserve">No n (%) </w:t>
            </w:r>
          </w:p>
        </w:tc>
        <w:tc>
          <w:tcPr>
            <w:tcW w:w="2347" w:type="dxa"/>
            <w:tcBorders>
              <w:top w:val="nil"/>
              <w:bottom w:val="single" w:sz="4" w:space="0" w:color="auto"/>
            </w:tcBorders>
          </w:tcPr>
          <w:p w14:paraId="471F9CF6" w14:textId="77777777" w:rsidR="00FA7F6D" w:rsidRPr="00FA7F6D" w:rsidRDefault="00FA7F6D" w:rsidP="00FA7F6D">
            <w:pPr>
              <w:pStyle w:val="Body"/>
              <w:spacing w:after="0"/>
              <w:rPr>
                <w:rFonts w:ascii="Arial" w:eastAsia="Times New Roman" w:hAnsi="Arial" w:cs="Arial"/>
                <w:b/>
                <w:bCs/>
              </w:rPr>
            </w:pPr>
          </w:p>
        </w:tc>
      </w:tr>
      <w:tr w:rsidR="00FA7F6D" w:rsidRPr="00FA7F6D" w14:paraId="48AD5765" w14:textId="77777777" w:rsidTr="005D3C89">
        <w:trPr>
          <w:trHeight w:val="609"/>
        </w:trPr>
        <w:tc>
          <w:tcPr>
            <w:tcW w:w="2346" w:type="dxa"/>
            <w:tcBorders>
              <w:top w:val="single" w:sz="4" w:space="0" w:color="auto"/>
            </w:tcBorders>
          </w:tcPr>
          <w:p w14:paraId="6F00FD49" w14:textId="77777777" w:rsidR="00FA7F6D" w:rsidRPr="00FA7F6D" w:rsidRDefault="00FA7F6D" w:rsidP="00FA7F6D">
            <w:pPr>
              <w:pStyle w:val="Body"/>
              <w:spacing w:after="0"/>
              <w:rPr>
                <w:rFonts w:ascii="Arial" w:eastAsia="Times New Roman" w:hAnsi="Arial" w:cs="Arial"/>
                <w:b/>
                <w:bCs/>
              </w:rPr>
            </w:pPr>
            <w:r w:rsidRPr="00FA7F6D">
              <w:rPr>
                <w:rFonts w:ascii="Arial" w:eastAsia="Times New Roman" w:hAnsi="Arial" w:cs="Arial"/>
                <w:b/>
                <w:bCs/>
              </w:rPr>
              <w:t>Type of cancer</w:t>
            </w:r>
          </w:p>
        </w:tc>
        <w:tc>
          <w:tcPr>
            <w:tcW w:w="2346" w:type="dxa"/>
            <w:tcBorders>
              <w:top w:val="single" w:sz="4" w:space="0" w:color="auto"/>
            </w:tcBorders>
          </w:tcPr>
          <w:p w14:paraId="1401D155" w14:textId="77777777" w:rsidR="00FA7F6D" w:rsidRPr="00FA7F6D" w:rsidRDefault="00FA7F6D" w:rsidP="00FA7F6D">
            <w:pPr>
              <w:pStyle w:val="Body"/>
              <w:spacing w:after="0"/>
              <w:rPr>
                <w:rFonts w:ascii="Arial" w:eastAsia="Times New Roman" w:hAnsi="Arial" w:cs="Arial"/>
              </w:rPr>
            </w:pPr>
          </w:p>
        </w:tc>
        <w:tc>
          <w:tcPr>
            <w:tcW w:w="2348" w:type="dxa"/>
            <w:tcBorders>
              <w:top w:val="single" w:sz="4" w:space="0" w:color="auto"/>
            </w:tcBorders>
          </w:tcPr>
          <w:p w14:paraId="24C86E71" w14:textId="77777777" w:rsidR="00FA7F6D" w:rsidRPr="00FA7F6D" w:rsidRDefault="00FA7F6D" w:rsidP="00FA7F6D">
            <w:pPr>
              <w:pStyle w:val="Body"/>
              <w:spacing w:after="0"/>
              <w:rPr>
                <w:rFonts w:ascii="Arial" w:eastAsia="Times New Roman" w:hAnsi="Arial" w:cs="Arial"/>
              </w:rPr>
            </w:pPr>
          </w:p>
        </w:tc>
        <w:tc>
          <w:tcPr>
            <w:tcW w:w="2347" w:type="dxa"/>
            <w:tcBorders>
              <w:top w:val="single" w:sz="4" w:space="0" w:color="auto"/>
            </w:tcBorders>
          </w:tcPr>
          <w:p w14:paraId="3841A03F" w14:textId="77777777" w:rsidR="00FA7F6D" w:rsidRPr="00FA7F6D" w:rsidRDefault="00FA7F6D" w:rsidP="00FA7F6D">
            <w:pPr>
              <w:pStyle w:val="Body"/>
              <w:spacing w:after="0"/>
              <w:rPr>
                <w:rFonts w:ascii="Arial" w:eastAsia="Times New Roman" w:hAnsi="Arial" w:cs="Arial"/>
              </w:rPr>
            </w:pPr>
          </w:p>
        </w:tc>
      </w:tr>
      <w:tr w:rsidR="00FA7F6D" w:rsidRPr="00FA7F6D" w14:paraId="4DA4ED56" w14:textId="77777777" w:rsidTr="005D3C89">
        <w:trPr>
          <w:trHeight w:val="609"/>
        </w:trPr>
        <w:tc>
          <w:tcPr>
            <w:tcW w:w="2346" w:type="dxa"/>
          </w:tcPr>
          <w:p w14:paraId="3CFE949C"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CLL</w:t>
            </w:r>
          </w:p>
        </w:tc>
        <w:tc>
          <w:tcPr>
            <w:tcW w:w="2346" w:type="dxa"/>
          </w:tcPr>
          <w:p w14:paraId="0D97F320"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2 (15.4)</w:t>
            </w:r>
          </w:p>
        </w:tc>
        <w:tc>
          <w:tcPr>
            <w:tcW w:w="2348" w:type="dxa"/>
          </w:tcPr>
          <w:p w14:paraId="1956CCEC"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1 (2.7)</w:t>
            </w:r>
          </w:p>
        </w:tc>
        <w:tc>
          <w:tcPr>
            <w:tcW w:w="2347" w:type="dxa"/>
          </w:tcPr>
          <w:p w14:paraId="3200395A"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3 (6.0)</w:t>
            </w:r>
          </w:p>
        </w:tc>
      </w:tr>
      <w:tr w:rsidR="00FA7F6D" w:rsidRPr="00FA7F6D" w14:paraId="1AC2EB8B" w14:textId="77777777" w:rsidTr="005D3C89">
        <w:trPr>
          <w:trHeight w:val="609"/>
        </w:trPr>
        <w:tc>
          <w:tcPr>
            <w:tcW w:w="2346" w:type="dxa"/>
          </w:tcPr>
          <w:p w14:paraId="4B31EC8F"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CML</w:t>
            </w:r>
          </w:p>
        </w:tc>
        <w:tc>
          <w:tcPr>
            <w:tcW w:w="2346" w:type="dxa"/>
          </w:tcPr>
          <w:p w14:paraId="554D0E81"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4 (30.8)</w:t>
            </w:r>
          </w:p>
        </w:tc>
        <w:tc>
          <w:tcPr>
            <w:tcW w:w="2348" w:type="dxa"/>
          </w:tcPr>
          <w:p w14:paraId="08323B91"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7 (18.9)</w:t>
            </w:r>
          </w:p>
        </w:tc>
        <w:tc>
          <w:tcPr>
            <w:tcW w:w="2347" w:type="dxa"/>
          </w:tcPr>
          <w:p w14:paraId="0A23CED8"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11 (22.0)</w:t>
            </w:r>
          </w:p>
        </w:tc>
      </w:tr>
      <w:tr w:rsidR="00FA7F6D" w:rsidRPr="00FA7F6D" w14:paraId="71CAF38D" w14:textId="77777777" w:rsidTr="005D3C89">
        <w:trPr>
          <w:trHeight w:val="636"/>
        </w:trPr>
        <w:tc>
          <w:tcPr>
            <w:tcW w:w="2346" w:type="dxa"/>
          </w:tcPr>
          <w:p w14:paraId="42D2FA61"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HL</w:t>
            </w:r>
          </w:p>
        </w:tc>
        <w:tc>
          <w:tcPr>
            <w:tcW w:w="2346" w:type="dxa"/>
          </w:tcPr>
          <w:p w14:paraId="32DC2EA2"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1 (7.7)</w:t>
            </w:r>
          </w:p>
        </w:tc>
        <w:tc>
          <w:tcPr>
            <w:tcW w:w="2348" w:type="dxa"/>
          </w:tcPr>
          <w:p w14:paraId="43F5DD0F"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7 (18.9)</w:t>
            </w:r>
          </w:p>
        </w:tc>
        <w:tc>
          <w:tcPr>
            <w:tcW w:w="2347" w:type="dxa"/>
          </w:tcPr>
          <w:p w14:paraId="4A2E6AFB"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8 (16.0)</w:t>
            </w:r>
          </w:p>
        </w:tc>
      </w:tr>
      <w:tr w:rsidR="00FA7F6D" w:rsidRPr="00FA7F6D" w14:paraId="6B5C2397" w14:textId="77777777" w:rsidTr="005D3C89">
        <w:trPr>
          <w:trHeight w:val="609"/>
        </w:trPr>
        <w:tc>
          <w:tcPr>
            <w:tcW w:w="2346" w:type="dxa"/>
          </w:tcPr>
          <w:p w14:paraId="11EE564C"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MM</w:t>
            </w:r>
          </w:p>
        </w:tc>
        <w:tc>
          <w:tcPr>
            <w:tcW w:w="2346" w:type="dxa"/>
          </w:tcPr>
          <w:p w14:paraId="7F714EA3"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3 (23.1)</w:t>
            </w:r>
          </w:p>
        </w:tc>
        <w:tc>
          <w:tcPr>
            <w:tcW w:w="2348" w:type="dxa"/>
          </w:tcPr>
          <w:p w14:paraId="38E2C9C9"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12 (32.4)</w:t>
            </w:r>
          </w:p>
        </w:tc>
        <w:tc>
          <w:tcPr>
            <w:tcW w:w="2347" w:type="dxa"/>
          </w:tcPr>
          <w:p w14:paraId="6F64068C"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15 (30.0)</w:t>
            </w:r>
          </w:p>
        </w:tc>
      </w:tr>
      <w:tr w:rsidR="00FA7F6D" w:rsidRPr="00FA7F6D" w14:paraId="541AA3A9" w14:textId="77777777" w:rsidTr="005D3C89">
        <w:trPr>
          <w:trHeight w:val="609"/>
        </w:trPr>
        <w:tc>
          <w:tcPr>
            <w:tcW w:w="2346" w:type="dxa"/>
          </w:tcPr>
          <w:p w14:paraId="48CE4613"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NHL</w:t>
            </w:r>
          </w:p>
        </w:tc>
        <w:tc>
          <w:tcPr>
            <w:tcW w:w="2346" w:type="dxa"/>
          </w:tcPr>
          <w:p w14:paraId="2C63283C"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2 (15.4)</w:t>
            </w:r>
          </w:p>
        </w:tc>
        <w:tc>
          <w:tcPr>
            <w:tcW w:w="2348" w:type="dxa"/>
          </w:tcPr>
          <w:p w14:paraId="730B5DC3"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10 (27.0)</w:t>
            </w:r>
          </w:p>
        </w:tc>
        <w:tc>
          <w:tcPr>
            <w:tcW w:w="2347" w:type="dxa"/>
          </w:tcPr>
          <w:p w14:paraId="1618E51F"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12 (24.0)</w:t>
            </w:r>
          </w:p>
        </w:tc>
      </w:tr>
      <w:tr w:rsidR="00FA7F6D" w:rsidRPr="00FA7F6D" w14:paraId="2CC67259" w14:textId="77777777" w:rsidTr="005D3C89">
        <w:trPr>
          <w:trHeight w:val="609"/>
        </w:trPr>
        <w:tc>
          <w:tcPr>
            <w:tcW w:w="2346" w:type="dxa"/>
          </w:tcPr>
          <w:p w14:paraId="1D057C96"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SLL/FL</w:t>
            </w:r>
          </w:p>
        </w:tc>
        <w:tc>
          <w:tcPr>
            <w:tcW w:w="2346" w:type="dxa"/>
          </w:tcPr>
          <w:p w14:paraId="7689596F"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1 (7.7)</w:t>
            </w:r>
          </w:p>
        </w:tc>
        <w:tc>
          <w:tcPr>
            <w:tcW w:w="2348" w:type="dxa"/>
          </w:tcPr>
          <w:p w14:paraId="0E38FA74"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0 (0.0)</w:t>
            </w:r>
          </w:p>
        </w:tc>
        <w:tc>
          <w:tcPr>
            <w:tcW w:w="2347" w:type="dxa"/>
          </w:tcPr>
          <w:p w14:paraId="3AECE2D2" w14:textId="77777777" w:rsidR="00FA7F6D" w:rsidRPr="00FA7F6D" w:rsidRDefault="00FA7F6D" w:rsidP="00FA7F6D">
            <w:pPr>
              <w:pStyle w:val="Body"/>
              <w:spacing w:after="0"/>
              <w:rPr>
                <w:rFonts w:ascii="Arial" w:eastAsia="Times New Roman" w:hAnsi="Arial" w:cs="Arial"/>
              </w:rPr>
            </w:pPr>
            <w:r w:rsidRPr="00FA7F6D">
              <w:rPr>
                <w:rFonts w:ascii="Arial" w:eastAsia="Times New Roman" w:hAnsi="Arial" w:cs="Arial"/>
              </w:rPr>
              <w:t>1 (2.0)</w:t>
            </w:r>
          </w:p>
        </w:tc>
      </w:tr>
      <w:tr w:rsidR="00FA7F6D" w:rsidRPr="00FA7F6D" w14:paraId="5699B044" w14:textId="77777777" w:rsidTr="005D3C89">
        <w:trPr>
          <w:trHeight w:val="609"/>
        </w:trPr>
        <w:tc>
          <w:tcPr>
            <w:tcW w:w="2346" w:type="dxa"/>
          </w:tcPr>
          <w:p w14:paraId="541D94ED" w14:textId="77777777" w:rsidR="00FA7F6D" w:rsidRPr="00FA7F6D" w:rsidRDefault="00FA7F6D" w:rsidP="00FA7F6D">
            <w:pPr>
              <w:pStyle w:val="Body"/>
              <w:spacing w:after="0"/>
              <w:rPr>
                <w:rFonts w:ascii="Arial" w:eastAsia="Times New Roman" w:hAnsi="Arial" w:cs="Arial"/>
              </w:rPr>
            </w:pPr>
          </w:p>
        </w:tc>
        <w:tc>
          <w:tcPr>
            <w:tcW w:w="4695" w:type="dxa"/>
            <w:gridSpan w:val="2"/>
          </w:tcPr>
          <w:p w14:paraId="0DE724B6" w14:textId="77777777" w:rsidR="00FA7F6D" w:rsidRPr="00FA7F6D" w:rsidRDefault="00FA7F6D" w:rsidP="00FA7F6D">
            <w:pPr>
              <w:pStyle w:val="Body"/>
              <w:spacing w:after="0"/>
              <w:rPr>
                <w:rFonts w:ascii="Arial" w:eastAsia="Times New Roman" w:hAnsi="Arial" w:cs="Arial"/>
                <w:i/>
                <w:iCs/>
              </w:rPr>
            </w:pPr>
            <w:r w:rsidRPr="00FA7F6D">
              <w:rPr>
                <w:rFonts w:ascii="Arial" w:eastAsia="Times New Roman" w:hAnsi="Arial" w:cs="Arial"/>
                <w:i/>
                <w:iCs/>
              </w:rPr>
              <w:t>Fisher’s Exact=6.810; p=0.198</w:t>
            </w:r>
          </w:p>
        </w:tc>
        <w:tc>
          <w:tcPr>
            <w:tcW w:w="2347" w:type="dxa"/>
          </w:tcPr>
          <w:p w14:paraId="77782112" w14:textId="77777777" w:rsidR="00FA7F6D" w:rsidRPr="00FA7F6D" w:rsidRDefault="00FA7F6D" w:rsidP="00FA7F6D">
            <w:pPr>
              <w:pStyle w:val="Body"/>
              <w:spacing w:after="0"/>
              <w:rPr>
                <w:rFonts w:ascii="Arial" w:eastAsia="Times New Roman" w:hAnsi="Arial" w:cs="Arial"/>
              </w:rPr>
            </w:pPr>
          </w:p>
        </w:tc>
      </w:tr>
    </w:tbl>
    <w:p w14:paraId="610BFCF0" w14:textId="77777777" w:rsidR="00FA7F6D" w:rsidRPr="00FA7F6D" w:rsidRDefault="00FA7F6D" w:rsidP="00FA7F6D">
      <w:pPr>
        <w:pStyle w:val="Body"/>
        <w:spacing w:after="0"/>
        <w:rPr>
          <w:rFonts w:ascii="Arial" w:hAnsi="Arial" w:cs="Arial"/>
        </w:rPr>
      </w:pPr>
    </w:p>
    <w:p w14:paraId="00176F98" w14:textId="2DB617E4" w:rsidR="00E053D0" w:rsidRPr="009E46AC" w:rsidRDefault="009E46AC" w:rsidP="00E327E9">
      <w:pPr>
        <w:pStyle w:val="Body"/>
        <w:spacing w:after="0"/>
        <w:rPr>
          <w:rFonts w:ascii="Arial" w:hAnsi="Arial" w:cs="Arial"/>
          <w:b/>
          <w:bCs/>
        </w:rPr>
      </w:pPr>
      <w:r>
        <w:rPr>
          <w:rFonts w:ascii="Arial" w:hAnsi="Arial" w:cs="Arial"/>
          <w:b/>
          <w:bCs/>
        </w:rPr>
        <w:t>4. DISCUSSION</w:t>
      </w:r>
    </w:p>
    <w:p w14:paraId="4CF0702B" w14:textId="77777777" w:rsidR="00AF01D8" w:rsidRPr="00AF01D8" w:rsidRDefault="00AF01D8" w:rsidP="00AF01D8">
      <w:pPr>
        <w:pStyle w:val="Body"/>
        <w:spacing w:after="0"/>
        <w:rPr>
          <w:rFonts w:ascii="Arial" w:hAnsi="Arial" w:cs="Arial"/>
        </w:rPr>
      </w:pPr>
      <w:r w:rsidRPr="00AF01D8">
        <w:rPr>
          <w:rFonts w:ascii="Arial" w:hAnsi="Arial" w:cs="Arial"/>
        </w:rPr>
        <w:t xml:space="preserve">Roughly a third of patients in the study were females and almost double that number were males. Slightly more than half of this number was made up of people of Igbo ethnic groups, followed in a distant second and third respectively, by those who were Ijaw and then the </w:t>
      </w:r>
      <w:proofErr w:type="spellStart"/>
      <w:r w:rsidRPr="00AF01D8">
        <w:rPr>
          <w:rFonts w:ascii="Arial" w:hAnsi="Arial" w:cs="Arial"/>
        </w:rPr>
        <w:t>Ikwerre</w:t>
      </w:r>
      <w:proofErr w:type="spellEnd"/>
      <w:r w:rsidRPr="00AF01D8">
        <w:rPr>
          <w:rFonts w:ascii="Arial" w:hAnsi="Arial" w:cs="Arial"/>
        </w:rPr>
        <w:t xml:space="preserve">. The study identified a significant relationship existing between ethnicity and development of chemotherapy-induced </w:t>
      </w:r>
      <w:proofErr w:type="spellStart"/>
      <w:r w:rsidRPr="00AF01D8">
        <w:rPr>
          <w:rFonts w:ascii="Arial" w:hAnsi="Arial" w:cs="Arial"/>
        </w:rPr>
        <w:t>thrombocytopaenia</w:t>
      </w:r>
      <w:proofErr w:type="spellEnd"/>
      <w:r w:rsidRPr="00AF01D8">
        <w:rPr>
          <w:rFonts w:ascii="Arial" w:hAnsi="Arial" w:cs="Arial"/>
        </w:rPr>
        <w:t>, CIT (</w:t>
      </w:r>
      <w:r w:rsidRPr="00AF01D8">
        <w:rPr>
          <w:rFonts w:ascii="Arial" w:hAnsi="Arial" w:cs="Arial"/>
          <w:i/>
          <w:iCs/>
        </w:rPr>
        <w:t>P</w:t>
      </w:r>
      <w:r w:rsidRPr="00AF01D8">
        <w:rPr>
          <w:rFonts w:ascii="Arial" w:hAnsi="Arial" w:cs="Arial"/>
        </w:rPr>
        <w:t xml:space="preserve"> = .03). Although there are no local studies which has demonstrated this relationship, the possibility of ethnicity influencing response to chemotherapy has been explored by Pathak et al. (2023), and this was confirmed by Zang et al. (2021), in a meta-analysis of studies of patients taking trastuzumab </w:t>
      </w:r>
      <w:proofErr w:type="spellStart"/>
      <w:r w:rsidRPr="00AF01D8">
        <w:rPr>
          <w:rFonts w:ascii="Arial" w:hAnsi="Arial" w:cs="Arial"/>
        </w:rPr>
        <w:t>emtacine</w:t>
      </w:r>
      <w:proofErr w:type="spellEnd"/>
      <w:r w:rsidRPr="00AF01D8">
        <w:rPr>
          <w:rFonts w:ascii="Arial" w:hAnsi="Arial" w:cs="Arial"/>
        </w:rPr>
        <w:t xml:space="preserve">. This meta-analysis established that Asians tended to have more </w:t>
      </w:r>
      <w:proofErr w:type="spellStart"/>
      <w:r w:rsidRPr="00AF01D8">
        <w:rPr>
          <w:rFonts w:ascii="Arial" w:hAnsi="Arial" w:cs="Arial"/>
        </w:rPr>
        <w:t>thrombocytopaenia</w:t>
      </w:r>
      <w:proofErr w:type="spellEnd"/>
      <w:r w:rsidRPr="00AF01D8">
        <w:rPr>
          <w:rFonts w:ascii="Arial" w:hAnsi="Arial" w:cs="Arial"/>
        </w:rPr>
        <w:t xml:space="preserve"> when taking the agent, compared with non-Asian populations. Although the meta-analysis was on patients with non-</w:t>
      </w:r>
      <w:proofErr w:type="spellStart"/>
      <w:r w:rsidRPr="00AF01D8">
        <w:rPr>
          <w:rFonts w:ascii="Arial" w:hAnsi="Arial" w:cs="Arial"/>
        </w:rPr>
        <w:t>haematologic</w:t>
      </w:r>
      <w:proofErr w:type="spellEnd"/>
      <w:r w:rsidRPr="00AF01D8">
        <w:rPr>
          <w:rFonts w:ascii="Arial" w:hAnsi="Arial" w:cs="Arial"/>
        </w:rPr>
        <w:t xml:space="preserve"> cancers, and the agent used was a monoclonal antibody, our study also saw use of monoclonal antibody (rituximab) in a few of the cases attended.</w:t>
      </w:r>
    </w:p>
    <w:p w14:paraId="3F0C0234" w14:textId="77777777" w:rsidR="00AF01D8" w:rsidRPr="00AF01D8" w:rsidRDefault="00AF01D8" w:rsidP="00AF01D8">
      <w:pPr>
        <w:pStyle w:val="Body"/>
        <w:spacing w:after="0"/>
        <w:rPr>
          <w:rFonts w:ascii="Arial" w:hAnsi="Arial" w:cs="Arial"/>
        </w:rPr>
      </w:pPr>
      <w:r w:rsidRPr="00AF01D8">
        <w:rPr>
          <w:rFonts w:ascii="Arial" w:hAnsi="Arial" w:cs="Arial"/>
        </w:rPr>
        <w:t>Two-thirds of patients received chemotherapy in this study, while the remaining third of patients did not. This failure may be due to financial and logistical reasons (</w:t>
      </w:r>
      <w:proofErr w:type="spellStart"/>
      <w:r w:rsidRPr="00AF01D8">
        <w:rPr>
          <w:rFonts w:ascii="Arial" w:hAnsi="Arial" w:cs="Arial"/>
        </w:rPr>
        <w:t>Ugwu</w:t>
      </w:r>
      <w:proofErr w:type="spellEnd"/>
      <w:r w:rsidRPr="00AF01D8">
        <w:rPr>
          <w:rFonts w:ascii="Arial" w:hAnsi="Arial" w:cs="Arial"/>
        </w:rPr>
        <w:t xml:space="preserve"> &amp; </w:t>
      </w:r>
      <w:proofErr w:type="spellStart"/>
      <w:r w:rsidRPr="00AF01D8">
        <w:rPr>
          <w:rFonts w:ascii="Arial" w:hAnsi="Arial" w:cs="Arial"/>
        </w:rPr>
        <w:t>Nwannadi</w:t>
      </w:r>
      <w:proofErr w:type="spellEnd"/>
      <w:r w:rsidRPr="00AF01D8">
        <w:rPr>
          <w:rFonts w:ascii="Arial" w:hAnsi="Arial" w:cs="Arial"/>
        </w:rPr>
        <w:t xml:space="preserve">, 2020), or to the fact that the acute </w:t>
      </w:r>
      <w:proofErr w:type="spellStart"/>
      <w:r w:rsidRPr="00AF01D8">
        <w:rPr>
          <w:rFonts w:ascii="Arial" w:hAnsi="Arial" w:cs="Arial"/>
        </w:rPr>
        <w:t>haematologic</w:t>
      </w:r>
      <w:proofErr w:type="spellEnd"/>
      <w:r w:rsidRPr="00AF01D8">
        <w:rPr>
          <w:rFonts w:ascii="Arial" w:hAnsi="Arial" w:cs="Arial"/>
        </w:rPr>
        <w:t xml:space="preserve"> malignancies require stabilization for possible commencement of chemotherapy, and that some patients in the study were only able to receive this before they were lost to follow up. The acute </w:t>
      </w:r>
      <w:proofErr w:type="spellStart"/>
      <w:r w:rsidRPr="00AF01D8">
        <w:rPr>
          <w:rFonts w:ascii="Arial" w:hAnsi="Arial" w:cs="Arial"/>
        </w:rPr>
        <w:t>leukaemias</w:t>
      </w:r>
      <w:proofErr w:type="spellEnd"/>
      <w:r w:rsidRPr="00AF01D8">
        <w:rPr>
          <w:rFonts w:ascii="Arial" w:hAnsi="Arial" w:cs="Arial"/>
        </w:rPr>
        <w:t xml:space="preserve"> also present the dilemma of whether or not to administer definitive treatment. </w:t>
      </w:r>
    </w:p>
    <w:p w14:paraId="4ABD63E6" w14:textId="77777777" w:rsidR="00AF01D8" w:rsidRPr="00AF01D8" w:rsidRDefault="00AF01D8" w:rsidP="00AF01D8">
      <w:pPr>
        <w:pStyle w:val="Body"/>
        <w:spacing w:after="0"/>
        <w:rPr>
          <w:rFonts w:ascii="Arial" w:hAnsi="Arial" w:cs="Arial"/>
        </w:rPr>
      </w:pPr>
      <w:proofErr w:type="spellStart"/>
      <w:r w:rsidRPr="00AF01D8">
        <w:rPr>
          <w:rFonts w:ascii="Arial" w:hAnsi="Arial" w:cs="Arial"/>
        </w:rPr>
        <w:t>Thrombocytopaenia</w:t>
      </w:r>
      <w:proofErr w:type="spellEnd"/>
      <w:r w:rsidRPr="00AF01D8">
        <w:rPr>
          <w:rFonts w:ascii="Arial" w:hAnsi="Arial" w:cs="Arial"/>
        </w:rPr>
        <w:t xml:space="preserve"> was defined as platelets count of &lt;100 x 10</w:t>
      </w:r>
      <w:r w:rsidRPr="00AF01D8">
        <w:rPr>
          <w:rFonts w:ascii="Arial" w:hAnsi="Arial" w:cs="Arial"/>
          <w:vertAlign w:val="superscript"/>
        </w:rPr>
        <w:t>9</w:t>
      </w:r>
      <w:r w:rsidRPr="00AF01D8">
        <w:rPr>
          <w:rFonts w:ascii="Arial" w:hAnsi="Arial" w:cs="Arial"/>
        </w:rPr>
        <w:t>/l; it is known that smaller counts increase the risk for bleeding. (</w:t>
      </w:r>
      <w:proofErr w:type="spellStart"/>
      <w:r w:rsidRPr="00AF01D8">
        <w:rPr>
          <w:rFonts w:ascii="Arial" w:hAnsi="Arial" w:cs="Arial"/>
        </w:rPr>
        <w:t>Gauer</w:t>
      </w:r>
      <w:proofErr w:type="spellEnd"/>
      <w:r w:rsidRPr="00AF01D8">
        <w:rPr>
          <w:rFonts w:ascii="Arial" w:hAnsi="Arial" w:cs="Arial"/>
        </w:rPr>
        <w:t xml:space="preserve"> &amp; Whitaker, 2022) The study showed that 26.0% of patients who received chemotherapy came down with any grade of CIT. This is similar to values obtained in a study carried out with over 2000 patients with </w:t>
      </w:r>
      <w:proofErr w:type="spellStart"/>
      <w:r w:rsidRPr="00AF01D8">
        <w:rPr>
          <w:rFonts w:ascii="Arial" w:hAnsi="Arial" w:cs="Arial"/>
        </w:rPr>
        <w:t>haematologic</w:t>
      </w:r>
      <w:proofErr w:type="spellEnd"/>
      <w:r w:rsidRPr="00AF01D8">
        <w:rPr>
          <w:rFonts w:ascii="Arial" w:hAnsi="Arial" w:cs="Arial"/>
        </w:rPr>
        <w:t xml:space="preserve"> malignancies in the US in which it was identified that 28.0% of these patients came down with any grade of </w:t>
      </w:r>
      <w:proofErr w:type="spellStart"/>
      <w:r w:rsidRPr="00AF01D8">
        <w:rPr>
          <w:rFonts w:ascii="Arial" w:hAnsi="Arial" w:cs="Arial"/>
        </w:rPr>
        <w:t>thrombocytopaenia</w:t>
      </w:r>
      <w:proofErr w:type="spellEnd"/>
      <w:r w:rsidRPr="00AF01D8">
        <w:rPr>
          <w:rFonts w:ascii="Arial" w:hAnsi="Arial" w:cs="Arial"/>
        </w:rPr>
        <w:t xml:space="preserve">. (Shaw et al. 2021) A South African study showed CIT prevalence of 38.5%, but this study was with both </w:t>
      </w:r>
      <w:proofErr w:type="spellStart"/>
      <w:r w:rsidRPr="00AF01D8">
        <w:rPr>
          <w:rFonts w:ascii="Arial" w:hAnsi="Arial" w:cs="Arial"/>
        </w:rPr>
        <w:t>paediatric</w:t>
      </w:r>
      <w:proofErr w:type="spellEnd"/>
      <w:r w:rsidRPr="00AF01D8">
        <w:rPr>
          <w:rFonts w:ascii="Arial" w:hAnsi="Arial" w:cs="Arial"/>
        </w:rPr>
        <w:t xml:space="preserve"> and adult patients with </w:t>
      </w:r>
      <w:proofErr w:type="spellStart"/>
      <w:r w:rsidRPr="00AF01D8">
        <w:rPr>
          <w:rFonts w:ascii="Arial" w:hAnsi="Arial" w:cs="Arial"/>
        </w:rPr>
        <w:t>haematologic</w:t>
      </w:r>
      <w:proofErr w:type="spellEnd"/>
      <w:r w:rsidRPr="00AF01D8">
        <w:rPr>
          <w:rFonts w:ascii="Arial" w:hAnsi="Arial" w:cs="Arial"/>
        </w:rPr>
        <w:t xml:space="preserve"> malignancies who were on chemotherapy. (</w:t>
      </w:r>
      <w:proofErr w:type="spellStart"/>
      <w:r w:rsidRPr="00AF01D8">
        <w:rPr>
          <w:rFonts w:ascii="Arial" w:hAnsi="Arial" w:cs="Arial"/>
        </w:rPr>
        <w:t>Jali</w:t>
      </w:r>
      <w:proofErr w:type="spellEnd"/>
      <w:r w:rsidRPr="00AF01D8">
        <w:rPr>
          <w:rFonts w:ascii="Arial" w:hAnsi="Arial" w:cs="Arial"/>
        </w:rPr>
        <w:t xml:space="preserve"> &amp; </w:t>
      </w:r>
      <w:proofErr w:type="spellStart"/>
      <w:r w:rsidRPr="00AF01D8">
        <w:rPr>
          <w:rFonts w:ascii="Arial" w:hAnsi="Arial" w:cs="Arial"/>
        </w:rPr>
        <w:t>Nkambule</w:t>
      </w:r>
      <w:proofErr w:type="spellEnd"/>
      <w:r w:rsidRPr="00AF01D8">
        <w:rPr>
          <w:rFonts w:ascii="Arial" w:hAnsi="Arial" w:cs="Arial"/>
        </w:rPr>
        <w:t xml:space="preserve">, 2020). Generally, there is paucity of data regarding prevalence of CIT in </w:t>
      </w:r>
      <w:proofErr w:type="spellStart"/>
      <w:r w:rsidRPr="00AF01D8">
        <w:rPr>
          <w:rFonts w:ascii="Arial" w:hAnsi="Arial" w:cs="Arial"/>
        </w:rPr>
        <w:t>haematologic</w:t>
      </w:r>
      <w:proofErr w:type="spellEnd"/>
      <w:r w:rsidRPr="00AF01D8">
        <w:rPr>
          <w:rFonts w:ascii="Arial" w:hAnsi="Arial" w:cs="Arial"/>
        </w:rPr>
        <w:t xml:space="preserve"> cancer patients as most studies were done on patients with non-</w:t>
      </w:r>
      <w:proofErr w:type="spellStart"/>
      <w:r w:rsidRPr="00AF01D8">
        <w:rPr>
          <w:rFonts w:ascii="Arial" w:hAnsi="Arial" w:cs="Arial"/>
        </w:rPr>
        <w:t>haematologic</w:t>
      </w:r>
      <w:proofErr w:type="spellEnd"/>
      <w:r w:rsidRPr="00AF01D8">
        <w:rPr>
          <w:rFonts w:ascii="Arial" w:hAnsi="Arial" w:cs="Arial"/>
        </w:rPr>
        <w:t xml:space="preserve"> cancers.</w:t>
      </w:r>
    </w:p>
    <w:p w14:paraId="5EAE54AE" w14:textId="77777777" w:rsidR="00AF01D8" w:rsidRPr="00AF01D8" w:rsidRDefault="00AF01D8" w:rsidP="00AF01D8">
      <w:pPr>
        <w:pStyle w:val="Body"/>
        <w:spacing w:after="0"/>
        <w:rPr>
          <w:rFonts w:ascii="Arial" w:hAnsi="Arial" w:cs="Arial"/>
        </w:rPr>
      </w:pPr>
      <w:r w:rsidRPr="00AF01D8">
        <w:rPr>
          <w:rFonts w:ascii="Arial" w:hAnsi="Arial" w:cs="Arial"/>
        </w:rPr>
        <w:t>Baseline, median platelet count for those who received chemotherapy was 222.5 x 10</w:t>
      </w:r>
      <w:r w:rsidRPr="00AF01D8">
        <w:rPr>
          <w:rFonts w:ascii="Arial" w:hAnsi="Arial" w:cs="Arial"/>
          <w:vertAlign w:val="superscript"/>
        </w:rPr>
        <w:t>9</w:t>
      </w:r>
      <w:r w:rsidRPr="00AF01D8">
        <w:rPr>
          <w:rFonts w:ascii="Arial" w:hAnsi="Arial" w:cs="Arial"/>
        </w:rPr>
        <w:t xml:space="preserve">/l, a value which is within normal range. Nadir platelet count refers to the lowest values measured following chemotherapy, and every cycle could have differing values. In this study, the nadir value is the lowest count obtained in the first two months after commence of chemotherapy.  The mean nadir platelet count was 175.69, and this is likely because almost 75% of patients did not come down with </w:t>
      </w:r>
      <w:proofErr w:type="spellStart"/>
      <w:r w:rsidRPr="00AF01D8">
        <w:rPr>
          <w:rFonts w:ascii="Arial" w:hAnsi="Arial" w:cs="Arial"/>
        </w:rPr>
        <w:t>thrombocytopaenia</w:t>
      </w:r>
      <w:proofErr w:type="spellEnd"/>
      <w:r w:rsidRPr="00AF01D8">
        <w:rPr>
          <w:rFonts w:ascii="Arial" w:hAnsi="Arial" w:cs="Arial"/>
        </w:rPr>
        <w:t xml:space="preserve"> after commencement of chemotherapy. Additionally, more than a quarter of the 72 patients had chronic myeloid </w:t>
      </w:r>
      <w:proofErr w:type="spellStart"/>
      <w:r w:rsidRPr="00AF01D8">
        <w:rPr>
          <w:rFonts w:ascii="Arial" w:hAnsi="Arial" w:cs="Arial"/>
        </w:rPr>
        <w:t>leukaemia</w:t>
      </w:r>
      <w:proofErr w:type="spellEnd"/>
      <w:r w:rsidRPr="00AF01D8">
        <w:rPr>
          <w:rFonts w:ascii="Arial" w:hAnsi="Arial" w:cs="Arial"/>
        </w:rPr>
        <w:t>, CML, and in most cases, it presents in chronic phase of the disease; (</w:t>
      </w:r>
      <w:proofErr w:type="spellStart"/>
      <w:r w:rsidRPr="00AF01D8">
        <w:rPr>
          <w:rFonts w:ascii="Arial" w:hAnsi="Arial" w:cs="Arial"/>
        </w:rPr>
        <w:t>Osho</w:t>
      </w:r>
      <w:proofErr w:type="spellEnd"/>
      <w:r w:rsidRPr="00AF01D8">
        <w:rPr>
          <w:rFonts w:ascii="Arial" w:hAnsi="Arial" w:cs="Arial"/>
        </w:rPr>
        <w:t xml:space="preserve"> et al., 2022; </w:t>
      </w:r>
      <w:proofErr w:type="spellStart"/>
      <w:r w:rsidRPr="00AF01D8">
        <w:rPr>
          <w:rFonts w:ascii="Arial" w:hAnsi="Arial" w:cs="Arial"/>
        </w:rPr>
        <w:t>Suttorp</w:t>
      </w:r>
      <w:proofErr w:type="spellEnd"/>
      <w:r w:rsidRPr="00AF01D8">
        <w:rPr>
          <w:rFonts w:ascii="Arial" w:hAnsi="Arial" w:cs="Arial"/>
        </w:rPr>
        <w:t xml:space="preserve"> et al., 2021) a phase in which platelets count could also be elevated. Taken together, these factors would explain the normal mean platelets count observed in this study. The mean number of units of blood transfused for those who </w:t>
      </w:r>
      <w:r w:rsidRPr="00AF01D8">
        <w:rPr>
          <w:rFonts w:ascii="Arial" w:hAnsi="Arial" w:cs="Arial"/>
        </w:rPr>
        <w:lastRenderedPageBreak/>
        <w:t xml:space="preserve">received chemotherapy was 1.96. These transfusions would have been given to those with low </w:t>
      </w:r>
      <w:proofErr w:type="spellStart"/>
      <w:r w:rsidRPr="00AF01D8">
        <w:rPr>
          <w:rFonts w:ascii="Arial" w:hAnsi="Arial" w:cs="Arial"/>
        </w:rPr>
        <w:t>haemoglobin</w:t>
      </w:r>
      <w:proofErr w:type="spellEnd"/>
      <w:r w:rsidRPr="00AF01D8">
        <w:rPr>
          <w:rFonts w:ascii="Arial" w:hAnsi="Arial" w:cs="Arial"/>
        </w:rPr>
        <w:t xml:space="preserve"> concentration and so would have been transfused as sedimented red cells. It is therefore unlikely that these transfusions contributed to improvement in the mean platelet count obtained.</w:t>
      </w:r>
    </w:p>
    <w:p w14:paraId="60F38727" w14:textId="77777777" w:rsidR="00AF01D8" w:rsidRPr="00AF01D8" w:rsidRDefault="00AF01D8" w:rsidP="00AF01D8">
      <w:pPr>
        <w:pStyle w:val="Body"/>
        <w:spacing w:after="0"/>
        <w:rPr>
          <w:rFonts w:ascii="Arial" w:hAnsi="Arial" w:cs="Arial"/>
        </w:rPr>
      </w:pPr>
      <w:r w:rsidRPr="00AF01D8">
        <w:rPr>
          <w:rFonts w:ascii="Arial" w:hAnsi="Arial" w:cs="Arial"/>
        </w:rPr>
        <w:t xml:space="preserve">The mean number of completed cycles per chemotherapy regimen is 5.64 cycles (therapy for CML using TKIs was counted as months of completed targeted therapy). Bortezomib and lenalidomide which are used in treatment of MM, are known to be associated with more </w:t>
      </w:r>
      <w:proofErr w:type="spellStart"/>
      <w:r w:rsidRPr="00AF01D8">
        <w:rPr>
          <w:rFonts w:ascii="Arial" w:hAnsi="Arial" w:cs="Arial"/>
        </w:rPr>
        <w:t>thrombocytopaenia</w:t>
      </w:r>
      <w:proofErr w:type="spellEnd"/>
      <w:r w:rsidRPr="00AF01D8">
        <w:rPr>
          <w:rFonts w:ascii="Arial" w:hAnsi="Arial" w:cs="Arial"/>
        </w:rPr>
        <w:t>, (</w:t>
      </w:r>
      <w:proofErr w:type="spellStart"/>
      <w:r w:rsidRPr="00AF01D8">
        <w:rPr>
          <w:rFonts w:ascii="Arial" w:hAnsi="Arial" w:cs="Arial"/>
        </w:rPr>
        <w:t>Smrdel</w:t>
      </w:r>
      <w:proofErr w:type="spellEnd"/>
      <w:r w:rsidRPr="00AF01D8">
        <w:rPr>
          <w:rFonts w:ascii="Arial" w:hAnsi="Arial" w:cs="Arial"/>
        </w:rPr>
        <w:t xml:space="preserve"> et al., 2024; </w:t>
      </w:r>
      <w:proofErr w:type="spellStart"/>
      <w:r w:rsidRPr="00AF01D8">
        <w:rPr>
          <w:rFonts w:ascii="Arial" w:hAnsi="Arial" w:cs="Arial"/>
        </w:rPr>
        <w:t>Dimopoulos</w:t>
      </w:r>
      <w:proofErr w:type="spellEnd"/>
      <w:r w:rsidRPr="00AF01D8">
        <w:rPr>
          <w:rFonts w:ascii="Arial" w:hAnsi="Arial" w:cs="Arial"/>
        </w:rPr>
        <w:t xml:space="preserve"> et al., 2023) and they were one of the most frequently administered agents; weekly bortezomib administration, and daily for 21 days for lenalidomide. In other regimens like R-CHOP, CHOP, ABVD, and CVP, the injectables were given once every 3/4 weeks. As such, it is to be expected that VRD would account for the most </w:t>
      </w:r>
      <w:proofErr w:type="spellStart"/>
      <w:r w:rsidRPr="00AF01D8">
        <w:rPr>
          <w:rFonts w:ascii="Arial" w:hAnsi="Arial" w:cs="Arial"/>
        </w:rPr>
        <w:t>thrombocytopaenia</w:t>
      </w:r>
      <w:proofErr w:type="spellEnd"/>
      <w:r w:rsidRPr="00AF01D8">
        <w:rPr>
          <w:rFonts w:ascii="Arial" w:hAnsi="Arial" w:cs="Arial"/>
        </w:rPr>
        <w:t xml:space="preserve">, but this was not the case in this study, as 30.8% of patients who came down CIT had CML, compared with the 23.1% MM. In this study, there was no statistically insignificant relationship between the type of chemotherapy regimen and platelets count, </w:t>
      </w:r>
      <w:r w:rsidRPr="00AF01D8">
        <w:rPr>
          <w:rFonts w:ascii="Arial" w:hAnsi="Arial" w:cs="Arial"/>
          <w:i/>
          <w:iCs/>
        </w:rPr>
        <w:t>P</w:t>
      </w:r>
      <w:r w:rsidRPr="00AF01D8">
        <w:rPr>
          <w:rFonts w:ascii="Arial" w:hAnsi="Arial" w:cs="Arial"/>
        </w:rPr>
        <w:t xml:space="preserve"> = .20; this is unlike some other studies which have demonstrated this relationship. (Lu et al., 2020; Kassie et al., 2025) Generally, there are just a few studies that report regimen-specific prevalence of CIT in patients with malignancies, however, it is known that gemcitabine and the antimetabolites, none of which were used in patients in this study, has the highest prevalence. (Gao et al., 2023)</w:t>
      </w:r>
    </w:p>
    <w:p w14:paraId="7994CB3D" w14:textId="77777777" w:rsidR="00AF01D8" w:rsidRDefault="00AF01D8" w:rsidP="00AF01D8">
      <w:pPr>
        <w:pStyle w:val="Body"/>
        <w:spacing w:after="0"/>
        <w:rPr>
          <w:rFonts w:ascii="Arial" w:hAnsi="Arial" w:cs="Arial"/>
        </w:rPr>
      </w:pPr>
      <w:r w:rsidRPr="00AF01D8">
        <w:rPr>
          <w:rFonts w:ascii="Arial" w:hAnsi="Arial" w:cs="Arial"/>
        </w:rPr>
        <w:t xml:space="preserve">Those that received chemotherapy are patients with MM, HL, NHL, and CML; AML and ALL were the two categories of cases that could not be commenced on. It is plausible that these patients did not receive chemotherapy due to combination of factors such as late presentation, and the very likelihood that they needed to have been stabilized before commencement of chemotherapy. Late presentation in acute </w:t>
      </w:r>
      <w:proofErr w:type="spellStart"/>
      <w:r w:rsidRPr="00AF01D8">
        <w:rPr>
          <w:rFonts w:ascii="Arial" w:hAnsi="Arial" w:cs="Arial"/>
        </w:rPr>
        <w:t>leukaemias</w:t>
      </w:r>
      <w:proofErr w:type="spellEnd"/>
      <w:r w:rsidRPr="00AF01D8">
        <w:rPr>
          <w:rFonts w:ascii="Arial" w:hAnsi="Arial" w:cs="Arial"/>
        </w:rPr>
        <w:t xml:space="preserve"> in developing countries has been documented widely in the literature, (Zapata-</w:t>
      </w:r>
      <w:proofErr w:type="spellStart"/>
      <w:r w:rsidRPr="00AF01D8">
        <w:rPr>
          <w:rFonts w:ascii="Arial" w:hAnsi="Arial" w:cs="Arial"/>
        </w:rPr>
        <w:t>Tarres</w:t>
      </w:r>
      <w:proofErr w:type="spellEnd"/>
      <w:r w:rsidRPr="00AF01D8">
        <w:rPr>
          <w:rFonts w:ascii="Arial" w:hAnsi="Arial" w:cs="Arial"/>
        </w:rPr>
        <w:t xml:space="preserve">, et al., 2021; Mamo et al., 2024; </w:t>
      </w:r>
      <w:proofErr w:type="spellStart"/>
      <w:r w:rsidRPr="00AF01D8">
        <w:rPr>
          <w:rFonts w:ascii="Arial" w:hAnsi="Arial" w:cs="Arial"/>
        </w:rPr>
        <w:t>Obu</w:t>
      </w:r>
      <w:proofErr w:type="spellEnd"/>
      <w:r w:rsidRPr="00AF01D8">
        <w:rPr>
          <w:rFonts w:ascii="Arial" w:hAnsi="Arial" w:cs="Arial"/>
        </w:rPr>
        <w:t xml:space="preserve"> et al., 2024) with its associated morbidity and high mortality.</w:t>
      </w:r>
    </w:p>
    <w:p w14:paraId="6B0265D5" w14:textId="77777777" w:rsidR="001B192A" w:rsidRPr="00AF01D8" w:rsidRDefault="001B192A" w:rsidP="00AF01D8">
      <w:pPr>
        <w:pStyle w:val="Body"/>
        <w:spacing w:after="0"/>
        <w:rPr>
          <w:rFonts w:ascii="Arial" w:hAnsi="Arial" w:cs="Arial"/>
        </w:rPr>
      </w:pPr>
    </w:p>
    <w:p w14:paraId="5C45EED3" w14:textId="77777777" w:rsidR="00AF01D8" w:rsidRPr="00AF01D8" w:rsidRDefault="00AF01D8" w:rsidP="00AF01D8">
      <w:pPr>
        <w:pStyle w:val="Body"/>
        <w:spacing w:after="0"/>
        <w:rPr>
          <w:rFonts w:ascii="Arial" w:hAnsi="Arial" w:cs="Arial"/>
        </w:rPr>
      </w:pPr>
      <w:r w:rsidRPr="00AF01D8">
        <w:rPr>
          <w:rFonts w:ascii="Arial" w:hAnsi="Arial" w:cs="Arial"/>
        </w:rPr>
        <w:t>LIMITATIONS OF STUDY</w:t>
      </w:r>
    </w:p>
    <w:p w14:paraId="01E804AD" w14:textId="77777777" w:rsidR="00AF01D8" w:rsidRPr="00AF01D8" w:rsidRDefault="00AF01D8" w:rsidP="00AF01D8">
      <w:pPr>
        <w:pStyle w:val="Body"/>
        <w:spacing w:after="0"/>
        <w:rPr>
          <w:rFonts w:ascii="Arial" w:hAnsi="Arial" w:cs="Arial"/>
        </w:rPr>
      </w:pPr>
      <w:r w:rsidRPr="00AF01D8">
        <w:rPr>
          <w:rFonts w:ascii="Arial" w:hAnsi="Arial" w:cs="Arial"/>
        </w:rPr>
        <w:t xml:space="preserve">In spite of the salient findings in this study, it must be stated that the number of cases used is modest, and it is possible that these findings will be different in a study involving a larger population. The study was limited to adult </w:t>
      </w:r>
      <w:proofErr w:type="spellStart"/>
      <w:r w:rsidRPr="00AF01D8">
        <w:rPr>
          <w:rFonts w:ascii="Arial" w:hAnsi="Arial" w:cs="Arial"/>
        </w:rPr>
        <w:t>haematologic</w:t>
      </w:r>
      <w:proofErr w:type="spellEnd"/>
      <w:r w:rsidRPr="00AF01D8">
        <w:rPr>
          <w:rFonts w:ascii="Arial" w:hAnsi="Arial" w:cs="Arial"/>
        </w:rPr>
        <w:t xml:space="preserve"> cancer patients. It is also a single-</w:t>
      </w:r>
      <w:proofErr w:type="spellStart"/>
      <w:r w:rsidRPr="00AF01D8">
        <w:rPr>
          <w:rFonts w:ascii="Arial" w:hAnsi="Arial" w:cs="Arial"/>
        </w:rPr>
        <w:t>centre</w:t>
      </w:r>
      <w:proofErr w:type="spellEnd"/>
      <w:r w:rsidRPr="00AF01D8">
        <w:rPr>
          <w:rFonts w:ascii="Arial" w:hAnsi="Arial" w:cs="Arial"/>
        </w:rPr>
        <w:t xml:space="preserve"> based study. These factors will affect the generalizability of the findings. The study is also retrospective study which embodies a lot of biases. Prospective studies involving a larger number of adult and </w:t>
      </w:r>
      <w:proofErr w:type="spellStart"/>
      <w:r w:rsidRPr="00AF01D8">
        <w:rPr>
          <w:rFonts w:ascii="Arial" w:hAnsi="Arial" w:cs="Arial"/>
        </w:rPr>
        <w:t>paediatric</w:t>
      </w:r>
      <w:proofErr w:type="spellEnd"/>
      <w:r w:rsidRPr="00AF01D8">
        <w:rPr>
          <w:rFonts w:ascii="Arial" w:hAnsi="Arial" w:cs="Arial"/>
        </w:rPr>
        <w:t xml:space="preserve"> </w:t>
      </w:r>
      <w:proofErr w:type="spellStart"/>
      <w:r w:rsidRPr="00AF01D8">
        <w:rPr>
          <w:rFonts w:ascii="Arial" w:hAnsi="Arial" w:cs="Arial"/>
        </w:rPr>
        <w:t>haematologic</w:t>
      </w:r>
      <w:proofErr w:type="spellEnd"/>
      <w:r w:rsidRPr="00AF01D8">
        <w:rPr>
          <w:rFonts w:ascii="Arial" w:hAnsi="Arial" w:cs="Arial"/>
        </w:rPr>
        <w:t xml:space="preserve"> cancer patients will be needed to verify the findings herein stated.</w:t>
      </w:r>
    </w:p>
    <w:p w14:paraId="11F0EDF7" w14:textId="77777777" w:rsidR="00AF01D8" w:rsidRDefault="00AF01D8" w:rsidP="00441B6F">
      <w:pPr>
        <w:pStyle w:val="ConcHead"/>
        <w:spacing w:after="0"/>
        <w:jc w:val="both"/>
        <w:rPr>
          <w:rFonts w:ascii="Arial" w:hAnsi="Arial" w:cs="Arial"/>
        </w:rPr>
      </w:pPr>
    </w:p>
    <w:p w14:paraId="6B4959CB" w14:textId="3F96A97D" w:rsidR="00B01FCD" w:rsidRDefault="00AF01D8"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7806A958" w14:textId="77777777" w:rsidR="00790ADA" w:rsidRPr="00FB3A86" w:rsidRDefault="00790ADA" w:rsidP="00441B6F">
      <w:pPr>
        <w:pStyle w:val="ConcHead"/>
        <w:spacing w:after="0"/>
        <w:jc w:val="both"/>
        <w:rPr>
          <w:rFonts w:ascii="Arial" w:hAnsi="Arial" w:cs="Arial"/>
        </w:rPr>
      </w:pPr>
    </w:p>
    <w:p w14:paraId="329B84B0" w14:textId="566D7000" w:rsidR="00B01FCD" w:rsidRDefault="00E21915" w:rsidP="00441B6F">
      <w:pPr>
        <w:pStyle w:val="Body"/>
        <w:spacing w:after="0"/>
        <w:rPr>
          <w:rFonts w:ascii="Arial" w:hAnsi="Arial" w:cs="Arial"/>
        </w:rPr>
      </w:pPr>
      <w:r w:rsidRPr="00E21915">
        <w:rPr>
          <w:rFonts w:ascii="Arial" w:hAnsi="Arial" w:cs="Arial"/>
        </w:rPr>
        <w:t xml:space="preserve">Among adult patients with </w:t>
      </w:r>
      <w:proofErr w:type="spellStart"/>
      <w:r w:rsidRPr="00E21915">
        <w:rPr>
          <w:rFonts w:ascii="Arial" w:hAnsi="Arial" w:cs="Arial"/>
        </w:rPr>
        <w:t>haematologic</w:t>
      </w:r>
      <w:proofErr w:type="spellEnd"/>
      <w:r w:rsidRPr="00E21915">
        <w:rPr>
          <w:rFonts w:ascii="Arial" w:hAnsi="Arial" w:cs="Arial"/>
        </w:rPr>
        <w:t xml:space="preserve"> malignancies, CIT is seen in about 26.0% of cases. Though TKIs and VRD regimen used for treating CML and MM showed more </w:t>
      </w:r>
      <w:proofErr w:type="spellStart"/>
      <w:r w:rsidRPr="00E21915">
        <w:rPr>
          <w:rFonts w:ascii="Arial" w:hAnsi="Arial" w:cs="Arial"/>
        </w:rPr>
        <w:t>thrombocytopaenia</w:t>
      </w:r>
      <w:proofErr w:type="spellEnd"/>
      <w:r w:rsidRPr="00E21915">
        <w:rPr>
          <w:rFonts w:ascii="Arial" w:hAnsi="Arial" w:cs="Arial"/>
        </w:rPr>
        <w:t xml:space="preserve"> cases, this was not statistically significant. A significant positive association highlighted in the study is the significant relationship that exists between ethnicity and the occurrence of chemotherapy-induced </w:t>
      </w:r>
      <w:proofErr w:type="spellStart"/>
      <w:r w:rsidRPr="00E21915">
        <w:rPr>
          <w:rFonts w:ascii="Arial" w:hAnsi="Arial" w:cs="Arial"/>
        </w:rPr>
        <w:t>thrombocytopaenia</w:t>
      </w:r>
      <w:proofErr w:type="spellEnd"/>
      <w:r w:rsidRPr="00E21915">
        <w:rPr>
          <w:rFonts w:ascii="Arial" w:hAnsi="Arial" w:cs="Arial"/>
        </w:rPr>
        <w:t>.</w:t>
      </w:r>
    </w:p>
    <w:p w14:paraId="133E2730" w14:textId="77777777" w:rsidR="00790ADA" w:rsidRPr="00FB3A86" w:rsidRDefault="00790ADA" w:rsidP="00441B6F">
      <w:pPr>
        <w:pStyle w:val="Body"/>
        <w:spacing w:after="0"/>
        <w:rPr>
          <w:rFonts w:ascii="Arial" w:hAnsi="Arial" w:cs="Arial"/>
        </w:rPr>
      </w:pPr>
    </w:p>
    <w:p w14:paraId="29F7042F" w14:textId="531F3685" w:rsidR="005C784C" w:rsidRPr="002046A6" w:rsidRDefault="005C784C" w:rsidP="002046A6">
      <w:pPr>
        <w:pStyle w:val="ReferHead"/>
        <w:spacing w:after="0"/>
        <w:jc w:val="both"/>
        <w:rPr>
          <w:rFonts w:ascii="Arial" w:hAnsi="Arial" w:cs="Arial"/>
          <w:bCs/>
        </w:rPr>
      </w:pPr>
    </w:p>
    <w:p w14:paraId="046837A6" w14:textId="1424404D" w:rsidR="005C784C" w:rsidRDefault="005C784C" w:rsidP="00441B6F">
      <w:pPr>
        <w:pStyle w:val="ReferHead"/>
        <w:spacing w:after="0"/>
        <w:jc w:val="both"/>
        <w:rPr>
          <w:rFonts w:ascii="Arial" w:hAnsi="Arial" w:cs="Arial"/>
          <w:bCs/>
        </w:rPr>
      </w:pPr>
      <w:r>
        <w:rPr>
          <w:rFonts w:ascii="Arial" w:hAnsi="Arial" w:cs="Arial"/>
          <w:bCs/>
        </w:rPr>
        <w:t>Ethical approval</w:t>
      </w:r>
    </w:p>
    <w:p w14:paraId="2D2B941A" w14:textId="77777777" w:rsidR="005C784C" w:rsidRPr="002B685A" w:rsidRDefault="005C784C" w:rsidP="00441B6F">
      <w:pPr>
        <w:pStyle w:val="ReferHead"/>
        <w:spacing w:after="0"/>
        <w:jc w:val="both"/>
        <w:rPr>
          <w:rFonts w:ascii="Arial" w:hAnsi="Arial" w:cs="Arial"/>
          <w:bCs/>
        </w:rPr>
      </w:pPr>
    </w:p>
    <w:p w14:paraId="551B2275" w14:textId="04A1F4AC" w:rsidR="00860000" w:rsidRDefault="002046A6" w:rsidP="004C7B12">
      <w:pPr>
        <w:pStyle w:val="ReferHead"/>
        <w:spacing w:after="0"/>
        <w:jc w:val="both"/>
        <w:rPr>
          <w:rFonts w:ascii="Arial" w:hAnsi="Arial" w:cs="Arial"/>
          <w:b w:val="0"/>
          <w:caps w:val="0"/>
          <w:sz w:val="20"/>
        </w:rPr>
      </w:pPr>
      <w:r>
        <w:rPr>
          <w:rFonts w:ascii="Arial" w:hAnsi="Arial" w:cs="Arial"/>
          <w:b w:val="0"/>
          <w:caps w:val="0"/>
          <w:sz w:val="20"/>
        </w:rPr>
        <w:t xml:space="preserve">Duly obtained from the health research and ethics committee of the hospital. </w:t>
      </w:r>
    </w:p>
    <w:p w14:paraId="1911BDDE" w14:textId="77777777" w:rsidR="00BD453C" w:rsidRDefault="00BD453C" w:rsidP="004C7B12">
      <w:pPr>
        <w:pStyle w:val="ReferHead"/>
        <w:spacing w:after="0"/>
        <w:jc w:val="both"/>
        <w:rPr>
          <w:rFonts w:ascii="Arial" w:hAnsi="Arial" w:cs="Arial"/>
        </w:rPr>
      </w:pPr>
    </w:p>
    <w:p w14:paraId="4177D877" w14:textId="77777777" w:rsidR="004C7B12" w:rsidRDefault="004C7B12" w:rsidP="00441B6F">
      <w:pPr>
        <w:pStyle w:val="ReferHead"/>
        <w:spacing w:after="0"/>
        <w:jc w:val="both"/>
        <w:rPr>
          <w:rFonts w:ascii="Arial" w:hAnsi="Arial" w:cs="Arial"/>
        </w:rPr>
      </w:pPr>
    </w:p>
    <w:p w14:paraId="0D05C8B6" w14:textId="4B4C196A" w:rsidR="00B01FCD" w:rsidRDefault="00B01FCD" w:rsidP="00441B6F">
      <w:pPr>
        <w:pStyle w:val="ReferHead"/>
        <w:spacing w:after="0"/>
        <w:jc w:val="both"/>
        <w:rPr>
          <w:rFonts w:ascii="Arial" w:hAnsi="Arial" w:cs="Arial"/>
        </w:rPr>
      </w:pPr>
      <w:r w:rsidRPr="00FB3A86">
        <w:rPr>
          <w:rFonts w:ascii="Arial" w:hAnsi="Arial" w:cs="Arial"/>
        </w:rPr>
        <w:t>References</w:t>
      </w:r>
    </w:p>
    <w:p w14:paraId="31F1984E" w14:textId="77777777" w:rsidR="00790ADA" w:rsidRPr="00FB3A86" w:rsidRDefault="00790ADA" w:rsidP="00441B6F">
      <w:pPr>
        <w:pStyle w:val="ReferHead"/>
        <w:spacing w:after="0"/>
        <w:jc w:val="both"/>
        <w:rPr>
          <w:rFonts w:ascii="Arial" w:hAnsi="Arial" w:cs="Arial"/>
        </w:rPr>
      </w:pPr>
    </w:p>
    <w:p w14:paraId="1AF6E61E" w14:textId="77777777" w:rsidR="004C7B12" w:rsidRPr="004C7B12" w:rsidRDefault="004C7B12" w:rsidP="004C7B12">
      <w:pPr>
        <w:pStyle w:val="Body"/>
        <w:numPr>
          <w:ilvl w:val="0"/>
          <w:numId w:val="31"/>
        </w:numPr>
        <w:spacing w:after="0"/>
      </w:pPr>
      <w:r w:rsidRPr="004C7B12">
        <w:t>Chaudhary, P. K., Kim, S., &amp; Kim, S. (2022). An insight into recent advances on platelet function in health and disease. </w:t>
      </w:r>
      <w:r w:rsidRPr="004C7B12">
        <w:rPr>
          <w:i/>
          <w:iCs/>
        </w:rPr>
        <w:t>International journal of molecular sciences</w:t>
      </w:r>
      <w:r w:rsidRPr="004C7B12">
        <w:t>, </w:t>
      </w:r>
      <w:r w:rsidRPr="004C7B12">
        <w:rPr>
          <w:i/>
          <w:iCs/>
        </w:rPr>
        <w:t>23</w:t>
      </w:r>
      <w:r w:rsidRPr="004C7B12">
        <w:t>(11), 6022.</w:t>
      </w:r>
    </w:p>
    <w:p w14:paraId="0CE6DC67" w14:textId="77777777" w:rsidR="004C7B12" w:rsidRPr="004C7B12" w:rsidRDefault="004C7B12" w:rsidP="004C7B12">
      <w:pPr>
        <w:pStyle w:val="Body"/>
        <w:numPr>
          <w:ilvl w:val="0"/>
          <w:numId w:val="31"/>
        </w:numPr>
        <w:spacing w:after="0"/>
      </w:pPr>
      <w:r w:rsidRPr="004C7B12">
        <w:t xml:space="preserve">Davenport, P. E., Thom, C. S., Soule-Albridge, E. L., </w:t>
      </w:r>
      <w:proofErr w:type="spellStart"/>
      <w:r w:rsidRPr="004C7B12">
        <w:t>Nolton</w:t>
      </w:r>
      <w:proofErr w:type="spellEnd"/>
      <w:r w:rsidRPr="004C7B12">
        <w:t>, E., Liu, Z. J., Feldman, H. A., &amp; Sola-</w:t>
      </w:r>
      <w:proofErr w:type="spellStart"/>
      <w:r w:rsidRPr="004C7B12">
        <w:t>Visner</w:t>
      </w:r>
      <w:proofErr w:type="spellEnd"/>
      <w:r w:rsidRPr="004C7B12">
        <w:t>, M. (2023). Developmental Differences between Neonatal and Adult Platelets in Regard to Immune Protein Content and Regulation of Monocyte Inflammatory Responses. </w:t>
      </w:r>
      <w:r w:rsidRPr="004C7B12">
        <w:rPr>
          <w:i/>
          <w:iCs/>
        </w:rPr>
        <w:t>Blood</w:t>
      </w:r>
      <w:r w:rsidRPr="004C7B12">
        <w:t>, </w:t>
      </w:r>
      <w:r w:rsidRPr="004C7B12">
        <w:rPr>
          <w:i/>
          <w:iCs/>
        </w:rPr>
        <w:t>142</w:t>
      </w:r>
      <w:r w:rsidRPr="004C7B12">
        <w:t>, 699.</w:t>
      </w:r>
    </w:p>
    <w:p w14:paraId="0FA2042F" w14:textId="77777777" w:rsidR="004C7B12" w:rsidRPr="004C7B12" w:rsidRDefault="004C7B12" w:rsidP="004C7B12">
      <w:pPr>
        <w:pStyle w:val="Body"/>
        <w:numPr>
          <w:ilvl w:val="0"/>
          <w:numId w:val="31"/>
        </w:numPr>
        <w:spacing w:after="0"/>
      </w:pPr>
      <w:proofErr w:type="spellStart"/>
      <w:r w:rsidRPr="004C7B12">
        <w:t>Gauer</w:t>
      </w:r>
      <w:proofErr w:type="spellEnd"/>
      <w:r w:rsidRPr="004C7B12">
        <w:t>, R. L., &amp; Whitaker, D. J. (2022). Thrombocytopenia: evaluation and management. </w:t>
      </w:r>
      <w:r w:rsidRPr="004C7B12">
        <w:rPr>
          <w:i/>
          <w:iCs/>
        </w:rPr>
        <w:t>American Family Physician</w:t>
      </w:r>
      <w:r w:rsidRPr="004C7B12">
        <w:t>, </w:t>
      </w:r>
      <w:r w:rsidRPr="004C7B12">
        <w:rPr>
          <w:i/>
          <w:iCs/>
        </w:rPr>
        <w:t>106</w:t>
      </w:r>
      <w:r w:rsidRPr="004C7B12">
        <w:t>(3), 288-298.</w:t>
      </w:r>
    </w:p>
    <w:p w14:paraId="55872B5B" w14:textId="77777777" w:rsidR="004C7B12" w:rsidRPr="004C7B12" w:rsidRDefault="004C7B12" w:rsidP="004C7B12">
      <w:pPr>
        <w:pStyle w:val="Body"/>
        <w:numPr>
          <w:ilvl w:val="0"/>
          <w:numId w:val="31"/>
        </w:numPr>
        <w:spacing w:after="0"/>
      </w:pPr>
      <w:r w:rsidRPr="004C7B12">
        <w:t>Gao, A., Zhang, L., &amp; Zhong, D. (2023). Chemotherapy-induced thrombocytopenia: literature review. </w:t>
      </w:r>
      <w:r w:rsidRPr="004C7B12">
        <w:rPr>
          <w:i/>
          <w:iCs/>
        </w:rPr>
        <w:t>Discover Oncology</w:t>
      </w:r>
      <w:r w:rsidRPr="004C7B12">
        <w:t>, </w:t>
      </w:r>
      <w:r w:rsidRPr="004C7B12">
        <w:rPr>
          <w:i/>
          <w:iCs/>
        </w:rPr>
        <w:t>14</w:t>
      </w:r>
      <w:r w:rsidRPr="004C7B12">
        <w:t>(1), 10.</w:t>
      </w:r>
    </w:p>
    <w:p w14:paraId="3D97294F" w14:textId="77777777" w:rsidR="004C7B12" w:rsidRPr="004C7B12" w:rsidRDefault="004C7B12" w:rsidP="004C7B12">
      <w:pPr>
        <w:pStyle w:val="Body"/>
        <w:numPr>
          <w:ilvl w:val="0"/>
          <w:numId w:val="31"/>
        </w:numPr>
        <w:spacing w:after="0"/>
      </w:pPr>
      <w:r w:rsidRPr="004C7B12">
        <w:t xml:space="preserve">Pathak, S., Zajac, K. K., </w:t>
      </w:r>
      <w:proofErr w:type="spellStart"/>
      <w:r w:rsidRPr="004C7B12">
        <w:t>Annaji</w:t>
      </w:r>
      <w:proofErr w:type="spellEnd"/>
      <w:r w:rsidRPr="004C7B12">
        <w:t xml:space="preserve">, M., </w:t>
      </w:r>
      <w:proofErr w:type="spellStart"/>
      <w:r w:rsidRPr="004C7B12">
        <w:t>Govindarajulu</w:t>
      </w:r>
      <w:proofErr w:type="spellEnd"/>
      <w:r w:rsidRPr="004C7B12">
        <w:t xml:space="preserve">, M., Nadar, R. M., Bowen, D., ... &amp; </w:t>
      </w:r>
      <w:proofErr w:type="spellStart"/>
      <w:r w:rsidRPr="004C7B12">
        <w:t>Dhanasekaran</w:t>
      </w:r>
      <w:proofErr w:type="spellEnd"/>
      <w:r w:rsidRPr="004C7B12">
        <w:t>, M. (2023). Clinical outcomes of chemotherapy in cancer patients with different ethnicities. </w:t>
      </w:r>
      <w:r w:rsidRPr="004C7B12">
        <w:rPr>
          <w:i/>
          <w:iCs/>
        </w:rPr>
        <w:t>Cancer Reports</w:t>
      </w:r>
      <w:r w:rsidRPr="004C7B12">
        <w:t>, </w:t>
      </w:r>
      <w:r w:rsidRPr="004C7B12">
        <w:rPr>
          <w:i/>
          <w:iCs/>
        </w:rPr>
        <w:t>6</w:t>
      </w:r>
      <w:r w:rsidRPr="004C7B12">
        <w:t>, e1830.</w:t>
      </w:r>
    </w:p>
    <w:p w14:paraId="6B18A113" w14:textId="77777777" w:rsidR="004C7B12" w:rsidRPr="004C7B12" w:rsidRDefault="004C7B12" w:rsidP="004C7B12">
      <w:pPr>
        <w:pStyle w:val="Body"/>
        <w:numPr>
          <w:ilvl w:val="0"/>
          <w:numId w:val="31"/>
        </w:numPr>
        <w:spacing w:after="0"/>
      </w:pPr>
      <w:r w:rsidRPr="004C7B12">
        <w:t xml:space="preserve">Zhang, J., Yang, Y., Chen, R., Chen, S., Wang, J., Luo, Y., ... &amp; Fan, Y. (2021). Assessment of racial differences in the incidence of thrombocytopenia induced by trastuzumab </w:t>
      </w:r>
      <w:proofErr w:type="spellStart"/>
      <w:r w:rsidRPr="004C7B12">
        <w:t>emtansine</w:t>
      </w:r>
      <w:proofErr w:type="spellEnd"/>
      <w:r w:rsidRPr="004C7B12">
        <w:t>: a systematic review and meta-analysis. </w:t>
      </w:r>
      <w:r w:rsidRPr="004C7B12">
        <w:rPr>
          <w:i/>
          <w:iCs/>
        </w:rPr>
        <w:t>Annals of Translational Medicine</w:t>
      </w:r>
      <w:r w:rsidRPr="004C7B12">
        <w:t>, </w:t>
      </w:r>
      <w:r w:rsidRPr="004C7B12">
        <w:rPr>
          <w:i/>
          <w:iCs/>
        </w:rPr>
        <w:t>9</w:t>
      </w:r>
      <w:r w:rsidRPr="004C7B12">
        <w:t>(14), 1139.</w:t>
      </w:r>
    </w:p>
    <w:p w14:paraId="2AE84CE4" w14:textId="77777777" w:rsidR="004C7B12" w:rsidRPr="004C7B12" w:rsidRDefault="004C7B12" w:rsidP="004C7B12">
      <w:pPr>
        <w:pStyle w:val="Body"/>
        <w:numPr>
          <w:ilvl w:val="0"/>
          <w:numId w:val="31"/>
        </w:numPr>
        <w:spacing w:after="0"/>
      </w:pPr>
      <w:proofErr w:type="spellStart"/>
      <w:r w:rsidRPr="004C7B12">
        <w:t>Ugwu</w:t>
      </w:r>
      <w:proofErr w:type="spellEnd"/>
      <w:r w:rsidRPr="004C7B12">
        <w:t xml:space="preserve">, N. I., &amp; </w:t>
      </w:r>
      <w:proofErr w:type="spellStart"/>
      <w:r w:rsidRPr="004C7B12">
        <w:t>Nwannadi</w:t>
      </w:r>
      <w:proofErr w:type="spellEnd"/>
      <w:r w:rsidRPr="004C7B12">
        <w:t xml:space="preserve">, I. A. (2020). </w:t>
      </w:r>
      <w:proofErr w:type="spellStart"/>
      <w:r w:rsidRPr="004C7B12">
        <w:t>Haematological</w:t>
      </w:r>
      <w:proofErr w:type="spellEnd"/>
      <w:r w:rsidRPr="004C7B12">
        <w:t xml:space="preserve"> malignancies in Nigeria: Challenges in diagnosis and management–A systematic review. </w:t>
      </w:r>
      <w:r w:rsidRPr="004C7B12">
        <w:rPr>
          <w:i/>
          <w:iCs/>
        </w:rPr>
        <w:t xml:space="preserve">J Biomed Res Clin </w:t>
      </w:r>
      <w:proofErr w:type="spellStart"/>
      <w:r w:rsidRPr="004C7B12">
        <w:rPr>
          <w:i/>
          <w:iCs/>
        </w:rPr>
        <w:t>Pract</w:t>
      </w:r>
      <w:proofErr w:type="spellEnd"/>
      <w:r w:rsidRPr="004C7B12">
        <w:t>, </w:t>
      </w:r>
      <w:r w:rsidRPr="004C7B12">
        <w:rPr>
          <w:i/>
          <w:iCs/>
        </w:rPr>
        <w:t>3</w:t>
      </w:r>
      <w:r w:rsidRPr="004C7B12">
        <w:t>, 282-92.</w:t>
      </w:r>
    </w:p>
    <w:p w14:paraId="2CDA8B64" w14:textId="77777777" w:rsidR="004C7B12" w:rsidRPr="004C7B12" w:rsidRDefault="004C7B12" w:rsidP="004C7B12">
      <w:pPr>
        <w:pStyle w:val="Body"/>
        <w:numPr>
          <w:ilvl w:val="0"/>
          <w:numId w:val="31"/>
        </w:numPr>
        <w:spacing w:after="0"/>
      </w:pPr>
      <w:proofErr w:type="spellStart"/>
      <w:r w:rsidRPr="004C7B12">
        <w:lastRenderedPageBreak/>
        <w:t>Jali</w:t>
      </w:r>
      <w:proofErr w:type="spellEnd"/>
      <w:r w:rsidRPr="004C7B12">
        <w:t xml:space="preserve">, A. G., &amp; </w:t>
      </w:r>
      <w:proofErr w:type="spellStart"/>
      <w:r w:rsidRPr="004C7B12">
        <w:t>Nkambule</w:t>
      </w:r>
      <w:proofErr w:type="spellEnd"/>
      <w:r w:rsidRPr="004C7B12">
        <w:t xml:space="preserve">, B. B. (2020). Prevalence and </w:t>
      </w:r>
      <w:proofErr w:type="spellStart"/>
      <w:r w:rsidRPr="004C7B12">
        <w:t>aetiology</w:t>
      </w:r>
      <w:proofErr w:type="spellEnd"/>
      <w:r w:rsidRPr="004C7B12">
        <w:t xml:space="preserve"> of moderate and severe thrombocytopenia in a tertiary and quaternary </w:t>
      </w:r>
      <w:proofErr w:type="spellStart"/>
      <w:r w:rsidRPr="004C7B12">
        <w:t>centre</w:t>
      </w:r>
      <w:proofErr w:type="spellEnd"/>
      <w:r w:rsidRPr="004C7B12">
        <w:t xml:space="preserve"> in KwaZulu-Natal. </w:t>
      </w:r>
      <w:r w:rsidRPr="004C7B12">
        <w:rPr>
          <w:i/>
          <w:iCs/>
        </w:rPr>
        <w:t>African Journal of Laboratory Medicine</w:t>
      </w:r>
      <w:r w:rsidRPr="004C7B12">
        <w:t>, </w:t>
      </w:r>
      <w:r w:rsidRPr="004C7B12">
        <w:rPr>
          <w:i/>
          <w:iCs/>
        </w:rPr>
        <w:t>9</w:t>
      </w:r>
      <w:r w:rsidRPr="004C7B12">
        <w:t>(1), 1-5.</w:t>
      </w:r>
    </w:p>
    <w:p w14:paraId="57223685" w14:textId="77777777" w:rsidR="004C7B12" w:rsidRPr="004C7B12" w:rsidRDefault="004C7B12" w:rsidP="004C7B12">
      <w:pPr>
        <w:pStyle w:val="Body"/>
        <w:numPr>
          <w:ilvl w:val="0"/>
          <w:numId w:val="31"/>
        </w:numPr>
        <w:spacing w:after="0"/>
      </w:pPr>
      <w:proofErr w:type="spellStart"/>
      <w:r w:rsidRPr="004C7B12">
        <w:t>Osho</w:t>
      </w:r>
      <w:proofErr w:type="spellEnd"/>
      <w:r w:rsidRPr="004C7B12">
        <w:t xml:space="preserve">, P. O., </w:t>
      </w:r>
      <w:proofErr w:type="spellStart"/>
      <w:r w:rsidRPr="004C7B12">
        <w:t>Aneke</w:t>
      </w:r>
      <w:proofErr w:type="spellEnd"/>
      <w:r w:rsidRPr="004C7B12">
        <w:t xml:space="preserve">, J. C., </w:t>
      </w:r>
      <w:proofErr w:type="spellStart"/>
      <w:r w:rsidRPr="004C7B12">
        <w:t>Ojo</w:t>
      </w:r>
      <w:proofErr w:type="spellEnd"/>
      <w:r w:rsidRPr="004C7B12">
        <w:t xml:space="preserve">, M. A., </w:t>
      </w:r>
      <w:proofErr w:type="spellStart"/>
      <w:r w:rsidRPr="004C7B12">
        <w:t>Onoja</w:t>
      </w:r>
      <w:proofErr w:type="spellEnd"/>
      <w:r w:rsidRPr="004C7B12">
        <w:t xml:space="preserve">, A. M., &amp; Oni, T. I. (2022). Clinical and Laboratory Features of Nigerian Patients with Chronic Myeloid </w:t>
      </w:r>
      <w:proofErr w:type="spellStart"/>
      <w:r w:rsidRPr="004C7B12">
        <w:t>Leukaemia</w:t>
      </w:r>
      <w:proofErr w:type="spellEnd"/>
      <w:r w:rsidRPr="004C7B12">
        <w:t>: A Cohort Study. </w:t>
      </w:r>
      <w:r w:rsidRPr="004C7B12">
        <w:rPr>
          <w:i/>
          <w:iCs/>
        </w:rPr>
        <w:t>Western Journal of Medical and Biomedical Sciences</w:t>
      </w:r>
      <w:r w:rsidRPr="004C7B12">
        <w:t>, </w:t>
      </w:r>
      <w:r w:rsidRPr="004C7B12">
        <w:rPr>
          <w:i/>
          <w:iCs/>
        </w:rPr>
        <w:t>3</w:t>
      </w:r>
      <w:r w:rsidRPr="004C7B12">
        <w:t>(2), 43-48.</w:t>
      </w:r>
    </w:p>
    <w:p w14:paraId="56927930" w14:textId="77777777" w:rsidR="004C7B12" w:rsidRPr="004C7B12" w:rsidRDefault="004C7B12" w:rsidP="004C7B12">
      <w:pPr>
        <w:pStyle w:val="Body"/>
        <w:numPr>
          <w:ilvl w:val="0"/>
          <w:numId w:val="31"/>
        </w:numPr>
        <w:spacing w:after="0"/>
      </w:pPr>
      <w:proofErr w:type="spellStart"/>
      <w:r w:rsidRPr="004C7B12">
        <w:t>Suttorp</w:t>
      </w:r>
      <w:proofErr w:type="spellEnd"/>
      <w:r w:rsidRPr="004C7B12">
        <w:t xml:space="preserve">, M., </w:t>
      </w:r>
      <w:proofErr w:type="spellStart"/>
      <w:r w:rsidRPr="004C7B12">
        <w:t>Millot</w:t>
      </w:r>
      <w:proofErr w:type="spellEnd"/>
      <w:r w:rsidRPr="004C7B12">
        <w:t xml:space="preserve">, F., </w:t>
      </w:r>
      <w:proofErr w:type="spellStart"/>
      <w:r w:rsidRPr="004C7B12">
        <w:t>Sembill</w:t>
      </w:r>
      <w:proofErr w:type="spellEnd"/>
      <w:r w:rsidRPr="004C7B12">
        <w:t>, S., Deutsch, H., &amp; Metzler, M. (2021). Definition, epidemiology, pathophysiology, and essential criteria for diagnosis of pediatric chronic myeloid leukemia. </w:t>
      </w:r>
      <w:r w:rsidRPr="004C7B12">
        <w:rPr>
          <w:i/>
          <w:iCs/>
        </w:rPr>
        <w:t>Cancers</w:t>
      </w:r>
      <w:r w:rsidRPr="004C7B12">
        <w:t>, </w:t>
      </w:r>
      <w:r w:rsidRPr="004C7B12">
        <w:rPr>
          <w:i/>
          <w:iCs/>
        </w:rPr>
        <w:t>13</w:t>
      </w:r>
      <w:r w:rsidRPr="004C7B12">
        <w:t>(4), 798.</w:t>
      </w:r>
    </w:p>
    <w:p w14:paraId="4C3FFD5B" w14:textId="77777777" w:rsidR="004C7B12" w:rsidRPr="004C7B12" w:rsidRDefault="004C7B12" w:rsidP="004C7B12">
      <w:pPr>
        <w:pStyle w:val="Body"/>
        <w:numPr>
          <w:ilvl w:val="0"/>
          <w:numId w:val="31"/>
        </w:numPr>
        <w:spacing w:after="0"/>
      </w:pPr>
      <w:proofErr w:type="spellStart"/>
      <w:r w:rsidRPr="004C7B12">
        <w:t>Smrdel</w:t>
      </w:r>
      <w:proofErr w:type="spellEnd"/>
      <w:r w:rsidRPr="004C7B12">
        <w:t xml:space="preserve">, L., Locatelli, I., </w:t>
      </w:r>
      <w:proofErr w:type="spellStart"/>
      <w:r w:rsidRPr="004C7B12">
        <w:t>Zver</w:t>
      </w:r>
      <w:proofErr w:type="spellEnd"/>
      <w:r w:rsidRPr="004C7B12">
        <w:t xml:space="preserve">, S., &amp; </w:t>
      </w:r>
      <w:proofErr w:type="spellStart"/>
      <w:r w:rsidRPr="004C7B12">
        <w:t>Gobec</w:t>
      </w:r>
      <w:proofErr w:type="spellEnd"/>
      <w:r w:rsidRPr="004C7B12">
        <w:t>, M. (2024). A systematic review and meta-analysis of carfilzomib-associated thrombocytopenia as an adverse event in patients with multiple myeloma. </w:t>
      </w:r>
      <w:r w:rsidRPr="004C7B12">
        <w:rPr>
          <w:i/>
          <w:iCs/>
        </w:rPr>
        <w:t>Therapeutic advances in hematology</w:t>
      </w:r>
      <w:r w:rsidRPr="004C7B12">
        <w:t>, </w:t>
      </w:r>
      <w:r w:rsidRPr="004C7B12">
        <w:rPr>
          <w:i/>
          <w:iCs/>
        </w:rPr>
        <w:t>15</w:t>
      </w:r>
      <w:r w:rsidRPr="004C7B12">
        <w:t xml:space="preserve">, 20406207241292517. </w:t>
      </w:r>
      <w:hyperlink r:id="rId17" w:history="1">
        <w:r w:rsidRPr="004C7B12">
          <w:rPr>
            <w:rStyle w:val="Hyperlink"/>
          </w:rPr>
          <w:t>https://doi.org/10.1177/20406207241292517</w:t>
        </w:r>
      </w:hyperlink>
    </w:p>
    <w:p w14:paraId="4DE75A82" w14:textId="77777777" w:rsidR="004C7B12" w:rsidRPr="004C7B12" w:rsidRDefault="004C7B12" w:rsidP="004C7B12">
      <w:pPr>
        <w:pStyle w:val="Body"/>
        <w:numPr>
          <w:ilvl w:val="0"/>
          <w:numId w:val="31"/>
        </w:numPr>
        <w:spacing w:after="0"/>
      </w:pPr>
      <w:proofErr w:type="spellStart"/>
      <w:r w:rsidRPr="004C7B12">
        <w:t>Dimopoulos</w:t>
      </w:r>
      <w:proofErr w:type="spellEnd"/>
      <w:r w:rsidRPr="004C7B12">
        <w:t xml:space="preserve">, M. A., </w:t>
      </w:r>
      <w:proofErr w:type="spellStart"/>
      <w:r w:rsidRPr="004C7B12">
        <w:t>Hungria</w:t>
      </w:r>
      <w:proofErr w:type="spellEnd"/>
      <w:r w:rsidRPr="004C7B12">
        <w:t xml:space="preserve">, V. T. M., </w:t>
      </w:r>
      <w:proofErr w:type="spellStart"/>
      <w:r w:rsidRPr="004C7B12">
        <w:t>Radinoff</w:t>
      </w:r>
      <w:proofErr w:type="spellEnd"/>
      <w:r w:rsidRPr="004C7B12">
        <w:t xml:space="preserve">, A., </w:t>
      </w:r>
      <w:proofErr w:type="spellStart"/>
      <w:r w:rsidRPr="004C7B12">
        <w:t>Delimpasi</w:t>
      </w:r>
      <w:proofErr w:type="spellEnd"/>
      <w:r w:rsidRPr="004C7B12">
        <w:t xml:space="preserve">, S., Mikala, G., </w:t>
      </w:r>
      <w:proofErr w:type="spellStart"/>
      <w:r w:rsidRPr="004C7B12">
        <w:t>Masszi</w:t>
      </w:r>
      <w:proofErr w:type="spellEnd"/>
      <w:r w:rsidRPr="004C7B12">
        <w:t xml:space="preserve">, T., Li, J., Capra, M., </w:t>
      </w:r>
      <w:proofErr w:type="spellStart"/>
      <w:r w:rsidRPr="004C7B12">
        <w:t>Maiolino</w:t>
      </w:r>
      <w:proofErr w:type="spellEnd"/>
      <w:r w:rsidRPr="004C7B12">
        <w:t xml:space="preserve">, A., </w:t>
      </w:r>
      <w:proofErr w:type="spellStart"/>
      <w:r w:rsidRPr="004C7B12">
        <w:t>Pappa</w:t>
      </w:r>
      <w:proofErr w:type="spellEnd"/>
      <w:r w:rsidRPr="004C7B12">
        <w:t xml:space="preserve">, V., </w:t>
      </w:r>
      <w:proofErr w:type="spellStart"/>
      <w:r w:rsidRPr="004C7B12">
        <w:t>Chraniuk</w:t>
      </w:r>
      <w:proofErr w:type="spellEnd"/>
      <w:r w:rsidRPr="004C7B12">
        <w:t xml:space="preserve">, D., </w:t>
      </w:r>
      <w:proofErr w:type="spellStart"/>
      <w:r w:rsidRPr="004C7B12">
        <w:t>Osipov</w:t>
      </w:r>
      <w:proofErr w:type="spellEnd"/>
      <w:r w:rsidRPr="004C7B12">
        <w:t xml:space="preserve">, I., </w:t>
      </w:r>
      <w:proofErr w:type="spellStart"/>
      <w:r w:rsidRPr="004C7B12">
        <w:t>Leleu</w:t>
      </w:r>
      <w:proofErr w:type="spellEnd"/>
      <w:r w:rsidRPr="004C7B12">
        <w:t xml:space="preserve">, X., Low, M., Matsumoto, M., </w:t>
      </w:r>
      <w:proofErr w:type="spellStart"/>
      <w:r w:rsidRPr="004C7B12">
        <w:t>Sule</w:t>
      </w:r>
      <w:proofErr w:type="spellEnd"/>
      <w:r w:rsidRPr="004C7B12">
        <w:t xml:space="preserve">, N., Li, M., McKeown, A., He, W., Bright, S., … </w:t>
      </w:r>
      <w:proofErr w:type="spellStart"/>
      <w:r w:rsidRPr="004C7B12">
        <w:t>Weisel</w:t>
      </w:r>
      <w:proofErr w:type="spellEnd"/>
      <w:r w:rsidRPr="004C7B12">
        <w:t xml:space="preserve">, K. (2023). Efficacy and safety of single-agent </w:t>
      </w:r>
      <w:proofErr w:type="spellStart"/>
      <w:r w:rsidRPr="004C7B12">
        <w:t>belantamab</w:t>
      </w:r>
      <w:proofErr w:type="spellEnd"/>
      <w:r w:rsidRPr="004C7B12">
        <w:t xml:space="preserve"> </w:t>
      </w:r>
      <w:proofErr w:type="spellStart"/>
      <w:r w:rsidRPr="004C7B12">
        <w:t>mafodotin</w:t>
      </w:r>
      <w:proofErr w:type="spellEnd"/>
      <w:r w:rsidRPr="004C7B12">
        <w:t xml:space="preserve"> versus pomalidomide plus low-dose dexamethasone in patients with relapsed or refractory multiple myeloma (DREAMM-3): a phase 3, open-label, </w:t>
      </w:r>
      <w:proofErr w:type="spellStart"/>
      <w:r w:rsidRPr="004C7B12">
        <w:t>randomised</w:t>
      </w:r>
      <w:proofErr w:type="spellEnd"/>
      <w:r w:rsidRPr="004C7B12">
        <w:t xml:space="preserve"> study. </w:t>
      </w:r>
      <w:r w:rsidRPr="004C7B12">
        <w:rPr>
          <w:i/>
          <w:iCs/>
        </w:rPr>
        <w:t xml:space="preserve">The Lancet. </w:t>
      </w:r>
      <w:proofErr w:type="spellStart"/>
      <w:r w:rsidRPr="004C7B12">
        <w:rPr>
          <w:i/>
          <w:iCs/>
        </w:rPr>
        <w:t>Haematology</w:t>
      </w:r>
      <w:proofErr w:type="spellEnd"/>
      <w:r w:rsidRPr="004C7B12">
        <w:t>, </w:t>
      </w:r>
      <w:r w:rsidRPr="004C7B12">
        <w:rPr>
          <w:i/>
          <w:iCs/>
        </w:rPr>
        <w:t>10</w:t>
      </w:r>
      <w:r w:rsidRPr="004C7B12">
        <w:t xml:space="preserve">(10), e801–e812. </w:t>
      </w:r>
      <w:hyperlink r:id="rId18" w:history="1">
        <w:r w:rsidRPr="004C7B12">
          <w:rPr>
            <w:rStyle w:val="Hyperlink"/>
          </w:rPr>
          <w:t>https://doi.org/10.1016/S2352-3026(23)00243-0</w:t>
        </w:r>
      </w:hyperlink>
    </w:p>
    <w:p w14:paraId="3F880DE2" w14:textId="77777777" w:rsidR="004C7B12" w:rsidRPr="004C7B12" w:rsidRDefault="004C7B12" w:rsidP="004C7B12">
      <w:pPr>
        <w:pStyle w:val="Body"/>
        <w:numPr>
          <w:ilvl w:val="0"/>
          <w:numId w:val="31"/>
        </w:numPr>
        <w:spacing w:after="0"/>
      </w:pPr>
      <w:r w:rsidRPr="004C7B12">
        <w:t>Lu, R., Lin, Q., Chen, S., &amp; Ye, X. (2020). Chemotherapy-induced thrombocytopenia and platelet transfusion in patients with diffuse large B-cell lymphoma. </w:t>
      </w:r>
      <w:r w:rsidRPr="004C7B12">
        <w:rPr>
          <w:i/>
          <w:iCs/>
        </w:rPr>
        <w:t>Translational Cancer Research</w:t>
      </w:r>
      <w:r w:rsidRPr="004C7B12">
        <w:t>, </w:t>
      </w:r>
      <w:r w:rsidRPr="004C7B12">
        <w:rPr>
          <w:i/>
          <w:iCs/>
        </w:rPr>
        <w:t>9</w:t>
      </w:r>
      <w:r w:rsidRPr="004C7B12">
        <w:t>(3), 1640.</w:t>
      </w:r>
    </w:p>
    <w:p w14:paraId="61897D14" w14:textId="77777777" w:rsidR="004C7B12" w:rsidRPr="004C7B12" w:rsidRDefault="004C7B12" w:rsidP="004C7B12">
      <w:pPr>
        <w:pStyle w:val="Body"/>
        <w:numPr>
          <w:ilvl w:val="0"/>
          <w:numId w:val="31"/>
        </w:numPr>
        <w:spacing w:after="0"/>
      </w:pPr>
      <w:r w:rsidRPr="004C7B12">
        <w:t xml:space="preserve">Kassie, T. D., </w:t>
      </w:r>
      <w:proofErr w:type="spellStart"/>
      <w:r w:rsidRPr="004C7B12">
        <w:t>Yimenu</w:t>
      </w:r>
      <w:proofErr w:type="spellEnd"/>
      <w:r w:rsidRPr="004C7B12">
        <w:t xml:space="preserve">, B. W., </w:t>
      </w:r>
      <w:proofErr w:type="spellStart"/>
      <w:r w:rsidRPr="004C7B12">
        <w:t>Baye</w:t>
      </w:r>
      <w:proofErr w:type="spellEnd"/>
      <w:r w:rsidRPr="004C7B12">
        <w:t xml:space="preserve"> </w:t>
      </w:r>
      <w:proofErr w:type="spellStart"/>
      <w:r w:rsidRPr="004C7B12">
        <w:t>Temesgen</w:t>
      </w:r>
      <w:proofErr w:type="spellEnd"/>
      <w:r w:rsidRPr="004C7B12">
        <w:t xml:space="preserve">, G., </w:t>
      </w:r>
      <w:proofErr w:type="spellStart"/>
      <w:r w:rsidRPr="004C7B12">
        <w:t>Shimelash</w:t>
      </w:r>
      <w:proofErr w:type="spellEnd"/>
      <w:r w:rsidRPr="004C7B12">
        <w:t xml:space="preserve">, R. A., &amp; </w:t>
      </w:r>
      <w:proofErr w:type="spellStart"/>
      <w:r w:rsidRPr="004C7B12">
        <w:t>Abneh</w:t>
      </w:r>
      <w:proofErr w:type="spellEnd"/>
      <w:r w:rsidRPr="004C7B12">
        <w:t>, A. A. (2025). Differences in the count of blood cells pre-and post-chemotherapy in patients with cancer: a retrospective study (2022). </w:t>
      </w:r>
      <w:r w:rsidRPr="004C7B12">
        <w:rPr>
          <w:i/>
          <w:iCs/>
        </w:rPr>
        <w:t>Frontiers in Medicine</w:t>
      </w:r>
      <w:r w:rsidRPr="004C7B12">
        <w:t>, </w:t>
      </w:r>
      <w:r w:rsidRPr="004C7B12">
        <w:rPr>
          <w:i/>
          <w:iCs/>
        </w:rPr>
        <w:t>12</w:t>
      </w:r>
      <w:r w:rsidRPr="004C7B12">
        <w:t>, 1485676.</w:t>
      </w:r>
    </w:p>
    <w:p w14:paraId="72904A45" w14:textId="77777777" w:rsidR="004C7B12" w:rsidRPr="004C7B12" w:rsidRDefault="004C7B12" w:rsidP="004C7B12">
      <w:pPr>
        <w:pStyle w:val="Body"/>
        <w:numPr>
          <w:ilvl w:val="0"/>
          <w:numId w:val="31"/>
        </w:numPr>
        <w:spacing w:after="0"/>
      </w:pPr>
      <w:r w:rsidRPr="004C7B12">
        <w:t>Zapata-</w:t>
      </w:r>
      <w:proofErr w:type="spellStart"/>
      <w:r w:rsidRPr="004C7B12">
        <w:t>Tarrés</w:t>
      </w:r>
      <w:proofErr w:type="spellEnd"/>
      <w:r w:rsidRPr="004C7B12">
        <w:t xml:space="preserve">, M., </w:t>
      </w:r>
      <w:proofErr w:type="spellStart"/>
      <w:r w:rsidRPr="004C7B12">
        <w:t>Balandrán</w:t>
      </w:r>
      <w:proofErr w:type="spellEnd"/>
      <w:r w:rsidRPr="004C7B12">
        <w:t xml:space="preserve">, J. C., Rivera-Luna, R., &amp; </w:t>
      </w:r>
      <w:proofErr w:type="spellStart"/>
      <w:r w:rsidRPr="004C7B12">
        <w:t>Pelayo</w:t>
      </w:r>
      <w:proofErr w:type="spellEnd"/>
      <w:r w:rsidRPr="004C7B12">
        <w:t>, R. (2021). Childhood acute leukemias in developing nations: successes and challenges. </w:t>
      </w:r>
      <w:r w:rsidRPr="004C7B12">
        <w:rPr>
          <w:i/>
          <w:iCs/>
        </w:rPr>
        <w:t>Current Oncology Reports</w:t>
      </w:r>
      <w:r w:rsidRPr="004C7B12">
        <w:t>, </w:t>
      </w:r>
      <w:r w:rsidRPr="004C7B12">
        <w:rPr>
          <w:i/>
          <w:iCs/>
        </w:rPr>
        <w:t>23</w:t>
      </w:r>
      <w:r w:rsidRPr="004C7B12">
        <w:t>(5), 56.</w:t>
      </w:r>
    </w:p>
    <w:p w14:paraId="247E2963" w14:textId="77777777" w:rsidR="004C7B12" w:rsidRPr="004C7B12" w:rsidRDefault="004C7B12" w:rsidP="004C7B12">
      <w:pPr>
        <w:pStyle w:val="Body"/>
        <w:numPr>
          <w:ilvl w:val="0"/>
          <w:numId w:val="31"/>
        </w:numPr>
        <w:spacing w:after="0"/>
      </w:pPr>
      <w:r w:rsidRPr="004C7B12">
        <w:t xml:space="preserve">Mamo, W., </w:t>
      </w:r>
      <w:proofErr w:type="spellStart"/>
      <w:r w:rsidRPr="004C7B12">
        <w:t>Moges</w:t>
      </w:r>
      <w:proofErr w:type="spellEnd"/>
      <w:r w:rsidRPr="004C7B12">
        <w:t xml:space="preserve">, A., </w:t>
      </w:r>
      <w:proofErr w:type="spellStart"/>
      <w:r w:rsidRPr="004C7B12">
        <w:t>Yesuf</w:t>
      </w:r>
      <w:proofErr w:type="spellEnd"/>
      <w:r w:rsidRPr="004C7B12">
        <w:t xml:space="preserve">, S. A., </w:t>
      </w:r>
      <w:proofErr w:type="spellStart"/>
      <w:r w:rsidRPr="004C7B12">
        <w:t>Mohamedsaid</w:t>
      </w:r>
      <w:proofErr w:type="spellEnd"/>
      <w:r w:rsidRPr="004C7B12">
        <w:t xml:space="preserve">, A., &amp; </w:t>
      </w:r>
      <w:proofErr w:type="spellStart"/>
      <w:r w:rsidRPr="004C7B12">
        <w:t>Arega</w:t>
      </w:r>
      <w:proofErr w:type="spellEnd"/>
      <w:r w:rsidRPr="004C7B12">
        <w:t>, G. (2024). Treatment outcomes of pediatrics acute myeloid leukemia (AML) and associated factors in the country’s tertiary referral hospital, Ethiopia. </w:t>
      </w:r>
      <w:r w:rsidRPr="004C7B12">
        <w:rPr>
          <w:i/>
          <w:iCs/>
        </w:rPr>
        <w:t>BMC cancer</w:t>
      </w:r>
      <w:r w:rsidRPr="004C7B12">
        <w:t>, </w:t>
      </w:r>
      <w:r w:rsidRPr="004C7B12">
        <w:rPr>
          <w:i/>
          <w:iCs/>
        </w:rPr>
        <w:t>24</w:t>
      </w:r>
      <w:r w:rsidRPr="004C7B12">
        <w:t>(1), 640.</w:t>
      </w:r>
    </w:p>
    <w:p w14:paraId="0087B715" w14:textId="24E46062" w:rsidR="00B01FCD" w:rsidRPr="001C679D" w:rsidRDefault="004C7B12" w:rsidP="00441B6F">
      <w:pPr>
        <w:pStyle w:val="Body"/>
        <w:numPr>
          <w:ilvl w:val="0"/>
          <w:numId w:val="31"/>
        </w:numPr>
        <w:spacing w:after="0"/>
      </w:pPr>
      <w:proofErr w:type="spellStart"/>
      <w:r w:rsidRPr="004C7B12">
        <w:t>Obu</w:t>
      </w:r>
      <w:proofErr w:type="spellEnd"/>
      <w:r w:rsidRPr="004C7B12">
        <w:t xml:space="preserve">, S. I., </w:t>
      </w:r>
      <w:proofErr w:type="spellStart"/>
      <w:r w:rsidRPr="004C7B12">
        <w:t>Dibigbo</w:t>
      </w:r>
      <w:proofErr w:type="spellEnd"/>
      <w:r w:rsidRPr="004C7B12">
        <w:t>–</w:t>
      </w:r>
      <w:proofErr w:type="spellStart"/>
      <w:r w:rsidRPr="004C7B12">
        <w:t>Ibeaji</w:t>
      </w:r>
      <w:proofErr w:type="spellEnd"/>
      <w:r w:rsidRPr="004C7B12">
        <w:t xml:space="preserve">, N., </w:t>
      </w:r>
      <w:proofErr w:type="spellStart"/>
      <w:r w:rsidRPr="004C7B12">
        <w:t>Obu</w:t>
      </w:r>
      <w:proofErr w:type="spellEnd"/>
      <w:r w:rsidRPr="004C7B12">
        <w:t xml:space="preserve">, G. O., &amp; </w:t>
      </w:r>
      <w:proofErr w:type="spellStart"/>
      <w:r w:rsidRPr="004C7B12">
        <w:t>Ilikannu</w:t>
      </w:r>
      <w:proofErr w:type="spellEnd"/>
      <w:r w:rsidRPr="004C7B12">
        <w:t>, S. O. (2024). Diagnostic Challenges in Hematological Malignancies in Nigeria and their Impact on Treatment Outcome. </w:t>
      </w:r>
      <w:r w:rsidRPr="004C7B12">
        <w:rPr>
          <w:i/>
          <w:iCs/>
        </w:rPr>
        <w:t>International Blood Research &amp; Reviews</w:t>
      </w:r>
      <w:r w:rsidRPr="004C7B12">
        <w:t>, </w:t>
      </w:r>
      <w:r w:rsidRPr="004C7B12">
        <w:rPr>
          <w:i/>
          <w:iCs/>
        </w:rPr>
        <w:t>15</w:t>
      </w:r>
      <w:r w:rsidRPr="004C7B12">
        <w:t>(4), 8-15.</w:t>
      </w:r>
    </w:p>
    <w:sectPr w:rsidR="00B01FCD" w:rsidRPr="001C679D" w:rsidSect="007B46DC">
      <w:headerReference w:type="even" r:id="rId19"/>
      <w:headerReference w:type="default" r:id="rId20"/>
      <w:footerReference w:type="default" r:id="rId21"/>
      <w:headerReference w:type="first" r:id="rId2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03CD89" w14:textId="77777777" w:rsidR="00756F4A" w:rsidRDefault="00756F4A" w:rsidP="00C37E61">
      <w:r>
        <w:separator/>
      </w:r>
    </w:p>
  </w:endnote>
  <w:endnote w:type="continuationSeparator" w:id="0">
    <w:p w14:paraId="371917AC" w14:textId="77777777" w:rsidR="00756F4A" w:rsidRDefault="00756F4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E6E10" w14:textId="77777777" w:rsidR="00AE1CCC" w:rsidRDefault="00AE1C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FB9EE" w14:textId="77777777" w:rsidR="00AE1CCC" w:rsidRDefault="00AE1C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AE5C6" w14:textId="77777777" w:rsidR="009E048A" w:rsidRDefault="009E048A">
    <w:pPr>
      <w:pStyle w:val="Footer"/>
      <w:rPr>
        <w:rFonts w:ascii="Arial" w:hAnsi="Arial" w:cs="Arial"/>
        <w:sz w:val="16"/>
      </w:rPr>
    </w:pPr>
  </w:p>
  <w:p w14:paraId="3A4DA1DE"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F479053" w14:textId="77777777" w:rsidR="009E048A" w:rsidRDefault="009E048A">
    <w:pPr>
      <w:pStyle w:val="Footer"/>
      <w:rPr>
        <w:rFonts w:ascii="Arial" w:hAnsi="Arial" w:cs="Arial"/>
        <w:sz w:val="16"/>
      </w:rPr>
    </w:pPr>
  </w:p>
  <w:p w14:paraId="07788F5B"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93ED4"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4A5257" w14:textId="77777777" w:rsidR="00756F4A" w:rsidRDefault="00756F4A" w:rsidP="00C37E61">
      <w:r>
        <w:separator/>
      </w:r>
    </w:p>
  </w:footnote>
  <w:footnote w:type="continuationSeparator" w:id="0">
    <w:p w14:paraId="617E29BA" w14:textId="77777777" w:rsidR="00756F4A" w:rsidRDefault="00756F4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17EAD" w14:textId="2F6DFFF1" w:rsidR="00AE1CCC" w:rsidRDefault="00AE1CCC">
    <w:pPr>
      <w:pStyle w:val="Header"/>
    </w:pPr>
    <w:r>
      <w:rPr>
        <w:noProof/>
      </w:rPr>
      <w:pict w14:anchorId="141CC9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85891"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B15E3" w14:textId="35139D71" w:rsidR="00AE1CCC" w:rsidRDefault="00AE1CCC">
    <w:pPr>
      <w:pStyle w:val="Header"/>
    </w:pPr>
    <w:r>
      <w:rPr>
        <w:noProof/>
      </w:rPr>
      <w:pict w14:anchorId="4A4E33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85892"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0FCA2" w14:textId="6030676A" w:rsidR="00296529" w:rsidRPr="00296529" w:rsidRDefault="00AE1CCC" w:rsidP="00296529">
    <w:pPr>
      <w:ind w:left="2160"/>
      <w:jc w:val="center"/>
      <w:rPr>
        <w:rFonts w:ascii="Times New Roman" w:eastAsia="Calibri" w:hAnsi="Times New Roman"/>
        <w:i/>
        <w:sz w:val="18"/>
        <w:szCs w:val="22"/>
      </w:rPr>
    </w:pPr>
    <w:r>
      <w:rPr>
        <w:noProof/>
      </w:rPr>
      <w:pict w14:anchorId="397F35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85890"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7E8B1C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4F94B2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AC5F16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6CB30D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C1DB74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B0D9681"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CDE95" w14:textId="2A26AA88" w:rsidR="00AE1CCC" w:rsidRDefault="00AE1CCC">
    <w:pPr>
      <w:pStyle w:val="Header"/>
    </w:pPr>
    <w:r>
      <w:rPr>
        <w:noProof/>
      </w:rPr>
      <w:pict w14:anchorId="2D0EC1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85894"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A4895" w14:textId="522B8F96" w:rsidR="00AE1CCC" w:rsidRDefault="00AE1CCC">
    <w:pPr>
      <w:pStyle w:val="Header"/>
    </w:pPr>
    <w:r>
      <w:rPr>
        <w:noProof/>
      </w:rPr>
      <w:pict w14:anchorId="49FEE1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85895"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49587" w14:textId="3FF5E8F1" w:rsidR="00AE1CCC" w:rsidRDefault="00AE1CCC">
    <w:pPr>
      <w:pStyle w:val="Header"/>
    </w:pPr>
    <w:r>
      <w:rPr>
        <w:noProof/>
      </w:rPr>
      <w:pict w14:anchorId="4596A9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85893"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E7E2B94"/>
    <w:multiLevelType w:val="hybridMultilevel"/>
    <w:tmpl w:val="4590004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6E42"/>
    <w:rsid w:val="000E7B7B"/>
    <w:rsid w:val="000E7D62"/>
    <w:rsid w:val="00103357"/>
    <w:rsid w:val="00123C9F"/>
    <w:rsid w:val="00126190"/>
    <w:rsid w:val="00130F17"/>
    <w:rsid w:val="001320BF"/>
    <w:rsid w:val="00163BC4"/>
    <w:rsid w:val="00172310"/>
    <w:rsid w:val="0018207C"/>
    <w:rsid w:val="00191062"/>
    <w:rsid w:val="00192B72"/>
    <w:rsid w:val="001A29D8"/>
    <w:rsid w:val="001A5CAA"/>
    <w:rsid w:val="001B024E"/>
    <w:rsid w:val="001B0427"/>
    <w:rsid w:val="001B192A"/>
    <w:rsid w:val="001B74F4"/>
    <w:rsid w:val="001C679D"/>
    <w:rsid w:val="001D3A51"/>
    <w:rsid w:val="001E10D2"/>
    <w:rsid w:val="001E25B4"/>
    <w:rsid w:val="001E44FE"/>
    <w:rsid w:val="00200595"/>
    <w:rsid w:val="002046A6"/>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47F32"/>
    <w:rsid w:val="003512C2"/>
    <w:rsid w:val="00360D29"/>
    <w:rsid w:val="00371FB6"/>
    <w:rsid w:val="003763C1"/>
    <w:rsid w:val="00376BBE"/>
    <w:rsid w:val="0039139B"/>
    <w:rsid w:val="0039224F"/>
    <w:rsid w:val="003A43A4"/>
    <w:rsid w:val="003A7E18"/>
    <w:rsid w:val="003C4C86"/>
    <w:rsid w:val="003C6258"/>
    <w:rsid w:val="003E2904"/>
    <w:rsid w:val="003F7F59"/>
    <w:rsid w:val="00401927"/>
    <w:rsid w:val="0041027F"/>
    <w:rsid w:val="00412475"/>
    <w:rsid w:val="004224C4"/>
    <w:rsid w:val="00423789"/>
    <w:rsid w:val="00440F43"/>
    <w:rsid w:val="00441B6F"/>
    <w:rsid w:val="00446221"/>
    <w:rsid w:val="00450E62"/>
    <w:rsid w:val="004539DB"/>
    <w:rsid w:val="00471A80"/>
    <w:rsid w:val="004C7B12"/>
    <w:rsid w:val="004D305E"/>
    <w:rsid w:val="004D4277"/>
    <w:rsid w:val="00502516"/>
    <w:rsid w:val="00504CB5"/>
    <w:rsid w:val="00505F06"/>
    <w:rsid w:val="00506828"/>
    <w:rsid w:val="0053056E"/>
    <w:rsid w:val="00554FDA"/>
    <w:rsid w:val="005C0462"/>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5241"/>
    <w:rsid w:val="006967F7"/>
    <w:rsid w:val="006A250C"/>
    <w:rsid w:val="006B21D3"/>
    <w:rsid w:val="006B57D0"/>
    <w:rsid w:val="006D30FF"/>
    <w:rsid w:val="006D6940"/>
    <w:rsid w:val="006F11EC"/>
    <w:rsid w:val="0070082C"/>
    <w:rsid w:val="00727330"/>
    <w:rsid w:val="007369E6"/>
    <w:rsid w:val="00746E59"/>
    <w:rsid w:val="00753473"/>
    <w:rsid w:val="00754C9A"/>
    <w:rsid w:val="0075599A"/>
    <w:rsid w:val="00756F4A"/>
    <w:rsid w:val="00761D52"/>
    <w:rsid w:val="0077749E"/>
    <w:rsid w:val="00790ADA"/>
    <w:rsid w:val="007B46DC"/>
    <w:rsid w:val="007D2288"/>
    <w:rsid w:val="007D53DE"/>
    <w:rsid w:val="007E088F"/>
    <w:rsid w:val="007E3C9A"/>
    <w:rsid w:val="007F33A0"/>
    <w:rsid w:val="007F7B32"/>
    <w:rsid w:val="00804BC2"/>
    <w:rsid w:val="0081431A"/>
    <w:rsid w:val="0083216F"/>
    <w:rsid w:val="00834F2D"/>
    <w:rsid w:val="00860000"/>
    <w:rsid w:val="0086081A"/>
    <w:rsid w:val="00863BD3"/>
    <w:rsid w:val="008641ED"/>
    <w:rsid w:val="00866D66"/>
    <w:rsid w:val="008671C6"/>
    <w:rsid w:val="00875803"/>
    <w:rsid w:val="00895CAF"/>
    <w:rsid w:val="008B459E"/>
    <w:rsid w:val="008B7F77"/>
    <w:rsid w:val="008E13AE"/>
    <w:rsid w:val="008E1506"/>
    <w:rsid w:val="008E710C"/>
    <w:rsid w:val="008F69D6"/>
    <w:rsid w:val="00902823"/>
    <w:rsid w:val="00915CA6"/>
    <w:rsid w:val="00927834"/>
    <w:rsid w:val="0094188D"/>
    <w:rsid w:val="009500A6"/>
    <w:rsid w:val="0095658E"/>
    <w:rsid w:val="00957C18"/>
    <w:rsid w:val="009659BA"/>
    <w:rsid w:val="00983040"/>
    <w:rsid w:val="009944EF"/>
    <w:rsid w:val="009A34AC"/>
    <w:rsid w:val="009B378D"/>
    <w:rsid w:val="009B3FB9"/>
    <w:rsid w:val="009C2465"/>
    <w:rsid w:val="009D35A0"/>
    <w:rsid w:val="009D7EB7"/>
    <w:rsid w:val="009E048A"/>
    <w:rsid w:val="009E08E9"/>
    <w:rsid w:val="009E3DB9"/>
    <w:rsid w:val="009E46AC"/>
    <w:rsid w:val="009E6E35"/>
    <w:rsid w:val="009F0EDA"/>
    <w:rsid w:val="00A03B96"/>
    <w:rsid w:val="00A05B19"/>
    <w:rsid w:val="00A1134E"/>
    <w:rsid w:val="00A24E7E"/>
    <w:rsid w:val="00A258C3"/>
    <w:rsid w:val="00A347C0"/>
    <w:rsid w:val="00A51431"/>
    <w:rsid w:val="00A539AD"/>
    <w:rsid w:val="00A65E5F"/>
    <w:rsid w:val="00A85CB1"/>
    <w:rsid w:val="00A94063"/>
    <w:rsid w:val="00A94816"/>
    <w:rsid w:val="00AA6219"/>
    <w:rsid w:val="00AA74E0"/>
    <w:rsid w:val="00AB703F"/>
    <w:rsid w:val="00AC6BB8"/>
    <w:rsid w:val="00AE008F"/>
    <w:rsid w:val="00AE1CCC"/>
    <w:rsid w:val="00AF01D8"/>
    <w:rsid w:val="00B01FCD"/>
    <w:rsid w:val="00B1776C"/>
    <w:rsid w:val="00B23FA5"/>
    <w:rsid w:val="00B52583"/>
    <w:rsid w:val="00B52896"/>
    <w:rsid w:val="00B83825"/>
    <w:rsid w:val="00B95236"/>
    <w:rsid w:val="00B96BD9"/>
    <w:rsid w:val="00BA1B01"/>
    <w:rsid w:val="00BA2641"/>
    <w:rsid w:val="00BB37AA"/>
    <w:rsid w:val="00BC53A0"/>
    <w:rsid w:val="00BD453C"/>
    <w:rsid w:val="00BD59D8"/>
    <w:rsid w:val="00BE62AD"/>
    <w:rsid w:val="00BF121F"/>
    <w:rsid w:val="00BF1F80"/>
    <w:rsid w:val="00C15818"/>
    <w:rsid w:val="00C166EF"/>
    <w:rsid w:val="00C17EB0"/>
    <w:rsid w:val="00C27F5F"/>
    <w:rsid w:val="00C30A0F"/>
    <w:rsid w:val="00C37E61"/>
    <w:rsid w:val="00C70F1B"/>
    <w:rsid w:val="00C71A47"/>
    <w:rsid w:val="00C7464C"/>
    <w:rsid w:val="00C77701"/>
    <w:rsid w:val="00C85588"/>
    <w:rsid w:val="00CB122A"/>
    <w:rsid w:val="00CB384F"/>
    <w:rsid w:val="00CD6755"/>
    <w:rsid w:val="00CD6856"/>
    <w:rsid w:val="00CE0089"/>
    <w:rsid w:val="00CE08A6"/>
    <w:rsid w:val="00CE793C"/>
    <w:rsid w:val="00CF193C"/>
    <w:rsid w:val="00D173F1"/>
    <w:rsid w:val="00D74CB0"/>
    <w:rsid w:val="00D8295D"/>
    <w:rsid w:val="00D94B3B"/>
    <w:rsid w:val="00DC2A65"/>
    <w:rsid w:val="00DE15F0"/>
    <w:rsid w:val="00DE5663"/>
    <w:rsid w:val="00DE78AA"/>
    <w:rsid w:val="00E053D0"/>
    <w:rsid w:val="00E15994"/>
    <w:rsid w:val="00E21915"/>
    <w:rsid w:val="00E3114E"/>
    <w:rsid w:val="00E31A70"/>
    <w:rsid w:val="00E327E9"/>
    <w:rsid w:val="00E35B02"/>
    <w:rsid w:val="00E66496"/>
    <w:rsid w:val="00E66B35"/>
    <w:rsid w:val="00E66E10"/>
    <w:rsid w:val="00E769F6"/>
    <w:rsid w:val="00E8407C"/>
    <w:rsid w:val="00E84F3C"/>
    <w:rsid w:val="00EA012C"/>
    <w:rsid w:val="00EC6A55"/>
    <w:rsid w:val="00ED0288"/>
    <w:rsid w:val="00ED5A73"/>
    <w:rsid w:val="00EE52CB"/>
    <w:rsid w:val="00EF581D"/>
    <w:rsid w:val="00EF7FD8"/>
    <w:rsid w:val="00F06F59"/>
    <w:rsid w:val="00F13999"/>
    <w:rsid w:val="00F17988"/>
    <w:rsid w:val="00F469F0"/>
    <w:rsid w:val="00F53273"/>
    <w:rsid w:val="00F62AE0"/>
    <w:rsid w:val="00F755E4"/>
    <w:rsid w:val="00F77D02"/>
    <w:rsid w:val="00F819DB"/>
    <w:rsid w:val="00F959EB"/>
    <w:rsid w:val="00FA7F6D"/>
    <w:rsid w:val="00FB3A86"/>
    <w:rsid w:val="00FC1A9C"/>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63B8AFE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016/S2352-3026(23)00243-0"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177/20406207241292517" TargetMode="Externa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embeddings/oleObject3.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spPr>
            <a:solidFill>
              <a:schemeClr val="accent1"/>
            </a:solidFill>
            <a:ln>
              <a:noFill/>
            </a:ln>
            <a:effectLst/>
          </c:spPr>
          <c:invertIfNegative val="0"/>
          <c:dLbls>
            <c:dLbl>
              <c:idx val="0"/>
              <c:tx>
                <c:rich>
                  <a:bodyPr/>
                  <a:lstStyle/>
                  <a:p>
                    <a:fld id="{4D9CFBA9-FCF2-4F70-BAB3-79867003F082}" type="VALUE">
                      <a:rPr lang="en-US"/>
                      <a:pPr/>
                      <a:t>[VALUE]</a:t>
                    </a:fld>
                    <a:r>
                      <a:rPr lang="en-US"/>
                      <a:t> (2.8%)</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79B4-4FF9-A200-D15CDE2CE6F2}"/>
                </c:ext>
              </c:extLst>
            </c:dLbl>
            <c:dLbl>
              <c:idx val="1"/>
              <c:tx>
                <c:rich>
                  <a:bodyPr/>
                  <a:lstStyle/>
                  <a:p>
                    <a:fld id="{B91B03EE-07F3-4421-A143-4CA763567132}" type="VALUE">
                      <a:rPr lang="en-US"/>
                      <a:pPr/>
                      <a:t>[VALUE]</a:t>
                    </a:fld>
                    <a:r>
                      <a:rPr lang="en-US"/>
                      <a:t> (4.2%)</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79B4-4FF9-A200-D15CDE2CE6F2}"/>
                </c:ext>
              </c:extLst>
            </c:dLbl>
            <c:dLbl>
              <c:idx val="2"/>
              <c:tx>
                <c:rich>
                  <a:bodyPr/>
                  <a:lstStyle/>
                  <a:p>
                    <a:fld id="{6B65F02E-066C-4FDA-A96C-D51327787819}" type="VALUE">
                      <a:rPr lang="en-US"/>
                      <a:pPr/>
                      <a:t>[VALUE]</a:t>
                    </a:fld>
                    <a:r>
                      <a:rPr lang="en-US"/>
                      <a:t> (5.6%)</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79B4-4FF9-A200-D15CDE2CE6F2}"/>
                </c:ext>
              </c:extLst>
            </c:dLbl>
            <c:dLbl>
              <c:idx val="3"/>
              <c:tx>
                <c:rich>
                  <a:bodyPr/>
                  <a:lstStyle/>
                  <a:p>
                    <a:fld id="{D4C39E18-E556-49A7-A816-BE4085F0842C}" type="VALUE">
                      <a:rPr lang="en-US"/>
                      <a:pPr/>
                      <a:t>[VALUE]</a:t>
                    </a:fld>
                    <a:r>
                      <a:rPr lang="en-US"/>
                      <a:t> (27.8%)</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79B4-4FF9-A200-D15CDE2CE6F2}"/>
                </c:ext>
              </c:extLst>
            </c:dLbl>
            <c:dLbl>
              <c:idx val="4"/>
              <c:layout>
                <c:manualLayout>
                  <c:x val="-5.9282679577116887E-3"/>
                  <c:y val="-9.6617406519838075E-3"/>
                </c:manualLayout>
              </c:layout>
              <c:tx>
                <c:rich>
                  <a:bodyPr/>
                  <a:lstStyle/>
                  <a:p>
                    <a:fld id="{E7FF2519-CE2A-461F-ABEC-2AE72A5E7E48}" type="VALUE">
                      <a:rPr lang="en-US"/>
                      <a:pPr/>
                      <a:t>[VALUE]</a:t>
                    </a:fld>
                    <a:r>
                      <a:rPr lang="en-US"/>
                      <a:t> (1.4%)</a:t>
                    </a:r>
                  </a:p>
                </c:rich>
              </c:tx>
              <c:dLblPos val="outEnd"/>
              <c:showLegendKey val="0"/>
              <c:showVal val="1"/>
              <c:showCatName val="0"/>
              <c:showSerName val="0"/>
              <c:showPercent val="0"/>
              <c:showBubbleSize val="0"/>
              <c:extLst>
                <c:ext xmlns:c15="http://schemas.microsoft.com/office/drawing/2012/chart" uri="{CE6537A1-D6FC-4f65-9D91-7224C49458BB}">
                  <c15:layout>
                    <c:manualLayout>
                      <c:w val="0.13042189506965715"/>
                      <c:h val="4.6135265700483083E-2"/>
                    </c:manualLayout>
                  </c15:layout>
                  <c15:dlblFieldTable/>
                  <c15:showDataLabelsRange val="0"/>
                </c:ext>
                <c:ext xmlns:c16="http://schemas.microsoft.com/office/drawing/2014/chart" uri="{C3380CC4-5D6E-409C-BE32-E72D297353CC}">
                  <c16:uniqueId val="{00000004-79B4-4FF9-A200-D15CDE2CE6F2}"/>
                </c:ext>
              </c:extLst>
            </c:dLbl>
            <c:dLbl>
              <c:idx val="5"/>
              <c:tx>
                <c:rich>
                  <a:bodyPr/>
                  <a:lstStyle/>
                  <a:p>
                    <a:fld id="{C6DC2854-B1BA-499B-B4C3-6110CBCD703A}" type="VALUE">
                      <a:rPr lang="en-US"/>
                      <a:pPr/>
                      <a:t>[VALUE]</a:t>
                    </a:fld>
                    <a:r>
                      <a:rPr lang="en-US"/>
                      <a:t> (11.1%)</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79B4-4FF9-A200-D15CDE2CE6F2}"/>
                </c:ext>
              </c:extLst>
            </c:dLbl>
            <c:dLbl>
              <c:idx val="6"/>
              <c:tx>
                <c:rich>
                  <a:bodyPr/>
                  <a:lstStyle/>
                  <a:p>
                    <a:fld id="{17680854-CDF6-4234-B010-F001ACFD56B9}" type="VALUE">
                      <a:rPr lang="en-US"/>
                      <a:pPr/>
                      <a:t>[VALUE]</a:t>
                    </a:fld>
                    <a:r>
                      <a:rPr lang="en-US"/>
                      <a:t> (1.4%)</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79B4-4FF9-A200-D15CDE2CE6F2}"/>
                </c:ext>
              </c:extLst>
            </c:dLbl>
            <c:dLbl>
              <c:idx val="7"/>
              <c:tx>
                <c:rich>
                  <a:bodyPr/>
                  <a:lstStyle/>
                  <a:p>
                    <a:fld id="{D415E4BA-2533-433A-910B-718A14F8BD7F}" type="VALUE">
                      <a:rPr lang="en-US"/>
                      <a:pPr/>
                      <a:t>[VALUE]</a:t>
                    </a:fld>
                    <a:r>
                      <a:rPr lang="en-US"/>
                      <a:t> (23.6%)</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79B4-4FF9-A200-D15CDE2CE6F2}"/>
                </c:ext>
              </c:extLst>
            </c:dLbl>
            <c:dLbl>
              <c:idx val="8"/>
              <c:tx>
                <c:rich>
                  <a:bodyPr/>
                  <a:lstStyle/>
                  <a:p>
                    <a:fld id="{57514C18-7E2B-4A0A-8594-92E75B2406A4}" type="VALUE">
                      <a:rPr lang="en-US"/>
                      <a:pPr/>
                      <a:t>[VALUE]</a:t>
                    </a:fld>
                    <a:r>
                      <a:rPr lang="en-US"/>
                      <a:t> (20.8%</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79B4-4FF9-A200-D15CDE2CE6F2}"/>
                </c:ext>
              </c:extLst>
            </c:dLbl>
            <c:dLbl>
              <c:idx val="9"/>
              <c:tx>
                <c:rich>
                  <a:bodyPr/>
                  <a:lstStyle/>
                  <a:p>
                    <a:fld id="{C8663968-84F9-43B0-B17D-1E70216C2B69}" type="VALUE">
                      <a:rPr lang="en-US"/>
                      <a:pPr/>
                      <a:t>[VALUE]</a:t>
                    </a:fld>
                    <a:r>
                      <a:rPr lang="en-US"/>
                      <a:t> (1.4%)</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79B4-4FF9-A200-D15CDE2CE6F2}"/>
                </c:ext>
              </c:extLst>
            </c:dLbl>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Sheet1!$B$2:$B$11</c:f>
              <c:strCache>
                <c:ptCount val="10"/>
                <c:pt idx="0">
                  <c:v>ALL</c:v>
                </c:pt>
                <c:pt idx="1">
                  <c:v>AML</c:v>
                </c:pt>
                <c:pt idx="2">
                  <c:v>CLL</c:v>
                </c:pt>
                <c:pt idx="3">
                  <c:v>CML</c:v>
                </c:pt>
                <c:pt idx="4">
                  <c:v>DLBCL</c:v>
                </c:pt>
                <c:pt idx="5">
                  <c:v>HL</c:v>
                </c:pt>
                <c:pt idx="6">
                  <c:v>MDN</c:v>
                </c:pt>
                <c:pt idx="7">
                  <c:v>MM</c:v>
                </c:pt>
                <c:pt idx="8">
                  <c:v>NHL</c:v>
                </c:pt>
                <c:pt idx="9">
                  <c:v>SLL/FL</c:v>
                </c:pt>
              </c:strCache>
            </c:strRef>
          </c:cat>
          <c:val>
            <c:numRef>
              <c:f>Sheet1!$C$2:$C$11</c:f>
              <c:numCache>
                <c:formatCode>General</c:formatCode>
                <c:ptCount val="10"/>
                <c:pt idx="0">
                  <c:v>2</c:v>
                </c:pt>
                <c:pt idx="1">
                  <c:v>3</c:v>
                </c:pt>
                <c:pt idx="2">
                  <c:v>4</c:v>
                </c:pt>
                <c:pt idx="3">
                  <c:v>20</c:v>
                </c:pt>
                <c:pt idx="4">
                  <c:v>1</c:v>
                </c:pt>
                <c:pt idx="5">
                  <c:v>8</c:v>
                </c:pt>
                <c:pt idx="6">
                  <c:v>1</c:v>
                </c:pt>
                <c:pt idx="7">
                  <c:v>17</c:v>
                </c:pt>
                <c:pt idx="8">
                  <c:v>15</c:v>
                </c:pt>
                <c:pt idx="9">
                  <c:v>1</c:v>
                </c:pt>
              </c:numCache>
            </c:numRef>
          </c:val>
          <c:extLst>
            <c:ext xmlns:c16="http://schemas.microsoft.com/office/drawing/2014/chart" uri="{C3380CC4-5D6E-409C-BE32-E72D297353CC}">
              <c16:uniqueId val="{0000000A-79B4-4FF9-A200-D15CDE2CE6F2}"/>
            </c:ext>
          </c:extLst>
        </c:ser>
        <c:dLbls>
          <c:dLblPos val="outEnd"/>
          <c:showLegendKey val="0"/>
          <c:showVal val="1"/>
          <c:showCatName val="0"/>
          <c:showSerName val="0"/>
          <c:showPercent val="0"/>
          <c:showBubbleSize val="0"/>
        </c:dLbls>
        <c:gapWidth val="182"/>
        <c:axId val="1297943615"/>
        <c:axId val="1297363007"/>
      </c:barChart>
      <c:catAx>
        <c:axId val="1297943615"/>
        <c:scaling>
          <c:orientation val="minMax"/>
        </c:scaling>
        <c:delete val="0"/>
        <c:axPos val="l"/>
        <c:title>
          <c:tx>
            <c:rich>
              <a:bodyPr rot="-540000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Type</a:t>
                </a:r>
                <a:r>
                  <a:rPr lang="en-US" baseline="0"/>
                  <a:t> of cancer</a:t>
                </a:r>
                <a:endParaRPr lang="en-US"/>
              </a:p>
            </c:rich>
          </c:tx>
          <c:overlay val="0"/>
          <c:spPr>
            <a:noFill/>
            <a:ln>
              <a:noFill/>
            </a:ln>
            <a:effectLst/>
          </c:spPr>
          <c:txPr>
            <a:bodyPr rot="-540000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297363007"/>
        <c:crosses val="autoZero"/>
        <c:auto val="1"/>
        <c:lblAlgn val="ctr"/>
        <c:lblOffset val="100"/>
        <c:noMultiLvlLbl val="0"/>
      </c:catAx>
      <c:valAx>
        <c:axId val="1297363007"/>
        <c:scaling>
          <c:orientation val="minMax"/>
        </c:scaling>
        <c:delete val="0"/>
        <c:axPos val="b"/>
        <c:title>
          <c:tx>
            <c:rich>
              <a:bodyPr rot="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Frequency</a:t>
                </a:r>
              </a:p>
            </c:rich>
          </c:tx>
          <c:layout>
            <c:manualLayout>
              <c:xMode val="edge"/>
              <c:yMode val="edge"/>
              <c:x val="0.35558892847697515"/>
              <c:y val="0.91270580925753342"/>
            </c:manualLayout>
          </c:layout>
          <c:overlay val="0"/>
          <c:spPr>
            <a:noFill/>
            <a:ln>
              <a:noFill/>
            </a:ln>
            <a:effectLst/>
          </c:spPr>
          <c:txPr>
            <a:bodyPr rot="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29794361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rgbClr val="C00000"/>
      </a:solidFill>
      <a:round/>
    </a:ln>
    <a:effectLst/>
  </c:spPr>
  <c:txPr>
    <a:bodyPr/>
    <a:lstStyle/>
    <a:p>
      <a:pPr>
        <a:defRPr sz="14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explosion val="3"/>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35C-452A-8B05-AD7950F258EB}"/>
              </c:ext>
            </c:extLst>
          </c:dPt>
          <c:dPt>
            <c:idx val="1"/>
            <c:bubble3D val="0"/>
            <c:spPr>
              <a:solidFill>
                <a:srgbClr val="C00000"/>
              </a:solidFill>
              <a:ln w="19050">
                <a:solidFill>
                  <a:schemeClr val="lt1"/>
                </a:solidFill>
              </a:ln>
              <a:effectLst/>
            </c:spPr>
            <c:extLst>
              <c:ext xmlns:c16="http://schemas.microsoft.com/office/drawing/2014/chart" uri="{C3380CC4-5D6E-409C-BE32-E72D297353CC}">
                <c16:uniqueId val="{00000003-335C-452A-8B05-AD7950F258EB}"/>
              </c:ext>
            </c:extLst>
          </c:dPt>
          <c:dLbls>
            <c:dLbl>
              <c:idx val="0"/>
              <c:tx>
                <c:rich>
                  <a:bodyPr/>
                  <a:lstStyle/>
                  <a:p>
                    <a:fld id="{DE256E9C-0344-4FA2-A3D7-EB42B750CA43}" type="VALUE">
                      <a:rPr lang="en-US"/>
                      <a:pPr/>
                      <a:t>[VALUE]</a:t>
                    </a:fld>
                    <a:r>
                      <a:rPr lang="en-US"/>
                      <a:t> (69.4%)</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335C-452A-8B05-AD7950F258EB}"/>
                </c:ext>
              </c:extLst>
            </c:dLbl>
            <c:dLbl>
              <c:idx val="1"/>
              <c:tx>
                <c:rich>
                  <a:bodyPr/>
                  <a:lstStyle/>
                  <a:p>
                    <a:fld id="{A9032DE7-195B-4633-A04B-C1148226C569}" type="VALUE">
                      <a:rPr lang="en-US"/>
                      <a:pPr/>
                      <a:t>[VALUE]</a:t>
                    </a:fld>
                    <a:r>
                      <a:rPr lang="en-US"/>
                      <a:t> (30.6%)</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335C-452A-8B05-AD7950F258EB}"/>
                </c:ext>
              </c:extLst>
            </c:dLbl>
            <c:spPr>
              <a:noFill/>
              <a:ln>
                <a:noFill/>
              </a:ln>
              <a:effectLst/>
            </c:spPr>
            <c:txPr>
              <a:bodyPr rot="0" spcFirstLastPara="1" vertOverflow="ellipsis" vert="horz" wrap="square" anchor="ctr" anchorCtr="1"/>
              <a:lstStyle/>
              <a:p>
                <a:pPr>
                  <a:defRPr sz="14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Sheet2!$A$3:$A$4</c:f>
              <c:strCache>
                <c:ptCount val="2"/>
                <c:pt idx="0">
                  <c:v>Yes</c:v>
                </c:pt>
                <c:pt idx="1">
                  <c:v>No</c:v>
                </c:pt>
              </c:strCache>
            </c:strRef>
          </c:cat>
          <c:val>
            <c:numRef>
              <c:f>Sheet2!$B$3:$B$4</c:f>
              <c:numCache>
                <c:formatCode>General</c:formatCode>
                <c:ptCount val="2"/>
                <c:pt idx="0">
                  <c:v>50</c:v>
                </c:pt>
                <c:pt idx="1">
                  <c:v>22</c:v>
                </c:pt>
              </c:numCache>
            </c:numRef>
          </c:val>
          <c:extLst>
            <c:ext xmlns:c16="http://schemas.microsoft.com/office/drawing/2014/chart" uri="{C3380CC4-5D6E-409C-BE32-E72D297353CC}">
              <c16:uniqueId val="{00000004-335C-452A-8B05-AD7950F258EB}"/>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4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rgbClr val="00B050"/>
      </a:solidFill>
      <a:round/>
    </a:ln>
    <a:effectLst/>
  </c:spPr>
  <c:txPr>
    <a:bodyPr/>
    <a:lstStyle/>
    <a:p>
      <a:pPr>
        <a:defRPr sz="1400" b="1">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C00000"/>
            </a:solidFill>
            <a:ln>
              <a:noFill/>
            </a:ln>
            <a:effectLst/>
          </c:spPr>
          <c:invertIfNegative val="0"/>
          <c:dLbls>
            <c:dLbl>
              <c:idx val="0"/>
              <c:tx>
                <c:rich>
                  <a:bodyPr/>
                  <a:lstStyle/>
                  <a:p>
                    <a:fld id="{F2551EC9-D1F6-49D6-B309-7E3AF87D108A}" type="VALUE">
                      <a:rPr lang="en-US"/>
                      <a:pPr/>
                      <a:t>[VALUE]</a:t>
                    </a:fld>
                    <a:r>
                      <a:rPr lang="en-US"/>
                      <a:t> (26.0%)</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1600-445E-8D57-1C68C22A2087}"/>
                </c:ext>
              </c:extLst>
            </c:dLbl>
            <c:dLbl>
              <c:idx val="1"/>
              <c:tx>
                <c:rich>
                  <a:bodyPr/>
                  <a:lstStyle/>
                  <a:p>
                    <a:fld id="{7BAF0ACD-6556-4313-B683-15845A426646}" type="VALUE">
                      <a:rPr lang="en-US"/>
                      <a:pPr/>
                      <a:t>[VALUE]</a:t>
                    </a:fld>
                    <a:r>
                      <a:rPr lang="en-US"/>
                      <a:t> (74.0%)</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1600-445E-8D57-1C68C22A2087}"/>
                </c:ext>
              </c:extLst>
            </c:dLbl>
            <c:spPr>
              <a:noFill/>
              <a:ln>
                <a:noFill/>
              </a:ln>
              <a:effectLst/>
            </c:spPr>
            <c:txPr>
              <a:bodyPr rot="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Sheet3!$B$2:$B$3</c:f>
              <c:strCache>
                <c:ptCount val="2"/>
                <c:pt idx="0">
                  <c:v>Yes</c:v>
                </c:pt>
                <c:pt idx="1">
                  <c:v>No</c:v>
                </c:pt>
              </c:strCache>
            </c:strRef>
          </c:cat>
          <c:val>
            <c:numRef>
              <c:f>Sheet3!$C$2:$C$3</c:f>
              <c:numCache>
                <c:formatCode>General</c:formatCode>
                <c:ptCount val="2"/>
                <c:pt idx="0">
                  <c:v>13</c:v>
                </c:pt>
                <c:pt idx="1">
                  <c:v>37</c:v>
                </c:pt>
              </c:numCache>
            </c:numRef>
          </c:val>
          <c:extLst>
            <c:ext xmlns:c16="http://schemas.microsoft.com/office/drawing/2014/chart" uri="{C3380CC4-5D6E-409C-BE32-E72D297353CC}">
              <c16:uniqueId val="{00000002-1600-445E-8D57-1C68C22A2087}"/>
            </c:ext>
          </c:extLst>
        </c:ser>
        <c:dLbls>
          <c:dLblPos val="outEnd"/>
          <c:showLegendKey val="0"/>
          <c:showVal val="1"/>
          <c:showCatName val="0"/>
          <c:showSerName val="0"/>
          <c:showPercent val="0"/>
          <c:showBubbleSize val="0"/>
        </c:dLbls>
        <c:gapWidth val="219"/>
        <c:overlap val="-27"/>
        <c:axId val="46315119"/>
        <c:axId val="36963903"/>
      </c:barChart>
      <c:catAx>
        <c:axId val="4631511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6963903"/>
        <c:crosses val="autoZero"/>
        <c:auto val="1"/>
        <c:lblAlgn val="ctr"/>
        <c:lblOffset val="100"/>
        <c:noMultiLvlLbl val="0"/>
      </c:catAx>
      <c:valAx>
        <c:axId val="36963903"/>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631511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rgbClr val="C00000"/>
      </a:solidFill>
      <a:round/>
    </a:ln>
    <a:effectLst/>
  </c:spPr>
  <c:txPr>
    <a:bodyPr/>
    <a:lstStyle/>
    <a:p>
      <a:pPr>
        <a:defRPr sz="14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AF4B2B-B32A-4B3D-A8EC-AB2D49025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72</TotalTime>
  <Pages>9</Pages>
  <Words>3170</Words>
  <Characters>18071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21199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27</cp:revision>
  <cp:lastPrinted>1999-07-06T11:00:00Z</cp:lastPrinted>
  <dcterms:created xsi:type="dcterms:W3CDTF">2014-10-25T14:34:00Z</dcterms:created>
  <dcterms:modified xsi:type="dcterms:W3CDTF">2025-08-28T07:16:00Z</dcterms:modified>
</cp:coreProperties>
</file>