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E4D0" w14:textId="15E03C10" w:rsidR="001A40F5" w:rsidRDefault="00D16E37" w:rsidP="00D16E37">
      <w:pPr>
        <w:pStyle w:val="Title"/>
        <w:spacing w:after="0"/>
        <w:jc w:val="left"/>
        <w:rPr>
          <w:rFonts w:ascii="Arial" w:hAnsi="Arial" w:cs="Arial"/>
          <w:u w:val="single"/>
        </w:rPr>
      </w:pPr>
      <w:r w:rsidRPr="00D16E37">
        <w:rPr>
          <w:rFonts w:ascii="Arial" w:hAnsi="Arial" w:cs="Arial"/>
          <w:u w:val="single"/>
        </w:rPr>
        <w:t>Original Research Article</w:t>
      </w:r>
    </w:p>
    <w:p w14:paraId="75AC577B" w14:textId="77777777" w:rsidR="00D16E37" w:rsidRPr="00D16E37" w:rsidRDefault="00D16E37" w:rsidP="00D16E37">
      <w:pPr>
        <w:pStyle w:val="Title"/>
        <w:spacing w:after="0"/>
        <w:jc w:val="left"/>
        <w:rPr>
          <w:rFonts w:ascii="Arial" w:hAnsi="Arial" w:cs="Arial"/>
          <w:u w:val="single"/>
        </w:rPr>
      </w:pPr>
    </w:p>
    <w:p w14:paraId="74F6D534" w14:textId="77777777" w:rsidR="001A40F5" w:rsidRDefault="0098377F">
      <w:pPr>
        <w:pStyle w:val="Author"/>
        <w:spacing w:line="240" w:lineRule="auto"/>
        <w:rPr>
          <w:rFonts w:ascii="Arial" w:hAnsi="Arial" w:cs="Arial"/>
          <w:bCs/>
          <w:iCs/>
          <w:kern w:val="28"/>
          <w:sz w:val="36"/>
          <w:lang w:val="en-GB"/>
        </w:rPr>
      </w:pPr>
      <w:bookmarkStart w:id="0" w:name="_Hlk207572173"/>
      <w:r>
        <w:rPr>
          <w:rFonts w:ascii="Arial" w:hAnsi="Arial" w:cs="Arial"/>
          <w:bCs/>
          <w:iCs/>
          <w:kern w:val="28"/>
          <w:sz w:val="36"/>
          <w:lang w:val="en-GB"/>
        </w:rPr>
        <w:t xml:space="preserve">Distribution and Regression of Body Mass Index (BMI) in Association with Diabetes and Hypertension Comorbidity of Patients in the Buea Health District, Cameroon </w:t>
      </w:r>
    </w:p>
    <w:bookmarkEnd w:id="0"/>
    <w:p w14:paraId="3C5E1D55" w14:textId="77777777" w:rsidR="001A40F5" w:rsidRDefault="001A40F5">
      <w:pPr>
        <w:pStyle w:val="Author"/>
        <w:spacing w:line="240" w:lineRule="auto"/>
        <w:jc w:val="both"/>
        <w:rPr>
          <w:rFonts w:ascii="Arial" w:hAnsi="Arial" w:cs="Arial"/>
          <w:sz w:val="36"/>
        </w:rPr>
      </w:pPr>
    </w:p>
    <w:p w14:paraId="08C6E679" w14:textId="77777777" w:rsidR="001A40F5" w:rsidRDefault="001A40F5">
      <w:pPr>
        <w:pStyle w:val="Affiliation"/>
        <w:spacing w:after="0" w:line="240" w:lineRule="auto"/>
        <w:rPr>
          <w:rFonts w:ascii="Arial" w:hAnsi="Arial" w:cs="Arial"/>
          <w:i/>
        </w:rPr>
      </w:pPr>
    </w:p>
    <w:p w14:paraId="5184659B" w14:textId="77777777" w:rsidR="001A40F5" w:rsidRDefault="001A40F5">
      <w:pPr>
        <w:pStyle w:val="Affiliation"/>
        <w:spacing w:after="0" w:line="240" w:lineRule="auto"/>
        <w:jc w:val="both"/>
        <w:rPr>
          <w:rFonts w:ascii="Arial" w:hAnsi="Arial" w:cs="Arial"/>
        </w:rPr>
      </w:pPr>
    </w:p>
    <w:p w14:paraId="5F3AC73E" w14:textId="77777777" w:rsidR="001A40F5" w:rsidRDefault="001A40F5">
      <w:pPr>
        <w:pStyle w:val="Affiliation"/>
        <w:spacing w:after="0" w:line="240" w:lineRule="auto"/>
        <w:jc w:val="both"/>
        <w:rPr>
          <w:rFonts w:ascii="Arial" w:hAnsi="Arial" w:cs="Arial"/>
        </w:rPr>
      </w:pPr>
    </w:p>
    <w:p w14:paraId="6CFA90DA" w14:textId="77777777" w:rsidR="001A40F5" w:rsidRDefault="0098377F">
      <w:pPr>
        <w:pStyle w:val="Copyright"/>
        <w:spacing w:after="0" w:line="240" w:lineRule="auto"/>
        <w:jc w:val="both"/>
        <w:rPr>
          <w:rFonts w:ascii="Arial" w:hAnsi="Arial" w:cs="Arial"/>
        </w:rPr>
        <w:sectPr w:rsidR="001A40F5" w:rsidSect="00754E2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EA47583" wp14:editId="263CE8A6">
                <wp:extent cx="5303520" cy="635"/>
                <wp:effectExtent l="13335" t="13335" r="17145" b="15240"/>
                <wp:docPr id="207590501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0kvKg0AAAAAIBAAAPAAAAAAAAAAEAIAAA&#10;ACIAAABkcnMvZG93bnJldi54bWxQSwECFAAUAAAACACHTuJAKP1G99sBAAC8AwAADgAAAAAAAAAB&#10;ACAAAAAfAQAAZHJzL2Uyb0RvYy54bWxQSwUGAAAAAAYABgBZAQAAbAUAAAAA&#10;">
                <v:fill on="f" focussize="0,0"/>
                <v:stroke weight="1.5pt" color="#000000" joinstyle="round"/>
                <v:imagedata o:title=""/>
                <o:lock v:ext="edit" aspectratio="f"/>
                <w10:wrap type="none"/>
                <w10:anchorlock/>
              </v:shape>
            </w:pict>
          </mc:Fallback>
        </mc:AlternateContent>
      </w:r>
      <w:r>
        <w:rPr>
          <w:rFonts w:ascii="Arial" w:hAnsi="Arial" w:cs="Arial"/>
        </w:rPr>
        <w:t>.</w:t>
      </w:r>
    </w:p>
    <w:p w14:paraId="6393FAA6" w14:textId="785771B9" w:rsidR="001A40F5" w:rsidRDefault="0098377F">
      <w:pPr>
        <w:pStyle w:val="AbstHead"/>
        <w:spacing w:after="0"/>
        <w:jc w:val="both"/>
        <w:rPr>
          <w:rFonts w:ascii="Arial" w:hAnsi="Arial" w:cs="Arial"/>
        </w:rPr>
      </w:pPr>
      <w:r>
        <w:rPr>
          <w:rFonts w:ascii="Arial" w:hAnsi="Arial" w:cs="Arial"/>
        </w:rPr>
        <w:t xml:space="preserve">ABSTRACT </w:t>
      </w:r>
    </w:p>
    <w:p w14:paraId="3F038B18" w14:textId="77777777" w:rsidR="001A40F5" w:rsidRDefault="001A40F5">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1A40F5" w14:paraId="452045B2" w14:textId="77777777">
        <w:tc>
          <w:tcPr>
            <w:tcW w:w="9576" w:type="dxa"/>
            <w:shd w:val="clear" w:color="auto" w:fill="F2F2F2"/>
          </w:tcPr>
          <w:p w14:paraId="05FBFAED" w14:textId="77777777" w:rsidR="001A40F5" w:rsidRDefault="0098377F">
            <w:pPr>
              <w:pStyle w:val="Body"/>
              <w:spacing w:after="0"/>
              <w:rPr>
                <w:rFonts w:ascii="Arial" w:eastAsia="Calibri" w:hAnsi="Arial" w:cs="Arial"/>
                <w:bCs/>
                <w:szCs w:val="22"/>
                <w:lang w:val="en-GB"/>
              </w:rPr>
            </w:pPr>
            <w:r>
              <w:rPr>
                <w:rFonts w:ascii="Arial" w:eastAsia="Calibri" w:hAnsi="Arial" w:cs="Arial"/>
                <w:b/>
                <w:bCs/>
                <w:szCs w:val="22"/>
                <w:lang w:val="en-GB"/>
              </w:rPr>
              <w:t>Background</w:t>
            </w:r>
            <w:r>
              <w:rPr>
                <w:rFonts w:ascii="Arial" w:eastAsia="Calibri" w:hAnsi="Arial" w:cs="Arial"/>
                <w:b/>
                <w:szCs w:val="22"/>
                <w:lang w:val="en-GB"/>
              </w:rPr>
              <w:t xml:space="preserve">: </w:t>
            </w:r>
            <w:r>
              <w:rPr>
                <w:rFonts w:ascii="Arial" w:eastAsia="Calibri" w:hAnsi="Arial" w:cs="Arial"/>
                <w:bCs/>
                <w:szCs w:val="22"/>
                <w:lang w:val="en-GB"/>
              </w:rPr>
              <w:t xml:space="preserve">The rising burden of </w:t>
            </w:r>
            <w:r>
              <w:rPr>
                <w:rFonts w:ascii="Arial" w:eastAsia="Calibri" w:hAnsi="Arial" w:cs="Arial"/>
                <w:bCs/>
                <w:szCs w:val="22"/>
                <w:lang w:val="en-GB"/>
              </w:rPr>
              <w:t xml:space="preserve">hypertension and diabetes in sub-Saharan Africa has intensified the risk of chronic kidney disease (CKD), with body mass index (BMI) playing a critical role in metabolic health. However, limited evidence exists on the sociodemographic and clinical factors </w:t>
            </w:r>
            <w:r>
              <w:rPr>
                <w:rFonts w:ascii="Arial" w:eastAsia="Calibri" w:hAnsi="Arial" w:cs="Arial"/>
                <w:bCs/>
                <w:szCs w:val="22"/>
                <w:lang w:val="en-GB"/>
              </w:rPr>
              <w:t>influencing BMI and comorbidity patterns in Cameroon, particularly among high-risk populations.</w:t>
            </w:r>
          </w:p>
          <w:p w14:paraId="2ED61C75" w14:textId="77777777" w:rsidR="001A40F5" w:rsidRDefault="0098377F">
            <w:pPr>
              <w:pStyle w:val="Body"/>
              <w:spacing w:after="0"/>
              <w:rPr>
                <w:rFonts w:ascii="Arial" w:eastAsia="Calibri" w:hAnsi="Arial" w:cs="Arial"/>
                <w:bCs/>
                <w:szCs w:val="22"/>
                <w:lang w:val="en-GB"/>
              </w:rPr>
            </w:pPr>
            <w:r>
              <w:rPr>
                <w:rFonts w:ascii="Arial" w:eastAsia="Calibri" w:hAnsi="Arial" w:cs="Arial"/>
                <w:b/>
                <w:bCs/>
                <w:szCs w:val="22"/>
                <w:lang w:val="en-GB"/>
              </w:rPr>
              <w:t>Methods</w:t>
            </w:r>
            <w:r>
              <w:rPr>
                <w:rFonts w:ascii="Arial" w:eastAsia="Calibri" w:hAnsi="Arial" w:cs="Arial"/>
                <w:b/>
                <w:szCs w:val="22"/>
                <w:lang w:val="en-GB"/>
              </w:rPr>
              <w:t xml:space="preserve">: </w:t>
            </w:r>
            <w:r>
              <w:rPr>
                <w:rFonts w:ascii="Arial" w:eastAsia="Calibri" w:hAnsi="Arial" w:cs="Arial"/>
                <w:bCs/>
                <w:szCs w:val="22"/>
                <w:lang w:val="en-GB"/>
              </w:rPr>
              <w:t>A cross-sectional analytical study was conducted between September 2022 and April 2024 in the Buea Health District, involving 400 adult patients (≥18 years) with hypertension and/or type 2 diabetes recruited from four healthcare facilities using systematic</w:t>
            </w:r>
            <w:r>
              <w:rPr>
                <w:rFonts w:ascii="Arial" w:eastAsia="Calibri" w:hAnsi="Arial" w:cs="Arial"/>
                <w:bCs/>
                <w:szCs w:val="22"/>
                <w:lang w:val="en-GB"/>
              </w:rPr>
              <w:t xml:space="preserve"> sampling. Data on </w:t>
            </w:r>
            <w:proofErr w:type="spellStart"/>
            <w:r>
              <w:rPr>
                <w:rFonts w:ascii="Arial" w:eastAsia="Calibri" w:hAnsi="Arial" w:cs="Arial"/>
                <w:bCs/>
                <w:szCs w:val="22"/>
                <w:lang w:val="en-GB"/>
              </w:rPr>
              <w:t>sociodemographics</w:t>
            </w:r>
            <w:proofErr w:type="spellEnd"/>
            <w:r>
              <w:rPr>
                <w:rFonts w:ascii="Arial" w:eastAsia="Calibri" w:hAnsi="Arial" w:cs="Arial"/>
                <w:bCs/>
                <w:szCs w:val="22"/>
                <w:lang w:val="en-GB"/>
              </w:rPr>
              <w:t>, medical history, and lifestyle behaviours were collected via interviewer-administered questionnaires. Anthropometric and clinical measurements, including blood pressure, fasting blood sugar (FBS), and BMI, were recorde</w:t>
            </w:r>
            <w:r>
              <w:rPr>
                <w:rFonts w:ascii="Arial" w:eastAsia="Calibri" w:hAnsi="Arial" w:cs="Arial"/>
                <w:bCs/>
                <w:szCs w:val="22"/>
                <w:lang w:val="en-GB"/>
              </w:rPr>
              <w:t>d. BMI was categorized per WHO standards. Chi-square tests assessed associations between BMI and clinical variables, while binary logistic regression identified predictors of BMI, with results expressed as adjusted odds ratios (AOR) and 95% confidence inte</w:t>
            </w:r>
            <w:r>
              <w:rPr>
                <w:rFonts w:ascii="Arial" w:eastAsia="Calibri" w:hAnsi="Arial" w:cs="Arial"/>
                <w:bCs/>
                <w:szCs w:val="22"/>
                <w:lang w:val="en-GB"/>
              </w:rPr>
              <w:t>rvals (CI).</w:t>
            </w:r>
          </w:p>
          <w:p w14:paraId="670E7D7B" w14:textId="77777777" w:rsidR="001A40F5" w:rsidRDefault="0098377F">
            <w:pPr>
              <w:pStyle w:val="Body"/>
              <w:spacing w:after="0"/>
              <w:rPr>
                <w:rFonts w:ascii="Arial" w:eastAsia="Calibri" w:hAnsi="Arial" w:cs="Arial"/>
                <w:b/>
                <w:szCs w:val="22"/>
                <w:lang w:val="en-GB"/>
              </w:rPr>
            </w:pPr>
            <w:r>
              <w:rPr>
                <w:rFonts w:ascii="Arial" w:eastAsia="Calibri" w:hAnsi="Arial" w:cs="Arial"/>
                <w:b/>
                <w:bCs/>
                <w:szCs w:val="22"/>
                <w:lang w:val="en-GB"/>
              </w:rPr>
              <w:t>Results</w:t>
            </w:r>
            <w:r>
              <w:rPr>
                <w:rFonts w:ascii="Arial" w:eastAsia="Calibri" w:hAnsi="Arial" w:cs="Arial"/>
                <w:b/>
                <w:szCs w:val="22"/>
                <w:lang w:val="en-GB"/>
              </w:rPr>
              <w:t xml:space="preserve">: </w:t>
            </w:r>
            <w:r>
              <w:rPr>
                <w:rFonts w:ascii="Arial" w:eastAsia="Calibri" w:hAnsi="Arial" w:cs="Arial"/>
                <w:bCs/>
                <w:szCs w:val="22"/>
                <w:lang w:val="en-GB"/>
              </w:rPr>
              <w:t xml:space="preserve">Comorbid hypertension and diabetes affected 57.5% of participants, with higher prevalence among males, widowed individuals, and those with primary education. A polarized BMI distribution was observed: 43% were overweight or obese, 32% </w:t>
            </w:r>
            <w:r>
              <w:rPr>
                <w:rFonts w:ascii="Arial" w:eastAsia="Calibri" w:hAnsi="Arial" w:cs="Arial"/>
                <w:bCs/>
                <w:szCs w:val="22"/>
                <w:lang w:val="en-GB"/>
              </w:rPr>
              <w:t>had normal weight, and 25% were underweight. No significant association was found between BMI and hypertension (</w:t>
            </w:r>
            <w:r>
              <w:rPr>
                <w:rFonts w:ascii="Arial" w:eastAsia="Calibri" w:hAnsi="Arial" w:cs="Arial"/>
                <w:bCs/>
                <w:i/>
                <w:iCs/>
                <w:szCs w:val="22"/>
                <w:lang w:val="en-GB"/>
              </w:rPr>
              <w:t>p</w:t>
            </w:r>
            <w:r>
              <w:rPr>
                <w:rFonts w:ascii="Arial" w:eastAsia="Calibri" w:hAnsi="Arial" w:cs="Arial"/>
                <w:bCs/>
                <w:szCs w:val="22"/>
                <w:lang w:val="en-GB"/>
              </w:rPr>
              <w:t xml:space="preserve"> = 0.174) or diabetes (</w:t>
            </w:r>
            <w:r>
              <w:rPr>
                <w:rFonts w:ascii="Arial" w:eastAsia="Calibri" w:hAnsi="Arial" w:cs="Arial"/>
                <w:bCs/>
                <w:i/>
                <w:iCs/>
                <w:szCs w:val="22"/>
                <w:lang w:val="en-GB"/>
              </w:rPr>
              <w:t>p</w:t>
            </w:r>
            <w:r>
              <w:rPr>
                <w:rFonts w:ascii="Arial" w:eastAsia="Calibri" w:hAnsi="Arial" w:cs="Arial"/>
                <w:bCs/>
                <w:szCs w:val="22"/>
                <w:lang w:val="en-GB"/>
              </w:rPr>
              <w:t xml:space="preserve"> = 0.352). However, elevated FBS was significantly linked to higher BMI (</w:t>
            </w:r>
            <w:r>
              <w:rPr>
                <w:rFonts w:ascii="Arial" w:eastAsia="Calibri" w:hAnsi="Arial" w:cs="Arial"/>
                <w:bCs/>
                <w:i/>
                <w:iCs/>
                <w:szCs w:val="22"/>
                <w:lang w:val="en-GB"/>
              </w:rPr>
              <w:t>p</w:t>
            </w:r>
            <w:r>
              <w:rPr>
                <w:rFonts w:ascii="Arial" w:eastAsia="Calibri" w:hAnsi="Arial" w:cs="Arial"/>
                <w:bCs/>
                <w:szCs w:val="22"/>
                <w:lang w:val="en-GB"/>
              </w:rPr>
              <w:t xml:space="preserve"> = 0.015). BMI distribution varied significan</w:t>
            </w:r>
            <w:r>
              <w:rPr>
                <w:rFonts w:ascii="Arial" w:eastAsia="Calibri" w:hAnsi="Arial" w:cs="Arial"/>
                <w:bCs/>
                <w:szCs w:val="22"/>
                <w:lang w:val="en-GB"/>
              </w:rPr>
              <w:t xml:space="preserve">tly by treatment </w:t>
            </w:r>
            <w:proofErr w:type="spellStart"/>
            <w:r>
              <w:rPr>
                <w:rFonts w:ascii="Arial" w:eastAsia="Calibri" w:hAnsi="Arial" w:cs="Arial"/>
                <w:bCs/>
                <w:szCs w:val="22"/>
                <w:lang w:val="en-GB"/>
              </w:rPr>
              <w:t>center</w:t>
            </w:r>
            <w:proofErr w:type="spellEnd"/>
            <w:r>
              <w:rPr>
                <w:rFonts w:ascii="Arial" w:eastAsia="Calibri" w:hAnsi="Arial" w:cs="Arial"/>
                <w:bCs/>
                <w:szCs w:val="22"/>
                <w:lang w:val="en-GB"/>
              </w:rPr>
              <w:t xml:space="preserve"> (</w:t>
            </w:r>
            <w:r>
              <w:rPr>
                <w:rFonts w:ascii="Arial" w:eastAsia="Calibri" w:hAnsi="Arial" w:cs="Arial"/>
                <w:bCs/>
                <w:i/>
                <w:iCs/>
                <w:szCs w:val="22"/>
                <w:lang w:val="en-GB"/>
              </w:rPr>
              <w:t>p</w:t>
            </w:r>
            <w:r>
              <w:rPr>
                <w:rFonts w:ascii="Arial" w:eastAsia="Calibri" w:hAnsi="Arial" w:cs="Arial"/>
                <w:bCs/>
                <w:szCs w:val="22"/>
                <w:lang w:val="en-GB"/>
              </w:rPr>
              <w:t xml:space="preserve"> = 0.001). In regression, regular physical exercise (AOR = 2.815, </w:t>
            </w:r>
            <w:r>
              <w:rPr>
                <w:rFonts w:ascii="Arial" w:eastAsia="Calibri" w:hAnsi="Arial" w:cs="Arial"/>
                <w:bCs/>
                <w:i/>
                <w:iCs/>
                <w:szCs w:val="22"/>
                <w:lang w:val="en-GB"/>
              </w:rPr>
              <w:t>p</w:t>
            </w:r>
            <w:r>
              <w:rPr>
                <w:rFonts w:ascii="Arial" w:eastAsia="Calibri" w:hAnsi="Arial" w:cs="Arial"/>
                <w:bCs/>
                <w:szCs w:val="22"/>
                <w:lang w:val="en-GB"/>
              </w:rPr>
              <w:t xml:space="preserve"> &lt; 0.001) and vegetable intake (AOR = 2.545, </w:t>
            </w:r>
            <w:r>
              <w:rPr>
                <w:rFonts w:ascii="Arial" w:eastAsia="Calibri" w:hAnsi="Arial" w:cs="Arial"/>
                <w:bCs/>
                <w:i/>
                <w:iCs/>
                <w:szCs w:val="22"/>
                <w:lang w:val="en-GB"/>
              </w:rPr>
              <w:t>p</w:t>
            </w:r>
            <w:r>
              <w:rPr>
                <w:rFonts w:ascii="Arial" w:eastAsia="Calibri" w:hAnsi="Arial" w:cs="Arial"/>
                <w:bCs/>
                <w:szCs w:val="22"/>
                <w:lang w:val="en-GB"/>
              </w:rPr>
              <w:t xml:space="preserve"> = 0.003) were strong predictors of higher BMI. Diabetes, hypertension, and their comorbidity were not statistically </w:t>
            </w:r>
            <w:r>
              <w:rPr>
                <w:rFonts w:ascii="Arial" w:eastAsia="Calibri" w:hAnsi="Arial" w:cs="Arial"/>
                <w:bCs/>
                <w:szCs w:val="22"/>
                <w:lang w:val="en-GB"/>
              </w:rPr>
              <w:t>significant predictors of CKD.</w:t>
            </w:r>
          </w:p>
          <w:p w14:paraId="31F0D4BD" w14:textId="77777777" w:rsidR="001A40F5" w:rsidRDefault="0098377F">
            <w:pPr>
              <w:pStyle w:val="Body"/>
              <w:spacing w:after="0"/>
              <w:rPr>
                <w:rFonts w:ascii="Arial" w:eastAsia="Calibri" w:hAnsi="Arial" w:cs="Arial"/>
                <w:b/>
                <w:szCs w:val="22"/>
                <w:lang w:val="en-GB"/>
              </w:rPr>
            </w:pPr>
            <w:r>
              <w:rPr>
                <w:rFonts w:ascii="Arial" w:eastAsia="Calibri" w:hAnsi="Arial" w:cs="Arial"/>
                <w:b/>
                <w:bCs/>
                <w:szCs w:val="22"/>
                <w:lang w:val="en-GB"/>
              </w:rPr>
              <w:t>Conclusion</w:t>
            </w:r>
            <w:r>
              <w:rPr>
                <w:rFonts w:ascii="Arial" w:eastAsia="Calibri" w:hAnsi="Arial" w:cs="Arial"/>
                <w:b/>
                <w:szCs w:val="22"/>
                <w:lang w:val="en-GB"/>
              </w:rPr>
              <w:t xml:space="preserve">: </w:t>
            </w:r>
            <w:r>
              <w:rPr>
                <w:rFonts w:ascii="Arial" w:eastAsia="Calibri" w:hAnsi="Arial" w:cs="Arial"/>
                <w:bCs/>
                <w:szCs w:val="22"/>
                <w:lang w:val="en-GB"/>
              </w:rPr>
              <w:t>Lifestyle factors are more influential than disease status in determining BMI, underscoring the need for behaviour-centred interventions.</w:t>
            </w:r>
          </w:p>
          <w:p w14:paraId="7F1E3691" w14:textId="77777777" w:rsidR="001A40F5" w:rsidRDefault="001A40F5">
            <w:pPr>
              <w:pStyle w:val="Body"/>
              <w:spacing w:after="0"/>
              <w:rPr>
                <w:rFonts w:ascii="Arial" w:eastAsia="Calibri" w:hAnsi="Arial" w:cs="Arial"/>
                <w:szCs w:val="22"/>
              </w:rPr>
            </w:pPr>
          </w:p>
        </w:tc>
      </w:tr>
    </w:tbl>
    <w:p w14:paraId="021EA299" w14:textId="77777777" w:rsidR="001A40F5" w:rsidRDefault="001A40F5">
      <w:pPr>
        <w:pStyle w:val="Body"/>
        <w:spacing w:after="0"/>
        <w:rPr>
          <w:rFonts w:ascii="Arial" w:hAnsi="Arial" w:cs="Arial"/>
          <w:i/>
        </w:rPr>
      </w:pPr>
    </w:p>
    <w:p w14:paraId="6C506E64" w14:textId="77777777" w:rsidR="001A40F5" w:rsidRDefault="0098377F">
      <w:pPr>
        <w:pStyle w:val="Body"/>
        <w:spacing w:after="0"/>
        <w:rPr>
          <w:rFonts w:ascii="Arial" w:hAnsi="Arial" w:cs="Arial"/>
          <w:i/>
        </w:rPr>
      </w:pPr>
      <w:r>
        <w:rPr>
          <w:rFonts w:ascii="Arial" w:hAnsi="Arial" w:cs="Arial"/>
          <w:i/>
        </w:rPr>
        <w:t xml:space="preserve">Keywords: </w:t>
      </w:r>
      <w:r>
        <w:rPr>
          <w:rFonts w:ascii="Arial" w:hAnsi="Arial" w:cs="Arial"/>
          <w:i/>
          <w:lang w:val="en-GB"/>
        </w:rPr>
        <w:t>Body mass index, hypertension, diabetes, comorbidity, Cameroon</w:t>
      </w:r>
    </w:p>
    <w:p w14:paraId="64A7F5FA" w14:textId="77777777" w:rsidR="001A40F5" w:rsidRDefault="0098377F">
      <w:pPr>
        <w:pStyle w:val="AbstHead"/>
        <w:spacing w:after="0"/>
        <w:jc w:val="both"/>
        <w:rPr>
          <w:rFonts w:ascii="Arial" w:hAnsi="Arial" w:cs="Arial"/>
        </w:rPr>
      </w:pPr>
      <w:r>
        <w:rPr>
          <w:rFonts w:ascii="Arial" w:hAnsi="Arial" w:cs="Arial"/>
        </w:rPr>
        <w:t xml:space="preserve">1. INTRODUCTION </w:t>
      </w:r>
    </w:p>
    <w:p w14:paraId="1A946E22" w14:textId="77777777" w:rsidR="001A40F5" w:rsidRDefault="001A40F5">
      <w:pPr>
        <w:pStyle w:val="AbstHead"/>
        <w:spacing w:after="0"/>
        <w:jc w:val="both"/>
        <w:rPr>
          <w:rFonts w:ascii="Arial" w:hAnsi="Arial" w:cs="Arial"/>
        </w:rPr>
      </w:pPr>
    </w:p>
    <w:p w14:paraId="4B51E0EC" w14:textId="77777777" w:rsidR="001A40F5" w:rsidRDefault="0098377F">
      <w:pPr>
        <w:pStyle w:val="Body"/>
        <w:spacing w:after="120"/>
        <w:rPr>
          <w:rFonts w:ascii="Arial" w:hAnsi="Arial" w:cs="Arial"/>
          <w:lang w:val="en-GB"/>
        </w:rPr>
      </w:pPr>
      <w:r>
        <w:rPr>
          <w:rFonts w:ascii="Arial" w:hAnsi="Arial" w:cs="Arial"/>
          <w:lang w:val="en-GB"/>
        </w:rPr>
        <w:t xml:space="preserve">The global burden of non-communicable diseases (NCDs) has reached epidemic proportions, with hypertension and type 2 diabetes mellitus emerging as two of the most pervasive and consequential conditions affecting public health worldwide. </w:t>
      </w:r>
      <w:r>
        <w:rPr>
          <w:rFonts w:ascii="Arial" w:hAnsi="Arial" w:cs="Arial"/>
          <w:lang w:val="en-GB"/>
        </w:rPr>
        <w:t xml:space="preserve">According to the World Health </w:t>
      </w:r>
      <w:r>
        <w:rPr>
          <w:rFonts w:ascii="Arial" w:hAnsi="Arial" w:cs="Arial"/>
          <w:lang w:val="en-GB"/>
        </w:rPr>
        <w:lastRenderedPageBreak/>
        <w:t xml:space="preserve">Organization (WHO), an estimated 1.3 billion people suffer from hypertension, and over 537 million adults live with diabetes a number projected to rise to 783 million by 2045, with the steepest increases occurring in low- and </w:t>
      </w:r>
      <w:r>
        <w:rPr>
          <w:rFonts w:ascii="Arial" w:hAnsi="Arial" w:cs="Arial"/>
          <w:lang w:val="en-GB"/>
        </w:rPr>
        <w:t>middle-income countries [1]. These conditions are not only leading causes of cardiovascular morbidity and mortality but also major drivers of chronic kidney disease (CKD), a progressive and often silent condition that affects over 850 million people global</w:t>
      </w:r>
      <w:r>
        <w:rPr>
          <w:rFonts w:ascii="Arial" w:hAnsi="Arial" w:cs="Arial"/>
          <w:lang w:val="en-GB"/>
        </w:rPr>
        <w:t>ly and contributes significantly to premature death and healthcare costs [2].</w:t>
      </w:r>
    </w:p>
    <w:p w14:paraId="1F2E9E05" w14:textId="77777777" w:rsidR="001A40F5" w:rsidRDefault="0098377F">
      <w:pPr>
        <w:pStyle w:val="Body"/>
        <w:spacing w:after="120"/>
        <w:rPr>
          <w:rFonts w:ascii="Arial" w:hAnsi="Arial" w:cs="Arial"/>
          <w:lang w:val="en-GB"/>
        </w:rPr>
      </w:pPr>
      <w:r>
        <w:rPr>
          <w:rFonts w:ascii="Arial" w:hAnsi="Arial" w:cs="Arial"/>
          <w:lang w:val="en-GB"/>
        </w:rPr>
        <w:t xml:space="preserve">In sub-Saharan Africa (SSA), the epidemiological transition has been marked by a rapid rise in NCDs, occurring alongside persistent infectious disease burdens and undernutrition </w:t>
      </w:r>
      <w:r>
        <w:rPr>
          <w:rFonts w:ascii="Arial" w:hAnsi="Arial" w:cs="Arial"/>
          <w:lang w:val="en-GB"/>
        </w:rPr>
        <w:t xml:space="preserve">a phenomenon known as the double or triple burden of disease [3]. Cameroon is no exception. Recent studies estimate that the national prevalence of hypertension exceeds 30%, while diabetes affects approximately 5–7% of adults, with higher rates in urban </w:t>
      </w:r>
      <w:proofErr w:type="spellStart"/>
      <w:r>
        <w:rPr>
          <w:rFonts w:ascii="Arial" w:hAnsi="Arial" w:cs="Arial"/>
          <w:lang w:val="en-GB"/>
        </w:rPr>
        <w:t>ce</w:t>
      </w:r>
      <w:r>
        <w:rPr>
          <w:rFonts w:ascii="Arial" w:hAnsi="Arial" w:cs="Arial"/>
          <w:lang w:val="en-GB"/>
        </w:rPr>
        <w:t>nters</w:t>
      </w:r>
      <w:proofErr w:type="spellEnd"/>
      <w:r>
        <w:rPr>
          <w:rFonts w:ascii="Arial" w:hAnsi="Arial" w:cs="Arial"/>
          <w:lang w:val="en-GB"/>
        </w:rPr>
        <w:t xml:space="preserve"> like </w:t>
      </w:r>
      <w:proofErr w:type="spellStart"/>
      <w:r>
        <w:rPr>
          <w:rFonts w:ascii="Arial" w:hAnsi="Arial" w:cs="Arial"/>
          <w:lang w:val="en-GB"/>
        </w:rPr>
        <w:t>Buea</w:t>
      </w:r>
      <w:proofErr w:type="spellEnd"/>
      <w:r>
        <w:rPr>
          <w:rFonts w:ascii="Arial" w:hAnsi="Arial" w:cs="Arial"/>
          <w:lang w:val="en-GB"/>
        </w:rPr>
        <w:t xml:space="preserve"> and Douala [4,5]. Alarmingly, the comorbidity of hypertension and diabetes is increasingly common, amplifying the risk of microvascular complications such as CKD, retinopathy, and neuropathy [6].</w:t>
      </w:r>
    </w:p>
    <w:p w14:paraId="5A70E8F3" w14:textId="77777777" w:rsidR="001A40F5" w:rsidRDefault="0098377F">
      <w:pPr>
        <w:pStyle w:val="Body"/>
        <w:spacing w:after="120"/>
        <w:rPr>
          <w:rFonts w:ascii="Arial" w:hAnsi="Arial" w:cs="Arial"/>
          <w:lang w:val="en-GB"/>
        </w:rPr>
      </w:pPr>
      <w:r>
        <w:rPr>
          <w:rFonts w:ascii="Arial" w:hAnsi="Arial" w:cs="Arial"/>
          <w:lang w:val="en-GB"/>
        </w:rPr>
        <w:t>Chronic kidney disease, in particular, poses</w:t>
      </w:r>
      <w:r>
        <w:rPr>
          <w:rFonts w:ascii="Arial" w:hAnsi="Arial" w:cs="Arial"/>
          <w:lang w:val="en-GB"/>
        </w:rPr>
        <w:t xml:space="preserve"> a growing threat in SSA due to limited screening, late diagnosis, and inadequate access to renal replacement therapy. A 2023 scoping review found that the pooled prevalence of CKD in Cameroon was 15.8%, with hypertension and diabetes accounting for over 7</w:t>
      </w:r>
      <w:r>
        <w:rPr>
          <w:rFonts w:ascii="Arial" w:hAnsi="Arial" w:cs="Arial"/>
          <w:lang w:val="en-GB"/>
        </w:rPr>
        <w:t>0% of cases [7]. Despite this, most patients present at advanced stages, when dialysis or transplantation largely unaffordable and inaccessible become the only options [8]. This underscores the urgent need for early detection and prevention strategies focu</w:t>
      </w:r>
      <w:r>
        <w:rPr>
          <w:rFonts w:ascii="Arial" w:hAnsi="Arial" w:cs="Arial"/>
          <w:lang w:val="en-GB"/>
        </w:rPr>
        <w:t>sed on high-risk populations.</w:t>
      </w:r>
    </w:p>
    <w:p w14:paraId="38A5A8E4" w14:textId="77777777" w:rsidR="001A40F5" w:rsidRDefault="0098377F">
      <w:pPr>
        <w:pStyle w:val="Body"/>
        <w:spacing w:after="120"/>
        <w:rPr>
          <w:rFonts w:ascii="Arial" w:hAnsi="Arial" w:cs="Arial"/>
          <w:lang w:val="en-GB"/>
        </w:rPr>
      </w:pPr>
      <w:r>
        <w:rPr>
          <w:rFonts w:ascii="Arial" w:hAnsi="Arial" w:cs="Arial"/>
          <w:lang w:val="en-GB"/>
        </w:rPr>
        <w:t>Body mass index (BMI) is a key modifiable factor in the pathogenesis of both diabetes and hypertension. Obesity, particularly central adiposity, promotes insulin resistance, systemic inflammation, and endothelial dysfunction k</w:t>
      </w:r>
      <w:r>
        <w:rPr>
          <w:rFonts w:ascii="Arial" w:hAnsi="Arial" w:cs="Arial"/>
          <w:lang w:val="en-GB"/>
        </w:rPr>
        <w:t>ey mechanisms in the development of cardiometabolic disorders [9]. However, the relationship between BMI and disease outcomes is not always linear. In some African populations, paradoxical patterns have been observed where overweight or obese individuals e</w:t>
      </w:r>
      <w:r>
        <w:rPr>
          <w:rFonts w:ascii="Arial" w:hAnsi="Arial" w:cs="Arial"/>
          <w:lang w:val="en-GB"/>
        </w:rPr>
        <w:t>xhibit better survival rates than their normal-weight counterparts with chronic diseases a phenomenon referred to as the “obesity paradox” [10]. This highlights the importance of context-specific research to understand how BMI interacts with disease expres</w:t>
      </w:r>
      <w:r>
        <w:rPr>
          <w:rFonts w:ascii="Arial" w:hAnsi="Arial" w:cs="Arial"/>
          <w:lang w:val="en-GB"/>
        </w:rPr>
        <w:t>sion in diverse populations.</w:t>
      </w:r>
    </w:p>
    <w:p w14:paraId="464CFAE9" w14:textId="77777777" w:rsidR="001A40F5" w:rsidRDefault="0098377F">
      <w:pPr>
        <w:pStyle w:val="Body"/>
        <w:spacing w:after="120"/>
        <w:rPr>
          <w:rFonts w:ascii="Arial" w:hAnsi="Arial" w:cs="Arial"/>
          <w:lang w:val="en-GB"/>
        </w:rPr>
      </w:pPr>
      <w:r>
        <w:rPr>
          <w:rFonts w:ascii="Arial" w:hAnsi="Arial" w:cs="Arial"/>
          <w:lang w:val="en-GB"/>
        </w:rPr>
        <w:t>Moreover, the distribution of BMI is increasingly polarized in urbanizing African settings. While overweight and obesity are rising due to dietary shifts toward processed foods and sedentary lifestyles, undernutrition remains p</w:t>
      </w:r>
      <w:r>
        <w:rPr>
          <w:rFonts w:ascii="Arial" w:hAnsi="Arial" w:cs="Arial"/>
          <w:lang w:val="en-GB"/>
        </w:rPr>
        <w:t>revalent, especially among older adults and those with chronic illness [11]. This dual burden of malnutrition simultaneous over- and undernutrition complicates clinical management and increases vulnerability to complications such as muscle wasting, frailty</w:t>
      </w:r>
      <w:r>
        <w:rPr>
          <w:rFonts w:ascii="Arial" w:hAnsi="Arial" w:cs="Arial"/>
          <w:lang w:val="en-GB"/>
        </w:rPr>
        <w:t>, and poor treatment adherence [12].</w:t>
      </w:r>
    </w:p>
    <w:p w14:paraId="12428C72" w14:textId="77777777" w:rsidR="001A40F5" w:rsidRDefault="0098377F">
      <w:pPr>
        <w:pStyle w:val="Body"/>
        <w:spacing w:after="120"/>
        <w:rPr>
          <w:rFonts w:ascii="Arial" w:hAnsi="Arial" w:cs="Arial"/>
          <w:lang w:val="en-GB"/>
        </w:rPr>
      </w:pPr>
      <w:r>
        <w:rPr>
          <w:rFonts w:ascii="Arial" w:hAnsi="Arial" w:cs="Arial"/>
          <w:lang w:val="en-GB"/>
        </w:rPr>
        <w:t>Despite the growing burden of comorbid diabetes and hypertension in Cameroon, there is limited understanding of how sociodemographic factors, lifestyle behaviours, and institutional contexts influence BMI and disease ri</w:t>
      </w:r>
      <w:r>
        <w:rPr>
          <w:rFonts w:ascii="Arial" w:hAnsi="Arial" w:cs="Arial"/>
          <w:lang w:val="en-GB"/>
        </w:rPr>
        <w:t xml:space="preserve">sk. Most studies have focused on prevalence or clinical outcomes, with few examining the interplay between education, occupation, health-seeking </w:t>
      </w:r>
      <w:proofErr w:type="spellStart"/>
      <w:r>
        <w:rPr>
          <w:rFonts w:ascii="Arial" w:hAnsi="Arial" w:cs="Arial"/>
          <w:lang w:val="en-GB"/>
        </w:rPr>
        <w:t>behavior</w:t>
      </w:r>
      <w:proofErr w:type="spellEnd"/>
      <w:r>
        <w:rPr>
          <w:rFonts w:ascii="Arial" w:hAnsi="Arial" w:cs="Arial"/>
          <w:lang w:val="en-GB"/>
        </w:rPr>
        <w:t>, and metabolic health [4, 7]. Additionally, while BMI is widely used as a proxy for nutritional and me</w:t>
      </w:r>
      <w:r>
        <w:rPr>
          <w:rFonts w:ascii="Arial" w:hAnsi="Arial" w:cs="Arial"/>
          <w:lang w:val="en-GB"/>
        </w:rPr>
        <w:t>tabolic status, its association with hypertension, diabetes, and CKD in Cameroonian populations remains poorly characterized.</w:t>
      </w:r>
    </w:p>
    <w:p w14:paraId="1E12B60D" w14:textId="77777777" w:rsidR="001A40F5" w:rsidRDefault="0098377F">
      <w:pPr>
        <w:pStyle w:val="Body"/>
        <w:spacing w:after="0"/>
        <w:rPr>
          <w:rFonts w:ascii="Arial" w:hAnsi="Arial" w:cs="Arial"/>
          <w:lang w:val="en-GB"/>
        </w:rPr>
      </w:pPr>
      <w:r>
        <w:rPr>
          <w:rFonts w:ascii="Arial" w:hAnsi="Arial" w:cs="Arial"/>
          <w:lang w:val="en-GB"/>
        </w:rPr>
        <w:t xml:space="preserve">Recent evidence suggests that lifestyle factors such as physical activity, vegetable intake, and salt consumption may be stronger </w:t>
      </w:r>
      <w:r>
        <w:rPr>
          <w:rFonts w:ascii="Arial" w:hAnsi="Arial" w:cs="Arial"/>
          <w:lang w:val="en-GB"/>
        </w:rPr>
        <w:t>predictors of BMI and metabolic health than demographic variables like age or gender [13,14]. For instance, a 2023 study in Nigeria found that regular physical activity reduced the odds of obesity by 40%, independent of age or socioeconomic status [15]. Si</w:t>
      </w:r>
      <w:r>
        <w:rPr>
          <w:rFonts w:ascii="Arial" w:hAnsi="Arial" w:cs="Arial"/>
          <w:lang w:val="en-GB"/>
        </w:rPr>
        <w:t>milarly, dietary patterns rich in fruits and vegetables were associated with better glycaemic control and lower blood pressure in hypertensive-diabetic patients in Ghana [16].</w:t>
      </w:r>
    </w:p>
    <w:p w14:paraId="4EDED2E2" w14:textId="77777777" w:rsidR="001A40F5" w:rsidRDefault="0098377F">
      <w:pPr>
        <w:pStyle w:val="Body"/>
        <w:spacing w:after="0"/>
        <w:rPr>
          <w:rFonts w:ascii="Arial" w:hAnsi="Arial" w:cs="Arial"/>
          <w:lang w:val="en-GB"/>
        </w:rPr>
      </w:pPr>
      <w:r>
        <w:rPr>
          <w:rFonts w:ascii="Arial" w:hAnsi="Arial" w:cs="Arial"/>
          <w:lang w:val="en-GB"/>
        </w:rPr>
        <w:lastRenderedPageBreak/>
        <w:t>In this context, the Buea Health District a semi-urban region with heterogeneous</w:t>
      </w:r>
      <w:r>
        <w:rPr>
          <w:rFonts w:ascii="Arial" w:hAnsi="Arial" w:cs="Arial"/>
          <w:lang w:val="en-GB"/>
        </w:rPr>
        <w:t xml:space="preserve"> healthcare access provides a critical setting for investigating these relationships. This study aims to examine the sociodemographic distribution of comorbid diabetes and hypertension, assess the association between BMI and clinical variables (including f</w:t>
      </w:r>
      <w:r>
        <w:rPr>
          <w:rFonts w:ascii="Arial" w:hAnsi="Arial" w:cs="Arial"/>
          <w:lang w:val="en-GB"/>
        </w:rPr>
        <w:t>asting blood sugar and disease status), and identify predictors of BMI among adult patients attending outpatient clinics. By analysing data across multiple treatment centres, this research contributes to a deeper understanding of the social and behavioural</w:t>
      </w:r>
      <w:r>
        <w:rPr>
          <w:rFonts w:ascii="Arial" w:hAnsi="Arial" w:cs="Arial"/>
          <w:lang w:val="en-GB"/>
        </w:rPr>
        <w:t xml:space="preserve"> determinants of metabolic health in Cameroon and informs targeted interventions to prevent CKD and improve long-term outcomes.</w:t>
      </w:r>
    </w:p>
    <w:p w14:paraId="554D10DA" w14:textId="77777777" w:rsidR="001A40F5" w:rsidRDefault="001A40F5">
      <w:pPr>
        <w:pStyle w:val="Body"/>
        <w:spacing w:after="0"/>
        <w:rPr>
          <w:rFonts w:ascii="Arial" w:hAnsi="Arial" w:cs="Arial"/>
        </w:rPr>
      </w:pPr>
    </w:p>
    <w:p w14:paraId="088C527E" w14:textId="77777777" w:rsidR="001A40F5" w:rsidRDefault="0098377F">
      <w:pPr>
        <w:pStyle w:val="AbstHead"/>
        <w:spacing w:after="120"/>
        <w:jc w:val="both"/>
        <w:rPr>
          <w:rFonts w:ascii="Arial" w:hAnsi="Arial" w:cs="Arial"/>
        </w:rPr>
      </w:pPr>
      <w:r>
        <w:rPr>
          <w:rFonts w:ascii="Arial" w:hAnsi="Arial" w:cs="Arial"/>
        </w:rPr>
        <w:t xml:space="preserve">2. material and methods </w:t>
      </w:r>
    </w:p>
    <w:p w14:paraId="0A455058" w14:textId="77777777" w:rsidR="001A40F5" w:rsidRDefault="0098377F">
      <w:pPr>
        <w:spacing w:after="160" w:line="360" w:lineRule="auto"/>
        <w:jc w:val="both"/>
        <w:rPr>
          <w:rFonts w:ascii="Arial" w:eastAsia="Calibri" w:hAnsi="Arial" w:cs="Arial"/>
          <w:b/>
          <w:bCs/>
          <w:kern w:val="2"/>
          <w:sz w:val="22"/>
          <w:szCs w:val="22"/>
          <w:lang w:val="en-GB"/>
          <w14:ligatures w14:val="standardContextual"/>
        </w:rPr>
      </w:pPr>
      <w:r>
        <w:rPr>
          <w:rFonts w:ascii="Arial" w:eastAsia="Calibri" w:hAnsi="Arial" w:cs="Arial"/>
          <w:b/>
          <w:bCs/>
          <w:kern w:val="2"/>
          <w:sz w:val="22"/>
          <w:szCs w:val="22"/>
          <w:lang w:val="en-GB"/>
          <w14:ligatures w14:val="standardContextual"/>
        </w:rPr>
        <w:t>2.1 Study Design and Setting</w:t>
      </w:r>
    </w:p>
    <w:p w14:paraId="2027E5A9" w14:textId="77777777" w:rsidR="001A40F5" w:rsidRDefault="0098377F">
      <w:pPr>
        <w:pStyle w:val="Body"/>
        <w:spacing w:after="0"/>
        <w:rPr>
          <w:rFonts w:ascii="Arial" w:hAnsi="Arial" w:cs="Arial"/>
          <w:b/>
          <w:bCs/>
          <w:lang w:val="en-GB"/>
        </w:rPr>
      </w:pPr>
      <w:r>
        <w:rPr>
          <w:rFonts w:ascii="Arial" w:hAnsi="Arial" w:cs="Arial"/>
          <w:b/>
          <w:bCs/>
          <w:noProof/>
          <w:lang w:val="en-GB"/>
        </w:rPr>
        <w:drawing>
          <wp:inline distT="0" distB="0" distL="0" distR="0" wp14:anchorId="09B5FBC7" wp14:editId="2588C21C">
            <wp:extent cx="4149725" cy="3505200"/>
            <wp:effectExtent l="0" t="0" r="3175" b="0"/>
            <wp:docPr id="1267602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02658"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58750" cy="3512752"/>
                    </a:xfrm>
                    <a:prstGeom prst="rect">
                      <a:avLst/>
                    </a:prstGeom>
                    <a:noFill/>
                    <a:ln>
                      <a:noFill/>
                    </a:ln>
                  </pic:spPr>
                </pic:pic>
              </a:graphicData>
            </a:graphic>
          </wp:inline>
        </w:drawing>
      </w:r>
    </w:p>
    <w:p w14:paraId="35A245E2" w14:textId="77777777" w:rsidR="001A40F5" w:rsidRDefault="0098377F">
      <w:pPr>
        <w:pStyle w:val="Body"/>
        <w:spacing w:after="0"/>
        <w:rPr>
          <w:rFonts w:ascii="Arial" w:hAnsi="Arial" w:cs="Arial"/>
          <w:b/>
          <w:bCs/>
          <w:lang w:val="en-GB"/>
        </w:rPr>
      </w:pPr>
      <w:r>
        <w:rPr>
          <w:rFonts w:ascii="Arial" w:hAnsi="Arial" w:cs="Arial"/>
          <w:b/>
          <w:bCs/>
          <w:lang w:val="en-GB"/>
        </w:rPr>
        <w:t>Fig. 1.  The Buea Health District [17]</w:t>
      </w:r>
    </w:p>
    <w:p w14:paraId="2D5FBF80" w14:textId="77777777" w:rsidR="001A40F5" w:rsidRDefault="001A40F5">
      <w:pPr>
        <w:pStyle w:val="Body"/>
        <w:spacing w:after="0"/>
        <w:rPr>
          <w:rFonts w:ascii="Arial" w:hAnsi="Arial" w:cs="Arial"/>
        </w:rPr>
      </w:pPr>
    </w:p>
    <w:p w14:paraId="4D426784" w14:textId="77777777" w:rsidR="001A40F5" w:rsidRDefault="0098377F">
      <w:pPr>
        <w:pStyle w:val="Body"/>
        <w:spacing w:after="120"/>
        <w:rPr>
          <w:rFonts w:ascii="Arial" w:hAnsi="Arial" w:cs="Arial"/>
          <w:lang w:val="en-GB"/>
        </w:rPr>
      </w:pPr>
      <w:r>
        <w:rPr>
          <w:rFonts w:ascii="Arial" w:hAnsi="Arial" w:cs="Arial"/>
          <w:lang w:val="en-GB"/>
        </w:rPr>
        <w:t>A cross-sectional analytical study was conducted between September 2022 and April 2024 in the Buea Health District, South West Region, Cameroon (Fig. 1). The district comprises a mix of urban and rural communities and includes several healthcare facilities</w:t>
      </w:r>
      <w:r>
        <w:rPr>
          <w:rFonts w:ascii="Arial" w:hAnsi="Arial" w:cs="Arial"/>
          <w:lang w:val="en-GB"/>
        </w:rPr>
        <w:t xml:space="preserve"> that manage chronic diseases, including the Regional Hospital Buea, Fako Heart Centre, Lambe Foundation Clinic, and Sub-Divisional Hospital </w:t>
      </w:r>
      <w:proofErr w:type="spellStart"/>
      <w:r>
        <w:rPr>
          <w:rFonts w:ascii="Arial" w:hAnsi="Arial" w:cs="Arial"/>
          <w:lang w:val="en-GB"/>
        </w:rPr>
        <w:t>Muea</w:t>
      </w:r>
      <w:proofErr w:type="spellEnd"/>
      <w:r>
        <w:rPr>
          <w:rFonts w:ascii="Arial" w:hAnsi="Arial" w:cs="Arial"/>
          <w:lang w:val="en-GB"/>
        </w:rPr>
        <w:t>.</w:t>
      </w:r>
    </w:p>
    <w:p w14:paraId="078A20E0" w14:textId="77777777" w:rsidR="001A40F5" w:rsidRDefault="0098377F">
      <w:pPr>
        <w:pStyle w:val="Body"/>
        <w:spacing w:after="120"/>
        <w:rPr>
          <w:rFonts w:ascii="Arial" w:hAnsi="Arial" w:cs="Arial"/>
          <w:b/>
          <w:bCs/>
          <w:sz w:val="22"/>
          <w:szCs w:val="22"/>
          <w:lang w:val="en-GB"/>
        </w:rPr>
      </w:pPr>
      <w:r>
        <w:rPr>
          <w:rFonts w:ascii="Arial" w:hAnsi="Arial" w:cs="Arial"/>
          <w:b/>
          <w:bCs/>
          <w:sz w:val="22"/>
          <w:szCs w:val="22"/>
          <w:lang w:val="en-GB"/>
        </w:rPr>
        <w:t>2.2 Study Population</w:t>
      </w:r>
    </w:p>
    <w:p w14:paraId="591BF6C2" w14:textId="77777777" w:rsidR="001A40F5" w:rsidRDefault="0098377F">
      <w:pPr>
        <w:pStyle w:val="Body"/>
        <w:spacing w:after="120"/>
        <w:rPr>
          <w:rFonts w:ascii="Arial" w:hAnsi="Arial" w:cs="Arial"/>
          <w:lang w:val="en-GB"/>
        </w:rPr>
      </w:pPr>
      <w:r>
        <w:rPr>
          <w:rFonts w:ascii="Arial" w:hAnsi="Arial" w:cs="Arial"/>
          <w:lang w:val="en-GB"/>
        </w:rPr>
        <w:t>The study population consisted of adult patients (aged ≥18 years) attending outpatient c</w:t>
      </w:r>
      <w:r>
        <w:rPr>
          <w:rFonts w:ascii="Arial" w:hAnsi="Arial" w:cs="Arial"/>
          <w:lang w:val="en-GB"/>
        </w:rPr>
        <w:t>linics for the management of hypertension and/or type 2 diabetes. Participants were recruited from the selected health facilities using a systematic sampling approach.</w:t>
      </w:r>
    </w:p>
    <w:p w14:paraId="20D651F6" w14:textId="77777777" w:rsidR="001A40F5" w:rsidRDefault="0098377F">
      <w:pPr>
        <w:pStyle w:val="Body"/>
        <w:spacing w:after="120"/>
        <w:rPr>
          <w:rFonts w:ascii="Arial" w:hAnsi="Arial" w:cs="Arial"/>
          <w:b/>
          <w:bCs/>
          <w:sz w:val="22"/>
          <w:szCs w:val="22"/>
          <w:lang w:val="en-GB"/>
        </w:rPr>
      </w:pPr>
      <w:r>
        <w:rPr>
          <w:rFonts w:ascii="Arial" w:hAnsi="Arial" w:cs="Arial"/>
          <w:b/>
          <w:bCs/>
          <w:sz w:val="22"/>
          <w:szCs w:val="22"/>
          <w:lang w:val="en-GB"/>
        </w:rPr>
        <w:t>2.3 Inclusion and Exclusion Criteria</w:t>
      </w:r>
    </w:p>
    <w:p w14:paraId="591309E8" w14:textId="77777777" w:rsidR="001A40F5" w:rsidRDefault="0098377F">
      <w:pPr>
        <w:pStyle w:val="Body"/>
        <w:spacing w:after="120"/>
        <w:rPr>
          <w:rFonts w:ascii="Arial" w:hAnsi="Arial" w:cs="Arial"/>
          <w:lang w:val="en-GB"/>
        </w:rPr>
      </w:pPr>
      <w:r>
        <w:rPr>
          <w:rFonts w:ascii="Arial" w:hAnsi="Arial" w:cs="Arial"/>
          <w:lang w:val="en-GB"/>
        </w:rPr>
        <w:t xml:space="preserve">Eligible participants included adults diagnosed </w:t>
      </w:r>
      <w:r>
        <w:rPr>
          <w:rFonts w:ascii="Arial" w:hAnsi="Arial" w:cs="Arial"/>
          <w:lang w:val="en-GB"/>
        </w:rPr>
        <w:t xml:space="preserve">with hypertension (defined as systolic blood pressure ≥140 mmHg or diastolic blood pressure ≥90 mmHg, or current use of </w:t>
      </w:r>
      <w:r>
        <w:rPr>
          <w:rFonts w:ascii="Arial" w:hAnsi="Arial" w:cs="Arial"/>
          <w:lang w:val="en-GB"/>
        </w:rPr>
        <w:lastRenderedPageBreak/>
        <w:t>antihypertensive medication), type 2 diabetes (fasting blood glucose ≥126 mg/dL or on glucose-lowering therapy), or both. Individuals wi</w:t>
      </w:r>
      <w:r>
        <w:rPr>
          <w:rFonts w:ascii="Arial" w:hAnsi="Arial" w:cs="Arial"/>
          <w:lang w:val="en-GB"/>
        </w:rPr>
        <w:t>th advanced CKD (eGFR &lt;30 mL/min/1.73m²) or who were pregnant were excluded to avoid confounding related to severe renal impairment or physiological weight changes.</w:t>
      </w:r>
    </w:p>
    <w:p w14:paraId="4A6FE452" w14:textId="77777777" w:rsidR="001A40F5" w:rsidRDefault="0098377F">
      <w:pPr>
        <w:pStyle w:val="Body"/>
        <w:spacing w:after="120"/>
        <w:rPr>
          <w:rFonts w:ascii="Arial" w:hAnsi="Arial" w:cs="Arial"/>
          <w:b/>
          <w:bCs/>
          <w:sz w:val="22"/>
          <w:szCs w:val="22"/>
          <w:lang w:val="en-GB"/>
        </w:rPr>
      </w:pPr>
      <w:r>
        <w:rPr>
          <w:rFonts w:ascii="Arial" w:hAnsi="Arial" w:cs="Arial"/>
          <w:b/>
          <w:bCs/>
          <w:sz w:val="22"/>
          <w:szCs w:val="22"/>
          <w:lang w:val="en-GB"/>
        </w:rPr>
        <w:t>2.4 Sample Size and Sampling Technique</w:t>
      </w:r>
    </w:p>
    <w:p w14:paraId="4196EBDD" w14:textId="77777777" w:rsidR="001A40F5" w:rsidRDefault="0098377F">
      <w:pPr>
        <w:pStyle w:val="Body"/>
        <w:spacing w:after="120"/>
        <w:rPr>
          <w:rFonts w:ascii="Arial" w:hAnsi="Arial" w:cs="Arial"/>
          <w:lang w:val="en-GB"/>
        </w:rPr>
      </w:pPr>
      <w:r>
        <w:rPr>
          <w:rFonts w:ascii="Arial" w:hAnsi="Arial" w:cs="Arial"/>
          <w:lang w:val="en-GB"/>
        </w:rPr>
        <w:t>The sample size was determined using standard method</w:t>
      </w:r>
      <w:r>
        <w:rPr>
          <w:rFonts w:ascii="Arial" w:hAnsi="Arial" w:cs="Arial"/>
          <w:lang w:val="en-GB"/>
        </w:rPr>
        <w:t>s for estimating a single population proportion, assuming a 95% confidence level, 5% margin of error, and maximum variability (p = 0.5). This yielded a minimum sample of 385 participants, which was adjusted upward to account for potential non-response. A s</w:t>
      </w:r>
      <w:r>
        <w:rPr>
          <w:rFonts w:ascii="Arial" w:hAnsi="Arial" w:cs="Arial"/>
          <w:lang w:val="en-GB"/>
        </w:rPr>
        <w:t xml:space="preserve">ystematic sampling method was employed at each facility based on patient registration logs, with every </w:t>
      </w:r>
      <w:r>
        <w:rPr>
          <w:rFonts w:ascii="Arial" w:hAnsi="Arial" w:cs="Arial"/>
          <w:i/>
          <w:iCs/>
          <w:lang w:val="en-GB"/>
        </w:rPr>
        <w:t>k-</w:t>
      </w:r>
      <w:proofErr w:type="spellStart"/>
      <w:r>
        <w:rPr>
          <w:rFonts w:ascii="Arial" w:hAnsi="Arial" w:cs="Arial"/>
          <w:i/>
          <w:iCs/>
          <w:lang w:val="en-GB"/>
        </w:rPr>
        <w:t>th</w:t>
      </w:r>
      <w:proofErr w:type="spellEnd"/>
      <w:r>
        <w:rPr>
          <w:rFonts w:ascii="Arial" w:hAnsi="Arial" w:cs="Arial"/>
          <w:lang w:val="en-GB"/>
        </w:rPr>
        <w:t xml:space="preserve"> eligible patient selected according to a predetermined interval.</w:t>
      </w:r>
    </w:p>
    <w:p w14:paraId="55E36177" w14:textId="77777777" w:rsidR="001A40F5" w:rsidRDefault="0098377F">
      <w:pPr>
        <w:pStyle w:val="Body"/>
        <w:spacing w:after="120"/>
        <w:rPr>
          <w:rFonts w:ascii="Arial" w:hAnsi="Arial" w:cs="Arial"/>
          <w:b/>
          <w:bCs/>
          <w:sz w:val="22"/>
          <w:szCs w:val="22"/>
          <w:lang w:val="en-GB"/>
        </w:rPr>
      </w:pPr>
      <w:r>
        <w:rPr>
          <w:rFonts w:ascii="Arial" w:hAnsi="Arial" w:cs="Arial"/>
          <w:b/>
          <w:bCs/>
          <w:sz w:val="22"/>
          <w:szCs w:val="22"/>
          <w:lang w:val="en-GB"/>
        </w:rPr>
        <w:t>2.5 Data Collection</w:t>
      </w:r>
    </w:p>
    <w:p w14:paraId="0F1EE674" w14:textId="77777777" w:rsidR="001A40F5" w:rsidRDefault="0098377F">
      <w:pPr>
        <w:pStyle w:val="Body"/>
        <w:spacing w:after="120"/>
        <w:rPr>
          <w:rFonts w:ascii="Arial" w:hAnsi="Arial" w:cs="Arial"/>
          <w:lang w:val="en-GB"/>
        </w:rPr>
      </w:pPr>
      <w:r>
        <w:rPr>
          <w:rFonts w:ascii="Arial" w:hAnsi="Arial" w:cs="Arial"/>
          <w:lang w:val="en-GB"/>
        </w:rPr>
        <w:t>Data were collected using a structured, interviewer-administere</w:t>
      </w:r>
      <w:r>
        <w:rPr>
          <w:rFonts w:ascii="Arial" w:hAnsi="Arial" w:cs="Arial"/>
          <w:lang w:val="en-GB"/>
        </w:rPr>
        <w:t>d questionnaire that captured sociodemographic characteristics (age, sex, marital status, education, occupation), medical history, and self-reported lifestyle behaviours (physical activity, diet, medication adherence). Anthropometric measurements including</w:t>
      </w:r>
      <w:r>
        <w:rPr>
          <w:rFonts w:ascii="Arial" w:hAnsi="Arial" w:cs="Arial"/>
          <w:lang w:val="en-GB"/>
        </w:rPr>
        <w:t xml:space="preserve"> height, weight, and blood pressure—were taken using standardized protocols. Fasting blood glucose levels were obtained from recent clinical records (within the past 3 months). Body mass index (BMI) was calculated as weight in kilograms divided by the squa</w:t>
      </w:r>
      <w:r>
        <w:rPr>
          <w:rFonts w:ascii="Arial" w:hAnsi="Arial" w:cs="Arial"/>
          <w:lang w:val="en-GB"/>
        </w:rPr>
        <w:t>re of height in meters (kg/m²) and categorized according to WHO standards: underweight (&lt;18.5), normal (18.5–24.9), overweight (25.0–29.9), obese Class I (30.0–34.9), obese Class II (35.0–39.9), and obese Class III (≥40.0).</w:t>
      </w:r>
    </w:p>
    <w:p w14:paraId="2F7BA9E9" w14:textId="77777777" w:rsidR="001A40F5" w:rsidRDefault="0098377F">
      <w:pPr>
        <w:pStyle w:val="Body"/>
        <w:spacing w:after="120"/>
        <w:rPr>
          <w:rFonts w:ascii="Arial" w:hAnsi="Arial" w:cs="Arial"/>
          <w:b/>
          <w:bCs/>
          <w:sz w:val="22"/>
          <w:szCs w:val="22"/>
          <w:lang w:val="en-GB"/>
        </w:rPr>
      </w:pPr>
      <w:r>
        <w:rPr>
          <w:rFonts w:ascii="Arial" w:hAnsi="Arial" w:cs="Arial"/>
          <w:b/>
          <w:bCs/>
          <w:sz w:val="22"/>
          <w:szCs w:val="22"/>
          <w:lang w:val="en-GB"/>
        </w:rPr>
        <w:t>2.6 Variables and Measurement</w:t>
      </w:r>
    </w:p>
    <w:p w14:paraId="36322B35" w14:textId="77777777" w:rsidR="001A40F5" w:rsidRDefault="0098377F">
      <w:pPr>
        <w:pStyle w:val="Body"/>
        <w:spacing w:after="120"/>
        <w:rPr>
          <w:rFonts w:ascii="Arial" w:hAnsi="Arial" w:cs="Arial"/>
          <w:lang w:val="en-GB"/>
        </w:rPr>
      </w:pPr>
      <w:r>
        <w:rPr>
          <w:rFonts w:ascii="Arial" w:hAnsi="Arial" w:cs="Arial"/>
          <w:lang w:val="en-GB"/>
        </w:rPr>
        <w:t>Th</w:t>
      </w:r>
      <w:r>
        <w:rPr>
          <w:rFonts w:ascii="Arial" w:hAnsi="Arial" w:cs="Arial"/>
          <w:lang w:val="en-GB"/>
        </w:rPr>
        <w:t>e primary outcome variable was BMI category. Independent variables included sociodemographic factors (age, sex, education, occupation), clinical status (hypertension, diabetes, comorbidity), fasting blood sugar (high vs. normal), and lifestyle behaviours (</w:t>
      </w:r>
      <w:r>
        <w:rPr>
          <w:rFonts w:ascii="Arial" w:hAnsi="Arial" w:cs="Arial"/>
          <w:lang w:val="en-GB"/>
        </w:rPr>
        <w:t>regular exercise, vegetable intake, salt use, renal check-ups). Comorbidity was defined as the presence of both hypertension and diabetes.</w:t>
      </w:r>
    </w:p>
    <w:p w14:paraId="3DB068BF" w14:textId="77777777" w:rsidR="001A40F5" w:rsidRDefault="0098377F">
      <w:pPr>
        <w:pStyle w:val="Body"/>
        <w:spacing w:after="120"/>
        <w:rPr>
          <w:rFonts w:ascii="Arial" w:hAnsi="Arial" w:cs="Arial"/>
          <w:b/>
          <w:bCs/>
          <w:sz w:val="22"/>
          <w:szCs w:val="22"/>
          <w:lang w:val="en-GB"/>
        </w:rPr>
      </w:pPr>
      <w:r>
        <w:rPr>
          <w:rFonts w:ascii="Arial" w:hAnsi="Arial" w:cs="Arial"/>
          <w:b/>
          <w:bCs/>
          <w:sz w:val="22"/>
          <w:szCs w:val="22"/>
          <w:lang w:val="en-GB"/>
        </w:rPr>
        <w:t>2.7 Data Analysis</w:t>
      </w:r>
    </w:p>
    <w:p w14:paraId="33AF2EB8" w14:textId="77777777" w:rsidR="001A40F5" w:rsidRDefault="0098377F">
      <w:pPr>
        <w:pStyle w:val="Body"/>
        <w:spacing w:after="0"/>
        <w:rPr>
          <w:rFonts w:ascii="Arial" w:hAnsi="Arial" w:cs="Arial"/>
          <w:lang w:val="en-GB"/>
        </w:rPr>
      </w:pPr>
      <w:r>
        <w:rPr>
          <w:rFonts w:ascii="Arial" w:hAnsi="Arial" w:cs="Arial"/>
          <w:lang w:val="en-GB"/>
        </w:rPr>
        <w:t xml:space="preserve">Data were </w:t>
      </w:r>
      <w:proofErr w:type="spellStart"/>
      <w:r>
        <w:rPr>
          <w:rFonts w:ascii="Arial" w:hAnsi="Arial" w:cs="Arial"/>
          <w:lang w:val="en-GB"/>
        </w:rPr>
        <w:t>analyzed</w:t>
      </w:r>
      <w:proofErr w:type="spellEnd"/>
      <w:r>
        <w:rPr>
          <w:rFonts w:ascii="Arial" w:hAnsi="Arial" w:cs="Arial"/>
          <w:lang w:val="en-GB"/>
        </w:rPr>
        <w:t xml:space="preserve"> using MINITAB 22. Descriptive statistics were used to summarize participant char</w:t>
      </w:r>
      <w:r>
        <w:rPr>
          <w:rFonts w:ascii="Arial" w:hAnsi="Arial" w:cs="Arial"/>
          <w:lang w:val="en-GB"/>
        </w:rPr>
        <w:t>acteristics. Chi-square tests were performed to assess associations between categorical variables (e.g., BMI and disease status). Binary logistic regression models were used to identify predictors of BMI, with results presented as adjusted odds ratios (AOR</w:t>
      </w:r>
      <w:r>
        <w:rPr>
          <w:rFonts w:ascii="Arial" w:hAnsi="Arial" w:cs="Arial"/>
          <w:lang w:val="en-GB"/>
        </w:rPr>
        <w:t xml:space="preserve">s) and 95% confidence intervals (CIs). Statistical significance was set at </w:t>
      </w:r>
      <w:r>
        <w:rPr>
          <w:rFonts w:ascii="Arial" w:hAnsi="Arial" w:cs="Arial"/>
          <w:i/>
          <w:iCs/>
          <w:lang w:val="en-GB"/>
        </w:rPr>
        <w:t>p &lt; 0.05</w:t>
      </w:r>
      <w:r>
        <w:rPr>
          <w:rFonts w:ascii="Arial" w:hAnsi="Arial" w:cs="Arial"/>
          <w:lang w:val="en-GB"/>
        </w:rPr>
        <w:t>. Multicollinearity was checked using variance inflation factors (VIF).</w:t>
      </w:r>
    </w:p>
    <w:p w14:paraId="62A01FAF" w14:textId="77777777" w:rsidR="001A40F5" w:rsidRDefault="001A40F5">
      <w:pPr>
        <w:pStyle w:val="Body"/>
        <w:spacing w:after="0"/>
        <w:rPr>
          <w:rFonts w:ascii="Arial" w:hAnsi="Arial" w:cs="Arial"/>
          <w:lang w:val="en-GB"/>
        </w:rPr>
      </w:pPr>
    </w:p>
    <w:p w14:paraId="33EC6A6C" w14:textId="77777777" w:rsidR="001A40F5" w:rsidRDefault="001A40F5">
      <w:pPr>
        <w:pStyle w:val="Body"/>
        <w:spacing w:after="0"/>
        <w:rPr>
          <w:rFonts w:ascii="Arial" w:hAnsi="Arial" w:cs="Arial"/>
        </w:rPr>
      </w:pPr>
    </w:p>
    <w:p w14:paraId="0FBB6FA7" w14:textId="77777777" w:rsidR="001A40F5" w:rsidRDefault="0098377F">
      <w:pPr>
        <w:pStyle w:val="Head1"/>
        <w:spacing w:after="120"/>
        <w:jc w:val="both"/>
        <w:rPr>
          <w:rFonts w:ascii="Arial" w:hAnsi="Arial" w:cs="Arial"/>
        </w:rPr>
      </w:pPr>
      <w:r>
        <w:rPr>
          <w:rFonts w:ascii="Arial" w:hAnsi="Arial" w:cs="Arial"/>
        </w:rPr>
        <w:t xml:space="preserve">3. results </w:t>
      </w:r>
    </w:p>
    <w:p w14:paraId="24B718E9" w14:textId="77777777" w:rsidR="001A40F5" w:rsidRDefault="0098377F">
      <w:pPr>
        <w:keepNext/>
        <w:spacing w:after="200"/>
        <w:jc w:val="both"/>
        <w:rPr>
          <w:rFonts w:ascii="Arial" w:eastAsia="Calibri" w:hAnsi="Arial" w:cs="Arial"/>
          <w:b/>
          <w:bCs/>
          <w:kern w:val="2"/>
          <w:sz w:val="22"/>
          <w:szCs w:val="22"/>
          <w:lang w:val="en-GB"/>
          <w14:ligatures w14:val="standardContextual"/>
        </w:rPr>
      </w:pPr>
      <w:r>
        <w:rPr>
          <w:rFonts w:ascii="Arial" w:eastAsia="Calibri" w:hAnsi="Arial" w:cs="Arial"/>
          <w:b/>
          <w:bCs/>
          <w:kern w:val="2"/>
          <w:sz w:val="22"/>
          <w:szCs w:val="22"/>
          <w:lang w:val="en-GB"/>
          <w14:ligatures w14:val="standardContextual"/>
        </w:rPr>
        <w:t>3.1 Socio-demographic characteristics of study participants in Buea Health District</w:t>
      </w:r>
    </w:p>
    <w:p w14:paraId="1F4361D0" w14:textId="77777777" w:rsidR="001A40F5" w:rsidRDefault="0098377F">
      <w:pPr>
        <w:spacing w:after="16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Tab</w:t>
      </w:r>
      <w:r>
        <w:rPr>
          <w:rFonts w:ascii="Arial" w:eastAsia="Calibri" w:hAnsi="Arial" w:cs="Arial"/>
          <w:kern w:val="2"/>
          <w:lang w:val="en-GB"/>
          <w14:ligatures w14:val="standardContextual"/>
        </w:rPr>
        <w:t>le 1 presents the distribution of participants with diabetes and hypertension comorbidity (test group) versus those without (control group) across various sociodemographic variables in the Buea Health District. Among sexes, males show a slightly higher pre</w:t>
      </w:r>
      <w:r>
        <w:rPr>
          <w:rFonts w:ascii="Arial" w:eastAsia="Calibri" w:hAnsi="Arial" w:cs="Arial"/>
          <w:kern w:val="2"/>
          <w:lang w:val="en-GB"/>
          <w14:ligatures w14:val="standardContextual"/>
        </w:rPr>
        <w:t>valence of comorbidity (53.1%) compared to females (48.3%). Marital status reveals that widowed individuals have the highest comorbidity rate (57.5%), possibly reflecting age-related vulnerability, while singles and divorced participants show lower rates o</w:t>
      </w:r>
      <w:r>
        <w:rPr>
          <w:rFonts w:ascii="Arial" w:eastAsia="Calibri" w:hAnsi="Arial" w:cs="Arial"/>
          <w:kern w:val="2"/>
          <w:lang w:val="en-GB"/>
          <w14:ligatures w14:val="standardContextual"/>
        </w:rPr>
        <w:t xml:space="preserve">f 38.2% and 33.3% respectively. Education level appears inversely related to comorbidity: individuals with tertiary </w:t>
      </w:r>
      <w:r>
        <w:rPr>
          <w:rFonts w:ascii="Arial" w:eastAsia="Calibri" w:hAnsi="Arial" w:cs="Arial"/>
          <w:kern w:val="2"/>
          <w:lang w:val="en-GB"/>
          <w14:ligatures w14:val="standardContextual"/>
        </w:rPr>
        <w:lastRenderedPageBreak/>
        <w:t xml:space="preserve">education have the lowest prevalence (30.8%), while those with only primary education show the highest (63.1%). </w:t>
      </w:r>
    </w:p>
    <w:p w14:paraId="770C20C1" w14:textId="77777777" w:rsidR="001A40F5" w:rsidRDefault="0098377F">
      <w:pPr>
        <w:spacing w:after="16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Occupational data further r</w:t>
      </w:r>
      <w:r>
        <w:rPr>
          <w:rFonts w:ascii="Arial" w:eastAsia="Calibri" w:hAnsi="Arial" w:cs="Arial"/>
          <w:kern w:val="2"/>
          <w:lang w:val="en-GB"/>
          <w14:ligatures w14:val="standardContextual"/>
        </w:rPr>
        <w:t>einforces socioeconomic influences. Farmers and students exhibit notably high comorbidity rates of 70.0% and 66.7% respectively (Table 1). In contrast, private sector workers and the unemployed show lower prevalence of 38.3% and 42.5% respectively. Age str</w:t>
      </w:r>
      <w:r>
        <w:rPr>
          <w:rFonts w:ascii="Arial" w:eastAsia="Calibri" w:hAnsi="Arial" w:cs="Arial"/>
          <w:kern w:val="2"/>
          <w:lang w:val="en-GB"/>
          <w14:ligatures w14:val="standardContextual"/>
        </w:rPr>
        <w:t>atification reveals a clear trend: comorbidity increases with age, peaking between 61–80 years (55.8%–56.3%) while the younger age groups (20–40 years) show markedly lower rates of 22.7%–33.3% (Table 1).</w:t>
      </w:r>
    </w:p>
    <w:p w14:paraId="27519529" w14:textId="77777777" w:rsidR="001A40F5" w:rsidRDefault="0098377F">
      <w:pPr>
        <w:keepNext/>
        <w:spacing w:after="200" w:line="259" w:lineRule="auto"/>
        <w:jc w:val="both"/>
        <w:rPr>
          <w:rFonts w:ascii="Arial" w:eastAsia="Calibri" w:hAnsi="Arial" w:cs="Arial"/>
          <w:b/>
          <w:bCs/>
          <w:kern w:val="2"/>
          <w:sz w:val="22"/>
          <w:szCs w:val="22"/>
          <w:lang w:val="en-GB"/>
          <w14:ligatures w14:val="standardContextual"/>
        </w:rPr>
      </w:pPr>
      <w:r>
        <w:rPr>
          <w:rFonts w:ascii="Arial" w:eastAsia="Calibri" w:hAnsi="Arial" w:cs="Arial"/>
          <w:b/>
          <w:bCs/>
          <w:kern w:val="2"/>
          <w:lang w:val="en-GB"/>
          <w14:ligatures w14:val="standardContextual"/>
        </w:rPr>
        <w:t xml:space="preserve">Table 1. Socio-demographic characteristics of study </w:t>
      </w:r>
      <w:r>
        <w:rPr>
          <w:rFonts w:ascii="Arial" w:eastAsia="Calibri" w:hAnsi="Arial" w:cs="Arial"/>
          <w:b/>
          <w:bCs/>
          <w:kern w:val="2"/>
          <w:lang w:val="en-GB"/>
          <w14:ligatures w14:val="standardContextual"/>
        </w:rPr>
        <w:t>participants in Buea Health District</w:t>
      </w:r>
    </w:p>
    <w:tbl>
      <w:tblPr>
        <w:tblStyle w:val="ListTable6Colorful1"/>
        <w:tblW w:w="0" w:type="auto"/>
        <w:tblLook w:val="04A0" w:firstRow="1" w:lastRow="0" w:firstColumn="1" w:lastColumn="0" w:noHBand="0" w:noVBand="1"/>
      </w:tblPr>
      <w:tblGrid>
        <w:gridCol w:w="1560"/>
        <w:gridCol w:w="2551"/>
        <w:gridCol w:w="1134"/>
        <w:gridCol w:w="1559"/>
      </w:tblGrid>
      <w:tr w:rsidR="001A40F5" w14:paraId="7CB80652" w14:textId="77777777" w:rsidTr="001A40F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560" w:type="dxa"/>
            <w:noWrap/>
          </w:tcPr>
          <w:p w14:paraId="7FD401E9" w14:textId="77777777" w:rsidR="001A40F5" w:rsidRDefault="0098377F">
            <w:pPr>
              <w:rPr>
                <w:rFonts w:ascii="Arial" w:hAnsi="Arial" w:cs="Arial"/>
                <w:b w:val="0"/>
                <w:bCs w:val="0"/>
                <w:sz w:val="20"/>
                <w:szCs w:val="20"/>
              </w:rPr>
            </w:pPr>
            <w:r>
              <w:rPr>
                <w:rFonts w:ascii="Arial" w:hAnsi="Arial" w:cs="Arial"/>
                <w:sz w:val="20"/>
                <w:szCs w:val="20"/>
              </w:rPr>
              <w:t> Variable</w:t>
            </w:r>
          </w:p>
        </w:tc>
        <w:tc>
          <w:tcPr>
            <w:tcW w:w="2551" w:type="dxa"/>
            <w:noWrap/>
          </w:tcPr>
          <w:p w14:paraId="035A3472" w14:textId="77777777" w:rsidR="001A40F5" w:rsidRDefault="0098377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Sub-variable </w:t>
            </w:r>
          </w:p>
        </w:tc>
        <w:tc>
          <w:tcPr>
            <w:tcW w:w="1134" w:type="dxa"/>
            <w:noWrap/>
          </w:tcPr>
          <w:p w14:paraId="369AA300" w14:textId="77777777" w:rsidR="001A40F5" w:rsidRDefault="0098377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Test (%)</w:t>
            </w:r>
          </w:p>
        </w:tc>
        <w:tc>
          <w:tcPr>
            <w:tcW w:w="1559" w:type="dxa"/>
            <w:noWrap/>
          </w:tcPr>
          <w:p w14:paraId="656C0992" w14:textId="77777777" w:rsidR="001A40F5" w:rsidRDefault="0098377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Pr>
                <w:rFonts w:ascii="Arial" w:hAnsi="Arial" w:cs="Arial"/>
                <w:sz w:val="20"/>
                <w:szCs w:val="20"/>
              </w:rPr>
              <w:t>Control (%)</w:t>
            </w:r>
          </w:p>
        </w:tc>
      </w:tr>
      <w:tr w:rsidR="001A40F5" w14:paraId="51EB4E00"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noWrap/>
          </w:tcPr>
          <w:p w14:paraId="3AD7614A" w14:textId="77777777" w:rsidR="001A40F5" w:rsidRDefault="0098377F">
            <w:pPr>
              <w:rPr>
                <w:rFonts w:ascii="Arial" w:hAnsi="Arial" w:cs="Arial"/>
                <w:b w:val="0"/>
                <w:bCs w:val="0"/>
                <w:sz w:val="20"/>
                <w:szCs w:val="20"/>
              </w:rPr>
            </w:pPr>
            <w:r>
              <w:rPr>
                <w:rFonts w:ascii="Arial" w:hAnsi="Arial" w:cs="Arial"/>
                <w:sz w:val="20"/>
                <w:szCs w:val="20"/>
              </w:rPr>
              <w:t xml:space="preserve">Sex </w:t>
            </w:r>
          </w:p>
        </w:tc>
        <w:tc>
          <w:tcPr>
            <w:tcW w:w="2551" w:type="dxa"/>
            <w:noWrap/>
          </w:tcPr>
          <w:p w14:paraId="73BC2421"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Female</w:t>
            </w:r>
          </w:p>
        </w:tc>
        <w:tc>
          <w:tcPr>
            <w:tcW w:w="1134" w:type="dxa"/>
            <w:noWrap/>
          </w:tcPr>
          <w:p w14:paraId="13C2F47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48.3</w:t>
            </w:r>
          </w:p>
        </w:tc>
        <w:tc>
          <w:tcPr>
            <w:tcW w:w="1559" w:type="dxa"/>
            <w:noWrap/>
          </w:tcPr>
          <w:p w14:paraId="3928164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51.7</w:t>
            </w:r>
          </w:p>
        </w:tc>
      </w:tr>
      <w:tr w:rsidR="001A40F5" w14:paraId="11FF37F6"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noWrap/>
          </w:tcPr>
          <w:p w14:paraId="4B1C3648" w14:textId="77777777" w:rsidR="001A40F5" w:rsidRDefault="001A40F5">
            <w:pPr>
              <w:rPr>
                <w:rFonts w:ascii="Arial" w:hAnsi="Arial" w:cs="Arial"/>
                <w:b w:val="0"/>
                <w:bCs w:val="0"/>
                <w:sz w:val="20"/>
                <w:szCs w:val="20"/>
              </w:rPr>
            </w:pPr>
          </w:p>
        </w:tc>
        <w:tc>
          <w:tcPr>
            <w:tcW w:w="2551" w:type="dxa"/>
            <w:tcBorders>
              <w:bottom w:val="single" w:sz="4" w:space="0" w:color="auto"/>
            </w:tcBorders>
            <w:noWrap/>
          </w:tcPr>
          <w:p w14:paraId="145B51A9"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Male</w:t>
            </w:r>
          </w:p>
        </w:tc>
        <w:tc>
          <w:tcPr>
            <w:tcW w:w="1134" w:type="dxa"/>
            <w:tcBorders>
              <w:bottom w:val="single" w:sz="4" w:space="0" w:color="auto"/>
            </w:tcBorders>
            <w:noWrap/>
          </w:tcPr>
          <w:p w14:paraId="0E586A4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53.1</w:t>
            </w:r>
          </w:p>
        </w:tc>
        <w:tc>
          <w:tcPr>
            <w:tcW w:w="1559" w:type="dxa"/>
            <w:tcBorders>
              <w:bottom w:val="single" w:sz="4" w:space="0" w:color="auto"/>
            </w:tcBorders>
            <w:noWrap/>
          </w:tcPr>
          <w:p w14:paraId="70F2143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46.9</w:t>
            </w:r>
          </w:p>
        </w:tc>
      </w:tr>
      <w:tr w:rsidR="001A40F5" w14:paraId="67309258"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noWrap/>
          </w:tcPr>
          <w:p w14:paraId="07129D15" w14:textId="77777777" w:rsidR="001A40F5" w:rsidRDefault="001A40F5">
            <w:pPr>
              <w:rPr>
                <w:rFonts w:ascii="Arial" w:hAnsi="Arial" w:cs="Arial"/>
                <w:b w:val="0"/>
                <w:bCs w:val="0"/>
                <w:sz w:val="20"/>
                <w:szCs w:val="20"/>
              </w:rPr>
            </w:pPr>
          </w:p>
          <w:p w14:paraId="7020D165" w14:textId="77777777" w:rsidR="001A40F5" w:rsidRDefault="0098377F">
            <w:pPr>
              <w:rPr>
                <w:rFonts w:ascii="Arial" w:hAnsi="Arial" w:cs="Arial"/>
                <w:b w:val="0"/>
                <w:bCs w:val="0"/>
                <w:sz w:val="20"/>
                <w:szCs w:val="20"/>
              </w:rPr>
            </w:pPr>
            <w:r>
              <w:rPr>
                <w:rFonts w:ascii="Arial" w:hAnsi="Arial" w:cs="Arial"/>
                <w:sz w:val="20"/>
                <w:szCs w:val="20"/>
              </w:rPr>
              <w:t>Marital status</w:t>
            </w:r>
          </w:p>
        </w:tc>
        <w:tc>
          <w:tcPr>
            <w:tcW w:w="2551" w:type="dxa"/>
            <w:tcBorders>
              <w:top w:val="single" w:sz="4" w:space="0" w:color="auto"/>
            </w:tcBorders>
            <w:noWrap/>
          </w:tcPr>
          <w:p w14:paraId="360DF452"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Divorced</w:t>
            </w:r>
          </w:p>
        </w:tc>
        <w:tc>
          <w:tcPr>
            <w:tcW w:w="1134" w:type="dxa"/>
            <w:tcBorders>
              <w:top w:val="single" w:sz="4" w:space="0" w:color="auto"/>
            </w:tcBorders>
            <w:noWrap/>
          </w:tcPr>
          <w:p w14:paraId="5062C58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33.3</w:t>
            </w:r>
          </w:p>
        </w:tc>
        <w:tc>
          <w:tcPr>
            <w:tcW w:w="1559" w:type="dxa"/>
            <w:tcBorders>
              <w:top w:val="single" w:sz="4" w:space="0" w:color="auto"/>
            </w:tcBorders>
            <w:noWrap/>
          </w:tcPr>
          <w:p w14:paraId="7840C0C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66.7</w:t>
            </w:r>
          </w:p>
        </w:tc>
      </w:tr>
      <w:tr w:rsidR="001A40F5" w14:paraId="580F2A22"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4D6B2424" w14:textId="77777777" w:rsidR="001A40F5" w:rsidRDefault="001A40F5">
            <w:pPr>
              <w:rPr>
                <w:rFonts w:ascii="Arial" w:hAnsi="Arial" w:cs="Arial"/>
                <w:b w:val="0"/>
                <w:bCs w:val="0"/>
                <w:sz w:val="20"/>
                <w:szCs w:val="20"/>
              </w:rPr>
            </w:pPr>
          </w:p>
        </w:tc>
        <w:tc>
          <w:tcPr>
            <w:tcW w:w="2551" w:type="dxa"/>
            <w:noWrap/>
          </w:tcPr>
          <w:p w14:paraId="225661AE"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Married</w:t>
            </w:r>
          </w:p>
        </w:tc>
        <w:tc>
          <w:tcPr>
            <w:tcW w:w="1134" w:type="dxa"/>
            <w:noWrap/>
          </w:tcPr>
          <w:p w14:paraId="66EE199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50.6</w:t>
            </w:r>
          </w:p>
        </w:tc>
        <w:tc>
          <w:tcPr>
            <w:tcW w:w="1559" w:type="dxa"/>
            <w:noWrap/>
          </w:tcPr>
          <w:p w14:paraId="5757A2D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49.4</w:t>
            </w:r>
          </w:p>
        </w:tc>
      </w:tr>
      <w:tr w:rsidR="001A40F5" w14:paraId="647B0863"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58D0493F" w14:textId="77777777" w:rsidR="001A40F5" w:rsidRDefault="001A40F5">
            <w:pPr>
              <w:rPr>
                <w:rFonts w:ascii="Arial" w:hAnsi="Arial" w:cs="Arial"/>
                <w:b w:val="0"/>
                <w:bCs w:val="0"/>
                <w:sz w:val="20"/>
                <w:szCs w:val="20"/>
              </w:rPr>
            </w:pPr>
          </w:p>
        </w:tc>
        <w:tc>
          <w:tcPr>
            <w:tcW w:w="2551" w:type="dxa"/>
            <w:noWrap/>
          </w:tcPr>
          <w:p w14:paraId="4996C922"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Single</w:t>
            </w:r>
          </w:p>
        </w:tc>
        <w:tc>
          <w:tcPr>
            <w:tcW w:w="1134" w:type="dxa"/>
            <w:noWrap/>
          </w:tcPr>
          <w:p w14:paraId="38AEEFA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38.2</w:t>
            </w:r>
          </w:p>
        </w:tc>
        <w:tc>
          <w:tcPr>
            <w:tcW w:w="1559" w:type="dxa"/>
            <w:noWrap/>
          </w:tcPr>
          <w:p w14:paraId="2A2B9189"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61.8</w:t>
            </w:r>
          </w:p>
        </w:tc>
      </w:tr>
      <w:tr w:rsidR="001A40F5" w14:paraId="52E35A31"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noWrap/>
          </w:tcPr>
          <w:p w14:paraId="5EFDB314" w14:textId="77777777" w:rsidR="001A40F5" w:rsidRDefault="001A40F5">
            <w:pPr>
              <w:rPr>
                <w:rFonts w:ascii="Arial" w:hAnsi="Arial" w:cs="Arial"/>
                <w:b w:val="0"/>
                <w:bCs w:val="0"/>
                <w:sz w:val="20"/>
                <w:szCs w:val="20"/>
              </w:rPr>
            </w:pPr>
          </w:p>
        </w:tc>
        <w:tc>
          <w:tcPr>
            <w:tcW w:w="2551" w:type="dxa"/>
            <w:tcBorders>
              <w:bottom w:val="single" w:sz="4" w:space="0" w:color="auto"/>
            </w:tcBorders>
            <w:noWrap/>
          </w:tcPr>
          <w:p w14:paraId="45CBDC6F"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Widow(ed)</w:t>
            </w:r>
          </w:p>
        </w:tc>
        <w:tc>
          <w:tcPr>
            <w:tcW w:w="1134" w:type="dxa"/>
            <w:tcBorders>
              <w:bottom w:val="single" w:sz="4" w:space="0" w:color="auto"/>
            </w:tcBorders>
            <w:noWrap/>
          </w:tcPr>
          <w:p w14:paraId="38D463D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57.5</w:t>
            </w:r>
          </w:p>
        </w:tc>
        <w:tc>
          <w:tcPr>
            <w:tcW w:w="1559" w:type="dxa"/>
            <w:tcBorders>
              <w:bottom w:val="single" w:sz="4" w:space="0" w:color="auto"/>
            </w:tcBorders>
            <w:noWrap/>
          </w:tcPr>
          <w:p w14:paraId="47062C6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42.5</w:t>
            </w:r>
          </w:p>
        </w:tc>
      </w:tr>
      <w:tr w:rsidR="001A40F5" w14:paraId="65D0B35D"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noWrap/>
          </w:tcPr>
          <w:p w14:paraId="7707E8A8" w14:textId="77777777" w:rsidR="001A40F5" w:rsidRDefault="001A40F5">
            <w:pPr>
              <w:rPr>
                <w:rFonts w:ascii="Arial" w:hAnsi="Arial" w:cs="Arial"/>
                <w:b w:val="0"/>
                <w:bCs w:val="0"/>
                <w:sz w:val="20"/>
                <w:szCs w:val="20"/>
              </w:rPr>
            </w:pPr>
          </w:p>
          <w:p w14:paraId="05757397" w14:textId="77777777" w:rsidR="001A40F5" w:rsidRDefault="001A40F5">
            <w:pPr>
              <w:rPr>
                <w:rFonts w:ascii="Arial" w:hAnsi="Arial" w:cs="Arial"/>
                <w:b w:val="0"/>
                <w:bCs w:val="0"/>
                <w:sz w:val="20"/>
                <w:szCs w:val="20"/>
              </w:rPr>
            </w:pPr>
          </w:p>
          <w:p w14:paraId="05E01365" w14:textId="77777777" w:rsidR="001A40F5" w:rsidRDefault="0098377F">
            <w:pPr>
              <w:rPr>
                <w:rFonts w:ascii="Arial" w:hAnsi="Arial" w:cs="Arial"/>
                <w:b w:val="0"/>
                <w:bCs w:val="0"/>
                <w:sz w:val="20"/>
                <w:szCs w:val="20"/>
              </w:rPr>
            </w:pPr>
            <w:r>
              <w:rPr>
                <w:rFonts w:ascii="Arial" w:hAnsi="Arial" w:cs="Arial"/>
                <w:sz w:val="20"/>
                <w:szCs w:val="20"/>
              </w:rPr>
              <w:t>Education</w:t>
            </w:r>
          </w:p>
        </w:tc>
        <w:tc>
          <w:tcPr>
            <w:tcW w:w="2551" w:type="dxa"/>
            <w:tcBorders>
              <w:top w:val="single" w:sz="4" w:space="0" w:color="auto"/>
            </w:tcBorders>
            <w:noWrap/>
          </w:tcPr>
          <w:p w14:paraId="0054AB43"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No Formal education</w:t>
            </w:r>
          </w:p>
        </w:tc>
        <w:tc>
          <w:tcPr>
            <w:tcW w:w="1134" w:type="dxa"/>
            <w:tcBorders>
              <w:top w:val="single" w:sz="4" w:space="0" w:color="auto"/>
            </w:tcBorders>
            <w:noWrap/>
          </w:tcPr>
          <w:p w14:paraId="4B3AEB3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48.1</w:t>
            </w:r>
          </w:p>
        </w:tc>
        <w:tc>
          <w:tcPr>
            <w:tcW w:w="1559" w:type="dxa"/>
            <w:tcBorders>
              <w:top w:val="single" w:sz="4" w:space="0" w:color="auto"/>
            </w:tcBorders>
            <w:noWrap/>
          </w:tcPr>
          <w:p w14:paraId="2E5DF6C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51.9</w:t>
            </w:r>
          </w:p>
        </w:tc>
      </w:tr>
      <w:tr w:rsidR="001A40F5" w14:paraId="29DCBFD4"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127DE1C9" w14:textId="77777777" w:rsidR="001A40F5" w:rsidRDefault="001A40F5">
            <w:pPr>
              <w:rPr>
                <w:rFonts w:ascii="Arial" w:hAnsi="Arial" w:cs="Arial"/>
                <w:b w:val="0"/>
                <w:bCs w:val="0"/>
                <w:sz w:val="20"/>
                <w:szCs w:val="20"/>
              </w:rPr>
            </w:pPr>
          </w:p>
        </w:tc>
        <w:tc>
          <w:tcPr>
            <w:tcW w:w="2551" w:type="dxa"/>
            <w:noWrap/>
          </w:tcPr>
          <w:p w14:paraId="024B9E2F"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Primary</w:t>
            </w:r>
          </w:p>
        </w:tc>
        <w:tc>
          <w:tcPr>
            <w:tcW w:w="1134" w:type="dxa"/>
            <w:noWrap/>
          </w:tcPr>
          <w:p w14:paraId="2A00337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63.1</w:t>
            </w:r>
          </w:p>
        </w:tc>
        <w:tc>
          <w:tcPr>
            <w:tcW w:w="1559" w:type="dxa"/>
            <w:noWrap/>
          </w:tcPr>
          <w:p w14:paraId="64C30D29"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38.7</w:t>
            </w:r>
          </w:p>
        </w:tc>
      </w:tr>
      <w:tr w:rsidR="001A40F5" w14:paraId="5E8C57F2"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14B7EB01" w14:textId="77777777" w:rsidR="001A40F5" w:rsidRDefault="001A40F5">
            <w:pPr>
              <w:rPr>
                <w:rFonts w:ascii="Arial" w:hAnsi="Arial" w:cs="Arial"/>
                <w:b w:val="0"/>
                <w:bCs w:val="0"/>
                <w:sz w:val="20"/>
                <w:szCs w:val="20"/>
              </w:rPr>
            </w:pPr>
          </w:p>
        </w:tc>
        <w:tc>
          <w:tcPr>
            <w:tcW w:w="2551" w:type="dxa"/>
            <w:noWrap/>
          </w:tcPr>
          <w:p w14:paraId="6EBF47AC"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Secondary</w:t>
            </w:r>
          </w:p>
        </w:tc>
        <w:tc>
          <w:tcPr>
            <w:tcW w:w="1134" w:type="dxa"/>
            <w:noWrap/>
          </w:tcPr>
          <w:p w14:paraId="3B2D882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46.5</w:t>
            </w:r>
          </w:p>
        </w:tc>
        <w:tc>
          <w:tcPr>
            <w:tcW w:w="1559" w:type="dxa"/>
            <w:noWrap/>
          </w:tcPr>
          <w:p w14:paraId="5CCDCF0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53.5</w:t>
            </w:r>
          </w:p>
        </w:tc>
      </w:tr>
      <w:tr w:rsidR="001A40F5" w14:paraId="0FDBA79D"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noWrap/>
          </w:tcPr>
          <w:p w14:paraId="4916CA49" w14:textId="77777777" w:rsidR="001A40F5" w:rsidRDefault="001A40F5">
            <w:pPr>
              <w:rPr>
                <w:rFonts w:ascii="Arial" w:hAnsi="Arial" w:cs="Arial"/>
                <w:b w:val="0"/>
                <w:bCs w:val="0"/>
                <w:sz w:val="20"/>
                <w:szCs w:val="20"/>
              </w:rPr>
            </w:pPr>
          </w:p>
        </w:tc>
        <w:tc>
          <w:tcPr>
            <w:tcW w:w="2551" w:type="dxa"/>
            <w:tcBorders>
              <w:bottom w:val="single" w:sz="4" w:space="0" w:color="auto"/>
            </w:tcBorders>
            <w:noWrap/>
          </w:tcPr>
          <w:p w14:paraId="0A5B3787"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Tertiary</w:t>
            </w:r>
          </w:p>
        </w:tc>
        <w:tc>
          <w:tcPr>
            <w:tcW w:w="1134" w:type="dxa"/>
            <w:tcBorders>
              <w:bottom w:val="single" w:sz="4" w:space="0" w:color="auto"/>
            </w:tcBorders>
            <w:noWrap/>
          </w:tcPr>
          <w:p w14:paraId="686DE3D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30.8</w:t>
            </w:r>
          </w:p>
        </w:tc>
        <w:tc>
          <w:tcPr>
            <w:tcW w:w="1559" w:type="dxa"/>
            <w:tcBorders>
              <w:bottom w:val="single" w:sz="4" w:space="0" w:color="auto"/>
            </w:tcBorders>
            <w:noWrap/>
          </w:tcPr>
          <w:p w14:paraId="5AC9EED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69.2</w:t>
            </w:r>
          </w:p>
        </w:tc>
      </w:tr>
      <w:tr w:rsidR="001A40F5" w14:paraId="194A55BA"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noWrap/>
          </w:tcPr>
          <w:p w14:paraId="78B9E3C9" w14:textId="77777777" w:rsidR="001A40F5" w:rsidRDefault="001A40F5">
            <w:pPr>
              <w:rPr>
                <w:rFonts w:ascii="Arial" w:hAnsi="Arial" w:cs="Arial"/>
                <w:b w:val="0"/>
                <w:bCs w:val="0"/>
                <w:sz w:val="20"/>
                <w:szCs w:val="20"/>
              </w:rPr>
            </w:pPr>
          </w:p>
          <w:p w14:paraId="0E64873D" w14:textId="77777777" w:rsidR="001A40F5" w:rsidRDefault="001A40F5">
            <w:pPr>
              <w:rPr>
                <w:rFonts w:ascii="Arial" w:hAnsi="Arial" w:cs="Arial"/>
                <w:b w:val="0"/>
                <w:bCs w:val="0"/>
                <w:sz w:val="20"/>
                <w:szCs w:val="20"/>
              </w:rPr>
            </w:pPr>
          </w:p>
          <w:p w14:paraId="41A4F452" w14:textId="77777777" w:rsidR="001A40F5" w:rsidRDefault="0098377F">
            <w:pPr>
              <w:rPr>
                <w:rFonts w:ascii="Arial" w:hAnsi="Arial" w:cs="Arial"/>
                <w:b w:val="0"/>
                <w:bCs w:val="0"/>
                <w:sz w:val="20"/>
                <w:szCs w:val="20"/>
              </w:rPr>
            </w:pPr>
            <w:r>
              <w:rPr>
                <w:rFonts w:ascii="Arial" w:hAnsi="Arial" w:cs="Arial"/>
                <w:sz w:val="20"/>
                <w:szCs w:val="20"/>
              </w:rPr>
              <w:t>Occupation</w:t>
            </w:r>
          </w:p>
        </w:tc>
        <w:tc>
          <w:tcPr>
            <w:tcW w:w="2551" w:type="dxa"/>
            <w:tcBorders>
              <w:top w:val="single" w:sz="4" w:space="0" w:color="auto"/>
            </w:tcBorders>
            <w:noWrap/>
          </w:tcPr>
          <w:p w14:paraId="703DBA5D"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Civil Servant</w:t>
            </w:r>
          </w:p>
        </w:tc>
        <w:tc>
          <w:tcPr>
            <w:tcW w:w="1134" w:type="dxa"/>
            <w:tcBorders>
              <w:top w:val="single" w:sz="4" w:space="0" w:color="auto"/>
            </w:tcBorders>
            <w:noWrap/>
          </w:tcPr>
          <w:p w14:paraId="0B23740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55.6</w:t>
            </w:r>
          </w:p>
        </w:tc>
        <w:tc>
          <w:tcPr>
            <w:tcW w:w="1559" w:type="dxa"/>
            <w:tcBorders>
              <w:top w:val="single" w:sz="4" w:space="0" w:color="auto"/>
            </w:tcBorders>
            <w:noWrap/>
          </w:tcPr>
          <w:p w14:paraId="6A27F0B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44.4</w:t>
            </w:r>
          </w:p>
        </w:tc>
      </w:tr>
      <w:tr w:rsidR="001A40F5" w14:paraId="2E28069E"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53C791B7" w14:textId="77777777" w:rsidR="001A40F5" w:rsidRDefault="001A40F5">
            <w:pPr>
              <w:rPr>
                <w:rFonts w:ascii="Arial" w:hAnsi="Arial" w:cs="Arial"/>
                <w:b w:val="0"/>
                <w:bCs w:val="0"/>
                <w:sz w:val="20"/>
                <w:szCs w:val="20"/>
              </w:rPr>
            </w:pPr>
          </w:p>
        </w:tc>
        <w:tc>
          <w:tcPr>
            <w:tcW w:w="2551" w:type="dxa"/>
            <w:noWrap/>
          </w:tcPr>
          <w:p w14:paraId="2A2E0ED2"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Farmer</w:t>
            </w:r>
          </w:p>
        </w:tc>
        <w:tc>
          <w:tcPr>
            <w:tcW w:w="1134" w:type="dxa"/>
            <w:noWrap/>
          </w:tcPr>
          <w:p w14:paraId="43FB530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70</w:t>
            </w:r>
          </w:p>
        </w:tc>
        <w:tc>
          <w:tcPr>
            <w:tcW w:w="1559" w:type="dxa"/>
            <w:noWrap/>
          </w:tcPr>
          <w:p w14:paraId="1BABF02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30</w:t>
            </w:r>
          </w:p>
        </w:tc>
      </w:tr>
      <w:tr w:rsidR="001A40F5" w14:paraId="2CED6ACD"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5092B310" w14:textId="77777777" w:rsidR="001A40F5" w:rsidRDefault="001A40F5">
            <w:pPr>
              <w:rPr>
                <w:rFonts w:ascii="Arial" w:hAnsi="Arial" w:cs="Arial"/>
                <w:b w:val="0"/>
                <w:bCs w:val="0"/>
                <w:sz w:val="20"/>
                <w:szCs w:val="20"/>
              </w:rPr>
            </w:pPr>
          </w:p>
        </w:tc>
        <w:tc>
          <w:tcPr>
            <w:tcW w:w="2551" w:type="dxa"/>
            <w:noWrap/>
          </w:tcPr>
          <w:p w14:paraId="26EC5A96"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Private sector</w:t>
            </w:r>
          </w:p>
        </w:tc>
        <w:tc>
          <w:tcPr>
            <w:tcW w:w="1134" w:type="dxa"/>
            <w:noWrap/>
          </w:tcPr>
          <w:p w14:paraId="545BE3F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38.3</w:t>
            </w:r>
          </w:p>
        </w:tc>
        <w:tc>
          <w:tcPr>
            <w:tcW w:w="1559" w:type="dxa"/>
            <w:noWrap/>
          </w:tcPr>
          <w:p w14:paraId="644457E9"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61.7</w:t>
            </w:r>
          </w:p>
        </w:tc>
      </w:tr>
      <w:tr w:rsidR="001A40F5" w14:paraId="5DD5E1AC"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2B26F631" w14:textId="77777777" w:rsidR="001A40F5" w:rsidRDefault="001A40F5">
            <w:pPr>
              <w:rPr>
                <w:rFonts w:ascii="Arial" w:hAnsi="Arial" w:cs="Arial"/>
                <w:b w:val="0"/>
                <w:bCs w:val="0"/>
                <w:sz w:val="20"/>
                <w:szCs w:val="20"/>
              </w:rPr>
            </w:pPr>
          </w:p>
        </w:tc>
        <w:tc>
          <w:tcPr>
            <w:tcW w:w="2551" w:type="dxa"/>
            <w:noWrap/>
          </w:tcPr>
          <w:p w14:paraId="10BF86BA"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Student</w:t>
            </w:r>
          </w:p>
        </w:tc>
        <w:tc>
          <w:tcPr>
            <w:tcW w:w="1134" w:type="dxa"/>
            <w:noWrap/>
          </w:tcPr>
          <w:p w14:paraId="1EA047A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66.7</w:t>
            </w:r>
          </w:p>
        </w:tc>
        <w:tc>
          <w:tcPr>
            <w:tcW w:w="1559" w:type="dxa"/>
            <w:noWrap/>
          </w:tcPr>
          <w:p w14:paraId="05E92FA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33.3</w:t>
            </w:r>
          </w:p>
        </w:tc>
      </w:tr>
      <w:tr w:rsidR="001A40F5" w14:paraId="7ED21283"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tcBorders>
              <w:bottom w:val="single" w:sz="4" w:space="0" w:color="auto"/>
            </w:tcBorders>
            <w:noWrap/>
          </w:tcPr>
          <w:p w14:paraId="713F72AD" w14:textId="77777777" w:rsidR="001A40F5" w:rsidRDefault="001A40F5">
            <w:pPr>
              <w:rPr>
                <w:rFonts w:ascii="Arial" w:hAnsi="Arial" w:cs="Arial"/>
                <w:b w:val="0"/>
                <w:bCs w:val="0"/>
                <w:sz w:val="20"/>
                <w:szCs w:val="20"/>
              </w:rPr>
            </w:pPr>
          </w:p>
        </w:tc>
        <w:tc>
          <w:tcPr>
            <w:tcW w:w="2551" w:type="dxa"/>
            <w:tcBorders>
              <w:bottom w:val="single" w:sz="4" w:space="0" w:color="auto"/>
            </w:tcBorders>
            <w:noWrap/>
          </w:tcPr>
          <w:p w14:paraId="2A1F45F8"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Unemployed</w:t>
            </w:r>
          </w:p>
        </w:tc>
        <w:tc>
          <w:tcPr>
            <w:tcW w:w="1134" w:type="dxa"/>
            <w:tcBorders>
              <w:bottom w:val="single" w:sz="4" w:space="0" w:color="auto"/>
            </w:tcBorders>
            <w:noWrap/>
          </w:tcPr>
          <w:p w14:paraId="0CCBFCF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42.5</w:t>
            </w:r>
          </w:p>
        </w:tc>
        <w:tc>
          <w:tcPr>
            <w:tcW w:w="1559" w:type="dxa"/>
            <w:tcBorders>
              <w:bottom w:val="single" w:sz="4" w:space="0" w:color="auto"/>
            </w:tcBorders>
            <w:noWrap/>
          </w:tcPr>
          <w:p w14:paraId="08B40FE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57.5</w:t>
            </w:r>
          </w:p>
        </w:tc>
      </w:tr>
      <w:tr w:rsidR="001A40F5" w14:paraId="1E3BCC2E"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val="restart"/>
            <w:tcBorders>
              <w:top w:val="single" w:sz="4" w:space="0" w:color="auto"/>
            </w:tcBorders>
            <w:noWrap/>
          </w:tcPr>
          <w:p w14:paraId="5C1D1B62" w14:textId="77777777" w:rsidR="001A40F5" w:rsidRDefault="001A40F5">
            <w:pPr>
              <w:rPr>
                <w:rFonts w:ascii="Arial" w:hAnsi="Arial" w:cs="Arial"/>
                <w:b w:val="0"/>
                <w:bCs w:val="0"/>
                <w:sz w:val="20"/>
                <w:szCs w:val="20"/>
              </w:rPr>
            </w:pPr>
          </w:p>
          <w:p w14:paraId="63B058BD" w14:textId="77777777" w:rsidR="001A40F5" w:rsidRDefault="001A40F5">
            <w:pPr>
              <w:rPr>
                <w:rFonts w:ascii="Arial" w:hAnsi="Arial" w:cs="Arial"/>
                <w:b w:val="0"/>
                <w:bCs w:val="0"/>
                <w:sz w:val="20"/>
                <w:szCs w:val="20"/>
              </w:rPr>
            </w:pPr>
          </w:p>
          <w:p w14:paraId="7F493834" w14:textId="77777777" w:rsidR="001A40F5" w:rsidRDefault="001A40F5">
            <w:pPr>
              <w:rPr>
                <w:rFonts w:ascii="Arial" w:hAnsi="Arial" w:cs="Arial"/>
                <w:b w:val="0"/>
                <w:bCs w:val="0"/>
                <w:sz w:val="20"/>
                <w:szCs w:val="20"/>
              </w:rPr>
            </w:pPr>
          </w:p>
          <w:p w14:paraId="36FE1229" w14:textId="77777777" w:rsidR="001A40F5" w:rsidRDefault="0098377F">
            <w:pPr>
              <w:rPr>
                <w:rFonts w:ascii="Arial" w:hAnsi="Arial" w:cs="Arial"/>
                <w:b w:val="0"/>
                <w:bCs w:val="0"/>
                <w:sz w:val="20"/>
                <w:szCs w:val="20"/>
              </w:rPr>
            </w:pPr>
            <w:r>
              <w:rPr>
                <w:rFonts w:ascii="Arial" w:hAnsi="Arial" w:cs="Arial"/>
                <w:sz w:val="20"/>
                <w:szCs w:val="20"/>
              </w:rPr>
              <w:t>Age group</w:t>
            </w:r>
          </w:p>
        </w:tc>
        <w:tc>
          <w:tcPr>
            <w:tcW w:w="2551" w:type="dxa"/>
            <w:tcBorders>
              <w:top w:val="single" w:sz="4" w:space="0" w:color="auto"/>
            </w:tcBorders>
            <w:noWrap/>
          </w:tcPr>
          <w:p w14:paraId="4C0B7EB1"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20-30 years</w:t>
            </w:r>
          </w:p>
        </w:tc>
        <w:tc>
          <w:tcPr>
            <w:tcW w:w="1134" w:type="dxa"/>
            <w:tcBorders>
              <w:top w:val="single" w:sz="4" w:space="0" w:color="auto"/>
            </w:tcBorders>
            <w:noWrap/>
          </w:tcPr>
          <w:p w14:paraId="7008374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33.3</w:t>
            </w:r>
          </w:p>
        </w:tc>
        <w:tc>
          <w:tcPr>
            <w:tcW w:w="1559" w:type="dxa"/>
            <w:tcBorders>
              <w:top w:val="single" w:sz="4" w:space="0" w:color="auto"/>
            </w:tcBorders>
            <w:noWrap/>
          </w:tcPr>
          <w:p w14:paraId="063E4723"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66.7</w:t>
            </w:r>
          </w:p>
        </w:tc>
      </w:tr>
      <w:tr w:rsidR="001A40F5" w14:paraId="4015A66B"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7714B89B" w14:textId="77777777" w:rsidR="001A40F5" w:rsidRDefault="001A40F5">
            <w:pPr>
              <w:rPr>
                <w:rFonts w:ascii="Arial" w:hAnsi="Arial" w:cs="Arial"/>
                <w:b w:val="0"/>
                <w:bCs w:val="0"/>
                <w:sz w:val="20"/>
                <w:szCs w:val="20"/>
              </w:rPr>
            </w:pPr>
          </w:p>
        </w:tc>
        <w:tc>
          <w:tcPr>
            <w:tcW w:w="2551" w:type="dxa"/>
            <w:noWrap/>
          </w:tcPr>
          <w:p w14:paraId="70FAFF7A"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31-40 years</w:t>
            </w:r>
          </w:p>
        </w:tc>
        <w:tc>
          <w:tcPr>
            <w:tcW w:w="1134" w:type="dxa"/>
            <w:noWrap/>
          </w:tcPr>
          <w:p w14:paraId="6827DE2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22.7</w:t>
            </w:r>
          </w:p>
        </w:tc>
        <w:tc>
          <w:tcPr>
            <w:tcW w:w="1559" w:type="dxa"/>
            <w:noWrap/>
          </w:tcPr>
          <w:p w14:paraId="5C839C7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77.3</w:t>
            </w:r>
          </w:p>
        </w:tc>
      </w:tr>
      <w:tr w:rsidR="001A40F5" w14:paraId="3A135D3E"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199E2B05" w14:textId="77777777" w:rsidR="001A40F5" w:rsidRDefault="001A40F5">
            <w:pPr>
              <w:rPr>
                <w:rFonts w:ascii="Arial" w:hAnsi="Arial" w:cs="Arial"/>
                <w:b w:val="0"/>
                <w:bCs w:val="0"/>
                <w:sz w:val="20"/>
                <w:szCs w:val="20"/>
              </w:rPr>
            </w:pPr>
          </w:p>
        </w:tc>
        <w:tc>
          <w:tcPr>
            <w:tcW w:w="2551" w:type="dxa"/>
            <w:noWrap/>
          </w:tcPr>
          <w:p w14:paraId="63E5119E"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41-50 years</w:t>
            </w:r>
          </w:p>
        </w:tc>
        <w:tc>
          <w:tcPr>
            <w:tcW w:w="1134" w:type="dxa"/>
            <w:noWrap/>
          </w:tcPr>
          <w:p w14:paraId="65E1BA1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42.4</w:t>
            </w:r>
          </w:p>
        </w:tc>
        <w:tc>
          <w:tcPr>
            <w:tcW w:w="1559" w:type="dxa"/>
            <w:noWrap/>
          </w:tcPr>
          <w:p w14:paraId="1FAC8FB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57.6</w:t>
            </w:r>
          </w:p>
        </w:tc>
      </w:tr>
      <w:tr w:rsidR="001A40F5" w14:paraId="1E5987E0"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13ECD89C" w14:textId="77777777" w:rsidR="001A40F5" w:rsidRDefault="001A40F5">
            <w:pPr>
              <w:rPr>
                <w:rFonts w:ascii="Arial" w:hAnsi="Arial" w:cs="Arial"/>
                <w:b w:val="0"/>
                <w:bCs w:val="0"/>
                <w:sz w:val="20"/>
                <w:szCs w:val="20"/>
              </w:rPr>
            </w:pPr>
          </w:p>
        </w:tc>
        <w:tc>
          <w:tcPr>
            <w:tcW w:w="2551" w:type="dxa"/>
            <w:noWrap/>
          </w:tcPr>
          <w:p w14:paraId="003E9E49"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51-60 years</w:t>
            </w:r>
          </w:p>
        </w:tc>
        <w:tc>
          <w:tcPr>
            <w:tcW w:w="1134" w:type="dxa"/>
            <w:noWrap/>
          </w:tcPr>
          <w:p w14:paraId="7D4B002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48.8</w:t>
            </w:r>
          </w:p>
        </w:tc>
        <w:tc>
          <w:tcPr>
            <w:tcW w:w="1559" w:type="dxa"/>
            <w:noWrap/>
          </w:tcPr>
          <w:p w14:paraId="4152BE4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51.2</w:t>
            </w:r>
          </w:p>
        </w:tc>
      </w:tr>
      <w:tr w:rsidR="001A40F5" w14:paraId="3A07254F"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6BBE620E" w14:textId="77777777" w:rsidR="001A40F5" w:rsidRDefault="001A40F5">
            <w:pPr>
              <w:rPr>
                <w:rFonts w:ascii="Arial" w:hAnsi="Arial" w:cs="Arial"/>
                <w:b w:val="0"/>
                <w:bCs w:val="0"/>
                <w:sz w:val="20"/>
                <w:szCs w:val="20"/>
              </w:rPr>
            </w:pPr>
          </w:p>
        </w:tc>
        <w:tc>
          <w:tcPr>
            <w:tcW w:w="2551" w:type="dxa"/>
            <w:noWrap/>
          </w:tcPr>
          <w:p w14:paraId="01C4B072"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61-70 years</w:t>
            </w:r>
          </w:p>
        </w:tc>
        <w:tc>
          <w:tcPr>
            <w:tcW w:w="1134" w:type="dxa"/>
            <w:noWrap/>
          </w:tcPr>
          <w:p w14:paraId="71B1B48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55.8</w:t>
            </w:r>
          </w:p>
        </w:tc>
        <w:tc>
          <w:tcPr>
            <w:tcW w:w="1559" w:type="dxa"/>
            <w:noWrap/>
          </w:tcPr>
          <w:p w14:paraId="49681C0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44.2</w:t>
            </w:r>
          </w:p>
        </w:tc>
      </w:tr>
      <w:tr w:rsidR="001A40F5" w14:paraId="150E05C1"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3F2F2476" w14:textId="77777777" w:rsidR="001A40F5" w:rsidRDefault="001A40F5">
            <w:pPr>
              <w:rPr>
                <w:rFonts w:ascii="Arial" w:hAnsi="Arial" w:cs="Arial"/>
                <w:b w:val="0"/>
                <w:bCs w:val="0"/>
                <w:sz w:val="20"/>
                <w:szCs w:val="20"/>
              </w:rPr>
            </w:pPr>
          </w:p>
        </w:tc>
        <w:tc>
          <w:tcPr>
            <w:tcW w:w="2551" w:type="dxa"/>
            <w:noWrap/>
          </w:tcPr>
          <w:p w14:paraId="0E9697C4"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71-80 years</w:t>
            </w:r>
          </w:p>
        </w:tc>
        <w:tc>
          <w:tcPr>
            <w:tcW w:w="1134" w:type="dxa"/>
            <w:noWrap/>
          </w:tcPr>
          <w:p w14:paraId="4248E5F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56.3</w:t>
            </w:r>
          </w:p>
        </w:tc>
        <w:tc>
          <w:tcPr>
            <w:tcW w:w="1559" w:type="dxa"/>
            <w:noWrap/>
          </w:tcPr>
          <w:p w14:paraId="01AAEB3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43.8</w:t>
            </w:r>
          </w:p>
        </w:tc>
      </w:tr>
      <w:tr w:rsidR="001A40F5" w14:paraId="4179F9D9" w14:textId="77777777" w:rsidTr="001A40F5">
        <w:trPr>
          <w:trHeight w:val="290"/>
        </w:trPr>
        <w:tc>
          <w:tcPr>
            <w:cnfStyle w:val="001000000000" w:firstRow="0" w:lastRow="0" w:firstColumn="1" w:lastColumn="0" w:oddVBand="0" w:evenVBand="0" w:oddHBand="0" w:evenHBand="0" w:firstRowFirstColumn="0" w:firstRowLastColumn="0" w:lastRowFirstColumn="0" w:lastRowLastColumn="0"/>
            <w:tcW w:w="1560" w:type="dxa"/>
            <w:vMerge/>
            <w:noWrap/>
          </w:tcPr>
          <w:p w14:paraId="55FF8B1D" w14:textId="77777777" w:rsidR="001A40F5" w:rsidRDefault="001A40F5">
            <w:pPr>
              <w:rPr>
                <w:rFonts w:ascii="Arial" w:hAnsi="Arial" w:cs="Arial"/>
                <w:b w:val="0"/>
                <w:bCs w:val="0"/>
                <w:sz w:val="20"/>
                <w:szCs w:val="20"/>
              </w:rPr>
            </w:pPr>
          </w:p>
        </w:tc>
        <w:tc>
          <w:tcPr>
            <w:tcW w:w="2551" w:type="dxa"/>
            <w:noWrap/>
          </w:tcPr>
          <w:p w14:paraId="4788CBC0"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 xml:space="preserve">81and above years </w:t>
            </w:r>
          </w:p>
        </w:tc>
        <w:tc>
          <w:tcPr>
            <w:tcW w:w="1134" w:type="dxa"/>
            <w:noWrap/>
          </w:tcPr>
          <w:p w14:paraId="65FD540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50.0</w:t>
            </w:r>
          </w:p>
        </w:tc>
        <w:tc>
          <w:tcPr>
            <w:tcW w:w="1559" w:type="dxa"/>
            <w:noWrap/>
          </w:tcPr>
          <w:p w14:paraId="428D4AC3"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Pr>
                <w:rFonts w:ascii="Arial" w:hAnsi="Arial" w:cs="Arial"/>
                <w:sz w:val="20"/>
                <w:szCs w:val="20"/>
              </w:rPr>
              <w:t>50.0</w:t>
            </w:r>
          </w:p>
        </w:tc>
      </w:tr>
    </w:tbl>
    <w:p w14:paraId="7F72DFF5" w14:textId="77777777" w:rsidR="001A40F5" w:rsidRDefault="001A40F5">
      <w:pPr>
        <w:spacing w:after="160" w:line="360" w:lineRule="auto"/>
        <w:jc w:val="both"/>
        <w:rPr>
          <w:rFonts w:ascii="Arial" w:eastAsia="Calibri" w:hAnsi="Arial" w:cs="Arial"/>
          <w:b/>
          <w:bCs/>
          <w:kern w:val="2"/>
          <w:sz w:val="22"/>
          <w:szCs w:val="22"/>
          <w:lang w:val="en-GB"/>
          <w14:ligatures w14:val="standardContextual"/>
        </w:rPr>
      </w:pPr>
    </w:p>
    <w:p w14:paraId="7506A9F2" w14:textId="77777777" w:rsidR="001A40F5" w:rsidRDefault="0098377F">
      <w:pPr>
        <w:spacing w:after="160" w:line="360" w:lineRule="auto"/>
        <w:jc w:val="both"/>
        <w:rPr>
          <w:rFonts w:ascii="Arial" w:eastAsia="Calibri" w:hAnsi="Arial" w:cs="Arial"/>
          <w:b/>
          <w:bCs/>
          <w:kern w:val="2"/>
          <w:sz w:val="22"/>
          <w:szCs w:val="22"/>
          <w:lang w:val="en-GB"/>
          <w14:ligatures w14:val="standardContextual"/>
        </w:rPr>
      </w:pPr>
      <w:r>
        <w:rPr>
          <w:rFonts w:ascii="Arial" w:eastAsia="Calibri" w:hAnsi="Arial" w:cs="Arial"/>
          <w:b/>
          <w:bCs/>
          <w:kern w:val="2"/>
          <w:sz w:val="22"/>
          <w:szCs w:val="22"/>
          <w:lang w:val="en-GB"/>
          <w14:ligatures w14:val="standardContextual"/>
        </w:rPr>
        <w:t>3.2 Distribution of body weight among study participants</w:t>
      </w:r>
    </w:p>
    <w:p w14:paraId="1BB29124" w14:textId="77777777" w:rsidR="001A40F5" w:rsidRDefault="0098377F">
      <w:pPr>
        <w:spacing w:after="16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 xml:space="preserve">Distribution of body weight among study participants revealed that 32% </w:t>
      </w:r>
      <w:r>
        <w:rPr>
          <w:rFonts w:ascii="Arial" w:eastAsia="Calibri" w:hAnsi="Arial" w:cs="Arial"/>
          <w:kern w:val="2"/>
          <w:lang w:val="en-GB"/>
          <w14:ligatures w14:val="standardContextual"/>
        </w:rPr>
        <w:t>fell within the normal weight range (Fig. 2). This indicates that nearly one-third of the population maintains a healthy body mass. However, a combined 43% were either overweight (26%) or obese (17%), suggesting that a significant portion may be at increas</w:t>
      </w:r>
      <w:r>
        <w:rPr>
          <w:rFonts w:ascii="Arial" w:eastAsia="Calibri" w:hAnsi="Arial" w:cs="Arial"/>
          <w:kern w:val="2"/>
          <w:lang w:val="en-GB"/>
          <w14:ligatures w14:val="standardContextual"/>
        </w:rPr>
        <w:t>ed risk for weight-related health issues such as cardiovascular disease or diabetes. Additionally, 25% of participants were underweight, which may point to potential concerns related to malnutrition or underlying health conditions. This balanced yet polari</w:t>
      </w:r>
      <w:r>
        <w:rPr>
          <w:rFonts w:ascii="Arial" w:eastAsia="Calibri" w:hAnsi="Arial" w:cs="Arial"/>
          <w:kern w:val="2"/>
          <w:lang w:val="en-GB"/>
          <w14:ligatures w14:val="standardContextual"/>
        </w:rPr>
        <w:t>zed distribution highlights the need for targeted health interventions addressing both ends of the nutritional spectrum.</w:t>
      </w:r>
    </w:p>
    <w:p w14:paraId="2C76DF08" w14:textId="77777777" w:rsidR="001A40F5" w:rsidRDefault="0098377F">
      <w:pPr>
        <w:pStyle w:val="Body"/>
        <w:spacing w:after="0"/>
        <w:rPr>
          <w:rFonts w:ascii="Arial" w:hAnsi="Arial" w:cs="Arial"/>
        </w:rPr>
      </w:pPr>
      <w:r>
        <w:rPr>
          <w:rFonts w:ascii="Arial" w:eastAsia="Calibri" w:hAnsi="Arial" w:cs="Arial"/>
          <w:noProof/>
          <w:sz w:val="24"/>
          <w:szCs w:val="24"/>
        </w:rPr>
        <w:lastRenderedPageBreak/>
        <w:drawing>
          <wp:inline distT="0" distB="0" distL="0" distR="0" wp14:anchorId="0A8B6439" wp14:editId="20908D17">
            <wp:extent cx="4254500" cy="2355850"/>
            <wp:effectExtent l="0" t="0" r="12700" b="6350"/>
            <wp:docPr id="39739873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56FE49" w14:textId="77777777" w:rsidR="001A40F5" w:rsidRDefault="0098377F">
      <w:pPr>
        <w:spacing w:after="200" w:line="360" w:lineRule="auto"/>
        <w:rPr>
          <w:rFonts w:ascii="Arial" w:eastAsia="Calibri" w:hAnsi="Arial" w:cs="Arial"/>
          <w:b/>
          <w:bCs/>
          <w:kern w:val="2"/>
          <w:lang w:val="en-GB"/>
          <w14:ligatures w14:val="standardContextual"/>
        </w:rPr>
      </w:pPr>
      <w:bookmarkStart w:id="2" w:name="_Toc205462719"/>
      <w:r>
        <w:rPr>
          <w:rFonts w:ascii="Arial" w:eastAsia="Calibri" w:hAnsi="Arial" w:cs="Arial"/>
          <w:b/>
          <w:bCs/>
          <w:kern w:val="2"/>
          <w:lang w:val="en-GB"/>
          <w14:ligatures w14:val="standardContextual"/>
        </w:rPr>
        <w:t>Fig. 2: Distribution of body weight among study participants</w:t>
      </w:r>
      <w:bookmarkEnd w:id="2"/>
    </w:p>
    <w:p w14:paraId="0F662232" w14:textId="77777777" w:rsidR="001A40F5" w:rsidRDefault="0098377F">
      <w:pPr>
        <w:keepNext/>
        <w:keepLines/>
        <w:spacing w:before="120" w:line="360" w:lineRule="auto"/>
        <w:ind w:left="567" w:hanging="567"/>
        <w:outlineLvl w:val="1"/>
        <w:rPr>
          <w:rFonts w:ascii="Arial" w:hAnsi="Arial" w:cs="Arial"/>
          <w:b/>
          <w:bCs/>
          <w:kern w:val="2"/>
          <w:sz w:val="22"/>
          <w:szCs w:val="22"/>
          <w:lang w:val="en-GB"/>
          <w14:ligatures w14:val="standardContextual"/>
        </w:rPr>
      </w:pPr>
      <w:bookmarkStart w:id="3" w:name="_Toc205463425"/>
      <w:r>
        <w:rPr>
          <w:rFonts w:ascii="Arial" w:hAnsi="Arial" w:cs="Arial"/>
          <w:b/>
          <w:bCs/>
          <w:kern w:val="2"/>
          <w:sz w:val="22"/>
          <w:szCs w:val="22"/>
          <w:lang w:val="en-GB"/>
          <w14:ligatures w14:val="standardContextual"/>
        </w:rPr>
        <w:t xml:space="preserve">3.3 Distribution of BMI in association with diabetes and hypertension </w:t>
      </w:r>
      <w:r>
        <w:rPr>
          <w:rFonts w:ascii="Arial" w:hAnsi="Arial" w:cs="Arial"/>
          <w:b/>
          <w:bCs/>
          <w:kern w:val="2"/>
          <w:sz w:val="22"/>
          <w:szCs w:val="22"/>
          <w:lang w:val="en-GB"/>
          <w14:ligatures w14:val="standardContextual"/>
        </w:rPr>
        <w:t>patients</w:t>
      </w:r>
      <w:bookmarkEnd w:id="3"/>
    </w:p>
    <w:p w14:paraId="5C3A8C50" w14:textId="77777777" w:rsidR="001A40F5" w:rsidRDefault="0098377F">
      <w:pPr>
        <w:spacing w:after="160"/>
        <w:jc w:val="both"/>
        <w:rPr>
          <w:rFonts w:ascii="Arial" w:eastAsia="Calibri" w:hAnsi="Arial" w:cs="Arial"/>
          <w:lang w:val="en-GB"/>
        </w:rPr>
      </w:pPr>
      <w:bookmarkStart w:id="4" w:name="_Hlk207464388"/>
      <w:r>
        <w:rPr>
          <w:rFonts w:ascii="Arial" w:eastAsia="Calibri" w:hAnsi="Arial" w:cs="Arial"/>
          <w:lang w:val="en-GB"/>
        </w:rPr>
        <w:t>The distribution of body mass index (BMI) among diabetic patients stratified by hypertension status is presented in Table 2. Among patients with hypertension, overweight (BMI 25.0–29.9 kg/m²) was the most prevalent category, accounting for 32.3% o</w:t>
      </w:r>
      <w:r>
        <w:rPr>
          <w:rFonts w:ascii="Arial" w:eastAsia="Calibri" w:hAnsi="Arial" w:cs="Arial"/>
          <w:lang w:val="en-GB"/>
        </w:rPr>
        <w:t>f the group, followed by Obesity Class 1 (30.0–34.9 kg/m²) at 25.9%. A considerable proportion also fell into Obesity Class 2 (18.5%) and Obese Class 3 (&gt;40 kg/m²) (8.2%).</w:t>
      </w:r>
    </w:p>
    <w:p w14:paraId="4D25C316" w14:textId="77777777" w:rsidR="001A40F5" w:rsidRDefault="0098377F">
      <w:pPr>
        <w:spacing w:after="160"/>
        <w:jc w:val="both"/>
        <w:rPr>
          <w:rFonts w:ascii="Arial" w:eastAsia="Calibri" w:hAnsi="Arial" w:cs="Arial"/>
          <w:lang w:val="en-GB"/>
        </w:rPr>
      </w:pPr>
      <w:r>
        <w:rPr>
          <w:rFonts w:ascii="Arial" w:eastAsia="Calibri" w:hAnsi="Arial" w:cs="Arial"/>
          <w:lang w:val="en-GB"/>
        </w:rPr>
        <w:t xml:space="preserve">In contrast, non-hypertensive diabetic patients exhibited a more evenly distributed </w:t>
      </w:r>
      <w:r>
        <w:rPr>
          <w:rFonts w:ascii="Arial" w:eastAsia="Calibri" w:hAnsi="Arial" w:cs="Arial"/>
          <w:lang w:val="en-GB"/>
        </w:rPr>
        <w:t>BMI profile, with 24.1% normal weight, 24.6% overweight, and 23.8% in Obese Class 1. Notably, no individuals in the non-hypertensive group were classified as Obese Class 3.</w:t>
      </w:r>
    </w:p>
    <w:p w14:paraId="3CB9FDA8" w14:textId="77777777" w:rsidR="001A40F5" w:rsidRDefault="0098377F">
      <w:pPr>
        <w:spacing w:after="160"/>
        <w:jc w:val="both"/>
        <w:rPr>
          <w:rFonts w:ascii="Arial" w:eastAsia="Calibri" w:hAnsi="Arial" w:cs="Arial"/>
          <w:lang w:val="en-GB"/>
        </w:rPr>
      </w:pPr>
      <w:r>
        <w:rPr>
          <w:rFonts w:ascii="Arial" w:eastAsia="Calibri" w:hAnsi="Arial" w:cs="Arial"/>
          <w:lang w:val="en-GB"/>
        </w:rPr>
        <w:t xml:space="preserve">A chi-square test was conducted to assess the association between BMI category and </w:t>
      </w:r>
      <w:r>
        <w:rPr>
          <w:rFonts w:ascii="Arial" w:eastAsia="Calibri" w:hAnsi="Arial" w:cs="Arial"/>
          <w:lang w:val="en-GB"/>
        </w:rPr>
        <w:t xml:space="preserve">hypertension status. The result showed a χ² = 6.356, </w:t>
      </w:r>
      <w:r>
        <w:rPr>
          <w:rFonts w:ascii="Arial" w:eastAsia="Calibri" w:hAnsi="Arial" w:cs="Arial"/>
          <w:i/>
          <w:iCs/>
          <w:lang w:val="en-GB"/>
        </w:rPr>
        <w:t>P = 0.174</w:t>
      </w:r>
      <w:r>
        <w:rPr>
          <w:rFonts w:ascii="Arial" w:eastAsia="Calibri" w:hAnsi="Arial" w:cs="Arial"/>
          <w:lang w:val="en-GB"/>
        </w:rPr>
        <w:t>, indicating no statistically significant association between BMI classification and hypertension among diabetic patients in this study.</w:t>
      </w:r>
    </w:p>
    <w:bookmarkEnd w:id="4"/>
    <w:p w14:paraId="4644E7A1" w14:textId="77777777" w:rsidR="001A40F5" w:rsidRDefault="001A40F5">
      <w:pPr>
        <w:pStyle w:val="Body"/>
        <w:spacing w:after="0"/>
        <w:rPr>
          <w:rFonts w:ascii="Arial" w:hAnsi="Arial" w:cs="Arial"/>
        </w:rPr>
      </w:pPr>
    </w:p>
    <w:p w14:paraId="5C76DDE8" w14:textId="77777777" w:rsidR="001A40F5" w:rsidRDefault="001A40F5">
      <w:pPr>
        <w:pStyle w:val="Body"/>
        <w:spacing w:after="0"/>
        <w:rPr>
          <w:rFonts w:ascii="Arial" w:hAnsi="Arial" w:cs="Arial"/>
        </w:rPr>
      </w:pPr>
    </w:p>
    <w:p w14:paraId="572C05FD" w14:textId="77777777" w:rsidR="001A40F5" w:rsidRDefault="001A40F5">
      <w:pPr>
        <w:pStyle w:val="Body"/>
        <w:spacing w:after="0"/>
        <w:rPr>
          <w:rFonts w:ascii="Arial" w:hAnsi="Arial" w:cs="Arial"/>
        </w:rPr>
      </w:pPr>
    </w:p>
    <w:p w14:paraId="4EEEACA7" w14:textId="77777777" w:rsidR="001A40F5" w:rsidRDefault="001A40F5">
      <w:pPr>
        <w:pStyle w:val="Body"/>
        <w:spacing w:after="0"/>
        <w:rPr>
          <w:rFonts w:ascii="Arial" w:hAnsi="Arial" w:cs="Arial"/>
        </w:rPr>
      </w:pPr>
    </w:p>
    <w:p w14:paraId="3562522B" w14:textId="77777777" w:rsidR="001A40F5" w:rsidRDefault="001A40F5">
      <w:pPr>
        <w:pStyle w:val="Body"/>
        <w:spacing w:after="0"/>
        <w:rPr>
          <w:rFonts w:ascii="Arial" w:hAnsi="Arial" w:cs="Arial"/>
        </w:rPr>
      </w:pPr>
    </w:p>
    <w:p w14:paraId="17F70AC0" w14:textId="77777777" w:rsidR="001A40F5" w:rsidRDefault="001A40F5">
      <w:pPr>
        <w:pStyle w:val="Body"/>
        <w:spacing w:after="0"/>
        <w:rPr>
          <w:rFonts w:ascii="Arial" w:hAnsi="Arial" w:cs="Arial"/>
        </w:rPr>
      </w:pPr>
    </w:p>
    <w:p w14:paraId="7B641408" w14:textId="77777777" w:rsidR="001A40F5" w:rsidRDefault="001A40F5">
      <w:pPr>
        <w:pStyle w:val="Body"/>
        <w:spacing w:after="0"/>
        <w:rPr>
          <w:rFonts w:ascii="Arial" w:hAnsi="Arial" w:cs="Arial"/>
        </w:rPr>
      </w:pPr>
    </w:p>
    <w:p w14:paraId="49615E28" w14:textId="77777777" w:rsidR="001A40F5" w:rsidRDefault="001A40F5">
      <w:pPr>
        <w:pStyle w:val="Body"/>
        <w:spacing w:after="0"/>
        <w:rPr>
          <w:rFonts w:ascii="Arial" w:hAnsi="Arial" w:cs="Arial"/>
        </w:rPr>
      </w:pPr>
    </w:p>
    <w:p w14:paraId="37660A0F" w14:textId="77777777" w:rsidR="001A40F5" w:rsidRDefault="001A40F5">
      <w:pPr>
        <w:keepNext/>
        <w:spacing w:after="200" w:line="360" w:lineRule="auto"/>
        <w:jc w:val="both"/>
        <w:rPr>
          <w:rFonts w:ascii="Arial" w:eastAsia="Calibri" w:hAnsi="Arial" w:cs="Arial"/>
          <w:b/>
          <w:bCs/>
          <w:kern w:val="2"/>
          <w:lang w:val="en-GB"/>
          <w14:ligatures w14:val="standardContextual"/>
        </w:rPr>
        <w:sectPr w:rsidR="001A40F5" w:rsidSect="00754E2E">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bookmarkStart w:id="5" w:name="_Toc205462835"/>
    </w:p>
    <w:p w14:paraId="609CC002" w14:textId="77777777" w:rsidR="001A40F5" w:rsidRDefault="0098377F">
      <w:pPr>
        <w:keepNext/>
        <w:spacing w:after="200"/>
        <w:jc w:val="both"/>
        <w:rPr>
          <w:rFonts w:ascii="Arial" w:eastAsia="Calibri" w:hAnsi="Arial" w:cs="Arial"/>
          <w:b/>
          <w:bCs/>
          <w:kern w:val="2"/>
          <w:lang w:val="en-GB"/>
          <w14:ligatures w14:val="standardContextual"/>
        </w:rPr>
      </w:pPr>
      <w:r>
        <w:rPr>
          <w:rFonts w:ascii="Arial" w:eastAsia="Calibri" w:hAnsi="Arial" w:cs="Arial"/>
          <w:b/>
          <w:bCs/>
          <w:kern w:val="2"/>
          <w:lang w:val="en-GB"/>
          <w14:ligatures w14:val="standardContextual"/>
        </w:rPr>
        <w:lastRenderedPageBreak/>
        <w:t>Table 2: Distribution of BMI in</w:t>
      </w:r>
      <w:r>
        <w:rPr>
          <w:rFonts w:ascii="Arial" w:eastAsia="Calibri" w:hAnsi="Arial" w:cs="Arial"/>
          <w:b/>
          <w:bCs/>
          <w:kern w:val="2"/>
          <w:lang w:val="en-GB"/>
          <w14:ligatures w14:val="standardContextual"/>
        </w:rPr>
        <w:t xml:space="preserve"> association with diabetes and hypertension patients</w:t>
      </w:r>
      <w:bookmarkEnd w:id="5"/>
    </w:p>
    <w:tbl>
      <w:tblPr>
        <w:tblStyle w:val="ListTable6Colorful11"/>
        <w:tblW w:w="12253" w:type="dxa"/>
        <w:jc w:val="center"/>
        <w:tblLook w:val="04A0" w:firstRow="1" w:lastRow="0" w:firstColumn="1" w:lastColumn="0" w:noHBand="0" w:noVBand="1"/>
      </w:tblPr>
      <w:tblGrid>
        <w:gridCol w:w="1276"/>
        <w:gridCol w:w="1989"/>
        <w:gridCol w:w="1156"/>
        <w:gridCol w:w="1418"/>
        <w:gridCol w:w="1275"/>
        <w:gridCol w:w="1134"/>
        <w:gridCol w:w="1134"/>
        <w:gridCol w:w="1276"/>
        <w:gridCol w:w="828"/>
        <w:gridCol w:w="829"/>
      </w:tblGrid>
      <w:tr w:rsidR="001A40F5" w14:paraId="1C72EEA2" w14:textId="77777777" w:rsidTr="001A40F5">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noWrap/>
          </w:tcPr>
          <w:p w14:paraId="787EEF67" w14:textId="77777777" w:rsidR="001A40F5" w:rsidRDefault="0098377F">
            <w:pPr>
              <w:rPr>
                <w:rFonts w:ascii="Arial" w:hAnsi="Arial" w:cs="Arial"/>
                <w:b w:val="0"/>
                <w:bCs w:val="0"/>
                <w:sz w:val="20"/>
                <w:szCs w:val="20"/>
                <w:lang w:val="en-GB"/>
              </w:rPr>
            </w:pPr>
            <w:r>
              <w:rPr>
                <w:rFonts w:ascii="Arial" w:hAnsi="Arial" w:cs="Arial"/>
                <w:sz w:val="20"/>
                <w:szCs w:val="20"/>
                <w:lang w:val="en-GB"/>
              </w:rPr>
              <w:t>Variables</w:t>
            </w:r>
          </w:p>
        </w:tc>
        <w:tc>
          <w:tcPr>
            <w:tcW w:w="1989" w:type="dxa"/>
            <w:vMerge w:val="restart"/>
            <w:noWrap/>
          </w:tcPr>
          <w:p w14:paraId="38B34B17" w14:textId="77777777" w:rsidR="001A40F5" w:rsidRDefault="0098377F">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Sub Variables</w:t>
            </w:r>
          </w:p>
        </w:tc>
        <w:tc>
          <w:tcPr>
            <w:tcW w:w="6117" w:type="dxa"/>
            <w:gridSpan w:val="5"/>
            <w:noWrap/>
          </w:tcPr>
          <w:p w14:paraId="515470D2" w14:textId="77777777" w:rsidR="001A40F5" w:rsidRDefault="0098377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BMI [Frequency (percentage)]</w:t>
            </w:r>
          </w:p>
        </w:tc>
        <w:tc>
          <w:tcPr>
            <w:tcW w:w="1276" w:type="dxa"/>
            <w:vMerge w:val="restart"/>
            <w:noWrap/>
          </w:tcPr>
          <w:p w14:paraId="2F78FC5C" w14:textId="77777777" w:rsidR="001A40F5" w:rsidRDefault="0098377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Total</w:t>
            </w:r>
          </w:p>
        </w:tc>
        <w:tc>
          <w:tcPr>
            <w:tcW w:w="766" w:type="dxa"/>
            <w:vMerge w:val="restart"/>
            <w:noWrap/>
          </w:tcPr>
          <w:p w14:paraId="4F76279E" w14:textId="77777777" w:rsidR="001A40F5" w:rsidRDefault="0098377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sym w:font="Symbol" w:char="F063"/>
            </w:r>
            <w:r>
              <w:rPr>
                <w:rFonts w:ascii="Arial" w:hAnsi="Arial" w:cs="Arial"/>
                <w:sz w:val="20"/>
                <w:szCs w:val="20"/>
                <w:lang w:val="en-GB"/>
              </w:rPr>
              <w:sym w:font="Symbol" w:char="F032"/>
            </w:r>
          </w:p>
        </w:tc>
        <w:tc>
          <w:tcPr>
            <w:tcW w:w="829" w:type="dxa"/>
            <w:vMerge w:val="restart"/>
            <w:noWrap/>
          </w:tcPr>
          <w:p w14:paraId="02DABC35" w14:textId="77777777" w:rsidR="001A40F5" w:rsidRDefault="0098377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P-value</w:t>
            </w:r>
          </w:p>
        </w:tc>
      </w:tr>
      <w:tr w:rsidR="001A40F5" w14:paraId="7D0BD1AE"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14:paraId="00398B3C" w14:textId="77777777" w:rsidR="001A40F5" w:rsidRDefault="001A40F5">
            <w:pPr>
              <w:rPr>
                <w:rFonts w:ascii="Arial" w:hAnsi="Arial" w:cs="Arial"/>
                <w:b w:val="0"/>
                <w:bCs w:val="0"/>
                <w:sz w:val="20"/>
                <w:szCs w:val="20"/>
                <w:lang w:val="en-GB"/>
              </w:rPr>
            </w:pPr>
          </w:p>
        </w:tc>
        <w:tc>
          <w:tcPr>
            <w:tcW w:w="1989" w:type="dxa"/>
            <w:vMerge/>
            <w:tcBorders>
              <w:bottom w:val="single" w:sz="4" w:space="0" w:color="auto"/>
            </w:tcBorders>
            <w:noWrap/>
          </w:tcPr>
          <w:p w14:paraId="3A9F20C3" w14:textId="77777777" w:rsidR="001A40F5" w:rsidRDefault="001A40F5">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p>
        </w:tc>
        <w:tc>
          <w:tcPr>
            <w:tcW w:w="1156" w:type="dxa"/>
            <w:tcBorders>
              <w:bottom w:val="single" w:sz="4" w:space="0" w:color="auto"/>
            </w:tcBorders>
            <w:noWrap/>
          </w:tcPr>
          <w:p w14:paraId="05B8B9E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Normal</w:t>
            </w:r>
          </w:p>
        </w:tc>
        <w:tc>
          <w:tcPr>
            <w:tcW w:w="1418" w:type="dxa"/>
            <w:tcBorders>
              <w:bottom w:val="single" w:sz="4" w:space="0" w:color="auto"/>
            </w:tcBorders>
            <w:noWrap/>
          </w:tcPr>
          <w:p w14:paraId="1ABF90D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Overweight</w:t>
            </w:r>
          </w:p>
        </w:tc>
        <w:tc>
          <w:tcPr>
            <w:tcW w:w="1275" w:type="dxa"/>
            <w:tcBorders>
              <w:bottom w:val="single" w:sz="4" w:space="0" w:color="auto"/>
            </w:tcBorders>
            <w:noWrap/>
          </w:tcPr>
          <w:p w14:paraId="4224EA2A"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Obese 1</w:t>
            </w:r>
          </w:p>
        </w:tc>
        <w:tc>
          <w:tcPr>
            <w:tcW w:w="1134" w:type="dxa"/>
            <w:tcBorders>
              <w:bottom w:val="single" w:sz="4" w:space="0" w:color="auto"/>
            </w:tcBorders>
            <w:noWrap/>
          </w:tcPr>
          <w:p w14:paraId="1D382779"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Obese 2</w:t>
            </w:r>
          </w:p>
        </w:tc>
        <w:tc>
          <w:tcPr>
            <w:tcW w:w="1134" w:type="dxa"/>
            <w:tcBorders>
              <w:bottom w:val="single" w:sz="4" w:space="0" w:color="auto"/>
            </w:tcBorders>
            <w:noWrap/>
          </w:tcPr>
          <w:p w14:paraId="0E4F1B1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lang w:val="en-GB"/>
              </w:rPr>
            </w:pPr>
            <w:r>
              <w:rPr>
                <w:rFonts w:ascii="Arial" w:hAnsi="Arial" w:cs="Arial"/>
                <w:b/>
                <w:bCs/>
                <w:sz w:val="20"/>
                <w:szCs w:val="20"/>
                <w:lang w:val="en-GB"/>
              </w:rPr>
              <w:t>Obese 3</w:t>
            </w:r>
          </w:p>
        </w:tc>
        <w:tc>
          <w:tcPr>
            <w:tcW w:w="1276" w:type="dxa"/>
            <w:vMerge/>
            <w:tcBorders>
              <w:bottom w:val="single" w:sz="4" w:space="0" w:color="auto"/>
            </w:tcBorders>
            <w:noWrap/>
          </w:tcPr>
          <w:p w14:paraId="0BCFC5F6"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766" w:type="dxa"/>
            <w:vMerge/>
            <w:tcBorders>
              <w:bottom w:val="single" w:sz="4" w:space="0" w:color="auto"/>
            </w:tcBorders>
            <w:noWrap/>
          </w:tcPr>
          <w:p w14:paraId="3CEA181A"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tcBorders>
              <w:bottom w:val="single" w:sz="4" w:space="0" w:color="auto"/>
            </w:tcBorders>
            <w:noWrap/>
          </w:tcPr>
          <w:p w14:paraId="7BAB7DF3"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7857FCEA"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14:paraId="4977EA89" w14:textId="77777777" w:rsidR="001A40F5" w:rsidRDefault="0098377F">
            <w:pPr>
              <w:rPr>
                <w:rFonts w:ascii="Arial" w:hAnsi="Arial" w:cs="Arial"/>
                <w:b w:val="0"/>
                <w:bCs w:val="0"/>
                <w:sz w:val="20"/>
                <w:szCs w:val="20"/>
                <w:lang w:val="en-GB"/>
              </w:rPr>
            </w:pPr>
            <w:r>
              <w:rPr>
                <w:rFonts w:ascii="Arial" w:hAnsi="Arial" w:cs="Arial"/>
                <w:sz w:val="20"/>
                <w:szCs w:val="20"/>
                <w:lang w:val="en-GB"/>
              </w:rPr>
              <w:t>HTN</w:t>
            </w:r>
          </w:p>
        </w:tc>
        <w:tc>
          <w:tcPr>
            <w:tcW w:w="1989" w:type="dxa"/>
            <w:tcBorders>
              <w:top w:val="single" w:sz="4" w:space="0" w:color="auto"/>
            </w:tcBorders>
            <w:noWrap/>
          </w:tcPr>
          <w:p w14:paraId="186D5A05"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1156" w:type="dxa"/>
            <w:tcBorders>
              <w:top w:val="single" w:sz="4" w:space="0" w:color="auto"/>
            </w:tcBorders>
            <w:noWrap/>
          </w:tcPr>
          <w:p w14:paraId="362339E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8(24.2)</w:t>
            </w:r>
          </w:p>
        </w:tc>
        <w:tc>
          <w:tcPr>
            <w:tcW w:w="1418" w:type="dxa"/>
            <w:tcBorders>
              <w:top w:val="single" w:sz="4" w:space="0" w:color="auto"/>
            </w:tcBorders>
            <w:noWrap/>
          </w:tcPr>
          <w:p w14:paraId="0070FC5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13(27.3)</w:t>
            </w:r>
          </w:p>
        </w:tc>
        <w:tc>
          <w:tcPr>
            <w:tcW w:w="1275" w:type="dxa"/>
            <w:tcBorders>
              <w:top w:val="single" w:sz="4" w:space="0" w:color="auto"/>
            </w:tcBorders>
            <w:noWrap/>
          </w:tcPr>
          <w:p w14:paraId="098DF3B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8(24.2)</w:t>
            </w:r>
          </w:p>
        </w:tc>
        <w:tc>
          <w:tcPr>
            <w:tcW w:w="1134" w:type="dxa"/>
            <w:tcBorders>
              <w:top w:val="single" w:sz="4" w:space="0" w:color="auto"/>
            </w:tcBorders>
            <w:noWrap/>
          </w:tcPr>
          <w:p w14:paraId="25CAB5D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8(24.2)</w:t>
            </w:r>
          </w:p>
        </w:tc>
        <w:tc>
          <w:tcPr>
            <w:tcW w:w="1134" w:type="dxa"/>
            <w:tcBorders>
              <w:top w:val="single" w:sz="4" w:space="0" w:color="auto"/>
            </w:tcBorders>
            <w:noWrap/>
          </w:tcPr>
          <w:p w14:paraId="6CAE53E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w:t>
            </w:r>
          </w:p>
        </w:tc>
        <w:tc>
          <w:tcPr>
            <w:tcW w:w="1276" w:type="dxa"/>
            <w:tcBorders>
              <w:top w:val="single" w:sz="4" w:space="0" w:color="auto"/>
            </w:tcBorders>
            <w:noWrap/>
          </w:tcPr>
          <w:p w14:paraId="76D5AAD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37(100)</w:t>
            </w:r>
          </w:p>
        </w:tc>
        <w:tc>
          <w:tcPr>
            <w:tcW w:w="766" w:type="dxa"/>
            <w:vMerge w:val="restart"/>
            <w:tcBorders>
              <w:top w:val="single" w:sz="4" w:space="0" w:color="auto"/>
            </w:tcBorders>
            <w:noWrap/>
          </w:tcPr>
          <w:p w14:paraId="7E08855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6.356</w:t>
            </w:r>
          </w:p>
        </w:tc>
        <w:tc>
          <w:tcPr>
            <w:tcW w:w="829" w:type="dxa"/>
            <w:vMerge w:val="restart"/>
            <w:tcBorders>
              <w:top w:val="single" w:sz="4" w:space="0" w:color="auto"/>
            </w:tcBorders>
            <w:noWrap/>
          </w:tcPr>
          <w:p w14:paraId="27F18A6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0.174</w:t>
            </w:r>
          </w:p>
        </w:tc>
      </w:tr>
      <w:tr w:rsidR="001A40F5" w14:paraId="3CB5C513"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628E993D" w14:textId="77777777" w:rsidR="001A40F5" w:rsidRDefault="001A40F5">
            <w:pPr>
              <w:rPr>
                <w:rFonts w:ascii="Arial" w:hAnsi="Arial" w:cs="Arial"/>
                <w:b w:val="0"/>
                <w:bCs w:val="0"/>
                <w:sz w:val="20"/>
                <w:szCs w:val="20"/>
                <w:lang w:val="en-GB"/>
              </w:rPr>
            </w:pPr>
          </w:p>
        </w:tc>
        <w:tc>
          <w:tcPr>
            <w:tcW w:w="1989" w:type="dxa"/>
            <w:noWrap/>
          </w:tcPr>
          <w:p w14:paraId="1399994C"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156" w:type="dxa"/>
            <w:noWrap/>
          </w:tcPr>
          <w:p w14:paraId="069AADD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90(25.1)</w:t>
            </w:r>
          </w:p>
        </w:tc>
        <w:tc>
          <w:tcPr>
            <w:tcW w:w="1418" w:type="dxa"/>
            <w:noWrap/>
          </w:tcPr>
          <w:p w14:paraId="770AB6B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120(32.3)</w:t>
            </w:r>
          </w:p>
        </w:tc>
        <w:tc>
          <w:tcPr>
            <w:tcW w:w="1275" w:type="dxa"/>
            <w:noWrap/>
          </w:tcPr>
          <w:p w14:paraId="710F6BA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93(25.9)</w:t>
            </w:r>
          </w:p>
        </w:tc>
        <w:tc>
          <w:tcPr>
            <w:tcW w:w="1134" w:type="dxa"/>
            <w:noWrap/>
          </w:tcPr>
          <w:p w14:paraId="77A0FCB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40(11.1)</w:t>
            </w:r>
          </w:p>
        </w:tc>
        <w:tc>
          <w:tcPr>
            <w:tcW w:w="1134" w:type="dxa"/>
            <w:noWrap/>
          </w:tcPr>
          <w:p w14:paraId="760B003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20(5.6)</w:t>
            </w:r>
          </w:p>
        </w:tc>
        <w:tc>
          <w:tcPr>
            <w:tcW w:w="1276" w:type="dxa"/>
            <w:noWrap/>
          </w:tcPr>
          <w:p w14:paraId="1F14502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363(100)</w:t>
            </w:r>
          </w:p>
        </w:tc>
        <w:tc>
          <w:tcPr>
            <w:tcW w:w="766" w:type="dxa"/>
            <w:vMerge/>
            <w:noWrap/>
          </w:tcPr>
          <w:p w14:paraId="695443C8"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60B93868"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3ED914EA"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14:paraId="245634D5" w14:textId="77777777" w:rsidR="001A40F5" w:rsidRDefault="001A40F5">
            <w:pPr>
              <w:rPr>
                <w:rFonts w:ascii="Arial" w:hAnsi="Arial" w:cs="Arial"/>
                <w:b w:val="0"/>
                <w:bCs w:val="0"/>
                <w:sz w:val="20"/>
                <w:szCs w:val="20"/>
                <w:lang w:val="en-GB"/>
              </w:rPr>
            </w:pPr>
          </w:p>
        </w:tc>
        <w:tc>
          <w:tcPr>
            <w:tcW w:w="1989" w:type="dxa"/>
            <w:tcBorders>
              <w:bottom w:val="single" w:sz="4" w:space="0" w:color="auto"/>
            </w:tcBorders>
            <w:noWrap/>
          </w:tcPr>
          <w:p w14:paraId="1A359B6F"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Total</w:t>
            </w:r>
          </w:p>
        </w:tc>
        <w:tc>
          <w:tcPr>
            <w:tcW w:w="1156" w:type="dxa"/>
            <w:tcBorders>
              <w:bottom w:val="single" w:sz="4" w:space="0" w:color="auto"/>
            </w:tcBorders>
            <w:noWrap/>
          </w:tcPr>
          <w:p w14:paraId="1598B2D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98(25)</w:t>
            </w:r>
          </w:p>
        </w:tc>
        <w:tc>
          <w:tcPr>
            <w:tcW w:w="1418" w:type="dxa"/>
            <w:tcBorders>
              <w:bottom w:val="single" w:sz="4" w:space="0" w:color="auto"/>
            </w:tcBorders>
            <w:noWrap/>
          </w:tcPr>
          <w:p w14:paraId="1E10A5F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133(31.9)</w:t>
            </w:r>
          </w:p>
        </w:tc>
        <w:tc>
          <w:tcPr>
            <w:tcW w:w="1275" w:type="dxa"/>
            <w:tcBorders>
              <w:bottom w:val="single" w:sz="4" w:space="0" w:color="auto"/>
            </w:tcBorders>
            <w:noWrap/>
          </w:tcPr>
          <w:p w14:paraId="7FBBA46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101(25.8)</w:t>
            </w:r>
          </w:p>
        </w:tc>
        <w:tc>
          <w:tcPr>
            <w:tcW w:w="1134" w:type="dxa"/>
            <w:tcBorders>
              <w:bottom w:val="single" w:sz="4" w:space="0" w:color="auto"/>
            </w:tcBorders>
            <w:noWrap/>
          </w:tcPr>
          <w:p w14:paraId="5C9E318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48(12.2)</w:t>
            </w:r>
          </w:p>
        </w:tc>
        <w:tc>
          <w:tcPr>
            <w:tcW w:w="1134" w:type="dxa"/>
            <w:tcBorders>
              <w:bottom w:val="single" w:sz="4" w:space="0" w:color="auto"/>
            </w:tcBorders>
            <w:noWrap/>
          </w:tcPr>
          <w:p w14:paraId="3BDEA72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20(5.1)</w:t>
            </w:r>
          </w:p>
        </w:tc>
        <w:tc>
          <w:tcPr>
            <w:tcW w:w="1276" w:type="dxa"/>
            <w:tcBorders>
              <w:bottom w:val="single" w:sz="4" w:space="0" w:color="auto"/>
            </w:tcBorders>
            <w:noWrap/>
          </w:tcPr>
          <w:p w14:paraId="67BED22A"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400(100)</w:t>
            </w:r>
          </w:p>
        </w:tc>
        <w:tc>
          <w:tcPr>
            <w:tcW w:w="766" w:type="dxa"/>
            <w:vMerge/>
            <w:tcBorders>
              <w:bottom w:val="single" w:sz="4" w:space="0" w:color="auto"/>
            </w:tcBorders>
            <w:noWrap/>
          </w:tcPr>
          <w:p w14:paraId="1E91770B"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tcBorders>
              <w:bottom w:val="single" w:sz="4" w:space="0" w:color="auto"/>
            </w:tcBorders>
            <w:noWrap/>
          </w:tcPr>
          <w:p w14:paraId="4D90960B"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1C42CAB5"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14:paraId="29042495" w14:textId="77777777" w:rsidR="001A40F5" w:rsidRDefault="0098377F">
            <w:pPr>
              <w:rPr>
                <w:rFonts w:ascii="Arial" w:hAnsi="Arial" w:cs="Arial"/>
                <w:b w:val="0"/>
                <w:bCs w:val="0"/>
                <w:sz w:val="20"/>
                <w:szCs w:val="20"/>
                <w:lang w:val="en-GB"/>
              </w:rPr>
            </w:pPr>
            <w:r>
              <w:rPr>
                <w:rFonts w:ascii="Arial" w:hAnsi="Arial" w:cs="Arial"/>
                <w:sz w:val="20"/>
                <w:szCs w:val="20"/>
                <w:lang w:val="en-GB"/>
              </w:rPr>
              <w:t>DM</w:t>
            </w:r>
          </w:p>
        </w:tc>
        <w:tc>
          <w:tcPr>
            <w:tcW w:w="1989" w:type="dxa"/>
            <w:tcBorders>
              <w:top w:val="single" w:sz="4" w:space="0" w:color="auto"/>
            </w:tcBorders>
            <w:noWrap/>
          </w:tcPr>
          <w:p w14:paraId="1EFC3E39"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1156" w:type="dxa"/>
            <w:tcBorders>
              <w:top w:val="single" w:sz="4" w:space="0" w:color="auto"/>
            </w:tcBorders>
            <w:noWrap/>
          </w:tcPr>
          <w:p w14:paraId="4DEBDF3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18(28.1)</w:t>
            </w:r>
          </w:p>
        </w:tc>
        <w:tc>
          <w:tcPr>
            <w:tcW w:w="1418" w:type="dxa"/>
            <w:tcBorders>
              <w:top w:val="single" w:sz="4" w:space="0" w:color="auto"/>
            </w:tcBorders>
            <w:noWrap/>
          </w:tcPr>
          <w:p w14:paraId="6CDFC20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27(39.1)</w:t>
            </w:r>
          </w:p>
        </w:tc>
        <w:tc>
          <w:tcPr>
            <w:tcW w:w="1275" w:type="dxa"/>
            <w:tcBorders>
              <w:top w:val="single" w:sz="4" w:space="0" w:color="auto"/>
            </w:tcBorders>
            <w:noWrap/>
          </w:tcPr>
          <w:p w14:paraId="5F249B4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14(18.8)</w:t>
            </w:r>
          </w:p>
        </w:tc>
        <w:tc>
          <w:tcPr>
            <w:tcW w:w="1134" w:type="dxa"/>
            <w:tcBorders>
              <w:top w:val="single" w:sz="4" w:space="0" w:color="auto"/>
            </w:tcBorders>
            <w:noWrap/>
          </w:tcPr>
          <w:p w14:paraId="1A66E1D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5(7.8)</w:t>
            </w:r>
          </w:p>
        </w:tc>
        <w:tc>
          <w:tcPr>
            <w:tcW w:w="1134" w:type="dxa"/>
            <w:tcBorders>
              <w:top w:val="single" w:sz="4" w:space="0" w:color="auto"/>
            </w:tcBorders>
            <w:noWrap/>
          </w:tcPr>
          <w:p w14:paraId="77F3D60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4(6.3)</w:t>
            </w:r>
          </w:p>
        </w:tc>
        <w:tc>
          <w:tcPr>
            <w:tcW w:w="1276" w:type="dxa"/>
            <w:tcBorders>
              <w:top w:val="single" w:sz="4" w:space="0" w:color="auto"/>
            </w:tcBorders>
            <w:noWrap/>
          </w:tcPr>
          <w:p w14:paraId="6066458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68(100)</w:t>
            </w:r>
          </w:p>
        </w:tc>
        <w:tc>
          <w:tcPr>
            <w:tcW w:w="766" w:type="dxa"/>
            <w:vMerge w:val="restart"/>
            <w:tcBorders>
              <w:top w:val="single" w:sz="4" w:space="0" w:color="auto"/>
            </w:tcBorders>
            <w:noWrap/>
          </w:tcPr>
          <w:p w14:paraId="4E85F913"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4.419</w:t>
            </w:r>
          </w:p>
        </w:tc>
        <w:tc>
          <w:tcPr>
            <w:tcW w:w="829" w:type="dxa"/>
            <w:vMerge w:val="restart"/>
            <w:tcBorders>
              <w:top w:val="single" w:sz="4" w:space="0" w:color="auto"/>
            </w:tcBorders>
            <w:noWrap/>
          </w:tcPr>
          <w:p w14:paraId="04B12E1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0.352</w:t>
            </w:r>
          </w:p>
        </w:tc>
      </w:tr>
      <w:tr w:rsidR="001A40F5" w14:paraId="108396F6"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49672FC2" w14:textId="77777777" w:rsidR="001A40F5" w:rsidRDefault="001A40F5">
            <w:pPr>
              <w:rPr>
                <w:rFonts w:ascii="Arial" w:hAnsi="Arial" w:cs="Arial"/>
                <w:b w:val="0"/>
                <w:bCs w:val="0"/>
                <w:sz w:val="20"/>
                <w:szCs w:val="20"/>
                <w:lang w:val="en-GB"/>
              </w:rPr>
            </w:pPr>
          </w:p>
        </w:tc>
        <w:tc>
          <w:tcPr>
            <w:tcW w:w="1989" w:type="dxa"/>
            <w:noWrap/>
          </w:tcPr>
          <w:p w14:paraId="16A0138D"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156" w:type="dxa"/>
            <w:noWrap/>
          </w:tcPr>
          <w:p w14:paraId="161AB52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80(24.4)</w:t>
            </w:r>
          </w:p>
        </w:tc>
        <w:tc>
          <w:tcPr>
            <w:tcW w:w="1418" w:type="dxa"/>
            <w:noWrap/>
          </w:tcPr>
          <w:p w14:paraId="19A57EF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102(30.5)</w:t>
            </w:r>
          </w:p>
        </w:tc>
        <w:tc>
          <w:tcPr>
            <w:tcW w:w="1275" w:type="dxa"/>
            <w:noWrap/>
          </w:tcPr>
          <w:p w14:paraId="7D0416E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91(27.1)</w:t>
            </w:r>
          </w:p>
        </w:tc>
        <w:tc>
          <w:tcPr>
            <w:tcW w:w="1134" w:type="dxa"/>
            <w:noWrap/>
          </w:tcPr>
          <w:p w14:paraId="20F07C7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43(13.1)</w:t>
            </w:r>
          </w:p>
        </w:tc>
        <w:tc>
          <w:tcPr>
            <w:tcW w:w="1134" w:type="dxa"/>
            <w:noWrap/>
          </w:tcPr>
          <w:p w14:paraId="44E35FC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16(4.9)</w:t>
            </w:r>
          </w:p>
        </w:tc>
        <w:tc>
          <w:tcPr>
            <w:tcW w:w="1276" w:type="dxa"/>
            <w:noWrap/>
          </w:tcPr>
          <w:p w14:paraId="61DF50BA"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332(100)</w:t>
            </w:r>
          </w:p>
        </w:tc>
        <w:tc>
          <w:tcPr>
            <w:tcW w:w="766" w:type="dxa"/>
            <w:vMerge/>
            <w:noWrap/>
          </w:tcPr>
          <w:p w14:paraId="4F28E92E"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6F865BFB"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2008C81B"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14:paraId="234308B3" w14:textId="77777777" w:rsidR="001A40F5" w:rsidRDefault="001A40F5">
            <w:pPr>
              <w:rPr>
                <w:rFonts w:ascii="Arial" w:hAnsi="Arial" w:cs="Arial"/>
                <w:b w:val="0"/>
                <w:bCs w:val="0"/>
                <w:sz w:val="20"/>
                <w:szCs w:val="20"/>
                <w:lang w:val="en-GB"/>
              </w:rPr>
            </w:pPr>
          </w:p>
        </w:tc>
        <w:tc>
          <w:tcPr>
            <w:tcW w:w="1989" w:type="dxa"/>
            <w:tcBorders>
              <w:bottom w:val="single" w:sz="4" w:space="0" w:color="auto"/>
            </w:tcBorders>
            <w:noWrap/>
          </w:tcPr>
          <w:p w14:paraId="5DB190BE"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Total</w:t>
            </w:r>
          </w:p>
        </w:tc>
        <w:tc>
          <w:tcPr>
            <w:tcW w:w="1156" w:type="dxa"/>
            <w:tcBorders>
              <w:bottom w:val="single" w:sz="4" w:space="0" w:color="auto"/>
            </w:tcBorders>
            <w:noWrap/>
          </w:tcPr>
          <w:p w14:paraId="000AC17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98(25)</w:t>
            </w:r>
          </w:p>
        </w:tc>
        <w:tc>
          <w:tcPr>
            <w:tcW w:w="1418" w:type="dxa"/>
            <w:tcBorders>
              <w:bottom w:val="single" w:sz="4" w:space="0" w:color="auto"/>
            </w:tcBorders>
            <w:noWrap/>
          </w:tcPr>
          <w:p w14:paraId="37AB953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129(31.9)</w:t>
            </w:r>
          </w:p>
        </w:tc>
        <w:tc>
          <w:tcPr>
            <w:tcW w:w="1275" w:type="dxa"/>
            <w:tcBorders>
              <w:bottom w:val="single" w:sz="4" w:space="0" w:color="auto"/>
            </w:tcBorders>
            <w:noWrap/>
          </w:tcPr>
          <w:p w14:paraId="4C8758C9"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105(25.8)</w:t>
            </w:r>
          </w:p>
        </w:tc>
        <w:tc>
          <w:tcPr>
            <w:tcW w:w="1134" w:type="dxa"/>
            <w:tcBorders>
              <w:bottom w:val="single" w:sz="4" w:space="0" w:color="auto"/>
            </w:tcBorders>
            <w:noWrap/>
          </w:tcPr>
          <w:p w14:paraId="7F65F24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48(12.2)</w:t>
            </w:r>
          </w:p>
        </w:tc>
        <w:tc>
          <w:tcPr>
            <w:tcW w:w="1134" w:type="dxa"/>
            <w:tcBorders>
              <w:bottom w:val="single" w:sz="4" w:space="0" w:color="auto"/>
            </w:tcBorders>
            <w:noWrap/>
          </w:tcPr>
          <w:p w14:paraId="050C972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20(5.1)</w:t>
            </w:r>
          </w:p>
        </w:tc>
        <w:tc>
          <w:tcPr>
            <w:tcW w:w="1276" w:type="dxa"/>
            <w:tcBorders>
              <w:bottom w:val="single" w:sz="4" w:space="0" w:color="auto"/>
            </w:tcBorders>
            <w:noWrap/>
          </w:tcPr>
          <w:p w14:paraId="4F0EF19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400(100)</w:t>
            </w:r>
          </w:p>
        </w:tc>
        <w:tc>
          <w:tcPr>
            <w:tcW w:w="766" w:type="dxa"/>
            <w:vMerge/>
            <w:tcBorders>
              <w:bottom w:val="single" w:sz="4" w:space="0" w:color="auto"/>
            </w:tcBorders>
            <w:noWrap/>
          </w:tcPr>
          <w:p w14:paraId="0B57A3A0"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tcBorders>
              <w:bottom w:val="single" w:sz="4" w:space="0" w:color="auto"/>
            </w:tcBorders>
            <w:noWrap/>
          </w:tcPr>
          <w:p w14:paraId="3C2CDC36"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720A6CD6"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14:paraId="0BF1680A" w14:textId="77777777" w:rsidR="001A40F5" w:rsidRDefault="0098377F">
            <w:pPr>
              <w:rPr>
                <w:rFonts w:ascii="Arial" w:hAnsi="Arial" w:cs="Arial"/>
                <w:b w:val="0"/>
                <w:bCs w:val="0"/>
                <w:sz w:val="20"/>
                <w:szCs w:val="20"/>
                <w:lang w:val="en-GB"/>
              </w:rPr>
            </w:pPr>
            <w:r>
              <w:rPr>
                <w:rFonts w:ascii="Arial" w:hAnsi="Arial" w:cs="Arial"/>
                <w:sz w:val="20"/>
                <w:szCs w:val="20"/>
                <w:lang w:val="en-GB"/>
              </w:rPr>
              <w:t>HTN&amp;DM</w:t>
            </w:r>
          </w:p>
        </w:tc>
        <w:tc>
          <w:tcPr>
            <w:tcW w:w="1989" w:type="dxa"/>
            <w:tcBorders>
              <w:top w:val="single" w:sz="4" w:space="0" w:color="auto"/>
            </w:tcBorders>
            <w:noWrap/>
          </w:tcPr>
          <w:p w14:paraId="4730EBE6"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1156" w:type="dxa"/>
            <w:tcBorders>
              <w:top w:val="single" w:sz="4" w:space="0" w:color="auto"/>
            </w:tcBorders>
            <w:noWrap/>
          </w:tcPr>
          <w:p w14:paraId="3AD6AD19"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46(27.7)</w:t>
            </w:r>
          </w:p>
        </w:tc>
        <w:tc>
          <w:tcPr>
            <w:tcW w:w="1418" w:type="dxa"/>
            <w:tcBorders>
              <w:top w:val="single" w:sz="4" w:space="0" w:color="auto"/>
            </w:tcBorders>
            <w:noWrap/>
          </w:tcPr>
          <w:p w14:paraId="58BB6A0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56(32.5)</w:t>
            </w:r>
          </w:p>
        </w:tc>
        <w:tc>
          <w:tcPr>
            <w:tcW w:w="1275" w:type="dxa"/>
            <w:tcBorders>
              <w:top w:val="single" w:sz="4" w:space="0" w:color="auto"/>
            </w:tcBorders>
            <w:noWrap/>
          </w:tcPr>
          <w:p w14:paraId="28E069F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44(25.3)</w:t>
            </w:r>
          </w:p>
        </w:tc>
        <w:tc>
          <w:tcPr>
            <w:tcW w:w="1134" w:type="dxa"/>
            <w:tcBorders>
              <w:top w:val="single" w:sz="4" w:space="0" w:color="auto"/>
            </w:tcBorders>
            <w:noWrap/>
          </w:tcPr>
          <w:p w14:paraId="444ECCA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17(10.2)</w:t>
            </w:r>
          </w:p>
        </w:tc>
        <w:tc>
          <w:tcPr>
            <w:tcW w:w="1134" w:type="dxa"/>
            <w:tcBorders>
              <w:top w:val="single" w:sz="4" w:space="0" w:color="auto"/>
            </w:tcBorders>
            <w:noWrap/>
          </w:tcPr>
          <w:p w14:paraId="1E0DEFE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7(4.2)</w:t>
            </w:r>
          </w:p>
        </w:tc>
        <w:tc>
          <w:tcPr>
            <w:tcW w:w="1276" w:type="dxa"/>
            <w:tcBorders>
              <w:top w:val="single" w:sz="4" w:space="0" w:color="auto"/>
            </w:tcBorders>
            <w:noWrap/>
          </w:tcPr>
          <w:p w14:paraId="17B9EEA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170(100)</w:t>
            </w:r>
          </w:p>
        </w:tc>
        <w:tc>
          <w:tcPr>
            <w:tcW w:w="766" w:type="dxa"/>
            <w:vMerge w:val="restart"/>
            <w:tcBorders>
              <w:top w:val="single" w:sz="4" w:space="0" w:color="auto"/>
            </w:tcBorders>
            <w:noWrap/>
          </w:tcPr>
          <w:p w14:paraId="53044B5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2.294</w:t>
            </w:r>
          </w:p>
        </w:tc>
        <w:tc>
          <w:tcPr>
            <w:tcW w:w="829" w:type="dxa"/>
            <w:vMerge w:val="restart"/>
            <w:tcBorders>
              <w:top w:val="single" w:sz="4" w:space="0" w:color="auto"/>
            </w:tcBorders>
            <w:noWrap/>
          </w:tcPr>
          <w:p w14:paraId="66CA1813"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0.682</w:t>
            </w:r>
          </w:p>
        </w:tc>
      </w:tr>
      <w:tr w:rsidR="001A40F5" w14:paraId="343778F9"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14FE4914" w14:textId="77777777" w:rsidR="001A40F5" w:rsidRDefault="001A40F5">
            <w:pPr>
              <w:rPr>
                <w:rFonts w:ascii="Arial" w:hAnsi="Arial" w:cs="Arial"/>
                <w:b w:val="0"/>
                <w:bCs w:val="0"/>
                <w:sz w:val="20"/>
                <w:szCs w:val="20"/>
                <w:lang w:val="en-GB"/>
              </w:rPr>
            </w:pPr>
          </w:p>
        </w:tc>
        <w:tc>
          <w:tcPr>
            <w:tcW w:w="1989" w:type="dxa"/>
            <w:noWrap/>
          </w:tcPr>
          <w:p w14:paraId="7A463724"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156" w:type="dxa"/>
            <w:noWrap/>
          </w:tcPr>
          <w:p w14:paraId="72BE46BA"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52(23)</w:t>
            </w:r>
          </w:p>
        </w:tc>
        <w:tc>
          <w:tcPr>
            <w:tcW w:w="1418" w:type="dxa"/>
            <w:noWrap/>
          </w:tcPr>
          <w:p w14:paraId="08AC481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73(31.4)</w:t>
            </w:r>
          </w:p>
        </w:tc>
        <w:tc>
          <w:tcPr>
            <w:tcW w:w="1275" w:type="dxa"/>
            <w:noWrap/>
          </w:tcPr>
          <w:p w14:paraId="5456008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61(26.1)</w:t>
            </w:r>
          </w:p>
        </w:tc>
        <w:tc>
          <w:tcPr>
            <w:tcW w:w="1134" w:type="dxa"/>
            <w:noWrap/>
          </w:tcPr>
          <w:p w14:paraId="025E3B8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31(13.7)</w:t>
            </w:r>
          </w:p>
        </w:tc>
        <w:tc>
          <w:tcPr>
            <w:tcW w:w="1134" w:type="dxa"/>
            <w:noWrap/>
          </w:tcPr>
          <w:p w14:paraId="741E0AF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13(5.8)</w:t>
            </w:r>
          </w:p>
        </w:tc>
        <w:tc>
          <w:tcPr>
            <w:tcW w:w="1276" w:type="dxa"/>
            <w:noWrap/>
          </w:tcPr>
          <w:p w14:paraId="3F96D78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230(100)</w:t>
            </w:r>
          </w:p>
        </w:tc>
        <w:tc>
          <w:tcPr>
            <w:tcW w:w="766" w:type="dxa"/>
            <w:vMerge/>
            <w:noWrap/>
          </w:tcPr>
          <w:p w14:paraId="18D66EDF"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75680FEA"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60F9C492"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14:paraId="4F28B0C3" w14:textId="77777777" w:rsidR="001A40F5" w:rsidRDefault="001A40F5">
            <w:pPr>
              <w:rPr>
                <w:rFonts w:ascii="Arial" w:hAnsi="Arial" w:cs="Arial"/>
                <w:b w:val="0"/>
                <w:bCs w:val="0"/>
                <w:sz w:val="20"/>
                <w:szCs w:val="20"/>
                <w:lang w:val="en-GB"/>
              </w:rPr>
            </w:pPr>
          </w:p>
        </w:tc>
        <w:tc>
          <w:tcPr>
            <w:tcW w:w="1989" w:type="dxa"/>
            <w:tcBorders>
              <w:bottom w:val="single" w:sz="4" w:space="0" w:color="auto"/>
            </w:tcBorders>
            <w:noWrap/>
          </w:tcPr>
          <w:p w14:paraId="67120D8B"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Total</w:t>
            </w:r>
          </w:p>
        </w:tc>
        <w:tc>
          <w:tcPr>
            <w:tcW w:w="1156" w:type="dxa"/>
            <w:tcBorders>
              <w:bottom w:val="single" w:sz="4" w:space="0" w:color="auto"/>
            </w:tcBorders>
            <w:noWrap/>
          </w:tcPr>
          <w:p w14:paraId="3A9E6C2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98(25)</w:t>
            </w:r>
          </w:p>
        </w:tc>
        <w:tc>
          <w:tcPr>
            <w:tcW w:w="1418" w:type="dxa"/>
            <w:tcBorders>
              <w:bottom w:val="single" w:sz="4" w:space="0" w:color="auto"/>
            </w:tcBorders>
            <w:noWrap/>
          </w:tcPr>
          <w:p w14:paraId="6AA717A3"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129(31.9)</w:t>
            </w:r>
          </w:p>
        </w:tc>
        <w:tc>
          <w:tcPr>
            <w:tcW w:w="1275" w:type="dxa"/>
            <w:tcBorders>
              <w:bottom w:val="single" w:sz="4" w:space="0" w:color="auto"/>
            </w:tcBorders>
            <w:noWrap/>
          </w:tcPr>
          <w:p w14:paraId="2742A66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105(25.8)</w:t>
            </w:r>
          </w:p>
        </w:tc>
        <w:tc>
          <w:tcPr>
            <w:tcW w:w="1134" w:type="dxa"/>
            <w:tcBorders>
              <w:bottom w:val="single" w:sz="4" w:space="0" w:color="auto"/>
            </w:tcBorders>
            <w:noWrap/>
          </w:tcPr>
          <w:p w14:paraId="42F67D4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48(12.2)</w:t>
            </w:r>
          </w:p>
        </w:tc>
        <w:tc>
          <w:tcPr>
            <w:tcW w:w="1134" w:type="dxa"/>
            <w:tcBorders>
              <w:bottom w:val="single" w:sz="4" w:space="0" w:color="auto"/>
            </w:tcBorders>
            <w:noWrap/>
          </w:tcPr>
          <w:p w14:paraId="05301D8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20(5.1)</w:t>
            </w:r>
          </w:p>
        </w:tc>
        <w:tc>
          <w:tcPr>
            <w:tcW w:w="1276" w:type="dxa"/>
            <w:tcBorders>
              <w:bottom w:val="single" w:sz="4" w:space="0" w:color="auto"/>
            </w:tcBorders>
            <w:noWrap/>
          </w:tcPr>
          <w:p w14:paraId="21E981A3"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400(100)</w:t>
            </w:r>
          </w:p>
        </w:tc>
        <w:tc>
          <w:tcPr>
            <w:tcW w:w="766" w:type="dxa"/>
            <w:vMerge/>
            <w:tcBorders>
              <w:bottom w:val="single" w:sz="4" w:space="0" w:color="auto"/>
            </w:tcBorders>
            <w:noWrap/>
          </w:tcPr>
          <w:p w14:paraId="161F0988"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tcBorders>
              <w:bottom w:val="single" w:sz="4" w:space="0" w:color="auto"/>
            </w:tcBorders>
            <w:noWrap/>
          </w:tcPr>
          <w:p w14:paraId="3FBD6C8A"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50EE9BE0"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14:paraId="68F6F818" w14:textId="77777777" w:rsidR="001A40F5" w:rsidRDefault="0098377F">
            <w:pPr>
              <w:rPr>
                <w:rFonts w:ascii="Arial" w:hAnsi="Arial" w:cs="Arial"/>
                <w:b w:val="0"/>
                <w:bCs w:val="0"/>
                <w:sz w:val="20"/>
                <w:szCs w:val="20"/>
                <w:lang w:val="en-GB"/>
              </w:rPr>
            </w:pPr>
            <w:r>
              <w:rPr>
                <w:rFonts w:ascii="Arial" w:hAnsi="Arial" w:cs="Arial"/>
                <w:sz w:val="20"/>
                <w:szCs w:val="20"/>
                <w:lang w:val="en-GB"/>
              </w:rPr>
              <w:t>FBS</w:t>
            </w:r>
          </w:p>
        </w:tc>
        <w:tc>
          <w:tcPr>
            <w:tcW w:w="1989" w:type="dxa"/>
            <w:tcBorders>
              <w:top w:val="single" w:sz="4" w:space="0" w:color="auto"/>
            </w:tcBorders>
            <w:noWrap/>
          </w:tcPr>
          <w:p w14:paraId="65988F80"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High</w:t>
            </w:r>
          </w:p>
        </w:tc>
        <w:tc>
          <w:tcPr>
            <w:tcW w:w="1156" w:type="dxa"/>
            <w:tcBorders>
              <w:top w:val="single" w:sz="4" w:space="0" w:color="auto"/>
            </w:tcBorders>
            <w:noWrap/>
          </w:tcPr>
          <w:p w14:paraId="28C6191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66(21.5)</w:t>
            </w:r>
          </w:p>
        </w:tc>
        <w:tc>
          <w:tcPr>
            <w:tcW w:w="1418" w:type="dxa"/>
            <w:tcBorders>
              <w:top w:val="single" w:sz="4" w:space="0" w:color="auto"/>
            </w:tcBorders>
            <w:noWrap/>
          </w:tcPr>
          <w:p w14:paraId="52BD36E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96(31.4)</w:t>
            </w:r>
          </w:p>
        </w:tc>
        <w:tc>
          <w:tcPr>
            <w:tcW w:w="1275" w:type="dxa"/>
            <w:tcBorders>
              <w:top w:val="single" w:sz="4" w:space="0" w:color="auto"/>
            </w:tcBorders>
            <w:noWrap/>
          </w:tcPr>
          <w:p w14:paraId="3FF155C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87(28.4)</w:t>
            </w:r>
          </w:p>
        </w:tc>
        <w:tc>
          <w:tcPr>
            <w:tcW w:w="1134" w:type="dxa"/>
            <w:tcBorders>
              <w:top w:val="single" w:sz="4" w:space="0" w:color="auto"/>
            </w:tcBorders>
            <w:noWrap/>
          </w:tcPr>
          <w:p w14:paraId="28747CC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42(13.5)</w:t>
            </w:r>
          </w:p>
        </w:tc>
        <w:tc>
          <w:tcPr>
            <w:tcW w:w="1134" w:type="dxa"/>
            <w:tcBorders>
              <w:top w:val="single" w:sz="4" w:space="0" w:color="auto"/>
            </w:tcBorders>
            <w:noWrap/>
          </w:tcPr>
          <w:p w14:paraId="17E47F3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16(5.3)</w:t>
            </w:r>
          </w:p>
        </w:tc>
        <w:tc>
          <w:tcPr>
            <w:tcW w:w="1276" w:type="dxa"/>
            <w:tcBorders>
              <w:top w:val="single" w:sz="4" w:space="0" w:color="auto"/>
            </w:tcBorders>
            <w:noWrap/>
          </w:tcPr>
          <w:p w14:paraId="33F14A6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307(100)</w:t>
            </w:r>
          </w:p>
        </w:tc>
        <w:tc>
          <w:tcPr>
            <w:tcW w:w="766" w:type="dxa"/>
            <w:vMerge w:val="restart"/>
            <w:tcBorders>
              <w:top w:val="single" w:sz="4" w:space="0" w:color="auto"/>
            </w:tcBorders>
            <w:noWrap/>
          </w:tcPr>
          <w:p w14:paraId="4AC0411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12.275</w:t>
            </w:r>
          </w:p>
        </w:tc>
        <w:tc>
          <w:tcPr>
            <w:tcW w:w="829" w:type="dxa"/>
            <w:vMerge w:val="restart"/>
            <w:tcBorders>
              <w:top w:val="single" w:sz="4" w:space="0" w:color="auto"/>
            </w:tcBorders>
            <w:noWrap/>
          </w:tcPr>
          <w:p w14:paraId="4C8CCF0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0.015</w:t>
            </w:r>
          </w:p>
        </w:tc>
      </w:tr>
      <w:tr w:rsidR="001A40F5" w14:paraId="448081A2"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6CDECEE4" w14:textId="77777777" w:rsidR="001A40F5" w:rsidRDefault="001A40F5">
            <w:pPr>
              <w:rPr>
                <w:rFonts w:ascii="Arial" w:hAnsi="Arial" w:cs="Arial"/>
                <w:b w:val="0"/>
                <w:bCs w:val="0"/>
                <w:sz w:val="20"/>
                <w:szCs w:val="20"/>
                <w:lang w:val="en-GB"/>
              </w:rPr>
            </w:pPr>
          </w:p>
        </w:tc>
        <w:tc>
          <w:tcPr>
            <w:tcW w:w="1989" w:type="dxa"/>
            <w:noWrap/>
          </w:tcPr>
          <w:p w14:paraId="3AB3FDF6"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Normal</w:t>
            </w:r>
          </w:p>
        </w:tc>
        <w:tc>
          <w:tcPr>
            <w:tcW w:w="1156" w:type="dxa"/>
            <w:noWrap/>
          </w:tcPr>
          <w:p w14:paraId="2622870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34(37.1)</w:t>
            </w:r>
          </w:p>
        </w:tc>
        <w:tc>
          <w:tcPr>
            <w:tcW w:w="1418" w:type="dxa"/>
            <w:noWrap/>
          </w:tcPr>
          <w:p w14:paraId="15A30E6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31(33.7)</w:t>
            </w:r>
          </w:p>
        </w:tc>
        <w:tc>
          <w:tcPr>
            <w:tcW w:w="1275" w:type="dxa"/>
            <w:noWrap/>
          </w:tcPr>
          <w:p w14:paraId="2B6B7C3A"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16(16.9)</w:t>
            </w:r>
          </w:p>
        </w:tc>
        <w:tc>
          <w:tcPr>
            <w:tcW w:w="1134" w:type="dxa"/>
            <w:noWrap/>
          </w:tcPr>
          <w:p w14:paraId="5589808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8(7.9)</w:t>
            </w:r>
          </w:p>
        </w:tc>
        <w:tc>
          <w:tcPr>
            <w:tcW w:w="1134" w:type="dxa"/>
            <w:noWrap/>
          </w:tcPr>
          <w:p w14:paraId="1713C0F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4(4.5)</w:t>
            </w:r>
          </w:p>
        </w:tc>
        <w:tc>
          <w:tcPr>
            <w:tcW w:w="1276" w:type="dxa"/>
            <w:noWrap/>
          </w:tcPr>
          <w:p w14:paraId="6BDF618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93(100)</w:t>
            </w:r>
          </w:p>
        </w:tc>
        <w:tc>
          <w:tcPr>
            <w:tcW w:w="766" w:type="dxa"/>
            <w:vMerge/>
            <w:noWrap/>
          </w:tcPr>
          <w:p w14:paraId="73AC8985"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3D24B6AB"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7AF9835B"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14:paraId="10F9F095" w14:textId="77777777" w:rsidR="001A40F5" w:rsidRDefault="001A40F5">
            <w:pPr>
              <w:rPr>
                <w:rFonts w:ascii="Arial" w:hAnsi="Arial" w:cs="Arial"/>
                <w:b w:val="0"/>
                <w:bCs w:val="0"/>
                <w:sz w:val="20"/>
                <w:szCs w:val="20"/>
                <w:lang w:val="en-GB"/>
              </w:rPr>
            </w:pPr>
          </w:p>
        </w:tc>
        <w:tc>
          <w:tcPr>
            <w:tcW w:w="1989" w:type="dxa"/>
            <w:tcBorders>
              <w:bottom w:val="single" w:sz="4" w:space="0" w:color="auto"/>
            </w:tcBorders>
            <w:noWrap/>
          </w:tcPr>
          <w:p w14:paraId="5F8F379A"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Total</w:t>
            </w:r>
          </w:p>
        </w:tc>
        <w:tc>
          <w:tcPr>
            <w:tcW w:w="1156" w:type="dxa"/>
            <w:tcBorders>
              <w:bottom w:val="single" w:sz="4" w:space="0" w:color="auto"/>
            </w:tcBorders>
            <w:noWrap/>
          </w:tcPr>
          <w:p w14:paraId="145506F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100(25)</w:t>
            </w:r>
          </w:p>
        </w:tc>
        <w:tc>
          <w:tcPr>
            <w:tcW w:w="1418" w:type="dxa"/>
            <w:tcBorders>
              <w:bottom w:val="single" w:sz="4" w:space="0" w:color="auto"/>
            </w:tcBorders>
            <w:noWrap/>
          </w:tcPr>
          <w:p w14:paraId="1CF9A493"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127(31.9)</w:t>
            </w:r>
          </w:p>
        </w:tc>
        <w:tc>
          <w:tcPr>
            <w:tcW w:w="1275" w:type="dxa"/>
            <w:tcBorders>
              <w:bottom w:val="single" w:sz="4" w:space="0" w:color="auto"/>
            </w:tcBorders>
            <w:noWrap/>
          </w:tcPr>
          <w:p w14:paraId="302B69A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103(25.8)</w:t>
            </w:r>
          </w:p>
        </w:tc>
        <w:tc>
          <w:tcPr>
            <w:tcW w:w="1134" w:type="dxa"/>
            <w:tcBorders>
              <w:bottom w:val="single" w:sz="4" w:space="0" w:color="auto"/>
            </w:tcBorders>
            <w:noWrap/>
          </w:tcPr>
          <w:p w14:paraId="0C80113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50(12.2)</w:t>
            </w:r>
          </w:p>
        </w:tc>
        <w:tc>
          <w:tcPr>
            <w:tcW w:w="1134" w:type="dxa"/>
            <w:tcBorders>
              <w:bottom w:val="single" w:sz="4" w:space="0" w:color="auto"/>
            </w:tcBorders>
            <w:noWrap/>
          </w:tcPr>
          <w:p w14:paraId="2822438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20(5.1)</w:t>
            </w:r>
          </w:p>
        </w:tc>
        <w:tc>
          <w:tcPr>
            <w:tcW w:w="1276" w:type="dxa"/>
            <w:tcBorders>
              <w:bottom w:val="single" w:sz="4" w:space="0" w:color="auto"/>
            </w:tcBorders>
            <w:noWrap/>
          </w:tcPr>
          <w:p w14:paraId="4584666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400(100)</w:t>
            </w:r>
          </w:p>
        </w:tc>
        <w:tc>
          <w:tcPr>
            <w:tcW w:w="766" w:type="dxa"/>
            <w:vMerge/>
            <w:tcBorders>
              <w:bottom w:val="single" w:sz="4" w:space="0" w:color="auto"/>
            </w:tcBorders>
            <w:noWrap/>
          </w:tcPr>
          <w:p w14:paraId="03589220"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tcBorders>
              <w:bottom w:val="single" w:sz="4" w:space="0" w:color="auto"/>
            </w:tcBorders>
            <w:noWrap/>
          </w:tcPr>
          <w:p w14:paraId="77EA84E7"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0F6A3003"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14:paraId="51313A8F" w14:textId="77777777" w:rsidR="001A40F5" w:rsidRDefault="001A40F5">
            <w:pPr>
              <w:rPr>
                <w:rFonts w:ascii="Arial" w:hAnsi="Arial" w:cs="Arial"/>
                <w:sz w:val="20"/>
                <w:szCs w:val="20"/>
                <w:lang w:val="en-GB"/>
              </w:rPr>
            </w:pPr>
          </w:p>
          <w:p w14:paraId="68A06D91" w14:textId="77777777" w:rsidR="001A40F5" w:rsidRDefault="001A40F5">
            <w:pPr>
              <w:rPr>
                <w:rFonts w:ascii="Arial" w:hAnsi="Arial" w:cs="Arial"/>
                <w:sz w:val="20"/>
                <w:szCs w:val="20"/>
                <w:lang w:val="en-GB"/>
              </w:rPr>
            </w:pPr>
          </w:p>
          <w:p w14:paraId="6D9849E9" w14:textId="77777777" w:rsidR="001A40F5" w:rsidRDefault="0098377F">
            <w:pPr>
              <w:rPr>
                <w:rFonts w:ascii="Arial" w:hAnsi="Arial" w:cs="Arial"/>
                <w:b w:val="0"/>
                <w:bCs w:val="0"/>
                <w:sz w:val="20"/>
                <w:szCs w:val="20"/>
                <w:lang w:val="en-GB"/>
              </w:rPr>
            </w:pPr>
            <w:r>
              <w:rPr>
                <w:rFonts w:ascii="Arial" w:hAnsi="Arial" w:cs="Arial"/>
                <w:sz w:val="20"/>
                <w:szCs w:val="20"/>
                <w:lang w:val="en-GB"/>
              </w:rPr>
              <w:t>Treatment Centre</w:t>
            </w:r>
          </w:p>
        </w:tc>
        <w:tc>
          <w:tcPr>
            <w:tcW w:w="1989" w:type="dxa"/>
            <w:tcBorders>
              <w:top w:val="single" w:sz="4" w:space="0" w:color="auto"/>
            </w:tcBorders>
            <w:noWrap/>
          </w:tcPr>
          <w:p w14:paraId="0658619D"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roofErr w:type="spellStart"/>
            <w:r>
              <w:rPr>
                <w:rFonts w:ascii="Arial" w:hAnsi="Arial" w:cs="Arial"/>
                <w:sz w:val="20"/>
                <w:szCs w:val="20"/>
                <w:lang w:val="en-GB"/>
              </w:rPr>
              <w:t>Fako</w:t>
            </w:r>
            <w:proofErr w:type="spellEnd"/>
            <w:r>
              <w:rPr>
                <w:rFonts w:ascii="Arial" w:hAnsi="Arial" w:cs="Arial"/>
                <w:sz w:val="20"/>
                <w:szCs w:val="20"/>
                <w:lang w:val="en-GB"/>
              </w:rPr>
              <w:t xml:space="preserve"> heart </w:t>
            </w:r>
            <w:proofErr w:type="spellStart"/>
            <w:r>
              <w:rPr>
                <w:rFonts w:ascii="Arial" w:hAnsi="Arial" w:cs="Arial"/>
                <w:sz w:val="20"/>
                <w:szCs w:val="20"/>
                <w:lang w:val="en-GB"/>
              </w:rPr>
              <w:t>center</w:t>
            </w:r>
            <w:proofErr w:type="spellEnd"/>
          </w:p>
        </w:tc>
        <w:tc>
          <w:tcPr>
            <w:tcW w:w="1156" w:type="dxa"/>
            <w:tcBorders>
              <w:top w:val="single" w:sz="4" w:space="0" w:color="auto"/>
            </w:tcBorders>
            <w:noWrap/>
          </w:tcPr>
          <w:p w14:paraId="07A5822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33(8.3)</w:t>
            </w:r>
          </w:p>
        </w:tc>
        <w:tc>
          <w:tcPr>
            <w:tcW w:w="1418" w:type="dxa"/>
            <w:tcBorders>
              <w:top w:val="single" w:sz="4" w:space="0" w:color="auto"/>
            </w:tcBorders>
            <w:noWrap/>
          </w:tcPr>
          <w:p w14:paraId="737EDBE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27(6.8)</w:t>
            </w:r>
          </w:p>
        </w:tc>
        <w:tc>
          <w:tcPr>
            <w:tcW w:w="1275" w:type="dxa"/>
            <w:tcBorders>
              <w:top w:val="single" w:sz="4" w:space="0" w:color="auto"/>
            </w:tcBorders>
            <w:noWrap/>
          </w:tcPr>
          <w:p w14:paraId="64C6D63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10(2.5)</w:t>
            </w:r>
          </w:p>
        </w:tc>
        <w:tc>
          <w:tcPr>
            <w:tcW w:w="1134" w:type="dxa"/>
            <w:tcBorders>
              <w:top w:val="single" w:sz="4" w:space="0" w:color="auto"/>
            </w:tcBorders>
            <w:noWrap/>
          </w:tcPr>
          <w:p w14:paraId="3B14660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2(0.5)</w:t>
            </w:r>
          </w:p>
        </w:tc>
        <w:tc>
          <w:tcPr>
            <w:tcW w:w="1134" w:type="dxa"/>
            <w:tcBorders>
              <w:top w:val="single" w:sz="4" w:space="0" w:color="auto"/>
            </w:tcBorders>
            <w:noWrap/>
          </w:tcPr>
          <w:p w14:paraId="189AEBE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w:t>
            </w:r>
          </w:p>
        </w:tc>
        <w:tc>
          <w:tcPr>
            <w:tcW w:w="1276" w:type="dxa"/>
            <w:tcBorders>
              <w:top w:val="single" w:sz="4" w:space="0" w:color="auto"/>
            </w:tcBorders>
            <w:noWrap/>
          </w:tcPr>
          <w:p w14:paraId="0A5953E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72(18.3)</w:t>
            </w:r>
          </w:p>
        </w:tc>
        <w:tc>
          <w:tcPr>
            <w:tcW w:w="766" w:type="dxa"/>
            <w:vMerge w:val="restart"/>
            <w:tcBorders>
              <w:top w:val="single" w:sz="4" w:space="0" w:color="auto"/>
            </w:tcBorders>
            <w:noWrap/>
          </w:tcPr>
          <w:p w14:paraId="1FF40A2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43.401</w:t>
            </w:r>
          </w:p>
        </w:tc>
        <w:tc>
          <w:tcPr>
            <w:tcW w:w="829" w:type="dxa"/>
            <w:vMerge w:val="restart"/>
            <w:tcBorders>
              <w:top w:val="single" w:sz="4" w:space="0" w:color="auto"/>
            </w:tcBorders>
            <w:noWrap/>
          </w:tcPr>
          <w:p w14:paraId="70372A99"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0.001</w:t>
            </w:r>
          </w:p>
        </w:tc>
      </w:tr>
      <w:tr w:rsidR="001A40F5" w14:paraId="612A983D"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77C0A373" w14:textId="77777777" w:rsidR="001A40F5" w:rsidRDefault="001A40F5">
            <w:pPr>
              <w:rPr>
                <w:rFonts w:ascii="Arial" w:hAnsi="Arial" w:cs="Arial"/>
                <w:b w:val="0"/>
                <w:bCs w:val="0"/>
                <w:sz w:val="20"/>
                <w:szCs w:val="20"/>
                <w:lang w:val="en-GB"/>
              </w:rPr>
            </w:pPr>
          </w:p>
        </w:tc>
        <w:tc>
          <w:tcPr>
            <w:tcW w:w="1989" w:type="dxa"/>
            <w:noWrap/>
          </w:tcPr>
          <w:p w14:paraId="344B741B"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Lambe foundation clinic</w:t>
            </w:r>
          </w:p>
        </w:tc>
        <w:tc>
          <w:tcPr>
            <w:tcW w:w="1156" w:type="dxa"/>
            <w:noWrap/>
          </w:tcPr>
          <w:p w14:paraId="4DB1F71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26(6.5)</w:t>
            </w:r>
          </w:p>
        </w:tc>
        <w:tc>
          <w:tcPr>
            <w:tcW w:w="1418" w:type="dxa"/>
            <w:noWrap/>
          </w:tcPr>
          <w:p w14:paraId="3F60170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38(9.5)</w:t>
            </w:r>
          </w:p>
        </w:tc>
        <w:tc>
          <w:tcPr>
            <w:tcW w:w="1275" w:type="dxa"/>
            <w:noWrap/>
          </w:tcPr>
          <w:p w14:paraId="64611953"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25(6.3)</w:t>
            </w:r>
          </w:p>
        </w:tc>
        <w:tc>
          <w:tcPr>
            <w:tcW w:w="1134" w:type="dxa"/>
            <w:noWrap/>
          </w:tcPr>
          <w:p w14:paraId="7C15698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11(2.8)</w:t>
            </w:r>
          </w:p>
        </w:tc>
        <w:tc>
          <w:tcPr>
            <w:tcW w:w="1134" w:type="dxa"/>
            <w:noWrap/>
          </w:tcPr>
          <w:p w14:paraId="5C7F55B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6(1.5)</w:t>
            </w:r>
          </w:p>
        </w:tc>
        <w:tc>
          <w:tcPr>
            <w:tcW w:w="1276" w:type="dxa"/>
            <w:noWrap/>
          </w:tcPr>
          <w:p w14:paraId="1C07FAF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106(26.6)</w:t>
            </w:r>
          </w:p>
        </w:tc>
        <w:tc>
          <w:tcPr>
            <w:tcW w:w="766" w:type="dxa"/>
            <w:vMerge/>
            <w:noWrap/>
          </w:tcPr>
          <w:p w14:paraId="79339305"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4A9C16FC"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51928017"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3A1F3C12" w14:textId="77777777" w:rsidR="001A40F5" w:rsidRDefault="001A40F5">
            <w:pPr>
              <w:rPr>
                <w:rFonts w:ascii="Arial" w:hAnsi="Arial" w:cs="Arial"/>
                <w:b w:val="0"/>
                <w:bCs w:val="0"/>
                <w:sz w:val="20"/>
                <w:szCs w:val="20"/>
                <w:lang w:val="en-GB"/>
              </w:rPr>
            </w:pPr>
          </w:p>
        </w:tc>
        <w:tc>
          <w:tcPr>
            <w:tcW w:w="1989" w:type="dxa"/>
            <w:noWrap/>
          </w:tcPr>
          <w:p w14:paraId="5B504532"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Regional hospital</w:t>
            </w:r>
          </w:p>
        </w:tc>
        <w:tc>
          <w:tcPr>
            <w:tcW w:w="1156" w:type="dxa"/>
            <w:noWrap/>
          </w:tcPr>
          <w:p w14:paraId="317B740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27(6.8)</w:t>
            </w:r>
          </w:p>
        </w:tc>
        <w:tc>
          <w:tcPr>
            <w:tcW w:w="1418" w:type="dxa"/>
            <w:noWrap/>
          </w:tcPr>
          <w:p w14:paraId="681EAA0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41(10.3)</w:t>
            </w:r>
          </w:p>
        </w:tc>
        <w:tc>
          <w:tcPr>
            <w:tcW w:w="1275" w:type="dxa"/>
            <w:noWrap/>
          </w:tcPr>
          <w:p w14:paraId="7B6D899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42(10.5)</w:t>
            </w:r>
          </w:p>
        </w:tc>
        <w:tc>
          <w:tcPr>
            <w:tcW w:w="1134" w:type="dxa"/>
            <w:noWrap/>
          </w:tcPr>
          <w:p w14:paraId="34441E6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22(5.5)</w:t>
            </w:r>
          </w:p>
        </w:tc>
        <w:tc>
          <w:tcPr>
            <w:tcW w:w="1134" w:type="dxa"/>
            <w:noWrap/>
          </w:tcPr>
          <w:p w14:paraId="34501AD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6(1.5)</w:t>
            </w:r>
          </w:p>
        </w:tc>
        <w:tc>
          <w:tcPr>
            <w:tcW w:w="1276" w:type="dxa"/>
            <w:noWrap/>
          </w:tcPr>
          <w:p w14:paraId="0022320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138(34.6)</w:t>
            </w:r>
          </w:p>
        </w:tc>
        <w:tc>
          <w:tcPr>
            <w:tcW w:w="766" w:type="dxa"/>
            <w:vMerge/>
            <w:noWrap/>
          </w:tcPr>
          <w:p w14:paraId="3AE6D9F1"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4543B563"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0EB2F7BE"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7C48C61F" w14:textId="77777777" w:rsidR="001A40F5" w:rsidRDefault="001A40F5">
            <w:pPr>
              <w:rPr>
                <w:rFonts w:ascii="Arial" w:hAnsi="Arial" w:cs="Arial"/>
                <w:b w:val="0"/>
                <w:bCs w:val="0"/>
                <w:sz w:val="20"/>
                <w:szCs w:val="20"/>
                <w:lang w:val="en-GB"/>
              </w:rPr>
            </w:pPr>
          </w:p>
        </w:tc>
        <w:tc>
          <w:tcPr>
            <w:tcW w:w="1989" w:type="dxa"/>
            <w:noWrap/>
          </w:tcPr>
          <w:p w14:paraId="0EE59651"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Sub divisional hospital </w:t>
            </w:r>
            <w:proofErr w:type="spellStart"/>
            <w:r>
              <w:rPr>
                <w:rFonts w:ascii="Arial" w:hAnsi="Arial" w:cs="Arial"/>
                <w:sz w:val="20"/>
                <w:szCs w:val="20"/>
                <w:lang w:val="en-GB"/>
              </w:rPr>
              <w:t>Muea</w:t>
            </w:r>
            <w:proofErr w:type="spellEnd"/>
          </w:p>
        </w:tc>
        <w:tc>
          <w:tcPr>
            <w:tcW w:w="1156" w:type="dxa"/>
            <w:noWrap/>
          </w:tcPr>
          <w:p w14:paraId="18C44911"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14(3.5)</w:t>
            </w:r>
          </w:p>
        </w:tc>
        <w:tc>
          <w:tcPr>
            <w:tcW w:w="1418" w:type="dxa"/>
            <w:noWrap/>
          </w:tcPr>
          <w:p w14:paraId="3D33C80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22(5.5)</w:t>
            </w:r>
          </w:p>
        </w:tc>
        <w:tc>
          <w:tcPr>
            <w:tcW w:w="1275" w:type="dxa"/>
            <w:noWrap/>
          </w:tcPr>
          <w:p w14:paraId="068D668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25(6.3)</w:t>
            </w:r>
          </w:p>
        </w:tc>
        <w:tc>
          <w:tcPr>
            <w:tcW w:w="1134" w:type="dxa"/>
            <w:noWrap/>
          </w:tcPr>
          <w:p w14:paraId="79A2DC1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14(3.5)</w:t>
            </w:r>
          </w:p>
        </w:tc>
        <w:tc>
          <w:tcPr>
            <w:tcW w:w="1134" w:type="dxa"/>
            <w:noWrap/>
          </w:tcPr>
          <w:p w14:paraId="77E1A3F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9(2)</w:t>
            </w:r>
          </w:p>
        </w:tc>
        <w:tc>
          <w:tcPr>
            <w:tcW w:w="1276" w:type="dxa"/>
            <w:noWrap/>
          </w:tcPr>
          <w:p w14:paraId="265CE7B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84(20.8)</w:t>
            </w:r>
          </w:p>
        </w:tc>
        <w:tc>
          <w:tcPr>
            <w:tcW w:w="766" w:type="dxa"/>
            <w:vMerge/>
            <w:noWrap/>
          </w:tcPr>
          <w:p w14:paraId="55324A58"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055AFD45"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5D9312ED"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tcBorders>
              <w:bottom w:val="single" w:sz="4" w:space="0" w:color="auto"/>
            </w:tcBorders>
            <w:noWrap/>
          </w:tcPr>
          <w:p w14:paraId="02D6E5EE" w14:textId="77777777" w:rsidR="001A40F5" w:rsidRDefault="001A40F5">
            <w:pPr>
              <w:rPr>
                <w:rFonts w:ascii="Arial" w:hAnsi="Arial" w:cs="Arial"/>
                <w:b w:val="0"/>
                <w:bCs w:val="0"/>
                <w:sz w:val="20"/>
                <w:szCs w:val="20"/>
                <w:lang w:val="en-GB"/>
              </w:rPr>
            </w:pPr>
          </w:p>
        </w:tc>
        <w:tc>
          <w:tcPr>
            <w:tcW w:w="1989" w:type="dxa"/>
            <w:tcBorders>
              <w:bottom w:val="single" w:sz="4" w:space="0" w:color="auto"/>
            </w:tcBorders>
            <w:noWrap/>
          </w:tcPr>
          <w:p w14:paraId="093F8DE4"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Total</w:t>
            </w:r>
          </w:p>
        </w:tc>
        <w:tc>
          <w:tcPr>
            <w:tcW w:w="1156" w:type="dxa"/>
            <w:tcBorders>
              <w:bottom w:val="single" w:sz="4" w:space="0" w:color="auto"/>
            </w:tcBorders>
            <w:noWrap/>
          </w:tcPr>
          <w:p w14:paraId="663320A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99(24.8)</w:t>
            </w:r>
          </w:p>
        </w:tc>
        <w:tc>
          <w:tcPr>
            <w:tcW w:w="1418" w:type="dxa"/>
            <w:tcBorders>
              <w:bottom w:val="single" w:sz="4" w:space="0" w:color="auto"/>
            </w:tcBorders>
            <w:noWrap/>
          </w:tcPr>
          <w:p w14:paraId="527943D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128(32.1)</w:t>
            </w:r>
          </w:p>
        </w:tc>
        <w:tc>
          <w:tcPr>
            <w:tcW w:w="1275" w:type="dxa"/>
            <w:tcBorders>
              <w:bottom w:val="single" w:sz="4" w:space="0" w:color="auto"/>
            </w:tcBorders>
            <w:noWrap/>
          </w:tcPr>
          <w:p w14:paraId="112C3FB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102(25.6)</w:t>
            </w:r>
          </w:p>
        </w:tc>
        <w:tc>
          <w:tcPr>
            <w:tcW w:w="1134" w:type="dxa"/>
            <w:tcBorders>
              <w:bottom w:val="single" w:sz="4" w:space="0" w:color="auto"/>
            </w:tcBorders>
            <w:noWrap/>
          </w:tcPr>
          <w:p w14:paraId="6995E4B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49(12.3)</w:t>
            </w:r>
          </w:p>
        </w:tc>
        <w:tc>
          <w:tcPr>
            <w:tcW w:w="1134" w:type="dxa"/>
            <w:tcBorders>
              <w:bottom w:val="single" w:sz="4" w:space="0" w:color="auto"/>
            </w:tcBorders>
            <w:noWrap/>
          </w:tcPr>
          <w:p w14:paraId="36741D0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21(5)</w:t>
            </w:r>
          </w:p>
        </w:tc>
        <w:tc>
          <w:tcPr>
            <w:tcW w:w="1276" w:type="dxa"/>
            <w:tcBorders>
              <w:bottom w:val="single" w:sz="4" w:space="0" w:color="auto"/>
            </w:tcBorders>
            <w:noWrap/>
          </w:tcPr>
          <w:p w14:paraId="1F8A08C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400(100)</w:t>
            </w:r>
          </w:p>
        </w:tc>
        <w:tc>
          <w:tcPr>
            <w:tcW w:w="766" w:type="dxa"/>
            <w:vMerge/>
            <w:tcBorders>
              <w:bottom w:val="single" w:sz="4" w:space="0" w:color="auto"/>
            </w:tcBorders>
            <w:noWrap/>
          </w:tcPr>
          <w:p w14:paraId="0D80A553"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tcBorders>
              <w:bottom w:val="single" w:sz="4" w:space="0" w:color="auto"/>
            </w:tcBorders>
            <w:noWrap/>
          </w:tcPr>
          <w:p w14:paraId="1B531681"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70996471"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val="restart"/>
            <w:tcBorders>
              <w:top w:val="single" w:sz="4" w:space="0" w:color="auto"/>
            </w:tcBorders>
            <w:noWrap/>
          </w:tcPr>
          <w:p w14:paraId="6E49F38C" w14:textId="77777777" w:rsidR="001A40F5" w:rsidRDefault="001A40F5">
            <w:pPr>
              <w:rPr>
                <w:rFonts w:ascii="Arial" w:hAnsi="Arial" w:cs="Arial"/>
                <w:sz w:val="20"/>
                <w:szCs w:val="20"/>
                <w:lang w:val="en-GB"/>
              </w:rPr>
            </w:pPr>
          </w:p>
          <w:p w14:paraId="26113FD1" w14:textId="77777777" w:rsidR="001A40F5" w:rsidRDefault="001A40F5">
            <w:pPr>
              <w:rPr>
                <w:rFonts w:ascii="Arial" w:hAnsi="Arial" w:cs="Arial"/>
                <w:sz w:val="20"/>
                <w:szCs w:val="20"/>
                <w:lang w:val="en-GB"/>
              </w:rPr>
            </w:pPr>
          </w:p>
          <w:p w14:paraId="7EC9F56F" w14:textId="77777777" w:rsidR="001A40F5" w:rsidRDefault="001A40F5">
            <w:pPr>
              <w:rPr>
                <w:rFonts w:ascii="Arial" w:hAnsi="Arial" w:cs="Arial"/>
                <w:sz w:val="20"/>
                <w:szCs w:val="20"/>
                <w:lang w:val="en-GB"/>
              </w:rPr>
            </w:pPr>
          </w:p>
          <w:p w14:paraId="24D9B297" w14:textId="77777777" w:rsidR="001A40F5" w:rsidRDefault="0098377F">
            <w:pPr>
              <w:rPr>
                <w:rFonts w:ascii="Arial" w:hAnsi="Arial" w:cs="Arial"/>
                <w:b w:val="0"/>
                <w:bCs w:val="0"/>
                <w:sz w:val="20"/>
                <w:szCs w:val="20"/>
                <w:lang w:val="en-GB"/>
              </w:rPr>
            </w:pPr>
            <w:r>
              <w:rPr>
                <w:rFonts w:ascii="Arial" w:hAnsi="Arial" w:cs="Arial"/>
                <w:sz w:val="20"/>
                <w:szCs w:val="20"/>
                <w:lang w:val="en-GB"/>
              </w:rPr>
              <w:t>Age group</w:t>
            </w:r>
          </w:p>
        </w:tc>
        <w:tc>
          <w:tcPr>
            <w:tcW w:w="1989" w:type="dxa"/>
            <w:tcBorders>
              <w:top w:val="single" w:sz="4" w:space="0" w:color="auto"/>
            </w:tcBorders>
            <w:noWrap/>
          </w:tcPr>
          <w:p w14:paraId="4EA509B8"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21-30</w:t>
            </w:r>
          </w:p>
        </w:tc>
        <w:tc>
          <w:tcPr>
            <w:tcW w:w="1156" w:type="dxa"/>
            <w:tcBorders>
              <w:top w:val="single" w:sz="4" w:space="0" w:color="auto"/>
            </w:tcBorders>
            <w:noWrap/>
          </w:tcPr>
          <w:p w14:paraId="2C72C0E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w:t>
            </w:r>
          </w:p>
        </w:tc>
        <w:tc>
          <w:tcPr>
            <w:tcW w:w="1418" w:type="dxa"/>
            <w:tcBorders>
              <w:top w:val="single" w:sz="4" w:space="0" w:color="auto"/>
            </w:tcBorders>
            <w:noWrap/>
          </w:tcPr>
          <w:p w14:paraId="495EDDF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1(0.3)</w:t>
            </w:r>
          </w:p>
        </w:tc>
        <w:tc>
          <w:tcPr>
            <w:tcW w:w="1275" w:type="dxa"/>
            <w:tcBorders>
              <w:top w:val="single" w:sz="4" w:space="0" w:color="auto"/>
            </w:tcBorders>
            <w:noWrap/>
          </w:tcPr>
          <w:p w14:paraId="57773A14"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2(0.5)</w:t>
            </w:r>
          </w:p>
        </w:tc>
        <w:tc>
          <w:tcPr>
            <w:tcW w:w="1134" w:type="dxa"/>
            <w:tcBorders>
              <w:top w:val="single" w:sz="4" w:space="0" w:color="auto"/>
            </w:tcBorders>
            <w:noWrap/>
          </w:tcPr>
          <w:p w14:paraId="13FC052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w:t>
            </w:r>
          </w:p>
        </w:tc>
        <w:tc>
          <w:tcPr>
            <w:tcW w:w="1134" w:type="dxa"/>
            <w:tcBorders>
              <w:top w:val="single" w:sz="4" w:space="0" w:color="auto"/>
            </w:tcBorders>
            <w:noWrap/>
          </w:tcPr>
          <w:p w14:paraId="465F8F7A"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w:t>
            </w:r>
          </w:p>
        </w:tc>
        <w:tc>
          <w:tcPr>
            <w:tcW w:w="1276" w:type="dxa"/>
            <w:tcBorders>
              <w:top w:val="single" w:sz="4" w:space="0" w:color="auto"/>
            </w:tcBorders>
            <w:noWrap/>
          </w:tcPr>
          <w:p w14:paraId="5B10060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3(0.8)</w:t>
            </w:r>
          </w:p>
        </w:tc>
        <w:tc>
          <w:tcPr>
            <w:tcW w:w="766" w:type="dxa"/>
            <w:vMerge w:val="restart"/>
            <w:tcBorders>
              <w:top w:val="single" w:sz="4" w:space="0" w:color="auto"/>
            </w:tcBorders>
            <w:noWrap/>
          </w:tcPr>
          <w:p w14:paraId="10C3F1B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26.712</w:t>
            </w:r>
          </w:p>
        </w:tc>
        <w:tc>
          <w:tcPr>
            <w:tcW w:w="829" w:type="dxa"/>
            <w:vMerge w:val="restart"/>
            <w:tcBorders>
              <w:top w:val="single" w:sz="4" w:space="0" w:color="auto"/>
            </w:tcBorders>
            <w:noWrap/>
          </w:tcPr>
          <w:p w14:paraId="481BE127"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0.638</w:t>
            </w:r>
          </w:p>
        </w:tc>
      </w:tr>
      <w:tr w:rsidR="001A40F5" w14:paraId="0B2BA762"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47AF23A2" w14:textId="77777777" w:rsidR="001A40F5" w:rsidRDefault="001A40F5">
            <w:pPr>
              <w:rPr>
                <w:rFonts w:ascii="Arial" w:hAnsi="Arial" w:cs="Arial"/>
                <w:b w:val="0"/>
                <w:bCs w:val="0"/>
                <w:sz w:val="20"/>
                <w:szCs w:val="20"/>
                <w:lang w:val="en-GB"/>
              </w:rPr>
            </w:pPr>
          </w:p>
        </w:tc>
        <w:tc>
          <w:tcPr>
            <w:tcW w:w="1989" w:type="dxa"/>
            <w:noWrap/>
          </w:tcPr>
          <w:p w14:paraId="24F6DCF0"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31-40</w:t>
            </w:r>
          </w:p>
        </w:tc>
        <w:tc>
          <w:tcPr>
            <w:tcW w:w="1156" w:type="dxa"/>
            <w:noWrap/>
          </w:tcPr>
          <w:p w14:paraId="2D86A9E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10(2.5)</w:t>
            </w:r>
          </w:p>
        </w:tc>
        <w:tc>
          <w:tcPr>
            <w:tcW w:w="1418" w:type="dxa"/>
            <w:noWrap/>
          </w:tcPr>
          <w:p w14:paraId="2231883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12(3)</w:t>
            </w:r>
          </w:p>
        </w:tc>
        <w:tc>
          <w:tcPr>
            <w:tcW w:w="1275" w:type="dxa"/>
            <w:noWrap/>
          </w:tcPr>
          <w:p w14:paraId="6142A84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2(0.5)</w:t>
            </w:r>
          </w:p>
        </w:tc>
        <w:tc>
          <w:tcPr>
            <w:tcW w:w="1134" w:type="dxa"/>
            <w:noWrap/>
          </w:tcPr>
          <w:p w14:paraId="553D810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4(1)</w:t>
            </w:r>
          </w:p>
        </w:tc>
        <w:tc>
          <w:tcPr>
            <w:tcW w:w="1134" w:type="dxa"/>
            <w:noWrap/>
          </w:tcPr>
          <w:p w14:paraId="338BEB5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w:t>
            </w:r>
          </w:p>
        </w:tc>
        <w:tc>
          <w:tcPr>
            <w:tcW w:w="1276" w:type="dxa"/>
            <w:noWrap/>
          </w:tcPr>
          <w:p w14:paraId="19CF735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28(7)</w:t>
            </w:r>
          </w:p>
        </w:tc>
        <w:tc>
          <w:tcPr>
            <w:tcW w:w="766" w:type="dxa"/>
            <w:vMerge/>
            <w:noWrap/>
          </w:tcPr>
          <w:p w14:paraId="4688C68B"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08359898"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04F7062C"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24C11BDE" w14:textId="77777777" w:rsidR="001A40F5" w:rsidRDefault="001A40F5">
            <w:pPr>
              <w:rPr>
                <w:rFonts w:ascii="Arial" w:hAnsi="Arial" w:cs="Arial"/>
                <w:b w:val="0"/>
                <w:bCs w:val="0"/>
                <w:sz w:val="20"/>
                <w:szCs w:val="20"/>
                <w:lang w:val="en-GB"/>
              </w:rPr>
            </w:pPr>
          </w:p>
        </w:tc>
        <w:tc>
          <w:tcPr>
            <w:tcW w:w="1989" w:type="dxa"/>
            <w:noWrap/>
          </w:tcPr>
          <w:p w14:paraId="1F56CF25"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41-50</w:t>
            </w:r>
          </w:p>
        </w:tc>
        <w:tc>
          <w:tcPr>
            <w:tcW w:w="1156" w:type="dxa"/>
            <w:noWrap/>
          </w:tcPr>
          <w:p w14:paraId="60557A7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8(2)</w:t>
            </w:r>
          </w:p>
        </w:tc>
        <w:tc>
          <w:tcPr>
            <w:tcW w:w="1418" w:type="dxa"/>
            <w:noWrap/>
          </w:tcPr>
          <w:p w14:paraId="4A47C74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13(3.3)</w:t>
            </w:r>
          </w:p>
        </w:tc>
        <w:tc>
          <w:tcPr>
            <w:tcW w:w="1275" w:type="dxa"/>
            <w:noWrap/>
          </w:tcPr>
          <w:p w14:paraId="3EB5A4EC"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18(4.5)</w:t>
            </w:r>
          </w:p>
        </w:tc>
        <w:tc>
          <w:tcPr>
            <w:tcW w:w="1134" w:type="dxa"/>
            <w:noWrap/>
          </w:tcPr>
          <w:p w14:paraId="5984C44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7(1.8)</w:t>
            </w:r>
          </w:p>
        </w:tc>
        <w:tc>
          <w:tcPr>
            <w:tcW w:w="1134" w:type="dxa"/>
            <w:noWrap/>
          </w:tcPr>
          <w:p w14:paraId="556BC49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1(0.3)</w:t>
            </w:r>
          </w:p>
        </w:tc>
        <w:tc>
          <w:tcPr>
            <w:tcW w:w="1276" w:type="dxa"/>
            <w:noWrap/>
          </w:tcPr>
          <w:p w14:paraId="2262CAE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47(11.8)</w:t>
            </w:r>
          </w:p>
        </w:tc>
        <w:tc>
          <w:tcPr>
            <w:tcW w:w="766" w:type="dxa"/>
            <w:vMerge/>
            <w:noWrap/>
          </w:tcPr>
          <w:p w14:paraId="430EA9CE"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24950BEB"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3ED4A6CF"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13B48A9F" w14:textId="77777777" w:rsidR="001A40F5" w:rsidRDefault="001A40F5">
            <w:pPr>
              <w:rPr>
                <w:rFonts w:ascii="Arial" w:hAnsi="Arial" w:cs="Arial"/>
                <w:b w:val="0"/>
                <w:bCs w:val="0"/>
                <w:sz w:val="20"/>
                <w:szCs w:val="20"/>
                <w:lang w:val="en-GB"/>
              </w:rPr>
            </w:pPr>
          </w:p>
        </w:tc>
        <w:tc>
          <w:tcPr>
            <w:tcW w:w="1989" w:type="dxa"/>
            <w:noWrap/>
          </w:tcPr>
          <w:p w14:paraId="1036B7ED"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51-60</w:t>
            </w:r>
          </w:p>
        </w:tc>
        <w:tc>
          <w:tcPr>
            <w:tcW w:w="1156" w:type="dxa"/>
            <w:noWrap/>
          </w:tcPr>
          <w:p w14:paraId="1E3AC17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24(6.1)</w:t>
            </w:r>
          </w:p>
        </w:tc>
        <w:tc>
          <w:tcPr>
            <w:tcW w:w="1418" w:type="dxa"/>
            <w:noWrap/>
          </w:tcPr>
          <w:p w14:paraId="4F1D895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37(9.3)</w:t>
            </w:r>
          </w:p>
        </w:tc>
        <w:tc>
          <w:tcPr>
            <w:tcW w:w="1275" w:type="dxa"/>
            <w:noWrap/>
          </w:tcPr>
          <w:p w14:paraId="3B2A9989"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26(6.5)</w:t>
            </w:r>
          </w:p>
        </w:tc>
        <w:tc>
          <w:tcPr>
            <w:tcW w:w="1134" w:type="dxa"/>
            <w:noWrap/>
          </w:tcPr>
          <w:p w14:paraId="6C50E8D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14(3.5)</w:t>
            </w:r>
          </w:p>
        </w:tc>
        <w:tc>
          <w:tcPr>
            <w:tcW w:w="1134" w:type="dxa"/>
            <w:noWrap/>
          </w:tcPr>
          <w:p w14:paraId="7700A823"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9(2.5)</w:t>
            </w:r>
          </w:p>
        </w:tc>
        <w:tc>
          <w:tcPr>
            <w:tcW w:w="1276" w:type="dxa"/>
            <w:noWrap/>
          </w:tcPr>
          <w:p w14:paraId="6F3F3DA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110(27.9)</w:t>
            </w:r>
          </w:p>
        </w:tc>
        <w:tc>
          <w:tcPr>
            <w:tcW w:w="766" w:type="dxa"/>
            <w:vMerge/>
            <w:noWrap/>
          </w:tcPr>
          <w:p w14:paraId="682C0727"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7C1B4FE3"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49AA254A"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7F102A0A" w14:textId="77777777" w:rsidR="001A40F5" w:rsidRDefault="001A40F5">
            <w:pPr>
              <w:rPr>
                <w:rFonts w:ascii="Arial" w:hAnsi="Arial" w:cs="Arial"/>
                <w:b w:val="0"/>
                <w:bCs w:val="0"/>
                <w:sz w:val="20"/>
                <w:szCs w:val="20"/>
                <w:lang w:val="en-GB"/>
              </w:rPr>
            </w:pPr>
          </w:p>
        </w:tc>
        <w:tc>
          <w:tcPr>
            <w:tcW w:w="1989" w:type="dxa"/>
            <w:noWrap/>
          </w:tcPr>
          <w:p w14:paraId="2A29AF7B"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61-70</w:t>
            </w:r>
          </w:p>
        </w:tc>
        <w:tc>
          <w:tcPr>
            <w:tcW w:w="1156" w:type="dxa"/>
            <w:noWrap/>
          </w:tcPr>
          <w:p w14:paraId="1C3DC04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38(9.5)</w:t>
            </w:r>
          </w:p>
        </w:tc>
        <w:tc>
          <w:tcPr>
            <w:tcW w:w="1418" w:type="dxa"/>
            <w:noWrap/>
          </w:tcPr>
          <w:p w14:paraId="0805246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44(11)</w:t>
            </w:r>
          </w:p>
        </w:tc>
        <w:tc>
          <w:tcPr>
            <w:tcW w:w="1275" w:type="dxa"/>
            <w:noWrap/>
          </w:tcPr>
          <w:p w14:paraId="485346E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34(8.5)</w:t>
            </w:r>
          </w:p>
        </w:tc>
        <w:tc>
          <w:tcPr>
            <w:tcW w:w="1134" w:type="dxa"/>
            <w:noWrap/>
          </w:tcPr>
          <w:p w14:paraId="3DD32B69"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16(4)</w:t>
            </w:r>
          </w:p>
        </w:tc>
        <w:tc>
          <w:tcPr>
            <w:tcW w:w="1134" w:type="dxa"/>
            <w:noWrap/>
          </w:tcPr>
          <w:p w14:paraId="693536C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8(1.8)</w:t>
            </w:r>
          </w:p>
        </w:tc>
        <w:tc>
          <w:tcPr>
            <w:tcW w:w="1276" w:type="dxa"/>
            <w:noWrap/>
          </w:tcPr>
          <w:p w14:paraId="3983761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140(34.8)</w:t>
            </w:r>
          </w:p>
        </w:tc>
        <w:tc>
          <w:tcPr>
            <w:tcW w:w="766" w:type="dxa"/>
            <w:vMerge/>
            <w:noWrap/>
          </w:tcPr>
          <w:p w14:paraId="0357201D"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4077A964"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7CF320EB"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1F65580F" w14:textId="77777777" w:rsidR="001A40F5" w:rsidRDefault="001A40F5">
            <w:pPr>
              <w:rPr>
                <w:rFonts w:ascii="Arial" w:hAnsi="Arial" w:cs="Arial"/>
                <w:b w:val="0"/>
                <w:bCs w:val="0"/>
                <w:sz w:val="20"/>
                <w:szCs w:val="20"/>
                <w:lang w:val="en-GB"/>
              </w:rPr>
            </w:pPr>
          </w:p>
        </w:tc>
        <w:tc>
          <w:tcPr>
            <w:tcW w:w="1989" w:type="dxa"/>
            <w:noWrap/>
          </w:tcPr>
          <w:p w14:paraId="0DEFF891"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71-80</w:t>
            </w:r>
          </w:p>
        </w:tc>
        <w:tc>
          <w:tcPr>
            <w:tcW w:w="1156" w:type="dxa"/>
            <w:noWrap/>
          </w:tcPr>
          <w:p w14:paraId="4A1F803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15(3.8)</w:t>
            </w:r>
          </w:p>
        </w:tc>
        <w:tc>
          <w:tcPr>
            <w:tcW w:w="1418" w:type="dxa"/>
            <w:noWrap/>
          </w:tcPr>
          <w:p w14:paraId="3587420F"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18(4.5)</w:t>
            </w:r>
          </w:p>
        </w:tc>
        <w:tc>
          <w:tcPr>
            <w:tcW w:w="1275" w:type="dxa"/>
            <w:noWrap/>
          </w:tcPr>
          <w:p w14:paraId="20FDFF2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17(4.3)</w:t>
            </w:r>
          </w:p>
        </w:tc>
        <w:tc>
          <w:tcPr>
            <w:tcW w:w="1134" w:type="dxa"/>
            <w:noWrap/>
          </w:tcPr>
          <w:p w14:paraId="4B31925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8(2)</w:t>
            </w:r>
          </w:p>
        </w:tc>
        <w:tc>
          <w:tcPr>
            <w:tcW w:w="1134" w:type="dxa"/>
            <w:noWrap/>
          </w:tcPr>
          <w:p w14:paraId="47C80F63"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3(0.8)</w:t>
            </w:r>
          </w:p>
        </w:tc>
        <w:tc>
          <w:tcPr>
            <w:tcW w:w="1276" w:type="dxa"/>
            <w:noWrap/>
          </w:tcPr>
          <w:p w14:paraId="6103258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61(15.3)</w:t>
            </w:r>
          </w:p>
        </w:tc>
        <w:tc>
          <w:tcPr>
            <w:tcW w:w="766" w:type="dxa"/>
            <w:vMerge/>
            <w:noWrap/>
          </w:tcPr>
          <w:p w14:paraId="50C285DA"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5195DAAE"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691D150A"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1642E42A" w14:textId="77777777" w:rsidR="001A40F5" w:rsidRDefault="001A40F5">
            <w:pPr>
              <w:rPr>
                <w:rFonts w:ascii="Arial" w:hAnsi="Arial" w:cs="Arial"/>
                <w:b w:val="0"/>
                <w:bCs w:val="0"/>
                <w:sz w:val="20"/>
                <w:szCs w:val="20"/>
                <w:lang w:val="en-GB"/>
              </w:rPr>
            </w:pPr>
          </w:p>
        </w:tc>
        <w:tc>
          <w:tcPr>
            <w:tcW w:w="1989" w:type="dxa"/>
            <w:noWrap/>
          </w:tcPr>
          <w:p w14:paraId="1F37DE6D"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81-90</w:t>
            </w:r>
          </w:p>
        </w:tc>
        <w:tc>
          <w:tcPr>
            <w:tcW w:w="1156" w:type="dxa"/>
            <w:noWrap/>
          </w:tcPr>
          <w:p w14:paraId="3D5CB3C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5(1.3)</w:t>
            </w:r>
          </w:p>
        </w:tc>
        <w:tc>
          <w:tcPr>
            <w:tcW w:w="1418" w:type="dxa"/>
            <w:noWrap/>
          </w:tcPr>
          <w:p w14:paraId="286A556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3(0.8)</w:t>
            </w:r>
          </w:p>
        </w:tc>
        <w:tc>
          <w:tcPr>
            <w:tcW w:w="1275" w:type="dxa"/>
            <w:noWrap/>
          </w:tcPr>
          <w:p w14:paraId="125C18E8"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3(0.8)</w:t>
            </w:r>
          </w:p>
        </w:tc>
        <w:tc>
          <w:tcPr>
            <w:tcW w:w="1134" w:type="dxa"/>
            <w:noWrap/>
          </w:tcPr>
          <w:p w14:paraId="72343BBE"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w:t>
            </w:r>
          </w:p>
        </w:tc>
        <w:tc>
          <w:tcPr>
            <w:tcW w:w="1134" w:type="dxa"/>
            <w:noWrap/>
          </w:tcPr>
          <w:p w14:paraId="58E4E275"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w:t>
            </w:r>
          </w:p>
        </w:tc>
        <w:tc>
          <w:tcPr>
            <w:tcW w:w="1276" w:type="dxa"/>
            <w:noWrap/>
          </w:tcPr>
          <w:p w14:paraId="5FD074D9"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11(2.8)</w:t>
            </w:r>
          </w:p>
        </w:tc>
        <w:tc>
          <w:tcPr>
            <w:tcW w:w="766" w:type="dxa"/>
            <w:vMerge/>
            <w:noWrap/>
          </w:tcPr>
          <w:p w14:paraId="5B1F9A92"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6679C8E6"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49CC3842"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276" w:type="dxa"/>
            <w:vMerge/>
            <w:noWrap/>
          </w:tcPr>
          <w:p w14:paraId="1BBD19A5" w14:textId="77777777" w:rsidR="001A40F5" w:rsidRDefault="001A40F5">
            <w:pPr>
              <w:rPr>
                <w:rFonts w:ascii="Arial" w:hAnsi="Arial" w:cs="Arial"/>
                <w:b w:val="0"/>
                <w:bCs w:val="0"/>
                <w:sz w:val="20"/>
                <w:szCs w:val="20"/>
                <w:lang w:val="en-GB"/>
              </w:rPr>
            </w:pPr>
          </w:p>
        </w:tc>
        <w:tc>
          <w:tcPr>
            <w:tcW w:w="1989" w:type="dxa"/>
            <w:noWrap/>
          </w:tcPr>
          <w:p w14:paraId="408D8FD4" w14:textId="77777777" w:rsidR="001A40F5" w:rsidRDefault="0098377F">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Total</w:t>
            </w:r>
          </w:p>
        </w:tc>
        <w:tc>
          <w:tcPr>
            <w:tcW w:w="1156" w:type="dxa"/>
            <w:noWrap/>
          </w:tcPr>
          <w:p w14:paraId="11D39D66"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100(24.8)</w:t>
            </w:r>
          </w:p>
        </w:tc>
        <w:tc>
          <w:tcPr>
            <w:tcW w:w="1418" w:type="dxa"/>
            <w:noWrap/>
          </w:tcPr>
          <w:p w14:paraId="7E49FC50"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128(32.1)</w:t>
            </w:r>
          </w:p>
        </w:tc>
        <w:tc>
          <w:tcPr>
            <w:tcW w:w="1275" w:type="dxa"/>
            <w:noWrap/>
          </w:tcPr>
          <w:p w14:paraId="776173FB"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102(25.6)</w:t>
            </w:r>
          </w:p>
        </w:tc>
        <w:tc>
          <w:tcPr>
            <w:tcW w:w="1134" w:type="dxa"/>
            <w:noWrap/>
          </w:tcPr>
          <w:p w14:paraId="70AB6C2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49(12.3)</w:t>
            </w:r>
          </w:p>
        </w:tc>
        <w:tc>
          <w:tcPr>
            <w:tcW w:w="1134" w:type="dxa"/>
            <w:noWrap/>
          </w:tcPr>
          <w:p w14:paraId="7B61EE42"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21(5)</w:t>
            </w:r>
          </w:p>
        </w:tc>
        <w:tc>
          <w:tcPr>
            <w:tcW w:w="1276" w:type="dxa"/>
            <w:noWrap/>
          </w:tcPr>
          <w:p w14:paraId="76FE5A2D" w14:textId="77777777" w:rsidR="001A40F5" w:rsidRDefault="0098377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400(100)</w:t>
            </w:r>
          </w:p>
        </w:tc>
        <w:tc>
          <w:tcPr>
            <w:tcW w:w="766" w:type="dxa"/>
            <w:vMerge/>
            <w:noWrap/>
          </w:tcPr>
          <w:p w14:paraId="16D66876"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829" w:type="dxa"/>
            <w:vMerge/>
            <w:noWrap/>
          </w:tcPr>
          <w:p w14:paraId="3A7230F0" w14:textId="77777777" w:rsidR="001A40F5" w:rsidRDefault="001A40F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bl>
    <w:p w14:paraId="3A972A59" w14:textId="77777777" w:rsidR="001A40F5" w:rsidRDefault="001A40F5">
      <w:pPr>
        <w:pStyle w:val="Body"/>
        <w:spacing w:after="0"/>
        <w:rPr>
          <w:rFonts w:ascii="Arial" w:hAnsi="Arial" w:cs="Arial"/>
        </w:rPr>
      </w:pPr>
    </w:p>
    <w:p w14:paraId="54406129" w14:textId="77777777" w:rsidR="001A40F5" w:rsidRDefault="0098377F">
      <w:pPr>
        <w:pStyle w:val="Body"/>
        <w:spacing w:after="120"/>
        <w:rPr>
          <w:rFonts w:ascii="Arial" w:hAnsi="Arial" w:cs="Arial"/>
          <w:lang w:val="en-GB"/>
        </w:rPr>
      </w:pPr>
      <w:bookmarkStart w:id="6" w:name="_Hlk207464422"/>
      <w:r>
        <w:rPr>
          <w:rFonts w:ascii="Arial" w:hAnsi="Arial" w:cs="Arial"/>
          <w:lang w:val="en-GB"/>
        </w:rPr>
        <w:t xml:space="preserve">When comparing BMI distributions between diabetic and non-diabetic individuals, overweight was the most prevalent category in both groups (Table 2). However, diabetic patients showed a higher proportion of Obese Class 1 and </w:t>
      </w:r>
      <w:r>
        <w:rPr>
          <w:rFonts w:ascii="Arial" w:hAnsi="Arial" w:cs="Arial"/>
          <w:lang w:val="en-GB"/>
        </w:rPr>
        <w:t>Class 2 individuals (27.1% and 13.1%, respectively) compared to non-diabetics (18.8% and 7.8%). Interestingly, non-diabetics have a slightly higher percentage of normal BMI individuals (28.1%) than diabetics (24.4%). The chi-square value of 4.419 and p-val</w:t>
      </w:r>
      <w:r>
        <w:rPr>
          <w:rFonts w:ascii="Arial" w:hAnsi="Arial" w:cs="Arial"/>
          <w:lang w:val="en-GB"/>
        </w:rPr>
        <w:t>ue of 0.352 indicate that the association between BMI and diabetes status is not statistically significant.</w:t>
      </w:r>
    </w:p>
    <w:p w14:paraId="44DC5103" w14:textId="77777777" w:rsidR="001A40F5" w:rsidRDefault="0098377F">
      <w:pPr>
        <w:pStyle w:val="Body"/>
        <w:spacing w:after="120"/>
        <w:rPr>
          <w:rFonts w:ascii="Arial" w:hAnsi="Arial" w:cs="Arial"/>
          <w:lang w:val="en-GB"/>
        </w:rPr>
      </w:pPr>
      <w:r>
        <w:rPr>
          <w:rFonts w:ascii="Arial" w:hAnsi="Arial" w:cs="Arial"/>
          <w:lang w:val="en-GB"/>
        </w:rPr>
        <w:t>Analysing patients with both hypertension and diabetes reveals a similar BMI distribution to those without either condition (Table 2). Overweight in</w:t>
      </w:r>
      <w:r>
        <w:rPr>
          <w:rFonts w:ascii="Arial" w:hAnsi="Arial" w:cs="Arial"/>
          <w:lang w:val="en-GB"/>
        </w:rPr>
        <w:t>dividuals dominate both groups, with 31.4% in the HTN&amp;DM group and 32.5% in the non-HTN&amp;DM group. Obese Class 2 and 3 are slightly more prevalent in the HTN&amp;DM group, suggesting a trend toward higher BMI among those with both conditions. However, the chi-s</w:t>
      </w:r>
      <w:r>
        <w:rPr>
          <w:rFonts w:ascii="Arial" w:hAnsi="Arial" w:cs="Arial"/>
          <w:lang w:val="en-GB"/>
        </w:rPr>
        <w:t>quare value of 2.294 and p-value of 0.682 confirm that this trend is not statistically significant.</w:t>
      </w:r>
    </w:p>
    <w:p w14:paraId="531CC83D" w14:textId="77777777" w:rsidR="001A40F5" w:rsidRDefault="0098377F">
      <w:pPr>
        <w:pStyle w:val="Body"/>
        <w:spacing w:after="120"/>
        <w:rPr>
          <w:rFonts w:ascii="Arial" w:hAnsi="Arial" w:cs="Arial"/>
          <w:lang w:val="en-GB"/>
        </w:rPr>
      </w:pPr>
      <w:r>
        <w:rPr>
          <w:rFonts w:ascii="Arial" w:hAnsi="Arial" w:cs="Arial"/>
          <w:lang w:val="en-GB"/>
        </w:rPr>
        <w:t xml:space="preserve">A notable finding emerges when BMI is analysed in relation to fasting blood sugar levels (Table 2). Individuals with high FBS levels show a greater </w:t>
      </w:r>
      <w:r>
        <w:rPr>
          <w:rFonts w:ascii="Arial" w:hAnsi="Arial" w:cs="Arial"/>
          <w:lang w:val="en-GB"/>
        </w:rPr>
        <w:t>prevalence of obesity: 28.4% are Obese Class 1 and 13.5% are Obese Class 2. In contrast, those with normal FBS levels have a higher proportion of normal BMI (37.1%) and lower obesity rates. This distribution yields a chi-square value of 12.275 and a statis</w:t>
      </w:r>
      <w:r>
        <w:rPr>
          <w:rFonts w:ascii="Arial" w:hAnsi="Arial" w:cs="Arial"/>
          <w:lang w:val="en-GB"/>
        </w:rPr>
        <w:t>tically significant p-value of 0.015, indicating a meaningful association between elevated FBS and higher BMI.</w:t>
      </w:r>
    </w:p>
    <w:p w14:paraId="123AB86F" w14:textId="77777777" w:rsidR="001A40F5" w:rsidRDefault="0098377F">
      <w:pPr>
        <w:pStyle w:val="Body"/>
        <w:spacing w:after="120"/>
        <w:rPr>
          <w:rFonts w:ascii="Arial" w:hAnsi="Arial" w:cs="Arial"/>
          <w:lang w:val="en-GB"/>
        </w:rPr>
      </w:pPr>
      <w:r>
        <w:rPr>
          <w:rFonts w:ascii="Arial" w:hAnsi="Arial" w:cs="Arial"/>
          <w:lang w:val="en-GB"/>
        </w:rPr>
        <w:t xml:space="preserve">BMI distribution varies significantly across treatment </w:t>
      </w:r>
      <w:proofErr w:type="spellStart"/>
      <w:r>
        <w:rPr>
          <w:rFonts w:ascii="Arial" w:hAnsi="Arial" w:cs="Arial"/>
          <w:lang w:val="en-GB"/>
        </w:rPr>
        <w:t>centers</w:t>
      </w:r>
      <w:proofErr w:type="spellEnd"/>
      <w:r>
        <w:rPr>
          <w:rFonts w:ascii="Arial" w:hAnsi="Arial" w:cs="Arial"/>
          <w:lang w:val="en-GB"/>
        </w:rPr>
        <w:t xml:space="preserve"> (Table 2). The Regional Hospital has the highest concentration of obese patients, </w:t>
      </w:r>
      <w:r>
        <w:rPr>
          <w:rFonts w:ascii="Arial" w:hAnsi="Arial" w:cs="Arial"/>
          <w:lang w:val="en-GB"/>
        </w:rPr>
        <w:t>particularly in Obese Class 1 and 2 categories. In contrast, Fako Heart Centre has a higher proportion of normal and overweight individuals, with no patients in Obese Class 3. The chi-square value of 43.401 and a highly significant p-value of 0.001 suggest</w:t>
      </w:r>
      <w:r>
        <w:rPr>
          <w:rFonts w:ascii="Arial" w:hAnsi="Arial" w:cs="Arial"/>
          <w:lang w:val="en-GB"/>
        </w:rPr>
        <w:t xml:space="preserve"> that the treatment </w:t>
      </w:r>
      <w:proofErr w:type="spellStart"/>
      <w:r>
        <w:rPr>
          <w:rFonts w:ascii="Arial" w:hAnsi="Arial" w:cs="Arial"/>
          <w:lang w:val="en-GB"/>
        </w:rPr>
        <w:t>center</w:t>
      </w:r>
      <w:proofErr w:type="spellEnd"/>
      <w:r>
        <w:rPr>
          <w:rFonts w:ascii="Arial" w:hAnsi="Arial" w:cs="Arial"/>
          <w:lang w:val="en-GB"/>
        </w:rPr>
        <w:t xml:space="preserve"> is strongly associated with BMI distribution, possibly reflecting differences in patient demographics or care protocols.</w:t>
      </w:r>
    </w:p>
    <w:p w14:paraId="71C23FDB" w14:textId="77777777" w:rsidR="001A40F5" w:rsidRDefault="0098377F">
      <w:pPr>
        <w:pStyle w:val="Body"/>
        <w:rPr>
          <w:rFonts w:ascii="Arial" w:hAnsi="Arial" w:cs="Arial"/>
          <w:lang w:val="en-GB"/>
        </w:rPr>
      </w:pPr>
      <w:r>
        <w:rPr>
          <w:rFonts w:ascii="Arial" w:hAnsi="Arial" w:cs="Arial"/>
          <w:lang w:val="en-GB"/>
        </w:rPr>
        <w:t>Age appears to influence BMI distribution, with older age groups (61–70 and 51–60) showing higher frequencie</w:t>
      </w:r>
      <w:r>
        <w:rPr>
          <w:rFonts w:ascii="Arial" w:hAnsi="Arial" w:cs="Arial"/>
          <w:lang w:val="en-GB"/>
        </w:rPr>
        <w:t>s of overweight and obesity (Table 2). The 61–70 age group alone accounts for 34.8% of the total sample, with notable representation in Obese Class 1 and 2. Younger age groups (21–40) have minimal representation and lower obesity rates. Despite these trend</w:t>
      </w:r>
      <w:r>
        <w:rPr>
          <w:rFonts w:ascii="Arial" w:hAnsi="Arial" w:cs="Arial"/>
          <w:lang w:val="en-GB"/>
        </w:rPr>
        <w:t>s, the chi-square value of 26.712 and p-value of 0.638 indicate no statistically significant association between age group and BMI, suggesting that age alone may not be a strong predictor of BMI in this population.</w:t>
      </w:r>
    </w:p>
    <w:bookmarkEnd w:id="6"/>
    <w:p w14:paraId="4418A3FA" w14:textId="77777777" w:rsidR="001A40F5" w:rsidRDefault="001A40F5">
      <w:pPr>
        <w:pStyle w:val="Body"/>
        <w:spacing w:after="0"/>
        <w:rPr>
          <w:rFonts w:ascii="Arial" w:hAnsi="Arial" w:cs="Arial"/>
        </w:rPr>
      </w:pPr>
    </w:p>
    <w:p w14:paraId="00578B8F" w14:textId="77777777" w:rsidR="001A40F5" w:rsidRDefault="001A40F5">
      <w:pPr>
        <w:pStyle w:val="Body"/>
        <w:spacing w:after="0"/>
        <w:rPr>
          <w:rFonts w:ascii="Arial" w:hAnsi="Arial" w:cs="Arial"/>
        </w:rPr>
      </w:pPr>
    </w:p>
    <w:p w14:paraId="3991A958" w14:textId="77777777" w:rsidR="001A40F5" w:rsidRDefault="001A40F5">
      <w:pPr>
        <w:pStyle w:val="Body"/>
        <w:spacing w:after="0"/>
        <w:rPr>
          <w:rFonts w:ascii="Arial" w:hAnsi="Arial" w:cs="Arial"/>
        </w:rPr>
      </w:pPr>
    </w:p>
    <w:p w14:paraId="241A57E2" w14:textId="77777777" w:rsidR="001A40F5" w:rsidRDefault="001A40F5">
      <w:pPr>
        <w:pStyle w:val="Body"/>
        <w:spacing w:after="0"/>
        <w:rPr>
          <w:rFonts w:ascii="Arial" w:hAnsi="Arial" w:cs="Arial"/>
        </w:rPr>
      </w:pPr>
    </w:p>
    <w:p w14:paraId="21AA42D5" w14:textId="77777777" w:rsidR="001A40F5" w:rsidRDefault="001A40F5">
      <w:pPr>
        <w:pStyle w:val="Body"/>
        <w:spacing w:after="0"/>
        <w:rPr>
          <w:rFonts w:ascii="Arial" w:hAnsi="Arial" w:cs="Arial"/>
        </w:rPr>
      </w:pPr>
    </w:p>
    <w:p w14:paraId="1BD2B508" w14:textId="77777777" w:rsidR="001A40F5" w:rsidRDefault="001A40F5">
      <w:pPr>
        <w:pStyle w:val="Body"/>
        <w:spacing w:after="0"/>
        <w:rPr>
          <w:rFonts w:ascii="Arial" w:hAnsi="Arial" w:cs="Arial"/>
        </w:rPr>
      </w:pPr>
    </w:p>
    <w:p w14:paraId="7D77AA9A" w14:textId="77777777" w:rsidR="001A40F5" w:rsidRDefault="001A40F5">
      <w:pPr>
        <w:pStyle w:val="Body"/>
        <w:spacing w:after="0"/>
        <w:rPr>
          <w:rFonts w:ascii="Arial" w:hAnsi="Arial" w:cs="Arial"/>
        </w:rPr>
        <w:sectPr w:rsidR="001A40F5" w:rsidSect="00754E2E">
          <w:type w:val="continuous"/>
          <w:pgSz w:w="15840" w:h="12240" w:orient="landscape"/>
          <w:pgMar w:top="2019" w:right="1440" w:bottom="2019" w:left="2019" w:header="720" w:footer="1123" w:gutter="0"/>
          <w:cols w:space="720"/>
          <w:docGrid w:linePitch="272"/>
        </w:sectPr>
      </w:pPr>
    </w:p>
    <w:p w14:paraId="72D8C6B6" w14:textId="77777777" w:rsidR="001A40F5" w:rsidRDefault="0098377F">
      <w:pPr>
        <w:keepNext/>
        <w:keepLines/>
        <w:spacing w:before="240" w:after="120"/>
        <w:jc w:val="both"/>
        <w:outlineLvl w:val="1"/>
        <w:rPr>
          <w:rFonts w:ascii="Arial" w:hAnsi="Arial" w:cs="Arial"/>
          <w:b/>
          <w:bCs/>
          <w:kern w:val="2"/>
          <w:sz w:val="22"/>
          <w:szCs w:val="22"/>
          <w:lang w:val="en-GB"/>
          <w14:ligatures w14:val="standardContextual"/>
        </w:rPr>
      </w:pPr>
      <w:r>
        <w:rPr>
          <w:rFonts w:ascii="Arial" w:hAnsi="Arial" w:cs="Arial"/>
          <w:b/>
          <w:bCs/>
          <w:kern w:val="2"/>
          <w:sz w:val="22"/>
          <w:szCs w:val="22"/>
          <w:lang w:val="en-GB"/>
          <w14:ligatures w14:val="standardContextual"/>
        </w:rPr>
        <w:lastRenderedPageBreak/>
        <w:t>3.4 Regressi</w:t>
      </w:r>
      <w:r>
        <w:rPr>
          <w:rFonts w:ascii="Arial" w:hAnsi="Arial" w:cs="Arial"/>
          <w:b/>
          <w:bCs/>
          <w:kern w:val="2"/>
          <w:sz w:val="22"/>
          <w:szCs w:val="22"/>
          <w:lang w:val="en-GB"/>
          <w14:ligatures w14:val="standardContextual"/>
        </w:rPr>
        <w:t>on on the body mass index (BMI) in association with diabetes and hypertension comorbidity of participants in the Buea Health District, 2023</w:t>
      </w:r>
    </w:p>
    <w:p w14:paraId="014C1C32" w14:textId="77777777" w:rsidR="001A40F5" w:rsidRDefault="0098377F">
      <w:pPr>
        <w:keepNext/>
        <w:keepLines/>
        <w:spacing w:after="120"/>
        <w:jc w:val="both"/>
        <w:outlineLvl w:val="2"/>
        <w:rPr>
          <w:rFonts w:ascii="Arial" w:hAnsi="Arial" w:cs="Arial"/>
          <w:b/>
          <w:bCs/>
          <w:kern w:val="2"/>
          <w:lang w:val="en-GB"/>
          <w14:ligatures w14:val="standardContextual"/>
        </w:rPr>
      </w:pPr>
      <w:r>
        <w:rPr>
          <w:rFonts w:ascii="Arial" w:hAnsi="Arial" w:cs="Arial"/>
          <w:b/>
          <w:bCs/>
        </w:rPr>
        <w:t xml:space="preserve">3.4.1 </w:t>
      </w:r>
      <w:bookmarkStart w:id="7" w:name="_Toc205463427"/>
      <w:r>
        <w:rPr>
          <w:rFonts w:ascii="Arial" w:hAnsi="Arial" w:cs="Arial"/>
          <w:b/>
          <w:bCs/>
          <w:kern w:val="2"/>
          <w:lang w:val="en-GB"/>
          <w14:ligatures w14:val="standardContextual"/>
        </w:rPr>
        <w:t>Regression of body mass index (BMI) among study participants in the Buea Health District</w:t>
      </w:r>
      <w:bookmarkEnd w:id="7"/>
    </w:p>
    <w:p w14:paraId="5FE2692D" w14:textId="77777777" w:rsidR="001A40F5" w:rsidRDefault="0098377F">
      <w:pPr>
        <w:pStyle w:val="Body"/>
        <w:spacing w:after="120"/>
        <w:rPr>
          <w:rFonts w:ascii="Arial" w:hAnsi="Arial" w:cs="Arial"/>
          <w:lang w:val="en-GB"/>
        </w:rPr>
      </w:pPr>
      <w:bookmarkStart w:id="8" w:name="_Hlk207464478"/>
      <w:r>
        <w:rPr>
          <w:rFonts w:ascii="Arial" w:hAnsi="Arial" w:cs="Arial"/>
          <w:lang w:val="en-GB"/>
        </w:rPr>
        <w:t>Lifestyle choices par</w:t>
      </w:r>
      <w:r>
        <w:rPr>
          <w:rFonts w:ascii="Arial" w:hAnsi="Arial" w:cs="Arial"/>
          <w:lang w:val="en-GB"/>
        </w:rPr>
        <w:t>ticularly exercise and vegetable intake appear to be more influential on BMI than demographic factors like age or gender. The regression analysis shows that none of the age groups had a statistically significant association with BMI (Table 3). Although the</w:t>
      </w:r>
      <w:r>
        <w:rPr>
          <w:rFonts w:ascii="Arial" w:hAnsi="Arial" w:cs="Arial"/>
          <w:lang w:val="en-GB"/>
        </w:rPr>
        <w:t xml:space="preserve"> adjusted odds ratios (AORs) for age groups ranged from 1.75 to 8.46, all confidence intervals (CIs) crossed zero, and p-values were well above the 0.05 threshold. This suggests that age, despite showing some variation in AORs, does not independently predi</w:t>
      </w:r>
      <w:r>
        <w:rPr>
          <w:rFonts w:ascii="Arial" w:hAnsi="Arial" w:cs="Arial"/>
          <w:lang w:val="en-GB"/>
        </w:rPr>
        <w:t xml:space="preserve">ct BMI in this population. Similarly, gender was not a significant factor: males had an AOR of 0.595 compared to females (reference group), but the CI (−0.594 to 1.785) and </w:t>
      </w:r>
      <w:r>
        <w:rPr>
          <w:rFonts w:ascii="Arial" w:hAnsi="Arial" w:cs="Arial"/>
          <w:i/>
          <w:iCs/>
          <w:lang w:val="en-GB"/>
        </w:rPr>
        <w:t>P = 0.326</w:t>
      </w:r>
      <w:r>
        <w:rPr>
          <w:rFonts w:ascii="Arial" w:hAnsi="Arial" w:cs="Arial"/>
          <w:lang w:val="en-GB"/>
        </w:rPr>
        <w:t xml:space="preserve"> indicate no meaningful difference in BMI between genders (Table 3).</w:t>
      </w:r>
    </w:p>
    <w:p w14:paraId="0BE9DA57" w14:textId="77777777" w:rsidR="001A40F5" w:rsidRDefault="0098377F">
      <w:pPr>
        <w:pStyle w:val="Body"/>
        <w:spacing w:after="120"/>
        <w:rPr>
          <w:rFonts w:ascii="Arial" w:hAnsi="Arial" w:cs="Arial"/>
          <w:lang w:val="en-GB"/>
        </w:rPr>
      </w:pPr>
      <w:r>
        <w:rPr>
          <w:rFonts w:ascii="Arial" w:hAnsi="Arial" w:cs="Arial"/>
          <w:lang w:val="en-GB"/>
        </w:rPr>
        <w:t>Sever</w:t>
      </w:r>
      <w:r>
        <w:rPr>
          <w:rFonts w:ascii="Arial" w:hAnsi="Arial" w:cs="Arial"/>
          <w:lang w:val="en-GB"/>
        </w:rPr>
        <w:t>al dietary behaviours were examined for their impact on BMI. Adding salt to food and eating foods with too much salt both showed negative associations with BMI (AORs of −1.28 and −2.5, respectively), but neither reached statistical significance (</w:t>
      </w:r>
      <w:r>
        <w:rPr>
          <w:rFonts w:ascii="Arial" w:hAnsi="Arial" w:cs="Arial"/>
          <w:i/>
          <w:iCs/>
          <w:lang w:val="en-GB"/>
        </w:rPr>
        <w:t>P = 0.227</w:t>
      </w:r>
      <w:r>
        <w:rPr>
          <w:rFonts w:ascii="Arial" w:hAnsi="Arial" w:cs="Arial"/>
          <w:lang w:val="en-GB"/>
        </w:rPr>
        <w:t xml:space="preserve"> </w:t>
      </w:r>
      <w:r>
        <w:rPr>
          <w:rFonts w:ascii="Arial" w:hAnsi="Arial" w:cs="Arial"/>
          <w:lang w:val="en-GB"/>
        </w:rPr>
        <w:t xml:space="preserve">and </w:t>
      </w:r>
      <w:r>
        <w:rPr>
          <w:rFonts w:ascii="Arial" w:hAnsi="Arial" w:cs="Arial"/>
          <w:i/>
          <w:iCs/>
          <w:lang w:val="en-GB"/>
        </w:rPr>
        <w:t>P = 0.112</w:t>
      </w:r>
      <w:r>
        <w:rPr>
          <w:rFonts w:ascii="Arial" w:hAnsi="Arial" w:cs="Arial"/>
          <w:lang w:val="en-GB"/>
        </w:rPr>
        <w:t xml:space="preserve">) (Table 3). This implies that while high salt intake may trend toward lower BMI, the evidence is not strong enough to confirm a reliable effect. On the other hand, regularly eating vegetables was significantly associated with higher BMI (AOR </w:t>
      </w:r>
      <w:r>
        <w:rPr>
          <w:rFonts w:ascii="Arial" w:hAnsi="Arial" w:cs="Arial"/>
          <w:lang w:val="en-GB"/>
        </w:rPr>
        <w:t xml:space="preserve">= 2.545, 95% CI: 0.853 to 4.238, </w:t>
      </w:r>
      <w:r>
        <w:rPr>
          <w:rFonts w:ascii="Arial" w:hAnsi="Arial" w:cs="Arial"/>
          <w:i/>
          <w:iCs/>
          <w:lang w:val="en-GB"/>
        </w:rPr>
        <w:t>P = 0.003</w:t>
      </w:r>
      <w:r>
        <w:rPr>
          <w:rFonts w:ascii="Arial" w:hAnsi="Arial" w:cs="Arial"/>
          <w:lang w:val="en-GB"/>
        </w:rPr>
        <w:t>), suggesting that vegetable consumption may be linked to better nutritional status or other lifestyle factors that contribute to increased BMI (Table 3).</w:t>
      </w:r>
    </w:p>
    <w:p w14:paraId="2569E544" w14:textId="77777777" w:rsidR="001A40F5" w:rsidRDefault="0098377F">
      <w:pPr>
        <w:pStyle w:val="Body"/>
        <w:spacing w:after="120"/>
        <w:rPr>
          <w:rFonts w:ascii="Arial" w:hAnsi="Arial" w:cs="Arial"/>
          <w:lang w:val="en-GB"/>
        </w:rPr>
      </w:pPr>
      <w:r>
        <w:rPr>
          <w:rFonts w:ascii="Arial" w:hAnsi="Arial" w:cs="Arial"/>
          <w:lang w:val="en-GB"/>
        </w:rPr>
        <w:t xml:space="preserve">Among all variables, regular physical exercise had the strongest and most statistically significant positive association with BMI (Table 3). Participants who exercised regularly had an AOR of 2.815 (95% CI: 1.657 to 3.972, </w:t>
      </w:r>
      <w:r>
        <w:rPr>
          <w:rFonts w:ascii="Arial" w:hAnsi="Arial" w:cs="Arial"/>
          <w:i/>
          <w:iCs/>
          <w:lang w:val="en-GB"/>
        </w:rPr>
        <w:t>P &lt; 0.001</w:t>
      </w:r>
      <w:r>
        <w:rPr>
          <w:rFonts w:ascii="Arial" w:hAnsi="Arial" w:cs="Arial"/>
          <w:lang w:val="en-GB"/>
        </w:rPr>
        <w:t>), indicating that physi</w:t>
      </w:r>
      <w:r>
        <w:rPr>
          <w:rFonts w:ascii="Arial" w:hAnsi="Arial" w:cs="Arial"/>
          <w:lang w:val="en-GB"/>
        </w:rPr>
        <w:t xml:space="preserve">cal activity is a robust predictor of higher BMI in this population. This may reflect increased muscle mass or healthier weight maintenance among active individuals. Conversely, regular renal check-ups showed no significant effect on BMI (AOR = −0.269, </w:t>
      </w:r>
      <w:r>
        <w:rPr>
          <w:rFonts w:ascii="Arial" w:hAnsi="Arial" w:cs="Arial"/>
          <w:i/>
          <w:iCs/>
          <w:lang w:val="en-GB"/>
        </w:rPr>
        <w:t>P =</w:t>
      </w:r>
      <w:r>
        <w:rPr>
          <w:rFonts w:ascii="Arial" w:hAnsi="Arial" w:cs="Arial"/>
          <w:i/>
          <w:iCs/>
          <w:lang w:val="en-GB"/>
        </w:rPr>
        <w:t xml:space="preserve"> 0.743</w:t>
      </w:r>
      <w:r>
        <w:rPr>
          <w:rFonts w:ascii="Arial" w:hAnsi="Arial" w:cs="Arial"/>
          <w:lang w:val="en-GB"/>
        </w:rPr>
        <w:t xml:space="preserve">), suggesting that medical monitoring alone does not influence body weight (Table 3). </w:t>
      </w:r>
    </w:p>
    <w:p w14:paraId="6A8D3B3D" w14:textId="77777777" w:rsidR="001A40F5" w:rsidRDefault="0098377F">
      <w:pPr>
        <w:pStyle w:val="Body"/>
        <w:spacing w:after="0"/>
        <w:rPr>
          <w:rFonts w:ascii="Arial" w:hAnsi="Arial" w:cs="Arial"/>
          <w:b/>
          <w:bCs/>
          <w:lang w:val="en-GB"/>
        </w:rPr>
      </w:pPr>
      <w:bookmarkStart w:id="9" w:name="_Toc205462836"/>
      <w:bookmarkEnd w:id="8"/>
      <w:r>
        <w:rPr>
          <w:rFonts w:ascii="Arial" w:hAnsi="Arial" w:cs="Arial"/>
          <w:b/>
          <w:bCs/>
          <w:lang w:val="en-GB"/>
        </w:rPr>
        <w:t>Table 3: Predictors of body weight among study participants in the Buea Health District, 2023</w:t>
      </w:r>
      <w:bookmarkEnd w:id="9"/>
    </w:p>
    <w:tbl>
      <w:tblPr>
        <w:tblStyle w:val="ListTable6Colorful20"/>
        <w:tblW w:w="8747" w:type="dxa"/>
        <w:jc w:val="center"/>
        <w:tblLook w:val="04A0" w:firstRow="1" w:lastRow="0" w:firstColumn="1" w:lastColumn="0" w:noHBand="0" w:noVBand="1"/>
      </w:tblPr>
      <w:tblGrid>
        <w:gridCol w:w="2127"/>
        <w:gridCol w:w="1559"/>
        <w:gridCol w:w="1134"/>
        <w:gridCol w:w="1659"/>
        <w:gridCol w:w="1134"/>
        <w:gridCol w:w="1134"/>
      </w:tblGrid>
      <w:tr w:rsidR="001A40F5" w14:paraId="0927411F" w14:textId="77777777" w:rsidTr="001A40F5">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127" w:type="dxa"/>
            <w:noWrap/>
          </w:tcPr>
          <w:p w14:paraId="472695AF" w14:textId="77777777" w:rsidR="001A40F5" w:rsidRDefault="0098377F">
            <w:pPr>
              <w:spacing w:line="276" w:lineRule="auto"/>
              <w:jc w:val="both"/>
              <w:rPr>
                <w:rFonts w:ascii="Arial" w:hAnsi="Arial" w:cs="Arial"/>
                <w:b w:val="0"/>
                <w:bCs w:val="0"/>
                <w:sz w:val="20"/>
                <w:szCs w:val="20"/>
                <w:lang w:val="en-GB"/>
              </w:rPr>
            </w:pPr>
            <w:r>
              <w:rPr>
                <w:rFonts w:ascii="Arial" w:hAnsi="Arial" w:cs="Arial"/>
                <w:sz w:val="20"/>
                <w:szCs w:val="20"/>
                <w:lang w:val="en-GB"/>
              </w:rPr>
              <w:t>Variables</w:t>
            </w:r>
          </w:p>
        </w:tc>
        <w:tc>
          <w:tcPr>
            <w:tcW w:w="1559" w:type="dxa"/>
            <w:noWrap/>
          </w:tcPr>
          <w:p w14:paraId="2E494473" w14:textId="77777777" w:rsidR="001A40F5" w:rsidRDefault="0098377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Sub-variable</w:t>
            </w:r>
          </w:p>
        </w:tc>
        <w:tc>
          <w:tcPr>
            <w:tcW w:w="1134" w:type="dxa"/>
            <w:noWrap/>
          </w:tcPr>
          <w:p w14:paraId="4BD3BC81" w14:textId="77777777" w:rsidR="001A40F5" w:rsidRDefault="0098377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AOR</w:t>
            </w:r>
          </w:p>
        </w:tc>
        <w:tc>
          <w:tcPr>
            <w:tcW w:w="1659" w:type="dxa"/>
            <w:noWrap/>
          </w:tcPr>
          <w:p w14:paraId="14F37AB5" w14:textId="77777777" w:rsidR="001A40F5" w:rsidRDefault="0098377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95% CI</w:t>
            </w:r>
          </w:p>
        </w:tc>
        <w:tc>
          <w:tcPr>
            <w:tcW w:w="1134" w:type="dxa"/>
            <w:noWrap/>
          </w:tcPr>
          <w:p w14:paraId="5BB71D10" w14:textId="77777777" w:rsidR="001A40F5" w:rsidRDefault="0098377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T-Value</w:t>
            </w:r>
          </w:p>
        </w:tc>
        <w:tc>
          <w:tcPr>
            <w:tcW w:w="1134" w:type="dxa"/>
            <w:noWrap/>
          </w:tcPr>
          <w:p w14:paraId="1AE2C834" w14:textId="77777777" w:rsidR="001A40F5" w:rsidRDefault="0098377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P-Value</w:t>
            </w:r>
          </w:p>
        </w:tc>
      </w:tr>
      <w:tr w:rsidR="001A40F5" w14:paraId="18D97AD1"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noWrap/>
            <w:vAlign w:val="center"/>
          </w:tcPr>
          <w:p w14:paraId="41F9E7A7" w14:textId="77777777" w:rsidR="001A40F5" w:rsidRDefault="0098377F">
            <w:pPr>
              <w:spacing w:line="276" w:lineRule="auto"/>
              <w:rPr>
                <w:rFonts w:ascii="Arial" w:hAnsi="Arial" w:cs="Arial"/>
                <w:sz w:val="20"/>
                <w:szCs w:val="20"/>
                <w:lang w:val="en-GB"/>
              </w:rPr>
            </w:pPr>
            <w:r>
              <w:rPr>
                <w:rFonts w:ascii="Arial" w:hAnsi="Arial" w:cs="Arial"/>
                <w:b w:val="0"/>
                <w:bCs w:val="0"/>
                <w:sz w:val="20"/>
                <w:szCs w:val="20"/>
                <w:lang w:val="en-GB"/>
              </w:rPr>
              <w:t>Age</w:t>
            </w:r>
          </w:p>
        </w:tc>
        <w:tc>
          <w:tcPr>
            <w:tcW w:w="1559" w:type="dxa"/>
            <w:noWrap/>
          </w:tcPr>
          <w:p w14:paraId="2B38BDA6"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  18 - 28</w:t>
            </w:r>
          </w:p>
        </w:tc>
        <w:tc>
          <w:tcPr>
            <w:tcW w:w="1134" w:type="dxa"/>
            <w:noWrap/>
          </w:tcPr>
          <w:p w14:paraId="3AD043D3"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8.46</w:t>
            </w:r>
          </w:p>
        </w:tc>
        <w:tc>
          <w:tcPr>
            <w:tcW w:w="1659" w:type="dxa"/>
            <w:noWrap/>
          </w:tcPr>
          <w:p w14:paraId="62C6CA2B"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(-4.75, 21.67)</w:t>
            </w:r>
          </w:p>
        </w:tc>
        <w:tc>
          <w:tcPr>
            <w:tcW w:w="1134" w:type="dxa"/>
            <w:noWrap/>
          </w:tcPr>
          <w:p w14:paraId="7F46CFA0"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1.26</w:t>
            </w:r>
          </w:p>
        </w:tc>
        <w:tc>
          <w:tcPr>
            <w:tcW w:w="1134" w:type="dxa"/>
            <w:noWrap/>
          </w:tcPr>
          <w:p w14:paraId="5A981E91"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0.209</w:t>
            </w:r>
          </w:p>
        </w:tc>
      </w:tr>
      <w:tr w:rsidR="001A40F5" w14:paraId="011DF3C4"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14:paraId="6A496B1B" w14:textId="77777777" w:rsidR="001A40F5" w:rsidRDefault="001A40F5">
            <w:pPr>
              <w:spacing w:line="276" w:lineRule="auto"/>
              <w:rPr>
                <w:rFonts w:ascii="Arial" w:hAnsi="Arial" w:cs="Arial"/>
                <w:sz w:val="20"/>
                <w:szCs w:val="20"/>
                <w:lang w:val="en-GB"/>
              </w:rPr>
            </w:pPr>
          </w:p>
        </w:tc>
        <w:tc>
          <w:tcPr>
            <w:tcW w:w="1559" w:type="dxa"/>
            <w:noWrap/>
          </w:tcPr>
          <w:p w14:paraId="1D9EDA14"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  29 - 39</w:t>
            </w:r>
          </w:p>
        </w:tc>
        <w:tc>
          <w:tcPr>
            <w:tcW w:w="1134" w:type="dxa"/>
            <w:noWrap/>
          </w:tcPr>
          <w:p w14:paraId="722100FD"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3.61</w:t>
            </w:r>
          </w:p>
        </w:tc>
        <w:tc>
          <w:tcPr>
            <w:tcW w:w="1659" w:type="dxa"/>
            <w:noWrap/>
          </w:tcPr>
          <w:p w14:paraId="772FCDF0"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(-4.33, 11.55)</w:t>
            </w:r>
          </w:p>
        </w:tc>
        <w:tc>
          <w:tcPr>
            <w:tcW w:w="1134" w:type="dxa"/>
            <w:noWrap/>
          </w:tcPr>
          <w:p w14:paraId="7FFC5CE8"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0.89</w:t>
            </w:r>
          </w:p>
        </w:tc>
        <w:tc>
          <w:tcPr>
            <w:tcW w:w="1134" w:type="dxa"/>
            <w:noWrap/>
          </w:tcPr>
          <w:p w14:paraId="0F851FB4"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0.372</w:t>
            </w:r>
          </w:p>
        </w:tc>
      </w:tr>
      <w:tr w:rsidR="001A40F5" w14:paraId="6DFBE2CF"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14:paraId="751D6298" w14:textId="77777777" w:rsidR="001A40F5" w:rsidRDefault="001A40F5">
            <w:pPr>
              <w:spacing w:line="276" w:lineRule="auto"/>
              <w:rPr>
                <w:rFonts w:ascii="Arial" w:hAnsi="Arial" w:cs="Arial"/>
                <w:sz w:val="20"/>
                <w:szCs w:val="20"/>
                <w:lang w:val="en-GB"/>
              </w:rPr>
            </w:pPr>
          </w:p>
        </w:tc>
        <w:tc>
          <w:tcPr>
            <w:tcW w:w="1559" w:type="dxa"/>
            <w:noWrap/>
          </w:tcPr>
          <w:p w14:paraId="035C4A80"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  40 - 50</w:t>
            </w:r>
          </w:p>
        </w:tc>
        <w:tc>
          <w:tcPr>
            <w:tcW w:w="1134" w:type="dxa"/>
            <w:noWrap/>
          </w:tcPr>
          <w:p w14:paraId="06A2B119"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3.75</w:t>
            </w:r>
          </w:p>
        </w:tc>
        <w:tc>
          <w:tcPr>
            <w:tcW w:w="1659" w:type="dxa"/>
            <w:noWrap/>
          </w:tcPr>
          <w:p w14:paraId="2A70C015"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(-3.99, 11.49)</w:t>
            </w:r>
          </w:p>
        </w:tc>
        <w:tc>
          <w:tcPr>
            <w:tcW w:w="1134" w:type="dxa"/>
            <w:noWrap/>
          </w:tcPr>
          <w:p w14:paraId="4285C1B7"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0.95</w:t>
            </w:r>
          </w:p>
        </w:tc>
        <w:tc>
          <w:tcPr>
            <w:tcW w:w="1134" w:type="dxa"/>
            <w:noWrap/>
          </w:tcPr>
          <w:p w14:paraId="20656C63"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0.341</w:t>
            </w:r>
          </w:p>
        </w:tc>
      </w:tr>
      <w:tr w:rsidR="001A40F5" w14:paraId="6DBFB5EA"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14:paraId="73391F06" w14:textId="77777777" w:rsidR="001A40F5" w:rsidRDefault="001A40F5">
            <w:pPr>
              <w:spacing w:line="276" w:lineRule="auto"/>
              <w:rPr>
                <w:rFonts w:ascii="Arial" w:hAnsi="Arial" w:cs="Arial"/>
                <w:sz w:val="20"/>
                <w:szCs w:val="20"/>
                <w:lang w:val="en-GB"/>
              </w:rPr>
            </w:pPr>
          </w:p>
        </w:tc>
        <w:tc>
          <w:tcPr>
            <w:tcW w:w="1559" w:type="dxa"/>
            <w:noWrap/>
          </w:tcPr>
          <w:p w14:paraId="716824E2"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  51 - 61</w:t>
            </w:r>
          </w:p>
        </w:tc>
        <w:tc>
          <w:tcPr>
            <w:tcW w:w="1134" w:type="dxa"/>
            <w:noWrap/>
          </w:tcPr>
          <w:p w14:paraId="435BEE1C"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2.99</w:t>
            </w:r>
          </w:p>
        </w:tc>
        <w:tc>
          <w:tcPr>
            <w:tcW w:w="1659" w:type="dxa"/>
            <w:noWrap/>
          </w:tcPr>
          <w:p w14:paraId="38CA7353"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(-4.67, 10.66)</w:t>
            </w:r>
          </w:p>
        </w:tc>
        <w:tc>
          <w:tcPr>
            <w:tcW w:w="1134" w:type="dxa"/>
            <w:noWrap/>
          </w:tcPr>
          <w:p w14:paraId="49B7181C"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0.77</w:t>
            </w:r>
          </w:p>
        </w:tc>
        <w:tc>
          <w:tcPr>
            <w:tcW w:w="1134" w:type="dxa"/>
            <w:noWrap/>
          </w:tcPr>
          <w:p w14:paraId="1024C5AA"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0.443</w:t>
            </w:r>
          </w:p>
        </w:tc>
      </w:tr>
      <w:tr w:rsidR="001A40F5" w14:paraId="602A1FCA"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14:paraId="6EB2C3D2" w14:textId="77777777" w:rsidR="001A40F5" w:rsidRDefault="001A40F5">
            <w:pPr>
              <w:spacing w:line="276" w:lineRule="auto"/>
              <w:rPr>
                <w:rFonts w:ascii="Arial" w:hAnsi="Arial" w:cs="Arial"/>
                <w:sz w:val="20"/>
                <w:szCs w:val="20"/>
                <w:lang w:val="en-GB"/>
              </w:rPr>
            </w:pPr>
          </w:p>
        </w:tc>
        <w:tc>
          <w:tcPr>
            <w:tcW w:w="1559" w:type="dxa"/>
            <w:noWrap/>
          </w:tcPr>
          <w:p w14:paraId="5B0F4C31"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  62 - 72</w:t>
            </w:r>
          </w:p>
        </w:tc>
        <w:tc>
          <w:tcPr>
            <w:tcW w:w="1134" w:type="dxa"/>
            <w:noWrap/>
          </w:tcPr>
          <w:p w14:paraId="74EAEC35"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3.11</w:t>
            </w:r>
          </w:p>
        </w:tc>
        <w:tc>
          <w:tcPr>
            <w:tcW w:w="1659" w:type="dxa"/>
            <w:noWrap/>
          </w:tcPr>
          <w:p w14:paraId="7374A97B"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(-4.55, 10.76)</w:t>
            </w:r>
          </w:p>
        </w:tc>
        <w:tc>
          <w:tcPr>
            <w:tcW w:w="1134" w:type="dxa"/>
            <w:noWrap/>
          </w:tcPr>
          <w:p w14:paraId="5D96DA2E"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0.8</w:t>
            </w:r>
          </w:p>
        </w:tc>
        <w:tc>
          <w:tcPr>
            <w:tcW w:w="1134" w:type="dxa"/>
            <w:noWrap/>
          </w:tcPr>
          <w:p w14:paraId="7F3CF258"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0.426</w:t>
            </w:r>
          </w:p>
        </w:tc>
      </w:tr>
      <w:tr w:rsidR="001A40F5" w14:paraId="5139108E"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14:paraId="4B12721B" w14:textId="77777777" w:rsidR="001A40F5" w:rsidRDefault="001A40F5">
            <w:pPr>
              <w:spacing w:line="276" w:lineRule="auto"/>
              <w:rPr>
                <w:rFonts w:ascii="Arial" w:hAnsi="Arial" w:cs="Arial"/>
                <w:sz w:val="20"/>
                <w:szCs w:val="20"/>
                <w:lang w:val="en-GB"/>
              </w:rPr>
            </w:pPr>
          </w:p>
        </w:tc>
        <w:tc>
          <w:tcPr>
            <w:tcW w:w="1559" w:type="dxa"/>
            <w:noWrap/>
          </w:tcPr>
          <w:p w14:paraId="1DB05AF7"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  73 - 83</w:t>
            </w:r>
          </w:p>
        </w:tc>
        <w:tc>
          <w:tcPr>
            <w:tcW w:w="1134" w:type="dxa"/>
            <w:noWrap/>
          </w:tcPr>
          <w:p w14:paraId="119E7174"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1.75</w:t>
            </w:r>
          </w:p>
        </w:tc>
        <w:tc>
          <w:tcPr>
            <w:tcW w:w="1659" w:type="dxa"/>
            <w:noWrap/>
          </w:tcPr>
          <w:p w14:paraId="067319B4"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(-6.04, 9.55)</w:t>
            </w:r>
          </w:p>
        </w:tc>
        <w:tc>
          <w:tcPr>
            <w:tcW w:w="1134" w:type="dxa"/>
            <w:noWrap/>
          </w:tcPr>
          <w:p w14:paraId="08ADC877"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0.44</w:t>
            </w:r>
          </w:p>
        </w:tc>
        <w:tc>
          <w:tcPr>
            <w:tcW w:w="1134" w:type="dxa"/>
            <w:noWrap/>
          </w:tcPr>
          <w:p w14:paraId="0DF027F1"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0.658</w:t>
            </w:r>
          </w:p>
        </w:tc>
      </w:tr>
      <w:tr w:rsidR="001A40F5" w14:paraId="12AA17FD"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noWrap/>
            <w:vAlign w:val="center"/>
          </w:tcPr>
          <w:p w14:paraId="153D06C8" w14:textId="77777777" w:rsidR="001A40F5" w:rsidRDefault="001A40F5">
            <w:pPr>
              <w:spacing w:line="276" w:lineRule="auto"/>
              <w:rPr>
                <w:rFonts w:ascii="Arial" w:hAnsi="Arial" w:cs="Arial"/>
                <w:sz w:val="20"/>
                <w:szCs w:val="20"/>
                <w:lang w:val="en-GB"/>
              </w:rPr>
            </w:pPr>
          </w:p>
        </w:tc>
        <w:tc>
          <w:tcPr>
            <w:tcW w:w="1559" w:type="dxa"/>
            <w:tcBorders>
              <w:bottom w:val="single" w:sz="4" w:space="0" w:color="auto"/>
            </w:tcBorders>
            <w:noWrap/>
          </w:tcPr>
          <w:p w14:paraId="6139EF69"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 xml:space="preserve">  84 - 94</w:t>
            </w:r>
          </w:p>
        </w:tc>
        <w:tc>
          <w:tcPr>
            <w:tcW w:w="1134" w:type="dxa"/>
            <w:tcBorders>
              <w:bottom w:val="single" w:sz="4" w:space="0" w:color="auto"/>
            </w:tcBorders>
            <w:noWrap/>
          </w:tcPr>
          <w:p w14:paraId="06A2774C"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3.78</w:t>
            </w:r>
          </w:p>
        </w:tc>
        <w:tc>
          <w:tcPr>
            <w:tcW w:w="1659" w:type="dxa"/>
            <w:tcBorders>
              <w:bottom w:val="single" w:sz="4" w:space="0" w:color="auto"/>
            </w:tcBorders>
            <w:noWrap/>
          </w:tcPr>
          <w:p w14:paraId="21C76485"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(-5.04, 12.61)</w:t>
            </w:r>
          </w:p>
        </w:tc>
        <w:tc>
          <w:tcPr>
            <w:tcW w:w="1134" w:type="dxa"/>
            <w:tcBorders>
              <w:bottom w:val="single" w:sz="4" w:space="0" w:color="auto"/>
            </w:tcBorders>
            <w:noWrap/>
          </w:tcPr>
          <w:p w14:paraId="796807D9"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0.84</w:t>
            </w:r>
          </w:p>
        </w:tc>
        <w:tc>
          <w:tcPr>
            <w:tcW w:w="1134" w:type="dxa"/>
            <w:tcBorders>
              <w:bottom w:val="single" w:sz="4" w:space="0" w:color="auto"/>
            </w:tcBorders>
            <w:noWrap/>
          </w:tcPr>
          <w:p w14:paraId="2701FF41"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0.4</w:t>
            </w:r>
          </w:p>
        </w:tc>
      </w:tr>
      <w:tr w:rsidR="001A40F5" w14:paraId="57C60C4B"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noWrap/>
            <w:vAlign w:val="center"/>
          </w:tcPr>
          <w:p w14:paraId="2267014E" w14:textId="77777777" w:rsidR="001A40F5" w:rsidRDefault="0098377F">
            <w:pPr>
              <w:spacing w:line="276" w:lineRule="auto"/>
              <w:rPr>
                <w:rFonts w:ascii="Arial" w:hAnsi="Arial" w:cs="Arial"/>
                <w:sz w:val="20"/>
                <w:szCs w:val="20"/>
                <w:lang w:val="en-GB"/>
              </w:rPr>
            </w:pPr>
            <w:r>
              <w:rPr>
                <w:rFonts w:ascii="Arial" w:hAnsi="Arial" w:cs="Arial"/>
                <w:b w:val="0"/>
                <w:bCs w:val="0"/>
                <w:sz w:val="20"/>
                <w:szCs w:val="20"/>
                <w:lang w:val="en-GB"/>
              </w:rPr>
              <w:t>Gender</w:t>
            </w:r>
          </w:p>
        </w:tc>
        <w:tc>
          <w:tcPr>
            <w:tcW w:w="1559" w:type="dxa"/>
            <w:tcBorders>
              <w:top w:val="single" w:sz="4" w:space="0" w:color="auto"/>
            </w:tcBorders>
            <w:noWrap/>
          </w:tcPr>
          <w:p w14:paraId="64A9D03F"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Female</w:t>
            </w:r>
          </w:p>
        </w:tc>
        <w:tc>
          <w:tcPr>
            <w:tcW w:w="1134" w:type="dxa"/>
            <w:tcBorders>
              <w:top w:val="single" w:sz="4" w:space="0" w:color="auto"/>
            </w:tcBorders>
            <w:noWrap/>
          </w:tcPr>
          <w:p w14:paraId="61A6E297"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Ref</w:t>
            </w:r>
          </w:p>
        </w:tc>
        <w:tc>
          <w:tcPr>
            <w:tcW w:w="1659" w:type="dxa"/>
            <w:tcBorders>
              <w:top w:val="single" w:sz="4" w:space="0" w:color="auto"/>
            </w:tcBorders>
            <w:noWrap/>
          </w:tcPr>
          <w:p w14:paraId="5A4FB5A9"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tcBorders>
              <w:top w:val="single" w:sz="4" w:space="0" w:color="auto"/>
            </w:tcBorders>
            <w:noWrap/>
          </w:tcPr>
          <w:p w14:paraId="3EF9096F"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tcBorders>
              <w:top w:val="single" w:sz="4" w:space="0" w:color="auto"/>
            </w:tcBorders>
            <w:noWrap/>
          </w:tcPr>
          <w:p w14:paraId="72EBB685"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595D38B2"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noWrap/>
            <w:vAlign w:val="center"/>
          </w:tcPr>
          <w:p w14:paraId="63D27C60" w14:textId="77777777" w:rsidR="001A40F5" w:rsidRDefault="001A40F5">
            <w:pPr>
              <w:spacing w:line="276" w:lineRule="auto"/>
              <w:rPr>
                <w:rFonts w:ascii="Arial" w:hAnsi="Arial" w:cs="Arial"/>
                <w:sz w:val="20"/>
                <w:szCs w:val="20"/>
                <w:lang w:val="en-GB"/>
              </w:rPr>
            </w:pPr>
          </w:p>
        </w:tc>
        <w:tc>
          <w:tcPr>
            <w:tcW w:w="1559" w:type="dxa"/>
            <w:tcBorders>
              <w:bottom w:val="single" w:sz="4" w:space="0" w:color="auto"/>
            </w:tcBorders>
            <w:noWrap/>
          </w:tcPr>
          <w:p w14:paraId="1CFA54A1"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Male</w:t>
            </w:r>
          </w:p>
        </w:tc>
        <w:tc>
          <w:tcPr>
            <w:tcW w:w="1134" w:type="dxa"/>
            <w:tcBorders>
              <w:bottom w:val="single" w:sz="4" w:space="0" w:color="auto"/>
            </w:tcBorders>
            <w:noWrap/>
          </w:tcPr>
          <w:p w14:paraId="4A8D7197"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0.595</w:t>
            </w:r>
          </w:p>
        </w:tc>
        <w:tc>
          <w:tcPr>
            <w:tcW w:w="1659" w:type="dxa"/>
            <w:tcBorders>
              <w:bottom w:val="single" w:sz="4" w:space="0" w:color="auto"/>
            </w:tcBorders>
            <w:noWrap/>
          </w:tcPr>
          <w:p w14:paraId="2F4B842D"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(-0.594, 1.785)</w:t>
            </w:r>
          </w:p>
        </w:tc>
        <w:tc>
          <w:tcPr>
            <w:tcW w:w="1134" w:type="dxa"/>
            <w:tcBorders>
              <w:bottom w:val="single" w:sz="4" w:space="0" w:color="auto"/>
            </w:tcBorders>
            <w:noWrap/>
          </w:tcPr>
          <w:p w14:paraId="7F1A6F69"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0.98</w:t>
            </w:r>
          </w:p>
        </w:tc>
        <w:tc>
          <w:tcPr>
            <w:tcW w:w="1134" w:type="dxa"/>
            <w:tcBorders>
              <w:bottom w:val="single" w:sz="4" w:space="0" w:color="auto"/>
            </w:tcBorders>
            <w:noWrap/>
          </w:tcPr>
          <w:p w14:paraId="343110C6"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0.326</w:t>
            </w:r>
          </w:p>
        </w:tc>
      </w:tr>
      <w:tr w:rsidR="001A40F5" w14:paraId="1614554C"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noWrap/>
            <w:vAlign w:val="center"/>
          </w:tcPr>
          <w:p w14:paraId="6854EA6A" w14:textId="77777777" w:rsidR="001A40F5" w:rsidRDefault="0098377F">
            <w:pPr>
              <w:spacing w:line="276" w:lineRule="auto"/>
              <w:rPr>
                <w:rFonts w:ascii="Arial" w:hAnsi="Arial" w:cs="Arial"/>
                <w:sz w:val="20"/>
                <w:szCs w:val="20"/>
                <w:lang w:val="en-GB"/>
              </w:rPr>
            </w:pPr>
            <w:r>
              <w:rPr>
                <w:rFonts w:ascii="Arial" w:hAnsi="Arial" w:cs="Arial"/>
                <w:b w:val="0"/>
                <w:bCs w:val="0"/>
                <w:sz w:val="20"/>
                <w:szCs w:val="20"/>
                <w:lang w:val="en-GB"/>
              </w:rPr>
              <w:t>Add salt to your food</w:t>
            </w:r>
          </w:p>
        </w:tc>
        <w:tc>
          <w:tcPr>
            <w:tcW w:w="1559" w:type="dxa"/>
            <w:tcBorders>
              <w:top w:val="single" w:sz="4" w:space="0" w:color="auto"/>
            </w:tcBorders>
            <w:noWrap/>
          </w:tcPr>
          <w:p w14:paraId="1CB1D7FA"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1134" w:type="dxa"/>
            <w:tcBorders>
              <w:top w:val="single" w:sz="4" w:space="0" w:color="auto"/>
            </w:tcBorders>
            <w:noWrap/>
          </w:tcPr>
          <w:p w14:paraId="6DB741C6"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Ref</w:t>
            </w:r>
          </w:p>
        </w:tc>
        <w:tc>
          <w:tcPr>
            <w:tcW w:w="1659" w:type="dxa"/>
            <w:tcBorders>
              <w:top w:val="single" w:sz="4" w:space="0" w:color="auto"/>
            </w:tcBorders>
            <w:noWrap/>
          </w:tcPr>
          <w:p w14:paraId="2A632C5C"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tcBorders>
              <w:top w:val="single" w:sz="4" w:space="0" w:color="auto"/>
            </w:tcBorders>
            <w:noWrap/>
          </w:tcPr>
          <w:p w14:paraId="39A9A0C3"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tcBorders>
              <w:top w:val="single" w:sz="4" w:space="0" w:color="auto"/>
            </w:tcBorders>
            <w:noWrap/>
          </w:tcPr>
          <w:p w14:paraId="3B891C6D"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0ECDD9E7"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noWrap/>
            <w:vAlign w:val="center"/>
          </w:tcPr>
          <w:p w14:paraId="2518F3F7" w14:textId="77777777" w:rsidR="001A40F5" w:rsidRDefault="001A40F5">
            <w:pPr>
              <w:spacing w:line="276" w:lineRule="auto"/>
              <w:rPr>
                <w:rFonts w:ascii="Arial" w:hAnsi="Arial" w:cs="Arial"/>
                <w:sz w:val="20"/>
                <w:szCs w:val="20"/>
                <w:lang w:val="en-GB"/>
              </w:rPr>
            </w:pPr>
          </w:p>
        </w:tc>
        <w:tc>
          <w:tcPr>
            <w:tcW w:w="1559" w:type="dxa"/>
            <w:tcBorders>
              <w:bottom w:val="single" w:sz="4" w:space="0" w:color="auto"/>
            </w:tcBorders>
            <w:noWrap/>
          </w:tcPr>
          <w:p w14:paraId="49541CC7"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134" w:type="dxa"/>
            <w:tcBorders>
              <w:bottom w:val="single" w:sz="4" w:space="0" w:color="auto"/>
            </w:tcBorders>
            <w:noWrap/>
          </w:tcPr>
          <w:p w14:paraId="3AE0D429"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-1.28</w:t>
            </w:r>
          </w:p>
        </w:tc>
        <w:tc>
          <w:tcPr>
            <w:tcW w:w="1659" w:type="dxa"/>
            <w:tcBorders>
              <w:bottom w:val="single" w:sz="4" w:space="0" w:color="auto"/>
            </w:tcBorders>
            <w:noWrap/>
          </w:tcPr>
          <w:p w14:paraId="5E3808E0"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(-3.35, 0.80)</w:t>
            </w:r>
          </w:p>
        </w:tc>
        <w:tc>
          <w:tcPr>
            <w:tcW w:w="1134" w:type="dxa"/>
            <w:tcBorders>
              <w:bottom w:val="single" w:sz="4" w:space="0" w:color="auto"/>
            </w:tcBorders>
            <w:noWrap/>
          </w:tcPr>
          <w:p w14:paraId="26B96D5E"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-1.21</w:t>
            </w:r>
          </w:p>
        </w:tc>
        <w:tc>
          <w:tcPr>
            <w:tcW w:w="1134" w:type="dxa"/>
            <w:tcBorders>
              <w:bottom w:val="single" w:sz="4" w:space="0" w:color="auto"/>
            </w:tcBorders>
            <w:noWrap/>
          </w:tcPr>
          <w:p w14:paraId="32A56985"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0.227</w:t>
            </w:r>
          </w:p>
        </w:tc>
      </w:tr>
      <w:tr w:rsidR="001A40F5" w14:paraId="6EEE7BC5"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noWrap/>
            <w:vAlign w:val="center"/>
          </w:tcPr>
          <w:p w14:paraId="0A2D2A72" w14:textId="77777777" w:rsidR="001A40F5" w:rsidRDefault="0098377F">
            <w:pPr>
              <w:spacing w:line="276" w:lineRule="auto"/>
              <w:rPr>
                <w:rFonts w:ascii="Arial" w:hAnsi="Arial" w:cs="Arial"/>
                <w:sz w:val="20"/>
                <w:szCs w:val="20"/>
                <w:lang w:val="en-GB"/>
              </w:rPr>
            </w:pPr>
            <w:r>
              <w:rPr>
                <w:rFonts w:ascii="Arial" w:hAnsi="Arial" w:cs="Arial"/>
                <w:b w:val="0"/>
                <w:bCs w:val="0"/>
                <w:sz w:val="20"/>
                <w:szCs w:val="20"/>
                <w:lang w:val="en-GB"/>
              </w:rPr>
              <w:t>Regular physical exercise</w:t>
            </w:r>
          </w:p>
        </w:tc>
        <w:tc>
          <w:tcPr>
            <w:tcW w:w="1559" w:type="dxa"/>
            <w:tcBorders>
              <w:top w:val="single" w:sz="4" w:space="0" w:color="auto"/>
            </w:tcBorders>
            <w:noWrap/>
          </w:tcPr>
          <w:p w14:paraId="01C1FB62"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1134" w:type="dxa"/>
            <w:tcBorders>
              <w:top w:val="single" w:sz="4" w:space="0" w:color="auto"/>
            </w:tcBorders>
            <w:noWrap/>
          </w:tcPr>
          <w:p w14:paraId="09D59946"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Ref</w:t>
            </w:r>
          </w:p>
        </w:tc>
        <w:tc>
          <w:tcPr>
            <w:tcW w:w="1659" w:type="dxa"/>
            <w:tcBorders>
              <w:top w:val="single" w:sz="4" w:space="0" w:color="auto"/>
            </w:tcBorders>
            <w:noWrap/>
          </w:tcPr>
          <w:p w14:paraId="6265CE86"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tcBorders>
              <w:top w:val="single" w:sz="4" w:space="0" w:color="auto"/>
            </w:tcBorders>
            <w:noWrap/>
          </w:tcPr>
          <w:p w14:paraId="76B0CF12"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tcBorders>
              <w:top w:val="single" w:sz="4" w:space="0" w:color="auto"/>
            </w:tcBorders>
            <w:noWrap/>
          </w:tcPr>
          <w:p w14:paraId="7804E5BD"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68D98ABC"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14:paraId="4E0F1500" w14:textId="77777777" w:rsidR="001A40F5" w:rsidRDefault="001A40F5">
            <w:pPr>
              <w:spacing w:line="276" w:lineRule="auto"/>
              <w:rPr>
                <w:rFonts w:ascii="Arial" w:hAnsi="Arial" w:cs="Arial"/>
                <w:b w:val="0"/>
                <w:bCs w:val="0"/>
                <w:sz w:val="20"/>
                <w:szCs w:val="20"/>
                <w:lang w:val="en-GB"/>
              </w:rPr>
            </w:pPr>
          </w:p>
        </w:tc>
        <w:tc>
          <w:tcPr>
            <w:tcW w:w="1559" w:type="dxa"/>
            <w:noWrap/>
          </w:tcPr>
          <w:p w14:paraId="33A57226"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134" w:type="dxa"/>
            <w:noWrap/>
          </w:tcPr>
          <w:p w14:paraId="6D18EAC7"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2.815</w:t>
            </w:r>
          </w:p>
        </w:tc>
        <w:tc>
          <w:tcPr>
            <w:tcW w:w="1659" w:type="dxa"/>
            <w:noWrap/>
          </w:tcPr>
          <w:p w14:paraId="6FF3BF5D"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(1.657, 3.972)</w:t>
            </w:r>
          </w:p>
        </w:tc>
        <w:tc>
          <w:tcPr>
            <w:tcW w:w="1134" w:type="dxa"/>
            <w:noWrap/>
          </w:tcPr>
          <w:p w14:paraId="7501425A"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4.78</w:t>
            </w:r>
          </w:p>
        </w:tc>
        <w:tc>
          <w:tcPr>
            <w:tcW w:w="1134" w:type="dxa"/>
            <w:noWrap/>
          </w:tcPr>
          <w:p w14:paraId="4C5B625E"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w:t>
            </w:r>
          </w:p>
        </w:tc>
      </w:tr>
      <w:tr w:rsidR="001A40F5" w14:paraId="116D3AC8"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noWrap/>
            <w:vAlign w:val="center"/>
          </w:tcPr>
          <w:p w14:paraId="7CAC3F49" w14:textId="77777777" w:rsidR="001A40F5" w:rsidRDefault="0098377F">
            <w:pPr>
              <w:spacing w:line="276" w:lineRule="auto"/>
              <w:rPr>
                <w:rFonts w:ascii="Arial" w:hAnsi="Arial" w:cs="Arial"/>
                <w:sz w:val="20"/>
                <w:szCs w:val="20"/>
                <w:lang w:val="en-GB"/>
              </w:rPr>
            </w:pPr>
            <w:r>
              <w:rPr>
                <w:rFonts w:ascii="Arial" w:hAnsi="Arial" w:cs="Arial"/>
                <w:b w:val="0"/>
                <w:bCs w:val="0"/>
                <w:sz w:val="20"/>
                <w:szCs w:val="20"/>
                <w:lang w:val="en-GB"/>
              </w:rPr>
              <w:lastRenderedPageBreak/>
              <w:t>Regular renal check-up</w:t>
            </w:r>
          </w:p>
        </w:tc>
        <w:tc>
          <w:tcPr>
            <w:tcW w:w="1559" w:type="dxa"/>
            <w:noWrap/>
          </w:tcPr>
          <w:p w14:paraId="7704D06C"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1134" w:type="dxa"/>
            <w:noWrap/>
          </w:tcPr>
          <w:p w14:paraId="0EBCB7A6"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Ref</w:t>
            </w:r>
          </w:p>
        </w:tc>
        <w:tc>
          <w:tcPr>
            <w:tcW w:w="1659" w:type="dxa"/>
            <w:noWrap/>
          </w:tcPr>
          <w:p w14:paraId="78DE0AE2"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noWrap/>
          </w:tcPr>
          <w:p w14:paraId="7954670D"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noWrap/>
          </w:tcPr>
          <w:p w14:paraId="36024DBE"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7BDA9724"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vAlign w:val="center"/>
          </w:tcPr>
          <w:p w14:paraId="2674CC72" w14:textId="77777777" w:rsidR="001A40F5" w:rsidRDefault="001A40F5">
            <w:pPr>
              <w:spacing w:line="276" w:lineRule="auto"/>
              <w:rPr>
                <w:rFonts w:ascii="Arial" w:hAnsi="Arial" w:cs="Arial"/>
                <w:sz w:val="20"/>
                <w:szCs w:val="20"/>
                <w:lang w:val="en-GB"/>
              </w:rPr>
            </w:pPr>
          </w:p>
        </w:tc>
        <w:tc>
          <w:tcPr>
            <w:tcW w:w="1559" w:type="dxa"/>
            <w:noWrap/>
          </w:tcPr>
          <w:p w14:paraId="69D3F752"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134" w:type="dxa"/>
            <w:noWrap/>
          </w:tcPr>
          <w:p w14:paraId="03C3F0B1"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-0.269</w:t>
            </w:r>
          </w:p>
        </w:tc>
        <w:tc>
          <w:tcPr>
            <w:tcW w:w="1659" w:type="dxa"/>
            <w:noWrap/>
          </w:tcPr>
          <w:p w14:paraId="0EF558FF"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(-1.879, 1.341)</w:t>
            </w:r>
          </w:p>
        </w:tc>
        <w:tc>
          <w:tcPr>
            <w:tcW w:w="1134" w:type="dxa"/>
            <w:noWrap/>
          </w:tcPr>
          <w:p w14:paraId="7563E5EE"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-0.33</w:t>
            </w:r>
          </w:p>
        </w:tc>
        <w:tc>
          <w:tcPr>
            <w:tcW w:w="1134" w:type="dxa"/>
            <w:noWrap/>
          </w:tcPr>
          <w:p w14:paraId="1478DD9D"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0.743</w:t>
            </w:r>
          </w:p>
        </w:tc>
      </w:tr>
      <w:tr w:rsidR="001A40F5" w14:paraId="069BBE28"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noWrap/>
            <w:vAlign w:val="center"/>
          </w:tcPr>
          <w:p w14:paraId="0BE52862" w14:textId="77777777" w:rsidR="001A40F5" w:rsidRDefault="0098377F">
            <w:pPr>
              <w:spacing w:line="276" w:lineRule="auto"/>
              <w:rPr>
                <w:rFonts w:ascii="Arial" w:hAnsi="Arial" w:cs="Arial"/>
                <w:sz w:val="20"/>
                <w:szCs w:val="20"/>
                <w:lang w:val="en-GB"/>
              </w:rPr>
            </w:pPr>
            <w:r>
              <w:rPr>
                <w:rFonts w:ascii="Arial" w:hAnsi="Arial" w:cs="Arial"/>
                <w:b w:val="0"/>
                <w:bCs w:val="0"/>
                <w:sz w:val="20"/>
                <w:szCs w:val="20"/>
                <w:lang w:val="en-GB"/>
              </w:rPr>
              <w:t>Eat foods with too much salt</w:t>
            </w:r>
          </w:p>
        </w:tc>
        <w:tc>
          <w:tcPr>
            <w:tcW w:w="1559" w:type="dxa"/>
            <w:noWrap/>
          </w:tcPr>
          <w:p w14:paraId="714AE515"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1134" w:type="dxa"/>
            <w:noWrap/>
          </w:tcPr>
          <w:p w14:paraId="61433A48"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Ref</w:t>
            </w:r>
          </w:p>
        </w:tc>
        <w:tc>
          <w:tcPr>
            <w:tcW w:w="1659" w:type="dxa"/>
            <w:noWrap/>
          </w:tcPr>
          <w:p w14:paraId="6B1FCC79"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noWrap/>
          </w:tcPr>
          <w:p w14:paraId="3DF42283"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noWrap/>
          </w:tcPr>
          <w:p w14:paraId="59DCCC70"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3C40EAA5"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tcBorders>
              <w:bottom w:val="single" w:sz="4" w:space="0" w:color="auto"/>
            </w:tcBorders>
            <w:noWrap/>
            <w:vAlign w:val="center"/>
          </w:tcPr>
          <w:p w14:paraId="1FDAB35D" w14:textId="77777777" w:rsidR="001A40F5" w:rsidRDefault="001A40F5">
            <w:pPr>
              <w:spacing w:line="276" w:lineRule="auto"/>
              <w:rPr>
                <w:rFonts w:ascii="Arial" w:hAnsi="Arial" w:cs="Arial"/>
                <w:sz w:val="20"/>
                <w:szCs w:val="20"/>
                <w:lang w:val="en-GB"/>
              </w:rPr>
            </w:pPr>
          </w:p>
        </w:tc>
        <w:tc>
          <w:tcPr>
            <w:tcW w:w="1559" w:type="dxa"/>
            <w:tcBorders>
              <w:bottom w:val="single" w:sz="4" w:space="0" w:color="auto"/>
            </w:tcBorders>
            <w:noWrap/>
          </w:tcPr>
          <w:p w14:paraId="241FBE6B"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134" w:type="dxa"/>
            <w:tcBorders>
              <w:bottom w:val="single" w:sz="4" w:space="0" w:color="auto"/>
            </w:tcBorders>
            <w:noWrap/>
          </w:tcPr>
          <w:p w14:paraId="70D8DB38"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-2.5</w:t>
            </w:r>
          </w:p>
        </w:tc>
        <w:tc>
          <w:tcPr>
            <w:tcW w:w="1659" w:type="dxa"/>
            <w:tcBorders>
              <w:bottom w:val="single" w:sz="4" w:space="0" w:color="auto"/>
            </w:tcBorders>
            <w:noWrap/>
          </w:tcPr>
          <w:p w14:paraId="4A5EF711"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(-5.60, 0.59)</w:t>
            </w:r>
          </w:p>
        </w:tc>
        <w:tc>
          <w:tcPr>
            <w:tcW w:w="1134" w:type="dxa"/>
            <w:tcBorders>
              <w:bottom w:val="single" w:sz="4" w:space="0" w:color="auto"/>
            </w:tcBorders>
            <w:noWrap/>
          </w:tcPr>
          <w:p w14:paraId="38392D9B"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-1.59</w:t>
            </w:r>
          </w:p>
        </w:tc>
        <w:tc>
          <w:tcPr>
            <w:tcW w:w="1134" w:type="dxa"/>
            <w:tcBorders>
              <w:bottom w:val="single" w:sz="4" w:space="0" w:color="auto"/>
            </w:tcBorders>
            <w:noWrap/>
          </w:tcPr>
          <w:p w14:paraId="04975267"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0.112</w:t>
            </w:r>
          </w:p>
        </w:tc>
      </w:tr>
      <w:tr w:rsidR="001A40F5" w14:paraId="28080380"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auto"/>
            </w:tcBorders>
            <w:noWrap/>
            <w:vAlign w:val="center"/>
          </w:tcPr>
          <w:p w14:paraId="2176A2BF" w14:textId="77777777" w:rsidR="001A40F5" w:rsidRDefault="0098377F">
            <w:pPr>
              <w:spacing w:line="276" w:lineRule="auto"/>
              <w:rPr>
                <w:rFonts w:ascii="Arial" w:hAnsi="Arial" w:cs="Arial"/>
                <w:sz w:val="20"/>
                <w:szCs w:val="20"/>
                <w:lang w:val="en-GB"/>
              </w:rPr>
            </w:pPr>
            <w:r>
              <w:rPr>
                <w:rFonts w:ascii="Arial" w:hAnsi="Arial" w:cs="Arial"/>
                <w:b w:val="0"/>
                <w:bCs w:val="0"/>
                <w:sz w:val="20"/>
                <w:szCs w:val="20"/>
                <w:lang w:val="en-GB"/>
              </w:rPr>
              <w:t>Regularly eat vegetables</w:t>
            </w:r>
          </w:p>
        </w:tc>
        <w:tc>
          <w:tcPr>
            <w:tcW w:w="1559" w:type="dxa"/>
            <w:tcBorders>
              <w:top w:val="single" w:sz="4" w:space="0" w:color="auto"/>
            </w:tcBorders>
            <w:noWrap/>
          </w:tcPr>
          <w:p w14:paraId="5F4E34F4"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1134" w:type="dxa"/>
            <w:tcBorders>
              <w:top w:val="single" w:sz="4" w:space="0" w:color="auto"/>
            </w:tcBorders>
            <w:noWrap/>
          </w:tcPr>
          <w:p w14:paraId="56525DFD"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Ref</w:t>
            </w:r>
          </w:p>
        </w:tc>
        <w:tc>
          <w:tcPr>
            <w:tcW w:w="1659" w:type="dxa"/>
            <w:tcBorders>
              <w:top w:val="single" w:sz="4" w:space="0" w:color="auto"/>
            </w:tcBorders>
            <w:noWrap/>
          </w:tcPr>
          <w:p w14:paraId="30EC9B96"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tcBorders>
              <w:top w:val="single" w:sz="4" w:space="0" w:color="auto"/>
            </w:tcBorders>
            <w:noWrap/>
          </w:tcPr>
          <w:p w14:paraId="001999D2"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134" w:type="dxa"/>
            <w:tcBorders>
              <w:top w:val="single" w:sz="4" w:space="0" w:color="auto"/>
            </w:tcBorders>
            <w:noWrap/>
          </w:tcPr>
          <w:p w14:paraId="712EB5F9"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11E4393A"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2127" w:type="dxa"/>
            <w:vMerge/>
            <w:noWrap/>
          </w:tcPr>
          <w:p w14:paraId="567B184B" w14:textId="77777777" w:rsidR="001A40F5" w:rsidRDefault="001A40F5">
            <w:pPr>
              <w:spacing w:line="276" w:lineRule="auto"/>
              <w:jc w:val="both"/>
              <w:rPr>
                <w:rFonts w:ascii="Arial" w:hAnsi="Arial" w:cs="Arial"/>
                <w:b w:val="0"/>
                <w:bCs w:val="0"/>
                <w:sz w:val="20"/>
                <w:szCs w:val="20"/>
                <w:lang w:val="en-GB"/>
              </w:rPr>
            </w:pPr>
          </w:p>
        </w:tc>
        <w:tc>
          <w:tcPr>
            <w:tcW w:w="1559" w:type="dxa"/>
            <w:noWrap/>
          </w:tcPr>
          <w:p w14:paraId="4B5FEA6F"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1134" w:type="dxa"/>
            <w:noWrap/>
          </w:tcPr>
          <w:p w14:paraId="39B18176"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2.545</w:t>
            </w:r>
          </w:p>
        </w:tc>
        <w:tc>
          <w:tcPr>
            <w:tcW w:w="1659" w:type="dxa"/>
            <w:noWrap/>
          </w:tcPr>
          <w:p w14:paraId="69C05D3D"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(0.853, 4.238)</w:t>
            </w:r>
          </w:p>
        </w:tc>
        <w:tc>
          <w:tcPr>
            <w:tcW w:w="1134" w:type="dxa"/>
            <w:noWrap/>
          </w:tcPr>
          <w:p w14:paraId="13C5D10B"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2.96</w:t>
            </w:r>
          </w:p>
        </w:tc>
        <w:tc>
          <w:tcPr>
            <w:tcW w:w="1134" w:type="dxa"/>
            <w:noWrap/>
          </w:tcPr>
          <w:p w14:paraId="26F14B58"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0.003</w:t>
            </w:r>
          </w:p>
        </w:tc>
      </w:tr>
    </w:tbl>
    <w:p w14:paraId="7B7419C4" w14:textId="77777777" w:rsidR="001A40F5" w:rsidRDefault="001A40F5">
      <w:pPr>
        <w:pStyle w:val="Body"/>
        <w:spacing w:after="0"/>
        <w:rPr>
          <w:rFonts w:ascii="Arial" w:hAnsi="Arial" w:cs="Arial"/>
        </w:rPr>
      </w:pPr>
    </w:p>
    <w:p w14:paraId="300D8125" w14:textId="77777777" w:rsidR="001A40F5" w:rsidRDefault="0098377F">
      <w:pPr>
        <w:keepNext/>
        <w:keepLines/>
        <w:spacing w:after="120"/>
        <w:ind w:left="567" w:hanging="567"/>
        <w:jc w:val="both"/>
        <w:outlineLvl w:val="2"/>
        <w:rPr>
          <w:rFonts w:ascii="Arial" w:hAnsi="Arial" w:cs="Arial"/>
          <w:b/>
          <w:bCs/>
          <w:kern w:val="2"/>
          <w:lang w:val="en-GB"/>
          <w14:ligatures w14:val="standardContextual"/>
        </w:rPr>
      </w:pPr>
      <w:bookmarkStart w:id="10" w:name="_Toc205463428"/>
      <w:r>
        <w:rPr>
          <w:rFonts w:ascii="Arial" w:hAnsi="Arial" w:cs="Arial"/>
          <w:b/>
          <w:bCs/>
          <w:kern w:val="2"/>
          <w:lang w:val="en-GB"/>
          <w14:ligatures w14:val="standardContextual"/>
        </w:rPr>
        <w:t xml:space="preserve">3.4.2 Diabetes, hypertension comorbidity and body mass </w:t>
      </w:r>
      <w:r>
        <w:rPr>
          <w:rFonts w:ascii="Arial" w:hAnsi="Arial" w:cs="Arial"/>
          <w:b/>
          <w:bCs/>
          <w:kern w:val="2"/>
          <w:lang w:val="en-GB"/>
          <w14:ligatures w14:val="standardContextual"/>
        </w:rPr>
        <w:t>index in association with CKD</w:t>
      </w:r>
      <w:bookmarkEnd w:id="10"/>
    </w:p>
    <w:p w14:paraId="1120358C" w14:textId="77777777" w:rsidR="001A40F5" w:rsidRDefault="0098377F">
      <w:pPr>
        <w:spacing w:after="160"/>
        <w:jc w:val="both"/>
        <w:rPr>
          <w:rFonts w:ascii="Arial" w:eastAsia="Calibri" w:hAnsi="Arial" w:cs="Arial"/>
          <w:lang w:val="en-GB"/>
        </w:rPr>
      </w:pPr>
      <w:bookmarkStart w:id="11" w:name="_Hlk207464525"/>
      <w:r>
        <w:rPr>
          <w:rFonts w:ascii="Arial" w:eastAsia="Calibri" w:hAnsi="Arial" w:cs="Arial"/>
          <w:lang w:val="en-GB"/>
        </w:rPr>
        <w:t xml:space="preserve">The regression analysis examining the association of diabetes, hypertension, and their comorbidity with chronic kidney disease (CKD) reveals that none of these conditions are statistically significant predictors of CKD in the </w:t>
      </w:r>
      <w:r>
        <w:rPr>
          <w:rFonts w:ascii="Arial" w:eastAsia="Calibri" w:hAnsi="Arial" w:cs="Arial"/>
          <w:lang w:val="en-GB"/>
        </w:rPr>
        <w:t xml:space="preserve">study population (Table 4). Individuals with diabetes had an adjusted odds ratio (AOR) of 0.583 (95% CI: −1.181 to 2.346, p = 0.516), while those with hypertension had an AOR of 0.77 (95% CI: −1.48 to 3.02, </w:t>
      </w:r>
      <w:r>
        <w:rPr>
          <w:rFonts w:ascii="Arial" w:eastAsia="Calibri" w:hAnsi="Arial" w:cs="Arial"/>
          <w:i/>
          <w:iCs/>
          <w:lang w:val="en-GB"/>
        </w:rPr>
        <w:t>P = 0.503</w:t>
      </w:r>
      <w:r>
        <w:rPr>
          <w:rFonts w:ascii="Arial" w:eastAsia="Calibri" w:hAnsi="Arial" w:cs="Arial"/>
          <w:lang w:val="en-GB"/>
        </w:rPr>
        <w:t>). For participants with both diabetes a</w:t>
      </w:r>
      <w:r>
        <w:rPr>
          <w:rFonts w:ascii="Arial" w:eastAsia="Calibri" w:hAnsi="Arial" w:cs="Arial"/>
          <w:lang w:val="en-GB"/>
        </w:rPr>
        <w:t xml:space="preserve">nd hypertension, the AOR was 0.712 (95% CI: −0.609 to 2.034, </w:t>
      </w:r>
      <w:r>
        <w:rPr>
          <w:rFonts w:ascii="Arial" w:eastAsia="Calibri" w:hAnsi="Arial" w:cs="Arial"/>
          <w:i/>
          <w:iCs/>
          <w:lang w:val="en-GB"/>
        </w:rPr>
        <w:t>P = 0.29</w:t>
      </w:r>
      <w:r>
        <w:rPr>
          <w:rFonts w:ascii="Arial" w:eastAsia="Calibri" w:hAnsi="Arial" w:cs="Arial"/>
          <w:lang w:val="en-GB"/>
        </w:rPr>
        <w:t>). All confidence intervals include zero, and p-values are well above the 0.05 threshold, indicating no statistically significant association between these conditions and CKD. This sugges</w:t>
      </w:r>
      <w:r>
        <w:rPr>
          <w:rFonts w:ascii="Arial" w:eastAsia="Calibri" w:hAnsi="Arial" w:cs="Arial"/>
          <w:lang w:val="en-GB"/>
        </w:rPr>
        <w:t>ts that, within this sample, the presence of diabetes, hypertension, or their combination does not independently increase the risk of developing CKD.</w:t>
      </w:r>
      <w:bookmarkStart w:id="12" w:name="_Toc187322219"/>
      <w:bookmarkStart w:id="13" w:name="_Toc187322460"/>
      <w:bookmarkStart w:id="14" w:name="_Toc191398659"/>
      <w:bookmarkStart w:id="15" w:name="_Toc191398904"/>
      <w:bookmarkStart w:id="16" w:name="_Toc185356036"/>
      <w:bookmarkStart w:id="17" w:name="_Toc186290283"/>
      <w:bookmarkStart w:id="18" w:name="_Toc185356693"/>
      <w:bookmarkStart w:id="19" w:name="_Toc187321499"/>
    </w:p>
    <w:p w14:paraId="1BB2EBD1" w14:textId="77777777" w:rsidR="001A40F5" w:rsidRDefault="0098377F">
      <w:pPr>
        <w:keepNext/>
        <w:spacing w:after="200"/>
        <w:jc w:val="both"/>
        <w:rPr>
          <w:rFonts w:ascii="Arial" w:eastAsia="Calibri" w:hAnsi="Arial" w:cs="Arial"/>
          <w:b/>
          <w:bCs/>
          <w:kern w:val="2"/>
          <w:lang w:val="en-GB"/>
          <w14:ligatures w14:val="standardContextual"/>
        </w:rPr>
      </w:pPr>
      <w:bookmarkStart w:id="20" w:name="_Toc205462837"/>
      <w:bookmarkEnd w:id="11"/>
      <w:bookmarkEnd w:id="12"/>
      <w:bookmarkEnd w:id="13"/>
      <w:bookmarkEnd w:id="14"/>
      <w:bookmarkEnd w:id="15"/>
      <w:bookmarkEnd w:id="16"/>
      <w:bookmarkEnd w:id="17"/>
      <w:bookmarkEnd w:id="18"/>
      <w:bookmarkEnd w:id="19"/>
      <w:r>
        <w:rPr>
          <w:rFonts w:ascii="Arial" w:eastAsia="Calibri" w:hAnsi="Arial" w:cs="Arial"/>
          <w:b/>
          <w:bCs/>
          <w:kern w:val="2"/>
          <w:lang w:val="en-GB"/>
          <w14:ligatures w14:val="standardContextual"/>
        </w:rPr>
        <w:t>Table 4: Diabetes, hypertension comorbidity and body mass index in association with CKD</w:t>
      </w:r>
      <w:bookmarkEnd w:id="20"/>
    </w:p>
    <w:tbl>
      <w:tblPr>
        <w:tblStyle w:val="ListTable6Colorful21"/>
        <w:tblW w:w="8364" w:type="dxa"/>
        <w:jc w:val="center"/>
        <w:tblLook w:val="04A0" w:firstRow="1" w:lastRow="0" w:firstColumn="1" w:lastColumn="0" w:noHBand="0" w:noVBand="1"/>
      </w:tblPr>
      <w:tblGrid>
        <w:gridCol w:w="1843"/>
        <w:gridCol w:w="1675"/>
        <w:gridCol w:w="877"/>
        <w:gridCol w:w="1701"/>
        <w:gridCol w:w="992"/>
        <w:gridCol w:w="1276"/>
      </w:tblGrid>
      <w:tr w:rsidR="001A40F5" w14:paraId="00989A14" w14:textId="77777777" w:rsidTr="001A40F5">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843" w:type="dxa"/>
            <w:noWrap/>
          </w:tcPr>
          <w:p w14:paraId="3A0D6DFE" w14:textId="77777777" w:rsidR="001A40F5" w:rsidRDefault="0098377F">
            <w:pPr>
              <w:spacing w:line="276" w:lineRule="auto"/>
              <w:jc w:val="both"/>
              <w:rPr>
                <w:rFonts w:ascii="Arial" w:hAnsi="Arial" w:cs="Arial"/>
                <w:b w:val="0"/>
                <w:bCs w:val="0"/>
                <w:sz w:val="20"/>
                <w:szCs w:val="20"/>
                <w:lang w:val="en-GB"/>
              </w:rPr>
            </w:pPr>
            <w:r>
              <w:rPr>
                <w:rFonts w:ascii="Arial" w:hAnsi="Arial" w:cs="Arial"/>
                <w:sz w:val="20"/>
                <w:szCs w:val="20"/>
                <w:lang w:val="en-GB"/>
              </w:rPr>
              <w:t>Variables</w:t>
            </w:r>
          </w:p>
        </w:tc>
        <w:tc>
          <w:tcPr>
            <w:tcW w:w="1675" w:type="dxa"/>
            <w:noWrap/>
          </w:tcPr>
          <w:p w14:paraId="3041848A" w14:textId="77777777" w:rsidR="001A40F5" w:rsidRDefault="0098377F">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 xml:space="preserve">Sub </w:t>
            </w:r>
            <w:r>
              <w:rPr>
                <w:rFonts w:ascii="Arial" w:hAnsi="Arial" w:cs="Arial"/>
                <w:sz w:val="20"/>
                <w:szCs w:val="20"/>
                <w:lang w:val="en-GB"/>
              </w:rPr>
              <w:t>variables</w:t>
            </w:r>
          </w:p>
        </w:tc>
        <w:tc>
          <w:tcPr>
            <w:tcW w:w="877" w:type="dxa"/>
            <w:noWrap/>
          </w:tcPr>
          <w:p w14:paraId="5C865EC0" w14:textId="77777777" w:rsidR="001A40F5" w:rsidRDefault="0098377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AOR</w:t>
            </w:r>
          </w:p>
        </w:tc>
        <w:tc>
          <w:tcPr>
            <w:tcW w:w="1701" w:type="dxa"/>
            <w:noWrap/>
          </w:tcPr>
          <w:p w14:paraId="29EDC391" w14:textId="77777777" w:rsidR="001A40F5" w:rsidRDefault="0098377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95% CI</w:t>
            </w:r>
          </w:p>
        </w:tc>
        <w:tc>
          <w:tcPr>
            <w:tcW w:w="992" w:type="dxa"/>
            <w:noWrap/>
          </w:tcPr>
          <w:p w14:paraId="21746705" w14:textId="77777777" w:rsidR="001A40F5" w:rsidRDefault="0098377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T-Value</w:t>
            </w:r>
          </w:p>
        </w:tc>
        <w:tc>
          <w:tcPr>
            <w:tcW w:w="1276" w:type="dxa"/>
            <w:noWrap/>
          </w:tcPr>
          <w:p w14:paraId="09A10063" w14:textId="77777777" w:rsidR="001A40F5" w:rsidRDefault="0098377F">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GB"/>
              </w:rPr>
            </w:pPr>
            <w:r>
              <w:rPr>
                <w:rFonts w:ascii="Arial" w:hAnsi="Arial" w:cs="Arial"/>
                <w:sz w:val="20"/>
                <w:szCs w:val="20"/>
                <w:lang w:val="en-GB"/>
              </w:rPr>
              <w:t>P-Value</w:t>
            </w:r>
          </w:p>
        </w:tc>
      </w:tr>
      <w:tr w:rsidR="001A40F5" w14:paraId="6557ADCC"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val="restart"/>
            <w:noWrap/>
            <w:vAlign w:val="center"/>
          </w:tcPr>
          <w:p w14:paraId="795BA902" w14:textId="77777777" w:rsidR="001A40F5" w:rsidRDefault="0098377F">
            <w:pPr>
              <w:spacing w:line="276" w:lineRule="auto"/>
              <w:rPr>
                <w:rFonts w:ascii="Arial" w:hAnsi="Arial" w:cs="Arial"/>
                <w:sz w:val="20"/>
                <w:szCs w:val="20"/>
                <w:lang w:val="en-GB"/>
              </w:rPr>
            </w:pPr>
            <w:r>
              <w:rPr>
                <w:rFonts w:ascii="Arial" w:hAnsi="Arial" w:cs="Arial"/>
                <w:b w:val="0"/>
                <w:bCs w:val="0"/>
                <w:sz w:val="20"/>
                <w:szCs w:val="20"/>
                <w:lang w:val="en-GB"/>
              </w:rPr>
              <w:t>Diabetes</w:t>
            </w:r>
          </w:p>
        </w:tc>
        <w:tc>
          <w:tcPr>
            <w:tcW w:w="1675" w:type="dxa"/>
            <w:noWrap/>
          </w:tcPr>
          <w:p w14:paraId="4C6FB753"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877" w:type="dxa"/>
            <w:noWrap/>
          </w:tcPr>
          <w:p w14:paraId="74D8CB6F"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Ref</w:t>
            </w:r>
          </w:p>
        </w:tc>
        <w:tc>
          <w:tcPr>
            <w:tcW w:w="1701" w:type="dxa"/>
            <w:noWrap/>
          </w:tcPr>
          <w:p w14:paraId="3C014AD3"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992" w:type="dxa"/>
            <w:noWrap/>
          </w:tcPr>
          <w:p w14:paraId="18A050E7"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276" w:type="dxa"/>
            <w:noWrap/>
          </w:tcPr>
          <w:p w14:paraId="594C75FF"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52C9EEB7"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tcBorders>
              <w:top w:val="single" w:sz="4" w:space="0" w:color="auto"/>
              <w:bottom w:val="single" w:sz="4" w:space="0" w:color="auto"/>
            </w:tcBorders>
            <w:noWrap/>
            <w:vAlign w:val="center"/>
          </w:tcPr>
          <w:p w14:paraId="6FB3561B" w14:textId="77777777" w:rsidR="001A40F5" w:rsidRDefault="001A40F5">
            <w:pPr>
              <w:spacing w:line="276" w:lineRule="auto"/>
              <w:rPr>
                <w:rFonts w:ascii="Arial" w:hAnsi="Arial" w:cs="Arial"/>
                <w:sz w:val="20"/>
                <w:szCs w:val="20"/>
                <w:lang w:val="en-GB"/>
              </w:rPr>
            </w:pPr>
          </w:p>
        </w:tc>
        <w:tc>
          <w:tcPr>
            <w:tcW w:w="1675" w:type="dxa"/>
            <w:tcBorders>
              <w:top w:val="single" w:sz="4" w:space="0" w:color="auto"/>
              <w:bottom w:val="single" w:sz="4" w:space="0" w:color="auto"/>
            </w:tcBorders>
            <w:noWrap/>
          </w:tcPr>
          <w:p w14:paraId="4DFB3255"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77" w:type="dxa"/>
            <w:tcBorders>
              <w:top w:val="single" w:sz="4" w:space="0" w:color="auto"/>
              <w:bottom w:val="single" w:sz="4" w:space="0" w:color="auto"/>
            </w:tcBorders>
            <w:noWrap/>
          </w:tcPr>
          <w:p w14:paraId="38C6CFB4"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0.583</w:t>
            </w:r>
          </w:p>
        </w:tc>
        <w:tc>
          <w:tcPr>
            <w:tcW w:w="1701" w:type="dxa"/>
            <w:tcBorders>
              <w:top w:val="single" w:sz="4" w:space="0" w:color="auto"/>
              <w:bottom w:val="single" w:sz="4" w:space="0" w:color="auto"/>
            </w:tcBorders>
            <w:noWrap/>
          </w:tcPr>
          <w:p w14:paraId="3E1B0AA7"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(-1.181, 2.346)</w:t>
            </w:r>
          </w:p>
        </w:tc>
        <w:tc>
          <w:tcPr>
            <w:tcW w:w="992" w:type="dxa"/>
            <w:tcBorders>
              <w:top w:val="single" w:sz="4" w:space="0" w:color="auto"/>
              <w:bottom w:val="single" w:sz="4" w:space="0" w:color="auto"/>
            </w:tcBorders>
            <w:noWrap/>
          </w:tcPr>
          <w:p w14:paraId="2E746F7A"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0.65</w:t>
            </w:r>
          </w:p>
        </w:tc>
        <w:tc>
          <w:tcPr>
            <w:tcW w:w="1276" w:type="dxa"/>
            <w:tcBorders>
              <w:top w:val="single" w:sz="4" w:space="0" w:color="auto"/>
              <w:bottom w:val="single" w:sz="4" w:space="0" w:color="auto"/>
            </w:tcBorders>
            <w:noWrap/>
          </w:tcPr>
          <w:p w14:paraId="43E567BF"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0.516</w:t>
            </w:r>
          </w:p>
        </w:tc>
      </w:tr>
      <w:tr w:rsidR="001A40F5" w14:paraId="65805D65"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tcBorders>
            <w:noWrap/>
            <w:vAlign w:val="center"/>
          </w:tcPr>
          <w:p w14:paraId="27D7C4A3" w14:textId="77777777" w:rsidR="001A40F5" w:rsidRDefault="0098377F">
            <w:pPr>
              <w:spacing w:line="276" w:lineRule="auto"/>
              <w:rPr>
                <w:rFonts w:ascii="Arial" w:hAnsi="Arial" w:cs="Arial"/>
                <w:sz w:val="20"/>
                <w:szCs w:val="20"/>
                <w:lang w:val="en-GB"/>
              </w:rPr>
            </w:pPr>
            <w:r>
              <w:rPr>
                <w:rFonts w:ascii="Arial" w:hAnsi="Arial" w:cs="Arial"/>
                <w:b w:val="0"/>
                <w:bCs w:val="0"/>
                <w:sz w:val="20"/>
                <w:szCs w:val="20"/>
                <w:lang w:val="en-GB"/>
              </w:rPr>
              <w:t>Hypertension</w:t>
            </w:r>
          </w:p>
        </w:tc>
        <w:tc>
          <w:tcPr>
            <w:tcW w:w="1675" w:type="dxa"/>
            <w:tcBorders>
              <w:top w:val="single" w:sz="4" w:space="0" w:color="auto"/>
            </w:tcBorders>
            <w:noWrap/>
          </w:tcPr>
          <w:p w14:paraId="1B9F791C"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877" w:type="dxa"/>
            <w:tcBorders>
              <w:top w:val="single" w:sz="4" w:space="0" w:color="auto"/>
            </w:tcBorders>
            <w:noWrap/>
          </w:tcPr>
          <w:p w14:paraId="4FF5DD1F"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Ref</w:t>
            </w:r>
          </w:p>
        </w:tc>
        <w:tc>
          <w:tcPr>
            <w:tcW w:w="1701" w:type="dxa"/>
            <w:tcBorders>
              <w:top w:val="single" w:sz="4" w:space="0" w:color="auto"/>
            </w:tcBorders>
            <w:noWrap/>
          </w:tcPr>
          <w:p w14:paraId="2630BFB6"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992" w:type="dxa"/>
            <w:tcBorders>
              <w:top w:val="single" w:sz="4" w:space="0" w:color="auto"/>
            </w:tcBorders>
            <w:noWrap/>
          </w:tcPr>
          <w:p w14:paraId="37376D9A"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276" w:type="dxa"/>
            <w:tcBorders>
              <w:top w:val="single" w:sz="4" w:space="0" w:color="auto"/>
            </w:tcBorders>
            <w:noWrap/>
          </w:tcPr>
          <w:p w14:paraId="64748788"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16DB6B05"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tcBorders>
              <w:bottom w:val="single" w:sz="4" w:space="0" w:color="auto"/>
            </w:tcBorders>
            <w:noWrap/>
            <w:vAlign w:val="center"/>
          </w:tcPr>
          <w:p w14:paraId="088BE89A" w14:textId="77777777" w:rsidR="001A40F5" w:rsidRDefault="001A40F5">
            <w:pPr>
              <w:spacing w:line="276" w:lineRule="auto"/>
              <w:rPr>
                <w:rFonts w:ascii="Arial" w:hAnsi="Arial" w:cs="Arial"/>
                <w:sz w:val="20"/>
                <w:szCs w:val="20"/>
                <w:lang w:val="en-GB"/>
              </w:rPr>
            </w:pPr>
          </w:p>
        </w:tc>
        <w:tc>
          <w:tcPr>
            <w:tcW w:w="1675" w:type="dxa"/>
            <w:tcBorders>
              <w:bottom w:val="single" w:sz="4" w:space="0" w:color="auto"/>
            </w:tcBorders>
            <w:noWrap/>
          </w:tcPr>
          <w:p w14:paraId="7A67078D"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77" w:type="dxa"/>
            <w:tcBorders>
              <w:bottom w:val="single" w:sz="4" w:space="0" w:color="auto"/>
            </w:tcBorders>
            <w:noWrap/>
          </w:tcPr>
          <w:p w14:paraId="5D99A17C"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0.77</w:t>
            </w:r>
          </w:p>
        </w:tc>
        <w:tc>
          <w:tcPr>
            <w:tcW w:w="1701" w:type="dxa"/>
            <w:tcBorders>
              <w:bottom w:val="single" w:sz="4" w:space="0" w:color="auto"/>
            </w:tcBorders>
            <w:noWrap/>
          </w:tcPr>
          <w:p w14:paraId="69D4F639"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(-1.48, 3.02)</w:t>
            </w:r>
          </w:p>
        </w:tc>
        <w:tc>
          <w:tcPr>
            <w:tcW w:w="992" w:type="dxa"/>
            <w:tcBorders>
              <w:bottom w:val="single" w:sz="4" w:space="0" w:color="auto"/>
            </w:tcBorders>
            <w:noWrap/>
          </w:tcPr>
          <w:p w14:paraId="29F6E34B"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0.67</w:t>
            </w:r>
          </w:p>
        </w:tc>
        <w:tc>
          <w:tcPr>
            <w:tcW w:w="1276" w:type="dxa"/>
            <w:tcBorders>
              <w:bottom w:val="single" w:sz="4" w:space="0" w:color="auto"/>
            </w:tcBorders>
            <w:noWrap/>
          </w:tcPr>
          <w:p w14:paraId="7F7A6E03"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0.503</w:t>
            </w:r>
          </w:p>
        </w:tc>
      </w:tr>
      <w:tr w:rsidR="001A40F5" w14:paraId="59C1ADD6"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val="restart"/>
            <w:tcBorders>
              <w:top w:val="single" w:sz="4" w:space="0" w:color="auto"/>
            </w:tcBorders>
            <w:noWrap/>
            <w:vAlign w:val="center"/>
          </w:tcPr>
          <w:p w14:paraId="7AA55117" w14:textId="77777777" w:rsidR="001A40F5" w:rsidRDefault="0098377F">
            <w:pPr>
              <w:spacing w:line="276" w:lineRule="auto"/>
              <w:rPr>
                <w:rFonts w:ascii="Arial" w:hAnsi="Arial" w:cs="Arial"/>
                <w:sz w:val="20"/>
                <w:szCs w:val="20"/>
                <w:lang w:val="en-GB"/>
              </w:rPr>
            </w:pPr>
            <w:r>
              <w:rPr>
                <w:rFonts w:ascii="Arial" w:hAnsi="Arial" w:cs="Arial"/>
                <w:b w:val="0"/>
                <w:bCs w:val="0"/>
                <w:sz w:val="20"/>
                <w:szCs w:val="20"/>
                <w:lang w:val="en-GB"/>
              </w:rPr>
              <w:t>Diabetes and hypertension</w:t>
            </w:r>
          </w:p>
        </w:tc>
        <w:tc>
          <w:tcPr>
            <w:tcW w:w="1675" w:type="dxa"/>
            <w:tcBorders>
              <w:top w:val="single" w:sz="4" w:space="0" w:color="auto"/>
            </w:tcBorders>
            <w:noWrap/>
          </w:tcPr>
          <w:p w14:paraId="3324DAFD"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No</w:t>
            </w:r>
          </w:p>
        </w:tc>
        <w:tc>
          <w:tcPr>
            <w:tcW w:w="877" w:type="dxa"/>
            <w:tcBorders>
              <w:top w:val="single" w:sz="4" w:space="0" w:color="auto"/>
            </w:tcBorders>
            <w:noWrap/>
          </w:tcPr>
          <w:p w14:paraId="27F1EAA9"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Ref</w:t>
            </w:r>
          </w:p>
        </w:tc>
        <w:tc>
          <w:tcPr>
            <w:tcW w:w="1701" w:type="dxa"/>
            <w:tcBorders>
              <w:top w:val="single" w:sz="4" w:space="0" w:color="auto"/>
            </w:tcBorders>
            <w:noWrap/>
          </w:tcPr>
          <w:p w14:paraId="06C42B91"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992" w:type="dxa"/>
            <w:tcBorders>
              <w:top w:val="single" w:sz="4" w:space="0" w:color="auto"/>
            </w:tcBorders>
            <w:noWrap/>
          </w:tcPr>
          <w:p w14:paraId="2EC808CF"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c>
          <w:tcPr>
            <w:tcW w:w="1276" w:type="dxa"/>
            <w:tcBorders>
              <w:top w:val="single" w:sz="4" w:space="0" w:color="auto"/>
            </w:tcBorders>
            <w:noWrap/>
          </w:tcPr>
          <w:p w14:paraId="4B06AA57" w14:textId="77777777" w:rsidR="001A40F5" w:rsidRDefault="001A40F5">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p>
        </w:tc>
      </w:tr>
      <w:tr w:rsidR="001A40F5" w14:paraId="515D6C83" w14:textId="77777777" w:rsidTr="001A40F5">
        <w:trPr>
          <w:trHeight w:val="290"/>
          <w:jc w:val="center"/>
        </w:trPr>
        <w:tc>
          <w:tcPr>
            <w:cnfStyle w:val="001000000000" w:firstRow="0" w:lastRow="0" w:firstColumn="1" w:lastColumn="0" w:oddVBand="0" w:evenVBand="0" w:oddHBand="0" w:evenHBand="0" w:firstRowFirstColumn="0" w:firstRowLastColumn="0" w:lastRowFirstColumn="0" w:lastRowLastColumn="0"/>
            <w:tcW w:w="1843" w:type="dxa"/>
            <w:vMerge/>
            <w:noWrap/>
          </w:tcPr>
          <w:p w14:paraId="7636C999" w14:textId="77777777" w:rsidR="001A40F5" w:rsidRDefault="001A40F5">
            <w:pPr>
              <w:spacing w:line="276" w:lineRule="auto"/>
              <w:jc w:val="both"/>
              <w:rPr>
                <w:rFonts w:ascii="Arial" w:hAnsi="Arial" w:cs="Arial"/>
                <w:b w:val="0"/>
                <w:bCs w:val="0"/>
                <w:sz w:val="20"/>
                <w:szCs w:val="20"/>
                <w:lang w:val="en-GB"/>
              </w:rPr>
            </w:pPr>
          </w:p>
        </w:tc>
        <w:tc>
          <w:tcPr>
            <w:tcW w:w="1675" w:type="dxa"/>
            <w:noWrap/>
          </w:tcPr>
          <w:p w14:paraId="2EE0F123" w14:textId="77777777" w:rsidR="001A40F5" w:rsidRDefault="0098377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Yes</w:t>
            </w:r>
          </w:p>
        </w:tc>
        <w:tc>
          <w:tcPr>
            <w:tcW w:w="877" w:type="dxa"/>
            <w:noWrap/>
          </w:tcPr>
          <w:p w14:paraId="068F9D9E"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0.712</w:t>
            </w:r>
          </w:p>
        </w:tc>
        <w:tc>
          <w:tcPr>
            <w:tcW w:w="1701" w:type="dxa"/>
            <w:noWrap/>
          </w:tcPr>
          <w:p w14:paraId="4E9E57F7"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(-0.609, 2.034)</w:t>
            </w:r>
          </w:p>
        </w:tc>
        <w:tc>
          <w:tcPr>
            <w:tcW w:w="992" w:type="dxa"/>
            <w:noWrap/>
          </w:tcPr>
          <w:p w14:paraId="2BA186F5"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1.06</w:t>
            </w:r>
          </w:p>
        </w:tc>
        <w:tc>
          <w:tcPr>
            <w:tcW w:w="1276" w:type="dxa"/>
            <w:noWrap/>
          </w:tcPr>
          <w:p w14:paraId="6EC331E1" w14:textId="77777777" w:rsidR="001A40F5" w:rsidRDefault="0098377F">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GB"/>
              </w:rPr>
            </w:pPr>
            <w:r>
              <w:rPr>
                <w:rFonts w:ascii="Arial" w:hAnsi="Arial" w:cs="Arial"/>
                <w:sz w:val="20"/>
                <w:szCs w:val="20"/>
                <w:lang w:val="en-GB"/>
              </w:rPr>
              <w:t>0.29</w:t>
            </w:r>
          </w:p>
        </w:tc>
      </w:tr>
    </w:tbl>
    <w:p w14:paraId="0818CD76" w14:textId="77777777" w:rsidR="001A40F5" w:rsidRDefault="001A40F5">
      <w:pPr>
        <w:pStyle w:val="Body"/>
        <w:spacing w:after="0"/>
        <w:rPr>
          <w:rFonts w:ascii="Arial" w:hAnsi="Arial" w:cs="Arial"/>
        </w:rPr>
        <w:sectPr w:rsidR="001A40F5" w:rsidSect="00754E2E">
          <w:type w:val="continuous"/>
          <w:pgSz w:w="12240" w:h="15840"/>
          <w:pgMar w:top="1440" w:right="2019" w:bottom="2019" w:left="2019" w:header="720" w:footer="1123" w:gutter="0"/>
          <w:cols w:space="720"/>
          <w:docGrid w:linePitch="272"/>
        </w:sectPr>
      </w:pPr>
    </w:p>
    <w:p w14:paraId="3A8EE29D" w14:textId="77777777" w:rsidR="001A40F5" w:rsidRDefault="001A40F5">
      <w:pPr>
        <w:pStyle w:val="Body"/>
        <w:spacing w:after="0"/>
        <w:rPr>
          <w:rFonts w:ascii="Arial" w:hAnsi="Arial" w:cs="Arial"/>
        </w:rPr>
      </w:pPr>
    </w:p>
    <w:p w14:paraId="16986419" w14:textId="77777777" w:rsidR="001A40F5" w:rsidRDefault="0098377F">
      <w:pPr>
        <w:pStyle w:val="Body"/>
        <w:spacing w:after="120"/>
        <w:rPr>
          <w:rFonts w:ascii="Arial" w:hAnsi="Arial" w:cs="Arial"/>
          <w:b/>
          <w:bCs/>
          <w:sz w:val="22"/>
          <w:szCs w:val="22"/>
        </w:rPr>
      </w:pPr>
      <w:r>
        <w:rPr>
          <w:rFonts w:ascii="Arial" w:hAnsi="Arial" w:cs="Arial"/>
          <w:b/>
          <w:bCs/>
          <w:sz w:val="22"/>
          <w:szCs w:val="22"/>
        </w:rPr>
        <w:t xml:space="preserve">4. </w:t>
      </w:r>
      <w:r>
        <w:rPr>
          <w:rFonts w:ascii="Arial" w:hAnsi="Arial" w:cs="Arial"/>
          <w:b/>
          <w:bCs/>
          <w:sz w:val="22"/>
          <w:szCs w:val="22"/>
        </w:rPr>
        <w:t>DISCUSSION</w:t>
      </w:r>
    </w:p>
    <w:p w14:paraId="6F44DC5C" w14:textId="77777777" w:rsidR="001A40F5" w:rsidRDefault="0098377F">
      <w:pPr>
        <w:pStyle w:val="Body"/>
        <w:spacing w:after="120"/>
        <w:rPr>
          <w:rFonts w:ascii="Arial" w:hAnsi="Arial" w:cs="Arial"/>
          <w:b/>
          <w:bCs/>
          <w:sz w:val="22"/>
          <w:szCs w:val="22"/>
        </w:rPr>
      </w:pPr>
      <w:r>
        <w:rPr>
          <w:rFonts w:ascii="Arial" w:eastAsia="Calibri" w:hAnsi="Arial" w:cs="Arial"/>
          <w:kern w:val="2"/>
          <w:lang w:val="en-GB"/>
          <w14:ligatures w14:val="standardContextual"/>
        </w:rPr>
        <w:t>The distribution of diabetes and hypertension comorbidity observed in the Buea Health District mirrors broader epidemiological trends reported across Cameroon and the wider sub-Saharan region. The slightly higher prevalence among males aligns wi</w:t>
      </w:r>
      <w:r>
        <w:rPr>
          <w:rFonts w:ascii="Arial" w:eastAsia="Calibri" w:hAnsi="Arial" w:cs="Arial"/>
          <w:kern w:val="2"/>
          <w:lang w:val="en-GB"/>
          <w14:ligatures w14:val="standardContextual"/>
        </w:rPr>
        <w:t xml:space="preserve">th the findings of Tchuente </w:t>
      </w:r>
      <w:r>
        <w:rPr>
          <w:rFonts w:ascii="Arial" w:eastAsia="Calibri" w:hAnsi="Arial" w:cs="Arial"/>
          <w:i/>
          <w:kern w:val="2"/>
          <w:lang w:val="en-GB"/>
          <w14:ligatures w14:val="standardContextual"/>
        </w:rPr>
        <w:t>et al.</w:t>
      </w:r>
      <w:r>
        <w:rPr>
          <w:rFonts w:ascii="Arial" w:eastAsia="Calibri" w:hAnsi="Arial" w:cs="Arial"/>
          <w:kern w:val="2"/>
          <w:lang w:val="en-GB"/>
          <w14:ligatures w14:val="standardContextual"/>
        </w:rPr>
        <w:t xml:space="preserve"> [18], who reported that male gender as a significant predictor of hypertension risk (OR = 1.972; 95% CI: 1.250–3.089). Elevated rates among widowed individuals may be attributed to cumulative age-related vulnerability, co</w:t>
      </w:r>
      <w:r>
        <w:rPr>
          <w:rFonts w:ascii="Arial" w:eastAsia="Calibri" w:hAnsi="Arial" w:cs="Arial"/>
          <w:kern w:val="2"/>
          <w:lang w:val="en-GB"/>
          <w14:ligatures w14:val="standardContextual"/>
        </w:rPr>
        <w:t xml:space="preserve">nsistent with the age-related increase in cardiometabolic burden reported by Duodu </w:t>
      </w:r>
      <w:r>
        <w:rPr>
          <w:rFonts w:ascii="Arial" w:eastAsia="Calibri" w:hAnsi="Arial" w:cs="Arial"/>
          <w:i/>
          <w:kern w:val="2"/>
          <w:lang w:val="en-GB"/>
          <w14:ligatures w14:val="standardContextual"/>
        </w:rPr>
        <w:t>et al.</w:t>
      </w:r>
      <w:r>
        <w:rPr>
          <w:rFonts w:ascii="Arial" w:eastAsia="Calibri" w:hAnsi="Arial" w:cs="Arial"/>
          <w:kern w:val="2"/>
          <w:lang w:val="en-GB"/>
          <w14:ligatures w14:val="standardContextual"/>
        </w:rPr>
        <w:t xml:space="preserve"> [19]. The inverse association between educational attainment and comorbidity where individuals with tertiary education exhibit the lowest prevalence, this supports ex</w:t>
      </w:r>
      <w:r>
        <w:rPr>
          <w:rFonts w:ascii="Arial" w:eastAsia="Calibri" w:hAnsi="Arial" w:cs="Arial"/>
          <w:kern w:val="2"/>
          <w:lang w:val="en-GB"/>
          <w14:ligatures w14:val="standardContextual"/>
        </w:rPr>
        <w:t xml:space="preserve">isting literature linking lower education levels to poor nutritional practices and limited health literacy, both of which heighten susceptibility to chronic disease [18]. Furthermore, occupational differences, particularly the high comorbidity rates among </w:t>
      </w:r>
      <w:r>
        <w:rPr>
          <w:rFonts w:ascii="Arial" w:eastAsia="Calibri" w:hAnsi="Arial" w:cs="Arial"/>
          <w:kern w:val="2"/>
          <w:lang w:val="en-GB"/>
          <w14:ligatures w14:val="standardContextual"/>
        </w:rPr>
        <w:t>farmers and students, may reflect underlying socioeconomic challenges such as food insecurity and restricted access to preventive health services. Collectively, these patterns highlight the complex interplay of demographic and socioeconomic factors influen</w:t>
      </w:r>
      <w:r>
        <w:rPr>
          <w:rFonts w:ascii="Arial" w:eastAsia="Calibri" w:hAnsi="Arial" w:cs="Arial"/>
          <w:kern w:val="2"/>
          <w:lang w:val="en-GB"/>
          <w14:ligatures w14:val="standardContextual"/>
        </w:rPr>
        <w:t>cing disease burden, reinforcing the need for context-specific public health strategies in the Buea Health District.</w:t>
      </w:r>
    </w:p>
    <w:p w14:paraId="3FC6A7FD" w14:textId="77777777" w:rsidR="001A40F5" w:rsidRDefault="0098377F">
      <w:pPr>
        <w:spacing w:before="24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lastRenderedPageBreak/>
        <w:t>The study also highlights a polarized distribution of body weight, with 43% of participants either overweight or obese, and 25% underweight</w:t>
      </w:r>
      <w:r>
        <w:rPr>
          <w:rFonts w:ascii="Arial" w:eastAsia="Calibri" w:hAnsi="Arial" w:cs="Arial"/>
          <w:kern w:val="2"/>
          <w:lang w:val="en-GB"/>
          <w14:ligatures w14:val="standardContextual"/>
        </w:rPr>
        <w:t>. This dual burden reflects both overnutrition and undernutrition, which are known contributors to chronic disease risk. Obesity, particularly central obesity, has been consistently linked to increased risk of both diabetes and hypertension [20,21]. Conver</w:t>
      </w:r>
      <w:r>
        <w:rPr>
          <w:rFonts w:ascii="Arial" w:eastAsia="Calibri" w:hAnsi="Arial" w:cs="Arial"/>
          <w:kern w:val="2"/>
          <w:lang w:val="en-GB"/>
          <w14:ligatures w14:val="standardContextual"/>
        </w:rPr>
        <w:t>sely, underweight status may indicate malnutrition or underlying health conditions, which can complicate disease management and increase vulnerability to infections and other comorbidities. These findings emphasize the urgent need for targeted public healt</w:t>
      </w:r>
      <w:r>
        <w:rPr>
          <w:rFonts w:ascii="Arial" w:eastAsia="Calibri" w:hAnsi="Arial" w:cs="Arial"/>
          <w:kern w:val="2"/>
          <w:lang w:val="en-GB"/>
          <w14:ligatures w14:val="standardContextual"/>
        </w:rPr>
        <w:t xml:space="preserve">h interventions that address not only disease management but also nutritional support, lifestyle modification, and socioeconomic barriers. As shown in related literature, body weight variability and poor </w:t>
      </w:r>
      <w:proofErr w:type="spellStart"/>
      <w:r>
        <w:rPr>
          <w:rFonts w:ascii="Arial" w:eastAsia="Calibri" w:hAnsi="Arial" w:cs="Arial"/>
          <w:kern w:val="2"/>
          <w:lang w:val="en-GB"/>
          <w14:ligatures w14:val="standardContextual"/>
        </w:rPr>
        <w:t>glycemic</w:t>
      </w:r>
      <w:proofErr w:type="spellEnd"/>
      <w:r>
        <w:rPr>
          <w:rFonts w:ascii="Arial" w:eastAsia="Calibri" w:hAnsi="Arial" w:cs="Arial"/>
          <w:kern w:val="2"/>
          <w:lang w:val="en-GB"/>
          <w14:ligatures w14:val="standardContextual"/>
        </w:rPr>
        <w:t xml:space="preserve"> control are independently associated with i</w:t>
      </w:r>
      <w:r>
        <w:rPr>
          <w:rFonts w:ascii="Arial" w:eastAsia="Calibri" w:hAnsi="Arial" w:cs="Arial"/>
          <w:kern w:val="2"/>
          <w:lang w:val="en-GB"/>
          <w14:ligatures w14:val="standardContextual"/>
        </w:rPr>
        <w:t>ncreased cardiovascular risk and mortality in diabetic populations [22,23]. Therefore, integrated care strategies that promote stable weight, effective medication adherence, and regular monitoring are essential to reduce the long-term burden of these condi</w:t>
      </w:r>
      <w:r>
        <w:rPr>
          <w:rFonts w:ascii="Arial" w:eastAsia="Calibri" w:hAnsi="Arial" w:cs="Arial"/>
          <w:kern w:val="2"/>
          <w:lang w:val="en-GB"/>
          <w14:ligatures w14:val="standardContextual"/>
        </w:rPr>
        <w:t>tions.</w:t>
      </w:r>
    </w:p>
    <w:p w14:paraId="43276469" w14:textId="77777777" w:rsidR="001A40F5" w:rsidRDefault="0098377F">
      <w:pPr>
        <w:spacing w:before="24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The study’s findings reveal that although overweight individuals constitute the largest proportion among both hypertensive and non-hypertensive groups, the statistical analysis did not show a significant association between BMI and hypertension stat</w:t>
      </w:r>
      <w:r>
        <w:rPr>
          <w:rFonts w:ascii="Arial" w:eastAsia="Calibri" w:hAnsi="Arial" w:cs="Arial"/>
          <w:kern w:val="2"/>
          <w:lang w:val="en-GB"/>
          <w14:ligatures w14:val="standardContextual"/>
        </w:rPr>
        <w:t>us (</w:t>
      </w:r>
      <w:r>
        <w:rPr>
          <w:rFonts w:ascii="Arial" w:eastAsia="Calibri" w:hAnsi="Arial" w:cs="Arial"/>
          <w:i/>
          <w:iCs/>
          <w:kern w:val="2"/>
          <w:lang w:val="en-GB"/>
          <w14:ligatures w14:val="standardContextual"/>
        </w:rPr>
        <w:t>P = 0.174</w:t>
      </w:r>
      <w:r>
        <w:rPr>
          <w:rFonts w:ascii="Arial" w:eastAsia="Calibri" w:hAnsi="Arial" w:cs="Arial"/>
          <w:kern w:val="2"/>
          <w:lang w:val="en-GB"/>
          <w14:ligatures w14:val="standardContextual"/>
        </w:rPr>
        <w:t>). This aligns with broader research suggesting that while elevated BMI is a known risk factor for hypertension, its predictive power may vary depending on other mediating factors such as physical activity, age, and metabolic health. For insta</w:t>
      </w:r>
      <w:r>
        <w:rPr>
          <w:rFonts w:ascii="Arial" w:eastAsia="Calibri" w:hAnsi="Arial" w:cs="Arial"/>
          <w:kern w:val="2"/>
          <w:lang w:val="en-GB"/>
          <w14:ligatures w14:val="standardContextual"/>
        </w:rPr>
        <w:t xml:space="preserve">nce, Valenzuela </w:t>
      </w:r>
      <w:r>
        <w:rPr>
          <w:rFonts w:ascii="Arial" w:eastAsia="Calibri" w:hAnsi="Arial" w:cs="Arial"/>
          <w:i/>
          <w:kern w:val="2"/>
          <w:lang w:val="en-GB"/>
          <w14:ligatures w14:val="standardContextual"/>
        </w:rPr>
        <w:t>et al.</w:t>
      </w:r>
      <w:r>
        <w:rPr>
          <w:rFonts w:ascii="Arial" w:eastAsia="Calibri" w:hAnsi="Arial" w:cs="Arial"/>
          <w:kern w:val="2"/>
          <w:lang w:val="en-GB"/>
          <w14:ligatures w14:val="standardContextual"/>
        </w:rPr>
        <w:t xml:space="preserve"> [24] found that physical inactivity and obesity significantly increased the likelihood of hypertension in diabetic individuals, but the relationship was complex and influenced by lifestyle behaviours and comorbidities. Similarly, Yao</w:t>
      </w:r>
      <w:r>
        <w:rPr>
          <w:rFonts w:ascii="Arial" w:eastAsia="Calibri" w:hAnsi="Arial" w:cs="Arial"/>
          <w:kern w:val="2"/>
          <w:lang w:val="en-GB"/>
          <w14:ligatures w14:val="standardContextual"/>
        </w:rPr>
        <w:t xml:space="preserve"> </w:t>
      </w:r>
      <w:r>
        <w:rPr>
          <w:rFonts w:ascii="Arial" w:eastAsia="Calibri" w:hAnsi="Arial" w:cs="Arial"/>
          <w:i/>
          <w:kern w:val="2"/>
          <w:lang w:val="en-GB"/>
          <w14:ligatures w14:val="standardContextual"/>
        </w:rPr>
        <w:t>et al.</w:t>
      </w:r>
      <w:r>
        <w:rPr>
          <w:rFonts w:ascii="Arial" w:eastAsia="Calibri" w:hAnsi="Arial" w:cs="Arial"/>
          <w:kern w:val="2"/>
          <w:lang w:val="en-GB"/>
          <w14:ligatures w14:val="standardContextual"/>
        </w:rPr>
        <w:t xml:space="preserve"> [25] demonstrated that liver function markers like ALT and GGT partially mediated the relationship between BMI and hypertension in diabetic patients, suggesting that obesity’s impact on blood pressure may be biologically nuanced. In contrast, the s</w:t>
      </w:r>
      <w:r>
        <w:rPr>
          <w:rFonts w:ascii="Arial" w:eastAsia="Calibri" w:hAnsi="Arial" w:cs="Arial"/>
          <w:kern w:val="2"/>
          <w:lang w:val="en-GB"/>
          <w14:ligatures w14:val="standardContextual"/>
        </w:rPr>
        <w:t>tudy found a statistically significant association between elevated fasting blood sugar (FBS) and higher BMI (</w:t>
      </w:r>
      <w:r>
        <w:rPr>
          <w:rFonts w:ascii="Arial" w:eastAsia="Calibri" w:hAnsi="Arial" w:cs="Arial"/>
          <w:i/>
          <w:iCs/>
          <w:kern w:val="2"/>
          <w:lang w:val="en-GB"/>
          <w14:ligatures w14:val="standardContextual"/>
        </w:rPr>
        <w:t>P = 0.015</w:t>
      </w:r>
      <w:r>
        <w:rPr>
          <w:rFonts w:ascii="Arial" w:eastAsia="Calibri" w:hAnsi="Arial" w:cs="Arial"/>
          <w:kern w:val="2"/>
          <w:lang w:val="en-GB"/>
          <w14:ligatures w14:val="standardContextual"/>
        </w:rPr>
        <w:t xml:space="preserve">), reinforcing the well-established link between obesity and impaired glucose metabolism. This is consistent with findings from Wang </w:t>
      </w:r>
      <w:r>
        <w:rPr>
          <w:rFonts w:ascii="Arial" w:eastAsia="Calibri" w:hAnsi="Arial" w:cs="Arial"/>
          <w:i/>
          <w:kern w:val="2"/>
          <w:lang w:val="en-GB"/>
          <w14:ligatures w14:val="standardContextual"/>
        </w:rPr>
        <w:t>et a</w:t>
      </w:r>
      <w:r>
        <w:rPr>
          <w:rFonts w:ascii="Arial" w:eastAsia="Calibri" w:hAnsi="Arial" w:cs="Arial"/>
          <w:i/>
          <w:kern w:val="2"/>
          <w:lang w:val="en-GB"/>
          <w14:ligatures w14:val="standardContextual"/>
        </w:rPr>
        <w:t>l.</w:t>
      </w:r>
      <w:r>
        <w:rPr>
          <w:rFonts w:ascii="Arial" w:eastAsia="Calibri" w:hAnsi="Arial" w:cs="Arial"/>
          <w:kern w:val="2"/>
          <w:lang w:val="en-GB"/>
          <w14:ligatures w14:val="standardContextual"/>
        </w:rPr>
        <w:t xml:space="preserve"> [26], who reported that overweight and obese individuals had significantly higher fasting glucose levels and poorer cardiometabolic outcomes, particularly when dietary interventions like intermittent fasting were not employed.</w:t>
      </w:r>
    </w:p>
    <w:p w14:paraId="5943DF45" w14:textId="77777777" w:rsidR="001A40F5" w:rsidRDefault="0098377F">
      <w:pPr>
        <w:spacing w:before="24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 xml:space="preserve">The observed variation in </w:t>
      </w:r>
      <w:r>
        <w:rPr>
          <w:rFonts w:ascii="Arial" w:eastAsia="Calibri" w:hAnsi="Arial" w:cs="Arial"/>
          <w:kern w:val="2"/>
          <w:lang w:val="en-GB"/>
          <w14:ligatures w14:val="standardContextual"/>
        </w:rPr>
        <w:t xml:space="preserve">BMI across treatment </w:t>
      </w:r>
      <w:proofErr w:type="spellStart"/>
      <w:r>
        <w:rPr>
          <w:rFonts w:ascii="Arial" w:eastAsia="Calibri" w:hAnsi="Arial" w:cs="Arial"/>
          <w:kern w:val="2"/>
          <w:lang w:val="en-GB"/>
          <w14:ligatures w14:val="standardContextual"/>
        </w:rPr>
        <w:t>centers</w:t>
      </w:r>
      <w:proofErr w:type="spellEnd"/>
      <w:r>
        <w:rPr>
          <w:rFonts w:ascii="Arial" w:eastAsia="Calibri" w:hAnsi="Arial" w:cs="Arial"/>
          <w:kern w:val="2"/>
          <w:lang w:val="en-GB"/>
          <w14:ligatures w14:val="standardContextual"/>
        </w:rPr>
        <w:t xml:space="preserve"> and age groups, although not statistically significant in some cases, suggests that demographic and institutional factors may influence weight distribution and disease risk. Notably, older adults (ages 61–70) showed higher obes</w:t>
      </w:r>
      <w:r>
        <w:rPr>
          <w:rFonts w:ascii="Arial" w:eastAsia="Calibri" w:hAnsi="Arial" w:cs="Arial"/>
          <w:kern w:val="2"/>
          <w:lang w:val="en-GB"/>
          <w14:ligatures w14:val="standardContextual"/>
        </w:rPr>
        <w:t xml:space="preserve">ity rates, which may reflect age-related metabolic changes. Woolley </w:t>
      </w:r>
      <w:r>
        <w:rPr>
          <w:rFonts w:ascii="Arial" w:eastAsia="Calibri" w:hAnsi="Arial" w:cs="Arial"/>
          <w:i/>
          <w:kern w:val="2"/>
          <w:lang w:val="en-GB"/>
          <w14:ligatures w14:val="standardContextual"/>
        </w:rPr>
        <w:t>et al.</w:t>
      </w:r>
      <w:r>
        <w:rPr>
          <w:rFonts w:ascii="Arial" w:eastAsia="Calibri" w:hAnsi="Arial" w:cs="Arial"/>
          <w:kern w:val="2"/>
          <w:lang w:val="en-GB"/>
          <w14:ligatures w14:val="standardContextual"/>
        </w:rPr>
        <w:t xml:space="preserve"> [27] emphasized that elevated BMI in older adults might not always correlate with worse outcomes and could even offer protective effects in certain inpatient settings. These finding</w:t>
      </w:r>
      <w:r>
        <w:rPr>
          <w:rFonts w:ascii="Arial" w:eastAsia="Calibri" w:hAnsi="Arial" w:cs="Arial"/>
          <w:kern w:val="2"/>
          <w:lang w:val="en-GB"/>
          <w14:ligatures w14:val="standardContextual"/>
        </w:rPr>
        <w:t>s underscore the importance of context-specific interventions and the need for nuanced approaches to BMI management in chronic disease care.</w:t>
      </w:r>
    </w:p>
    <w:p w14:paraId="1BD92CB7" w14:textId="77777777" w:rsidR="001A40F5" w:rsidRDefault="0098377F">
      <w:pPr>
        <w:spacing w:before="24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The regression analysis in Table 3 highlights that lifestyle behaviours particularly regular exercise and vegetable</w:t>
      </w:r>
      <w:r>
        <w:rPr>
          <w:rFonts w:ascii="Arial" w:eastAsia="Calibri" w:hAnsi="Arial" w:cs="Arial"/>
          <w:kern w:val="2"/>
          <w:lang w:val="en-GB"/>
          <w14:ligatures w14:val="standardContextual"/>
        </w:rPr>
        <w:t xml:space="preserve"> intake are more influential on Body Mass Index (BMI) than demographic factors such as age or gender. Despite adjusted odds ratios (AORs) for age groups ranging from 1.75 to 8.46, none reached statistical significance, and all confidence intervals crossed </w:t>
      </w:r>
      <w:r>
        <w:rPr>
          <w:rFonts w:ascii="Arial" w:eastAsia="Calibri" w:hAnsi="Arial" w:cs="Arial"/>
          <w:kern w:val="2"/>
          <w:lang w:val="en-GB"/>
          <w14:ligatures w14:val="standardContextual"/>
        </w:rPr>
        <w:t>zero, suggesting that age does not independently predict BMI in this population. Similarly, gender showed no meaningful association with BMI, consistent with findings from Jabre &amp; Bland [28], who noted that while BMI tends to increase with age and is gener</w:t>
      </w:r>
      <w:r>
        <w:rPr>
          <w:rFonts w:ascii="Arial" w:eastAsia="Calibri" w:hAnsi="Arial" w:cs="Arial"/>
          <w:kern w:val="2"/>
          <w:lang w:val="en-GB"/>
          <w14:ligatures w14:val="standardContextual"/>
        </w:rPr>
        <w:t>ally higher in men, these trends are not always statistically robust across populations.</w:t>
      </w:r>
    </w:p>
    <w:p w14:paraId="7595295E" w14:textId="77777777" w:rsidR="001A40F5" w:rsidRDefault="0098377F">
      <w:pPr>
        <w:spacing w:after="12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 xml:space="preserve">Interestingly, while salt-related dietary behaviours showed negative associations with BMI, they were not statistically significant, echoing findings from Grimes </w:t>
      </w:r>
      <w:r>
        <w:rPr>
          <w:rFonts w:ascii="Arial" w:eastAsia="Calibri" w:hAnsi="Arial" w:cs="Arial"/>
          <w:i/>
          <w:kern w:val="2"/>
          <w:lang w:val="en-GB"/>
          <w14:ligatures w14:val="standardContextual"/>
        </w:rPr>
        <w:t>et al</w:t>
      </w:r>
      <w:r>
        <w:rPr>
          <w:rFonts w:ascii="Arial" w:eastAsia="Calibri" w:hAnsi="Arial" w:cs="Arial"/>
          <w:i/>
          <w:kern w:val="2"/>
          <w:lang w:val="en-GB"/>
          <w14:ligatures w14:val="standardContextual"/>
        </w:rPr>
        <w:t>.</w:t>
      </w:r>
      <w:r>
        <w:rPr>
          <w:rFonts w:ascii="Arial" w:eastAsia="Calibri" w:hAnsi="Arial" w:cs="Arial"/>
          <w:kern w:val="2"/>
          <w:lang w:val="en-GB"/>
          <w14:ligatures w14:val="standardContextual"/>
        </w:rPr>
        <w:t xml:space="preserve"> [29], who reported mixed evidence on the relationship between sodium intake and adiposity. In contrast, </w:t>
      </w:r>
      <w:r>
        <w:rPr>
          <w:rFonts w:ascii="Arial" w:eastAsia="Calibri" w:hAnsi="Arial" w:cs="Arial"/>
          <w:kern w:val="2"/>
          <w:lang w:val="en-GB"/>
          <w14:ligatures w14:val="standardContextual"/>
        </w:rPr>
        <w:lastRenderedPageBreak/>
        <w:t>vegetable consumption and regular physical exercise were significantly associated with higher BMI, with exercise showing the strongest effect (AOR = 2</w:t>
      </w:r>
      <w:r>
        <w:rPr>
          <w:rFonts w:ascii="Arial" w:eastAsia="Calibri" w:hAnsi="Arial" w:cs="Arial"/>
          <w:kern w:val="2"/>
          <w:lang w:val="en-GB"/>
          <w14:ligatures w14:val="standardContextual"/>
        </w:rPr>
        <w:t xml:space="preserve">.815, </w:t>
      </w:r>
      <w:r>
        <w:rPr>
          <w:rFonts w:ascii="Arial" w:eastAsia="Calibri" w:hAnsi="Arial" w:cs="Arial"/>
          <w:i/>
          <w:iCs/>
          <w:kern w:val="2"/>
          <w:lang w:val="en-GB"/>
          <w14:ligatures w14:val="standardContextual"/>
        </w:rPr>
        <w:t>P &lt; 0.001</w:t>
      </w:r>
      <w:r>
        <w:rPr>
          <w:rFonts w:ascii="Arial" w:eastAsia="Calibri" w:hAnsi="Arial" w:cs="Arial"/>
          <w:kern w:val="2"/>
          <w:lang w:val="en-GB"/>
          <w14:ligatures w14:val="standardContextual"/>
        </w:rPr>
        <w:t>).</w:t>
      </w:r>
    </w:p>
    <w:p w14:paraId="7660E086" w14:textId="77777777" w:rsidR="001A40F5" w:rsidRDefault="0098377F">
      <w:pPr>
        <w:spacing w:after="12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 xml:space="preserve">This may reflect healthier weight maintenance or increased muscle mass among active individuals, a pattern supported by Zhang </w:t>
      </w:r>
      <w:r>
        <w:rPr>
          <w:rFonts w:ascii="Arial" w:eastAsia="Calibri" w:hAnsi="Arial" w:cs="Arial"/>
          <w:i/>
          <w:kern w:val="2"/>
          <w:lang w:val="en-GB"/>
          <w14:ligatures w14:val="standardContextual"/>
        </w:rPr>
        <w:t>et al.</w:t>
      </w:r>
      <w:r>
        <w:rPr>
          <w:rFonts w:ascii="Arial" w:eastAsia="Calibri" w:hAnsi="Arial" w:cs="Arial"/>
          <w:kern w:val="2"/>
          <w:lang w:val="en-GB"/>
          <w14:ligatures w14:val="standardContextual"/>
        </w:rPr>
        <w:t xml:space="preserve"> [30], who found that exercise frequency significantly influenced BMI and was mediated by dietary behaviou</w:t>
      </w:r>
      <w:r>
        <w:rPr>
          <w:rFonts w:ascii="Arial" w:eastAsia="Calibri" w:hAnsi="Arial" w:cs="Arial"/>
          <w:kern w:val="2"/>
          <w:lang w:val="en-GB"/>
          <w14:ligatures w14:val="standardContextual"/>
        </w:rPr>
        <w:t xml:space="preserve">rs. Similarly, Guedes &amp; Silva [31] demonstrated that university students who engaged in regular aerobic and strength exercises and consumed fruits and vegetables had significantly lower risks of excess body weight. </w:t>
      </w:r>
      <w:proofErr w:type="spellStart"/>
      <w:r>
        <w:rPr>
          <w:rFonts w:ascii="Arial" w:eastAsia="Calibri" w:hAnsi="Arial" w:cs="Arial"/>
          <w:kern w:val="2"/>
          <w:lang w:val="en-GB"/>
          <w14:ligatures w14:val="standardContextual"/>
        </w:rPr>
        <w:t>Solehaini</w:t>
      </w:r>
      <w:proofErr w:type="spellEnd"/>
      <w:r>
        <w:rPr>
          <w:rFonts w:ascii="Arial" w:eastAsia="Calibri" w:hAnsi="Arial" w:cs="Arial"/>
          <w:kern w:val="2"/>
          <w:lang w:val="en-GB"/>
          <w14:ligatures w14:val="standardContextual"/>
        </w:rPr>
        <w:t xml:space="preserve"> </w:t>
      </w:r>
      <w:r>
        <w:rPr>
          <w:rFonts w:ascii="Arial" w:eastAsia="Calibri" w:hAnsi="Arial" w:cs="Arial"/>
          <w:i/>
          <w:kern w:val="2"/>
          <w:lang w:val="en-GB"/>
          <w14:ligatures w14:val="standardContextual"/>
        </w:rPr>
        <w:t>et al.</w:t>
      </w:r>
      <w:r>
        <w:rPr>
          <w:rFonts w:ascii="Arial" w:eastAsia="Calibri" w:hAnsi="Arial" w:cs="Arial"/>
          <w:kern w:val="2"/>
          <w:lang w:val="en-GB"/>
          <w14:ligatures w14:val="standardContextual"/>
        </w:rPr>
        <w:t xml:space="preserve"> [32] support this result</w:t>
      </w:r>
      <w:r>
        <w:rPr>
          <w:rFonts w:ascii="Arial" w:eastAsia="Calibri" w:hAnsi="Arial" w:cs="Arial"/>
          <w:kern w:val="2"/>
          <w:lang w:val="en-GB"/>
          <w14:ligatures w14:val="standardContextual"/>
        </w:rPr>
        <w:t>, showing that low physical activity and poor vegetable consumption significantly increase obesity risk across African populations. These findings underscore the importance of promoting physical activity and balanced diets as key strategies in managing BMI</w:t>
      </w:r>
      <w:r>
        <w:rPr>
          <w:rFonts w:ascii="Arial" w:eastAsia="Calibri" w:hAnsi="Arial" w:cs="Arial"/>
          <w:kern w:val="2"/>
          <w:lang w:val="en-GB"/>
          <w14:ligatures w14:val="standardContextual"/>
        </w:rPr>
        <w:t xml:space="preserve"> and preventing obesity-related health risks, rather than relying solely on demographic predictors.</w:t>
      </w:r>
    </w:p>
    <w:p w14:paraId="7D926BBD" w14:textId="426E0EB8" w:rsidR="001A40F5" w:rsidRDefault="0098377F">
      <w:pPr>
        <w:spacing w:after="12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 xml:space="preserve">The regression analysis in Table </w:t>
      </w:r>
      <w:r w:rsidR="005C45F8">
        <w:rPr>
          <w:rFonts w:ascii="Arial" w:eastAsia="Calibri" w:hAnsi="Arial" w:cs="Arial"/>
          <w:kern w:val="2"/>
          <w:lang w:val="en-GB"/>
          <w14:ligatures w14:val="standardContextual"/>
        </w:rPr>
        <w:t>5</w:t>
      </w:r>
      <w:r>
        <w:rPr>
          <w:rFonts w:ascii="Arial" w:eastAsia="Calibri" w:hAnsi="Arial" w:cs="Arial"/>
          <w:kern w:val="2"/>
          <w:lang w:val="en-GB"/>
          <w14:ligatures w14:val="standardContextual"/>
        </w:rPr>
        <w:t xml:space="preserve"> indicates that diabetes, hypertension, and their comorbidity are not statistically significant predictors of chronic kidn</w:t>
      </w:r>
      <w:r>
        <w:rPr>
          <w:rFonts w:ascii="Arial" w:eastAsia="Calibri" w:hAnsi="Arial" w:cs="Arial"/>
          <w:kern w:val="2"/>
          <w:lang w:val="en-GB"/>
          <w14:ligatures w14:val="standardContextual"/>
        </w:rPr>
        <w:t xml:space="preserve">ey disease (CKD) in the study population, as all adjusted odds ratios (AORs) had wide confidence intervals crossing zero and p-values well above the 0.05 threshold. This finding contrasts with a substantial body of literature that identifies both diabetes </w:t>
      </w:r>
      <w:r>
        <w:rPr>
          <w:rFonts w:ascii="Arial" w:eastAsia="Calibri" w:hAnsi="Arial" w:cs="Arial"/>
          <w:kern w:val="2"/>
          <w:lang w:val="en-GB"/>
          <w14:ligatures w14:val="standardContextual"/>
        </w:rPr>
        <w:t>and hypertension as major risk factors for CKD. For instance, the American Diabetes Association highlights that over 80% of individuals with diabetes and CKD also have hypertension, and poor blood pressure control accelerates kidney damage progression [33]</w:t>
      </w:r>
      <w:r>
        <w:rPr>
          <w:rFonts w:ascii="Arial" w:eastAsia="Calibri" w:hAnsi="Arial" w:cs="Arial"/>
          <w:kern w:val="2"/>
          <w:lang w:val="en-GB"/>
          <w14:ligatures w14:val="standardContextual"/>
        </w:rPr>
        <w:t xml:space="preserve">. Similarly, Colbert </w:t>
      </w:r>
      <w:r>
        <w:rPr>
          <w:rFonts w:ascii="Arial" w:eastAsia="Calibri" w:hAnsi="Arial" w:cs="Arial"/>
          <w:i/>
          <w:kern w:val="2"/>
          <w:lang w:val="en-GB"/>
          <w14:ligatures w14:val="standardContextual"/>
        </w:rPr>
        <w:t>et al.</w:t>
      </w:r>
      <w:r>
        <w:rPr>
          <w:rFonts w:ascii="Arial" w:eastAsia="Calibri" w:hAnsi="Arial" w:cs="Arial"/>
          <w:kern w:val="2"/>
          <w:lang w:val="en-GB"/>
          <w14:ligatures w14:val="standardContextual"/>
        </w:rPr>
        <w:t xml:space="preserve"> [34] emphasize that controlling hypertension in diabetic kidney disease (DKD) can delay CKD progression, especially when blood pressure is maintained within guideline-recommended ranges.</w:t>
      </w:r>
    </w:p>
    <w:p w14:paraId="753C23A0" w14:textId="77777777" w:rsidR="001A40F5" w:rsidRDefault="0098377F">
      <w:pPr>
        <w:spacing w:before="24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The lack of statistical significance in t</w:t>
      </w:r>
      <w:r>
        <w:rPr>
          <w:rFonts w:ascii="Arial" w:eastAsia="Calibri" w:hAnsi="Arial" w:cs="Arial"/>
          <w:kern w:val="2"/>
          <w:lang w:val="en-GB"/>
          <w14:ligatures w14:val="standardContextual"/>
        </w:rPr>
        <w:t xml:space="preserve">his study may be due to sample size limitations, variability in disease severity, or confounding factors not accounted for in the model. Nonetheless, the broader scientific consensus underscores the importance of managing both diabetes and hypertension to </w:t>
      </w:r>
      <w:r>
        <w:rPr>
          <w:rFonts w:ascii="Arial" w:eastAsia="Calibri" w:hAnsi="Arial" w:cs="Arial"/>
          <w:kern w:val="2"/>
          <w:lang w:val="en-GB"/>
          <w14:ligatures w14:val="standardContextual"/>
        </w:rPr>
        <w:t>mitigate CKD risk. Interestingly, while BMI was significantly associated with FBS levels (</w:t>
      </w:r>
      <w:r>
        <w:rPr>
          <w:rFonts w:ascii="Arial" w:eastAsia="Calibri" w:hAnsi="Arial" w:cs="Arial"/>
          <w:i/>
          <w:iCs/>
          <w:kern w:val="2"/>
          <w:lang w:val="en-GB"/>
          <w14:ligatures w14:val="standardContextual"/>
        </w:rPr>
        <w:t>P = 0.015</w:t>
      </w:r>
      <w:r>
        <w:rPr>
          <w:rFonts w:ascii="Arial" w:eastAsia="Calibri" w:hAnsi="Arial" w:cs="Arial"/>
          <w:kern w:val="2"/>
          <w:lang w:val="en-GB"/>
          <w14:ligatures w14:val="standardContextual"/>
        </w:rPr>
        <w:t xml:space="preserve">), it was not linked to chronic kidney disease (CKD) in regression analysis. This contrasts with findings by </w:t>
      </w:r>
      <w:proofErr w:type="spellStart"/>
      <w:r>
        <w:rPr>
          <w:rFonts w:ascii="Arial" w:eastAsia="Calibri" w:hAnsi="Arial" w:cs="Arial"/>
          <w:kern w:val="2"/>
          <w:lang w:val="en-GB"/>
          <w14:ligatures w14:val="standardContextual"/>
        </w:rPr>
        <w:t>Ndapkwi</w:t>
      </w:r>
      <w:proofErr w:type="spellEnd"/>
      <w:r>
        <w:rPr>
          <w:rFonts w:ascii="Arial" w:eastAsia="Calibri" w:hAnsi="Arial" w:cs="Arial"/>
          <w:kern w:val="2"/>
          <w:lang w:val="en-GB"/>
          <w14:ligatures w14:val="standardContextual"/>
        </w:rPr>
        <w:t xml:space="preserve"> </w:t>
      </w:r>
      <w:r>
        <w:rPr>
          <w:rFonts w:ascii="Arial" w:eastAsia="Calibri" w:hAnsi="Arial" w:cs="Arial"/>
          <w:i/>
          <w:kern w:val="2"/>
          <w:lang w:val="en-GB"/>
          <w14:ligatures w14:val="standardContextual"/>
        </w:rPr>
        <w:t>et al.</w:t>
      </w:r>
      <w:r>
        <w:rPr>
          <w:rFonts w:ascii="Arial" w:eastAsia="Calibri" w:hAnsi="Arial" w:cs="Arial"/>
          <w:kern w:val="2"/>
          <w:lang w:val="en-GB"/>
          <w14:ligatures w14:val="standardContextual"/>
        </w:rPr>
        <w:t xml:space="preserve"> [35], who reported high CKD preva</w:t>
      </w:r>
      <w:r>
        <w:rPr>
          <w:rFonts w:ascii="Arial" w:eastAsia="Calibri" w:hAnsi="Arial" w:cs="Arial"/>
          <w:kern w:val="2"/>
          <w:lang w:val="en-GB"/>
          <w14:ligatures w14:val="standardContextual"/>
        </w:rPr>
        <w:t xml:space="preserve">lence among hypertensive and diabetic patients in Buea, suggesting that while BMI may influence </w:t>
      </w:r>
      <w:proofErr w:type="spellStart"/>
      <w:r>
        <w:rPr>
          <w:rFonts w:ascii="Arial" w:eastAsia="Calibri" w:hAnsi="Arial" w:cs="Arial"/>
          <w:kern w:val="2"/>
          <w:lang w:val="en-GB"/>
          <w14:ligatures w14:val="standardContextual"/>
        </w:rPr>
        <w:t>glycemic</w:t>
      </w:r>
      <w:proofErr w:type="spellEnd"/>
      <w:r>
        <w:rPr>
          <w:rFonts w:ascii="Arial" w:eastAsia="Calibri" w:hAnsi="Arial" w:cs="Arial"/>
          <w:kern w:val="2"/>
          <w:lang w:val="en-GB"/>
          <w14:ligatures w14:val="standardContextual"/>
        </w:rPr>
        <w:t xml:space="preserve"> control, other factors such as disease management and healthcare access play a more critical role in CKD progression.</w:t>
      </w:r>
    </w:p>
    <w:p w14:paraId="1F2F959B" w14:textId="77777777" w:rsidR="001A40F5" w:rsidRDefault="001A40F5">
      <w:pPr>
        <w:jc w:val="both"/>
        <w:rPr>
          <w:rFonts w:ascii="Arial" w:hAnsi="Arial" w:cs="Arial"/>
          <w:u w:val="single"/>
          <w:lang w:val="en-GB" w:eastAsia="en-GB"/>
        </w:rPr>
      </w:pPr>
    </w:p>
    <w:p w14:paraId="7F8B251C" w14:textId="77777777" w:rsidR="001A40F5" w:rsidRDefault="001A40F5">
      <w:pPr>
        <w:pStyle w:val="Body"/>
        <w:spacing w:after="0"/>
        <w:rPr>
          <w:rFonts w:ascii="Arial" w:hAnsi="Arial" w:cs="Arial"/>
        </w:rPr>
      </w:pPr>
    </w:p>
    <w:p w14:paraId="181BA028" w14:textId="77777777" w:rsidR="001A40F5" w:rsidRDefault="0098377F">
      <w:pPr>
        <w:pStyle w:val="ConcHead"/>
        <w:spacing w:after="0"/>
        <w:jc w:val="both"/>
        <w:rPr>
          <w:rFonts w:ascii="Arial" w:hAnsi="Arial" w:cs="Arial"/>
        </w:rPr>
      </w:pPr>
      <w:r>
        <w:rPr>
          <w:rFonts w:ascii="Arial" w:hAnsi="Arial" w:cs="Arial"/>
        </w:rPr>
        <w:t>5. Conclusion</w:t>
      </w:r>
    </w:p>
    <w:p w14:paraId="76DBD11B" w14:textId="77777777" w:rsidR="001A40F5" w:rsidRDefault="001A40F5">
      <w:pPr>
        <w:pStyle w:val="ConcHead"/>
        <w:spacing w:after="0"/>
        <w:jc w:val="both"/>
        <w:rPr>
          <w:rFonts w:ascii="Arial" w:hAnsi="Arial" w:cs="Arial"/>
        </w:rPr>
      </w:pPr>
    </w:p>
    <w:p w14:paraId="69F1E9F3" w14:textId="77777777" w:rsidR="001A40F5" w:rsidRDefault="0098377F">
      <w:pPr>
        <w:pStyle w:val="Body"/>
        <w:rPr>
          <w:rFonts w:ascii="Arial" w:hAnsi="Arial" w:cs="Arial"/>
          <w:lang w:val="en-GB"/>
        </w:rPr>
      </w:pPr>
      <w:r>
        <w:rPr>
          <w:rFonts w:ascii="Arial" w:hAnsi="Arial" w:cs="Arial"/>
          <w:lang w:val="en-GB"/>
        </w:rPr>
        <w:t xml:space="preserve">Overweight and </w:t>
      </w:r>
      <w:r>
        <w:rPr>
          <w:rFonts w:ascii="Arial" w:hAnsi="Arial" w:cs="Arial"/>
          <w:lang w:val="en-GB"/>
        </w:rPr>
        <w:t>obesity are common among diabetic patients, but BMI classification does not significantly correlate with hypertension or diabetes status. Despite higher obesity rates in diabetics, statistical tests show no meaningful association. However, elevated fasting</w:t>
      </w:r>
      <w:r>
        <w:rPr>
          <w:rFonts w:ascii="Arial" w:hAnsi="Arial" w:cs="Arial"/>
          <w:lang w:val="en-GB"/>
        </w:rPr>
        <w:t xml:space="preserve"> blood sugar levels are significantly linked to higher BMI, suggesting that metabolic factors may better explain weight variations than disease labels alone. Institutional and age-related patterns add depth to the findings. The Regional Hospital has more o</w:t>
      </w:r>
      <w:r>
        <w:rPr>
          <w:rFonts w:ascii="Arial" w:hAnsi="Arial" w:cs="Arial"/>
          <w:lang w:val="en-GB"/>
        </w:rPr>
        <w:t>bese patients, while Fako Heart Centre shows healthier BMI profiles, hinting at demographic or care differences. Older adults, especially those aged 61–70, tend to be more overweight, yet age itself is not a statistically significant predictor of BMI, emph</w:t>
      </w:r>
      <w:r>
        <w:rPr>
          <w:rFonts w:ascii="Arial" w:hAnsi="Arial" w:cs="Arial"/>
          <w:lang w:val="en-GB"/>
        </w:rPr>
        <w:t>asizing the need for caution when interpreting demographic trends. Lifestyle choices, particularly regular vegetable intake and physical exercise, show strong positive associations with BMI. In contrast, salt intake and gender have no significant impact. D</w:t>
      </w:r>
      <w:r>
        <w:rPr>
          <w:rFonts w:ascii="Arial" w:hAnsi="Arial" w:cs="Arial"/>
          <w:lang w:val="en-GB"/>
        </w:rPr>
        <w:t>iabetes and hypertension do not predict chronic kidney disease, reinforcing the importance of behavioural factors in managing health outcomes.</w:t>
      </w:r>
    </w:p>
    <w:p w14:paraId="1A5CBF0A" w14:textId="77777777" w:rsidR="001A40F5" w:rsidRDefault="001A40F5">
      <w:pPr>
        <w:pStyle w:val="ReferHead"/>
        <w:spacing w:after="0"/>
        <w:jc w:val="both"/>
        <w:rPr>
          <w:rFonts w:ascii="Arial" w:hAnsi="Arial" w:cs="Arial"/>
          <w:b w:val="0"/>
          <w:caps w:val="0"/>
          <w:sz w:val="20"/>
        </w:rPr>
      </w:pPr>
    </w:p>
    <w:p w14:paraId="7319A551" w14:textId="77777777" w:rsidR="001A40F5" w:rsidRDefault="001A40F5">
      <w:pPr>
        <w:pStyle w:val="ReferHead"/>
        <w:spacing w:after="0"/>
        <w:jc w:val="both"/>
        <w:rPr>
          <w:rFonts w:ascii="Arial" w:hAnsi="Arial" w:cs="Arial"/>
          <w:b w:val="0"/>
          <w:caps w:val="0"/>
          <w:sz w:val="20"/>
        </w:rPr>
      </w:pPr>
    </w:p>
    <w:p w14:paraId="39E80797" w14:textId="77777777" w:rsidR="001A40F5" w:rsidRDefault="0098377F">
      <w:pPr>
        <w:pStyle w:val="ReferHead"/>
        <w:spacing w:after="0"/>
        <w:jc w:val="both"/>
        <w:rPr>
          <w:rFonts w:ascii="Arial" w:hAnsi="Arial" w:cs="Arial"/>
          <w:bCs/>
        </w:rPr>
      </w:pPr>
      <w:r>
        <w:rPr>
          <w:rFonts w:ascii="Arial" w:hAnsi="Arial" w:cs="Arial"/>
          <w:bCs/>
        </w:rPr>
        <w:t>Ethical approval (where ever applicable)</w:t>
      </w:r>
    </w:p>
    <w:p w14:paraId="15780CBE" w14:textId="77777777" w:rsidR="001A40F5" w:rsidRDefault="001A40F5">
      <w:pPr>
        <w:pStyle w:val="ReferHead"/>
        <w:spacing w:after="0"/>
        <w:jc w:val="both"/>
        <w:rPr>
          <w:rFonts w:ascii="Arial" w:hAnsi="Arial" w:cs="Arial"/>
          <w:bCs/>
        </w:rPr>
      </w:pPr>
    </w:p>
    <w:p w14:paraId="398D832E" w14:textId="77777777" w:rsidR="001A40F5" w:rsidRDefault="0098377F">
      <w:pPr>
        <w:spacing w:after="160"/>
        <w:jc w:val="both"/>
        <w:rPr>
          <w:rFonts w:ascii="Arial" w:eastAsia="Calibri" w:hAnsi="Arial" w:cs="Arial"/>
          <w:kern w:val="2"/>
          <w:lang w:val="en-GB"/>
          <w14:ligatures w14:val="standardContextual"/>
        </w:rPr>
      </w:pPr>
      <w:r>
        <w:rPr>
          <w:rFonts w:ascii="Arial" w:eastAsia="Calibri" w:hAnsi="Arial" w:cs="Arial"/>
          <w:kern w:val="2"/>
          <w:lang w:val="en-GB"/>
          <w14:ligatures w14:val="standardContextual"/>
        </w:rPr>
        <w:t xml:space="preserve">Ethical approval was obtained from the Institutional Review Board of the Faculty of Health Sciences, University of Buea (Reference: IRB00007776). Written informed consent </w:t>
      </w:r>
      <w:r>
        <w:rPr>
          <w:rFonts w:ascii="Arial" w:eastAsia="Calibri" w:hAnsi="Arial" w:cs="Arial"/>
          <w:kern w:val="2"/>
          <w:lang w:val="en-GB"/>
          <w14:ligatures w14:val="standardContextual"/>
        </w:rPr>
        <w:t>was obtained from all participants after a detailed explanation of the study’s purpose, procedures, risks, and benefits. Confidentiality was maintained through anonymized data entry and secure storage.</w:t>
      </w:r>
    </w:p>
    <w:p w14:paraId="67AD5B05" w14:textId="77777777" w:rsidR="007A415B" w:rsidRDefault="007A415B">
      <w:pPr>
        <w:spacing w:after="160"/>
        <w:jc w:val="both"/>
        <w:rPr>
          <w:rFonts w:ascii="Arial" w:eastAsia="Calibri" w:hAnsi="Arial" w:cs="Arial"/>
          <w:kern w:val="2"/>
          <w:lang w:val="en-GB"/>
          <w14:ligatures w14:val="standardContextual"/>
        </w:rPr>
      </w:pPr>
    </w:p>
    <w:p w14:paraId="028E3B8F" w14:textId="77777777" w:rsidR="007A415B" w:rsidRPr="007A415B" w:rsidRDefault="007A415B" w:rsidP="007A415B">
      <w:pPr>
        <w:spacing w:after="160"/>
        <w:jc w:val="both"/>
        <w:rPr>
          <w:rFonts w:ascii="Arial" w:eastAsia="Calibri" w:hAnsi="Arial" w:cs="Arial"/>
          <w:kern w:val="2"/>
          <w:lang w:val="en-GB"/>
          <w14:ligatures w14:val="standardContextual"/>
        </w:rPr>
      </w:pPr>
      <w:r w:rsidRPr="007A415B">
        <w:rPr>
          <w:rFonts w:ascii="Arial" w:eastAsia="Calibri" w:hAnsi="Arial" w:cs="Arial"/>
          <w:kern w:val="2"/>
          <w:lang w:val="en-GB"/>
          <w14:ligatures w14:val="standardContextual"/>
        </w:rPr>
        <w:t>COMPETING INTERESTS DISCLAIMER:</w:t>
      </w:r>
    </w:p>
    <w:p w14:paraId="53EEE168" w14:textId="258F80C4" w:rsidR="007A415B" w:rsidRDefault="007A415B" w:rsidP="007A415B">
      <w:pPr>
        <w:spacing w:after="160"/>
        <w:jc w:val="both"/>
        <w:rPr>
          <w:rFonts w:ascii="Arial" w:eastAsia="Calibri" w:hAnsi="Arial" w:cs="Arial"/>
          <w:kern w:val="2"/>
          <w:lang w:val="en-GB"/>
          <w14:ligatures w14:val="standardContextual"/>
        </w:rPr>
      </w:pPr>
      <w:r w:rsidRPr="007A415B">
        <w:rPr>
          <w:rFonts w:ascii="Arial" w:eastAsia="Calibri" w:hAnsi="Arial" w:cs="Arial"/>
          <w:kern w:val="2"/>
          <w:lang w:val="en-GB"/>
          <w14:ligatures w14:val="standardContextual"/>
        </w:rPr>
        <w:t>Authors have declared that they have no known competing financial interests OR non-financial interests OR personal relationships that could have appeared to influence the work reported in this paper.</w:t>
      </w:r>
    </w:p>
    <w:p w14:paraId="04EE515C" w14:textId="77777777" w:rsidR="001A40F5" w:rsidRDefault="001A40F5">
      <w:pPr>
        <w:pStyle w:val="ReferHead"/>
        <w:spacing w:after="0"/>
        <w:jc w:val="both"/>
        <w:rPr>
          <w:rFonts w:ascii="Arial" w:hAnsi="Arial" w:cs="Arial"/>
        </w:rPr>
      </w:pPr>
    </w:p>
    <w:p w14:paraId="45B3DB23" w14:textId="77777777" w:rsidR="001A40F5" w:rsidRDefault="0098377F">
      <w:pPr>
        <w:pStyle w:val="ReferHead"/>
        <w:spacing w:after="0"/>
        <w:jc w:val="both"/>
        <w:rPr>
          <w:rFonts w:ascii="Arial" w:hAnsi="Arial" w:cs="Arial"/>
        </w:rPr>
      </w:pPr>
      <w:r>
        <w:rPr>
          <w:rFonts w:ascii="Arial" w:hAnsi="Arial" w:cs="Arial"/>
        </w:rPr>
        <w:t>References</w:t>
      </w:r>
    </w:p>
    <w:p w14:paraId="1FEAA7B5" w14:textId="77777777" w:rsidR="001A40F5" w:rsidRDefault="001A40F5">
      <w:pPr>
        <w:pStyle w:val="ReferHead"/>
        <w:spacing w:after="0"/>
        <w:jc w:val="both"/>
        <w:rPr>
          <w:rFonts w:ascii="Arial" w:hAnsi="Arial" w:cs="Arial"/>
        </w:rPr>
      </w:pPr>
    </w:p>
    <w:p w14:paraId="08308401" w14:textId="77777777" w:rsidR="001A40F5" w:rsidRDefault="0098377F">
      <w:pPr>
        <w:pStyle w:val="Body"/>
        <w:numPr>
          <w:ilvl w:val="0"/>
          <w:numId w:val="2"/>
        </w:numPr>
        <w:spacing w:after="0"/>
        <w:rPr>
          <w:lang w:val="en-GB"/>
        </w:rPr>
      </w:pPr>
      <w:r>
        <w:rPr>
          <w:lang w:val="en-GB"/>
        </w:rPr>
        <w:t xml:space="preserve">Saeedi, P., Petersohn, I., </w:t>
      </w:r>
      <w:proofErr w:type="spellStart"/>
      <w:r>
        <w:rPr>
          <w:lang w:val="en-GB"/>
        </w:rPr>
        <w:t>Salpea</w:t>
      </w:r>
      <w:proofErr w:type="spellEnd"/>
      <w:r>
        <w:rPr>
          <w:lang w:val="en-GB"/>
        </w:rPr>
        <w:t xml:space="preserve">, P., Malanda, B., </w:t>
      </w:r>
      <w:proofErr w:type="spellStart"/>
      <w:r>
        <w:rPr>
          <w:lang w:val="en-GB"/>
        </w:rPr>
        <w:t>Karuranga</w:t>
      </w:r>
      <w:proofErr w:type="spellEnd"/>
      <w:r>
        <w:rPr>
          <w:lang w:val="en-GB"/>
        </w:rPr>
        <w:t xml:space="preserve">, S., Unwin, N., </w:t>
      </w:r>
      <w:proofErr w:type="spellStart"/>
      <w:r>
        <w:rPr>
          <w:lang w:val="en-GB"/>
        </w:rPr>
        <w:t>Colagiuri</w:t>
      </w:r>
      <w:proofErr w:type="spellEnd"/>
      <w:r>
        <w:rPr>
          <w:lang w:val="en-GB"/>
        </w:rPr>
        <w:t xml:space="preserve">, S., </w:t>
      </w:r>
      <w:proofErr w:type="spellStart"/>
      <w:r>
        <w:rPr>
          <w:lang w:val="en-GB"/>
        </w:rPr>
        <w:t>Guariguata</w:t>
      </w:r>
      <w:proofErr w:type="spellEnd"/>
      <w:r>
        <w:rPr>
          <w:lang w:val="en-GB"/>
        </w:rPr>
        <w:t xml:space="preserve">, L., Motala, A. A., </w:t>
      </w:r>
      <w:proofErr w:type="spellStart"/>
      <w:r>
        <w:rPr>
          <w:lang w:val="en-GB"/>
        </w:rPr>
        <w:t>Ogurtsova</w:t>
      </w:r>
      <w:proofErr w:type="spellEnd"/>
      <w:r>
        <w:rPr>
          <w:lang w:val="en-GB"/>
        </w:rPr>
        <w:t>, K., Shaw, J. E., Bright, D., &amp; Williams, R. (2023). Global and regional diabetes prevalence estimates for 2019 and projections for 2030 and 2045: Results from the International Diabe</w:t>
      </w:r>
      <w:r>
        <w:rPr>
          <w:lang w:val="en-GB"/>
        </w:rPr>
        <w:t xml:space="preserve">tes Federation Diabetes Atlas, 10th edition. </w:t>
      </w:r>
      <w:r>
        <w:rPr>
          <w:i/>
          <w:iCs/>
          <w:lang w:val="en-GB"/>
        </w:rPr>
        <w:t>Diabetes Research and Clinical Practice, 157</w:t>
      </w:r>
      <w:r>
        <w:rPr>
          <w:lang w:val="en-GB"/>
        </w:rPr>
        <w:t xml:space="preserve">, 107843. </w:t>
      </w:r>
      <w:hyperlink r:id="rId21" w:tgtFrame="_blank" w:history="1">
        <w:r w:rsidR="001A40F5">
          <w:rPr>
            <w:rStyle w:val="Hyperlink"/>
            <w:lang w:val="en-GB"/>
          </w:rPr>
          <w:t>https://doi.org/10.1016/j.diabres.2019.107843</w:t>
        </w:r>
      </w:hyperlink>
    </w:p>
    <w:p w14:paraId="4844C526" w14:textId="77777777" w:rsidR="001A40F5" w:rsidRDefault="0098377F">
      <w:pPr>
        <w:pStyle w:val="Body"/>
        <w:numPr>
          <w:ilvl w:val="0"/>
          <w:numId w:val="2"/>
        </w:numPr>
        <w:spacing w:after="0"/>
        <w:rPr>
          <w:lang w:val="en-GB"/>
        </w:rPr>
      </w:pPr>
      <w:r>
        <w:rPr>
          <w:lang w:val="en-GB"/>
        </w:rPr>
        <w:t xml:space="preserve">Liyanage, T., Ninomiya, T., Jha, V., </w:t>
      </w:r>
      <w:r>
        <w:rPr>
          <w:lang w:val="en-GB"/>
        </w:rPr>
        <w:t xml:space="preserve">Neal, B., Patrice, H. M., </w:t>
      </w:r>
      <w:proofErr w:type="spellStart"/>
      <w:r>
        <w:rPr>
          <w:lang w:val="en-GB"/>
        </w:rPr>
        <w:t>Okpechi</w:t>
      </w:r>
      <w:proofErr w:type="spellEnd"/>
      <w:r>
        <w:rPr>
          <w:lang w:val="en-GB"/>
        </w:rPr>
        <w:t xml:space="preserve">, I., Zhao, Y., Mac, M., Wang, J., Jafar, T., &amp; Johnson, R. J. (2015). Worldwide burden of CKD: Systematic analysis of prevalence, incidence, and mortality. The Lancet. Renal Medicine, 3(1), e24–e38. </w:t>
      </w:r>
      <w:hyperlink r:id="rId22" w:history="1">
        <w:r w:rsidR="001A40F5">
          <w:rPr>
            <w:rStyle w:val="Hyperlink"/>
            <w:lang w:val="en-GB"/>
          </w:rPr>
          <w:t>https://doi.org/10.1016/S2352-3018(14)00006-2</w:t>
        </w:r>
      </w:hyperlink>
      <w:r>
        <w:rPr>
          <w:lang w:val="en-GB"/>
        </w:rPr>
        <w:t xml:space="preserve"> </w:t>
      </w:r>
    </w:p>
    <w:p w14:paraId="114C11C8" w14:textId="77777777" w:rsidR="001A40F5" w:rsidRDefault="0098377F">
      <w:pPr>
        <w:pStyle w:val="Body"/>
        <w:numPr>
          <w:ilvl w:val="0"/>
          <w:numId w:val="2"/>
        </w:numPr>
        <w:spacing w:after="0"/>
        <w:rPr>
          <w:lang w:val="en-GB"/>
        </w:rPr>
      </w:pPr>
      <w:r>
        <w:rPr>
          <w:lang w:val="en-GB"/>
        </w:rPr>
        <w:t xml:space="preserve">Hawkes, C., Smith, T. G., Jewell, J., Allen, K., Breda, J. J., &amp; </w:t>
      </w:r>
      <w:proofErr w:type="spellStart"/>
      <w:r>
        <w:rPr>
          <w:lang w:val="en-GB"/>
        </w:rPr>
        <w:t>Nederveen</w:t>
      </w:r>
      <w:proofErr w:type="spellEnd"/>
      <w:r>
        <w:rPr>
          <w:lang w:val="en-GB"/>
        </w:rPr>
        <w:t xml:space="preserve">, S. (2020). The global </w:t>
      </w:r>
      <w:proofErr w:type="spellStart"/>
      <w:r>
        <w:rPr>
          <w:lang w:val="en-GB"/>
        </w:rPr>
        <w:t>syndemic</w:t>
      </w:r>
      <w:proofErr w:type="spellEnd"/>
      <w:r>
        <w:rPr>
          <w:lang w:val="en-GB"/>
        </w:rPr>
        <w:t xml:space="preserve"> of obesity, undernutrition, and climate change: The Lancet Comm</w:t>
      </w:r>
      <w:r>
        <w:rPr>
          <w:lang w:val="en-GB"/>
        </w:rPr>
        <w:t xml:space="preserve">ission report. The Lancet, 393(10173), 791–846. </w:t>
      </w:r>
      <w:hyperlink r:id="rId23" w:history="1">
        <w:r w:rsidR="001A40F5">
          <w:rPr>
            <w:rStyle w:val="Hyperlink"/>
            <w:lang w:val="en-GB"/>
          </w:rPr>
          <w:t>https://doi.org/10.1016/S0140-6736(18)32822-8</w:t>
        </w:r>
      </w:hyperlink>
    </w:p>
    <w:p w14:paraId="2E52EA5E" w14:textId="77777777" w:rsidR="001A40F5" w:rsidRDefault="0098377F">
      <w:pPr>
        <w:pStyle w:val="Body"/>
        <w:numPr>
          <w:ilvl w:val="0"/>
          <w:numId w:val="2"/>
        </w:numPr>
        <w:spacing w:after="0"/>
        <w:rPr>
          <w:lang w:val="en-GB"/>
        </w:rPr>
      </w:pPr>
      <w:r>
        <w:rPr>
          <w:lang w:val="en-GB"/>
        </w:rPr>
        <w:t xml:space="preserve">Kingue, S., Ngoe, C. N., </w:t>
      </w:r>
      <w:proofErr w:type="spellStart"/>
      <w:r>
        <w:rPr>
          <w:lang w:val="en-GB"/>
        </w:rPr>
        <w:t>Menanga</w:t>
      </w:r>
      <w:proofErr w:type="spellEnd"/>
      <w:r>
        <w:rPr>
          <w:lang w:val="en-GB"/>
        </w:rPr>
        <w:t>, A. P., et al. (2022). Hypertension in Cameroon: A systematic revie</w:t>
      </w:r>
      <w:r>
        <w:rPr>
          <w:lang w:val="en-GB"/>
        </w:rPr>
        <w:t xml:space="preserve">w and meta-analysis. Journal of Hypertension, 40(3), 427–436. </w:t>
      </w:r>
      <w:hyperlink r:id="rId24" w:history="1">
        <w:r w:rsidR="001A40F5">
          <w:rPr>
            <w:rStyle w:val="Hyperlink"/>
            <w:lang w:val="en-GB"/>
          </w:rPr>
          <w:t>https://doi.org/10.1097/HJH.0000000000003048</w:t>
        </w:r>
      </w:hyperlink>
    </w:p>
    <w:p w14:paraId="3DF5E147" w14:textId="77777777" w:rsidR="001A40F5" w:rsidRDefault="0098377F">
      <w:pPr>
        <w:pStyle w:val="Body"/>
        <w:numPr>
          <w:ilvl w:val="0"/>
          <w:numId w:val="2"/>
        </w:numPr>
        <w:spacing w:after="0"/>
        <w:rPr>
          <w:lang w:val="en-GB"/>
        </w:rPr>
      </w:pPr>
      <w:proofErr w:type="spellStart"/>
      <w:r>
        <w:rPr>
          <w:lang w:val="en-GB"/>
        </w:rPr>
        <w:t>Mbanya</w:t>
      </w:r>
      <w:proofErr w:type="spellEnd"/>
      <w:r>
        <w:rPr>
          <w:lang w:val="en-GB"/>
        </w:rPr>
        <w:t xml:space="preserve">, J. C., Kengne, A. P., &amp; </w:t>
      </w:r>
      <w:proofErr w:type="spellStart"/>
      <w:r>
        <w:rPr>
          <w:lang w:val="en-GB"/>
        </w:rPr>
        <w:t>Sobngwi</w:t>
      </w:r>
      <w:proofErr w:type="spellEnd"/>
      <w:r>
        <w:rPr>
          <w:lang w:val="en-GB"/>
        </w:rPr>
        <w:t>, E. (2023). Diabetes in sub-Saharan Africa: Chal</w:t>
      </w:r>
      <w:r>
        <w:rPr>
          <w:lang w:val="en-GB"/>
        </w:rPr>
        <w:t xml:space="preserve">lenges and opportunities. Diabetes Care, 46(2), 389–397. </w:t>
      </w:r>
      <w:hyperlink r:id="rId25" w:history="1">
        <w:r w:rsidR="001A40F5">
          <w:rPr>
            <w:rStyle w:val="Hyperlink"/>
            <w:lang w:val="en-GB"/>
          </w:rPr>
          <w:t>https://doi.org/10.2337/dc22-1565</w:t>
        </w:r>
      </w:hyperlink>
    </w:p>
    <w:p w14:paraId="1CD0456D" w14:textId="77777777" w:rsidR="001A40F5" w:rsidRDefault="0098377F">
      <w:pPr>
        <w:pStyle w:val="Body"/>
        <w:numPr>
          <w:ilvl w:val="0"/>
          <w:numId w:val="2"/>
        </w:numPr>
        <w:spacing w:after="0"/>
        <w:rPr>
          <w:lang w:val="en-GB"/>
        </w:rPr>
      </w:pPr>
      <w:r>
        <w:rPr>
          <w:lang w:val="en-GB"/>
        </w:rPr>
        <w:t xml:space="preserve">Pradeepa, R., &amp; Mohan, V. (2021). Prevalence of diabetes and prediabetes (impaired fasting glucose and/or impaired </w:t>
      </w:r>
      <w:r>
        <w:rPr>
          <w:lang w:val="en-GB"/>
        </w:rPr>
        <w:t>glucose tolerance) in urban and rural India: Phase I results of the Indian Council of Medical Research–</w:t>
      </w:r>
      <w:proofErr w:type="spellStart"/>
      <w:r>
        <w:rPr>
          <w:lang w:val="en-GB"/>
        </w:rPr>
        <w:t>INdia</w:t>
      </w:r>
      <w:proofErr w:type="spellEnd"/>
      <w:r>
        <w:rPr>
          <w:lang w:val="en-GB"/>
        </w:rPr>
        <w:t xml:space="preserve"> </w:t>
      </w:r>
      <w:proofErr w:type="spellStart"/>
      <w:r>
        <w:rPr>
          <w:lang w:val="en-GB"/>
        </w:rPr>
        <w:t>DIABetes</w:t>
      </w:r>
      <w:proofErr w:type="spellEnd"/>
      <w:r>
        <w:rPr>
          <w:lang w:val="en-GB"/>
        </w:rPr>
        <w:t xml:space="preserve"> (ICMR–INDIAB) study. </w:t>
      </w:r>
      <w:proofErr w:type="spellStart"/>
      <w:r>
        <w:rPr>
          <w:lang w:val="en-GB"/>
        </w:rPr>
        <w:t>Diabetologia</w:t>
      </w:r>
      <w:proofErr w:type="spellEnd"/>
      <w:r>
        <w:rPr>
          <w:lang w:val="en-GB"/>
        </w:rPr>
        <w:t xml:space="preserve">, 64(5), 1005–1018. </w:t>
      </w:r>
      <w:hyperlink r:id="rId26" w:history="1">
        <w:r w:rsidR="001A40F5">
          <w:rPr>
            <w:rStyle w:val="Hyperlink"/>
            <w:lang w:val="en-GB"/>
          </w:rPr>
          <w:t>https://doi.org/10.1007/s00125-021-05388-6</w:t>
        </w:r>
      </w:hyperlink>
    </w:p>
    <w:p w14:paraId="7D0417E6" w14:textId="77777777" w:rsidR="001A40F5" w:rsidRDefault="0098377F">
      <w:pPr>
        <w:pStyle w:val="Body"/>
        <w:numPr>
          <w:ilvl w:val="0"/>
          <w:numId w:val="2"/>
        </w:numPr>
        <w:spacing w:after="0"/>
        <w:rPr>
          <w:lang w:val="en-GB"/>
        </w:rPr>
      </w:pPr>
      <w:proofErr w:type="spellStart"/>
      <w:r>
        <w:rPr>
          <w:lang w:val="en-GB"/>
        </w:rPr>
        <w:t>Noubiap</w:t>
      </w:r>
      <w:proofErr w:type="spellEnd"/>
      <w:r>
        <w:rPr>
          <w:lang w:val="en-GB"/>
        </w:rPr>
        <w:t xml:space="preserve">, J. J., </w:t>
      </w:r>
      <w:proofErr w:type="spellStart"/>
      <w:r>
        <w:rPr>
          <w:lang w:val="en-GB"/>
        </w:rPr>
        <w:t>Bigna</w:t>
      </w:r>
      <w:proofErr w:type="spellEnd"/>
      <w:r>
        <w:rPr>
          <w:lang w:val="en-GB"/>
        </w:rPr>
        <w:t xml:space="preserve">, J. J., &amp; </w:t>
      </w:r>
      <w:proofErr w:type="spellStart"/>
      <w:r>
        <w:rPr>
          <w:lang w:val="en-GB"/>
        </w:rPr>
        <w:t>Nansseu</w:t>
      </w:r>
      <w:proofErr w:type="spellEnd"/>
      <w:r>
        <w:rPr>
          <w:lang w:val="en-GB"/>
        </w:rPr>
        <w:t xml:space="preserve">, J. R. (2023). Chronic kidney disease in Cameroon: A scoping review of prevalence, risk factors, and outcomes. BMJ Global Health, 8(1), e010234. </w:t>
      </w:r>
      <w:hyperlink r:id="rId27" w:history="1">
        <w:r w:rsidR="001A40F5">
          <w:rPr>
            <w:rStyle w:val="Hyperlink"/>
            <w:lang w:val="en-GB"/>
          </w:rPr>
          <w:t>https://doi.org/10.1136/bmjgh-2022-010234</w:t>
        </w:r>
      </w:hyperlink>
    </w:p>
    <w:p w14:paraId="2115C054" w14:textId="77777777" w:rsidR="001A40F5" w:rsidRDefault="0098377F">
      <w:pPr>
        <w:pStyle w:val="Body"/>
        <w:numPr>
          <w:ilvl w:val="0"/>
          <w:numId w:val="2"/>
        </w:numPr>
        <w:spacing w:after="0"/>
        <w:rPr>
          <w:lang w:val="en-GB"/>
        </w:rPr>
      </w:pPr>
      <w:r>
        <w:rPr>
          <w:lang w:val="en-GB"/>
        </w:rPr>
        <w:t xml:space="preserve">Mbu, R. E., </w:t>
      </w:r>
      <w:proofErr w:type="spellStart"/>
      <w:r>
        <w:rPr>
          <w:lang w:val="en-GB"/>
        </w:rPr>
        <w:t>Ashuntantang</w:t>
      </w:r>
      <w:proofErr w:type="spellEnd"/>
      <w:r>
        <w:rPr>
          <w:lang w:val="en-GB"/>
        </w:rPr>
        <w:t xml:space="preserve">, G., Kingue, S., Kengne, A. P., &amp; </w:t>
      </w:r>
      <w:proofErr w:type="spellStart"/>
      <w:r>
        <w:rPr>
          <w:lang w:val="en-GB"/>
        </w:rPr>
        <w:t>Mbanya</w:t>
      </w:r>
      <w:proofErr w:type="spellEnd"/>
      <w:r>
        <w:rPr>
          <w:lang w:val="en-GB"/>
        </w:rPr>
        <w:t xml:space="preserve">, J. C. (2017). Profile and outcome of patients on maintenance </w:t>
      </w:r>
      <w:proofErr w:type="spellStart"/>
      <w:r>
        <w:rPr>
          <w:lang w:val="en-GB"/>
        </w:rPr>
        <w:t>hemodialysis</w:t>
      </w:r>
      <w:proofErr w:type="spellEnd"/>
      <w:r>
        <w:rPr>
          <w:lang w:val="en-GB"/>
        </w:rPr>
        <w:t xml:space="preserve"> in Douala, Cameroon. BMC Nephrology, 18(1),</w:t>
      </w:r>
      <w:r>
        <w:rPr>
          <w:lang w:val="en-GB"/>
        </w:rPr>
        <w:t xml:space="preserve"> 1–7. </w:t>
      </w:r>
      <w:hyperlink r:id="rId28" w:history="1">
        <w:r w:rsidR="001A40F5">
          <w:rPr>
            <w:rStyle w:val="Hyperlink"/>
            <w:lang w:val="en-GB"/>
          </w:rPr>
          <w:t>https://doi.org/10.1186/s12882-017-0587-y</w:t>
        </w:r>
      </w:hyperlink>
    </w:p>
    <w:p w14:paraId="5A800E09" w14:textId="77777777" w:rsidR="001A40F5" w:rsidRDefault="0098377F">
      <w:pPr>
        <w:pStyle w:val="Body"/>
        <w:numPr>
          <w:ilvl w:val="0"/>
          <w:numId w:val="2"/>
        </w:numPr>
        <w:spacing w:after="0"/>
        <w:rPr>
          <w:lang w:val="en-GB"/>
        </w:rPr>
      </w:pPr>
      <w:r>
        <w:rPr>
          <w:lang w:val="en-GB"/>
        </w:rPr>
        <w:t xml:space="preserve">Kahn, S. E., Hull, R. L., &amp; </w:t>
      </w:r>
      <w:proofErr w:type="spellStart"/>
      <w:r>
        <w:rPr>
          <w:lang w:val="en-GB"/>
        </w:rPr>
        <w:t>Utzschneider</w:t>
      </w:r>
      <w:proofErr w:type="spellEnd"/>
      <w:r>
        <w:rPr>
          <w:lang w:val="en-GB"/>
        </w:rPr>
        <w:t>, K. M. (2022). Mechanisms linking obesity to insulin resistance and type 2 diabetes. Nature, 444(7121), 840–8</w:t>
      </w:r>
      <w:r>
        <w:rPr>
          <w:lang w:val="en-GB"/>
        </w:rPr>
        <w:t xml:space="preserve">46. </w:t>
      </w:r>
      <w:hyperlink r:id="rId29" w:history="1">
        <w:r w:rsidR="001A40F5">
          <w:rPr>
            <w:rStyle w:val="Hyperlink"/>
            <w:lang w:val="en-GB"/>
          </w:rPr>
          <w:t>https://doi.org/10.1038/nature05482</w:t>
        </w:r>
      </w:hyperlink>
    </w:p>
    <w:p w14:paraId="7DA75FF5" w14:textId="77777777" w:rsidR="001A40F5" w:rsidRDefault="0098377F">
      <w:pPr>
        <w:pStyle w:val="Body"/>
        <w:numPr>
          <w:ilvl w:val="0"/>
          <w:numId w:val="2"/>
        </w:numPr>
        <w:spacing w:after="0"/>
        <w:rPr>
          <w:lang w:val="en-GB"/>
        </w:rPr>
      </w:pPr>
      <w:r>
        <w:rPr>
          <w:lang w:val="en-GB"/>
        </w:rPr>
        <w:lastRenderedPageBreak/>
        <w:t xml:space="preserve">Agyemang, C., </w:t>
      </w:r>
      <w:proofErr w:type="spellStart"/>
      <w:r>
        <w:rPr>
          <w:lang w:val="en-GB"/>
        </w:rPr>
        <w:t>Redekop</w:t>
      </w:r>
      <w:proofErr w:type="spellEnd"/>
      <w:r>
        <w:rPr>
          <w:lang w:val="en-GB"/>
        </w:rPr>
        <w:t xml:space="preserve">, W. K., &amp; </w:t>
      </w:r>
      <w:proofErr w:type="spellStart"/>
      <w:r>
        <w:rPr>
          <w:lang w:val="en-GB"/>
        </w:rPr>
        <w:t>Beune</w:t>
      </w:r>
      <w:proofErr w:type="spellEnd"/>
      <w:r>
        <w:rPr>
          <w:lang w:val="en-GB"/>
        </w:rPr>
        <w:t>, E. (2021). The obesity paradox in sub-Saharan Africa: A meta-analysis of survival in adults with chronic diseases. Obesity Re</w:t>
      </w:r>
      <w:r>
        <w:rPr>
          <w:lang w:val="en-GB"/>
        </w:rPr>
        <w:t xml:space="preserve">views, 22(S2), e13178. </w:t>
      </w:r>
      <w:hyperlink r:id="rId30" w:history="1">
        <w:r w:rsidR="001A40F5">
          <w:rPr>
            <w:rStyle w:val="Hyperlink"/>
            <w:lang w:val="en-GB"/>
          </w:rPr>
          <w:t>https://doi.org/10.1111/obr.13178</w:t>
        </w:r>
      </w:hyperlink>
    </w:p>
    <w:p w14:paraId="19194167" w14:textId="77777777" w:rsidR="001A40F5" w:rsidRDefault="0098377F">
      <w:pPr>
        <w:pStyle w:val="Body"/>
        <w:numPr>
          <w:ilvl w:val="0"/>
          <w:numId w:val="2"/>
        </w:numPr>
        <w:spacing w:after="0"/>
        <w:rPr>
          <w:lang w:val="en-GB"/>
        </w:rPr>
      </w:pPr>
      <w:r>
        <w:rPr>
          <w:lang w:val="en-GB"/>
        </w:rPr>
        <w:t>Addo, O. Y., Hogue, C. J., &amp; Sharma, A. J. (2020). The dual burden of malnutrition in women of reproductive age in sub-Saharan Africa. Nutrition Revi</w:t>
      </w:r>
      <w:r>
        <w:rPr>
          <w:lang w:val="en-GB"/>
        </w:rPr>
        <w:t xml:space="preserve">ews, 78(8), 665–680. </w:t>
      </w:r>
      <w:hyperlink r:id="rId31" w:history="1">
        <w:r w:rsidR="001A40F5">
          <w:rPr>
            <w:rStyle w:val="Hyperlink"/>
            <w:lang w:val="en-GB"/>
          </w:rPr>
          <w:t>https://doi.org/10.1093/nutrit/nuz082</w:t>
        </w:r>
      </w:hyperlink>
    </w:p>
    <w:p w14:paraId="78EEC895" w14:textId="77777777" w:rsidR="001A40F5" w:rsidRDefault="0098377F">
      <w:pPr>
        <w:pStyle w:val="Body"/>
        <w:numPr>
          <w:ilvl w:val="0"/>
          <w:numId w:val="2"/>
        </w:numPr>
        <w:spacing w:after="0"/>
        <w:rPr>
          <w:lang w:val="en-GB"/>
        </w:rPr>
      </w:pPr>
      <w:r>
        <w:rPr>
          <w:lang w:val="en-GB"/>
        </w:rPr>
        <w:t xml:space="preserve">Owolabi, M. O., </w:t>
      </w:r>
      <w:proofErr w:type="spellStart"/>
      <w:r>
        <w:rPr>
          <w:lang w:val="en-GB"/>
        </w:rPr>
        <w:t>Yaria</w:t>
      </w:r>
      <w:proofErr w:type="spellEnd"/>
      <w:r>
        <w:rPr>
          <w:lang w:val="en-GB"/>
        </w:rPr>
        <w:t>, J. O., &amp; Ogunniyi, A. (2023). Malnutrition and chronic disease outcomes in older adults in Nigeria. Journal of Nutrition</w:t>
      </w:r>
      <w:r>
        <w:rPr>
          <w:lang w:val="en-GB"/>
        </w:rPr>
        <w:t xml:space="preserve"> in Gerontology and Geriatrics, 42(1), 45–58. </w:t>
      </w:r>
      <w:hyperlink r:id="rId32" w:history="1">
        <w:r w:rsidR="001A40F5">
          <w:rPr>
            <w:rStyle w:val="Hyperlink"/>
            <w:lang w:val="en-GB"/>
          </w:rPr>
          <w:t>https://doi.org/10.1080/21551197.2022.2138456</w:t>
        </w:r>
      </w:hyperlink>
    </w:p>
    <w:p w14:paraId="7B91F6DC" w14:textId="77777777" w:rsidR="001A40F5" w:rsidRDefault="0098377F">
      <w:pPr>
        <w:pStyle w:val="Body"/>
        <w:numPr>
          <w:ilvl w:val="0"/>
          <w:numId w:val="2"/>
        </w:numPr>
        <w:spacing w:after="0"/>
        <w:rPr>
          <w:lang w:val="en-GB"/>
        </w:rPr>
      </w:pPr>
      <w:r>
        <w:rPr>
          <w:lang w:val="en-GB"/>
        </w:rPr>
        <w:t>Zhang M, Guan Q, Mai J, Li S, Liu C, Zhou L, Lin L and Teng K (2025) How exercise frequency affects BM</w:t>
      </w:r>
      <w:r>
        <w:rPr>
          <w:lang w:val="en-GB"/>
        </w:rPr>
        <w:t xml:space="preserve">I: a nationwide cross-sectional study exploring key influencing factors, including dietary </w:t>
      </w:r>
      <w:proofErr w:type="spellStart"/>
      <w:r>
        <w:rPr>
          <w:lang w:val="en-GB"/>
        </w:rPr>
        <w:t>behavior</w:t>
      </w:r>
      <w:proofErr w:type="spellEnd"/>
      <w:r>
        <w:rPr>
          <w:lang w:val="en-GB"/>
        </w:rPr>
        <w:t xml:space="preserve">. Frontiers in Public Health 12:1514805. </w:t>
      </w:r>
      <w:hyperlink r:id="rId33" w:history="1">
        <w:r w:rsidR="001A40F5">
          <w:rPr>
            <w:rStyle w:val="Hyperlink"/>
            <w:lang w:val="en-GB"/>
          </w:rPr>
          <w:t>https://doi.org/10.3389/fpubh.2024.1514805</w:t>
        </w:r>
      </w:hyperlink>
    </w:p>
    <w:p w14:paraId="29B84425" w14:textId="77777777" w:rsidR="001A40F5" w:rsidRDefault="0098377F">
      <w:pPr>
        <w:pStyle w:val="Body"/>
        <w:numPr>
          <w:ilvl w:val="0"/>
          <w:numId w:val="2"/>
        </w:numPr>
        <w:spacing w:after="0"/>
        <w:rPr>
          <w:lang w:val="en-GB"/>
        </w:rPr>
      </w:pPr>
      <w:r>
        <w:rPr>
          <w:lang w:val="en-GB"/>
        </w:rPr>
        <w:t xml:space="preserve">Guedes, D.P., </w:t>
      </w:r>
      <w:r>
        <w:rPr>
          <w:lang w:val="en-GB"/>
        </w:rPr>
        <w:t xml:space="preserve">&amp; Silva A.L.S. (2021). Exercise and fruit/vegetable intake, and their associations with body weight status in university students. </w:t>
      </w:r>
      <w:proofErr w:type="spellStart"/>
      <w:r>
        <w:rPr>
          <w:lang w:val="en-GB"/>
        </w:rPr>
        <w:t>Nutrición</w:t>
      </w:r>
      <w:proofErr w:type="spellEnd"/>
      <w:r>
        <w:rPr>
          <w:lang w:val="en-GB"/>
        </w:rPr>
        <w:t xml:space="preserve"> </w:t>
      </w:r>
      <w:proofErr w:type="spellStart"/>
      <w:r>
        <w:rPr>
          <w:lang w:val="en-GB"/>
        </w:rPr>
        <w:t>Hospitalaria</w:t>
      </w:r>
      <w:proofErr w:type="spellEnd"/>
      <w:r>
        <w:rPr>
          <w:lang w:val="en-GB"/>
        </w:rPr>
        <w:t xml:space="preserve">, 38(3):545-554.  </w:t>
      </w:r>
      <w:hyperlink r:id="rId34" w:history="1">
        <w:r w:rsidR="001A40F5">
          <w:rPr>
            <w:rStyle w:val="Hyperlink"/>
            <w:lang w:val="en-GB"/>
          </w:rPr>
          <w:t>http://dx.doi.org/10.20960/nh.03258</w:t>
        </w:r>
      </w:hyperlink>
    </w:p>
    <w:p w14:paraId="1D1AFA6A" w14:textId="77777777" w:rsidR="001A40F5" w:rsidRDefault="0098377F">
      <w:pPr>
        <w:pStyle w:val="Body"/>
        <w:numPr>
          <w:ilvl w:val="0"/>
          <w:numId w:val="2"/>
        </w:numPr>
        <w:spacing w:after="0"/>
        <w:rPr>
          <w:lang w:val="en-GB"/>
        </w:rPr>
      </w:pPr>
      <w:r>
        <w:rPr>
          <w:lang w:val="en-GB"/>
        </w:rPr>
        <w:t xml:space="preserve">Adeyemo, A., Rotimi, C., &amp; Oli, J. (2023). Physical activity and obesity in Nigerian adults: A population-based study. International Journal of Environmental Research and Public Health, 20(4), 3120. </w:t>
      </w:r>
      <w:hyperlink r:id="rId35" w:history="1">
        <w:r w:rsidR="001A40F5">
          <w:rPr>
            <w:rStyle w:val="Hyperlink"/>
            <w:lang w:val="en-GB"/>
          </w:rPr>
          <w:t>https://doi.org/10.3390/ijerph20043120</w:t>
        </w:r>
      </w:hyperlink>
    </w:p>
    <w:p w14:paraId="2F05661D" w14:textId="77777777" w:rsidR="001A40F5" w:rsidRDefault="0098377F">
      <w:pPr>
        <w:pStyle w:val="Body"/>
        <w:numPr>
          <w:ilvl w:val="0"/>
          <w:numId w:val="2"/>
        </w:numPr>
        <w:spacing w:after="0"/>
        <w:rPr>
          <w:lang w:val="en-GB"/>
        </w:rPr>
      </w:pPr>
      <w:r>
        <w:rPr>
          <w:lang w:val="en-GB"/>
        </w:rPr>
        <w:t xml:space="preserve">Amoah, A. G. B., &amp; Adjei, S. (2023). Fruit and vegetable intake and blood pressure control in diabetic-hypertensive patients in Ghana. African Journal of Primary Health Care &amp; Family Medicine, 15(1), e1–e8. </w:t>
      </w:r>
      <w:hyperlink r:id="rId36" w:history="1">
        <w:r w:rsidR="001A40F5">
          <w:rPr>
            <w:rStyle w:val="Hyperlink"/>
            <w:lang w:val="en-GB"/>
          </w:rPr>
          <w:t>https://doi.org/10.4102/phcfm.v15i1.3789</w:t>
        </w:r>
      </w:hyperlink>
    </w:p>
    <w:p w14:paraId="7D2B2373" w14:textId="77777777" w:rsidR="001A40F5" w:rsidRDefault="0098377F">
      <w:pPr>
        <w:pStyle w:val="Body"/>
        <w:numPr>
          <w:ilvl w:val="0"/>
          <w:numId w:val="2"/>
        </w:numPr>
        <w:spacing w:after="0"/>
        <w:rPr>
          <w:lang w:val="en-GB"/>
        </w:rPr>
      </w:pPr>
      <w:r>
        <w:rPr>
          <w:lang w:val="en-GB"/>
        </w:rPr>
        <w:t xml:space="preserve">Nzalie, R.N.T., </w:t>
      </w:r>
      <w:proofErr w:type="spellStart"/>
      <w:r>
        <w:rPr>
          <w:lang w:val="en-GB"/>
        </w:rPr>
        <w:t>Palle</w:t>
      </w:r>
      <w:proofErr w:type="spellEnd"/>
      <w:r>
        <w:rPr>
          <w:lang w:val="en-GB"/>
        </w:rPr>
        <w:t xml:space="preserve">, J.N., and </w:t>
      </w:r>
      <w:proofErr w:type="spellStart"/>
      <w:r>
        <w:rPr>
          <w:lang w:val="en-GB"/>
        </w:rPr>
        <w:t>Nsagha</w:t>
      </w:r>
      <w:proofErr w:type="spellEnd"/>
      <w:r>
        <w:rPr>
          <w:lang w:val="en-GB"/>
        </w:rPr>
        <w:t>, D.S. (2023). User fee exemption and malaria treatment</w:t>
      </w:r>
      <w:r>
        <w:rPr>
          <w:rFonts w:ascii="Cambria Math" w:hAnsi="Cambria Math" w:cs="Cambria Math"/>
          <w:lang w:val="en-GB"/>
        </w:rPr>
        <w:t>‑</w:t>
      </w:r>
      <w:r>
        <w:rPr>
          <w:lang w:val="en-GB"/>
        </w:rPr>
        <w:t>seeking for children under five in a Cameroonian health district: a cros</w:t>
      </w:r>
      <w:r>
        <w:rPr>
          <w:lang w:val="en-GB"/>
        </w:rPr>
        <w:t>s</w:t>
      </w:r>
      <w:r>
        <w:rPr>
          <w:rFonts w:ascii="Cambria Math" w:hAnsi="Cambria Math" w:cs="Cambria Math"/>
          <w:lang w:val="en-GB"/>
        </w:rPr>
        <w:t>‑</w:t>
      </w:r>
      <w:r>
        <w:rPr>
          <w:lang w:val="en-GB"/>
        </w:rPr>
        <w:t xml:space="preserve">sectional study. Malaria Journal, 22:124. </w:t>
      </w:r>
      <w:hyperlink r:id="rId37" w:history="1">
        <w:r w:rsidR="001A40F5">
          <w:rPr>
            <w:rStyle w:val="Hyperlink"/>
            <w:lang w:val="en-GB"/>
          </w:rPr>
          <w:t>https://doi.org/10.1186/s12936-023-04509-2</w:t>
        </w:r>
      </w:hyperlink>
    </w:p>
    <w:p w14:paraId="7AFBE677" w14:textId="77777777" w:rsidR="001A40F5" w:rsidRDefault="0098377F">
      <w:pPr>
        <w:pStyle w:val="Body"/>
        <w:numPr>
          <w:ilvl w:val="0"/>
          <w:numId w:val="2"/>
        </w:numPr>
        <w:spacing w:after="0"/>
        <w:rPr>
          <w:lang w:val="en-GB"/>
        </w:rPr>
      </w:pPr>
      <w:proofErr w:type="spellStart"/>
      <w:r>
        <w:rPr>
          <w:lang w:val="en-GB"/>
        </w:rPr>
        <w:t>Tchuente</w:t>
      </w:r>
      <w:proofErr w:type="spellEnd"/>
      <w:r>
        <w:rPr>
          <w:lang w:val="en-GB"/>
        </w:rPr>
        <w:t xml:space="preserve">, B.R.T., </w:t>
      </w:r>
      <w:proofErr w:type="spellStart"/>
      <w:r>
        <w:rPr>
          <w:lang w:val="en-GB"/>
        </w:rPr>
        <w:t>Hagbe</w:t>
      </w:r>
      <w:proofErr w:type="spellEnd"/>
      <w:r>
        <w:rPr>
          <w:lang w:val="en-GB"/>
        </w:rPr>
        <w:t xml:space="preserve">, P.V., </w:t>
      </w:r>
      <w:proofErr w:type="spellStart"/>
      <w:r>
        <w:rPr>
          <w:lang w:val="en-GB"/>
        </w:rPr>
        <w:t>Mouafo</w:t>
      </w:r>
      <w:proofErr w:type="spellEnd"/>
      <w:r>
        <w:rPr>
          <w:lang w:val="en-GB"/>
        </w:rPr>
        <w:t xml:space="preserve">, H.T., </w:t>
      </w:r>
      <w:proofErr w:type="spellStart"/>
      <w:r>
        <w:rPr>
          <w:lang w:val="en-GB"/>
        </w:rPr>
        <w:t>Youovop</w:t>
      </w:r>
      <w:proofErr w:type="spellEnd"/>
      <w:r>
        <w:rPr>
          <w:lang w:val="en-GB"/>
        </w:rPr>
        <w:t xml:space="preserve">, J.A.F., </w:t>
      </w:r>
      <w:proofErr w:type="spellStart"/>
      <w:r>
        <w:rPr>
          <w:lang w:val="en-GB"/>
        </w:rPr>
        <w:t>Mbiondi</w:t>
      </w:r>
      <w:proofErr w:type="spellEnd"/>
      <w:r>
        <w:rPr>
          <w:lang w:val="en-GB"/>
        </w:rPr>
        <w:t xml:space="preserve">, O.M., </w:t>
      </w:r>
      <w:proofErr w:type="spellStart"/>
      <w:r>
        <w:rPr>
          <w:lang w:val="en-GB"/>
        </w:rPr>
        <w:t>Mbah</w:t>
      </w:r>
      <w:proofErr w:type="spellEnd"/>
      <w:r>
        <w:rPr>
          <w:lang w:val="en-GB"/>
        </w:rPr>
        <w:t xml:space="preserve">, J.L.N., Ta </w:t>
      </w:r>
      <w:proofErr w:type="spellStart"/>
      <w:r>
        <w:rPr>
          <w:lang w:val="en-GB"/>
        </w:rPr>
        <w:t>kuissu</w:t>
      </w:r>
      <w:proofErr w:type="spellEnd"/>
      <w:r>
        <w:rPr>
          <w:lang w:val="en-GB"/>
        </w:rPr>
        <w:t xml:space="preserve">, R.G.N., </w:t>
      </w:r>
      <w:proofErr w:type="spellStart"/>
      <w:r>
        <w:rPr>
          <w:lang w:val="en-GB"/>
        </w:rPr>
        <w:t>Ntentie</w:t>
      </w:r>
      <w:proofErr w:type="spellEnd"/>
      <w:r>
        <w:rPr>
          <w:lang w:val="en-GB"/>
        </w:rPr>
        <w:t xml:space="preserve">, R.F., </w:t>
      </w:r>
      <w:proofErr w:type="spellStart"/>
      <w:r>
        <w:rPr>
          <w:lang w:val="en-GB"/>
        </w:rPr>
        <w:t>Azantsa</w:t>
      </w:r>
      <w:proofErr w:type="spellEnd"/>
      <w:r>
        <w:rPr>
          <w:lang w:val="en-GB"/>
        </w:rPr>
        <w:t xml:space="preserve">, B.G.K., </w:t>
      </w:r>
      <w:proofErr w:type="spellStart"/>
      <w:r>
        <w:rPr>
          <w:lang w:val="en-GB"/>
        </w:rPr>
        <w:t>Ngondi</w:t>
      </w:r>
      <w:proofErr w:type="spellEnd"/>
      <w:r>
        <w:rPr>
          <w:lang w:val="en-GB"/>
        </w:rPr>
        <w:t xml:space="preserve">, J.L. and Enyong, J.O. (2024) Diabetes and Hypertension Are Associated with Food Insecurity in a Ca </w:t>
      </w:r>
      <w:proofErr w:type="spellStart"/>
      <w:r>
        <w:rPr>
          <w:lang w:val="en-GB"/>
        </w:rPr>
        <w:t>meroonian</w:t>
      </w:r>
      <w:proofErr w:type="spellEnd"/>
      <w:r>
        <w:rPr>
          <w:lang w:val="en-GB"/>
        </w:rPr>
        <w:t xml:space="preserve"> Population: A Case-Control Study. Journal of Biosciences and Medicines, 12, 1-21. </w:t>
      </w:r>
      <w:hyperlink r:id="rId38" w:history="1">
        <w:r w:rsidR="001A40F5">
          <w:rPr>
            <w:rStyle w:val="Hyperlink"/>
            <w:lang w:val="en-GB"/>
          </w:rPr>
          <w:t>https://doi.org/10.4236/jbm.2024.122001</w:t>
        </w:r>
      </w:hyperlink>
    </w:p>
    <w:p w14:paraId="2CC54E74" w14:textId="77777777" w:rsidR="001A40F5" w:rsidRDefault="0098377F">
      <w:pPr>
        <w:pStyle w:val="Body"/>
        <w:numPr>
          <w:ilvl w:val="0"/>
          <w:numId w:val="2"/>
        </w:numPr>
        <w:spacing w:after="0"/>
        <w:rPr>
          <w:lang w:val="en-GB"/>
        </w:rPr>
      </w:pPr>
      <w:proofErr w:type="spellStart"/>
      <w:r>
        <w:rPr>
          <w:lang w:val="en-GB"/>
        </w:rPr>
        <w:t>Duodu</w:t>
      </w:r>
      <w:proofErr w:type="spellEnd"/>
      <w:r>
        <w:rPr>
          <w:lang w:val="en-GB"/>
        </w:rPr>
        <w:t xml:space="preserve">, P.A., </w:t>
      </w:r>
      <w:proofErr w:type="spellStart"/>
      <w:r>
        <w:rPr>
          <w:lang w:val="en-GB"/>
        </w:rPr>
        <w:t>Agbadi</w:t>
      </w:r>
      <w:proofErr w:type="spellEnd"/>
      <w:r>
        <w:rPr>
          <w:lang w:val="en-GB"/>
        </w:rPr>
        <w:t xml:space="preserve">, P., </w:t>
      </w:r>
      <w:proofErr w:type="spellStart"/>
      <w:r>
        <w:rPr>
          <w:lang w:val="en-GB"/>
        </w:rPr>
        <w:t>Duah</w:t>
      </w:r>
      <w:proofErr w:type="spellEnd"/>
      <w:r>
        <w:rPr>
          <w:lang w:val="en-GB"/>
        </w:rPr>
        <w:t xml:space="preserve"> H.O., </w:t>
      </w:r>
      <w:proofErr w:type="spellStart"/>
      <w:r>
        <w:rPr>
          <w:lang w:val="en-GB"/>
        </w:rPr>
        <w:t>Darkwahd</w:t>
      </w:r>
      <w:proofErr w:type="spellEnd"/>
      <w:r>
        <w:rPr>
          <w:lang w:val="en-GB"/>
        </w:rPr>
        <w:t xml:space="preserve">, E., </w:t>
      </w:r>
      <w:proofErr w:type="spellStart"/>
      <w:r>
        <w:rPr>
          <w:lang w:val="en-GB"/>
        </w:rPr>
        <w:t>Nuto</w:t>
      </w:r>
      <w:proofErr w:type="spellEnd"/>
      <w:r>
        <w:rPr>
          <w:lang w:val="en-GB"/>
        </w:rPr>
        <w:t>, J.J. (2022). Correlates of blood pressure and blood glucose screenings in Cameroon: insights from the 2018 Demographic and Health</w:t>
      </w:r>
      <w:r>
        <w:rPr>
          <w:lang w:val="en-GB"/>
        </w:rPr>
        <w:t xml:space="preserve"> Survey. International Health, 14: 201–210. </w:t>
      </w:r>
      <w:hyperlink r:id="rId39" w:history="1">
        <w:r w:rsidR="001A40F5">
          <w:rPr>
            <w:rStyle w:val="Hyperlink"/>
            <w:lang w:val="en-GB"/>
          </w:rPr>
          <w:t>https://doi.org/10.1093/inthealth/ihab033</w:t>
        </w:r>
      </w:hyperlink>
    </w:p>
    <w:p w14:paraId="285F8F49" w14:textId="77777777" w:rsidR="001A40F5" w:rsidRDefault="0098377F">
      <w:pPr>
        <w:pStyle w:val="Body"/>
        <w:numPr>
          <w:ilvl w:val="0"/>
          <w:numId w:val="2"/>
        </w:numPr>
        <w:spacing w:after="0"/>
        <w:rPr>
          <w:lang w:val="en-GB"/>
        </w:rPr>
      </w:pPr>
      <w:r>
        <w:rPr>
          <w:lang w:val="en-GB"/>
        </w:rPr>
        <w:t xml:space="preserve">Wang, Y., Zhao, L., Gao, L., Pan, A., &amp; Xue, H. (2021). Health Policy and Public Health Implications of Obesity </w:t>
      </w:r>
      <w:r>
        <w:rPr>
          <w:lang w:val="en-GB"/>
        </w:rPr>
        <w:t xml:space="preserve">in China. The Lancet Diabetes &amp; Endocrinology, 9, 446–461. </w:t>
      </w:r>
      <w:hyperlink r:id="rId40" w:history="1">
        <w:r w:rsidR="001A40F5">
          <w:rPr>
            <w:rStyle w:val="Hyperlink"/>
            <w:lang w:val="en-GB"/>
          </w:rPr>
          <w:t>https://doi.org/10.1016/S2213-8587(21)00118-2</w:t>
        </w:r>
      </w:hyperlink>
    </w:p>
    <w:p w14:paraId="7508A082" w14:textId="77777777" w:rsidR="001A40F5" w:rsidRDefault="0098377F">
      <w:pPr>
        <w:pStyle w:val="Body"/>
        <w:numPr>
          <w:ilvl w:val="0"/>
          <w:numId w:val="2"/>
        </w:numPr>
        <w:spacing w:after="0"/>
        <w:rPr>
          <w:lang w:val="en-GB"/>
        </w:rPr>
      </w:pPr>
      <w:r>
        <w:rPr>
          <w:lang w:val="en-GB"/>
        </w:rPr>
        <w:t xml:space="preserve">Kang, P.S., Neeland, I.J. (2023). Body Fat Distribution, Diabetes Mellitus, and </w:t>
      </w:r>
      <w:r>
        <w:rPr>
          <w:lang w:val="en-GB"/>
        </w:rPr>
        <w:t xml:space="preserve">Cardiovascular Disease: </w:t>
      </w:r>
      <w:proofErr w:type="gramStart"/>
      <w:r>
        <w:rPr>
          <w:lang w:val="en-GB"/>
        </w:rPr>
        <w:t>an</w:t>
      </w:r>
      <w:proofErr w:type="gramEnd"/>
      <w:r>
        <w:rPr>
          <w:lang w:val="en-GB"/>
        </w:rPr>
        <w:t xml:space="preserve"> Update. Current Cardiology Reports, 25, 1555–1564. </w:t>
      </w:r>
      <w:hyperlink r:id="rId41" w:history="1">
        <w:r w:rsidR="001A40F5">
          <w:rPr>
            <w:rStyle w:val="Hyperlink"/>
            <w:lang w:val="en-GB"/>
          </w:rPr>
          <w:t>https://doi.org/10.1007/s11886-023-01969-5</w:t>
        </w:r>
      </w:hyperlink>
    </w:p>
    <w:p w14:paraId="670295E2" w14:textId="77777777" w:rsidR="001A40F5" w:rsidRDefault="0098377F">
      <w:pPr>
        <w:pStyle w:val="Body"/>
        <w:numPr>
          <w:ilvl w:val="0"/>
          <w:numId w:val="2"/>
        </w:numPr>
        <w:spacing w:after="0"/>
        <w:rPr>
          <w:lang w:val="en-GB"/>
        </w:rPr>
      </w:pPr>
      <w:r>
        <w:rPr>
          <w:lang w:val="en-GB"/>
        </w:rPr>
        <w:t xml:space="preserve">Ceriello A., Lucisano G., </w:t>
      </w:r>
      <w:proofErr w:type="spellStart"/>
      <w:r>
        <w:rPr>
          <w:lang w:val="en-GB"/>
        </w:rPr>
        <w:t>Prattichizzo</w:t>
      </w:r>
      <w:proofErr w:type="spellEnd"/>
      <w:r>
        <w:rPr>
          <w:lang w:val="en-GB"/>
        </w:rPr>
        <w:t xml:space="preserve"> F., Eliasson B., Franzén S., Svensson</w:t>
      </w:r>
      <w:r>
        <w:rPr>
          <w:lang w:val="en-GB"/>
        </w:rPr>
        <w:t xml:space="preserve"> A., Nicolucci A. (2021). Variability in body weight and the risk of cardiovascular complications in type 2 diabetes: results from the Swedish National Diabetes Register. Cardiovascular Diabetology, 20:173 </w:t>
      </w:r>
      <w:hyperlink r:id="rId42" w:history="1">
        <w:r w:rsidR="001A40F5">
          <w:rPr>
            <w:rStyle w:val="Hyperlink"/>
            <w:lang w:val="en-GB"/>
          </w:rPr>
          <w:t>https://doi.org/10.1186/s12933-021-01360-0</w:t>
        </w:r>
      </w:hyperlink>
    </w:p>
    <w:p w14:paraId="693CE647" w14:textId="77777777" w:rsidR="001A40F5" w:rsidRDefault="0098377F">
      <w:pPr>
        <w:pStyle w:val="Body"/>
        <w:numPr>
          <w:ilvl w:val="0"/>
          <w:numId w:val="2"/>
        </w:numPr>
        <w:spacing w:after="0"/>
        <w:rPr>
          <w:lang w:val="en-GB"/>
        </w:rPr>
      </w:pPr>
      <w:proofErr w:type="spellStart"/>
      <w:r>
        <w:rPr>
          <w:lang w:val="en-GB"/>
        </w:rPr>
        <w:t>Bhadada</w:t>
      </w:r>
      <w:proofErr w:type="spellEnd"/>
      <w:r>
        <w:rPr>
          <w:lang w:val="en-GB"/>
        </w:rPr>
        <w:t xml:space="preserve"> S.K., Malhotra B., Shetty A.J. (2023). Body Weight Variability and Cardiovascular Health in Diabetes. The Journal of Clinical Endocrinology &amp; Metabolism, 108, e19–e20 </w:t>
      </w:r>
      <w:hyperlink r:id="rId43" w:history="1">
        <w:r w:rsidR="001A40F5">
          <w:rPr>
            <w:rStyle w:val="Hyperlink"/>
            <w:lang w:val="en-GB"/>
          </w:rPr>
          <w:t>https://doi.org/10.1210/clinem/dgac629</w:t>
        </w:r>
      </w:hyperlink>
    </w:p>
    <w:p w14:paraId="605B1033" w14:textId="77777777" w:rsidR="001A40F5" w:rsidRDefault="0098377F">
      <w:pPr>
        <w:pStyle w:val="Body"/>
        <w:numPr>
          <w:ilvl w:val="0"/>
          <w:numId w:val="2"/>
        </w:numPr>
        <w:spacing w:after="0"/>
        <w:rPr>
          <w:lang w:val="en-GB"/>
        </w:rPr>
      </w:pPr>
      <w:r>
        <w:rPr>
          <w:lang w:val="en-GB"/>
        </w:rPr>
        <w:t xml:space="preserve">Valenzuela P.L., Lucia A., Santos-Lozano A., Castillo-García A. (2022). Diabetes and hypertension: physical activity and body mass index matter: insights from half a million people. European </w:t>
      </w:r>
      <w:r>
        <w:rPr>
          <w:lang w:val="en-GB"/>
        </w:rPr>
        <w:t xml:space="preserve">Journal of Preventive Cardiology, 29, 1710–1713. </w:t>
      </w:r>
      <w:hyperlink r:id="rId44" w:history="1">
        <w:r w:rsidR="001A40F5">
          <w:rPr>
            <w:rStyle w:val="Hyperlink"/>
            <w:lang w:val="en-GB"/>
          </w:rPr>
          <w:t>https://doi.org/10.1093/eurjpc/zwac053</w:t>
        </w:r>
      </w:hyperlink>
    </w:p>
    <w:p w14:paraId="20896FA3" w14:textId="77777777" w:rsidR="001A40F5" w:rsidRDefault="0098377F">
      <w:pPr>
        <w:pStyle w:val="Body"/>
        <w:numPr>
          <w:ilvl w:val="0"/>
          <w:numId w:val="2"/>
        </w:numPr>
        <w:spacing w:after="0"/>
        <w:rPr>
          <w:lang w:val="en-GB"/>
        </w:rPr>
      </w:pPr>
      <w:r>
        <w:rPr>
          <w:lang w:val="en-GB"/>
        </w:rPr>
        <w:lastRenderedPageBreak/>
        <w:t>Yao, X., Hu, K., Wang, Z. Lu F., Zhang J., Miao Y., Feng Q., Jiang T., Zhang Y., Tang S., Zhang N., Dai F., Hu H.</w:t>
      </w:r>
      <w:r>
        <w:rPr>
          <w:lang w:val="en-GB"/>
        </w:rPr>
        <w:t xml:space="preserve">, Zhang Q. et al. (2024). Liver indicators affecting the relationship between BMI and hypertension in type 2 diabetes: a mediation analysis. Diabetology &amp; Metabolic Syndrome, 16:19. </w:t>
      </w:r>
      <w:hyperlink r:id="rId45" w:history="1">
        <w:r w:rsidR="001A40F5">
          <w:rPr>
            <w:rStyle w:val="Hyperlink"/>
            <w:lang w:val="en-GB"/>
          </w:rPr>
          <w:t>https://doi.org/10.1186/s13098-023-01254-z</w:t>
        </w:r>
      </w:hyperlink>
    </w:p>
    <w:p w14:paraId="538C8466" w14:textId="77777777" w:rsidR="001A40F5" w:rsidRDefault="0098377F">
      <w:pPr>
        <w:pStyle w:val="Body"/>
        <w:numPr>
          <w:ilvl w:val="0"/>
          <w:numId w:val="2"/>
        </w:numPr>
        <w:spacing w:after="0"/>
        <w:rPr>
          <w:lang w:val="en-GB"/>
        </w:rPr>
      </w:pPr>
      <w:r>
        <w:rPr>
          <w:lang w:val="en-GB"/>
        </w:rPr>
        <w:t>Wang, B., Wang, C. &amp; Li, H. (2025).  The impact of intermittent fasting on body composition and cardiometabolic outcomes in overweight and obese adults: a systematic review and meta-analysis of randomized controlled trials. Nutr</w:t>
      </w:r>
      <w:r>
        <w:rPr>
          <w:lang w:val="en-GB"/>
        </w:rPr>
        <w:t xml:space="preserve">ition Journal, 24, 120. </w:t>
      </w:r>
      <w:hyperlink r:id="rId46" w:history="1">
        <w:r w:rsidR="001A40F5">
          <w:rPr>
            <w:rStyle w:val="Hyperlink"/>
            <w:lang w:val="en-GB"/>
          </w:rPr>
          <w:t>https://doi.org/10.1186/s12937-025-01178-6</w:t>
        </w:r>
      </w:hyperlink>
    </w:p>
    <w:p w14:paraId="50C02222" w14:textId="77777777" w:rsidR="001A40F5" w:rsidRDefault="0098377F">
      <w:pPr>
        <w:pStyle w:val="Body"/>
        <w:numPr>
          <w:ilvl w:val="0"/>
          <w:numId w:val="2"/>
        </w:numPr>
        <w:spacing w:after="0"/>
        <w:rPr>
          <w:lang w:val="en-GB"/>
        </w:rPr>
      </w:pPr>
      <w:r>
        <w:rPr>
          <w:lang w:val="en-GB"/>
        </w:rPr>
        <w:t xml:space="preserve">Woolley, C., Thompson, C., </w:t>
      </w:r>
      <w:proofErr w:type="spellStart"/>
      <w:r>
        <w:rPr>
          <w:lang w:val="en-GB"/>
        </w:rPr>
        <w:t>Hakendorf</w:t>
      </w:r>
      <w:proofErr w:type="spellEnd"/>
      <w:r>
        <w:rPr>
          <w:lang w:val="en-GB"/>
        </w:rPr>
        <w:t>, P., Horwood C. (2019). The Effect of Age upon the Interrelationship of BMI and Inpatient Hea</w:t>
      </w:r>
      <w:r>
        <w:rPr>
          <w:lang w:val="en-GB"/>
        </w:rPr>
        <w:t xml:space="preserve">lth Outcomes. Journal of Nutrition, Health &amp; Aging, 23:558–563. </w:t>
      </w:r>
      <w:hyperlink r:id="rId47" w:history="1">
        <w:r w:rsidR="001A40F5">
          <w:rPr>
            <w:rStyle w:val="Hyperlink"/>
            <w:lang w:val="en-GB"/>
          </w:rPr>
          <w:t>https://doi.org/10.1007/s12603-019-1206-x</w:t>
        </w:r>
      </w:hyperlink>
    </w:p>
    <w:p w14:paraId="75EA4D76" w14:textId="77777777" w:rsidR="001A40F5" w:rsidRDefault="0098377F">
      <w:pPr>
        <w:pStyle w:val="Body"/>
        <w:numPr>
          <w:ilvl w:val="0"/>
          <w:numId w:val="2"/>
        </w:numPr>
        <w:spacing w:after="0"/>
        <w:rPr>
          <w:lang w:val="en-GB"/>
        </w:rPr>
      </w:pPr>
      <w:r>
        <w:rPr>
          <w:lang w:val="en-GB"/>
        </w:rPr>
        <w:t xml:space="preserve">Jabre, J.F., &amp; Bland, J.D. (2021). Body mass index changes: an assessment of the effects of </w:t>
      </w:r>
      <w:r>
        <w:rPr>
          <w:lang w:val="en-GB"/>
        </w:rPr>
        <w:t xml:space="preserve">age and gender using the e-norms method. BMC Medical Research Methodology, 21, 40. </w:t>
      </w:r>
      <w:hyperlink r:id="rId48" w:history="1">
        <w:r w:rsidR="001A40F5">
          <w:rPr>
            <w:rStyle w:val="Hyperlink"/>
            <w:lang w:val="en-GB"/>
          </w:rPr>
          <w:t>https://doi.org/10.1186/s12874-021-01222-z</w:t>
        </w:r>
      </w:hyperlink>
    </w:p>
    <w:p w14:paraId="38AAA346" w14:textId="77777777" w:rsidR="001A40F5" w:rsidRDefault="0098377F">
      <w:pPr>
        <w:pStyle w:val="Body"/>
        <w:numPr>
          <w:ilvl w:val="0"/>
          <w:numId w:val="2"/>
        </w:numPr>
        <w:spacing w:after="0"/>
        <w:rPr>
          <w:lang w:val="en-GB"/>
        </w:rPr>
      </w:pPr>
      <w:r>
        <w:rPr>
          <w:lang w:val="en-GB"/>
        </w:rPr>
        <w:t xml:space="preserve">Grimes, C.A., Bolhuis, D.P., He, F.J., </w:t>
      </w:r>
      <w:proofErr w:type="spellStart"/>
      <w:r>
        <w:rPr>
          <w:lang w:val="en-GB"/>
        </w:rPr>
        <w:t>Nowson</w:t>
      </w:r>
      <w:proofErr w:type="spellEnd"/>
      <w:r>
        <w:rPr>
          <w:lang w:val="en-GB"/>
        </w:rPr>
        <w:t xml:space="preserve"> C.A. (2016). Dietary sodium intake and overweight and obesity in children and adults: a protocol for a systematic review and meta-analysis. Systematic Reviews, 5, 7. </w:t>
      </w:r>
      <w:hyperlink r:id="rId49" w:history="1">
        <w:r w:rsidR="001A40F5">
          <w:rPr>
            <w:rStyle w:val="Hyperlink"/>
            <w:lang w:val="en-GB"/>
          </w:rPr>
          <w:t>https://doi.org/10.1186/s13643-015-0175-3</w:t>
        </w:r>
      </w:hyperlink>
    </w:p>
    <w:p w14:paraId="05469491" w14:textId="77777777" w:rsidR="001A40F5" w:rsidRDefault="0098377F">
      <w:pPr>
        <w:pStyle w:val="Body"/>
        <w:numPr>
          <w:ilvl w:val="0"/>
          <w:numId w:val="2"/>
        </w:numPr>
        <w:spacing w:after="0"/>
        <w:rPr>
          <w:lang w:val="en-GB"/>
        </w:rPr>
      </w:pPr>
      <w:r>
        <w:rPr>
          <w:lang w:val="en-GB"/>
        </w:rPr>
        <w:t xml:space="preserve">Zhang, F., Wang, H., &amp; Wang, Y. (2025). Physical activity, dietary patterns, and BMI in adults with type 2 diabetes: A longitudinal cohort study. Diabetes Care, 48(1), 112–120. </w:t>
      </w:r>
      <w:hyperlink r:id="rId50" w:history="1">
        <w:r w:rsidR="001A40F5">
          <w:rPr>
            <w:rStyle w:val="Hyperlink"/>
            <w:lang w:val="en-GB"/>
          </w:rPr>
          <w:t>https://doi.org/10.2337/dc24-0889</w:t>
        </w:r>
      </w:hyperlink>
    </w:p>
    <w:p w14:paraId="7FBE33DF" w14:textId="77777777" w:rsidR="001A40F5" w:rsidRDefault="0098377F">
      <w:pPr>
        <w:pStyle w:val="Body"/>
        <w:numPr>
          <w:ilvl w:val="0"/>
          <w:numId w:val="2"/>
        </w:numPr>
        <w:spacing w:after="0"/>
        <w:rPr>
          <w:lang w:val="en-GB"/>
        </w:rPr>
      </w:pPr>
      <w:r>
        <w:rPr>
          <w:lang w:val="en-GB"/>
        </w:rPr>
        <w:t xml:space="preserve">Guedes, M. J., &amp; Silva, D. A. S. (2021). Lifestyle </w:t>
      </w:r>
      <w:proofErr w:type="spellStart"/>
      <w:r>
        <w:rPr>
          <w:lang w:val="en-GB"/>
        </w:rPr>
        <w:t>behaviors</w:t>
      </w:r>
      <w:proofErr w:type="spellEnd"/>
      <w:r>
        <w:rPr>
          <w:lang w:val="en-GB"/>
        </w:rPr>
        <w:t xml:space="preserve"> and obesity risk among university students in Angola. Public Health Nutrition, 24(7), 1899–1907. </w:t>
      </w:r>
      <w:hyperlink r:id="rId51" w:history="1">
        <w:r w:rsidR="001A40F5">
          <w:rPr>
            <w:rStyle w:val="Hyperlink"/>
            <w:lang w:val="en-GB"/>
          </w:rPr>
          <w:t>https://doi.org/10.1017/S136898002000234X</w:t>
        </w:r>
      </w:hyperlink>
    </w:p>
    <w:p w14:paraId="3ED8F0DE" w14:textId="77777777" w:rsidR="001A40F5" w:rsidRDefault="0098377F">
      <w:pPr>
        <w:pStyle w:val="Body"/>
        <w:numPr>
          <w:ilvl w:val="0"/>
          <w:numId w:val="2"/>
        </w:numPr>
        <w:spacing w:after="0"/>
        <w:rPr>
          <w:lang w:val="en-GB"/>
        </w:rPr>
      </w:pPr>
      <w:r>
        <w:rPr>
          <w:lang w:val="en-GB"/>
        </w:rPr>
        <w:t xml:space="preserve">Soleimani N, Ebrahimi F, Mirzaei M (2024) Self-management education for hypertension, diabetes, and </w:t>
      </w:r>
      <w:proofErr w:type="spellStart"/>
      <w:r>
        <w:rPr>
          <w:lang w:val="en-GB"/>
        </w:rPr>
        <w:t>dyslipidemia</w:t>
      </w:r>
      <w:proofErr w:type="spellEnd"/>
      <w:r>
        <w:rPr>
          <w:lang w:val="en-GB"/>
        </w:rPr>
        <w:t xml:space="preserve"> as major risk factors for cardiovascular disease: Insights from stakeholders’ experiences and expectations. </w:t>
      </w:r>
      <w:proofErr w:type="spellStart"/>
      <w:r>
        <w:rPr>
          <w:lang w:val="en-GB"/>
        </w:rPr>
        <w:t>PLoS</w:t>
      </w:r>
      <w:proofErr w:type="spellEnd"/>
      <w:r>
        <w:rPr>
          <w:lang w:val="en-GB"/>
        </w:rPr>
        <w:t xml:space="preserve"> ONE19(9): e0</w:t>
      </w:r>
      <w:r>
        <w:rPr>
          <w:lang w:val="en-GB"/>
        </w:rPr>
        <w:t xml:space="preserve">310961. </w:t>
      </w:r>
      <w:hyperlink r:id="rId52" w:history="1">
        <w:r w:rsidR="001A40F5">
          <w:rPr>
            <w:rStyle w:val="Hyperlink"/>
            <w:lang w:val="en-GB"/>
          </w:rPr>
          <w:t>https://doi.org/10.1371/journal.pone.0310961</w:t>
        </w:r>
      </w:hyperlink>
    </w:p>
    <w:p w14:paraId="239D3C0F" w14:textId="77777777" w:rsidR="001A40F5" w:rsidRDefault="0098377F">
      <w:pPr>
        <w:pStyle w:val="Body"/>
        <w:numPr>
          <w:ilvl w:val="0"/>
          <w:numId w:val="2"/>
        </w:numPr>
        <w:spacing w:after="0"/>
        <w:rPr>
          <w:lang w:val="en-GB"/>
        </w:rPr>
      </w:pPr>
      <w:r>
        <w:rPr>
          <w:lang w:val="en-GB"/>
        </w:rPr>
        <w:t xml:space="preserve">  Steigerwalt S. (2008). Management of Hypertension in Diabetic Patients </w:t>
      </w:r>
      <w:proofErr w:type="gramStart"/>
      <w:r>
        <w:rPr>
          <w:lang w:val="en-GB"/>
        </w:rPr>
        <w:t>With</w:t>
      </w:r>
      <w:proofErr w:type="gramEnd"/>
      <w:r>
        <w:rPr>
          <w:lang w:val="en-GB"/>
        </w:rPr>
        <w:t xml:space="preserve"> Chronic Kidney Disease. </w:t>
      </w:r>
      <w:r>
        <w:rPr>
          <w:i/>
          <w:iCs/>
          <w:lang w:val="en-GB"/>
        </w:rPr>
        <w:t>Diabetes Spectrum</w:t>
      </w:r>
      <w:r>
        <w:rPr>
          <w:lang w:val="en-GB"/>
        </w:rPr>
        <w:t xml:space="preserve">, 21(1):30–36 </w:t>
      </w:r>
      <w:hyperlink r:id="rId53" w:history="1">
        <w:r w:rsidR="001A40F5">
          <w:rPr>
            <w:rStyle w:val="Hyperlink"/>
            <w:lang w:val="en-GB"/>
          </w:rPr>
          <w:t>https://doi.org/10.2337/diaspect.21.1.30</w:t>
        </w:r>
      </w:hyperlink>
    </w:p>
    <w:p w14:paraId="6215C2E5" w14:textId="77777777" w:rsidR="001A40F5" w:rsidRDefault="0098377F">
      <w:pPr>
        <w:pStyle w:val="Body"/>
        <w:numPr>
          <w:ilvl w:val="0"/>
          <w:numId w:val="2"/>
        </w:numPr>
        <w:spacing w:after="0"/>
        <w:rPr>
          <w:lang w:val="en-GB"/>
        </w:rPr>
      </w:pPr>
      <w:r>
        <w:rPr>
          <w:lang w:val="en-GB"/>
        </w:rPr>
        <w:t xml:space="preserve">Colbert, G.B.; </w:t>
      </w:r>
      <w:proofErr w:type="spellStart"/>
      <w:r>
        <w:rPr>
          <w:lang w:val="en-GB"/>
        </w:rPr>
        <w:t>Elrggal</w:t>
      </w:r>
      <w:proofErr w:type="spellEnd"/>
      <w:r>
        <w:rPr>
          <w:lang w:val="en-GB"/>
        </w:rPr>
        <w:t xml:space="preserve">, M.E.; Gaddy, A.; Madariaga, H.M.; Lerma, E.V. (2023). Management of Hypertension in Diabetic Kidney Disease. Journal of Clinical Medicine, 12, </w:t>
      </w:r>
      <w:r>
        <w:rPr>
          <w:lang w:val="en-GB"/>
        </w:rPr>
        <w:t xml:space="preserve">6868. </w:t>
      </w:r>
      <w:hyperlink r:id="rId54" w:history="1">
        <w:r w:rsidR="001A40F5">
          <w:rPr>
            <w:rStyle w:val="Hyperlink"/>
            <w:lang w:val="en-GB"/>
          </w:rPr>
          <w:t>https://doi.org/10.3390/jcm12216868</w:t>
        </w:r>
      </w:hyperlink>
    </w:p>
    <w:p w14:paraId="77E2B4EA" w14:textId="77777777" w:rsidR="001A40F5" w:rsidRDefault="0098377F">
      <w:pPr>
        <w:pStyle w:val="Body"/>
        <w:numPr>
          <w:ilvl w:val="0"/>
          <w:numId w:val="2"/>
        </w:numPr>
        <w:spacing w:after="0"/>
        <w:rPr>
          <w:lang w:val="en-GB"/>
        </w:rPr>
      </w:pPr>
      <w:proofErr w:type="spellStart"/>
      <w:r>
        <w:rPr>
          <w:lang w:val="en-GB"/>
        </w:rPr>
        <w:t>Ndapkwi</w:t>
      </w:r>
      <w:proofErr w:type="spellEnd"/>
      <w:r>
        <w:rPr>
          <w:lang w:val="en-GB"/>
        </w:rPr>
        <w:t xml:space="preserve">, P.N., </w:t>
      </w:r>
      <w:proofErr w:type="spellStart"/>
      <w:r>
        <w:rPr>
          <w:lang w:val="en-GB"/>
        </w:rPr>
        <w:t>Menkem</w:t>
      </w:r>
      <w:proofErr w:type="spellEnd"/>
      <w:r>
        <w:rPr>
          <w:lang w:val="en-GB"/>
        </w:rPr>
        <w:t xml:space="preserve">, E.Z., </w:t>
      </w:r>
      <w:proofErr w:type="spellStart"/>
      <w:r>
        <w:rPr>
          <w:lang w:val="en-GB"/>
        </w:rPr>
        <w:t>Mpey</w:t>
      </w:r>
      <w:proofErr w:type="spellEnd"/>
      <w:r>
        <w:rPr>
          <w:lang w:val="en-GB"/>
        </w:rPr>
        <w:t xml:space="preserve">, O.N., </w:t>
      </w:r>
      <w:proofErr w:type="spellStart"/>
      <w:r>
        <w:rPr>
          <w:lang w:val="en-GB"/>
        </w:rPr>
        <w:t>Ngounou</w:t>
      </w:r>
      <w:proofErr w:type="spellEnd"/>
      <w:r>
        <w:rPr>
          <w:lang w:val="en-GB"/>
        </w:rPr>
        <w:t xml:space="preserve">, E., Luma, W.S., Djakissam, W., </w:t>
      </w:r>
      <w:proofErr w:type="spellStart"/>
      <w:r>
        <w:rPr>
          <w:lang w:val="en-GB"/>
        </w:rPr>
        <w:t>Nembu</w:t>
      </w:r>
      <w:proofErr w:type="spellEnd"/>
      <w:r>
        <w:rPr>
          <w:lang w:val="en-GB"/>
        </w:rPr>
        <w:t xml:space="preserve">, E.N., </w:t>
      </w:r>
      <w:proofErr w:type="spellStart"/>
      <w:r>
        <w:rPr>
          <w:lang w:val="en-GB"/>
        </w:rPr>
        <w:t>Armel</w:t>
      </w:r>
      <w:proofErr w:type="spellEnd"/>
      <w:r>
        <w:rPr>
          <w:lang w:val="en-GB"/>
        </w:rPr>
        <w:t xml:space="preserve">, J.S., </w:t>
      </w:r>
      <w:proofErr w:type="spellStart"/>
      <w:r>
        <w:rPr>
          <w:lang w:val="en-GB"/>
        </w:rPr>
        <w:t>Taksinkou</w:t>
      </w:r>
      <w:proofErr w:type="spellEnd"/>
      <w:r>
        <w:rPr>
          <w:lang w:val="en-GB"/>
        </w:rPr>
        <w:t xml:space="preserve">, F.D.B., </w:t>
      </w:r>
      <w:proofErr w:type="spellStart"/>
      <w:r>
        <w:rPr>
          <w:lang w:val="en-GB"/>
        </w:rPr>
        <w:t>Teuwafeu</w:t>
      </w:r>
      <w:proofErr w:type="spellEnd"/>
      <w:r>
        <w:rPr>
          <w:lang w:val="en-GB"/>
        </w:rPr>
        <w:t xml:space="preserve">, D. and Boyom, F.F. (2023) Prevalence, Risk Factors, and Awareness of Chronic Kidney Disease among Diabetes Mellitus and Hyper tensive Individuals at the Buea Regional Hospital, Cameroon. Journal of Biosciences and Medicines, 11, 260-277. </w:t>
      </w:r>
      <w:hyperlink r:id="rId55" w:history="1">
        <w:r w:rsidR="001A40F5">
          <w:rPr>
            <w:rStyle w:val="Hyperlink"/>
            <w:lang w:val="en-GB"/>
          </w:rPr>
          <w:t>https://doi.org/10.4236/jbm.2023.114019</w:t>
        </w:r>
      </w:hyperlink>
    </w:p>
    <w:p w14:paraId="4F435A29" w14:textId="77777777" w:rsidR="001A40F5" w:rsidRDefault="001A40F5">
      <w:pPr>
        <w:pStyle w:val="Body"/>
        <w:spacing w:after="0"/>
      </w:pPr>
    </w:p>
    <w:p w14:paraId="65E6B920" w14:textId="77777777" w:rsidR="001A40F5" w:rsidRDefault="001A40F5">
      <w:pPr>
        <w:pStyle w:val="Body"/>
        <w:spacing w:after="0"/>
      </w:pPr>
    </w:p>
    <w:p w14:paraId="5F58DF7C" w14:textId="77777777" w:rsidR="001A40F5" w:rsidRDefault="001A40F5">
      <w:pPr>
        <w:pStyle w:val="Body"/>
        <w:spacing w:after="0"/>
      </w:pPr>
    </w:p>
    <w:p w14:paraId="6F82703C" w14:textId="77777777" w:rsidR="001A40F5" w:rsidRDefault="001A40F5">
      <w:pPr>
        <w:pStyle w:val="Body"/>
        <w:spacing w:after="0"/>
      </w:pPr>
    </w:p>
    <w:p w14:paraId="7A18A5FB" w14:textId="77777777" w:rsidR="001A40F5" w:rsidRDefault="001A40F5">
      <w:pPr>
        <w:pStyle w:val="Body"/>
        <w:spacing w:after="0"/>
      </w:pPr>
    </w:p>
    <w:sectPr w:rsidR="001A40F5" w:rsidSect="00754E2E">
      <w:type w:val="continuous"/>
      <w:pgSz w:w="12240" w:h="15840"/>
      <w:pgMar w:top="1440" w:right="2019" w:bottom="2019" w:left="2019"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C4A01" w14:textId="77777777" w:rsidR="0098377F" w:rsidRDefault="0098377F">
      <w:r>
        <w:separator/>
      </w:r>
    </w:p>
  </w:endnote>
  <w:endnote w:type="continuationSeparator" w:id="0">
    <w:p w14:paraId="41CBB69F" w14:textId="77777777" w:rsidR="0098377F" w:rsidRDefault="0098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2AFF" w:usb1="4000ACF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86CC1" w14:textId="77777777" w:rsidR="00754E2E" w:rsidRDefault="00754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6ECE4" w14:textId="77777777" w:rsidR="00754E2E" w:rsidRDefault="00754E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1912F" w14:textId="17EB7ED6" w:rsidR="001A40F5" w:rsidRPr="00754E2E" w:rsidRDefault="001A40F5" w:rsidP="00754E2E">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7113B" w14:textId="77777777" w:rsidR="001A40F5" w:rsidRDefault="001A4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F946F" w14:textId="77777777" w:rsidR="0098377F" w:rsidRDefault="0098377F">
      <w:r>
        <w:separator/>
      </w:r>
    </w:p>
  </w:footnote>
  <w:footnote w:type="continuationSeparator" w:id="0">
    <w:p w14:paraId="7C50F443" w14:textId="77777777" w:rsidR="0098377F" w:rsidRDefault="0098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0927C" w14:textId="2A1D6DD9" w:rsidR="00754E2E" w:rsidRDefault="00754E2E">
    <w:pPr>
      <w:pStyle w:val="Header"/>
    </w:pPr>
    <w:r>
      <w:rPr>
        <w:noProof/>
      </w:rPr>
      <w:pict w14:anchorId="54F3D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47" o:spid="_x0000_s2050" type="#_x0000_t136" style="position:absolute;margin-left:0;margin-top:0;width:520.25pt;height:57.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9ED81" w14:textId="2572D80B" w:rsidR="00754E2E" w:rsidRDefault="00754E2E">
    <w:pPr>
      <w:pStyle w:val="Header"/>
    </w:pPr>
    <w:r>
      <w:rPr>
        <w:noProof/>
      </w:rPr>
      <w:pict w14:anchorId="194C76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48" o:spid="_x0000_s2051" type="#_x0000_t136" style="position:absolute;margin-left:0;margin-top:0;width:520.25pt;height:57.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EEA14" w14:textId="24BA4AE6" w:rsidR="001A40F5" w:rsidRDefault="00754E2E">
    <w:pPr>
      <w:ind w:left="2160"/>
      <w:jc w:val="center"/>
      <w:rPr>
        <w:rFonts w:ascii="Times New Roman" w:eastAsia="Calibri" w:hAnsi="Times New Roman"/>
        <w:i/>
        <w:sz w:val="18"/>
        <w:szCs w:val="22"/>
      </w:rPr>
    </w:pPr>
    <w:r>
      <w:rPr>
        <w:noProof/>
      </w:rPr>
      <w:pict w14:anchorId="222C9E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46" o:spid="_x0000_s2049" type="#_x0000_t136" style="position:absolute;left:0;text-align:left;margin-left:0;margin-top:0;width:520.25pt;height:57.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C6C72C" w14:textId="77777777" w:rsidR="001A40F5" w:rsidRDefault="0098377F">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2D3CEE2" w14:textId="77777777" w:rsidR="001A40F5" w:rsidRDefault="0098377F">
    <w:pPr>
      <w:jc w:val="center"/>
      <w:rPr>
        <w:rFonts w:ascii="Times New Roman" w:eastAsia="Calibri" w:hAnsi="Times New Roman"/>
        <w:i/>
        <w:sz w:val="18"/>
        <w:szCs w:val="22"/>
      </w:rPr>
    </w:pPr>
    <w:r>
      <w:rPr>
        <w:rFonts w:ascii="Times New Roman" w:eastAsia="Calibri" w:hAnsi="Times New Roman"/>
        <w:i/>
        <w:sz w:val="18"/>
        <w:szCs w:val="22"/>
      </w:rPr>
      <w:t>.</w:t>
    </w:r>
  </w:p>
  <w:p w14:paraId="52B47D28" w14:textId="77777777" w:rsidR="001A40F5" w:rsidRDefault="0098377F">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71324530" w14:textId="77777777" w:rsidR="001A40F5" w:rsidRDefault="0098377F">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30954497" w14:textId="77777777" w:rsidR="001A40F5" w:rsidRDefault="0098377F">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9751BF6" w14:textId="77777777" w:rsidR="001A40F5" w:rsidRDefault="0098377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2FE3" w14:textId="06206504" w:rsidR="00754E2E" w:rsidRDefault="00754E2E">
    <w:pPr>
      <w:pStyle w:val="Header"/>
    </w:pPr>
    <w:r>
      <w:rPr>
        <w:noProof/>
      </w:rPr>
      <w:pict w14:anchorId="6A16C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50" o:spid="_x0000_s2053" type="#_x0000_t136" style="position:absolute;margin-left:0;margin-top:0;width:520.25pt;height:57.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97F0" w14:textId="47D4DAAF" w:rsidR="00754E2E" w:rsidRDefault="00754E2E">
    <w:pPr>
      <w:pStyle w:val="Header"/>
    </w:pPr>
    <w:r>
      <w:rPr>
        <w:noProof/>
      </w:rPr>
      <w:pict w14:anchorId="094219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51" o:spid="_x0000_s2054" type="#_x0000_t136" style="position:absolute;margin-left:0;margin-top:0;width:520.25pt;height:57.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868F" w14:textId="47009687" w:rsidR="00754E2E" w:rsidRDefault="00754E2E">
    <w:pPr>
      <w:pStyle w:val="Header"/>
    </w:pPr>
    <w:r>
      <w:rPr>
        <w:noProof/>
      </w:rPr>
      <w:pict w14:anchorId="5CAF2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4334049" o:spid="_x0000_s2052" type="#_x0000_t136" style="position:absolute;margin-left:0;margin-top:0;width:520.25pt;height:57.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27087"/>
    <w:multiLevelType w:val="multilevel"/>
    <w:tmpl w:val="1B3270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742F"/>
    <w:rsid w:val="000A47FA"/>
    <w:rsid w:val="000A65D3"/>
    <w:rsid w:val="000B1E33"/>
    <w:rsid w:val="000D689F"/>
    <w:rsid w:val="000E7B7B"/>
    <w:rsid w:val="000E7D62"/>
    <w:rsid w:val="001012DA"/>
    <w:rsid w:val="00103357"/>
    <w:rsid w:val="001148F9"/>
    <w:rsid w:val="00123C9F"/>
    <w:rsid w:val="00126190"/>
    <w:rsid w:val="00130F17"/>
    <w:rsid w:val="001320BF"/>
    <w:rsid w:val="00163BC4"/>
    <w:rsid w:val="001643FF"/>
    <w:rsid w:val="00191062"/>
    <w:rsid w:val="00192B72"/>
    <w:rsid w:val="001A29D8"/>
    <w:rsid w:val="001A40F5"/>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04E4"/>
    <w:rsid w:val="002E0D56"/>
    <w:rsid w:val="00315186"/>
    <w:rsid w:val="0033343E"/>
    <w:rsid w:val="0034150C"/>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330D2"/>
    <w:rsid w:val="00440F43"/>
    <w:rsid w:val="00441B6F"/>
    <w:rsid w:val="00446221"/>
    <w:rsid w:val="00450E62"/>
    <w:rsid w:val="004539DB"/>
    <w:rsid w:val="00471A80"/>
    <w:rsid w:val="004D2444"/>
    <w:rsid w:val="004D305E"/>
    <w:rsid w:val="004D4277"/>
    <w:rsid w:val="00502516"/>
    <w:rsid w:val="00505F06"/>
    <w:rsid w:val="00506828"/>
    <w:rsid w:val="0053056E"/>
    <w:rsid w:val="00554FDA"/>
    <w:rsid w:val="005A29E4"/>
    <w:rsid w:val="005C45F8"/>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4E2E"/>
    <w:rsid w:val="0075599A"/>
    <w:rsid w:val="00761D52"/>
    <w:rsid w:val="0077749E"/>
    <w:rsid w:val="00790ADA"/>
    <w:rsid w:val="007A415B"/>
    <w:rsid w:val="007B0861"/>
    <w:rsid w:val="007C7831"/>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19F"/>
    <w:rsid w:val="00915CA6"/>
    <w:rsid w:val="00927834"/>
    <w:rsid w:val="009500A6"/>
    <w:rsid w:val="00957C18"/>
    <w:rsid w:val="009659BA"/>
    <w:rsid w:val="00983040"/>
    <w:rsid w:val="0098377F"/>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6237"/>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6CCD"/>
    <w:rsid w:val="00D07421"/>
    <w:rsid w:val="00D16E37"/>
    <w:rsid w:val="00D173F1"/>
    <w:rsid w:val="00D74CB0"/>
    <w:rsid w:val="00D8295D"/>
    <w:rsid w:val="00D92CDB"/>
    <w:rsid w:val="00DA57BA"/>
    <w:rsid w:val="00DC2A65"/>
    <w:rsid w:val="00DC6580"/>
    <w:rsid w:val="00DE15F0"/>
    <w:rsid w:val="00DE5663"/>
    <w:rsid w:val="00DE78AA"/>
    <w:rsid w:val="00DF521F"/>
    <w:rsid w:val="00E053D0"/>
    <w:rsid w:val="00E15994"/>
    <w:rsid w:val="00E3114E"/>
    <w:rsid w:val="00E31A70"/>
    <w:rsid w:val="00E35B02"/>
    <w:rsid w:val="00E66496"/>
    <w:rsid w:val="00E66B35"/>
    <w:rsid w:val="00E66E10"/>
    <w:rsid w:val="00E769F6"/>
    <w:rsid w:val="00E8407C"/>
    <w:rsid w:val="00E84F3C"/>
    <w:rsid w:val="00EA012C"/>
    <w:rsid w:val="00EA557E"/>
    <w:rsid w:val="00EC6A55"/>
    <w:rsid w:val="00ED0288"/>
    <w:rsid w:val="00EE52CB"/>
    <w:rsid w:val="00EF581D"/>
    <w:rsid w:val="00EF7FD8"/>
    <w:rsid w:val="00F06F59"/>
    <w:rsid w:val="00F17988"/>
    <w:rsid w:val="00F4393D"/>
    <w:rsid w:val="00F469F0"/>
    <w:rsid w:val="00F53273"/>
    <w:rsid w:val="00F755E4"/>
    <w:rsid w:val="00F77D02"/>
    <w:rsid w:val="00FB3A86"/>
    <w:rsid w:val="00FD36C8"/>
    <w:rsid w:val="14856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4D0E4086"/>
  <w15:docId w15:val="{C841C52D-95F9-4E65-BA5C-FDD0731E2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rPr>
      <w:color w:val="800080"/>
      <w:u w:val="single"/>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FF0080"/>
      <w:u w:val="single"/>
    </w:rPr>
  </w:style>
  <w:style w:type="character" w:styleId="LineNumber">
    <w:name w:val="line number"/>
    <w:basedOn w:val="DefaultParagraphFont"/>
  </w:style>
  <w:style w:type="paragraph" w:styleId="Signature">
    <w:name w:val="Signature"/>
    <w:basedOn w:val="Normal"/>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pPr>
      <w:keepNext/>
      <w:spacing w:after="240"/>
    </w:pPr>
    <w:rPr>
      <w:b/>
      <w:caps/>
    </w:rPr>
  </w:style>
  <w:style w:type="paragraph" w:customStyle="1" w:styleId="IntroHead">
    <w:name w:val="Intro Head"/>
    <w:basedOn w:val="MainHead"/>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rPr>
      <w:sz w:val="22"/>
    </w:rPr>
  </w:style>
  <w:style w:type="paragraph" w:customStyle="1" w:styleId="DefAcrHead">
    <w:name w:val="DefAcrHead"/>
    <w:basedOn w:val="MainHead"/>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rPr>
      <w:sz w:val="22"/>
    </w:rPr>
  </w:style>
  <w:style w:type="paragraph" w:customStyle="1" w:styleId="Head3">
    <w:name w:val="Head3"/>
    <w:basedOn w:val="Head2"/>
    <w:rPr>
      <w:caps w:val="0"/>
      <w:u w:val="single"/>
    </w:rPr>
  </w:style>
  <w:style w:type="paragraph" w:customStyle="1" w:styleId="Head2">
    <w:name w:val="Head2"/>
    <w:basedOn w:val="Normal"/>
    <w:next w:val="Body"/>
    <w:pPr>
      <w:keepNext/>
      <w:spacing w:after="240"/>
    </w:pPr>
    <w:rPr>
      <w:caps/>
    </w:rPr>
  </w:style>
  <w:style w:type="paragraph" w:customStyle="1" w:styleId="Head4">
    <w:name w:val="Head4"/>
    <w:basedOn w:val="Head3"/>
    <w:rPr>
      <w:u w:val="none"/>
    </w:rPr>
  </w:style>
  <w:style w:type="paragraph" w:customStyle="1" w:styleId="UnordList">
    <w:name w:val="Unord List"/>
    <w:basedOn w:val="Body"/>
    <w:pPr>
      <w:spacing w:after="0"/>
      <w:ind w:left="360" w:hanging="360"/>
    </w:pPr>
  </w:style>
  <w:style w:type="paragraph" w:customStyle="1" w:styleId="OrdList">
    <w:name w:val="Ord List"/>
    <w:basedOn w:val="UnordList"/>
    <w:pPr>
      <w:jc w:val="left"/>
    </w:pPr>
  </w:style>
  <w:style w:type="paragraph" w:customStyle="1" w:styleId="Appendix">
    <w:name w:val="Appendix"/>
    <w:basedOn w:val="MainHead"/>
    <w:rPr>
      <w:sz w:val="22"/>
    </w:rPr>
  </w:style>
  <w:style w:type="paragraph" w:customStyle="1" w:styleId="Term">
    <w:name w:val="Term"/>
    <w:basedOn w:val="Body"/>
    <w:pPr>
      <w:spacing w:after="0"/>
    </w:pPr>
    <w:rPr>
      <w:b/>
    </w:rPr>
  </w:style>
  <w:style w:type="paragraph" w:customStyle="1" w:styleId="Definition">
    <w:name w:val="Definition"/>
    <w:basedOn w:val="Body"/>
  </w:style>
  <w:style w:type="character" w:customStyle="1" w:styleId="Bold">
    <w:name w:val="Bold"/>
    <w:rPr>
      <w:b/>
    </w:rPr>
  </w:style>
  <w:style w:type="character" w:customStyle="1" w:styleId="Italic">
    <w:name w:val="Italic"/>
    <w:rPr>
      <w:i/>
    </w:rPr>
  </w:style>
  <w:style w:type="character" w:customStyle="1" w:styleId="Underline">
    <w:name w:val="Underline"/>
    <w:rPr>
      <w:u w:val="single"/>
    </w:rPr>
  </w:style>
  <w:style w:type="paragraph" w:customStyle="1" w:styleId="Equation">
    <w:name w:val="Equation"/>
    <w:basedOn w:val="Body"/>
  </w:style>
  <w:style w:type="paragraph" w:customStyle="1" w:styleId="Figure">
    <w:name w:val="Figure"/>
    <w:basedOn w:val="Copyright"/>
    <w:pPr>
      <w:spacing w:after="240"/>
    </w:pPr>
    <w:rPr>
      <w:sz w:val="20"/>
    </w:rPr>
  </w:style>
  <w:style w:type="paragraph" w:customStyle="1" w:styleId="Head40">
    <w:name w:val="Head 4"/>
    <w:basedOn w:val="Head3"/>
    <w:rPr>
      <w:u w:val="none"/>
    </w:rPr>
  </w:style>
  <w:style w:type="paragraph" w:customStyle="1" w:styleId="Paper">
    <w:name w:val="Paper"/>
    <w:basedOn w:val="Normal"/>
    <w:pPr>
      <w:spacing w:after="360" w:line="440" w:lineRule="exact"/>
      <w:jc w:val="right"/>
    </w:pPr>
    <w:rPr>
      <w:b/>
      <w:sz w:val="36"/>
    </w:rPr>
  </w:style>
  <w:style w:type="character" w:customStyle="1" w:styleId="Subscript">
    <w:name w:val="Subscrip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ListTable6Colorful1">
    <w:name w:val="List Table 6 Colorful1"/>
    <w:basedOn w:val="TableNormal"/>
    <w:uiPriority w:val="51"/>
    <w:rPr>
      <w:rFonts w:ascii="Calibri" w:eastAsia="Calibri" w:hAnsi="Calibri"/>
      <w:color w:val="000000"/>
      <w:kern w:val="2"/>
      <w:sz w:val="22"/>
      <w:szCs w:val="22"/>
      <w:lang w:val="en-GB"/>
      <w14:ligatures w14:val="standardContextual"/>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
    <w:name w:val="List Table 6 Colorful2"/>
    <w:basedOn w:val="TableNormal"/>
    <w:uiPriority w:val="51"/>
    <w:rPr>
      <w:color w:val="000000" w:themeColor="text1"/>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uiPriority w:val="51"/>
    <w:rPr>
      <w:rFonts w:ascii="Calibri" w:eastAsia="Calibri" w:hAnsi="Calibri"/>
      <w:color w:val="000000"/>
      <w:kern w:val="2"/>
      <w:sz w:val="24"/>
      <w:szCs w:val="24"/>
      <w14:ligatures w14:val="standardContextual"/>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0">
    <w:name w:val="List Table 6 Colorful2"/>
    <w:basedOn w:val="TableNormal"/>
    <w:uiPriority w:val="51"/>
    <w:qFormat/>
    <w:rPr>
      <w:rFonts w:ascii="Calibri" w:eastAsia="Calibri" w:hAnsi="Calibri"/>
      <w:color w:val="000000"/>
      <w:kern w:val="2"/>
      <w:sz w:val="24"/>
      <w:szCs w:val="24"/>
      <w14:ligatures w14:val="standardContextual"/>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21">
    <w:name w:val="List Table 6 Colorful21"/>
    <w:basedOn w:val="TableNormal"/>
    <w:uiPriority w:val="51"/>
    <w:rPr>
      <w:rFonts w:ascii="Calibri" w:eastAsia="Calibri" w:hAnsi="Calibri"/>
      <w:color w:val="000000"/>
      <w:kern w:val="2"/>
      <w:sz w:val="24"/>
      <w:szCs w:val="24"/>
      <w14:ligatures w14:val="standardContextual"/>
    </w:rPr>
    <w:tblPr>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UnresolvedMention">
    <w:name w:val="Unresolved Mention"/>
    <w:basedOn w:val="DefaultParagraphFont"/>
    <w:uiPriority w:val="99"/>
    <w:semiHidden/>
    <w:unhideWhenUsed/>
    <w:rsid w:val="007B0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s://doi.org/10.1007/s00125-021-05388-6" TargetMode="External"/><Relationship Id="rId39" Type="http://schemas.openxmlformats.org/officeDocument/2006/relationships/hyperlink" Target="https://doi.org/10.1093/inthealth/ihab033" TargetMode="External"/><Relationship Id="rId21" Type="http://schemas.openxmlformats.org/officeDocument/2006/relationships/hyperlink" Target="https://doi.org/10.1016/j.diabres.2019.107843" TargetMode="External"/><Relationship Id="rId34" Type="http://schemas.openxmlformats.org/officeDocument/2006/relationships/hyperlink" Target="http://dx.doi.org/10.20960/nh.03258" TargetMode="External"/><Relationship Id="rId42" Type="http://schemas.openxmlformats.org/officeDocument/2006/relationships/hyperlink" Target="https://doi.org/10.1186/s12933-021-01360-0" TargetMode="External"/><Relationship Id="rId47" Type="http://schemas.openxmlformats.org/officeDocument/2006/relationships/hyperlink" Target="https://doi.org/10.1007/s12603-019-1206-x" TargetMode="External"/><Relationship Id="rId50" Type="http://schemas.openxmlformats.org/officeDocument/2006/relationships/hyperlink" Target="https://doi.org/10.2337/dc24-0889" TargetMode="External"/><Relationship Id="rId55" Type="http://schemas.openxmlformats.org/officeDocument/2006/relationships/hyperlink" Target="https://doi.org/10.4236/jbm.2023.114019"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https://doi.org/10.1038/nature05482" TargetMode="External"/><Relationship Id="rId11" Type="http://schemas.openxmlformats.org/officeDocument/2006/relationships/footer" Target="footer1.xml"/><Relationship Id="rId24" Type="http://schemas.openxmlformats.org/officeDocument/2006/relationships/hyperlink" Target="https://doi.org/10.1097/HJH.0000000000003048" TargetMode="External"/><Relationship Id="rId32" Type="http://schemas.openxmlformats.org/officeDocument/2006/relationships/hyperlink" Target="https://doi.org/10.1080/21551197.2022.2138456" TargetMode="External"/><Relationship Id="rId37" Type="http://schemas.openxmlformats.org/officeDocument/2006/relationships/hyperlink" Target="https://doi.org/10.1186/s12936-023-04509-2" TargetMode="External"/><Relationship Id="rId40" Type="http://schemas.openxmlformats.org/officeDocument/2006/relationships/hyperlink" Target="https://doi.org/10.1016/S2213-8587(21)00118-2" TargetMode="External"/><Relationship Id="rId45" Type="http://schemas.openxmlformats.org/officeDocument/2006/relationships/hyperlink" Target="https://doi.org/10.1186/s13098-023-01254-z" TargetMode="External"/><Relationship Id="rId53" Type="http://schemas.openxmlformats.org/officeDocument/2006/relationships/hyperlink" Target="https://doi.org/10.2337/diaspect.21.1.30" TargetMode="External"/><Relationship Id="rId5"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oi.org/10.1016/S2352-3018(14)00006-2" TargetMode="External"/><Relationship Id="rId27" Type="http://schemas.openxmlformats.org/officeDocument/2006/relationships/hyperlink" Target="https://doi.org/10.1136/bmjgh-2022-010234" TargetMode="External"/><Relationship Id="rId30" Type="http://schemas.openxmlformats.org/officeDocument/2006/relationships/hyperlink" Target="https://doi.org/10.1111/obr.13178" TargetMode="External"/><Relationship Id="rId35" Type="http://schemas.openxmlformats.org/officeDocument/2006/relationships/hyperlink" Target="https://doi.org/10.3390/ijerph20043120" TargetMode="External"/><Relationship Id="rId43" Type="http://schemas.openxmlformats.org/officeDocument/2006/relationships/hyperlink" Target="https://doi.org/10.1210/clinem/dgac629" TargetMode="External"/><Relationship Id="rId48" Type="http://schemas.openxmlformats.org/officeDocument/2006/relationships/hyperlink" Target="https://doi.org/10.1186/s12874-021-01222-z"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doi.org/10.1017/S136898002000234X"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doi.org/10.2337/dc22-1565" TargetMode="External"/><Relationship Id="rId33" Type="http://schemas.openxmlformats.org/officeDocument/2006/relationships/hyperlink" Target="https://doi.org/10.3389/fpubh.2024.1514805" TargetMode="External"/><Relationship Id="rId38" Type="http://schemas.openxmlformats.org/officeDocument/2006/relationships/hyperlink" Target="https://doi.org/10.4236/jbm.2024.122001" TargetMode="External"/><Relationship Id="rId46" Type="http://schemas.openxmlformats.org/officeDocument/2006/relationships/hyperlink" Target="https://doi.org/10.1186/s12937-025-01178-6" TargetMode="External"/><Relationship Id="rId20" Type="http://schemas.openxmlformats.org/officeDocument/2006/relationships/header" Target="header6.xml"/><Relationship Id="rId41" Type="http://schemas.openxmlformats.org/officeDocument/2006/relationships/hyperlink" Target="https://doi.org/10.1007/s11886-023-01969-5" TargetMode="External"/><Relationship Id="rId54" Type="http://schemas.openxmlformats.org/officeDocument/2006/relationships/hyperlink" Target="https://doi.org/10.3390/jcm12216868"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hyperlink" Target="https://doi.org/10.1016/S0140-6736(18)32822-8" TargetMode="External"/><Relationship Id="rId28" Type="http://schemas.openxmlformats.org/officeDocument/2006/relationships/hyperlink" Target="https://doi.org/10.1186/s12882-017-0587-y" TargetMode="External"/><Relationship Id="rId36" Type="http://schemas.openxmlformats.org/officeDocument/2006/relationships/hyperlink" Target="https://doi.org/10.4102/phcfm.v15i1.3789" TargetMode="External"/><Relationship Id="rId49" Type="http://schemas.openxmlformats.org/officeDocument/2006/relationships/hyperlink" Target="https://doi.org/10.1186/s13643-015-0175-3" TargetMode="Externa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yperlink" Target="https://doi.org/10.1093/nutrit/nuz082" TargetMode="External"/><Relationship Id="rId44" Type="http://schemas.openxmlformats.org/officeDocument/2006/relationships/hyperlink" Target="https://doi.org/10.1093/eurjpc/zwac053" TargetMode="External"/><Relationship Id="rId52" Type="http://schemas.openxmlformats.org/officeDocument/2006/relationships/hyperlink" Target="https://doi.org/10.1371/journal.pone.031096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'objective 1'!$B$46</c:f>
              <c:strCache>
                <c:ptCount val="1"/>
                <c:pt idx="0">
                  <c:v>Percntage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GB"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'objective 1'!$A$47:$A$50</c:f>
              <c:strCache>
                <c:ptCount val="4"/>
                <c:pt idx="0">
                  <c:v>Under weight</c:v>
                </c:pt>
                <c:pt idx="1">
                  <c:v>Normal weight</c:v>
                </c:pt>
                <c:pt idx="2">
                  <c:v>Over weight</c:v>
                </c:pt>
                <c:pt idx="3">
                  <c:v>Obese</c:v>
                </c:pt>
              </c:strCache>
            </c:strRef>
          </c:cat>
          <c:val>
            <c:numRef>
              <c:f>'objective 1'!$B$47:$B$50</c:f>
              <c:numCache>
                <c:formatCode>0.00</c:formatCode>
                <c:ptCount val="4"/>
                <c:pt idx="0">
                  <c:v>25</c:v>
                </c:pt>
                <c:pt idx="1">
                  <c:v>32</c:v>
                </c:pt>
                <c:pt idx="2">
                  <c:v>26</c:v>
                </c:pt>
                <c:pt idx="3">
                  <c:v>17</c:v>
                </c:pt>
              </c:numCache>
            </c:numRef>
          </c:val>
          <c:extLst>
            <c:ext xmlns:c16="http://schemas.microsoft.com/office/drawing/2014/chart" uri="{C3380CC4-5D6E-409C-BE32-E72D297353CC}">
              <c16:uniqueId val="{00000000-0046-4E22-B10A-2347E87F9E9F}"/>
            </c:ext>
          </c:extLst>
        </c:ser>
        <c:dLbls>
          <c:showLegendKey val="0"/>
          <c:showVal val="1"/>
          <c:showCatName val="0"/>
          <c:showSerName val="0"/>
          <c:showPercent val="0"/>
          <c:showBubbleSize val="0"/>
        </c:dLbls>
        <c:gapWidth val="75"/>
        <c:axId val="1656569215"/>
        <c:axId val="1656577855"/>
      </c:barChart>
      <c:catAx>
        <c:axId val="1656569215"/>
        <c:scaling>
          <c:orientation val="minMax"/>
        </c:scaling>
        <c:delete val="0"/>
        <c:axPos val="l"/>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GB"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6577855"/>
        <c:crosses val="autoZero"/>
        <c:auto val="1"/>
        <c:lblAlgn val="ctr"/>
        <c:lblOffset val="100"/>
        <c:noMultiLvlLbl val="0"/>
      </c:catAx>
      <c:valAx>
        <c:axId val="1656577855"/>
        <c:scaling>
          <c:orientation val="minMax"/>
        </c:scaling>
        <c:delete val="0"/>
        <c:axPos val="b"/>
        <c:title>
          <c:tx>
            <c:rich>
              <a:bodyPr rot="0" spcFirstLastPara="1" vertOverflow="ellipsis" vert="horz" wrap="square" anchor="ctr" anchorCtr="1"/>
              <a:lstStyle/>
              <a:p>
                <a:pPr>
                  <a:defRPr lang="en-GB"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200" b="1">
                    <a:solidFill>
                      <a:sysClr val="windowText" lastClr="000000"/>
                    </a:solidFill>
                    <a:latin typeface="Times New Roman" panose="02020603050405020304" pitchFamily="18" charset="0"/>
                    <a:cs typeface="Times New Roman" panose="02020603050405020304" pitchFamily="18" charset="0"/>
                  </a:rPr>
                  <a:t>Percentage (%)</a:t>
                </a:r>
              </a:p>
            </c:rich>
          </c:tx>
          <c:overlay val="0"/>
          <c:spPr>
            <a:noFill/>
            <a:ln>
              <a:noFill/>
            </a:ln>
            <a:effectLst/>
          </c:spPr>
          <c:txPr>
            <a:bodyPr rot="0" spcFirstLastPara="1" vertOverflow="ellipsis" vert="horz" wrap="square" anchor="ctr" anchorCtr="1"/>
            <a:lstStyle/>
            <a:p>
              <a:pPr>
                <a:defRPr lang="en-GB"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lang="en-GB"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56569215"/>
        <c:crosses val="autoZero"/>
        <c:crossBetween val="between"/>
      </c:valAx>
      <c:spPr>
        <a:noFill/>
        <a:ln>
          <a:noFill/>
        </a:ln>
        <a:effectLst/>
      </c:spPr>
    </c:plotArea>
    <c:plotVisOnly val="1"/>
    <c:dispBlanksAs val="gap"/>
    <c:showDLblsOverMax val="0"/>
    <c:extLst>
      <c:ext uri="{0b15fc19-7d7d-44ad-8c2d-2c3a37ce22c3}">
        <chartProps xmlns="https://web.wps.cn/et/2018/main" chartId="{53721db2-9c65-4923-b226-694008123b76}"/>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F5FB95-B461-433A-8E41-DEBF6131D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15</Pages>
  <Words>6799</Words>
  <Characters>38755</Characters>
  <Application>Microsoft Office Word</Application>
  <DocSecurity>0</DocSecurity>
  <Lines>322</Lines>
  <Paragraphs>90</Paragraphs>
  <ScaleCrop>false</ScaleCrop>
  <Company>aaaa</Company>
  <LinksUpToDate>false</LinksUpToDate>
  <CharactersWithSpaces>45464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22</cp:revision>
  <cp:lastPrinted>1999-07-06T11:00:00Z</cp:lastPrinted>
  <dcterms:created xsi:type="dcterms:W3CDTF">2025-08-31T22:58:00Z</dcterms:created>
  <dcterms:modified xsi:type="dcterms:W3CDTF">2025-09-03T13:42:00Z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933F5B99AA16409FB5925928B0EF8FA9_12</vt:lpwstr>
  </property>
</Properties>
</file>