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2A9FB" w14:textId="77777777" w:rsidR="00BF0C05" w:rsidRPr="00322C9C" w:rsidRDefault="00BF0C05" w:rsidP="004525D5">
      <w:pPr>
        <w:spacing w:line="480" w:lineRule="auto"/>
        <w:jc w:val="center"/>
        <w:rPr>
          <w:rFonts w:ascii="Times New Roman" w:hAnsi="Times New Roman" w:cs="Times New Roman"/>
          <w:b/>
          <w:sz w:val="24"/>
          <w:szCs w:val="24"/>
        </w:rPr>
      </w:pPr>
      <w:r w:rsidRPr="00322C9C">
        <w:rPr>
          <w:rFonts w:ascii="Times New Roman" w:hAnsi="Times New Roman" w:cs="Times New Roman"/>
          <w:b/>
          <w:sz w:val="24"/>
          <w:szCs w:val="24"/>
        </w:rPr>
        <w:t>Continued Medical Education for Surgeons: Understanding Participation Trends in</w:t>
      </w:r>
      <w:r w:rsidR="00B95E4D">
        <w:rPr>
          <w:rFonts w:ascii="Times New Roman" w:hAnsi="Times New Roman" w:cs="Times New Roman"/>
          <w:b/>
          <w:sz w:val="24"/>
          <w:szCs w:val="24"/>
        </w:rPr>
        <w:t xml:space="preserve"> Pre-Conference Workshops at National Orthopedic Association</w:t>
      </w:r>
      <w:r w:rsidRPr="00322C9C">
        <w:rPr>
          <w:rFonts w:ascii="Times New Roman" w:hAnsi="Times New Roman" w:cs="Times New Roman"/>
          <w:b/>
          <w:sz w:val="24"/>
          <w:szCs w:val="24"/>
        </w:rPr>
        <w:t xml:space="preserve"> 2024</w:t>
      </w:r>
    </w:p>
    <w:p w14:paraId="0AD27CCF" w14:textId="77777777" w:rsidR="006A5049" w:rsidRDefault="006A5049" w:rsidP="00AE1F38">
      <w:pPr>
        <w:spacing w:before="100" w:beforeAutospacing="1" w:after="100" w:afterAutospacing="1" w:line="480" w:lineRule="auto"/>
        <w:jc w:val="both"/>
        <w:rPr>
          <w:rFonts w:ascii="Times New Roman" w:eastAsia="Times New Roman" w:hAnsi="Times New Roman" w:cs="Times New Roman"/>
          <w:b/>
          <w:bCs/>
          <w:sz w:val="24"/>
          <w:szCs w:val="24"/>
        </w:rPr>
      </w:pPr>
    </w:p>
    <w:p w14:paraId="1363FB24" w14:textId="0D54D740" w:rsidR="00AE1F38" w:rsidRPr="00322C9C" w:rsidRDefault="00AE1F38" w:rsidP="00AE1F38">
      <w:pPr>
        <w:spacing w:before="100" w:beforeAutospacing="1" w:after="100" w:afterAutospacing="1" w:line="480" w:lineRule="auto"/>
        <w:jc w:val="both"/>
        <w:rPr>
          <w:rFonts w:ascii="Times New Roman" w:eastAsia="Times New Roman" w:hAnsi="Times New Roman" w:cs="Times New Roman"/>
          <w:sz w:val="24"/>
          <w:szCs w:val="24"/>
        </w:rPr>
      </w:pPr>
      <w:bookmarkStart w:id="0" w:name="_GoBack"/>
      <w:bookmarkEnd w:id="0"/>
      <w:r w:rsidRPr="00322C9C">
        <w:rPr>
          <w:rFonts w:ascii="Times New Roman" w:eastAsia="Times New Roman" w:hAnsi="Times New Roman" w:cs="Times New Roman"/>
          <w:b/>
          <w:bCs/>
          <w:sz w:val="24"/>
          <w:szCs w:val="24"/>
        </w:rPr>
        <w:t>Abstract</w:t>
      </w:r>
    </w:p>
    <w:p w14:paraId="7DA63F75" w14:textId="77777777" w:rsidR="0049618D" w:rsidRPr="00322C9C" w:rsidRDefault="0049618D" w:rsidP="0049618D">
      <w:pPr>
        <w:pStyle w:val="NormalWeb"/>
        <w:spacing w:line="480" w:lineRule="auto"/>
        <w:jc w:val="both"/>
      </w:pPr>
      <w:r w:rsidRPr="00322C9C">
        <w:rPr>
          <w:rStyle w:val="Strong"/>
        </w:rPr>
        <w:t>Background:</w:t>
      </w:r>
      <w:r w:rsidRPr="00322C9C">
        <w:t xml:space="preserve"> Continued medical education (CME) is essential for sustaining the clinical competence of orthopedic surgeons, especially in rapidly evolving areas such as surgical technology and subspecialty techniques. This study aimed to describe the patterns of participation of orthopedic surgeons in pre-conference workshops at the 2024 Nigerian Orthopedic Association (NOA) Conference and to identify the factors influencing course selection.</w:t>
      </w:r>
    </w:p>
    <w:p w14:paraId="6DDD7239" w14:textId="77777777" w:rsidR="0049618D" w:rsidRPr="00322C9C" w:rsidRDefault="0049618D" w:rsidP="0049618D">
      <w:pPr>
        <w:pStyle w:val="NormalWeb"/>
        <w:spacing w:line="480" w:lineRule="auto"/>
        <w:jc w:val="both"/>
      </w:pPr>
      <w:r w:rsidRPr="00322C9C">
        <w:rPr>
          <w:rStyle w:val="Strong"/>
        </w:rPr>
        <w:t>Methods:</w:t>
      </w:r>
      <w:r w:rsidRPr="00322C9C">
        <w:t xml:space="preserve"> A cross-sectional survey was conducted among </w:t>
      </w:r>
      <w:r w:rsidR="00B95E4D">
        <w:t xml:space="preserve">orthopedic </w:t>
      </w:r>
      <w:r w:rsidRPr="00322C9C">
        <w:t>surgeons at the 2024 NOA Conference using a structured questionnaire on demographics, subspecialty, workshop attendance, and reasons for participation. Data were summarized with frequencies and percentages.</w:t>
      </w:r>
    </w:p>
    <w:p w14:paraId="6373E553" w14:textId="77777777" w:rsidR="0049618D" w:rsidRPr="00322C9C" w:rsidRDefault="0049618D" w:rsidP="0049618D">
      <w:pPr>
        <w:pStyle w:val="NormalWeb"/>
        <w:spacing w:line="480" w:lineRule="auto"/>
        <w:jc w:val="both"/>
      </w:pPr>
      <w:r w:rsidRPr="00322C9C">
        <w:rPr>
          <w:rStyle w:val="Strong"/>
        </w:rPr>
        <w:t>Results:</w:t>
      </w:r>
      <w:r w:rsidRPr="00322C9C">
        <w:t xml:space="preserve"> Sixty-eight </w:t>
      </w:r>
      <w:r w:rsidR="00B95E4D">
        <w:t xml:space="preserve">orthopedic </w:t>
      </w:r>
      <w:r w:rsidRPr="00322C9C">
        <w:t>surgeons participated, mostly male (82.4%) and aged 41–50 years (47.1%). Consultants formed the largest group (67.6%). Spine (38.2%) and arthroplasty (19.1%) were the leading specialties. The pelvic and acetabular fracture fixation workshop had the highest attendance (55.9%), followed by scoliosis (33.8%). Course selection was mainly driven by relevance to practice (66.2%), while conflicting schedules (51.5%) and lack of relevance (35.3%) limited participation.</w:t>
      </w:r>
    </w:p>
    <w:p w14:paraId="70317B4A" w14:textId="77777777" w:rsidR="0049618D" w:rsidRPr="00322C9C" w:rsidRDefault="0049618D" w:rsidP="0049618D">
      <w:pPr>
        <w:pStyle w:val="NormalWeb"/>
        <w:spacing w:line="480" w:lineRule="auto"/>
        <w:jc w:val="both"/>
      </w:pPr>
      <w:r w:rsidRPr="00322C9C">
        <w:rPr>
          <w:rStyle w:val="Strong"/>
        </w:rPr>
        <w:t>Conclusion:</w:t>
      </w:r>
      <w:r w:rsidRPr="00322C9C">
        <w:t xml:space="preserve"> </w:t>
      </w:r>
      <w:r w:rsidR="00B95E4D">
        <w:t xml:space="preserve">CME participation among Nigerian orthopedic surgeons was primarily influenced by the practical relevance of workshops and the high burden of trauma-related conditions. Strategic </w:t>
      </w:r>
      <w:r w:rsidR="00B95E4D">
        <w:lastRenderedPageBreak/>
        <w:t>scheduling, broader course offerings, and mitigation of structural barriers are needed to strengthen engagement and support balanced subspecialty development.</w:t>
      </w:r>
    </w:p>
    <w:p w14:paraId="3553B36E" w14:textId="77777777" w:rsidR="0049618D" w:rsidRPr="00322C9C" w:rsidRDefault="0049618D" w:rsidP="0049618D">
      <w:pPr>
        <w:pStyle w:val="NormalWeb"/>
        <w:spacing w:line="480" w:lineRule="auto"/>
        <w:jc w:val="both"/>
      </w:pPr>
      <w:r w:rsidRPr="00322C9C">
        <w:rPr>
          <w:rStyle w:val="Strong"/>
        </w:rPr>
        <w:t>Keywords:</w:t>
      </w:r>
      <w:r w:rsidRPr="00322C9C">
        <w:t xml:space="preserve"> Continued medical education, orthopedic surgeons, workshop participation, Nigeria, conference</w:t>
      </w:r>
    </w:p>
    <w:p w14:paraId="67174C04" w14:textId="77777777" w:rsidR="00AE1F38" w:rsidRPr="00322C9C" w:rsidRDefault="00AE1F38" w:rsidP="00AE1F38">
      <w:pPr>
        <w:spacing w:line="480" w:lineRule="auto"/>
        <w:jc w:val="both"/>
        <w:rPr>
          <w:rFonts w:ascii="Times New Roman" w:hAnsi="Times New Roman" w:cs="Times New Roman"/>
          <w:b/>
          <w:sz w:val="24"/>
          <w:szCs w:val="24"/>
        </w:rPr>
      </w:pPr>
      <w:r w:rsidRPr="00322C9C">
        <w:rPr>
          <w:rFonts w:ascii="Times New Roman" w:hAnsi="Times New Roman" w:cs="Times New Roman"/>
          <w:b/>
          <w:sz w:val="24"/>
          <w:szCs w:val="24"/>
        </w:rPr>
        <w:t>Introduction</w:t>
      </w:r>
    </w:p>
    <w:p w14:paraId="03CC131E" w14:textId="77777777" w:rsidR="00BF0C05" w:rsidRPr="00322C9C" w:rsidRDefault="00642FE6" w:rsidP="00BF0C05">
      <w:pPr>
        <w:spacing w:before="100" w:beforeAutospacing="1" w:after="100" w:afterAutospacing="1" w:line="48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Continuing medical education (CME) is typically defined as an educational activity that maintains, develops, or increases the knowledge and skill a physician uses to provide services for patients, the public, or the profession once they have completed training (</w:t>
      </w:r>
      <w:proofErr w:type="spellStart"/>
      <w:r w:rsidRPr="00322C9C">
        <w:rPr>
          <w:rFonts w:ascii="Times New Roman" w:hAnsi="Times New Roman" w:cs="Times New Roman"/>
          <w:color w:val="1B1B1B"/>
          <w:sz w:val="24"/>
          <w:szCs w:val="24"/>
          <w:shd w:val="clear" w:color="auto" w:fill="FFFFFF"/>
        </w:rPr>
        <w:t>VanNieuwenborg</w:t>
      </w:r>
      <w:proofErr w:type="spellEnd"/>
      <w:r w:rsidRPr="00322C9C">
        <w:rPr>
          <w:rFonts w:ascii="Times New Roman" w:hAnsi="Times New Roman" w:cs="Times New Roman"/>
          <w:color w:val="1B1B1B"/>
          <w:sz w:val="24"/>
          <w:szCs w:val="24"/>
          <w:shd w:val="clear" w:color="auto" w:fill="FFFFFF"/>
        </w:rPr>
        <w:t xml:space="preserve"> et al., 2016; Sherman et al., 2024). Participation in CME activities is one way that physicians commit to continuous learning to provide the best evidence-based care, and CME is known to improve physician knowledge base, competence, and performance in practice (</w:t>
      </w:r>
      <w:r w:rsidRPr="00322C9C">
        <w:rPr>
          <w:rFonts w:ascii="Times New Roman" w:hAnsi="Times New Roman" w:cs="Times New Roman"/>
          <w:color w:val="28333D"/>
          <w:sz w:val="24"/>
          <w:szCs w:val="24"/>
          <w:shd w:val="clear" w:color="auto" w:fill="FFFFFF"/>
        </w:rPr>
        <w:t>Balmer, 2013; Abbasi, 2025</w:t>
      </w:r>
      <w:r w:rsidRPr="00322C9C">
        <w:rPr>
          <w:rFonts w:ascii="Times New Roman" w:hAnsi="Times New Roman" w:cs="Times New Roman"/>
          <w:color w:val="1B1B1B"/>
          <w:sz w:val="24"/>
          <w:szCs w:val="24"/>
          <w:shd w:val="clear" w:color="auto" w:fill="FFFFFF"/>
        </w:rPr>
        <w:t xml:space="preserve">). </w:t>
      </w:r>
      <w:r w:rsidR="00BF0C05" w:rsidRPr="00322C9C">
        <w:rPr>
          <w:rFonts w:ascii="Times New Roman" w:hAnsi="Times New Roman" w:cs="Times New Roman"/>
          <w:sz w:val="24"/>
          <w:szCs w:val="24"/>
        </w:rPr>
        <w:t>CME is important for surgical education (</w:t>
      </w:r>
      <w:r w:rsidR="00BF0C05" w:rsidRPr="00322C9C">
        <w:rPr>
          <w:rFonts w:ascii="Times New Roman" w:hAnsi="Times New Roman" w:cs="Times New Roman"/>
          <w:color w:val="333333"/>
          <w:sz w:val="24"/>
          <w:szCs w:val="24"/>
          <w:shd w:val="clear" w:color="auto" w:fill="FFFFFF"/>
        </w:rPr>
        <w:t>Buckley et al., 2017</w:t>
      </w:r>
      <w:r w:rsidR="00BF0C05" w:rsidRPr="00322C9C">
        <w:rPr>
          <w:rFonts w:ascii="Times New Roman" w:hAnsi="Times New Roman" w:cs="Times New Roman"/>
          <w:sz w:val="24"/>
          <w:szCs w:val="24"/>
        </w:rPr>
        <w:t xml:space="preserve">), especially for </w:t>
      </w:r>
      <w:r w:rsidR="00B95E4D">
        <w:rPr>
          <w:rFonts w:ascii="Times New Roman" w:hAnsi="Times New Roman" w:cs="Times New Roman"/>
          <w:sz w:val="24"/>
          <w:szCs w:val="24"/>
        </w:rPr>
        <w:t xml:space="preserve">orthopedic </w:t>
      </w:r>
      <w:r w:rsidR="00BF0C05" w:rsidRPr="00322C9C">
        <w:rPr>
          <w:rFonts w:ascii="Times New Roman" w:hAnsi="Times New Roman" w:cs="Times New Roman"/>
          <w:sz w:val="24"/>
          <w:szCs w:val="24"/>
        </w:rPr>
        <w:t>surgeons, as new technologies, techniques, and evolving practice patterns can gradually create gaps in knowledge and performance (</w:t>
      </w:r>
      <w:proofErr w:type="spellStart"/>
      <w:r w:rsidR="00BF0C05" w:rsidRPr="00322C9C">
        <w:rPr>
          <w:rFonts w:ascii="Times New Roman" w:hAnsi="Times New Roman" w:cs="Times New Roman"/>
          <w:color w:val="1B1B1B"/>
          <w:sz w:val="24"/>
          <w:szCs w:val="24"/>
          <w:shd w:val="clear" w:color="auto" w:fill="FFFFFF"/>
        </w:rPr>
        <w:t>Bhashyam</w:t>
      </w:r>
      <w:proofErr w:type="spellEnd"/>
      <w:r w:rsidR="00BF0C05" w:rsidRPr="00322C9C">
        <w:rPr>
          <w:rFonts w:ascii="Times New Roman" w:hAnsi="Times New Roman" w:cs="Times New Roman"/>
          <w:color w:val="1B1B1B"/>
          <w:sz w:val="24"/>
          <w:szCs w:val="24"/>
          <w:shd w:val="clear" w:color="auto" w:fill="FFFFFF"/>
        </w:rPr>
        <w:t xml:space="preserve"> et al., 2019</w:t>
      </w:r>
      <w:r w:rsidR="00BF0C05" w:rsidRPr="00322C9C">
        <w:rPr>
          <w:rFonts w:ascii="Times New Roman" w:hAnsi="Times New Roman" w:cs="Times New Roman"/>
          <w:sz w:val="24"/>
          <w:szCs w:val="24"/>
        </w:rPr>
        <w:t>).</w:t>
      </w:r>
    </w:p>
    <w:p w14:paraId="47061B52"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Advances in surgical techniques, implant technology, and perioperative care occur rapidly, and surgeons must engage in lifelong learning to remain competent and deliver optimal patient outcomes</w:t>
      </w:r>
      <w:r w:rsidR="005B5D56" w:rsidRPr="00322C9C">
        <w:rPr>
          <w:rFonts w:ascii="Times New Roman" w:eastAsia="Times New Roman" w:hAnsi="Times New Roman" w:cs="Times New Roman"/>
          <w:sz w:val="24"/>
          <w:szCs w:val="24"/>
        </w:rPr>
        <w:t xml:space="preserve"> (</w:t>
      </w:r>
      <w:r w:rsidR="005B5D56" w:rsidRPr="00322C9C">
        <w:rPr>
          <w:rFonts w:ascii="Times New Roman" w:hAnsi="Times New Roman" w:cs="Times New Roman"/>
          <w:color w:val="28333D"/>
          <w:sz w:val="24"/>
          <w:szCs w:val="24"/>
          <w:shd w:val="clear" w:color="auto" w:fill="FFFFFF"/>
        </w:rPr>
        <w:t xml:space="preserve">Brandt, 2015; Evans and </w:t>
      </w:r>
      <w:proofErr w:type="spellStart"/>
      <w:r w:rsidR="005B5D56" w:rsidRPr="00322C9C">
        <w:rPr>
          <w:rFonts w:ascii="Times New Roman" w:hAnsi="Times New Roman" w:cs="Times New Roman"/>
          <w:color w:val="28333D"/>
          <w:sz w:val="24"/>
          <w:szCs w:val="24"/>
          <w:shd w:val="clear" w:color="auto" w:fill="FFFFFF"/>
        </w:rPr>
        <w:t>Schenarts</w:t>
      </w:r>
      <w:proofErr w:type="spellEnd"/>
      <w:r w:rsidR="005B5D56" w:rsidRPr="00322C9C">
        <w:rPr>
          <w:rFonts w:ascii="Times New Roman" w:hAnsi="Times New Roman" w:cs="Times New Roman"/>
          <w:color w:val="28333D"/>
          <w:sz w:val="24"/>
          <w:szCs w:val="24"/>
          <w:shd w:val="clear" w:color="auto" w:fill="FFFFFF"/>
        </w:rPr>
        <w:t>, 2016</w:t>
      </w:r>
      <w:r w:rsidR="005B5D56"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Internationally, participation in continued medical education is well established</w:t>
      </w:r>
      <w:r w:rsidR="005B5D56" w:rsidRPr="00322C9C">
        <w:rPr>
          <w:rFonts w:ascii="Times New Roman" w:eastAsia="Times New Roman" w:hAnsi="Times New Roman" w:cs="Times New Roman"/>
          <w:sz w:val="24"/>
          <w:szCs w:val="24"/>
        </w:rPr>
        <w:t xml:space="preserve"> (Peck et al., 2000)</w:t>
      </w:r>
      <w:r w:rsidRPr="00642FE6">
        <w:rPr>
          <w:rFonts w:ascii="Times New Roman" w:eastAsia="Times New Roman" w:hAnsi="Times New Roman" w:cs="Times New Roman"/>
          <w:sz w:val="24"/>
          <w:szCs w:val="24"/>
        </w:rPr>
        <w:t xml:space="preserve">. In Australia, for example,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 xml:space="preserve">surgeons were reported to dedicate over 350 hours annually to continued medical education activities, with a significant proportion of this time spent at conferences and workshops that allow </w:t>
      </w:r>
      <w:r w:rsidRPr="00642FE6">
        <w:rPr>
          <w:rFonts w:ascii="Times New Roman" w:eastAsia="Times New Roman" w:hAnsi="Times New Roman" w:cs="Times New Roman"/>
          <w:sz w:val="24"/>
          <w:szCs w:val="24"/>
        </w:rPr>
        <w:lastRenderedPageBreak/>
        <w:t>exposure to new practices and innovations</w:t>
      </w:r>
      <w:r w:rsidR="003A297A" w:rsidRPr="00322C9C">
        <w:rPr>
          <w:rFonts w:ascii="Times New Roman" w:eastAsia="Times New Roman" w:hAnsi="Times New Roman" w:cs="Times New Roman"/>
          <w:sz w:val="24"/>
          <w:szCs w:val="24"/>
        </w:rPr>
        <w:t xml:space="preserve"> (</w:t>
      </w:r>
      <w:proofErr w:type="spellStart"/>
      <w:r w:rsidR="003A297A" w:rsidRPr="00322C9C">
        <w:rPr>
          <w:rFonts w:ascii="Times New Roman" w:hAnsi="Times New Roman" w:cs="Times New Roman"/>
          <w:color w:val="28333D"/>
          <w:sz w:val="24"/>
          <w:szCs w:val="24"/>
          <w:shd w:val="clear" w:color="auto" w:fill="FFFFFF"/>
        </w:rPr>
        <w:t>Incoll</w:t>
      </w:r>
      <w:proofErr w:type="spellEnd"/>
      <w:r w:rsidR="003A297A" w:rsidRPr="00322C9C">
        <w:rPr>
          <w:rFonts w:ascii="Times New Roman" w:hAnsi="Times New Roman" w:cs="Times New Roman"/>
          <w:color w:val="28333D"/>
          <w:sz w:val="24"/>
          <w:szCs w:val="24"/>
          <w:shd w:val="clear" w:color="auto" w:fill="FFFFFF"/>
        </w:rPr>
        <w:t xml:space="preserve"> et al., 2019</w:t>
      </w:r>
      <w:r w:rsidR="003A297A"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Such structured engagement is associated with improved surgical performance and enhanced patient care.</w:t>
      </w:r>
    </w:p>
    <w:p w14:paraId="5053062F"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 xml:space="preserve">Workshops and conferences remain a particularly valued format of continued medical education for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surgeons</w:t>
      </w:r>
      <w:r w:rsidR="003A297A" w:rsidRPr="00322C9C">
        <w:rPr>
          <w:rFonts w:ascii="Times New Roman" w:eastAsia="Times New Roman" w:hAnsi="Times New Roman" w:cs="Times New Roman"/>
          <w:sz w:val="24"/>
          <w:szCs w:val="24"/>
        </w:rPr>
        <w:t xml:space="preserve"> (</w:t>
      </w:r>
      <w:r w:rsidR="003A297A" w:rsidRPr="00322C9C">
        <w:rPr>
          <w:rFonts w:ascii="Times New Roman" w:hAnsi="Times New Roman" w:cs="Times New Roman"/>
          <w:color w:val="28333D"/>
          <w:sz w:val="24"/>
          <w:szCs w:val="24"/>
          <w:shd w:val="clear" w:color="auto" w:fill="FFFFFF"/>
        </w:rPr>
        <w:t>Ottesen et al., 2021</w:t>
      </w:r>
      <w:r w:rsidR="003A297A"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They provide direct hands-on exposure, peer interaction, and opportunities to learn complex techniques that cannot be acquired through passive reading or lectures alone</w:t>
      </w:r>
      <w:r w:rsidR="003A297A" w:rsidRPr="00322C9C">
        <w:rPr>
          <w:rFonts w:ascii="Times New Roman" w:eastAsia="Times New Roman" w:hAnsi="Times New Roman" w:cs="Times New Roman"/>
          <w:sz w:val="24"/>
          <w:szCs w:val="24"/>
        </w:rPr>
        <w:t xml:space="preserve"> (</w:t>
      </w:r>
      <w:r w:rsidR="003A297A" w:rsidRPr="00322C9C">
        <w:rPr>
          <w:rFonts w:ascii="Times New Roman" w:hAnsi="Times New Roman" w:cs="Times New Roman"/>
          <w:color w:val="1B1B1B"/>
          <w:sz w:val="24"/>
          <w:szCs w:val="24"/>
          <w:shd w:val="clear" w:color="auto" w:fill="FFFFFF"/>
        </w:rPr>
        <w:t xml:space="preserve">Challa et al., 2021; </w:t>
      </w:r>
      <w:proofErr w:type="spellStart"/>
      <w:r w:rsidR="003A297A" w:rsidRPr="00322C9C">
        <w:rPr>
          <w:rFonts w:ascii="Times New Roman" w:hAnsi="Times New Roman" w:cs="Times New Roman"/>
          <w:color w:val="1B1B1B"/>
          <w:sz w:val="24"/>
          <w:szCs w:val="24"/>
          <w:shd w:val="clear" w:color="auto" w:fill="FFFFFF"/>
        </w:rPr>
        <w:t>Forsetlund</w:t>
      </w:r>
      <w:proofErr w:type="spellEnd"/>
      <w:r w:rsidR="003A297A" w:rsidRPr="00322C9C">
        <w:rPr>
          <w:rFonts w:ascii="Times New Roman" w:hAnsi="Times New Roman" w:cs="Times New Roman"/>
          <w:color w:val="1B1B1B"/>
          <w:sz w:val="24"/>
          <w:szCs w:val="24"/>
          <w:shd w:val="clear" w:color="auto" w:fill="FFFFFF"/>
        </w:rPr>
        <w:t xml:space="preserve"> et al., 2021</w:t>
      </w:r>
      <w:r w:rsidR="003A297A"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Evidence from different regions highlights the importance surgeons attach to these a</w:t>
      </w:r>
      <w:r w:rsidR="005B5D56" w:rsidRPr="00322C9C">
        <w:rPr>
          <w:rFonts w:ascii="Times New Roman" w:eastAsia="Times New Roman" w:hAnsi="Times New Roman" w:cs="Times New Roman"/>
          <w:sz w:val="24"/>
          <w:szCs w:val="24"/>
        </w:rPr>
        <w:t>ctivities. In Saudi Arabia, 43%</w:t>
      </w:r>
      <w:r w:rsidRPr="00642FE6">
        <w:rPr>
          <w:rFonts w:ascii="Times New Roman" w:eastAsia="Times New Roman" w:hAnsi="Times New Roman" w:cs="Times New Roman"/>
          <w:sz w:val="24"/>
          <w:szCs w:val="24"/>
        </w:rPr>
        <w:t xml:space="preserve"> of physicians cited the relevance of the topic as their major reason for attending continued medical education</w:t>
      </w:r>
      <w:r w:rsidR="003A297A" w:rsidRPr="00322C9C">
        <w:rPr>
          <w:rFonts w:ascii="Times New Roman" w:eastAsia="Times New Roman" w:hAnsi="Times New Roman" w:cs="Times New Roman"/>
          <w:sz w:val="24"/>
          <w:szCs w:val="24"/>
        </w:rPr>
        <w:t xml:space="preserve"> (</w:t>
      </w:r>
      <w:r w:rsidR="003A297A" w:rsidRPr="00322C9C">
        <w:rPr>
          <w:rFonts w:ascii="Times New Roman" w:hAnsi="Times New Roman" w:cs="Times New Roman"/>
          <w:color w:val="28333D"/>
          <w:sz w:val="24"/>
          <w:szCs w:val="24"/>
          <w:shd w:val="clear" w:color="auto" w:fill="FFFFFF"/>
        </w:rPr>
        <w:t>Alshehri et al., 2024</w:t>
      </w:r>
      <w:r w:rsidR="003A297A"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while in South Asia, time availability and cost emerged as important determinants</w:t>
      </w:r>
      <w:r w:rsidR="00CF7123" w:rsidRPr="00322C9C">
        <w:rPr>
          <w:rFonts w:ascii="Times New Roman" w:eastAsia="Times New Roman" w:hAnsi="Times New Roman" w:cs="Times New Roman"/>
          <w:sz w:val="24"/>
          <w:szCs w:val="24"/>
        </w:rPr>
        <w:t xml:space="preserve"> (Ali et al., 2018)</w:t>
      </w:r>
      <w:r w:rsidRPr="00642FE6">
        <w:rPr>
          <w:rFonts w:ascii="Times New Roman" w:eastAsia="Times New Roman" w:hAnsi="Times New Roman" w:cs="Times New Roman"/>
          <w:sz w:val="24"/>
          <w:szCs w:val="24"/>
        </w:rPr>
        <w:t xml:space="preserve">. Although these studies are not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specific, they illustrate a global pattern where relevance to practice, convenience, and accessibility strongly influence attendance.</w:t>
      </w:r>
    </w:p>
    <w:p w14:paraId="1C211A69"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 xml:space="preserve">In sub Saharan Africa,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surgeons face unique challenges with continued medical education. Heavy clinical workload, limited institutional support, and financial constraints restrict opportunities for structured engagement</w:t>
      </w:r>
      <w:r w:rsidR="00CF7123" w:rsidRPr="00322C9C">
        <w:rPr>
          <w:rFonts w:ascii="Times New Roman" w:eastAsia="Times New Roman" w:hAnsi="Times New Roman" w:cs="Times New Roman"/>
          <w:sz w:val="24"/>
          <w:szCs w:val="24"/>
        </w:rPr>
        <w:t xml:space="preserve"> (</w:t>
      </w:r>
      <w:proofErr w:type="spellStart"/>
      <w:r w:rsidR="00CF7123" w:rsidRPr="00322C9C">
        <w:rPr>
          <w:rFonts w:ascii="Times New Roman" w:hAnsi="Times New Roman" w:cs="Times New Roman"/>
          <w:color w:val="28333D"/>
          <w:sz w:val="24"/>
          <w:szCs w:val="24"/>
          <w:shd w:val="clear" w:color="auto" w:fill="FFFFFF"/>
        </w:rPr>
        <w:t>Feldacker</w:t>
      </w:r>
      <w:proofErr w:type="spellEnd"/>
      <w:r w:rsidR="00CF7123" w:rsidRPr="00322C9C">
        <w:rPr>
          <w:rFonts w:ascii="Times New Roman" w:hAnsi="Times New Roman" w:cs="Times New Roman"/>
          <w:color w:val="1B1B1B"/>
          <w:sz w:val="24"/>
          <w:szCs w:val="24"/>
          <w:shd w:val="clear" w:color="auto" w:fill="FFFFFF"/>
        </w:rPr>
        <w:t xml:space="preserve"> et al., 2017; Davies et al., 2022</w:t>
      </w:r>
      <w:r w:rsidR="00CF7123"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xml:space="preserve">. Despite these challenges, professional associations continue to play a crucial role in providing training opportunities. Within Nigeria, the Nigerian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 xml:space="preserve">Association organizes annual scientific conferences that include pre conference workshops. These workshops offer focused training in subspecialty areas such as spine surgery, arthroplasty, trauma, and </w:t>
      </w:r>
      <w:proofErr w:type="spellStart"/>
      <w:r w:rsidRPr="00642FE6">
        <w:rPr>
          <w:rFonts w:ascii="Times New Roman" w:eastAsia="Times New Roman" w:hAnsi="Times New Roman" w:cs="Times New Roman"/>
          <w:sz w:val="24"/>
          <w:szCs w:val="24"/>
        </w:rPr>
        <w:t>paediatric</w:t>
      </w:r>
      <w:proofErr w:type="spellEnd"/>
      <w:r w:rsidRPr="00642FE6">
        <w:rPr>
          <w:rFonts w:ascii="Times New Roman" w:eastAsia="Times New Roman" w:hAnsi="Times New Roman" w:cs="Times New Roman"/>
          <w:sz w:val="24"/>
          <w:szCs w:val="24"/>
        </w:rPr>
        <w:t xml:space="preserve"> </w:t>
      </w:r>
      <w:proofErr w:type="spellStart"/>
      <w:r w:rsidRPr="00642FE6">
        <w:rPr>
          <w:rFonts w:ascii="Times New Roman" w:eastAsia="Times New Roman" w:hAnsi="Times New Roman" w:cs="Times New Roman"/>
          <w:sz w:val="24"/>
          <w:szCs w:val="24"/>
        </w:rPr>
        <w:t>orthopaedics</w:t>
      </w:r>
      <w:proofErr w:type="spellEnd"/>
      <w:r w:rsidRPr="00642FE6">
        <w:rPr>
          <w:rFonts w:ascii="Times New Roman" w:eastAsia="Times New Roman" w:hAnsi="Times New Roman" w:cs="Times New Roman"/>
          <w:sz w:val="24"/>
          <w:szCs w:val="24"/>
        </w:rPr>
        <w:t>, and they represent some of the most important avenues for skill acquisition for surgeons in the country.</w:t>
      </w:r>
    </w:p>
    <w:p w14:paraId="3CFEDFBF"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 xml:space="preserve">However, little is known about the specific patterns of workshop attendance among Nigerian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 xml:space="preserve">surgeons or the reasons that influence their choices. While international evidence shows </w:t>
      </w:r>
      <w:r w:rsidRPr="00642FE6">
        <w:rPr>
          <w:rFonts w:ascii="Times New Roman" w:eastAsia="Times New Roman" w:hAnsi="Times New Roman" w:cs="Times New Roman"/>
          <w:sz w:val="24"/>
          <w:szCs w:val="24"/>
        </w:rPr>
        <w:lastRenderedPageBreak/>
        <w:t>that factors such as relevance to practice, time, and cost play key roles, it is unclear how these determinants manifest in the Nigerian setting where resource limitations and the need for locally relevant content may shape preferences differently. Identifying these patterns is crucial for aligning future educational offerings with the professional development needs of surgeons and ensuring that workshops are strategically targeted to areas with the greatest demand and clinical importance.</w:t>
      </w:r>
    </w:p>
    <w:p w14:paraId="18DA85AB"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 xml:space="preserve">The 2024 Annual Scientific Conference of the Nigerian </w:t>
      </w:r>
      <w:r w:rsidR="00B95E4D" w:rsidRPr="00642FE6">
        <w:rPr>
          <w:rFonts w:ascii="Times New Roman" w:eastAsia="Times New Roman" w:hAnsi="Times New Roman" w:cs="Times New Roman"/>
          <w:sz w:val="24"/>
          <w:szCs w:val="24"/>
        </w:rPr>
        <w:t>Orthopedic</w:t>
      </w:r>
      <w:r w:rsidRPr="00642FE6">
        <w:rPr>
          <w:rFonts w:ascii="Times New Roman" w:eastAsia="Times New Roman" w:hAnsi="Times New Roman" w:cs="Times New Roman"/>
          <w:sz w:val="24"/>
          <w:szCs w:val="24"/>
        </w:rPr>
        <w:t xml:space="preserve"> Association</w:t>
      </w:r>
      <w:r w:rsidR="00B95E4D">
        <w:rPr>
          <w:rFonts w:ascii="Times New Roman" w:eastAsia="Times New Roman" w:hAnsi="Times New Roman" w:cs="Times New Roman"/>
          <w:sz w:val="24"/>
          <w:szCs w:val="24"/>
        </w:rPr>
        <w:t xml:space="preserve"> (NOA)</w:t>
      </w:r>
      <w:r w:rsidRPr="00642FE6">
        <w:rPr>
          <w:rFonts w:ascii="Times New Roman" w:eastAsia="Times New Roman" w:hAnsi="Times New Roman" w:cs="Times New Roman"/>
          <w:sz w:val="24"/>
          <w:szCs w:val="24"/>
        </w:rPr>
        <w:t xml:space="preserve"> held in Enugu provided a unique opportunity to examine</w:t>
      </w:r>
      <w:r w:rsidR="00B95E4D">
        <w:rPr>
          <w:rFonts w:ascii="Times New Roman" w:eastAsia="Times New Roman" w:hAnsi="Times New Roman" w:cs="Times New Roman"/>
          <w:sz w:val="24"/>
          <w:szCs w:val="24"/>
        </w:rPr>
        <w:t xml:space="preserve"> surgeons’ participation in pre-</w:t>
      </w:r>
      <w:r w:rsidRPr="00642FE6">
        <w:rPr>
          <w:rFonts w:ascii="Times New Roman" w:eastAsia="Times New Roman" w:hAnsi="Times New Roman" w:cs="Times New Roman"/>
          <w:sz w:val="24"/>
          <w:szCs w:val="24"/>
        </w:rPr>
        <w:t xml:space="preserve">conference workshops. This study investigates the courses attended, the motivations guiding attendance, and the barriers to participation in other workshops. By generating evidence from the Nigerian context, the study aims to inform the design of future continued medical education programs, promote efficient use of resources, and strengthen local subspecialty capacity within </w:t>
      </w:r>
      <w:r w:rsidR="00B95E4D" w:rsidRPr="00642FE6">
        <w:rPr>
          <w:rFonts w:ascii="Times New Roman" w:eastAsia="Times New Roman" w:hAnsi="Times New Roman" w:cs="Times New Roman"/>
          <w:sz w:val="24"/>
          <w:szCs w:val="24"/>
        </w:rPr>
        <w:t>orthopedic</w:t>
      </w:r>
      <w:r w:rsidRPr="00642FE6">
        <w:rPr>
          <w:rFonts w:ascii="Times New Roman" w:eastAsia="Times New Roman" w:hAnsi="Times New Roman" w:cs="Times New Roman"/>
          <w:sz w:val="24"/>
          <w:szCs w:val="24"/>
        </w:rPr>
        <w:t xml:space="preserve"> surgery.</w:t>
      </w:r>
    </w:p>
    <w:p w14:paraId="1246BE73" w14:textId="77777777" w:rsidR="005832D0" w:rsidRPr="00322C9C" w:rsidRDefault="005832D0" w:rsidP="005832D0">
      <w:pPr>
        <w:pStyle w:val="NormalWeb"/>
        <w:spacing w:line="480" w:lineRule="auto"/>
        <w:jc w:val="both"/>
      </w:pPr>
      <w:r w:rsidRPr="00322C9C">
        <w:rPr>
          <w:rStyle w:val="Strong"/>
        </w:rPr>
        <w:t>Methodology</w:t>
      </w:r>
      <w:r w:rsidRPr="00322C9C">
        <w:br/>
        <w:t xml:space="preserve">This study employed a descriptive cross-sectional design. Data were collected during the Nigerian </w:t>
      </w:r>
      <w:r w:rsidR="00B95E4D">
        <w:t xml:space="preserve">Orthopedic </w:t>
      </w:r>
      <w:r w:rsidRPr="00322C9C">
        <w:t xml:space="preserve">Association (NOA) Annual Scientific Conference held in Enugu, Nigeria, in 2024. The conference included a series of pre-conference workshops covering different </w:t>
      </w:r>
      <w:r w:rsidR="00B95E4D">
        <w:t xml:space="preserve">orthopedic </w:t>
      </w:r>
      <w:r w:rsidRPr="00322C9C">
        <w:t xml:space="preserve">subspecialties, and the survey targeted surgeons who attended these sessions. The study population comprised </w:t>
      </w:r>
      <w:r w:rsidR="00B95E4D">
        <w:t xml:space="preserve">orthopedic </w:t>
      </w:r>
      <w:r w:rsidRPr="00322C9C">
        <w:t xml:space="preserve">surgeons and surgical trainees (registrars, senior registrars, and post-training fellows) who participated in the pre-conference workshops. Inclusion criteria were attendance at any of the scheduled workshops and willingness to complete the survey. Consultants and trainees from different institutions across Nigeria formed the participant pool. A total of 68 surgeons participated in the study. Recruitment was conducted through consecutive sampling, where all eligible and consenting attendees at the pre-conference workshops were invited to take part in the </w:t>
      </w:r>
      <w:r w:rsidRPr="00322C9C">
        <w:lastRenderedPageBreak/>
        <w:t xml:space="preserve">survey. Data were collected using a structured, self-administered questionnaire designed to capture sociodemographic information, area of </w:t>
      </w:r>
      <w:proofErr w:type="spellStart"/>
      <w:r w:rsidRPr="00322C9C">
        <w:t>subspecialization</w:t>
      </w:r>
      <w:proofErr w:type="spellEnd"/>
      <w:r w:rsidRPr="00322C9C">
        <w:t>, workshops attended, reasons for course selection, and barriers to attending alternative workshops. The questionnaire was developed based on themes identified in previous literature</w:t>
      </w:r>
      <w:r w:rsidR="00932917" w:rsidRPr="00322C9C">
        <w:t xml:space="preserve"> (</w:t>
      </w:r>
      <w:proofErr w:type="spellStart"/>
      <w:r w:rsidR="00932917" w:rsidRPr="00322C9C">
        <w:rPr>
          <w:color w:val="28333D"/>
          <w:shd w:val="clear" w:color="auto" w:fill="FFFFFF"/>
        </w:rPr>
        <w:t>Feldacker</w:t>
      </w:r>
      <w:proofErr w:type="spellEnd"/>
      <w:r w:rsidR="00932917" w:rsidRPr="00322C9C">
        <w:rPr>
          <w:color w:val="28333D"/>
          <w:shd w:val="clear" w:color="auto" w:fill="FFFFFF"/>
        </w:rPr>
        <w:t xml:space="preserve"> et al., 2017; Alshehri et al., 2024</w:t>
      </w:r>
      <w:r w:rsidR="00932917" w:rsidRPr="00322C9C">
        <w:t>)</w:t>
      </w:r>
      <w:r w:rsidRPr="00322C9C">
        <w:t xml:space="preserve"> on continued medical education and adapted to reflect the local context. Research assistants distributed and retrieved questionnaires on-site at the end of each workshop.</w:t>
      </w:r>
      <w:r w:rsidR="00932917" w:rsidRPr="00322C9C">
        <w:t xml:space="preserve"> The independent variables included age, sex, current professional position, and area of specialization. The outcome variables were participation in specific pre-conference workshops, the primary reasons for course selection, reasons for not attending other courses, and alternative courses considered but not attended.</w:t>
      </w:r>
    </w:p>
    <w:p w14:paraId="3F0506A3" w14:textId="77777777" w:rsidR="00932917" w:rsidRPr="00322C9C" w:rsidRDefault="005832D0" w:rsidP="005832D0">
      <w:pPr>
        <w:pStyle w:val="NormalWeb"/>
        <w:spacing w:line="480" w:lineRule="auto"/>
        <w:jc w:val="both"/>
      </w:pPr>
      <w:r w:rsidRPr="00322C9C">
        <w:rPr>
          <w:rStyle w:val="Strong"/>
        </w:rPr>
        <w:t>Data analysis</w:t>
      </w:r>
    </w:p>
    <w:p w14:paraId="3EDC7248" w14:textId="77777777" w:rsidR="005832D0" w:rsidRPr="00322C9C" w:rsidRDefault="005832D0" w:rsidP="005832D0">
      <w:pPr>
        <w:pStyle w:val="NormalWeb"/>
        <w:spacing w:line="480" w:lineRule="auto"/>
        <w:jc w:val="both"/>
      </w:pPr>
      <w:r w:rsidRPr="00322C9C">
        <w:t xml:space="preserve">Data were entered into Microsoft Excel and analyzed </w:t>
      </w:r>
      <w:r w:rsidR="00932917" w:rsidRPr="00322C9C">
        <w:t xml:space="preserve">with SPSS (version 27) </w:t>
      </w:r>
      <w:r w:rsidRPr="00322C9C">
        <w:t>using descriptive statistics. Frequencies and percentages were computed for categorical variables, while means and standard deviations were calculated for continuous variables such as age. Results were presented in tables and narrative text for clarity.</w:t>
      </w:r>
    </w:p>
    <w:p w14:paraId="2A19108B" w14:textId="77777777" w:rsidR="00932917" w:rsidRPr="00322C9C" w:rsidRDefault="005832D0" w:rsidP="005832D0">
      <w:pPr>
        <w:pStyle w:val="NormalWeb"/>
        <w:spacing w:line="480" w:lineRule="auto"/>
        <w:jc w:val="both"/>
      </w:pPr>
      <w:r w:rsidRPr="00322C9C">
        <w:rPr>
          <w:rStyle w:val="Strong"/>
        </w:rPr>
        <w:t>Ethical considerations</w:t>
      </w:r>
    </w:p>
    <w:p w14:paraId="1E9C7CEA" w14:textId="77777777" w:rsidR="005832D0" w:rsidRPr="00322C9C" w:rsidRDefault="005832D0" w:rsidP="005832D0">
      <w:pPr>
        <w:pStyle w:val="NormalWeb"/>
        <w:spacing w:line="480" w:lineRule="auto"/>
        <w:jc w:val="both"/>
      </w:pPr>
      <w:r w:rsidRPr="00322C9C">
        <w:t>Ethical approval was obtained from the appropriate institutional review board prior to the study. Participation was voluntary, and informed consent was obtained from all respondents. Confidentiality was maintained by anonymizing the data and ensuring that responses could not be traced back to individual participants.</w:t>
      </w:r>
    </w:p>
    <w:p w14:paraId="7470DD5E" w14:textId="77777777" w:rsidR="00AE1F38" w:rsidRPr="00322C9C" w:rsidRDefault="005832D0" w:rsidP="005832D0">
      <w:pPr>
        <w:spacing w:before="100" w:beforeAutospacing="1" w:after="100" w:afterAutospacing="1" w:line="480" w:lineRule="auto"/>
        <w:jc w:val="both"/>
        <w:rPr>
          <w:rFonts w:ascii="Times New Roman" w:hAnsi="Times New Roman" w:cs="Times New Roman"/>
          <w:b/>
          <w:sz w:val="24"/>
          <w:szCs w:val="24"/>
        </w:rPr>
      </w:pPr>
      <w:r w:rsidRPr="00322C9C">
        <w:rPr>
          <w:rFonts w:ascii="Times New Roman" w:hAnsi="Times New Roman" w:cs="Times New Roman"/>
          <w:b/>
          <w:sz w:val="24"/>
          <w:szCs w:val="24"/>
        </w:rPr>
        <w:t xml:space="preserve"> </w:t>
      </w:r>
      <w:r w:rsidR="00AE1F38" w:rsidRPr="00322C9C">
        <w:rPr>
          <w:rFonts w:ascii="Times New Roman" w:hAnsi="Times New Roman" w:cs="Times New Roman"/>
          <w:b/>
          <w:sz w:val="24"/>
          <w:szCs w:val="24"/>
        </w:rPr>
        <w:t>Results</w:t>
      </w:r>
    </w:p>
    <w:p w14:paraId="28E9607A" w14:textId="77777777" w:rsidR="006B7DF4" w:rsidRPr="006B7DF4" w:rsidRDefault="006B7DF4" w:rsidP="006B7DF4">
      <w:pPr>
        <w:spacing w:before="100" w:beforeAutospacing="1" w:after="100" w:afterAutospacing="1" w:line="480" w:lineRule="auto"/>
        <w:jc w:val="both"/>
        <w:rPr>
          <w:rFonts w:ascii="Times New Roman" w:eastAsia="Times New Roman" w:hAnsi="Times New Roman" w:cs="Times New Roman"/>
          <w:sz w:val="24"/>
          <w:szCs w:val="24"/>
        </w:rPr>
      </w:pPr>
      <w:r w:rsidRPr="006B7DF4">
        <w:rPr>
          <w:rFonts w:ascii="Times New Roman" w:eastAsia="Times New Roman" w:hAnsi="Times New Roman" w:cs="Times New Roman"/>
          <w:sz w:val="24"/>
          <w:szCs w:val="24"/>
        </w:rPr>
        <w:lastRenderedPageBreak/>
        <w:t xml:space="preserve">A total of 68 surgeons participated in the survey. </w:t>
      </w:r>
      <w:r w:rsidRPr="00322C9C">
        <w:rPr>
          <w:rFonts w:ascii="Times New Roman" w:eastAsia="Times New Roman" w:hAnsi="Times New Roman" w:cs="Times New Roman"/>
          <w:sz w:val="24"/>
          <w:szCs w:val="24"/>
        </w:rPr>
        <w:t>According to table 1, m</w:t>
      </w:r>
      <w:r w:rsidRPr="006B7DF4">
        <w:rPr>
          <w:rFonts w:ascii="Times New Roman" w:eastAsia="Times New Roman" w:hAnsi="Times New Roman" w:cs="Times New Roman"/>
          <w:sz w:val="24"/>
          <w:szCs w:val="24"/>
        </w:rPr>
        <w:t xml:space="preserve">ost respondents were aged </w:t>
      </w:r>
      <w:r w:rsidRPr="00322C9C">
        <w:rPr>
          <w:rFonts w:ascii="Times New Roman" w:eastAsia="Times New Roman" w:hAnsi="Times New Roman" w:cs="Times New Roman"/>
          <w:bCs/>
          <w:sz w:val="24"/>
          <w:szCs w:val="24"/>
        </w:rPr>
        <w:t>41–50 years (47.1%)</w:t>
      </w:r>
      <w:r w:rsidRPr="006B7DF4">
        <w:rPr>
          <w:rFonts w:ascii="Times New Roman" w:eastAsia="Times New Roman" w:hAnsi="Times New Roman" w:cs="Times New Roman"/>
          <w:sz w:val="24"/>
          <w:szCs w:val="24"/>
        </w:rPr>
        <w:t xml:space="preserve">, followed by those aged 31–40 years (27.9%) and 51–60 years (25.0%). The majority were </w:t>
      </w:r>
      <w:r w:rsidRPr="00322C9C">
        <w:rPr>
          <w:rFonts w:ascii="Times New Roman" w:eastAsia="Times New Roman" w:hAnsi="Times New Roman" w:cs="Times New Roman"/>
          <w:bCs/>
          <w:sz w:val="24"/>
          <w:szCs w:val="24"/>
        </w:rPr>
        <w:t>male (82.4%)</w:t>
      </w:r>
      <w:r w:rsidRPr="006B7DF4">
        <w:rPr>
          <w:rFonts w:ascii="Times New Roman" w:eastAsia="Times New Roman" w:hAnsi="Times New Roman" w:cs="Times New Roman"/>
          <w:sz w:val="24"/>
          <w:szCs w:val="24"/>
        </w:rPr>
        <w:t xml:space="preserve">, and most held the position of </w:t>
      </w:r>
      <w:r w:rsidRPr="00322C9C">
        <w:rPr>
          <w:rFonts w:ascii="Times New Roman" w:eastAsia="Times New Roman" w:hAnsi="Times New Roman" w:cs="Times New Roman"/>
          <w:bCs/>
          <w:sz w:val="24"/>
          <w:szCs w:val="24"/>
        </w:rPr>
        <w:t>consultant (67.6%)</w:t>
      </w:r>
      <w:r w:rsidRPr="006B7DF4">
        <w:rPr>
          <w:rFonts w:ascii="Times New Roman" w:eastAsia="Times New Roman" w:hAnsi="Times New Roman" w:cs="Times New Roman"/>
          <w:sz w:val="24"/>
          <w:szCs w:val="24"/>
        </w:rPr>
        <w:t xml:space="preserve">, while 17.6% were senior registrars, 10.3% post-training fellows, and 4.4% registrars. With respect to areas of specialization, </w:t>
      </w:r>
      <w:r w:rsidRPr="00322C9C">
        <w:rPr>
          <w:rFonts w:ascii="Times New Roman" w:eastAsia="Times New Roman" w:hAnsi="Times New Roman" w:cs="Times New Roman"/>
          <w:bCs/>
          <w:sz w:val="24"/>
          <w:szCs w:val="24"/>
        </w:rPr>
        <w:t>spine surgery (38.2%)</w:t>
      </w:r>
      <w:r w:rsidRPr="006B7DF4">
        <w:rPr>
          <w:rFonts w:ascii="Times New Roman" w:eastAsia="Times New Roman" w:hAnsi="Times New Roman" w:cs="Times New Roman"/>
          <w:sz w:val="24"/>
          <w:szCs w:val="24"/>
        </w:rPr>
        <w:t xml:space="preserve"> was the most common, followed by arthroplasty (19.1%), </w:t>
      </w:r>
      <w:proofErr w:type="spellStart"/>
      <w:r w:rsidRPr="006B7DF4">
        <w:rPr>
          <w:rFonts w:ascii="Times New Roman" w:eastAsia="Times New Roman" w:hAnsi="Times New Roman" w:cs="Times New Roman"/>
          <w:sz w:val="24"/>
          <w:szCs w:val="24"/>
        </w:rPr>
        <w:t>paediatric</w:t>
      </w:r>
      <w:proofErr w:type="spellEnd"/>
      <w:r w:rsidRPr="006B7DF4">
        <w:rPr>
          <w:rFonts w:ascii="Times New Roman" w:eastAsia="Times New Roman" w:hAnsi="Times New Roman" w:cs="Times New Roman"/>
          <w:sz w:val="24"/>
          <w:szCs w:val="24"/>
        </w:rPr>
        <w:t xml:space="preserve"> </w:t>
      </w:r>
      <w:proofErr w:type="spellStart"/>
      <w:r w:rsidRPr="006B7DF4">
        <w:rPr>
          <w:rFonts w:ascii="Times New Roman" w:eastAsia="Times New Roman" w:hAnsi="Times New Roman" w:cs="Times New Roman"/>
          <w:sz w:val="24"/>
          <w:szCs w:val="24"/>
        </w:rPr>
        <w:t>orthopaedics</w:t>
      </w:r>
      <w:proofErr w:type="spellEnd"/>
      <w:r w:rsidRPr="006B7DF4">
        <w:rPr>
          <w:rFonts w:ascii="Times New Roman" w:eastAsia="Times New Roman" w:hAnsi="Times New Roman" w:cs="Times New Roman"/>
          <w:sz w:val="24"/>
          <w:szCs w:val="24"/>
        </w:rPr>
        <w:t xml:space="preserve"> (10.3%), and trauma (10.3%). A small proportion were yet to decide on a subspecialty (7.4%).</w:t>
      </w:r>
    </w:p>
    <w:p w14:paraId="1C26EF94" w14:textId="77777777" w:rsidR="006B7DF4" w:rsidRPr="006B7DF4" w:rsidRDefault="006B7DF4" w:rsidP="006B7DF4">
      <w:pPr>
        <w:spacing w:before="100" w:beforeAutospacing="1" w:after="100" w:afterAutospacing="1" w:line="480" w:lineRule="auto"/>
        <w:jc w:val="both"/>
        <w:rPr>
          <w:rFonts w:ascii="Times New Roman" w:eastAsia="Times New Roman" w:hAnsi="Times New Roman" w:cs="Times New Roman"/>
          <w:sz w:val="24"/>
          <w:szCs w:val="24"/>
        </w:rPr>
      </w:pPr>
      <w:r w:rsidRPr="006B7DF4">
        <w:rPr>
          <w:rFonts w:ascii="Times New Roman" w:eastAsia="Times New Roman" w:hAnsi="Times New Roman" w:cs="Times New Roman"/>
          <w:sz w:val="24"/>
          <w:szCs w:val="24"/>
        </w:rPr>
        <w:t>In terms of workshop participation</w:t>
      </w:r>
      <w:r w:rsidR="000D2737" w:rsidRPr="00322C9C">
        <w:rPr>
          <w:rFonts w:ascii="Times New Roman" w:eastAsia="Times New Roman" w:hAnsi="Times New Roman" w:cs="Times New Roman"/>
          <w:sz w:val="24"/>
          <w:szCs w:val="24"/>
        </w:rPr>
        <w:t xml:space="preserve"> (table 2)</w:t>
      </w:r>
      <w:r w:rsidRPr="006B7DF4">
        <w:rPr>
          <w:rFonts w:ascii="Times New Roman" w:eastAsia="Times New Roman" w:hAnsi="Times New Roman" w:cs="Times New Roman"/>
          <w:sz w:val="24"/>
          <w:szCs w:val="24"/>
        </w:rPr>
        <w:t xml:space="preserve">, </w:t>
      </w:r>
      <w:r w:rsidRPr="00322C9C">
        <w:rPr>
          <w:rFonts w:ascii="Times New Roman" w:eastAsia="Times New Roman" w:hAnsi="Times New Roman" w:cs="Times New Roman"/>
          <w:bCs/>
          <w:sz w:val="24"/>
          <w:szCs w:val="24"/>
        </w:rPr>
        <w:t>pelvic and acetabular fracture fixation</w:t>
      </w:r>
      <w:r w:rsidRPr="006B7DF4">
        <w:rPr>
          <w:rFonts w:ascii="Times New Roman" w:eastAsia="Times New Roman" w:hAnsi="Times New Roman" w:cs="Times New Roman"/>
          <w:sz w:val="24"/>
          <w:szCs w:val="24"/>
        </w:rPr>
        <w:t xml:space="preserve"> was the most attended course (55.9%), followed by </w:t>
      </w:r>
      <w:r w:rsidRPr="00322C9C">
        <w:rPr>
          <w:rFonts w:ascii="Times New Roman" w:eastAsia="Times New Roman" w:hAnsi="Times New Roman" w:cs="Times New Roman"/>
          <w:bCs/>
          <w:sz w:val="24"/>
          <w:szCs w:val="24"/>
        </w:rPr>
        <w:t>adolescent idiopathic scoliosis</w:t>
      </w:r>
      <w:r w:rsidRPr="006B7DF4">
        <w:rPr>
          <w:rFonts w:ascii="Times New Roman" w:eastAsia="Times New Roman" w:hAnsi="Times New Roman" w:cs="Times New Roman"/>
          <w:sz w:val="24"/>
          <w:szCs w:val="24"/>
        </w:rPr>
        <w:t xml:space="preserve"> (33.8%) and </w:t>
      </w:r>
      <w:r w:rsidRPr="00322C9C">
        <w:rPr>
          <w:rFonts w:ascii="Times New Roman" w:eastAsia="Times New Roman" w:hAnsi="Times New Roman" w:cs="Times New Roman"/>
          <w:bCs/>
          <w:sz w:val="24"/>
          <w:szCs w:val="24"/>
        </w:rPr>
        <w:t>management of late-presenting clubfoot</w:t>
      </w:r>
      <w:r w:rsidRPr="006B7DF4">
        <w:rPr>
          <w:rFonts w:ascii="Times New Roman" w:eastAsia="Times New Roman" w:hAnsi="Times New Roman" w:cs="Times New Roman"/>
          <w:sz w:val="24"/>
          <w:szCs w:val="24"/>
        </w:rPr>
        <w:t xml:space="preserve"> (10.3%). The primary reason for workshop selection was its </w:t>
      </w:r>
      <w:r w:rsidRPr="00322C9C">
        <w:rPr>
          <w:rFonts w:ascii="Times New Roman" w:eastAsia="Times New Roman" w:hAnsi="Times New Roman" w:cs="Times New Roman"/>
          <w:bCs/>
          <w:sz w:val="24"/>
          <w:szCs w:val="24"/>
        </w:rPr>
        <w:t>relevance to current practice (66.2%)</w:t>
      </w:r>
      <w:r w:rsidRPr="006B7DF4">
        <w:rPr>
          <w:rFonts w:ascii="Times New Roman" w:eastAsia="Times New Roman" w:hAnsi="Times New Roman" w:cs="Times New Roman"/>
          <w:sz w:val="24"/>
          <w:szCs w:val="24"/>
        </w:rPr>
        <w:t xml:space="preserve">, while others attended to </w:t>
      </w:r>
      <w:r w:rsidRPr="00322C9C">
        <w:rPr>
          <w:rFonts w:ascii="Times New Roman" w:eastAsia="Times New Roman" w:hAnsi="Times New Roman" w:cs="Times New Roman"/>
          <w:bCs/>
          <w:sz w:val="24"/>
          <w:szCs w:val="24"/>
        </w:rPr>
        <w:t>learn new techniques (20.6%)</w:t>
      </w:r>
      <w:r w:rsidRPr="006B7DF4">
        <w:rPr>
          <w:rFonts w:ascii="Times New Roman" w:eastAsia="Times New Roman" w:hAnsi="Times New Roman" w:cs="Times New Roman"/>
          <w:sz w:val="24"/>
          <w:szCs w:val="24"/>
        </w:rPr>
        <w:t xml:space="preserve"> or as a </w:t>
      </w:r>
      <w:r w:rsidRPr="00322C9C">
        <w:rPr>
          <w:rFonts w:ascii="Times New Roman" w:eastAsia="Times New Roman" w:hAnsi="Times New Roman" w:cs="Times New Roman"/>
          <w:bCs/>
          <w:sz w:val="24"/>
          <w:szCs w:val="24"/>
        </w:rPr>
        <w:t xml:space="preserve">step towards </w:t>
      </w:r>
      <w:proofErr w:type="spellStart"/>
      <w:r w:rsidRPr="00322C9C">
        <w:rPr>
          <w:rFonts w:ascii="Times New Roman" w:eastAsia="Times New Roman" w:hAnsi="Times New Roman" w:cs="Times New Roman"/>
          <w:bCs/>
          <w:sz w:val="24"/>
          <w:szCs w:val="24"/>
        </w:rPr>
        <w:t>subspecialization</w:t>
      </w:r>
      <w:proofErr w:type="spellEnd"/>
      <w:r w:rsidRPr="00322C9C">
        <w:rPr>
          <w:rFonts w:ascii="Times New Roman" w:eastAsia="Times New Roman" w:hAnsi="Times New Roman" w:cs="Times New Roman"/>
          <w:bCs/>
          <w:sz w:val="24"/>
          <w:szCs w:val="24"/>
        </w:rPr>
        <w:t xml:space="preserve"> (11.8%)</w:t>
      </w:r>
      <w:r w:rsidRPr="006B7DF4">
        <w:rPr>
          <w:rFonts w:ascii="Times New Roman" w:eastAsia="Times New Roman" w:hAnsi="Times New Roman" w:cs="Times New Roman"/>
          <w:sz w:val="24"/>
          <w:szCs w:val="24"/>
        </w:rPr>
        <w:t>. Only one respondent (1.5%) reported workplace demands as the reason for attendance.</w:t>
      </w:r>
      <w:r w:rsidR="000D2737" w:rsidRPr="00322C9C">
        <w:rPr>
          <w:rFonts w:ascii="Times New Roman" w:eastAsia="Times New Roman" w:hAnsi="Times New Roman" w:cs="Times New Roman"/>
          <w:sz w:val="24"/>
          <w:szCs w:val="24"/>
        </w:rPr>
        <w:t xml:space="preserve"> </w:t>
      </w:r>
      <w:r w:rsidRPr="006B7DF4">
        <w:rPr>
          <w:rFonts w:ascii="Times New Roman" w:eastAsia="Times New Roman" w:hAnsi="Times New Roman" w:cs="Times New Roman"/>
          <w:sz w:val="24"/>
          <w:szCs w:val="24"/>
        </w:rPr>
        <w:t xml:space="preserve">Among those who did not choose other workshops, the most common reason was </w:t>
      </w:r>
      <w:r w:rsidRPr="00322C9C">
        <w:rPr>
          <w:rFonts w:ascii="Times New Roman" w:eastAsia="Times New Roman" w:hAnsi="Times New Roman" w:cs="Times New Roman"/>
          <w:bCs/>
          <w:sz w:val="24"/>
          <w:szCs w:val="24"/>
        </w:rPr>
        <w:t>conflicting schedules (51.5%)</w:t>
      </w:r>
      <w:r w:rsidRPr="006B7DF4">
        <w:rPr>
          <w:rFonts w:ascii="Times New Roman" w:eastAsia="Times New Roman" w:hAnsi="Times New Roman" w:cs="Times New Roman"/>
          <w:sz w:val="24"/>
          <w:szCs w:val="24"/>
        </w:rPr>
        <w:t>, followed by lack of relevance to practice (35.3%) and lack of interest (13.2%). Additionally, while some surgeons had considered other courses such as scoliosis (25.0%) or pelvic and acetabular fixation (32.4%), many (38.2%) reported that none of the listed workshops appealed to them</w:t>
      </w:r>
      <w:r w:rsidR="000D2737" w:rsidRPr="00322C9C">
        <w:rPr>
          <w:rFonts w:ascii="Times New Roman" w:eastAsia="Times New Roman" w:hAnsi="Times New Roman" w:cs="Times New Roman"/>
          <w:sz w:val="24"/>
          <w:szCs w:val="24"/>
        </w:rPr>
        <w:t xml:space="preserve"> (table 2)</w:t>
      </w:r>
      <w:r w:rsidRPr="006B7DF4">
        <w:rPr>
          <w:rFonts w:ascii="Times New Roman" w:eastAsia="Times New Roman" w:hAnsi="Times New Roman" w:cs="Times New Roman"/>
          <w:sz w:val="24"/>
          <w:szCs w:val="24"/>
        </w:rPr>
        <w:t>.</w:t>
      </w:r>
    </w:p>
    <w:p w14:paraId="1CC1D0A4" w14:textId="77777777" w:rsidR="00AC2737" w:rsidRPr="00AC2737" w:rsidRDefault="00AC2737" w:rsidP="00AC2737">
      <w:pPr>
        <w:spacing w:before="100" w:beforeAutospacing="1" w:after="100" w:afterAutospacing="1" w:line="240" w:lineRule="auto"/>
        <w:outlineLvl w:val="2"/>
        <w:rPr>
          <w:rFonts w:ascii="Times New Roman" w:eastAsia="Times New Roman" w:hAnsi="Times New Roman" w:cs="Times New Roman"/>
          <w:b/>
          <w:bCs/>
          <w:sz w:val="24"/>
          <w:szCs w:val="24"/>
        </w:rPr>
      </w:pPr>
      <w:r w:rsidRPr="00322C9C">
        <w:rPr>
          <w:rFonts w:ascii="Times New Roman" w:eastAsia="Times New Roman" w:hAnsi="Times New Roman" w:cs="Times New Roman"/>
          <w:b/>
          <w:bCs/>
          <w:sz w:val="24"/>
          <w:szCs w:val="24"/>
        </w:rPr>
        <w:t>Table 1. Sociodemographic Characteristics of Respondents (n = 68)</w:t>
      </w:r>
    </w:p>
    <w:tbl>
      <w:tblPr>
        <w:tblStyle w:val="TableGrid"/>
        <w:tblW w:w="0" w:type="auto"/>
        <w:tblLook w:val="04A0" w:firstRow="1" w:lastRow="0" w:firstColumn="1" w:lastColumn="0" w:noHBand="0" w:noVBand="1"/>
      </w:tblPr>
      <w:tblGrid>
        <w:gridCol w:w="2519"/>
        <w:gridCol w:w="1310"/>
        <w:gridCol w:w="1978"/>
      </w:tblGrid>
      <w:tr w:rsidR="00B67346" w:rsidRPr="00322C9C" w14:paraId="50DC402A" w14:textId="77777777" w:rsidTr="00B67346">
        <w:trPr>
          <w:trHeight w:val="252"/>
        </w:trPr>
        <w:tc>
          <w:tcPr>
            <w:tcW w:w="2519" w:type="dxa"/>
          </w:tcPr>
          <w:p w14:paraId="526DEF2E"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Variable</w:t>
            </w:r>
          </w:p>
        </w:tc>
        <w:tc>
          <w:tcPr>
            <w:tcW w:w="1310" w:type="dxa"/>
          </w:tcPr>
          <w:p w14:paraId="5E7D9C1D"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Frequency</w:t>
            </w:r>
          </w:p>
        </w:tc>
        <w:tc>
          <w:tcPr>
            <w:tcW w:w="1978" w:type="dxa"/>
          </w:tcPr>
          <w:p w14:paraId="13DAEDAA"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Percentage (%)</w:t>
            </w:r>
          </w:p>
        </w:tc>
      </w:tr>
      <w:tr w:rsidR="00B67346" w:rsidRPr="00322C9C" w14:paraId="3107A4CB" w14:textId="77777777" w:rsidTr="00B67346">
        <w:trPr>
          <w:trHeight w:val="252"/>
        </w:trPr>
        <w:tc>
          <w:tcPr>
            <w:tcW w:w="2519" w:type="dxa"/>
          </w:tcPr>
          <w:p w14:paraId="2C9667F2"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Age</w:t>
            </w:r>
          </w:p>
        </w:tc>
        <w:tc>
          <w:tcPr>
            <w:tcW w:w="1310" w:type="dxa"/>
          </w:tcPr>
          <w:p w14:paraId="211E7CD7" w14:textId="77777777" w:rsidR="00B67346" w:rsidRPr="00322C9C" w:rsidRDefault="00B67346" w:rsidP="00B67346">
            <w:pPr>
              <w:pStyle w:val="NormalWeb"/>
              <w:spacing w:before="0" w:beforeAutospacing="0" w:after="0" w:afterAutospacing="0"/>
              <w:jc w:val="both"/>
              <w:rPr>
                <w:color w:val="000000" w:themeColor="text1"/>
              </w:rPr>
            </w:pPr>
          </w:p>
        </w:tc>
        <w:tc>
          <w:tcPr>
            <w:tcW w:w="1978" w:type="dxa"/>
          </w:tcPr>
          <w:p w14:paraId="29A81A5A" w14:textId="77777777" w:rsidR="00B67346" w:rsidRPr="00322C9C" w:rsidRDefault="00B67346" w:rsidP="00B67346">
            <w:pPr>
              <w:pStyle w:val="NormalWeb"/>
              <w:spacing w:before="0" w:beforeAutospacing="0" w:after="0" w:afterAutospacing="0"/>
              <w:jc w:val="both"/>
              <w:rPr>
                <w:color w:val="000000" w:themeColor="text1"/>
              </w:rPr>
            </w:pPr>
          </w:p>
        </w:tc>
      </w:tr>
      <w:tr w:rsidR="00B67346" w:rsidRPr="00322C9C" w14:paraId="1D4CDA89" w14:textId="77777777" w:rsidTr="00B67346">
        <w:trPr>
          <w:trHeight w:val="263"/>
        </w:trPr>
        <w:tc>
          <w:tcPr>
            <w:tcW w:w="2519" w:type="dxa"/>
          </w:tcPr>
          <w:p w14:paraId="0D49DF2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31–40 years</w:t>
            </w:r>
          </w:p>
        </w:tc>
        <w:tc>
          <w:tcPr>
            <w:tcW w:w="1310" w:type="dxa"/>
          </w:tcPr>
          <w:p w14:paraId="6601D798"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19</w:t>
            </w:r>
          </w:p>
        </w:tc>
        <w:tc>
          <w:tcPr>
            <w:tcW w:w="1978" w:type="dxa"/>
          </w:tcPr>
          <w:p w14:paraId="6FB8BD8E"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27.9</w:t>
            </w:r>
          </w:p>
        </w:tc>
      </w:tr>
      <w:tr w:rsidR="00B67346" w:rsidRPr="00322C9C" w14:paraId="4544ED6D" w14:textId="77777777" w:rsidTr="00B67346">
        <w:trPr>
          <w:trHeight w:val="252"/>
        </w:trPr>
        <w:tc>
          <w:tcPr>
            <w:tcW w:w="2519" w:type="dxa"/>
          </w:tcPr>
          <w:p w14:paraId="28688D9E"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41–50 years</w:t>
            </w:r>
          </w:p>
        </w:tc>
        <w:tc>
          <w:tcPr>
            <w:tcW w:w="1310" w:type="dxa"/>
          </w:tcPr>
          <w:p w14:paraId="4E0DA3B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32</w:t>
            </w:r>
          </w:p>
        </w:tc>
        <w:tc>
          <w:tcPr>
            <w:tcW w:w="1978" w:type="dxa"/>
          </w:tcPr>
          <w:p w14:paraId="7C4D871A"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47.1</w:t>
            </w:r>
          </w:p>
        </w:tc>
      </w:tr>
      <w:tr w:rsidR="00B67346" w:rsidRPr="00322C9C" w14:paraId="452B71BE" w14:textId="77777777" w:rsidTr="00B67346">
        <w:trPr>
          <w:trHeight w:val="252"/>
        </w:trPr>
        <w:tc>
          <w:tcPr>
            <w:tcW w:w="2519" w:type="dxa"/>
          </w:tcPr>
          <w:p w14:paraId="0055478B"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51–60 years</w:t>
            </w:r>
          </w:p>
        </w:tc>
        <w:tc>
          <w:tcPr>
            <w:tcW w:w="1310" w:type="dxa"/>
          </w:tcPr>
          <w:p w14:paraId="62A643E9"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17</w:t>
            </w:r>
          </w:p>
        </w:tc>
        <w:tc>
          <w:tcPr>
            <w:tcW w:w="1978" w:type="dxa"/>
          </w:tcPr>
          <w:p w14:paraId="1F882621"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25.0</w:t>
            </w:r>
          </w:p>
        </w:tc>
      </w:tr>
      <w:tr w:rsidR="00B67346" w:rsidRPr="00322C9C" w14:paraId="4E2F1A5D" w14:textId="77777777" w:rsidTr="00B67346">
        <w:trPr>
          <w:trHeight w:val="252"/>
        </w:trPr>
        <w:tc>
          <w:tcPr>
            <w:tcW w:w="2519" w:type="dxa"/>
          </w:tcPr>
          <w:p w14:paraId="2EB750E1"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Sex</w:t>
            </w:r>
          </w:p>
        </w:tc>
        <w:tc>
          <w:tcPr>
            <w:tcW w:w="1310" w:type="dxa"/>
          </w:tcPr>
          <w:p w14:paraId="49A68CD2" w14:textId="77777777" w:rsidR="00B67346" w:rsidRPr="00322C9C" w:rsidRDefault="00B67346" w:rsidP="00B67346">
            <w:pPr>
              <w:pStyle w:val="NormalWeb"/>
              <w:spacing w:before="0" w:beforeAutospacing="0" w:after="0" w:afterAutospacing="0"/>
              <w:jc w:val="both"/>
              <w:rPr>
                <w:color w:val="000000" w:themeColor="text1"/>
              </w:rPr>
            </w:pPr>
          </w:p>
        </w:tc>
        <w:tc>
          <w:tcPr>
            <w:tcW w:w="1978" w:type="dxa"/>
          </w:tcPr>
          <w:p w14:paraId="15754043" w14:textId="77777777" w:rsidR="00B67346" w:rsidRPr="00322C9C" w:rsidRDefault="00B67346" w:rsidP="00B67346">
            <w:pPr>
              <w:pStyle w:val="NormalWeb"/>
              <w:spacing w:before="0" w:beforeAutospacing="0" w:after="0" w:afterAutospacing="0"/>
              <w:jc w:val="both"/>
              <w:rPr>
                <w:color w:val="000000" w:themeColor="text1"/>
              </w:rPr>
            </w:pPr>
          </w:p>
        </w:tc>
      </w:tr>
      <w:tr w:rsidR="00B67346" w:rsidRPr="00322C9C" w14:paraId="74D132A0" w14:textId="77777777" w:rsidTr="00B67346">
        <w:trPr>
          <w:trHeight w:val="263"/>
        </w:trPr>
        <w:tc>
          <w:tcPr>
            <w:tcW w:w="2519" w:type="dxa"/>
          </w:tcPr>
          <w:p w14:paraId="00133B54"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Male</w:t>
            </w:r>
          </w:p>
        </w:tc>
        <w:tc>
          <w:tcPr>
            <w:tcW w:w="1310" w:type="dxa"/>
          </w:tcPr>
          <w:p w14:paraId="7CD7BB5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56</w:t>
            </w:r>
          </w:p>
        </w:tc>
        <w:tc>
          <w:tcPr>
            <w:tcW w:w="1978" w:type="dxa"/>
          </w:tcPr>
          <w:p w14:paraId="7B39D5E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82.4</w:t>
            </w:r>
          </w:p>
        </w:tc>
      </w:tr>
      <w:tr w:rsidR="00B67346" w:rsidRPr="00322C9C" w14:paraId="3D386C75" w14:textId="77777777" w:rsidTr="00B67346">
        <w:trPr>
          <w:trHeight w:val="252"/>
        </w:trPr>
        <w:tc>
          <w:tcPr>
            <w:tcW w:w="2519" w:type="dxa"/>
          </w:tcPr>
          <w:p w14:paraId="1890074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Female</w:t>
            </w:r>
          </w:p>
        </w:tc>
        <w:tc>
          <w:tcPr>
            <w:tcW w:w="1310" w:type="dxa"/>
          </w:tcPr>
          <w:p w14:paraId="68732E7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12</w:t>
            </w:r>
          </w:p>
        </w:tc>
        <w:tc>
          <w:tcPr>
            <w:tcW w:w="1978" w:type="dxa"/>
          </w:tcPr>
          <w:p w14:paraId="25C9791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17.6</w:t>
            </w:r>
          </w:p>
        </w:tc>
      </w:tr>
      <w:tr w:rsidR="00B67346" w:rsidRPr="00322C9C" w14:paraId="2E4BBE4A" w14:textId="77777777" w:rsidTr="00B67346">
        <w:trPr>
          <w:trHeight w:val="252"/>
        </w:trPr>
        <w:tc>
          <w:tcPr>
            <w:tcW w:w="2519" w:type="dxa"/>
          </w:tcPr>
          <w:p w14:paraId="38A5A84F"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lastRenderedPageBreak/>
              <w:t>Current Position</w:t>
            </w:r>
          </w:p>
        </w:tc>
        <w:tc>
          <w:tcPr>
            <w:tcW w:w="1310" w:type="dxa"/>
          </w:tcPr>
          <w:p w14:paraId="4636B671" w14:textId="77777777" w:rsidR="00B67346" w:rsidRPr="00322C9C" w:rsidRDefault="00B67346" w:rsidP="00B67346">
            <w:pPr>
              <w:pStyle w:val="NormalWeb"/>
              <w:spacing w:before="0" w:beforeAutospacing="0" w:after="0" w:afterAutospacing="0"/>
              <w:jc w:val="both"/>
              <w:rPr>
                <w:color w:val="000000" w:themeColor="text1"/>
              </w:rPr>
            </w:pPr>
          </w:p>
        </w:tc>
        <w:tc>
          <w:tcPr>
            <w:tcW w:w="1978" w:type="dxa"/>
          </w:tcPr>
          <w:p w14:paraId="3C01DB6D" w14:textId="77777777" w:rsidR="00B67346" w:rsidRPr="00322C9C" w:rsidRDefault="00B67346" w:rsidP="00B67346">
            <w:pPr>
              <w:pStyle w:val="NormalWeb"/>
              <w:spacing w:before="0" w:beforeAutospacing="0" w:after="0" w:afterAutospacing="0"/>
              <w:jc w:val="both"/>
              <w:rPr>
                <w:color w:val="000000" w:themeColor="text1"/>
              </w:rPr>
            </w:pPr>
          </w:p>
        </w:tc>
      </w:tr>
      <w:tr w:rsidR="00B67346" w:rsidRPr="00322C9C" w14:paraId="5E882965" w14:textId="77777777" w:rsidTr="00B67346">
        <w:trPr>
          <w:trHeight w:val="252"/>
        </w:trPr>
        <w:tc>
          <w:tcPr>
            <w:tcW w:w="2519" w:type="dxa"/>
          </w:tcPr>
          <w:p w14:paraId="2ACFE09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Post-training fellow</w:t>
            </w:r>
          </w:p>
        </w:tc>
        <w:tc>
          <w:tcPr>
            <w:tcW w:w="1310" w:type="dxa"/>
          </w:tcPr>
          <w:p w14:paraId="03E8EF09"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7</w:t>
            </w:r>
          </w:p>
        </w:tc>
        <w:tc>
          <w:tcPr>
            <w:tcW w:w="1978" w:type="dxa"/>
          </w:tcPr>
          <w:p w14:paraId="1A26D36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10.3</w:t>
            </w:r>
          </w:p>
        </w:tc>
      </w:tr>
      <w:tr w:rsidR="00B67346" w:rsidRPr="00322C9C" w14:paraId="08923D6B" w14:textId="77777777" w:rsidTr="00B67346">
        <w:trPr>
          <w:trHeight w:val="252"/>
        </w:trPr>
        <w:tc>
          <w:tcPr>
            <w:tcW w:w="2519" w:type="dxa"/>
          </w:tcPr>
          <w:p w14:paraId="28A8FCE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Registrar</w:t>
            </w:r>
          </w:p>
        </w:tc>
        <w:tc>
          <w:tcPr>
            <w:tcW w:w="1310" w:type="dxa"/>
          </w:tcPr>
          <w:p w14:paraId="75FA20D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3</w:t>
            </w:r>
          </w:p>
        </w:tc>
        <w:tc>
          <w:tcPr>
            <w:tcW w:w="1978" w:type="dxa"/>
          </w:tcPr>
          <w:p w14:paraId="17CC02C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4.4</w:t>
            </w:r>
          </w:p>
        </w:tc>
      </w:tr>
      <w:tr w:rsidR="00B67346" w:rsidRPr="00322C9C" w14:paraId="6C01C12D" w14:textId="77777777" w:rsidTr="00B67346">
        <w:trPr>
          <w:trHeight w:val="263"/>
        </w:trPr>
        <w:tc>
          <w:tcPr>
            <w:tcW w:w="2519" w:type="dxa"/>
          </w:tcPr>
          <w:p w14:paraId="6D4AF827"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Senior registrar</w:t>
            </w:r>
          </w:p>
        </w:tc>
        <w:tc>
          <w:tcPr>
            <w:tcW w:w="1310" w:type="dxa"/>
          </w:tcPr>
          <w:p w14:paraId="701ED88A"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12</w:t>
            </w:r>
          </w:p>
        </w:tc>
        <w:tc>
          <w:tcPr>
            <w:tcW w:w="1978" w:type="dxa"/>
          </w:tcPr>
          <w:p w14:paraId="6A66276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17.6</w:t>
            </w:r>
          </w:p>
        </w:tc>
      </w:tr>
      <w:tr w:rsidR="00B67346" w:rsidRPr="00322C9C" w14:paraId="42C11AD5" w14:textId="77777777" w:rsidTr="00B67346">
        <w:trPr>
          <w:trHeight w:val="252"/>
        </w:trPr>
        <w:tc>
          <w:tcPr>
            <w:tcW w:w="2519" w:type="dxa"/>
          </w:tcPr>
          <w:p w14:paraId="1A5CCEBD"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Consultant</w:t>
            </w:r>
          </w:p>
        </w:tc>
        <w:tc>
          <w:tcPr>
            <w:tcW w:w="1310" w:type="dxa"/>
          </w:tcPr>
          <w:p w14:paraId="7573F80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46</w:t>
            </w:r>
          </w:p>
        </w:tc>
        <w:tc>
          <w:tcPr>
            <w:tcW w:w="1978" w:type="dxa"/>
          </w:tcPr>
          <w:p w14:paraId="7CFE4C46"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67.6</w:t>
            </w:r>
          </w:p>
        </w:tc>
      </w:tr>
      <w:tr w:rsidR="00B67346" w:rsidRPr="00322C9C" w14:paraId="73E43022" w14:textId="77777777" w:rsidTr="00B67346">
        <w:trPr>
          <w:trHeight w:val="252"/>
        </w:trPr>
        <w:tc>
          <w:tcPr>
            <w:tcW w:w="2519" w:type="dxa"/>
          </w:tcPr>
          <w:p w14:paraId="052F2B88"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Area of Specialization</w:t>
            </w:r>
          </w:p>
        </w:tc>
        <w:tc>
          <w:tcPr>
            <w:tcW w:w="1310" w:type="dxa"/>
          </w:tcPr>
          <w:p w14:paraId="7DA5C530" w14:textId="77777777" w:rsidR="00B67346" w:rsidRPr="00322C9C" w:rsidRDefault="00B67346" w:rsidP="00B67346">
            <w:pPr>
              <w:pStyle w:val="NormalWeb"/>
              <w:spacing w:before="0" w:beforeAutospacing="0" w:after="0" w:afterAutospacing="0"/>
              <w:jc w:val="both"/>
              <w:rPr>
                <w:color w:val="000000" w:themeColor="text1"/>
              </w:rPr>
            </w:pPr>
          </w:p>
        </w:tc>
        <w:tc>
          <w:tcPr>
            <w:tcW w:w="1978" w:type="dxa"/>
          </w:tcPr>
          <w:p w14:paraId="5B8AB8E6" w14:textId="77777777" w:rsidR="00B67346" w:rsidRPr="00322C9C" w:rsidRDefault="00B67346" w:rsidP="00B67346">
            <w:pPr>
              <w:pStyle w:val="NormalWeb"/>
              <w:spacing w:before="0" w:beforeAutospacing="0" w:after="0" w:afterAutospacing="0"/>
              <w:jc w:val="both"/>
              <w:rPr>
                <w:color w:val="000000" w:themeColor="text1"/>
              </w:rPr>
            </w:pPr>
          </w:p>
        </w:tc>
      </w:tr>
      <w:tr w:rsidR="00B67346" w:rsidRPr="00322C9C" w14:paraId="35ED745E" w14:textId="77777777" w:rsidTr="00B67346">
        <w:trPr>
          <w:trHeight w:val="252"/>
        </w:trPr>
        <w:tc>
          <w:tcPr>
            <w:tcW w:w="2519" w:type="dxa"/>
          </w:tcPr>
          <w:p w14:paraId="14178DBA"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Arthroplasty</w:t>
            </w:r>
          </w:p>
        </w:tc>
        <w:tc>
          <w:tcPr>
            <w:tcW w:w="1310" w:type="dxa"/>
          </w:tcPr>
          <w:p w14:paraId="66A4D855"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13</w:t>
            </w:r>
          </w:p>
        </w:tc>
        <w:tc>
          <w:tcPr>
            <w:tcW w:w="1978" w:type="dxa"/>
          </w:tcPr>
          <w:p w14:paraId="5D0C24D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19.1</w:t>
            </w:r>
          </w:p>
        </w:tc>
      </w:tr>
      <w:tr w:rsidR="00B67346" w:rsidRPr="00322C9C" w14:paraId="033EAEA0" w14:textId="77777777" w:rsidTr="00B67346">
        <w:trPr>
          <w:trHeight w:val="263"/>
        </w:trPr>
        <w:tc>
          <w:tcPr>
            <w:tcW w:w="2519" w:type="dxa"/>
          </w:tcPr>
          <w:p w14:paraId="7195F916"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Arthroscopy</w:t>
            </w:r>
          </w:p>
        </w:tc>
        <w:tc>
          <w:tcPr>
            <w:tcW w:w="1310" w:type="dxa"/>
          </w:tcPr>
          <w:p w14:paraId="2181B103"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6</w:t>
            </w:r>
          </w:p>
        </w:tc>
        <w:tc>
          <w:tcPr>
            <w:tcW w:w="1978" w:type="dxa"/>
          </w:tcPr>
          <w:p w14:paraId="077088D9"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8.8</w:t>
            </w:r>
          </w:p>
        </w:tc>
      </w:tr>
      <w:tr w:rsidR="00B67346" w:rsidRPr="00322C9C" w14:paraId="07C81FF9" w14:textId="77777777" w:rsidTr="00B67346">
        <w:trPr>
          <w:trHeight w:val="252"/>
        </w:trPr>
        <w:tc>
          <w:tcPr>
            <w:tcW w:w="2519" w:type="dxa"/>
          </w:tcPr>
          <w:p w14:paraId="16BDCFAC"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Deformity correction</w:t>
            </w:r>
          </w:p>
        </w:tc>
        <w:tc>
          <w:tcPr>
            <w:tcW w:w="1310" w:type="dxa"/>
          </w:tcPr>
          <w:p w14:paraId="0AD4BF06"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w:t>
            </w:r>
          </w:p>
        </w:tc>
        <w:tc>
          <w:tcPr>
            <w:tcW w:w="1978" w:type="dxa"/>
          </w:tcPr>
          <w:p w14:paraId="1EB102E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5.9</w:t>
            </w:r>
          </w:p>
        </w:tc>
      </w:tr>
      <w:tr w:rsidR="00B67346" w:rsidRPr="00322C9C" w14:paraId="1C18EDC6" w14:textId="77777777" w:rsidTr="00B67346">
        <w:trPr>
          <w:trHeight w:val="252"/>
        </w:trPr>
        <w:tc>
          <w:tcPr>
            <w:tcW w:w="2519" w:type="dxa"/>
          </w:tcPr>
          <w:p w14:paraId="237F49B5" w14:textId="77777777" w:rsidR="00B67346" w:rsidRPr="00322C9C" w:rsidRDefault="00B67346" w:rsidP="00B67346">
            <w:pPr>
              <w:pStyle w:val="NormalWeb"/>
              <w:spacing w:before="0" w:beforeAutospacing="0" w:after="0" w:afterAutospacing="0"/>
              <w:jc w:val="both"/>
              <w:rPr>
                <w:color w:val="000000" w:themeColor="text1"/>
              </w:rPr>
            </w:pPr>
            <w:proofErr w:type="spellStart"/>
            <w:r w:rsidRPr="00322C9C">
              <w:rPr>
                <w:color w:val="000000" w:themeColor="text1"/>
              </w:rPr>
              <w:t>Paediatric</w:t>
            </w:r>
            <w:proofErr w:type="spellEnd"/>
            <w:r w:rsidRPr="00322C9C">
              <w:rPr>
                <w:color w:val="000000" w:themeColor="text1"/>
              </w:rPr>
              <w:t xml:space="preserve"> </w:t>
            </w:r>
            <w:proofErr w:type="spellStart"/>
            <w:r w:rsidRPr="00322C9C">
              <w:rPr>
                <w:color w:val="000000" w:themeColor="text1"/>
              </w:rPr>
              <w:t>orthopaedics</w:t>
            </w:r>
            <w:proofErr w:type="spellEnd"/>
          </w:p>
        </w:tc>
        <w:tc>
          <w:tcPr>
            <w:tcW w:w="1310" w:type="dxa"/>
          </w:tcPr>
          <w:p w14:paraId="653B6BB6"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7</w:t>
            </w:r>
          </w:p>
        </w:tc>
        <w:tc>
          <w:tcPr>
            <w:tcW w:w="1978" w:type="dxa"/>
          </w:tcPr>
          <w:p w14:paraId="339FFF7B"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10.3</w:t>
            </w:r>
          </w:p>
        </w:tc>
      </w:tr>
      <w:tr w:rsidR="00B67346" w:rsidRPr="00322C9C" w14:paraId="2208BE2B" w14:textId="77777777" w:rsidTr="00B67346">
        <w:trPr>
          <w:trHeight w:val="252"/>
        </w:trPr>
        <w:tc>
          <w:tcPr>
            <w:tcW w:w="2519" w:type="dxa"/>
          </w:tcPr>
          <w:p w14:paraId="0366817A"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Spine</w:t>
            </w:r>
          </w:p>
        </w:tc>
        <w:tc>
          <w:tcPr>
            <w:tcW w:w="1310" w:type="dxa"/>
          </w:tcPr>
          <w:p w14:paraId="0E81CFC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26</w:t>
            </w:r>
          </w:p>
        </w:tc>
        <w:tc>
          <w:tcPr>
            <w:tcW w:w="1978" w:type="dxa"/>
          </w:tcPr>
          <w:p w14:paraId="250DEB4D"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38.2</w:t>
            </w:r>
          </w:p>
        </w:tc>
      </w:tr>
      <w:tr w:rsidR="00B67346" w:rsidRPr="00322C9C" w14:paraId="16E8E1A3" w14:textId="77777777" w:rsidTr="00B67346">
        <w:trPr>
          <w:trHeight w:val="263"/>
        </w:trPr>
        <w:tc>
          <w:tcPr>
            <w:tcW w:w="2519" w:type="dxa"/>
          </w:tcPr>
          <w:p w14:paraId="44743F41"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Trauma</w:t>
            </w:r>
          </w:p>
        </w:tc>
        <w:tc>
          <w:tcPr>
            <w:tcW w:w="1310" w:type="dxa"/>
          </w:tcPr>
          <w:p w14:paraId="3AAB6CF7"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7</w:t>
            </w:r>
          </w:p>
        </w:tc>
        <w:tc>
          <w:tcPr>
            <w:tcW w:w="1978" w:type="dxa"/>
          </w:tcPr>
          <w:p w14:paraId="5D801D17"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10.3</w:t>
            </w:r>
          </w:p>
        </w:tc>
      </w:tr>
      <w:tr w:rsidR="00B67346" w:rsidRPr="00322C9C" w14:paraId="3DC001A4" w14:textId="77777777" w:rsidTr="00B67346">
        <w:trPr>
          <w:trHeight w:val="252"/>
        </w:trPr>
        <w:tc>
          <w:tcPr>
            <w:tcW w:w="2519" w:type="dxa"/>
          </w:tcPr>
          <w:p w14:paraId="7F24DB5D"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Yet to decide</w:t>
            </w:r>
          </w:p>
        </w:tc>
        <w:tc>
          <w:tcPr>
            <w:tcW w:w="1310" w:type="dxa"/>
          </w:tcPr>
          <w:p w14:paraId="440084FB"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5</w:t>
            </w:r>
          </w:p>
        </w:tc>
        <w:tc>
          <w:tcPr>
            <w:tcW w:w="1978" w:type="dxa"/>
          </w:tcPr>
          <w:p w14:paraId="62FA774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7.4</w:t>
            </w:r>
          </w:p>
        </w:tc>
      </w:tr>
    </w:tbl>
    <w:p w14:paraId="0A0BD8A8" w14:textId="77777777" w:rsidR="00AC2737" w:rsidRPr="00322C9C" w:rsidRDefault="00C0184C" w:rsidP="006E243B">
      <w:pPr>
        <w:pStyle w:val="NormalWeb"/>
        <w:spacing w:line="480" w:lineRule="auto"/>
        <w:jc w:val="both"/>
        <w:rPr>
          <w:b/>
          <w:color w:val="000000" w:themeColor="text1"/>
        </w:rPr>
      </w:pPr>
      <w:r w:rsidRPr="00322C9C">
        <w:rPr>
          <w:b/>
        </w:rPr>
        <w:t>Table 2. Pre-Conference Workshop Participation and Influencing Factors</w:t>
      </w:r>
    </w:p>
    <w:tbl>
      <w:tblPr>
        <w:tblStyle w:val="TableGrid"/>
        <w:tblW w:w="0" w:type="auto"/>
        <w:tblLook w:val="04A0" w:firstRow="1" w:lastRow="0" w:firstColumn="1" w:lastColumn="0" w:noHBand="0" w:noVBand="1"/>
      </w:tblPr>
      <w:tblGrid>
        <w:gridCol w:w="5382"/>
        <w:gridCol w:w="1559"/>
        <w:gridCol w:w="1843"/>
      </w:tblGrid>
      <w:tr w:rsidR="00A52525" w:rsidRPr="00322C9C" w14:paraId="08A5752B" w14:textId="77777777" w:rsidTr="00C0184C">
        <w:tc>
          <w:tcPr>
            <w:tcW w:w="5382" w:type="dxa"/>
          </w:tcPr>
          <w:p w14:paraId="038363FA" w14:textId="77777777" w:rsidR="006E243B" w:rsidRPr="00322C9C" w:rsidRDefault="006E243B" w:rsidP="00493F54">
            <w:pPr>
              <w:pStyle w:val="NormalWeb"/>
              <w:jc w:val="both"/>
              <w:rPr>
                <w:b/>
                <w:color w:val="000000" w:themeColor="text1"/>
              </w:rPr>
            </w:pPr>
            <w:r w:rsidRPr="00322C9C">
              <w:rPr>
                <w:b/>
                <w:color w:val="000000" w:themeColor="text1"/>
              </w:rPr>
              <w:t>Variables</w:t>
            </w:r>
          </w:p>
        </w:tc>
        <w:tc>
          <w:tcPr>
            <w:tcW w:w="1559" w:type="dxa"/>
          </w:tcPr>
          <w:p w14:paraId="629F111C" w14:textId="77777777" w:rsidR="006E243B" w:rsidRPr="00322C9C" w:rsidRDefault="006E243B" w:rsidP="00493F54">
            <w:pPr>
              <w:pStyle w:val="NormalWeb"/>
              <w:jc w:val="both"/>
              <w:rPr>
                <w:b/>
                <w:color w:val="000000" w:themeColor="text1"/>
              </w:rPr>
            </w:pPr>
            <w:r w:rsidRPr="00322C9C">
              <w:rPr>
                <w:b/>
                <w:color w:val="000000" w:themeColor="text1"/>
              </w:rPr>
              <w:t>Frequency</w:t>
            </w:r>
          </w:p>
        </w:tc>
        <w:tc>
          <w:tcPr>
            <w:tcW w:w="1843" w:type="dxa"/>
          </w:tcPr>
          <w:p w14:paraId="0B604E38" w14:textId="77777777" w:rsidR="006E243B" w:rsidRPr="00322C9C" w:rsidRDefault="00C0184C" w:rsidP="00493F54">
            <w:pPr>
              <w:pStyle w:val="NormalWeb"/>
              <w:jc w:val="both"/>
              <w:rPr>
                <w:b/>
                <w:color w:val="000000" w:themeColor="text1"/>
              </w:rPr>
            </w:pPr>
            <w:r w:rsidRPr="00322C9C">
              <w:rPr>
                <w:b/>
              </w:rPr>
              <w:t>Percentage (%)</w:t>
            </w:r>
          </w:p>
        </w:tc>
      </w:tr>
      <w:tr w:rsidR="00A52525" w:rsidRPr="00322C9C" w14:paraId="1B64E74F" w14:textId="77777777" w:rsidTr="00C0184C">
        <w:tc>
          <w:tcPr>
            <w:tcW w:w="5382" w:type="dxa"/>
          </w:tcPr>
          <w:p w14:paraId="4E8C9649" w14:textId="77777777" w:rsidR="006918EF" w:rsidRPr="00322C9C" w:rsidRDefault="00F3061F" w:rsidP="006E243B">
            <w:pPr>
              <w:pStyle w:val="NormalWeb"/>
              <w:jc w:val="both"/>
              <w:rPr>
                <w:b/>
                <w:color w:val="000000" w:themeColor="text1"/>
              </w:rPr>
            </w:pPr>
            <w:r w:rsidRPr="00322C9C">
              <w:rPr>
                <w:b/>
                <w:color w:val="000000" w:themeColor="text1"/>
              </w:rPr>
              <w:t>Which of the pre-conference courses did you attend</w:t>
            </w:r>
          </w:p>
        </w:tc>
        <w:tc>
          <w:tcPr>
            <w:tcW w:w="1559" w:type="dxa"/>
          </w:tcPr>
          <w:p w14:paraId="026E5A0C" w14:textId="77777777" w:rsidR="006918EF" w:rsidRPr="00322C9C" w:rsidRDefault="006918EF" w:rsidP="006E243B">
            <w:pPr>
              <w:pStyle w:val="NormalWeb"/>
              <w:jc w:val="both"/>
              <w:rPr>
                <w:color w:val="000000" w:themeColor="text1"/>
              </w:rPr>
            </w:pPr>
          </w:p>
        </w:tc>
        <w:tc>
          <w:tcPr>
            <w:tcW w:w="1843" w:type="dxa"/>
          </w:tcPr>
          <w:p w14:paraId="5E812492" w14:textId="77777777" w:rsidR="006918EF" w:rsidRPr="00322C9C" w:rsidRDefault="006918EF" w:rsidP="006E243B">
            <w:pPr>
              <w:pStyle w:val="NormalWeb"/>
              <w:jc w:val="both"/>
              <w:rPr>
                <w:color w:val="000000" w:themeColor="text1"/>
              </w:rPr>
            </w:pPr>
          </w:p>
        </w:tc>
      </w:tr>
      <w:tr w:rsidR="00A52525" w:rsidRPr="00322C9C" w14:paraId="56D42C01" w14:textId="77777777" w:rsidTr="00C0184C">
        <w:tc>
          <w:tcPr>
            <w:tcW w:w="5382" w:type="dxa"/>
          </w:tcPr>
          <w:p w14:paraId="090A8C42" w14:textId="77777777" w:rsidR="006918EF" w:rsidRPr="00322C9C" w:rsidRDefault="00F3061F" w:rsidP="006E243B">
            <w:pPr>
              <w:pStyle w:val="NormalWeb"/>
              <w:jc w:val="both"/>
              <w:rPr>
                <w:color w:val="000000" w:themeColor="text1"/>
              </w:rPr>
            </w:pPr>
            <w:r w:rsidRPr="00322C9C">
              <w:rPr>
                <w:color w:val="000000" w:themeColor="text1"/>
              </w:rPr>
              <w:t>Adolescent idiopathic scoliosis</w:t>
            </w:r>
          </w:p>
        </w:tc>
        <w:tc>
          <w:tcPr>
            <w:tcW w:w="1559" w:type="dxa"/>
          </w:tcPr>
          <w:p w14:paraId="74B3692F" w14:textId="77777777" w:rsidR="006918EF" w:rsidRPr="00322C9C" w:rsidRDefault="00F3061F" w:rsidP="006E243B">
            <w:pPr>
              <w:pStyle w:val="NormalWeb"/>
              <w:jc w:val="both"/>
              <w:rPr>
                <w:color w:val="000000" w:themeColor="text1"/>
              </w:rPr>
            </w:pPr>
            <w:r w:rsidRPr="00322C9C">
              <w:rPr>
                <w:color w:val="000000" w:themeColor="text1"/>
              </w:rPr>
              <w:t>23</w:t>
            </w:r>
          </w:p>
        </w:tc>
        <w:tc>
          <w:tcPr>
            <w:tcW w:w="1843" w:type="dxa"/>
          </w:tcPr>
          <w:p w14:paraId="21D72C88" w14:textId="77777777" w:rsidR="006918EF" w:rsidRPr="00322C9C" w:rsidRDefault="00F3061F" w:rsidP="006E243B">
            <w:pPr>
              <w:pStyle w:val="NormalWeb"/>
              <w:jc w:val="both"/>
              <w:rPr>
                <w:color w:val="000000" w:themeColor="text1"/>
              </w:rPr>
            </w:pPr>
            <w:r w:rsidRPr="00322C9C">
              <w:rPr>
                <w:color w:val="000000" w:themeColor="text1"/>
              </w:rPr>
              <w:t>33.8</w:t>
            </w:r>
          </w:p>
        </w:tc>
      </w:tr>
      <w:tr w:rsidR="00A52525" w:rsidRPr="00322C9C" w14:paraId="72F190C7" w14:textId="77777777" w:rsidTr="00C0184C">
        <w:tc>
          <w:tcPr>
            <w:tcW w:w="5382" w:type="dxa"/>
          </w:tcPr>
          <w:p w14:paraId="24A910F6" w14:textId="77777777" w:rsidR="00F3061F" w:rsidRPr="00322C9C" w:rsidRDefault="00F3061F" w:rsidP="006E243B">
            <w:pPr>
              <w:pStyle w:val="NormalWeb"/>
              <w:jc w:val="both"/>
              <w:rPr>
                <w:color w:val="000000" w:themeColor="text1"/>
              </w:rPr>
            </w:pPr>
            <w:r w:rsidRPr="00322C9C">
              <w:rPr>
                <w:color w:val="000000" w:themeColor="text1"/>
              </w:rPr>
              <w:t>Management of late-presenting clubfoot</w:t>
            </w:r>
          </w:p>
        </w:tc>
        <w:tc>
          <w:tcPr>
            <w:tcW w:w="1559" w:type="dxa"/>
          </w:tcPr>
          <w:p w14:paraId="04FC64BE" w14:textId="77777777" w:rsidR="00F3061F" w:rsidRPr="00322C9C" w:rsidRDefault="00F3061F" w:rsidP="006E243B">
            <w:pPr>
              <w:pStyle w:val="NormalWeb"/>
              <w:jc w:val="both"/>
              <w:rPr>
                <w:color w:val="000000" w:themeColor="text1"/>
              </w:rPr>
            </w:pPr>
            <w:r w:rsidRPr="00322C9C">
              <w:rPr>
                <w:color w:val="000000" w:themeColor="text1"/>
              </w:rPr>
              <w:t>7</w:t>
            </w:r>
          </w:p>
        </w:tc>
        <w:tc>
          <w:tcPr>
            <w:tcW w:w="1843" w:type="dxa"/>
          </w:tcPr>
          <w:p w14:paraId="61B1896A" w14:textId="77777777" w:rsidR="00F3061F" w:rsidRPr="00322C9C" w:rsidRDefault="00F3061F" w:rsidP="006E243B">
            <w:pPr>
              <w:pStyle w:val="NormalWeb"/>
              <w:jc w:val="both"/>
              <w:rPr>
                <w:color w:val="000000" w:themeColor="text1"/>
              </w:rPr>
            </w:pPr>
            <w:r w:rsidRPr="00322C9C">
              <w:rPr>
                <w:color w:val="000000" w:themeColor="text1"/>
              </w:rPr>
              <w:t>10.3</w:t>
            </w:r>
          </w:p>
        </w:tc>
      </w:tr>
      <w:tr w:rsidR="00A52525" w:rsidRPr="00322C9C" w14:paraId="2797055F" w14:textId="77777777" w:rsidTr="00C0184C">
        <w:tc>
          <w:tcPr>
            <w:tcW w:w="5382" w:type="dxa"/>
          </w:tcPr>
          <w:p w14:paraId="384C2A5D" w14:textId="77777777" w:rsidR="00F3061F" w:rsidRPr="00322C9C" w:rsidRDefault="00F3061F" w:rsidP="006E243B">
            <w:pPr>
              <w:pStyle w:val="NormalWeb"/>
              <w:jc w:val="both"/>
              <w:rPr>
                <w:color w:val="000000" w:themeColor="text1"/>
              </w:rPr>
            </w:pPr>
            <w:r w:rsidRPr="00322C9C">
              <w:rPr>
                <w:color w:val="000000" w:themeColor="text1"/>
              </w:rPr>
              <w:t>Pelvic and acetabular fracture fixation</w:t>
            </w:r>
          </w:p>
        </w:tc>
        <w:tc>
          <w:tcPr>
            <w:tcW w:w="1559" w:type="dxa"/>
          </w:tcPr>
          <w:p w14:paraId="5D02063A" w14:textId="77777777" w:rsidR="00F3061F" w:rsidRPr="00322C9C" w:rsidRDefault="00F3061F" w:rsidP="006E243B">
            <w:pPr>
              <w:pStyle w:val="NormalWeb"/>
              <w:jc w:val="both"/>
              <w:rPr>
                <w:color w:val="000000" w:themeColor="text1"/>
              </w:rPr>
            </w:pPr>
            <w:r w:rsidRPr="00322C9C">
              <w:rPr>
                <w:color w:val="000000" w:themeColor="text1"/>
              </w:rPr>
              <w:t>38</w:t>
            </w:r>
          </w:p>
        </w:tc>
        <w:tc>
          <w:tcPr>
            <w:tcW w:w="1843" w:type="dxa"/>
          </w:tcPr>
          <w:p w14:paraId="31B5D41C" w14:textId="77777777" w:rsidR="00F3061F" w:rsidRPr="00322C9C" w:rsidRDefault="00F3061F" w:rsidP="006E243B">
            <w:pPr>
              <w:pStyle w:val="NormalWeb"/>
              <w:jc w:val="both"/>
              <w:rPr>
                <w:color w:val="000000" w:themeColor="text1"/>
              </w:rPr>
            </w:pPr>
            <w:r w:rsidRPr="00322C9C">
              <w:rPr>
                <w:color w:val="000000" w:themeColor="text1"/>
              </w:rPr>
              <w:t>55.9</w:t>
            </w:r>
          </w:p>
        </w:tc>
      </w:tr>
      <w:tr w:rsidR="00A52525" w:rsidRPr="00322C9C" w14:paraId="56C21FC0" w14:textId="77777777" w:rsidTr="00C0184C">
        <w:tc>
          <w:tcPr>
            <w:tcW w:w="5382" w:type="dxa"/>
          </w:tcPr>
          <w:p w14:paraId="67B5E720" w14:textId="77777777" w:rsidR="00F3061F" w:rsidRPr="00322C9C" w:rsidRDefault="00F3061F" w:rsidP="006E243B">
            <w:pPr>
              <w:pStyle w:val="NormalWeb"/>
              <w:jc w:val="both"/>
              <w:rPr>
                <w:b/>
                <w:color w:val="000000" w:themeColor="text1"/>
              </w:rPr>
            </w:pPr>
            <w:r w:rsidRPr="00322C9C">
              <w:rPr>
                <w:b/>
                <w:color w:val="000000" w:themeColor="text1"/>
              </w:rPr>
              <w:t>What was the primary reason why you chose the course you attended</w:t>
            </w:r>
          </w:p>
        </w:tc>
        <w:tc>
          <w:tcPr>
            <w:tcW w:w="1559" w:type="dxa"/>
          </w:tcPr>
          <w:p w14:paraId="487099C1" w14:textId="77777777" w:rsidR="00F3061F" w:rsidRPr="00322C9C" w:rsidRDefault="00F3061F" w:rsidP="006E243B">
            <w:pPr>
              <w:pStyle w:val="NormalWeb"/>
              <w:jc w:val="both"/>
              <w:rPr>
                <w:color w:val="000000" w:themeColor="text1"/>
              </w:rPr>
            </w:pPr>
          </w:p>
        </w:tc>
        <w:tc>
          <w:tcPr>
            <w:tcW w:w="1843" w:type="dxa"/>
          </w:tcPr>
          <w:p w14:paraId="22C766DE" w14:textId="77777777" w:rsidR="00F3061F" w:rsidRPr="00322C9C" w:rsidRDefault="00F3061F" w:rsidP="006E243B">
            <w:pPr>
              <w:pStyle w:val="NormalWeb"/>
              <w:jc w:val="both"/>
              <w:rPr>
                <w:color w:val="000000" w:themeColor="text1"/>
              </w:rPr>
            </w:pPr>
          </w:p>
        </w:tc>
      </w:tr>
      <w:tr w:rsidR="00A52525" w:rsidRPr="00322C9C" w14:paraId="3414C6E4" w14:textId="77777777" w:rsidTr="00C0184C">
        <w:tc>
          <w:tcPr>
            <w:tcW w:w="5382" w:type="dxa"/>
          </w:tcPr>
          <w:p w14:paraId="7048DF11" w14:textId="77777777" w:rsidR="00F3061F" w:rsidRPr="00322C9C" w:rsidRDefault="00F3061F" w:rsidP="006E243B">
            <w:pPr>
              <w:pStyle w:val="NormalWeb"/>
              <w:jc w:val="both"/>
              <w:rPr>
                <w:color w:val="000000" w:themeColor="text1"/>
              </w:rPr>
            </w:pPr>
            <w:r w:rsidRPr="00322C9C">
              <w:rPr>
                <w:color w:val="000000" w:themeColor="text1"/>
              </w:rPr>
              <w:t>Career progression demand at work place</w:t>
            </w:r>
          </w:p>
        </w:tc>
        <w:tc>
          <w:tcPr>
            <w:tcW w:w="1559" w:type="dxa"/>
          </w:tcPr>
          <w:p w14:paraId="36A2729B" w14:textId="77777777" w:rsidR="00F3061F" w:rsidRPr="00322C9C" w:rsidRDefault="00F3061F" w:rsidP="006E243B">
            <w:pPr>
              <w:pStyle w:val="NormalWeb"/>
              <w:jc w:val="both"/>
              <w:rPr>
                <w:color w:val="000000" w:themeColor="text1"/>
              </w:rPr>
            </w:pPr>
            <w:r w:rsidRPr="00322C9C">
              <w:rPr>
                <w:color w:val="000000" w:themeColor="text1"/>
              </w:rPr>
              <w:t>1</w:t>
            </w:r>
          </w:p>
        </w:tc>
        <w:tc>
          <w:tcPr>
            <w:tcW w:w="1843" w:type="dxa"/>
          </w:tcPr>
          <w:p w14:paraId="11137FA6" w14:textId="77777777" w:rsidR="00F3061F" w:rsidRPr="00322C9C" w:rsidRDefault="00F3061F" w:rsidP="006E243B">
            <w:pPr>
              <w:pStyle w:val="NormalWeb"/>
              <w:jc w:val="both"/>
              <w:rPr>
                <w:color w:val="000000" w:themeColor="text1"/>
              </w:rPr>
            </w:pPr>
            <w:r w:rsidRPr="00322C9C">
              <w:rPr>
                <w:color w:val="000000" w:themeColor="text1"/>
              </w:rPr>
              <w:t>1.5</w:t>
            </w:r>
          </w:p>
        </w:tc>
      </w:tr>
      <w:tr w:rsidR="00A52525" w:rsidRPr="00322C9C" w14:paraId="08DCE051" w14:textId="77777777" w:rsidTr="00C0184C">
        <w:tc>
          <w:tcPr>
            <w:tcW w:w="5382" w:type="dxa"/>
          </w:tcPr>
          <w:p w14:paraId="1C1EEC87" w14:textId="77777777" w:rsidR="00F3061F" w:rsidRPr="00322C9C" w:rsidRDefault="00F3061F" w:rsidP="006E243B">
            <w:pPr>
              <w:pStyle w:val="NormalWeb"/>
              <w:jc w:val="both"/>
              <w:rPr>
                <w:color w:val="000000" w:themeColor="text1"/>
              </w:rPr>
            </w:pPr>
            <w:r w:rsidRPr="00322C9C">
              <w:rPr>
                <w:color w:val="000000" w:themeColor="text1"/>
              </w:rPr>
              <w:t>It  serves as a stepping stone to start-off with a new sub-specialization</w:t>
            </w:r>
          </w:p>
        </w:tc>
        <w:tc>
          <w:tcPr>
            <w:tcW w:w="1559" w:type="dxa"/>
          </w:tcPr>
          <w:p w14:paraId="6964A665" w14:textId="77777777" w:rsidR="00F3061F" w:rsidRPr="00322C9C" w:rsidRDefault="00F3061F" w:rsidP="006E243B">
            <w:pPr>
              <w:pStyle w:val="NormalWeb"/>
              <w:jc w:val="both"/>
              <w:rPr>
                <w:color w:val="000000" w:themeColor="text1"/>
              </w:rPr>
            </w:pPr>
            <w:r w:rsidRPr="00322C9C">
              <w:rPr>
                <w:color w:val="000000" w:themeColor="text1"/>
              </w:rPr>
              <w:t>8</w:t>
            </w:r>
          </w:p>
        </w:tc>
        <w:tc>
          <w:tcPr>
            <w:tcW w:w="1843" w:type="dxa"/>
          </w:tcPr>
          <w:p w14:paraId="5550691A" w14:textId="77777777" w:rsidR="00F3061F" w:rsidRPr="00322C9C" w:rsidRDefault="00F3061F" w:rsidP="006E243B">
            <w:pPr>
              <w:pStyle w:val="NormalWeb"/>
              <w:jc w:val="both"/>
              <w:rPr>
                <w:color w:val="000000" w:themeColor="text1"/>
              </w:rPr>
            </w:pPr>
            <w:r w:rsidRPr="00322C9C">
              <w:rPr>
                <w:color w:val="000000" w:themeColor="text1"/>
              </w:rPr>
              <w:t>11.8</w:t>
            </w:r>
          </w:p>
        </w:tc>
      </w:tr>
      <w:tr w:rsidR="00A52525" w:rsidRPr="00322C9C" w14:paraId="62D776BD" w14:textId="77777777" w:rsidTr="00C0184C">
        <w:tc>
          <w:tcPr>
            <w:tcW w:w="5382" w:type="dxa"/>
          </w:tcPr>
          <w:p w14:paraId="1C963D0C" w14:textId="77777777" w:rsidR="00F3061F" w:rsidRPr="00322C9C" w:rsidRDefault="00F3061F" w:rsidP="006E243B">
            <w:pPr>
              <w:pStyle w:val="NormalWeb"/>
              <w:jc w:val="both"/>
              <w:rPr>
                <w:color w:val="000000" w:themeColor="text1"/>
              </w:rPr>
            </w:pPr>
            <w:r w:rsidRPr="00322C9C">
              <w:rPr>
                <w:color w:val="000000" w:themeColor="text1"/>
              </w:rPr>
              <w:t>It's relevant to your current practice</w:t>
            </w:r>
          </w:p>
        </w:tc>
        <w:tc>
          <w:tcPr>
            <w:tcW w:w="1559" w:type="dxa"/>
          </w:tcPr>
          <w:p w14:paraId="4AB0C2FC" w14:textId="77777777" w:rsidR="00F3061F" w:rsidRPr="00322C9C" w:rsidRDefault="00F3061F" w:rsidP="006E243B">
            <w:pPr>
              <w:pStyle w:val="NormalWeb"/>
              <w:jc w:val="both"/>
              <w:rPr>
                <w:color w:val="000000" w:themeColor="text1"/>
              </w:rPr>
            </w:pPr>
            <w:r w:rsidRPr="00322C9C">
              <w:rPr>
                <w:color w:val="000000" w:themeColor="text1"/>
              </w:rPr>
              <w:t>45</w:t>
            </w:r>
          </w:p>
        </w:tc>
        <w:tc>
          <w:tcPr>
            <w:tcW w:w="1843" w:type="dxa"/>
          </w:tcPr>
          <w:p w14:paraId="7A351E47" w14:textId="77777777" w:rsidR="00F3061F" w:rsidRPr="00322C9C" w:rsidRDefault="00F3061F" w:rsidP="006E243B">
            <w:pPr>
              <w:pStyle w:val="NormalWeb"/>
              <w:jc w:val="both"/>
              <w:rPr>
                <w:color w:val="000000" w:themeColor="text1"/>
              </w:rPr>
            </w:pPr>
            <w:r w:rsidRPr="00322C9C">
              <w:rPr>
                <w:color w:val="000000" w:themeColor="text1"/>
              </w:rPr>
              <w:t>66.2</w:t>
            </w:r>
          </w:p>
        </w:tc>
      </w:tr>
      <w:tr w:rsidR="00A52525" w:rsidRPr="00322C9C" w14:paraId="1157BB33" w14:textId="77777777" w:rsidTr="00C0184C">
        <w:tc>
          <w:tcPr>
            <w:tcW w:w="5382" w:type="dxa"/>
          </w:tcPr>
          <w:p w14:paraId="7EF30EB1" w14:textId="77777777" w:rsidR="00F3061F" w:rsidRPr="00322C9C" w:rsidRDefault="00F3061F" w:rsidP="006E243B">
            <w:pPr>
              <w:pStyle w:val="NormalWeb"/>
              <w:jc w:val="both"/>
              <w:rPr>
                <w:color w:val="000000" w:themeColor="text1"/>
              </w:rPr>
            </w:pPr>
            <w:r w:rsidRPr="00322C9C">
              <w:rPr>
                <w:color w:val="000000" w:themeColor="text1"/>
              </w:rPr>
              <w:t>Opportunity to learn new techniques</w:t>
            </w:r>
          </w:p>
        </w:tc>
        <w:tc>
          <w:tcPr>
            <w:tcW w:w="1559" w:type="dxa"/>
          </w:tcPr>
          <w:p w14:paraId="4D879AEE" w14:textId="77777777" w:rsidR="00F3061F" w:rsidRPr="00322C9C" w:rsidRDefault="00F3061F" w:rsidP="006E243B">
            <w:pPr>
              <w:pStyle w:val="NormalWeb"/>
              <w:jc w:val="both"/>
              <w:rPr>
                <w:color w:val="000000" w:themeColor="text1"/>
              </w:rPr>
            </w:pPr>
            <w:r w:rsidRPr="00322C9C">
              <w:rPr>
                <w:color w:val="000000" w:themeColor="text1"/>
              </w:rPr>
              <w:t>14</w:t>
            </w:r>
          </w:p>
        </w:tc>
        <w:tc>
          <w:tcPr>
            <w:tcW w:w="1843" w:type="dxa"/>
          </w:tcPr>
          <w:p w14:paraId="664F7566" w14:textId="77777777" w:rsidR="00F3061F" w:rsidRPr="00322C9C" w:rsidRDefault="00F3061F" w:rsidP="006E243B">
            <w:pPr>
              <w:pStyle w:val="NormalWeb"/>
              <w:jc w:val="both"/>
              <w:rPr>
                <w:color w:val="000000" w:themeColor="text1"/>
              </w:rPr>
            </w:pPr>
            <w:r w:rsidRPr="00322C9C">
              <w:rPr>
                <w:color w:val="000000" w:themeColor="text1"/>
              </w:rPr>
              <w:t>20.6</w:t>
            </w:r>
          </w:p>
        </w:tc>
      </w:tr>
      <w:tr w:rsidR="00A52525" w:rsidRPr="00322C9C" w14:paraId="0057E36B" w14:textId="77777777" w:rsidTr="00C0184C">
        <w:tc>
          <w:tcPr>
            <w:tcW w:w="5382" w:type="dxa"/>
          </w:tcPr>
          <w:p w14:paraId="6DB551A4" w14:textId="77777777" w:rsidR="00F3061F" w:rsidRPr="00322C9C" w:rsidRDefault="004348D2" w:rsidP="006E243B">
            <w:pPr>
              <w:pStyle w:val="NormalWeb"/>
              <w:jc w:val="both"/>
              <w:rPr>
                <w:b/>
                <w:color w:val="000000" w:themeColor="text1"/>
              </w:rPr>
            </w:pPr>
            <w:r w:rsidRPr="00322C9C">
              <w:rPr>
                <w:b/>
                <w:color w:val="000000" w:themeColor="text1"/>
              </w:rPr>
              <w:t>Why did you not choose the other courses</w:t>
            </w:r>
          </w:p>
        </w:tc>
        <w:tc>
          <w:tcPr>
            <w:tcW w:w="1559" w:type="dxa"/>
          </w:tcPr>
          <w:p w14:paraId="6009F0AB" w14:textId="77777777" w:rsidR="00F3061F" w:rsidRPr="00322C9C" w:rsidRDefault="00F3061F" w:rsidP="006E243B">
            <w:pPr>
              <w:pStyle w:val="NormalWeb"/>
              <w:jc w:val="both"/>
              <w:rPr>
                <w:color w:val="000000" w:themeColor="text1"/>
              </w:rPr>
            </w:pPr>
          </w:p>
        </w:tc>
        <w:tc>
          <w:tcPr>
            <w:tcW w:w="1843" w:type="dxa"/>
          </w:tcPr>
          <w:p w14:paraId="7862C621" w14:textId="77777777" w:rsidR="00F3061F" w:rsidRPr="00322C9C" w:rsidRDefault="00F3061F" w:rsidP="006E243B">
            <w:pPr>
              <w:pStyle w:val="NormalWeb"/>
              <w:jc w:val="both"/>
              <w:rPr>
                <w:color w:val="000000" w:themeColor="text1"/>
              </w:rPr>
            </w:pPr>
          </w:p>
        </w:tc>
      </w:tr>
      <w:tr w:rsidR="00A52525" w:rsidRPr="00322C9C" w14:paraId="1FAAC225" w14:textId="77777777" w:rsidTr="00C0184C">
        <w:tc>
          <w:tcPr>
            <w:tcW w:w="5382" w:type="dxa"/>
          </w:tcPr>
          <w:p w14:paraId="46BC2410" w14:textId="77777777" w:rsidR="00F3061F" w:rsidRPr="00322C9C" w:rsidRDefault="004348D2" w:rsidP="006E243B">
            <w:pPr>
              <w:pStyle w:val="NormalWeb"/>
              <w:jc w:val="both"/>
              <w:rPr>
                <w:color w:val="000000" w:themeColor="text1"/>
              </w:rPr>
            </w:pPr>
            <w:r w:rsidRPr="00322C9C">
              <w:rPr>
                <w:color w:val="000000" w:themeColor="text1"/>
              </w:rPr>
              <w:t>Conflicting schedules</w:t>
            </w:r>
          </w:p>
        </w:tc>
        <w:tc>
          <w:tcPr>
            <w:tcW w:w="1559" w:type="dxa"/>
          </w:tcPr>
          <w:p w14:paraId="3AC04963" w14:textId="77777777" w:rsidR="00F3061F" w:rsidRPr="00322C9C" w:rsidRDefault="004348D2" w:rsidP="006E243B">
            <w:pPr>
              <w:pStyle w:val="NormalWeb"/>
              <w:jc w:val="both"/>
              <w:rPr>
                <w:color w:val="000000" w:themeColor="text1"/>
              </w:rPr>
            </w:pPr>
            <w:r w:rsidRPr="00322C9C">
              <w:rPr>
                <w:color w:val="000000" w:themeColor="text1"/>
              </w:rPr>
              <w:t>35</w:t>
            </w:r>
          </w:p>
        </w:tc>
        <w:tc>
          <w:tcPr>
            <w:tcW w:w="1843" w:type="dxa"/>
          </w:tcPr>
          <w:p w14:paraId="7DCC3F71" w14:textId="77777777" w:rsidR="00F3061F" w:rsidRPr="00322C9C" w:rsidRDefault="004348D2" w:rsidP="006E243B">
            <w:pPr>
              <w:pStyle w:val="NormalWeb"/>
              <w:jc w:val="both"/>
              <w:rPr>
                <w:color w:val="000000" w:themeColor="text1"/>
              </w:rPr>
            </w:pPr>
            <w:r w:rsidRPr="00322C9C">
              <w:rPr>
                <w:color w:val="000000" w:themeColor="text1"/>
              </w:rPr>
              <w:t>51.5</w:t>
            </w:r>
          </w:p>
        </w:tc>
      </w:tr>
      <w:tr w:rsidR="00A52525" w:rsidRPr="00322C9C" w14:paraId="24F2FC2C" w14:textId="77777777" w:rsidTr="00C0184C">
        <w:tc>
          <w:tcPr>
            <w:tcW w:w="5382" w:type="dxa"/>
          </w:tcPr>
          <w:p w14:paraId="74E6D516" w14:textId="77777777" w:rsidR="004348D2" w:rsidRPr="00322C9C" w:rsidRDefault="004348D2" w:rsidP="006E243B">
            <w:pPr>
              <w:pStyle w:val="NormalWeb"/>
              <w:jc w:val="both"/>
              <w:rPr>
                <w:color w:val="000000" w:themeColor="text1"/>
              </w:rPr>
            </w:pPr>
            <w:r w:rsidRPr="00322C9C">
              <w:rPr>
                <w:color w:val="000000" w:themeColor="text1"/>
              </w:rPr>
              <w:t>Lack of interest  in the topic</w:t>
            </w:r>
          </w:p>
        </w:tc>
        <w:tc>
          <w:tcPr>
            <w:tcW w:w="1559" w:type="dxa"/>
          </w:tcPr>
          <w:p w14:paraId="5689B06A" w14:textId="77777777" w:rsidR="004348D2" w:rsidRPr="00322C9C" w:rsidRDefault="004348D2" w:rsidP="006E243B">
            <w:pPr>
              <w:pStyle w:val="NormalWeb"/>
              <w:jc w:val="both"/>
              <w:rPr>
                <w:color w:val="000000" w:themeColor="text1"/>
              </w:rPr>
            </w:pPr>
            <w:r w:rsidRPr="00322C9C">
              <w:rPr>
                <w:color w:val="000000" w:themeColor="text1"/>
              </w:rPr>
              <w:t>2</w:t>
            </w:r>
          </w:p>
        </w:tc>
        <w:tc>
          <w:tcPr>
            <w:tcW w:w="1843" w:type="dxa"/>
          </w:tcPr>
          <w:p w14:paraId="7B41C36C" w14:textId="77777777" w:rsidR="004348D2" w:rsidRPr="00322C9C" w:rsidRDefault="004348D2" w:rsidP="006E243B">
            <w:pPr>
              <w:pStyle w:val="NormalWeb"/>
              <w:jc w:val="both"/>
              <w:rPr>
                <w:color w:val="000000" w:themeColor="text1"/>
              </w:rPr>
            </w:pPr>
            <w:r w:rsidRPr="00322C9C">
              <w:rPr>
                <w:color w:val="000000" w:themeColor="text1"/>
              </w:rPr>
              <w:t>13.2</w:t>
            </w:r>
          </w:p>
        </w:tc>
      </w:tr>
      <w:tr w:rsidR="00A52525" w:rsidRPr="00322C9C" w14:paraId="12D8FEFE" w14:textId="77777777" w:rsidTr="00C0184C">
        <w:tc>
          <w:tcPr>
            <w:tcW w:w="5382" w:type="dxa"/>
          </w:tcPr>
          <w:p w14:paraId="18C0FA3B" w14:textId="77777777" w:rsidR="004348D2" w:rsidRPr="00322C9C" w:rsidRDefault="004348D2" w:rsidP="006E243B">
            <w:pPr>
              <w:pStyle w:val="NormalWeb"/>
              <w:jc w:val="both"/>
              <w:rPr>
                <w:color w:val="000000" w:themeColor="text1"/>
              </w:rPr>
            </w:pPr>
            <w:r w:rsidRPr="00322C9C">
              <w:rPr>
                <w:color w:val="000000" w:themeColor="text1"/>
              </w:rPr>
              <w:t>Not relevant to my practice</w:t>
            </w:r>
          </w:p>
        </w:tc>
        <w:tc>
          <w:tcPr>
            <w:tcW w:w="1559" w:type="dxa"/>
          </w:tcPr>
          <w:p w14:paraId="3E4C5F88" w14:textId="77777777" w:rsidR="004348D2" w:rsidRPr="00322C9C" w:rsidRDefault="004348D2" w:rsidP="006E243B">
            <w:pPr>
              <w:pStyle w:val="NormalWeb"/>
              <w:jc w:val="both"/>
              <w:rPr>
                <w:color w:val="000000" w:themeColor="text1"/>
              </w:rPr>
            </w:pPr>
            <w:r w:rsidRPr="00322C9C">
              <w:rPr>
                <w:color w:val="000000" w:themeColor="text1"/>
              </w:rPr>
              <w:t>24</w:t>
            </w:r>
          </w:p>
        </w:tc>
        <w:tc>
          <w:tcPr>
            <w:tcW w:w="1843" w:type="dxa"/>
          </w:tcPr>
          <w:p w14:paraId="12F9C3CB" w14:textId="77777777" w:rsidR="004348D2" w:rsidRPr="00322C9C" w:rsidRDefault="004348D2" w:rsidP="006E243B">
            <w:pPr>
              <w:pStyle w:val="NormalWeb"/>
              <w:jc w:val="both"/>
              <w:rPr>
                <w:color w:val="000000" w:themeColor="text1"/>
              </w:rPr>
            </w:pPr>
            <w:r w:rsidRPr="00322C9C">
              <w:rPr>
                <w:color w:val="000000" w:themeColor="text1"/>
              </w:rPr>
              <w:t>35.3</w:t>
            </w:r>
          </w:p>
        </w:tc>
      </w:tr>
      <w:tr w:rsidR="00A52525" w:rsidRPr="00322C9C" w14:paraId="11A8B069" w14:textId="77777777" w:rsidTr="00C0184C">
        <w:tc>
          <w:tcPr>
            <w:tcW w:w="5382" w:type="dxa"/>
          </w:tcPr>
          <w:p w14:paraId="29BB0B40" w14:textId="77777777" w:rsidR="004348D2" w:rsidRPr="00322C9C" w:rsidRDefault="002D2B7B" w:rsidP="006E243B">
            <w:pPr>
              <w:pStyle w:val="NormalWeb"/>
              <w:jc w:val="both"/>
              <w:rPr>
                <w:b/>
                <w:color w:val="000000" w:themeColor="text1"/>
              </w:rPr>
            </w:pPr>
            <w:r w:rsidRPr="00322C9C">
              <w:rPr>
                <w:b/>
                <w:color w:val="000000" w:themeColor="text1"/>
              </w:rPr>
              <w:t>Which courses did you consider attending but had to forego</w:t>
            </w:r>
          </w:p>
        </w:tc>
        <w:tc>
          <w:tcPr>
            <w:tcW w:w="1559" w:type="dxa"/>
          </w:tcPr>
          <w:p w14:paraId="07AB59D7" w14:textId="77777777" w:rsidR="004348D2" w:rsidRPr="00322C9C" w:rsidRDefault="004348D2" w:rsidP="006E243B">
            <w:pPr>
              <w:pStyle w:val="NormalWeb"/>
              <w:jc w:val="both"/>
              <w:rPr>
                <w:color w:val="000000" w:themeColor="text1"/>
              </w:rPr>
            </w:pPr>
          </w:p>
        </w:tc>
        <w:tc>
          <w:tcPr>
            <w:tcW w:w="1843" w:type="dxa"/>
          </w:tcPr>
          <w:p w14:paraId="53A23A70" w14:textId="77777777" w:rsidR="004348D2" w:rsidRPr="00322C9C" w:rsidRDefault="004348D2" w:rsidP="006E243B">
            <w:pPr>
              <w:pStyle w:val="NormalWeb"/>
              <w:jc w:val="both"/>
              <w:rPr>
                <w:color w:val="000000" w:themeColor="text1"/>
              </w:rPr>
            </w:pPr>
          </w:p>
        </w:tc>
      </w:tr>
      <w:tr w:rsidR="00A52525" w:rsidRPr="00322C9C" w14:paraId="7B83BC9D" w14:textId="77777777" w:rsidTr="00C0184C">
        <w:tc>
          <w:tcPr>
            <w:tcW w:w="5382" w:type="dxa"/>
          </w:tcPr>
          <w:p w14:paraId="0F8457D5" w14:textId="77777777" w:rsidR="004348D2" w:rsidRPr="00322C9C" w:rsidRDefault="002D2B7B" w:rsidP="006E243B">
            <w:pPr>
              <w:pStyle w:val="NormalWeb"/>
              <w:jc w:val="both"/>
              <w:rPr>
                <w:color w:val="000000" w:themeColor="text1"/>
              </w:rPr>
            </w:pPr>
            <w:r w:rsidRPr="00322C9C">
              <w:rPr>
                <w:color w:val="000000" w:themeColor="text1"/>
              </w:rPr>
              <w:t>Adolescent Idiopathic Scoliosis and surgical management</w:t>
            </w:r>
          </w:p>
        </w:tc>
        <w:tc>
          <w:tcPr>
            <w:tcW w:w="1559" w:type="dxa"/>
          </w:tcPr>
          <w:p w14:paraId="632A35E2" w14:textId="77777777" w:rsidR="004348D2" w:rsidRPr="00322C9C" w:rsidRDefault="002D2B7B" w:rsidP="006E243B">
            <w:pPr>
              <w:pStyle w:val="NormalWeb"/>
              <w:jc w:val="both"/>
              <w:rPr>
                <w:color w:val="000000" w:themeColor="text1"/>
              </w:rPr>
            </w:pPr>
            <w:r w:rsidRPr="00322C9C">
              <w:rPr>
                <w:color w:val="000000" w:themeColor="text1"/>
              </w:rPr>
              <w:t>17</w:t>
            </w:r>
          </w:p>
        </w:tc>
        <w:tc>
          <w:tcPr>
            <w:tcW w:w="1843" w:type="dxa"/>
          </w:tcPr>
          <w:p w14:paraId="6561FF15" w14:textId="77777777" w:rsidR="004348D2" w:rsidRPr="00322C9C" w:rsidRDefault="002D2B7B" w:rsidP="006E243B">
            <w:pPr>
              <w:pStyle w:val="NormalWeb"/>
              <w:jc w:val="both"/>
              <w:rPr>
                <w:color w:val="000000" w:themeColor="text1"/>
              </w:rPr>
            </w:pPr>
            <w:r w:rsidRPr="00322C9C">
              <w:rPr>
                <w:color w:val="000000" w:themeColor="text1"/>
              </w:rPr>
              <w:t>25.0</w:t>
            </w:r>
          </w:p>
        </w:tc>
      </w:tr>
      <w:tr w:rsidR="00A52525" w:rsidRPr="00322C9C" w14:paraId="2FB64057" w14:textId="77777777" w:rsidTr="00C0184C">
        <w:tc>
          <w:tcPr>
            <w:tcW w:w="5382" w:type="dxa"/>
          </w:tcPr>
          <w:p w14:paraId="07E7DA22" w14:textId="77777777" w:rsidR="002D2B7B" w:rsidRPr="00322C9C" w:rsidRDefault="002D2B7B" w:rsidP="006E243B">
            <w:pPr>
              <w:pStyle w:val="NormalWeb"/>
              <w:jc w:val="both"/>
              <w:rPr>
                <w:color w:val="000000" w:themeColor="text1"/>
              </w:rPr>
            </w:pPr>
            <w:r w:rsidRPr="00322C9C">
              <w:rPr>
                <w:color w:val="000000" w:themeColor="text1"/>
              </w:rPr>
              <w:t>Management of the late-presenting clubfoot</w:t>
            </w:r>
          </w:p>
        </w:tc>
        <w:tc>
          <w:tcPr>
            <w:tcW w:w="1559" w:type="dxa"/>
          </w:tcPr>
          <w:p w14:paraId="64A81102" w14:textId="77777777" w:rsidR="002D2B7B" w:rsidRPr="00322C9C" w:rsidRDefault="002D2B7B" w:rsidP="006E243B">
            <w:pPr>
              <w:pStyle w:val="NormalWeb"/>
              <w:jc w:val="both"/>
              <w:rPr>
                <w:color w:val="000000" w:themeColor="text1"/>
              </w:rPr>
            </w:pPr>
            <w:r w:rsidRPr="00322C9C">
              <w:rPr>
                <w:color w:val="000000" w:themeColor="text1"/>
              </w:rPr>
              <w:t>3</w:t>
            </w:r>
          </w:p>
        </w:tc>
        <w:tc>
          <w:tcPr>
            <w:tcW w:w="1843" w:type="dxa"/>
          </w:tcPr>
          <w:p w14:paraId="1EA15E95" w14:textId="77777777" w:rsidR="002D2B7B" w:rsidRPr="00322C9C" w:rsidRDefault="002D2B7B" w:rsidP="006E243B">
            <w:pPr>
              <w:pStyle w:val="NormalWeb"/>
              <w:jc w:val="both"/>
              <w:rPr>
                <w:color w:val="000000" w:themeColor="text1"/>
              </w:rPr>
            </w:pPr>
            <w:r w:rsidRPr="00322C9C">
              <w:rPr>
                <w:color w:val="000000" w:themeColor="text1"/>
              </w:rPr>
              <w:t>4.4</w:t>
            </w:r>
          </w:p>
        </w:tc>
      </w:tr>
      <w:tr w:rsidR="00A52525" w:rsidRPr="00322C9C" w14:paraId="625E195C" w14:textId="77777777" w:rsidTr="00C0184C">
        <w:tc>
          <w:tcPr>
            <w:tcW w:w="5382" w:type="dxa"/>
          </w:tcPr>
          <w:p w14:paraId="7DCF04A5" w14:textId="77777777" w:rsidR="002D2B7B" w:rsidRPr="00322C9C" w:rsidRDefault="002D2B7B" w:rsidP="006E243B">
            <w:pPr>
              <w:pStyle w:val="NormalWeb"/>
              <w:jc w:val="both"/>
              <w:rPr>
                <w:color w:val="000000" w:themeColor="text1"/>
              </w:rPr>
            </w:pPr>
            <w:r w:rsidRPr="00322C9C">
              <w:rPr>
                <w:color w:val="000000" w:themeColor="text1"/>
              </w:rPr>
              <w:t>None on the list of courses this year</w:t>
            </w:r>
          </w:p>
        </w:tc>
        <w:tc>
          <w:tcPr>
            <w:tcW w:w="1559" w:type="dxa"/>
          </w:tcPr>
          <w:p w14:paraId="09F2333E" w14:textId="77777777" w:rsidR="002D2B7B" w:rsidRPr="00322C9C" w:rsidRDefault="002D2B7B" w:rsidP="006E243B">
            <w:pPr>
              <w:pStyle w:val="NormalWeb"/>
              <w:jc w:val="both"/>
              <w:rPr>
                <w:color w:val="000000" w:themeColor="text1"/>
              </w:rPr>
            </w:pPr>
            <w:r w:rsidRPr="00322C9C">
              <w:rPr>
                <w:color w:val="000000" w:themeColor="text1"/>
              </w:rPr>
              <w:t>26</w:t>
            </w:r>
          </w:p>
        </w:tc>
        <w:tc>
          <w:tcPr>
            <w:tcW w:w="1843" w:type="dxa"/>
          </w:tcPr>
          <w:p w14:paraId="2BA48A65" w14:textId="77777777" w:rsidR="002D2B7B" w:rsidRPr="00322C9C" w:rsidRDefault="002D2B7B" w:rsidP="006E243B">
            <w:pPr>
              <w:pStyle w:val="NormalWeb"/>
              <w:jc w:val="both"/>
              <w:rPr>
                <w:color w:val="000000" w:themeColor="text1"/>
              </w:rPr>
            </w:pPr>
            <w:r w:rsidRPr="00322C9C">
              <w:rPr>
                <w:color w:val="000000" w:themeColor="text1"/>
              </w:rPr>
              <w:t>38.2</w:t>
            </w:r>
          </w:p>
        </w:tc>
      </w:tr>
      <w:tr w:rsidR="00A52525" w:rsidRPr="00322C9C" w14:paraId="5919E744" w14:textId="77777777" w:rsidTr="00C0184C">
        <w:tc>
          <w:tcPr>
            <w:tcW w:w="5382" w:type="dxa"/>
          </w:tcPr>
          <w:p w14:paraId="4EFFC200" w14:textId="77777777" w:rsidR="002D2B7B" w:rsidRPr="00322C9C" w:rsidRDefault="002D2B7B" w:rsidP="006E243B">
            <w:pPr>
              <w:pStyle w:val="NormalWeb"/>
              <w:jc w:val="both"/>
              <w:rPr>
                <w:color w:val="000000" w:themeColor="text1"/>
              </w:rPr>
            </w:pPr>
            <w:r w:rsidRPr="00322C9C">
              <w:rPr>
                <w:color w:val="000000" w:themeColor="text1"/>
              </w:rPr>
              <w:t>Pelvic and acetabular fracture fixation</w:t>
            </w:r>
          </w:p>
        </w:tc>
        <w:tc>
          <w:tcPr>
            <w:tcW w:w="1559" w:type="dxa"/>
          </w:tcPr>
          <w:p w14:paraId="44C26333" w14:textId="77777777" w:rsidR="002D2B7B" w:rsidRPr="00322C9C" w:rsidRDefault="002D2B7B" w:rsidP="006E243B">
            <w:pPr>
              <w:pStyle w:val="NormalWeb"/>
              <w:jc w:val="both"/>
              <w:rPr>
                <w:color w:val="000000" w:themeColor="text1"/>
              </w:rPr>
            </w:pPr>
            <w:r w:rsidRPr="00322C9C">
              <w:rPr>
                <w:color w:val="000000" w:themeColor="text1"/>
              </w:rPr>
              <w:t>22</w:t>
            </w:r>
          </w:p>
        </w:tc>
        <w:tc>
          <w:tcPr>
            <w:tcW w:w="1843" w:type="dxa"/>
          </w:tcPr>
          <w:p w14:paraId="70647643" w14:textId="77777777" w:rsidR="002D2B7B" w:rsidRPr="00322C9C" w:rsidRDefault="002D2B7B" w:rsidP="006E243B">
            <w:pPr>
              <w:pStyle w:val="NormalWeb"/>
              <w:jc w:val="both"/>
              <w:rPr>
                <w:color w:val="000000" w:themeColor="text1"/>
              </w:rPr>
            </w:pPr>
            <w:r w:rsidRPr="00322C9C">
              <w:rPr>
                <w:color w:val="000000" w:themeColor="text1"/>
              </w:rPr>
              <w:t>32.4</w:t>
            </w:r>
          </w:p>
        </w:tc>
      </w:tr>
    </w:tbl>
    <w:p w14:paraId="51CA1084" w14:textId="77777777" w:rsidR="006E243B" w:rsidRPr="00322C9C" w:rsidRDefault="006E243B" w:rsidP="00AE1F38">
      <w:pPr>
        <w:spacing w:before="100" w:beforeAutospacing="1" w:after="100" w:afterAutospacing="1" w:line="480" w:lineRule="auto"/>
        <w:jc w:val="both"/>
        <w:rPr>
          <w:rFonts w:ascii="Times New Roman" w:hAnsi="Times New Roman" w:cs="Times New Roman"/>
          <w:b/>
          <w:sz w:val="24"/>
          <w:szCs w:val="24"/>
        </w:rPr>
      </w:pPr>
    </w:p>
    <w:p w14:paraId="4FE8789C" w14:textId="77777777" w:rsidR="00932917" w:rsidRPr="00322C9C" w:rsidRDefault="00932917" w:rsidP="00AE1F38">
      <w:pPr>
        <w:pStyle w:val="NormalWeb"/>
        <w:spacing w:line="480" w:lineRule="auto"/>
        <w:jc w:val="both"/>
        <w:rPr>
          <w:b/>
        </w:rPr>
      </w:pPr>
    </w:p>
    <w:p w14:paraId="2467DEA7" w14:textId="77777777" w:rsidR="00932917" w:rsidRPr="00322C9C" w:rsidRDefault="00932917" w:rsidP="00AE1F38">
      <w:pPr>
        <w:pStyle w:val="NormalWeb"/>
        <w:spacing w:line="480" w:lineRule="auto"/>
        <w:jc w:val="both"/>
        <w:rPr>
          <w:b/>
        </w:rPr>
      </w:pPr>
    </w:p>
    <w:p w14:paraId="3FD56850" w14:textId="77777777" w:rsidR="00322C9C" w:rsidRDefault="00322C9C" w:rsidP="00AE1F38">
      <w:pPr>
        <w:pStyle w:val="NormalWeb"/>
        <w:spacing w:line="480" w:lineRule="auto"/>
        <w:jc w:val="both"/>
        <w:rPr>
          <w:b/>
        </w:rPr>
      </w:pPr>
    </w:p>
    <w:p w14:paraId="790F8F03" w14:textId="77777777" w:rsidR="00322C9C" w:rsidRDefault="00322C9C" w:rsidP="00AE1F38">
      <w:pPr>
        <w:pStyle w:val="NormalWeb"/>
        <w:spacing w:line="480" w:lineRule="auto"/>
        <w:jc w:val="both"/>
        <w:rPr>
          <w:b/>
        </w:rPr>
      </w:pPr>
    </w:p>
    <w:p w14:paraId="64EE7101" w14:textId="77777777" w:rsidR="00AE1F38" w:rsidRPr="00322C9C" w:rsidRDefault="00AE1F38" w:rsidP="00AE1F38">
      <w:pPr>
        <w:pStyle w:val="NormalWeb"/>
        <w:spacing w:line="480" w:lineRule="auto"/>
        <w:jc w:val="both"/>
        <w:rPr>
          <w:b/>
        </w:rPr>
      </w:pPr>
      <w:r w:rsidRPr="00322C9C">
        <w:rPr>
          <w:b/>
        </w:rPr>
        <w:t>Discussion</w:t>
      </w:r>
    </w:p>
    <w:p w14:paraId="2A722A93"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This study provides insight into the participation patterns of </w:t>
      </w:r>
      <w:r>
        <w:rPr>
          <w:rFonts w:ascii="Times New Roman" w:eastAsia="Times New Roman" w:hAnsi="Times New Roman" w:cs="Times New Roman"/>
          <w:sz w:val="24"/>
          <w:szCs w:val="24"/>
        </w:rPr>
        <w:t xml:space="preserve">orthopedic </w:t>
      </w:r>
      <w:r w:rsidRPr="00A44C1F">
        <w:rPr>
          <w:rFonts w:ascii="Times New Roman" w:eastAsia="Times New Roman" w:hAnsi="Times New Roman" w:cs="Times New Roman"/>
          <w:sz w:val="24"/>
          <w:szCs w:val="24"/>
        </w:rPr>
        <w:t xml:space="preserve">surgeons in pre-conference workshops during the 2024 Nigerian </w:t>
      </w:r>
      <w:r>
        <w:rPr>
          <w:rFonts w:ascii="Times New Roman" w:eastAsia="Times New Roman" w:hAnsi="Times New Roman" w:cs="Times New Roman"/>
          <w:sz w:val="24"/>
          <w:szCs w:val="24"/>
        </w:rPr>
        <w:t xml:space="preserve">Orthopedic </w:t>
      </w:r>
      <w:r w:rsidRPr="00A44C1F">
        <w:rPr>
          <w:rFonts w:ascii="Times New Roman" w:eastAsia="Times New Roman" w:hAnsi="Times New Roman" w:cs="Times New Roman"/>
          <w:sz w:val="24"/>
          <w:szCs w:val="24"/>
        </w:rPr>
        <w:t>Association meeting. CME has long been recognized as an essential component of surgical practice, as it ensures that surgeons remain updated with evolving techniques, innovations, and subspecialty practices. The findings of this survey reflect both global patterns of CME participation as well as unique contextual influences within Nigeria.</w:t>
      </w:r>
    </w:p>
    <w:p w14:paraId="78D822DD"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The demographic distribution of respondents indicates that mid-career and senior surgeons formed the majority of participants. This aligns with previous reports that more experienced surgeons are often more engaged in structured educational activities because of their leadership responsibilities, patient volume, and influence on training younger colleagues (</w:t>
      </w:r>
      <w:proofErr w:type="spellStart"/>
      <w:r w:rsidRPr="00A44C1F">
        <w:rPr>
          <w:rFonts w:ascii="Times New Roman" w:eastAsia="Times New Roman" w:hAnsi="Times New Roman" w:cs="Times New Roman"/>
          <w:sz w:val="24"/>
          <w:szCs w:val="24"/>
        </w:rPr>
        <w:t>Gauly</w:t>
      </w:r>
      <w:proofErr w:type="spellEnd"/>
      <w:r w:rsidRPr="00A44C1F">
        <w:rPr>
          <w:rFonts w:ascii="Times New Roman" w:eastAsia="Times New Roman" w:hAnsi="Times New Roman" w:cs="Times New Roman"/>
          <w:sz w:val="24"/>
          <w:szCs w:val="24"/>
        </w:rPr>
        <w:t xml:space="preserve"> et al., 2023; </w:t>
      </w:r>
      <w:proofErr w:type="spellStart"/>
      <w:r w:rsidRPr="00A44C1F">
        <w:rPr>
          <w:rFonts w:ascii="Times New Roman" w:eastAsia="Times New Roman" w:hAnsi="Times New Roman" w:cs="Times New Roman"/>
          <w:sz w:val="24"/>
          <w:szCs w:val="24"/>
        </w:rPr>
        <w:t>Øyri</w:t>
      </w:r>
      <w:proofErr w:type="spellEnd"/>
      <w:r w:rsidRPr="00A44C1F">
        <w:rPr>
          <w:rFonts w:ascii="Times New Roman" w:eastAsia="Times New Roman" w:hAnsi="Times New Roman" w:cs="Times New Roman"/>
          <w:sz w:val="24"/>
          <w:szCs w:val="24"/>
        </w:rPr>
        <w:t xml:space="preserve"> et al., 2023). In global literature, CME events often attract practitioners at critical career stages, particularly consultants who are responsible for integrating new evidence into service delivery (</w:t>
      </w:r>
      <w:proofErr w:type="spellStart"/>
      <w:r w:rsidRPr="00A44C1F">
        <w:rPr>
          <w:rFonts w:ascii="Times New Roman" w:eastAsia="Times New Roman" w:hAnsi="Times New Roman" w:cs="Times New Roman"/>
          <w:sz w:val="24"/>
          <w:szCs w:val="24"/>
        </w:rPr>
        <w:t>Forsetlund</w:t>
      </w:r>
      <w:proofErr w:type="spellEnd"/>
      <w:r w:rsidRPr="00A44C1F">
        <w:rPr>
          <w:rFonts w:ascii="Times New Roman" w:eastAsia="Times New Roman" w:hAnsi="Times New Roman" w:cs="Times New Roman"/>
          <w:sz w:val="24"/>
          <w:szCs w:val="24"/>
        </w:rPr>
        <w:t xml:space="preserve"> et al., 2021). The predominance of consultants in this study suggests that CME in Nigeria is perceived as a strategic avenue to consolidate expertise and maintain clinical authority. </w:t>
      </w:r>
      <w:r w:rsidRPr="00A44C1F">
        <w:rPr>
          <w:rFonts w:ascii="Times New Roman" w:eastAsia="Times New Roman" w:hAnsi="Times New Roman" w:cs="Times New Roman"/>
          <w:bCs/>
          <w:sz w:val="24"/>
          <w:szCs w:val="24"/>
        </w:rPr>
        <w:t xml:space="preserve">However, our findings also suggest that the motivation extends beyond mere sustenance of practice; many </w:t>
      </w:r>
      <w:r w:rsidRPr="00A44C1F">
        <w:rPr>
          <w:rFonts w:ascii="Times New Roman" w:eastAsia="Times New Roman" w:hAnsi="Times New Roman" w:cs="Times New Roman"/>
          <w:bCs/>
          <w:sz w:val="24"/>
          <w:szCs w:val="24"/>
        </w:rPr>
        <w:lastRenderedPageBreak/>
        <w:t>surgeons were driven by the need to broaden their service base and acquire new skills in order to remain relevant in the face of rising patient awareness and demand for advanced procedures. This reflects a shift in CME participation in Nigeria from defensive maintenance of competence to proactive expansion of surgical capability.</w:t>
      </w:r>
    </w:p>
    <w:p w14:paraId="16BE73D8"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The subspecialty distribution highlights an overwhelming representation of spine surgery. This is consistent with the growing global demand for spine specialists due to the rising burden of degenerative spinal conditions and trauma, especially in low- and middle-income countries (Ravindra et al., 2018; </w:t>
      </w:r>
      <w:proofErr w:type="spellStart"/>
      <w:r w:rsidRPr="00A44C1F">
        <w:rPr>
          <w:rFonts w:ascii="Times New Roman" w:eastAsia="Times New Roman" w:hAnsi="Times New Roman" w:cs="Times New Roman"/>
          <w:sz w:val="24"/>
          <w:szCs w:val="24"/>
        </w:rPr>
        <w:t>Chikani</w:t>
      </w:r>
      <w:proofErr w:type="spellEnd"/>
      <w:r w:rsidRPr="00A44C1F">
        <w:rPr>
          <w:rFonts w:ascii="Times New Roman" w:eastAsia="Times New Roman" w:hAnsi="Times New Roman" w:cs="Times New Roman"/>
          <w:sz w:val="24"/>
          <w:szCs w:val="24"/>
        </w:rPr>
        <w:t xml:space="preserve"> et al., 2019; </w:t>
      </w:r>
      <w:proofErr w:type="spellStart"/>
      <w:r w:rsidRPr="00A44C1F">
        <w:rPr>
          <w:rFonts w:ascii="Times New Roman" w:eastAsia="Times New Roman" w:hAnsi="Times New Roman" w:cs="Times New Roman"/>
          <w:sz w:val="24"/>
          <w:szCs w:val="24"/>
        </w:rPr>
        <w:t>Badhiwala</w:t>
      </w:r>
      <w:proofErr w:type="spellEnd"/>
      <w:r w:rsidRPr="00A44C1F">
        <w:rPr>
          <w:rFonts w:ascii="Times New Roman" w:eastAsia="Times New Roman" w:hAnsi="Times New Roman" w:cs="Times New Roman"/>
          <w:sz w:val="24"/>
          <w:szCs w:val="24"/>
        </w:rPr>
        <w:t xml:space="preserve"> et al., 2020). The preference for the pelvic and acetabular fracture fixation workshop further reflects this reality, as trauma-related pathologies remain prevalent in Nigeria owing to high rates of road traffic injuries (</w:t>
      </w:r>
      <w:proofErr w:type="spellStart"/>
      <w:r w:rsidRPr="00A44C1F">
        <w:rPr>
          <w:rFonts w:ascii="Times New Roman" w:eastAsia="Times New Roman" w:hAnsi="Times New Roman" w:cs="Times New Roman"/>
          <w:sz w:val="24"/>
          <w:szCs w:val="24"/>
        </w:rPr>
        <w:t>Onyemaechi</w:t>
      </w:r>
      <w:proofErr w:type="spellEnd"/>
      <w:r w:rsidRPr="00A44C1F">
        <w:rPr>
          <w:rFonts w:ascii="Times New Roman" w:eastAsia="Times New Roman" w:hAnsi="Times New Roman" w:cs="Times New Roman"/>
          <w:sz w:val="24"/>
          <w:szCs w:val="24"/>
        </w:rPr>
        <w:t xml:space="preserve">, 2020). In contrast, limited participation in courses such as clubfoot management highlights an existing gap in interest or perceived clinical relevance. While congenital and </w:t>
      </w:r>
      <w:proofErr w:type="spellStart"/>
      <w:r w:rsidRPr="00A44C1F">
        <w:rPr>
          <w:rFonts w:ascii="Times New Roman" w:eastAsia="Times New Roman" w:hAnsi="Times New Roman" w:cs="Times New Roman"/>
          <w:sz w:val="24"/>
          <w:szCs w:val="24"/>
        </w:rPr>
        <w:t>paediatric</w:t>
      </w:r>
      <w:proofErr w:type="spellEnd"/>
      <w:r w:rsidRPr="00A44C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orthopedic </w:t>
      </w:r>
      <w:r w:rsidRPr="00A44C1F">
        <w:rPr>
          <w:rFonts w:ascii="Times New Roman" w:eastAsia="Times New Roman" w:hAnsi="Times New Roman" w:cs="Times New Roman"/>
          <w:sz w:val="24"/>
          <w:szCs w:val="24"/>
        </w:rPr>
        <w:t xml:space="preserve">conditions remain important, surgeons may </w:t>
      </w:r>
      <w:proofErr w:type="spellStart"/>
      <w:r w:rsidRPr="00A44C1F">
        <w:rPr>
          <w:rFonts w:ascii="Times New Roman" w:eastAsia="Times New Roman" w:hAnsi="Times New Roman" w:cs="Times New Roman"/>
          <w:sz w:val="24"/>
          <w:szCs w:val="24"/>
        </w:rPr>
        <w:t>prioritise</w:t>
      </w:r>
      <w:proofErr w:type="spellEnd"/>
      <w:r w:rsidRPr="00A44C1F">
        <w:rPr>
          <w:rFonts w:ascii="Times New Roman" w:eastAsia="Times New Roman" w:hAnsi="Times New Roman" w:cs="Times New Roman"/>
          <w:sz w:val="24"/>
          <w:szCs w:val="24"/>
        </w:rPr>
        <w:t xml:space="preserve"> conditions that present more frequently in their day-to-day clinical workload. This mirrors similar findings in other surgical contexts where CME uptake is closely linked to epidemiological patterns of disease burden (Al-Qurashi, 2000; Wang et al., 2024).</w:t>
      </w:r>
    </w:p>
    <w:p w14:paraId="236EED2D"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The majority of participants reported that course relevance to current practice was their primary motivation, supporting Knowles’ theory of andragogy, which posits that adult learners prefer content that is directly applicable to their professional needs (Knapke et al., 2024). This is in line with international evidence that surgeons </w:t>
      </w:r>
      <w:proofErr w:type="spellStart"/>
      <w:r w:rsidRPr="00A44C1F">
        <w:rPr>
          <w:rFonts w:ascii="Times New Roman" w:eastAsia="Times New Roman" w:hAnsi="Times New Roman" w:cs="Times New Roman"/>
          <w:sz w:val="24"/>
          <w:szCs w:val="24"/>
        </w:rPr>
        <w:t>favour</w:t>
      </w:r>
      <w:proofErr w:type="spellEnd"/>
      <w:r w:rsidRPr="00A44C1F">
        <w:rPr>
          <w:rFonts w:ascii="Times New Roman" w:eastAsia="Times New Roman" w:hAnsi="Times New Roman" w:cs="Times New Roman"/>
          <w:sz w:val="24"/>
          <w:szCs w:val="24"/>
        </w:rPr>
        <w:t xml:space="preserve"> CME activities that immediately enhance their operative techniques or clinical decision-making (Ahmed et al., 2013). The lower proportion of respondents who sought workshops for career progression or as a stepping stone into a new </w:t>
      </w:r>
      <w:r w:rsidRPr="00A44C1F">
        <w:rPr>
          <w:rFonts w:ascii="Times New Roman" w:eastAsia="Times New Roman" w:hAnsi="Times New Roman" w:cs="Times New Roman"/>
          <w:sz w:val="24"/>
          <w:szCs w:val="24"/>
        </w:rPr>
        <w:lastRenderedPageBreak/>
        <w:t xml:space="preserve">subspecialty suggests that Nigerian </w:t>
      </w:r>
      <w:r>
        <w:rPr>
          <w:rFonts w:ascii="Times New Roman" w:eastAsia="Times New Roman" w:hAnsi="Times New Roman" w:cs="Times New Roman"/>
          <w:sz w:val="24"/>
          <w:szCs w:val="24"/>
        </w:rPr>
        <w:t xml:space="preserve">orthopedic </w:t>
      </w:r>
      <w:r w:rsidRPr="00A44C1F">
        <w:rPr>
          <w:rFonts w:ascii="Times New Roman" w:eastAsia="Times New Roman" w:hAnsi="Times New Roman" w:cs="Times New Roman"/>
          <w:sz w:val="24"/>
          <w:szCs w:val="24"/>
        </w:rPr>
        <w:t xml:space="preserve">surgeons may </w:t>
      </w:r>
      <w:proofErr w:type="spellStart"/>
      <w:r w:rsidRPr="00A44C1F">
        <w:rPr>
          <w:rFonts w:ascii="Times New Roman" w:eastAsia="Times New Roman" w:hAnsi="Times New Roman" w:cs="Times New Roman"/>
          <w:sz w:val="24"/>
          <w:szCs w:val="24"/>
        </w:rPr>
        <w:t>prioritise</w:t>
      </w:r>
      <w:proofErr w:type="spellEnd"/>
      <w:r w:rsidRPr="00A44C1F">
        <w:rPr>
          <w:rFonts w:ascii="Times New Roman" w:eastAsia="Times New Roman" w:hAnsi="Times New Roman" w:cs="Times New Roman"/>
          <w:sz w:val="24"/>
          <w:szCs w:val="24"/>
        </w:rPr>
        <w:t xml:space="preserve"> immediate clinical impact over long-term strategic repositioning. </w:t>
      </w:r>
      <w:r w:rsidRPr="00A44C1F">
        <w:rPr>
          <w:rFonts w:ascii="Times New Roman" w:eastAsia="Times New Roman" w:hAnsi="Times New Roman" w:cs="Times New Roman"/>
          <w:bCs/>
          <w:sz w:val="24"/>
          <w:szCs w:val="24"/>
        </w:rPr>
        <w:t>Yet, the strong desire for skill acquisition and service diversification captured in this study indicates that Nigerian surgeons are increasingly orienting CME toward growth and innovation, in response to patient-driven demand for advanced and locally available care.</w:t>
      </w:r>
    </w:p>
    <w:p w14:paraId="718DAAAA"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Barriers to participation in alternative courses were primarily related to scheduling conflicts and perceptions of limited relevance. These findings are consistent with studies in other low-resource settings where logistical challenges, workload constraints, and limited institutional support significantly shape CME participation (O’Brien et al., 2021; Reis et al., 2022; Ibsen et al., 2024). </w:t>
      </w:r>
      <w:r w:rsidRPr="00A44C1F">
        <w:rPr>
          <w:rFonts w:ascii="Times New Roman" w:eastAsia="Times New Roman" w:hAnsi="Times New Roman" w:cs="Times New Roman"/>
          <w:bCs/>
          <w:sz w:val="24"/>
          <w:szCs w:val="24"/>
        </w:rPr>
        <w:t>An additional layer in the Nigerian context is the scarcity of genuine training opportunities. Many surgeons are locked out of international training pathways, and when such opportunities are available, they are often exploitative, aimed more at financial gain than competence building. Furthermore, there is resistance from some international actors to local content development, as it threatens referral flows of Nigerian patients abroad. This reality underscores the critical responsibility of NOA and its chapters to design pre-conference courses that emphasize local content expansion, skill development, and sustainability. Resource persons should be carefully selected to promote true capacity building rather than perpetuate status quo learning structures.</w:t>
      </w:r>
    </w:p>
    <w:p w14:paraId="62D93B5C"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The implications of these findings are significant. First, CME </w:t>
      </w:r>
      <w:proofErr w:type="spellStart"/>
      <w:r w:rsidRPr="00A44C1F">
        <w:rPr>
          <w:rFonts w:ascii="Times New Roman" w:eastAsia="Times New Roman" w:hAnsi="Times New Roman" w:cs="Times New Roman"/>
          <w:sz w:val="24"/>
          <w:szCs w:val="24"/>
        </w:rPr>
        <w:t>organisers</w:t>
      </w:r>
      <w:proofErr w:type="spellEnd"/>
      <w:r w:rsidRPr="00A44C1F">
        <w:rPr>
          <w:rFonts w:ascii="Times New Roman" w:eastAsia="Times New Roman" w:hAnsi="Times New Roman" w:cs="Times New Roman"/>
          <w:sz w:val="24"/>
          <w:szCs w:val="24"/>
        </w:rPr>
        <w:t xml:space="preserve"> in Nigeria may need to better align workshop offerings with the clinical realities of the local context, particularly the high prevalence of trauma and degenerative spine conditions. Second, there is a need to adopt flexible scheduling and modular delivery models to mitigate barriers such as conflicting sessions. </w:t>
      </w:r>
      <w:r w:rsidRPr="00A44C1F">
        <w:rPr>
          <w:rFonts w:ascii="Times New Roman" w:eastAsia="Times New Roman" w:hAnsi="Times New Roman" w:cs="Times New Roman"/>
          <w:bCs/>
          <w:sz w:val="24"/>
          <w:szCs w:val="24"/>
        </w:rPr>
        <w:t xml:space="preserve">Third, workshops should increasingly be seen not only as tools for refreshing existing practice but also </w:t>
      </w:r>
      <w:r w:rsidRPr="00A44C1F">
        <w:rPr>
          <w:rFonts w:ascii="Times New Roman" w:eastAsia="Times New Roman" w:hAnsi="Times New Roman" w:cs="Times New Roman"/>
          <w:bCs/>
          <w:sz w:val="24"/>
          <w:szCs w:val="24"/>
        </w:rPr>
        <w:lastRenderedPageBreak/>
        <w:t>as strategic vehicles for acquiring new skills and broadening surgical services in response to patient demand. Fourth, NOA’s role in fostering genuine local content development is crucial to ensure CME activities serve Nigerian patients and practitioners rather than external interests.</w:t>
      </w:r>
      <w:r w:rsidRPr="00A44C1F">
        <w:rPr>
          <w:rFonts w:ascii="Times New Roman" w:eastAsia="Times New Roman" w:hAnsi="Times New Roman" w:cs="Times New Roman"/>
          <w:sz w:val="24"/>
          <w:szCs w:val="24"/>
        </w:rPr>
        <w:t xml:space="preserve"> Underrepresented subspecialties, such as pediatric orthopedics, could also be promoted more strategically, perhaps through targeted advocacy that highlights their importance in addressing neglected surgical needs.</w:t>
      </w:r>
    </w:p>
    <w:p w14:paraId="42C71F26" w14:textId="77777777" w:rsidR="00B95E4D" w:rsidRPr="00A44C1F" w:rsidRDefault="00B95E4D" w:rsidP="00B95E4D">
      <w:pPr>
        <w:spacing w:before="100" w:beforeAutospacing="1" w:after="100" w:afterAutospacing="1" w:line="480" w:lineRule="auto"/>
        <w:outlineLvl w:val="2"/>
        <w:rPr>
          <w:rFonts w:ascii="Times New Roman" w:eastAsia="Times New Roman" w:hAnsi="Times New Roman" w:cs="Times New Roman"/>
          <w:b/>
          <w:bCs/>
          <w:sz w:val="27"/>
          <w:szCs w:val="27"/>
        </w:rPr>
      </w:pPr>
      <w:r w:rsidRPr="00A44C1F">
        <w:rPr>
          <w:rFonts w:ascii="Times New Roman" w:eastAsia="Times New Roman" w:hAnsi="Times New Roman" w:cs="Times New Roman"/>
          <w:b/>
          <w:bCs/>
          <w:sz w:val="27"/>
          <w:szCs w:val="27"/>
        </w:rPr>
        <w:t>Conclusion</w:t>
      </w:r>
    </w:p>
    <w:p w14:paraId="6C02CFC4"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This study highlights important patterns in the participation of orthopedic surgeons in pre-conference workshops at the 2024 Nigerian Orthopedic Association meeting. Our findings suggest that CME for orthopedic surgeons in Nigeria remains highly valued but could be further strengthened by aligning workshop design with local clinical demands, promoting underrepresented subspecialties, and adopting more flexible delivery formats. </w:t>
      </w:r>
      <w:r w:rsidRPr="00A44C1F">
        <w:rPr>
          <w:rFonts w:ascii="Times New Roman" w:eastAsia="Times New Roman" w:hAnsi="Times New Roman" w:cs="Times New Roman"/>
          <w:bCs/>
          <w:sz w:val="24"/>
          <w:szCs w:val="24"/>
        </w:rPr>
        <w:t>Importantly, CME in Nigeria is not only about sustaining existing practice but also about acquiring new skills and expanding service capacity to meet increasing patient expectations. In this context, NOA’s leadership in prioritizing local content and resisting dependency on external training frameworks will be critical to ensuring CME contributes to both professional development and national surgical self-sufficiency.</w:t>
      </w:r>
      <w:r w:rsidRPr="00A44C1F">
        <w:rPr>
          <w:rFonts w:ascii="Times New Roman" w:eastAsia="Times New Roman" w:hAnsi="Times New Roman" w:cs="Times New Roman"/>
          <w:sz w:val="24"/>
          <w:szCs w:val="24"/>
        </w:rPr>
        <w:t xml:space="preserve"> Addressing these factors will enhance the effectiveness of CME as a tool for professional growth, ultimately contributing to improved surgical care and patient outcomes.</w:t>
      </w:r>
    </w:p>
    <w:p w14:paraId="42E97FAC" w14:textId="77777777" w:rsidR="00B95E4D" w:rsidRDefault="00B95E4D" w:rsidP="00B95E4D"/>
    <w:p w14:paraId="750D2950" w14:textId="77777777" w:rsidR="00225E2C" w:rsidRPr="00225E2C" w:rsidRDefault="00225E2C" w:rsidP="0049618D">
      <w:pPr>
        <w:pStyle w:val="NormalWeb"/>
        <w:spacing w:line="480" w:lineRule="auto"/>
        <w:jc w:val="both"/>
        <w:rPr>
          <w:b/>
        </w:rPr>
      </w:pPr>
      <w:r w:rsidRPr="00225E2C">
        <w:rPr>
          <w:b/>
        </w:rPr>
        <w:t>References</w:t>
      </w:r>
    </w:p>
    <w:p w14:paraId="14F6DB4D"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lastRenderedPageBreak/>
        <w:t xml:space="preserve">Sherman L, </w:t>
      </w:r>
      <w:proofErr w:type="spellStart"/>
      <w:r w:rsidRPr="00322C9C">
        <w:rPr>
          <w:rFonts w:ascii="Times New Roman" w:hAnsi="Times New Roman" w:cs="Times New Roman"/>
          <w:color w:val="1B1B1B"/>
          <w:sz w:val="24"/>
          <w:szCs w:val="24"/>
          <w:shd w:val="clear" w:color="auto" w:fill="FFFFFF"/>
        </w:rPr>
        <w:t>Aboulsoud</w:t>
      </w:r>
      <w:proofErr w:type="spellEnd"/>
      <w:r w:rsidRPr="00322C9C">
        <w:rPr>
          <w:rFonts w:ascii="Times New Roman" w:hAnsi="Times New Roman" w:cs="Times New Roman"/>
          <w:color w:val="1B1B1B"/>
          <w:sz w:val="24"/>
          <w:szCs w:val="24"/>
          <w:shd w:val="clear" w:color="auto" w:fill="FFFFFF"/>
        </w:rPr>
        <w:t xml:space="preserve"> S, Chappell K. An Overview of Continuing Medical Education/Continuing Professional Development Systems in the Middle East and North Africa: A Mixed Methods Assessment. J CME. 2024 Dec 6;13(1):2435737</w:t>
      </w:r>
    </w:p>
    <w:p w14:paraId="5D47DF7B"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VanNieuwenborg</w:t>
      </w:r>
      <w:proofErr w:type="spellEnd"/>
      <w:r w:rsidRPr="00322C9C">
        <w:rPr>
          <w:rFonts w:ascii="Times New Roman" w:hAnsi="Times New Roman" w:cs="Times New Roman"/>
          <w:color w:val="1B1B1B"/>
          <w:sz w:val="24"/>
          <w:szCs w:val="24"/>
          <w:shd w:val="clear" w:color="auto" w:fill="FFFFFF"/>
        </w:rPr>
        <w:t xml:space="preserve"> L, </w:t>
      </w:r>
      <w:proofErr w:type="spellStart"/>
      <w:r w:rsidRPr="00322C9C">
        <w:rPr>
          <w:rFonts w:ascii="Times New Roman" w:hAnsi="Times New Roman" w:cs="Times New Roman"/>
          <w:color w:val="1B1B1B"/>
          <w:sz w:val="24"/>
          <w:szCs w:val="24"/>
          <w:shd w:val="clear" w:color="auto" w:fill="FFFFFF"/>
        </w:rPr>
        <w:t>Goossens</w:t>
      </w:r>
      <w:proofErr w:type="spellEnd"/>
      <w:r w:rsidRPr="00322C9C">
        <w:rPr>
          <w:rFonts w:ascii="Times New Roman" w:hAnsi="Times New Roman" w:cs="Times New Roman"/>
          <w:color w:val="1B1B1B"/>
          <w:sz w:val="24"/>
          <w:szCs w:val="24"/>
          <w:shd w:val="clear" w:color="auto" w:fill="FFFFFF"/>
        </w:rPr>
        <w:t xml:space="preserve"> M, De </w:t>
      </w:r>
      <w:proofErr w:type="spellStart"/>
      <w:r w:rsidRPr="00322C9C">
        <w:rPr>
          <w:rFonts w:ascii="Times New Roman" w:hAnsi="Times New Roman" w:cs="Times New Roman"/>
          <w:color w:val="1B1B1B"/>
          <w:sz w:val="24"/>
          <w:szCs w:val="24"/>
          <w:shd w:val="clear" w:color="auto" w:fill="FFFFFF"/>
        </w:rPr>
        <w:t>Lepeleire</w:t>
      </w:r>
      <w:proofErr w:type="spellEnd"/>
      <w:r w:rsidRPr="00322C9C">
        <w:rPr>
          <w:rFonts w:ascii="Times New Roman" w:hAnsi="Times New Roman" w:cs="Times New Roman"/>
          <w:color w:val="1B1B1B"/>
          <w:sz w:val="24"/>
          <w:szCs w:val="24"/>
          <w:shd w:val="clear" w:color="auto" w:fill="FFFFFF"/>
        </w:rPr>
        <w:t xml:space="preserve"> J, </w:t>
      </w:r>
      <w:proofErr w:type="spellStart"/>
      <w:r w:rsidRPr="00322C9C">
        <w:rPr>
          <w:rFonts w:ascii="Times New Roman" w:hAnsi="Times New Roman" w:cs="Times New Roman"/>
          <w:color w:val="1B1B1B"/>
          <w:sz w:val="24"/>
          <w:szCs w:val="24"/>
          <w:shd w:val="clear" w:color="auto" w:fill="FFFFFF"/>
        </w:rPr>
        <w:t>Schoenmakers</w:t>
      </w:r>
      <w:proofErr w:type="spellEnd"/>
      <w:r w:rsidRPr="00322C9C">
        <w:rPr>
          <w:rFonts w:ascii="Times New Roman" w:hAnsi="Times New Roman" w:cs="Times New Roman"/>
          <w:color w:val="1B1B1B"/>
          <w:sz w:val="24"/>
          <w:szCs w:val="24"/>
          <w:shd w:val="clear" w:color="auto" w:fill="FFFFFF"/>
        </w:rPr>
        <w:t xml:space="preserve"> B. Continuing medical education for general practitioners: a practice format. Postgrad Med J. 2016 Apr;92(1086):217-22. </w:t>
      </w:r>
    </w:p>
    <w:p w14:paraId="2955489A"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Balmer JT. The transformation of continuing medical education (CME) in the United States. Adv Med Educ </w:t>
      </w:r>
      <w:proofErr w:type="spellStart"/>
      <w:r w:rsidRPr="00322C9C">
        <w:rPr>
          <w:rFonts w:ascii="Times New Roman" w:hAnsi="Times New Roman" w:cs="Times New Roman"/>
          <w:color w:val="1B1B1B"/>
          <w:sz w:val="24"/>
          <w:szCs w:val="24"/>
          <w:shd w:val="clear" w:color="auto" w:fill="FFFFFF"/>
        </w:rPr>
        <w:t>Pract</w:t>
      </w:r>
      <w:proofErr w:type="spellEnd"/>
      <w:r w:rsidRPr="00322C9C">
        <w:rPr>
          <w:rFonts w:ascii="Times New Roman" w:hAnsi="Times New Roman" w:cs="Times New Roman"/>
          <w:color w:val="1B1B1B"/>
          <w:sz w:val="24"/>
          <w:szCs w:val="24"/>
          <w:shd w:val="clear" w:color="auto" w:fill="FFFFFF"/>
        </w:rPr>
        <w:t xml:space="preserve">. 2013 Sep </w:t>
      </w:r>
      <w:proofErr w:type="gramStart"/>
      <w:r w:rsidRPr="00322C9C">
        <w:rPr>
          <w:rFonts w:ascii="Times New Roman" w:hAnsi="Times New Roman" w:cs="Times New Roman"/>
          <w:color w:val="1B1B1B"/>
          <w:sz w:val="24"/>
          <w:szCs w:val="24"/>
          <w:shd w:val="clear" w:color="auto" w:fill="FFFFFF"/>
        </w:rPr>
        <w:t>19;4:171</w:t>
      </w:r>
      <w:proofErr w:type="gramEnd"/>
      <w:r w:rsidRPr="00322C9C">
        <w:rPr>
          <w:rFonts w:ascii="Times New Roman" w:hAnsi="Times New Roman" w:cs="Times New Roman"/>
          <w:color w:val="1B1B1B"/>
          <w:sz w:val="24"/>
          <w:szCs w:val="24"/>
          <w:shd w:val="clear" w:color="auto" w:fill="FFFFFF"/>
        </w:rPr>
        <w:t xml:space="preserve">-82. </w:t>
      </w:r>
    </w:p>
    <w:p w14:paraId="47CF0A65"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28333D"/>
          <w:sz w:val="24"/>
          <w:szCs w:val="24"/>
          <w:shd w:val="clear" w:color="auto" w:fill="FFFFFF"/>
        </w:rPr>
      </w:pPr>
      <w:r w:rsidRPr="00322C9C">
        <w:rPr>
          <w:rFonts w:ascii="Times New Roman" w:hAnsi="Times New Roman" w:cs="Times New Roman"/>
          <w:color w:val="28333D"/>
          <w:sz w:val="24"/>
          <w:szCs w:val="24"/>
          <w:shd w:val="clear" w:color="auto" w:fill="FFFFFF"/>
        </w:rPr>
        <w:t>Abbasi, E. (2025). Changing Physician Performance: A Systematic Review and Meta-Analysis (75 years 1950-2024) of the Effect of Continuing Medical Education Strategies, Continuous Professional Development and knowledge Translation.</w:t>
      </w:r>
    </w:p>
    <w:p w14:paraId="6CCEA559"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333333"/>
          <w:sz w:val="24"/>
          <w:szCs w:val="24"/>
          <w:shd w:val="clear" w:color="auto" w:fill="FFFFFF"/>
        </w:rPr>
      </w:pPr>
      <w:r w:rsidRPr="00322C9C">
        <w:rPr>
          <w:rFonts w:ascii="Times New Roman" w:hAnsi="Times New Roman" w:cs="Times New Roman"/>
          <w:color w:val="333333"/>
          <w:sz w:val="24"/>
          <w:szCs w:val="24"/>
          <w:shd w:val="clear" w:color="auto" w:fill="FFFFFF"/>
        </w:rPr>
        <w:t xml:space="preserve">Buckley R, Brink P, Kojima K, et al. International needs analysis in </w:t>
      </w:r>
      <w:r w:rsidR="00B95E4D">
        <w:rPr>
          <w:rFonts w:ascii="Times New Roman" w:hAnsi="Times New Roman" w:cs="Times New Roman"/>
          <w:color w:val="333333"/>
          <w:sz w:val="24"/>
          <w:szCs w:val="24"/>
          <w:shd w:val="clear" w:color="auto" w:fill="FFFFFF"/>
        </w:rPr>
        <w:t xml:space="preserve">orthopedic </w:t>
      </w:r>
      <w:r w:rsidRPr="00322C9C">
        <w:rPr>
          <w:rFonts w:ascii="Times New Roman" w:hAnsi="Times New Roman" w:cs="Times New Roman"/>
          <w:color w:val="333333"/>
          <w:sz w:val="24"/>
          <w:szCs w:val="24"/>
          <w:shd w:val="clear" w:color="auto" w:fill="FFFFFF"/>
        </w:rPr>
        <w:t xml:space="preserve">trauma for </w:t>
      </w:r>
      <w:proofErr w:type="spellStart"/>
      <w:r w:rsidRPr="00322C9C">
        <w:rPr>
          <w:rFonts w:ascii="Times New Roman" w:hAnsi="Times New Roman" w:cs="Times New Roman"/>
          <w:color w:val="333333"/>
          <w:sz w:val="24"/>
          <w:szCs w:val="24"/>
          <w:shd w:val="clear" w:color="auto" w:fill="FFFFFF"/>
        </w:rPr>
        <w:t>practising</w:t>
      </w:r>
      <w:proofErr w:type="spellEnd"/>
      <w:r w:rsidRPr="00322C9C">
        <w:rPr>
          <w:rFonts w:ascii="Times New Roman" w:hAnsi="Times New Roman" w:cs="Times New Roman"/>
          <w:color w:val="333333"/>
          <w:sz w:val="24"/>
          <w:szCs w:val="24"/>
          <w:shd w:val="clear" w:color="auto" w:fill="FFFFFF"/>
        </w:rPr>
        <w:t xml:space="preserve"> surgeons with a 3-year review of resulting actions. J Eur CME. 2017;6:13</w:t>
      </w:r>
    </w:p>
    <w:p w14:paraId="4EAA2D4F"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Bhashyam</w:t>
      </w:r>
      <w:proofErr w:type="spellEnd"/>
      <w:r w:rsidRPr="00322C9C">
        <w:rPr>
          <w:rFonts w:ascii="Times New Roman" w:hAnsi="Times New Roman" w:cs="Times New Roman"/>
          <w:color w:val="1B1B1B"/>
          <w:sz w:val="24"/>
          <w:szCs w:val="24"/>
          <w:shd w:val="clear" w:color="auto" w:fill="FFFFFF"/>
        </w:rPr>
        <w:t xml:space="preserve"> AR, van der Vliet QMJ, </w:t>
      </w:r>
      <w:proofErr w:type="spellStart"/>
      <w:r w:rsidRPr="00322C9C">
        <w:rPr>
          <w:rFonts w:ascii="Times New Roman" w:hAnsi="Times New Roman" w:cs="Times New Roman"/>
          <w:color w:val="1B1B1B"/>
          <w:sz w:val="24"/>
          <w:szCs w:val="24"/>
          <w:shd w:val="clear" w:color="auto" w:fill="FFFFFF"/>
        </w:rPr>
        <w:t>Houwert</w:t>
      </w:r>
      <w:proofErr w:type="spellEnd"/>
      <w:r w:rsidRPr="00322C9C">
        <w:rPr>
          <w:rFonts w:ascii="Times New Roman" w:hAnsi="Times New Roman" w:cs="Times New Roman"/>
          <w:color w:val="1B1B1B"/>
          <w:sz w:val="24"/>
          <w:szCs w:val="24"/>
          <w:shd w:val="clear" w:color="auto" w:fill="FFFFFF"/>
        </w:rPr>
        <w:t xml:space="preserve"> RM, </w:t>
      </w:r>
      <w:proofErr w:type="spellStart"/>
      <w:r w:rsidRPr="00322C9C">
        <w:rPr>
          <w:rFonts w:ascii="Times New Roman" w:hAnsi="Times New Roman" w:cs="Times New Roman"/>
          <w:color w:val="1B1B1B"/>
          <w:sz w:val="24"/>
          <w:szCs w:val="24"/>
          <w:shd w:val="clear" w:color="auto" w:fill="FFFFFF"/>
        </w:rPr>
        <w:t>Simmermacher</w:t>
      </w:r>
      <w:proofErr w:type="spellEnd"/>
      <w:r w:rsidRPr="00322C9C">
        <w:rPr>
          <w:rFonts w:ascii="Times New Roman" w:hAnsi="Times New Roman" w:cs="Times New Roman"/>
          <w:color w:val="1B1B1B"/>
          <w:sz w:val="24"/>
          <w:szCs w:val="24"/>
          <w:shd w:val="clear" w:color="auto" w:fill="FFFFFF"/>
        </w:rPr>
        <w:t xml:space="preserve"> RKJ, Brink P, de Boer P, </w:t>
      </w:r>
      <w:proofErr w:type="spellStart"/>
      <w:r w:rsidRPr="00322C9C">
        <w:rPr>
          <w:rFonts w:ascii="Times New Roman" w:hAnsi="Times New Roman" w:cs="Times New Roman"/>
          <w:color w:val="1B1B1B"/>
          <w:sz w:val="24"/>
          <w:szCs w:val="24"/>
          <w:shd w:val="clear" w:color="auto" w:fill="FFFFFF"/>
        </w:rPr>
        <w:t>Leenen</w:t>
      </w:r>
      <w:proofErr w:type="spellEnd"/>
      <w:r w:rsidRPr="00322C9C">
        <w:rPr>
          <w:rFonts w:ascii="Times New Roman" w:hAnsi="Times New Roman" w:cs="Times New Roman"/>
          <w:color w:val="1B1B1B"/>
          <w:sz w:val="24"/>
          <w:szCs w:val="24"/>
          <w:shd w:val="clear" w:color="auto" w:fill="FFFFFF"/>
        </w:rPr>
        <w:t xml:space="preserve"> LPH. Redesigning an International </w:t>
      </w:r>
      <w:r w:rsidR="00B95E4D">
        <w:rPr>
          <w:rFonts w:ascii="Times New Roman" w:hAnsi="Times New Roman" w:cs="Times New Roman"/>
          <w:color w:val="1B1B1B"/>
          <w:sz w:val="24"/>
          <w:szCs w:val="24"/>
          <w:shd w:val="clear" w:color="auto" w:fill="FFFFFF"/>
        </w:rPr>
        <w:t xml:space="preserve">Orthopedic </w:t>
      </w:r>
      <w:r w:rsidRPr="00322C9C">
        <w:rPr>
          <w:rFonts w:ascii="Times New Roman" w:hAnsi="Times New Roman" w:cs="Times New Roman"/>
          <w:color w:val="1B1B1B"/>
          <w:sz w:val="24"/>
          <w:szCs w:val="24"/>
          <w:shd w:val="clear" w:color="auto" w:fill="FFFFFF"/>
        </w:rPr>
        <w:t>CME Course: The Effects on Participant Engagement over 5 Years. J Eur CME. 2019 Jun 26;8(1):1633193</w:t>
      </w:r>
    </w:p>
    <w:p w14:paraId="719911C7"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28333D"/>
          <w:sz w:val="24"/>
          <w:szCs w:val="24"/>
          <w:shd w:val="clear" w:color="auto" w:fill="FFFFFF"/>
        </w:rPr>
      </w:pPr>
      <w:r w:rsidRPr="00322C9C">
        <w:rPr>
          <w:rFonts w:ascii="Times New Roman" w:hAnsi="Times New Roman" w:cs="Times New Roman"/>
          <w:color w:val="28333D"/>
          <w:sz w:val="24"/>
          <w:szCs w:val="24"/>
          <w:shd w:val="clear" w:color="auto" w:fill="FFFFFF"/>
        </w:rPr>
        <w:t>Brandt, K. (2015). From Residency to Lifelong Learning. </w:t>
      </w:r>
      <w:r w:rsidRPr="00322C9C">
        <w:rPr>
          <w:rStyle w:val="Emphasis"/>
          <w:rFonts w:ascii="Times New Roman" w:hAnsi="Times New Roman" w:cs="Times New Roman"/>
          <w:i w:val="0"/>
          <w:color w:val="28333D"/>
          <w:sz w:val="24"/>
          <w:szCs w:val="24"/>
          <w:shd w:val="clear" w:color="auto" w:fill="FFFFFF"/>
        </w:rPr>
        <w:t>Journal of Craniofacial Surgery</w:t>
      </w:r>
      <w:r w:rsidRPr="00322C9C">
        <w:rPr>
          <w:rFonts w:ascii="Times New Roman" w:hAnsi="Times New Roman" w:cs="Times New Roman"/>
          <w:color w:val="28333D"/>
          <w:sz w:val="24"/>
          <w:szCs w:val="24"/>
          <w:shd w:val="clear" w:color="auto" w:fill="FFFFFF"/>
        </w:rPr>
        <w:t xml:space="preserve">, 26, 2287–2288. </w:t>
      </w:r>
    </w:p>
    <w:p w14:paraId="184BF695"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28333D"/>
          <w:sz w:val="24"/>
          <w:szCs w:val="24"/>
          <w:shd w:val="clear" w:color="auto" w:fill="FFFFFF"/>
        </w:rPr>
      </w:pPr>
      <w:r w:rsidRPr="00322C9C">
        <w:rPr>
          <w:rFonts w:ascii="Times New Roman" w:hAnsi="Times New Roman" w:cs="Times New Roman"/>
          <w:color w:val="28333D"/>
          <w:sz w:val="24"/>
          <w:szCs w:val="24"/>
          <w:shd w:val="clear" w:color="auto" w:fill="FFFFFF"/>
        </w:rPr>
        <w:t xml:space="preserve">Evans, C., &amp; </w:t>
      </w:r>
      <w:proofErr w:type="spellStart"/>
      <w:r w:rsidRPr="00322C9C">
        <w:rPr>
          <w:rFonts w:ascii="Times New Roman" w:hAnsi="Times New Roman" w:cs="Times New Roman"/>
          <w:color w:val="28333D"/>
          <w:sz w:val="24"/>
          <w:szCs w:val="24"/>
          <w:shd w:val="clear" w:color="auto" w:fill="FFFFFF"/>
        </w:rPr>
        <w:t>Schenarts</w:t>
      </w:r>
      <w:proofErr w:type="spellEnd"/>
      <w:r w:rsidRPr="00322C9C">
        <w:rPr>
          <w:rFonts w:ascii="Times New Roman" w:hAnsi="Times New Roman" w:cs="Times New Roman"/>
          <w:color w:val="28333D"/>
          <w:sz w:val="24"/>
          <w:szCs w:val="24"/>
          <w:shd w:val="clear" w:color="auto" w:fill="FFFFFF"/>
        </w:rPr>
        <w:t xml:space="preserve">, K. (2016). Evolving Educational Techniques in Surgical </w:t>
      </w:r>
      <w:proofErr w:type="gramStart"/>
      <w:r w:rsidRPr="00322C9C">
        <w:rPr>
          <w:rFonts w:ascii="Times New Roman" w:hAnsi="Times New Roman" w:cs="Times New Roman"/>
          <w:color w:val="28333D"/>
          <w:sz w:val="24"/>
          <w:szCs w:val="24"/>
          <w:shd w:val="clear" w:color="auto" w:fill="FFFFFF"/>
        </w:rPr>
        <w:t>Training..</w:t>
      </w:r>
      <w:proofErr w:type="gramEnd"/>
      <w:r w:rsidRPr="00322C9C">
        <w:rPr>
          <w:rFonts w:ascii="Times New Roman" w:hAnsi="Times New Roman" w:cs="Times New Roman"/>
          <w:color w:val="28333D"/>
          <w:sz w:val="24"/>
          <w:szCs w:val="24"/>
          <w:shd w:val="clear" w:color="auto" w:fill="FFFFFF"/>
        </w:rPr>
        <w:t> </w:t>
      </w:r>
      <w:r w:rsidRPr="00322C9C">
        <w:rPr>
          <w:rStyle w:val="Emphasis"/>
          <w:rFonts w:ascii="Times New Roman" w:hAnsi="Times New Roman" w:cs="Times New Roman"/>
          <w:i w:val="0"/>
          <w:color w:val="28333D"/>
          <w:sz w:val="24"/>
          <w:szCs w:val="24"/>
          <w:shd w:val="clear" w:color="auto" w:fill="FFFFFF"/>
        </w:rPr>
        <w:t>The Surgical clinics of North America</w:t>
      </w:r>
      <w:r w:rsidRPr="00322C9C">
        <w:rPr>
          <w:rFonts w:ascii="Times New Roman" w:hAnsi="Times New Roman" w:cs="Times New Roman"/>
          <w:color w:val="28333D"/>
          <w:sz w:val="24"/>
          <w:szCs w:val="24"/>
          <w:shd w:val="clear" w:color="auto" w:fill="FFFFFF"/>
        </w:rPr>
        <w:t xml:space="preserve">, 96 1, 71-88. </w:t>
      </w:r>
    </w:p>
    <w:p w14:paraId="353F6C33"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Peck C, McCall M, McLaren B, Rotem T. Continuing medical education and continuing professional development: international comparisons. BMJ. 2000 Feb 12;320(7232):432-5</w:t>
      </w:r>
    </w:p>
    <w:p w14:paraId="5D26B199" w14:textId="10856B5D"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28333D"/>
          <w:sz w:val="24"/>
          <w:szCs w:val="24"/>
          <w:shd w:val="clear" w:color="auto" w:fill="FFFFFF"/>
        </w:rPr>
        <w:t>Incoll</w:t>
      </w:r>
      <w:proofErr w:type="spellEnd"/>
      <w:r w:rsidRPr="00322C9C">
        <w:rPr>
          <w:rFonts w:ascii="Times New Roman" w:hAnsi="Times New Roman" w:cs="Times New Roman"/>
          <w:color w:val="28333D"/>
          <w:sz w:val="24"/>
          <w:szCs w:val="24"/>
          <w:shd w:val="clear" w:color="auto" w:fill="FFFFFF"/>
        </w:rPr>
        <w:t xml:space="preserve">, I., Atkin, J., Owen, J., Keane, A., Khorshid, O., Cosenza, A., &amp; Frank, J. (2019). Australian </w:t>
      </w:r>
      <w:r w:rsidR="00B95E4D">
        <w:rPr>
          <w:rFonts w:ascii="Times New Roman" w:hAnsi="Times New Roman" w:cs="Times New Roman"/>
          <w:color w:val="28333D"/>
          <w:sz w:val="24"/>
          <w:szCs w:val="24"/>
          <w:shd w:val="clear" w:color="auto" w:fill="FFFFFF"/>
        </w:rPr>
        <w:t xml:space="preserve">orthopedic </w:t>
      </w:r>
      <w:r w:rsidRPr="00322C9C">
        <w:rPr>
          <w:rFonts w:ascii="Times New Roman" w:hAnsi="Times New Roman" w:cs="Times New Roman"/>
          <w:color w:val="28333D"/>
          <w:sz w:val="24"/>
          <w:szCs w:val="24"/>
          <w:shd w:val="clear" w:color="auto" w:fill="FFFFFF"/>
        </w:rPr>
        <w:t xml:space="preserve">surgery training: Australian </w:t>
      </w:r>
      <w:r w:rsidR="00B95E4D">
        <w:rPr>
          <w:rFonts w:ascii="Times New Roman" w:hAnsi="Times New Roman" w:cs="Times New Roman"/>
          <w:color w:val="28333D"/>
          <w:sz w:val="24"/>
          <w:szCs w:val="24"/>
          <w:shd w:val="clear" w:color="auto" w:fill="FFFFFF"/>
        </w:rPr>
        <w:t xml:space="preserve">Orthopedic </w:t>
      </w:r>
      <w:r w:rsidRPr="00322C9C">
        <w:rPr>
          <w:rFonts w:ascii="Times New Roman" w:hAnsi="Times New Roman" w:cs="Times New Roman"/>
          <w:color w:val="28333D"/>
          <w:sz w:val="24"/>
          <w:szCs w:val="24"/>
          <w:shd w:val="clear" w:color="auto" w:fill="FFFFFF"/>
        </w:rPr>
        <w:t>Association's strategic education review. </w:t>
      </w:r>
      <w:r w:rsidRPr="00322C9C">
        <w:rPr>
          <w:rStyle w:val="Emphasis"/>
          <w:rFonts w:ascii="Times New Roman" w:hAnsi="Times New Roman" w:cs="Times New Roman"/>
          <w:i w:val="0"/>
          <w:color w:val="28333D"/>
          <w:sz w:val="24"/>
          <w:szCs w:val="24"/>
          <w:shd w:val="clear" w:color="auto" w:fill="FFFFFF"/>
        </w:rPr>
        <w:t>ANZ Journal of Surgery</w:t>
      </w:r>
      <w:r w:rsidRPr="00322C9C">
        <w:rPr>
          <w:rFonts w:ascii="Times New Roman" w:hAnsi="Times New Roman" w:cs="Times New Roman"/>
          <w:color w:val="28333D"/>
          <w:sz w:val="24"/>
          <w:szCs w:val="24"/>
          <w:shd w:val="clear" w:color="auto" w:fill="FFFFFF"/>
        </w:rPr>
        <w:t xml:space="preserve">, 90. </w:t>
      </w:r>
      <w:hyperlink r:id="rId7" w:history="1">
        <w:r w:rsidR="00EB74F6" w:rsidRPr="00ED50B2">
          <w:rPr>
            <w:rStyle w:val="Hyperlink"/>
            <w:rFonts w:ascii="Times New Roman" w:hAnsi="Times New Roman" w:cs="Times New Roman"/>
            <w:sz w:val="24"/>
            <w:szCs w:val="24"/>
            <w:shd w:val="clear" w:color="auto" w:fill="FFFFFF"/>
          </w:rPr>
          <w:t>https://doi.org/10.1111/ans.15609</w:t>
        </w:r>
      </w:hyperlink>
      <w:r w:rsidRPr="00322C9C">
        <w:rPr>
          <w:rFonts w:ascii="Times New Roman" w:hAnsi="Times New Roman" w:cs="Times New Roman"/>
          <w:color w:val="28333D"/>
          <w:sz w:val="24"/>
          <w:szCs w:val="24"/>
          <w:shd w:val="clear" w:color="auto" w:fill="FFFFFF"/>
        </w:rPr>
        <w:t>.</w:t>
      </w:r>
    </w:p>
    <w:p w14:paraId="307828F4"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 xml:space="preserve">Ottesen, T., Montoya, R., Ogunleye, T., Brown, K., Woolley, P., Dejean, J., Qudsi, R., Agarwal-Harding, K., &amp; Dyer, G. (2021). Implementation and Impact Evaluation of a Virtual </w:t>
      </w:r>
      <w:r w:rsidR="00B95E4D">
        <w:rPr>
          <w:rFonts w:ascii="Times New Roman" w:hAnsi="Times New Roman" w:cs="Times New Roman"/>
          <w:color w:val="28333D"/>
          <w:sz w:val="24"/>
          <w:szCs w:val="24"/>
          <w:shd w:val="clear" w:color="auto" w:fill="FFFFFF"/>
        </w:rPr>
        <w:t xml:space="preserve">Orthopedic </w:t>
      </w:r>
      <w:r w:rsidRPr="00322C9C">
        <w:rPr>
          <w:rFonts w:ascii="Times New Roman" w:hAnsi="Times New Roman" w:cs="Times New Roman"/>
          <w:color w:val="28333D"/>
          <w:sz w:val="24"/>
          <w:szCs w:val="24"/>
          <w:shd w:val="clear" w:color="auto" w:fill="FFFFFF"/>
        </w:rPr>
        <w:t xml:space="preserve">Continuing Medical Education Conference in a Low-Resource </w:t>
      </w:r>
      <w:proofErr w:type="gramStart"/>
      <w:r w:rsidRPr="00322C9C">
        <w:rPr>
          <w:rFonts w:ascii="Times New Roman" w:hAnsi="Times New Roman" w:cs="Times New Roman"/>
          <w:color w:val="28333D"/>
          <w:sz w:val="24"/>
          <w:szCs w:val="24"/>
          <w:shd w:val="clear" w:color="auto" w:fill="FFFFFF"/>
        </w:rPr>
        <w:t>Country..</w:t>
      </w:r>
      <w:proofErr w:type="gramEnd"/>
      <w:r w:rsidRPr="00322C9C">
        <w:rPr>
          <w:rFonts w:ascii="Times New Roman" w:hAnsi="Times New Roman" w:cs="Times New Roman"/>
          <w:color w:val="28333D"/>
          <w:sz w:val="24"/>
          <w:szCs w:val="24"/>
          <w:shd w:val="clear" w:color="auto" w:fill="FFFFFF"/>
        </w:rPr>
        <w:t> </w:t>
      </w:r>
      <w:r w:rsidRPr="00322C9C">
        <w:rPr>
          <w:rStyle w:val="Emphasis"/>
          <w:rFonts w:ascii="Times New Roman" w:hAnsi="Times New Roman" w:cs="Times New Roman"/>
          <w:i w:val="0"/>
          <w:color w:val="28333D"/>
          <w:sz w:val="24"/>
          <w:szCs w:val="24"/>
          <w:shd w:val="clear" w:color="auto" w:fill="FFFFFF"/>
        </w:rPr>
        <w:t>Journal of surgical education</w:t>
      </w:r>
      <w:r w:rsidRPr="00322C9C">
        <w:rPr>
          <w:rFonts w:ascii="Times New Roman" w:hAnsi="Times New Roman" w:cs="Times New Roman"/>
          <w:color w:val="28333D"/>
          <w:sz w:val="24"/>
          <w:szCs w:val="24"/>
          <w:shd w:val="clear" w:color="auto" w:fill="FFFFFF"/>
        </w:rPr>
        <w:t xml:space="preserve">. </w:t>
      </w:r>
    </w:p>
    <w:p w14:paraId="0CC7E179"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Challa KT, Sayed A, Acharya Y. Modern techniques of teaching and learning in medical education: a descriptive literature review. </w:t>
      </w:r>
      <w:proofErr w:type="spellStart"/>
      <w:r w:rsidRPr="00322C9C">
        <w:rPr>
          <w:rFonts w:ascii="Times New Roman" w:hAnsi="Times New Roman" w:cs="Times New Roman"/>
          <w:color w:val="1B1B1B"/>
          <w:sz w:val="24"/>
          <w:szCs w:val="24"/>
          <w:shd w:val="clear" w:color="auto" w:fill="FFFFFF"/>
        </w:rPr>
        <w:t>MedEdPublish</w:t>
      </w:r>
      <w:proofErr w:type="spellEnd"/>
      <w:r w:rsidRPr="00322C9C">
        <w:rPr>
          <w:rFonts w:ascii="Times New Roman" w:hAnsi="Times New Roman" w:cs="Times New Roman"/>
          <w:color w:val="1B1B1B"/>
          <w:sz w:val="24"/>
          <w:szCs w:val="24"/>
          <w:shd w:val="clear" w:color="auto" w:fill="FFFFFF"/>
        </w:rPr>
        <w:t xml:space="preserve"> (2016). 2021 Jan 21;10:18</w:t>
      </w:r>
    </w:p>
    <w:p w14:paraId="6B21A7B6"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Forsetlund</w:t>
      </w:r>
      <w:proofErr w:type="spellEnd"/>
      <w:r w:rsidRPr="00322C9C">
        <w:rPr>
          <w:rFonts w:ascii="Times New Roman" w:hAnsi="Times New Roman" w:cs="Times New Roman"/>
          <w:color w:val="1B1B1B"/>
          <w:sz w:val="24"/>
          <w:szCs w:val="24"/>
          <w:shd w:val="clear" w:color="auto" w:fill="FFFFFF"/>
        </w:rPr>
        <w:t xml:space="preserve"> L, O'Brien MA, </w:t>
      </w:r>
      <w:proofErr w:type="spellStart"/>
      <w:r w:rsidRPr="00322C9C">
        <w:rPr>
          <w:rFonts w:ascii="Times New Roman" w:hAnsi="Times New Roman" w:cs="Times New Roman"/>
          <w:color w:val="1B1B1B"/>
          <w:sz w:val="24"/>
          <w:szCs w:val="24"/>
          <w:shd w:val="clear" w:color="auto" w:fill="FFFFFF"/>
        </w:rPr>
        <w:t>Forsén</w:t>
      </w:r>
      <w:proofErr w:type="spellEnd"/>
      <w:r w:rsidRPr="00322C9C">
        <w:rPr>
          <w:rFonts w:ascii="Times New Roman" w:hAnsi="Times New Roman" w:cs="Times New Roman"/>
          <w:color w:val="1B1B1B"/>
          <w:sz w:val="24"/>
          <w:szCs w:val="24"/>
          <w:shd w:val="clear" w:color="auto" w:fill="FFFFFF"/>
        </w:rPr>
        <w:t xml:space="preserve"> L, </w:t>
      </w:r>
      <w:proofErr w:type="spellStart"/>
      <w:r w:rsidRPr="00322C9C">
        <w:rPr>
          <w:rFonts w:ascii="Times New Roman" w:hAnsi="Times New Roman" w:cs="Times New Roman"/>
          <w:color w:val="1B1B1B"/>
          <w:sz w:val="24"/>
          <w:szCs w:val="24"/>
          <w:shd w:val="clear" w:color="auto" w:fill="FFFFFF"/>
        </w:rPr>
        <w:t>Reinar</w:t>
      </w:r>
      <w:proofErr w:type="spellEnd"/>
      <w:r w:rsidRPr="00322C9C">
        <w:rPr>
          <w:rFonts w:ascii="Times New Roman" w:hAnsi="Times New Roman" w:cs="Times New Roman"/>
          <w:color w:val="1B1B1B"/>
          <w:sz w:val="24"/>
          <w:szCs w:val="24"/>
          <w:shd w:val="clear" w:color="auto" w:fill="FFFFFF"/>
        </w:rPr>
        <w:t xml:space="preserve"> LM, </w:t>
      </w:r>
      <w:proofErr w:type="spellStart"/>
      <w:r w:rsidRPr="00322C9C">
        <w:rPr>
          <w:rFonts w:ascii="Times New Roman" w:hAnsi="Times New Roman" w:cs="Times New Roman"/>
          <w:color w:val="1B1B1B"/>
          <w:sz w:val="24"/>
          <w:szCs w:val="24"/>
          <w:shd w:val="clear" w:color="auto" w:fill="FFFFFF"/>
        </w:rPr>
        <w:t>Okwen</w:t>
      </w:r>
      <w:proofErr w:type="spellEnd"/>
      <w:r w:rsidRPr="00322C9C">
        <w:rPr>
          <w:rFonts w:ascii="Times New Roman" w:hAnsi="Times New Roman" w:cs="Times New Roman"/>
          <w:color w:val="1B1B1B"/>
          <w:sz w:val="24"/>
          <w:szCs w:val="24"/>
          <w:shd w:val="clear" w:color="auto" w:fill="FFFFFF"/>
        </w:rPr>
        <w:t xml:space="preserve"> MP, Horsley T, Rose CJ. Continuing education meetings and workshops: effects on professional practice and healthcare outcomes. Cochrane Database Syst Rev. 2021 Sep 15;9(9):CD003030.</w:t>
      </w:r>
    </w:p>
    <w:p w14:paraId="052BD945"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 xml:space="preserve">Alshehri, H., Alshehri, A., Alshehri, A., Alshehri, S., Zahib, Y., </w:t>
      </w:r>
      <w:proofErr w:type="spellStart"/>
      <w:r w:rsidRPr="00322C9C">
        <w:rPr>
          <w:rFonts w:ascii="Times New Roman" w:hAnsi="Times New Roman" w:cs="Times New Roman"/>
          <w:color w:val="28333D"/>
          <w:sz w:val="24"/>
          <w:szCs w:val="24"/>
          <w:shd w:val="clear" w:color="auto" w:fill="FFFFFF"/>
        </w:rPr>
        <w:t>Alahmari</w:t>
      </w:r>
      <w:proofErr w:type="spellEnd"/>
      <w:r w:rsidRPr="00322C9C">
        <w:rPr>
          <w:rFonts w:ascii="Times New Roman" w:hAnsi="Times New Roman" w:cs="Times New Roman"/>
          <w:color w:val="28333D"/>
          <w:sz w:val="24"/>
          <w:szCs w:val="24"/>
          <w:shd w:val="clear" w:color="auto" w:fill="FFFFFF"/>
        </w:rPr>
        <w:t xml:space="preserve">, A., </w:t>
      </w:r>
      <w:proofErr w:type="spellStart"/>
      <w:r w:rsidRPr="00322C9C">
        <w:rPr>
          <w:rFonts w:ascii="Times New Roman" w:hAnsi="Times New Roman" w:cs="Times New Roman"/>
          <w:color w:val="28333D"/>
          <w:sz w:val="24"/>
          <w:szCs w:val="24"/>
          <w:shd w:val="clear" w:color="auto" w:fill="FFFFFF"/>
        </w:rPr>
        <w:t>Alshaikhi</w:t>
      </w:r>
      <w:proofErr w:type="spellEnd"/>
      <w:r w:rsidRPr="00322C9C">
        <w:rPr>
          <w:rFonts w:ascii="Times New Roman" w:hAnsi="Times New Roman" w:cs="Times New Roman"/>
          <w:color w:val="28333D"/>
          <w:sz w:val="24"/>
          <w:szCs w:val="24"/>
          <w:shd w:val="clear" w:color="auto" w:fill="FFFFFF"/>
        </w:rPr>
        <w:t xml:space="preserve">, S., </w:t>
      </w:r>
      <w:proofErr w:type="spellStart"/>
      <w:r w:rsidRPr="00322C9C">
        <w:rPr>
          <w:rFonts w:ascii="Times New Roman" w:hAnsi="Times New Roman" w:cs="Times New Roman"/>
          <w:color w:val="28333D"/>
          <w:sz w:val="24"/>
          <w:szCs w:val="24"/>
          <w:shd w:val="clear" w:color="auto" w:fill="FFFFFF"/>
        </w:rPr>
        <w:t>Algarni</w:t>
      </w:r>
      <w:proofErr w:type="spellEnd"/>
      <w:r w:rsidRPr="00322C9C">
        <w:rPr>
          <w:rFonts w:ascii="Times New Roman" w:hAnsi="Times New Roman" w:cs="Times New Roman"/>
          <w:color w:val="28333D"/>
          <w:sz w:val="24"/>
          <w:szCs w:val="24"/>
          <w:shd w:val="clear" w:color="auto" w:fill="FFFFFF"/>
        </w:rPr>
        <w:t xml:space="preserve">, H., &amp; </w:t>
      </w:r>
      <w:proofErr w:type="spellStart"/>
      <w:r w:rsidRPr="00322C9C">
        <w:rPr>
          <w:rFonts w:ascii="Times New Roman" w:hAnsi="Times New Roman" w:cs="Times New Roman"/>
          <w:color w:val="28333D"/>
          <w:sz w:val="24"/>
          <w:szCs w:val="24"/>
          <w:shd w:val="clear" w:color="auto" w:fill="FFFFFF"/>
        </w:rPr>
        <w:t>Alasmari</w:t>
      </w:r>
      <w:proofErr w:type="spellEnd"/>
      <w:r w:rsidRPr="00322C9C">
        <w:rPr>
          <w:rFonts w:ascii="Times New Roman" w:hAnsi="Times New Roman" w:cs="Times New Roman"/>
          <w:color w:val="28333D"/>
          <w:sz w:val="24"/>
          <w:szCs w:val="24"/>
          <w:shd w:val="clear" w:color="auto" w:fill="FFFFFF"/>
        </w:rPr>
        <w:t>, F. (2024). Primary health care professionals’ opinions regarding continuing medical education: A cross sectional study. </w:t>
      </w:r>
      <w:r w:rsidRPr="00322C9C">
        <w:rPr>
          <w:rStyle w:val="Emphasis"/>
          <w:rFonts w:ascii="Times New Roman" w:hAnsi="Times New Roman" w:cs="Times New Roman"/>
          <w:i w:val="0"/>
          <w:color w:val="28333D"/>
          <w:sz w:val="24"/>
          <w:szCs w:val="24"/>
          <w:shd w:val="clear" w:color="auto" w:fill="FFFFFF"/>
        </w:rPr>
        <w:t>Medicine</w:t>
      </w:r>
      <w:r w:rsidRPr="00322C9C">
        <w:rPr>
          <w:rFonts w:ascii="Times New Roman" w:hAnsi="Times New Roman" w:cs="Times New Roman"/>
          <w:color w:val="28333D"/>
          <w:sz w:val="24"/>
          <w:szCs w:val="24"/>
          <w:shd w:val="clear" w:color="auto" w:fill="FFFFFF"/>
        </w:rPr>
        <w:t xml:space="preserve">, 103. </w:t>
      </w:r>
    </w:p>
    <w:p w14:paraId="7E3AF21F"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 xml:space="preserve">Ali, S., </w:t>
      </w:r>
      <w:proofErr w:type="spellStart"/>
      <w:r w:rsidRPr="00322C9C">
        <w:rPr>
          <w:rFonts w:ascii="Times New Roman" w:hAnsi="Times New Roman" w:cs="Times New Roman"/>
          <w:color w:val="28333D"/>
          <w:sz w:val="24"/>
          <w:szCs w:val="24"/>
          <w:shd w:val="clear" w:color="auto" w:fill="FFFFFF"/>
        </w:rPr>
        <w:t>Fawwad</w:t>
      </w:r>
      <w:proofErr w:type="spellEnd"/>
      <w:r w:rsidRPr="00322C9C">
        <w:rPr>
          <w:rFonts w:ascii="Times New Roman" w:hAnsi="Times New Roman" w:cs="Times New Roman"/>
          <w:color w:val="28333D"/>
          <w:sz w:val="24"/>
          <w:szCs w:val="24"/>
          <w:shd w:val="clear" w:color="auto" w:fill="FFFFFF"/>
        </w:rPr>
        <w:t>, S., Ahmed, G., Naz, S., Waqar, S., &amp; Hareem, A. (2018). Continuing Medical Education: A Cross Sectional Study on a Developing Country’s Perspective. </w:t>
      </w:r>
      <w:r w:rsidRPr="00322C9C">
        <w:rPr>
          <w:rStyle w:val="Emphasis"/>
          <w:rFonts w:ascii="Times New Roman" w:hAnsi="Times New Roman" w:cs="Times New Roman"/>
          <w:i w:val="0"/>
          <w:color w:val="28333D"/>
          <w:sz w:val="24"/>
          <w:szCs w:val="24"/>
          <w:shd w:val="clear" w:color="auto" w:fill="FFFFFF"/>
        </w:rPr>
        <w:t>Science and Engineering Ethics</w:t>
      </w:r>
      <w:r w:rsidRPr="00322C9C">
        <w:rPr>
          <w:rFonts w:ascii="Times New Roman" w:hAnsi="Times New Roman" w:cs="Times New Roman"/>
          <w:color w:val="28333D"/>
          <w:sz w:val="24"/>
          <w:szCs w:val="24"/>
          <w:shd w:val="clear" w:color="auto" w:fill="FFFFFF"/>
        </w:rPr>
        <w:t xml:space="preserve">, 24, 251-260. </w:t>
      </w:r>
    </w:p>
    <w:p w14:paraId="36678919"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28333D"/>
          <w:sz w:val="24"/>
          <w:szCs w:val="24"/>
          <w:shd w:val="clear" w:color="auto" w:fill="FFFFFF"/>
        </w:rPr>
        <w:t>Feldacker</w:t>
      </w:r>
      <w:proofErr w:type="spellEnd"/>
      <w:r w:rsidRPr="00322C9C">
        <w:rPr>
          <w:rFonts w:ascii="Times New Roman" w:hAnsi="Times New Roman" w:cs="Times New Roman"/>
          <w:color w:val="28333D"/>
          <w:sz w:val="24"/>
          <w:szCs w:val="24"/>
          <w:shd w:val="clear" w:color="auto" w:fill="FFFFFF"/>
        </w:rPr>
        <w:t>, C., Jacob, S., Chung, M., Nartker, A., &amp; Kim, H. (2017). Experiences and perceptions of online continuing professional development among clinicians in sub-Saharan Africa. </w:t>
      </w:r>
      <w:r w:rsidRPr="00322C9C">
        <w:rPr>
          <w:rStyle w:val="Emphasis"/>
          <w:rFonts w:ascii="Times New Roman" w:hAnsi="Times New Roman" w:cs="Times New Roman"/>
          <w:i w:val="0"/>
          <w:color w:val="28333D"/>
          <w:sz w:val="24"/>
          <w:szCs w:val="24"/>
          <w:shd w:val="clear" w:color="auto" w:fill="FFFFFF"/>
        </w:rPr>
        <w:t>Human Resources for Health</w:t>
      </w:r>
      <w:r w:rsidRPr="00322C9C">
        <w:rPr>
          <w:rFonts w:ascii="Times New Roman" w:hAnsi="Times New Roman" w:cs="Times New Roman"/>
          <w:color w:val="28333D"/>
          <w:sz w:val="24"/>
          <w:szCs w:val="24"/>
          <w:shd w:val="clear" w:color="auto" w:fill="FFFFFF"/>
        </w:rPr>
        <w:t xml:space="preserve">, 15. </w:t>
      </w:r>
    </w:p>
    <w:p w14:paraId="3D03450C"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lastRenderedPageBreak/>
        <w:t xml:space="preserve">Davies ML, Ellis PK, Moses A, Lawson H, </w:t>
      </w:r>
      <w:proofErr w:type="spellStart"/>
      <w:r w:rsidRPr="00322C9C">
        <w:rPr>
          <w:rFonts w:ascii="Times New Roman" w:hAnsi="Times New Roman" w:cs="Times New Roman"/>
          <w:color w:val="1B1B1B"/>
          <w:sz w:val="24"/>
          <w:szCs w:val="24"/>
          <w:shd w:val="clear" w:color="auto" w:fill="FFFFFF"/>
        </w:rPr>
        <w:t>Akpalu</w:t>
      </w:r>
      <w:proofErr w:type="spellEnd"/>
      <w:r w:rsidRPr="00322C9C">
        <w:rPr>
          <w:rFonts w:ascii="Times New Roman" w:hAnsi="Times New Roman" w:cs="Times New Roman"/>
          <w:color w:val="1B1B1B"/>
          <w:sz w:val="24"/>
          <w:szCs w:val="24"/>
          <w:shd w:val="clear" w:color="auto" w:fill="FFFFFF"/>
        </w:rPr>
        <w:t xml:space="preserve"> A, Walker RW. Factors affecting family medicine </w:t>
      </w:r>
      <w:proofErr w:type="spellStart"/>
      <w:r w:rsidRPr="00322C9C">
        <w:rPr>
          <w:rFonts w:ascii="Times New Roman" w:hAnsi="Times New Roman" w:cs="Times New Roman"/>
          <w:color w:val="1B1B1B"/>
          <w:sz w:val="24"/>
          <w:szCs w:val="24"/>
          <w:shd w:val="clear" w:color="auto" w:fill="FFFFFF"/>
        </w:rPr>
        <w:t>programmes</w:t>
      </w:r>
      <w:proofErr w:type="spellEnd"/>
      <w:r w:rsidRPr="00322C9C">
        <w:rPr>
          <w:rFonts w:ascii="Times New Roman" w:hAnsi="Times New Roman" w:cs="Times New Roman"/>
          <w:color w:val="1B1B1B"/>
          <w:sz w:val="24"/>
          <w:szCs w:val="24"/>
          <w:shd w:val="clear" w:color="auto" w:fill="FFFFFF"/>
        </w:rPr>
        <w:t xml:space="preserve"> in Sub-Saharan Africa: a narrative review of recent literature. Ghana Med J. 2022 Dec;56(4):311-321</w:t>
      </w:r>
    </w:p>
    <w:p w14:paraId="417CA358"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Gauly</w:t>
      </w:r>
      <w:proofErr w:type="spellEnd"/>
      <w:r w:rsidRPr="00322C9C">
        <w:rPr>
          <w:rFonts w:ascii="Times New Roman" w:hAnsi="Times New Roman" w:cs="Times New Roman"/>
          <w:color w:val="1B1B1B"/>
          <w:sz w:val="24"/>
          <w:szCs w:val="24"/>
          <w:shd w:val="clear" w:color="auto" w:fill="FFFFFF"/>
        </w:rPr>
        <w:t xml:space="preserve"> J, Court R, Currie G, Seers K, Clarke A, Metcalfe A, Wilson A, Hazell M, Grove AL. Advancing leadership in surgery: a realist review of interventions and strategies to promote evidence-based leadership in healthcare. Implement Sci. 2023 May 13;18(1):15.</w:t>
      </w:r>
    </w:p>
    <w:p w14:paraId="65933378"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Øyri</w:t>
      </w:r>
      <w:proofErr w:type="spellEnd"/>
      <w:r w:rsidRPr="00322C9C">
        <w:rPr>
          <w:rFonts w:ascii="Times New Roman" w:hAnsi="Times New Roman" w:cs="Times New Roman"/>
          <w:color w:val="1B1B1B"/>
          <w:sz w:val="24"/>
          <w:szCs w:val="24"/>
          <w:shd w:val="clear" w:color="auto" w:fill="FFFFFF"/>
        </w:rPr>
        <w:t xml:space="preserve"> SF, </w:t>
      </w:r>
      <w:proofErr w:type="spellStart"/>
      <w:r w:rsidRPr="00322C9C">
        <w:rPr>
          <w:rFonts w:ascii="Times New Roman" w:hAnsi="Times New Roman" w:cs="Times New Roman"/>
          <w:color w:val="1B1B1B"/>
          <w:sz w:val="24"/>
          <w:szCs w:val="24"/>
          <w:shd w:val="clear" w:color="auto" w:fill="FFFFFF"/>
        </w:rPr>
        <w:t>Søreide</w:t>
      </w:r>
      <w:proofErr w:type="spellEnd"/>
      <w:r w:rsidRPr="00322C9C">
        <w:rPr>
          <w:rFonts w:ascii="Times New Roman" w:hAnsi="Times New Roman" w:cs="Times New Roman"/>
          <w:color w:val="1B1B1B"/>
          <w:sz w:val="24"/>
          <w:szCs w:val="24"/>
          <w:shd w:val="clear" w:color="auto" w:fill="FFFFFF"/>
        </w:rPr>
        <w:t xml:space="preserve"> K, </w:t>
      </w:r>
      <w:proofErr w:type="spellStart"/>
      <w:r w:rsidRPr="00322C9C">
        <w:rPr>
          <w:rFonts w:ascii="Times New Roman" w:hAnsi="Times New Roman" w:cs="Times New Roman"/>
          <w:color w:val="1B1B1B"/>
          <w:sz w:val="24"/>
          <w:szCs w:val="24"/>
          <w:shd w:val="clear" w:color="auto" w:fill="FFFFFF"/>
        </w:rPr>
        <w:t>Søreide</w:t>
      </w:r>
      <w:proofErr w:type="spellEnd"/>
      <w:r w:rsidRPr="00322C9C">
        <w:rPr>
          <w:rFonts w:ascii="Times New Roman" w:hAnsi="Times New Roman" w:cs="Times New Roman"/>
          <w:color w:val="1B1B1B"/>
          <w:sz w:val="24"/>
          <w:szCs w:val="24"/>
          <w:shd w:val="clear" w:color="auto" w:fill="FFFFFF"/>
        </w:rPr>
        <w:t xml:space="preserve"> E, </w:t>
      </w:r>
      <w:proofErr w:type="spellStart"/>
      <w:r w:rsidRPr="00322C9C">
        <w:rPr>
          <w:rFonts w:ascii="Times New Roman" w:hAnsi="Times New Roman" w:cs="Times New Roman"/>
          <w:color w:val="1B1B1B"/>
          <w:sz w:val="24"/>
          <w:szCs w:val="24"/>
          <w:shd w:val="clear" w:color="auto" w:fill="FFFFFF"/>
        </w:rPr>
        <w:t>Tjomsland</w:t>
      </w:r>
      <w:proofErr w:type="spellEnd"/>
      <w:r w:rsidRPr="00322C9C">
        <w:rPr>
          <w:rFonts w:ascii="Times New Roman" w:hAnsi="Times New Roman" w:cs="Times New Roman"/>
          <w:color w:val="1B1B1B"/>
          <w:sz w:val="24"/>
          <w:szCs w:val="24"/>
          <w:shd w:val="clear" w:color="auto" w:fill="FFFFFF"/>
        </w:rPr>
        <w:t xml:space="preserve"> O. Learning from experience: a qualitative study of surgeons' perspectives on reporting and dealing with serious adverse events. BMJ Open Qual. 2023 Jun;12(2):e002368</w:t>
      </w:r>
    </w:p>
    <w:p w14:paraId="5B2A6DE4"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sz w:val="24"/>
          <w:szCs w:val="24"/>
        </w:rPr>
        <w:t>Chikani</w:t>
      </w:r>
      <w:proofErr w:type="spellEnd"/>
      <w:r w:rsidRPr="00322C9C">
        <w:rPr>
          <w:rFonts w:ascii="Times New Roman" w:hAnsi="Times New Roman" w:cs="Times New Roman"/>
          <w:sz w:val="24"/>
          <w:szCs w:val="24"/>
        </w:rPr>
        <w:t xml:space="preserve">, M. C., Mesi, M., </w:t>
      </w:r>
      <w:proofErr w:type="spellStart"/>
      <w:r w:rsidRPr="00322C9C">
        <w:rPr>
          <w:rFonts w:ascii="Times New Roman" w:hAnsi="Times New Roman" w:cs="Times New Roman"/>
          <w:sz w:val="24"/>
          <w:szCs w:val="24"/>
        </w:rPr>
        <w:t>Okwunodulu</w:t>
      </w:r>
      <w:proofErr w:type="spellEnd"/>
      <w:r w:rsidRPr="00322C9C">
        <w:rPr>
          <w:rFonts w:ascii="Times New Roman" w:hAnsi="Times New Roman" w:cs="Times New Roman"/>
          <w:sz w:val="24"/>
          <w:szCs w:val="24"/>
        </w:rPr>
        <w:t xml:space="preserve">, O., </w:t>
      </w:r>
      <w:proofErr w:type="spellStart"/>
      <w:r w:rsidRPr="00322C9C">
        <w:rPr>
          <w:rFonts w:ascii="Times New Roman" w:hAnsi="Times New Roman" w:cs="Times New Roman"/>
          <w:sz w:val="24"/>
          <w:szCs w:val="24"/>
        </w:rPr>
        <w:t>Mezue</w:t>
      </w:r>
      <w:proofErr w:type="spellEnd"/>
      <w:r w:rsidRPr="00322C9C">
        <w:rPr>
          <w:rFonts w:ascii="Times New Roman" w:hAnsi="Times New Roman" w:cs="Times New Roman"/>
          <w:sz w:val="24"/>
          <w:szCs w:val="24"/>
        </w:rPr>
        <w:t xml:space="preserve">, W., </w:t>
      </w:r>
      <w:proofErr w:type="spellStart"/>
      <w:r w:rsidRPr="00322C9C">
        <w:rPr>
          <w:rFonts w:ascii="Times New Roman" w:hAnsi="Times New Roman" w:cs="Times New Roman"/>
          <w:sz w:val="24"/>
          <w:szCs w:val="24"/>
        </w:rPr>
        <w:t>Ohaegbulam</w:t>
      </w:r>
      <w:proofErr w:type="spellEnd"/>
      <w:r w:rsidRPr="00322C9C">
        <w:rPr>
          <w:rFonts w:ascii="Times New Roman" w:hAnsi="Times New Roman" w:cs="Times New Roman"/>
          <w:sz w:val="24"/>
          <w:szCs w:val="24"/>
        </w:rPr>
        <w:t xml:space="preserve">, S., Ndubuisi, C., Iroegbu, L., &amp; </w:t>
      </w:r>
      <w:proofErr w:type="spellStart"/>
      <w:r w:rsidRPr="00322C9C">
        <w:rPr>
          <w:rFonts w:ascii="Times New Roman" w:hAnsi="Times New Roman" w:cs="Times New Roman"/>
          <w:sz w:val="24"/>
          <w:szCs w:val="24"/>
        </w:rPr>
        <w:t>Nkwerem</w:t>
      </w:r>
      <w:proofErr w:type="spellEnd"/>
      <w:r w:rsidRPr="00322C9C">
        <w:rPr>
          <w:rFonts w:ascii="Times New Roman" w:hAnsi="Times New Roman" w:cs="Times New Roman"/>
          <w:sz w:val="24"/>
          <w:szCs w:val="24"/>
        </w:rPr>
        <w:t xml:space="preserve">, S. (2019). Changing trends and challenges of spine surgery in a developing country. </w:t>
      </w:r>
      <w:r w:rsidRPr="00322C9C">
        <w:rPr>
          <w:rStyle w:val="Emphasis"/>
          <w:rFonts w:ascii="Times New Roman" w:hAnsi="Times New Roman" w:cs="Times New Roman"/>
          <w:i w:val="0"/>
          <w:sz w:val="24"/>
          <w:szCs w:val="24"/>
        </w:rPr>
        <w:t>World Neurosurgery</w:t>
      </w:r>
      <w:r w:rsidRPr="00322C9C">
        <w:rPr>
          <w:rFonts w:ascii="Times New Roman" w:hAnsi="Times New Roman" w:cs="Times New Roman"/>
          <w:sz w:val="24"/>
          <w:szCs w:val="24"/>
        </w:rPr>
        <w:t xml:space="preserve">, </w:t>
      </w:r>
      <w:r w:rsidRPr="00322C9C">
        <w:rPr>
          <w:rStyle w:val="Emphasis"/>
          <w:rFonts w:ascii="Times New Roman" w:hAnsi="Times New Roman" w:cs="Times New Roman"/>
          <w:i w:val="0"/>
          <w:sz w:val="24"/>
          <w:szCs w:val="24"/>
        </w:rPr>
        <w:t>130</w:t>
      </w:r>
      <w:r w:rsidRPr="00322C9C">
        <w:rPr>
          <w:rFonts w:ascii="Times New Roman" w:hAnsi="Times New Roman" w:cs="Times New Roman"/>
          <w:sz w:val="24"/>
          <w:szCs w:val="24"/>
        </w:rPr>
        <w:t>, e815-e821.</w:t>
      </w:r>
    </w:p>
    <w:p w14:paraId="05C6A1DE"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Ravindra VM, </w:t>
      </w:r>
      <w:proofErr w:type="spellStart"/>
      <w:r w:rsidRPr="00322C9C">
        <w:rPr>
          <w:rFonts w:ascii="Times New Roman" w:hAnsi="Times New Roman" w:cs="Times New Roman"/>
          <w:color w:val="1B1B1B"/>
          <w:sz w:val="24"/>
          <w:szCs w:val="24"/>
          <w:shd w:val="clear" w:color="auto" w:fill="FFFFFF"/>
        </w:rPr>
        <w:t>Senglaub</w:t>
      </w:r>
      <w:proofErr w:type="spellEnd"/>
      <w:r w:rsidRPr="00322C9C">
        <w:rPr>
          <w:rFonts w:ascii="Times New Roman" w:hAnsi="Times New Roman" w:cs="Times New Roman"/>
          <w:color w:val="1B1B1B"/>
          <w:sz w:val="24"/>
          <w:szCs w:val="24"/>
          <w:shd w:val="clear" w:color="auto" w:fill="FFFFFF"/>
        </w:rPr>
        <w:t xml:space="preserve"> SS, </w:t>
      </w:r>
      <w:proofErr w:type="spellStart"/>
      <w:r w:rsidRPr="00322C9C">
        <w:rPr>
          <w:rFonts w:ascii="Times New Roman" w:hAnsi="Times New Roman" w:cs="Times New Roman"/>
          <w:color w:val="1B1B1B"/>
          <w:sz w:val="24"/>
          <w:szCs w:val="24"/>
          <w:shd w:val="clear" w:color="auto" w:fill="FFFFFF"/>
        </w:rPr>
        <w:t>Rattani</w:t>
      </w:r>
      <w:proofErr w:type="spellEnd"/>
      <w:r w:rsidRPr="00322C9C">
        <w:rPr>
          <w:rFonts w:ascii="Times New Roman" w:hAnsi="Times New Roman" w:cs="Times New Roman"/>
          <w:color w:val="1B1B1B"/>
          <w:sz w:val="24"/>
          <w:szCs w:val="24"/>
          <w:shd w:val="clear" w:color="auto" w:fill="FFFFFF"/>
        </w:rPr>
        <w:t xml:space="preserve"> A, Dewan MC, </w:t>
      </w:r>
      <w:proofErr w:type="spellStart"/>
      <w:r w:rsidRPr="00322C9C">
        <w:rPr>
          <w:rFonts w:ascii="Times New Roman" w:hAnsi="Times New Roman" w:cs="Times New Roman"/>
          <w:color w:val="1B1B1B"/>
          <w:sz w:val="24"/>
          <w:szCs w:val="24"/>
          <w:shd w:val="clear" w:color="auto" w:fill="FFFFFF"/>
        </w:rPr>
        <w:t>Härtl</w:t>
      </w:r>
      <w:proofErr w:type="spellEnd"/>
      <w:r w:rsidRPr="00322C9C">
        <w:rPr>
          <w:rFonts w:ascii="Times New Roman" w:hAnsi="Times New Roman" w:cs="Times New Roman"/>
          <w:color w:val="1B1B1B"/>
          <w:sz w:val="24"/>
          <w:szCs w:val="24"/>
          <w:shd w:val="clear" w:color="auto" w:fill="FFFFFF"/>
        </w:rPr>
        <w:t xml:space="preserve"> R, Bisson E, Park KB, </w:t>
      </w:r>
      <w:proofErr w:type="spellStart"/>
      <w:r w:rsidRPr="00322C9C">
        <w:rPr>
          <w:rFonts w:ascii="Times New Roman" w:hAnsi="Times New Roman" w:cs="Times New Roman"/>
          <w:color w:val="1B1B1B"/>
          <w:sz w:val="24"/>
          <w:szCs w:val="24"/>
          <w:shd w:val="clear" w:color="auto" w:fill="FFFFFF"/>
        </w:rPr>
        <w:t>Shrime</w:t>
      </w:r>
      <w:proofErr w:type="spellEnd"/>
      <w:r w:rsidRPr="00322C9C">
        <w:rPr>
          <w:rFonts w:ascii="Times New Roman" w:hAnsi="Times New Roman" w:cs="Times New Roman"/>
          <w:color w:val="1B1B1B"/>
          <w:sz w:val="24"/>
          <w:szCs w:val="24"/>
          <w:shd w:val="clear" w:color="auto" w:fill="FFFFFF"/>
        </w:rPr>
        <w:t xml:space="preserve"> MG. Degenerative Lumbar Spine Disease: Estimating Global Incidence and Worldwide Volume. Global Spine J. 2018 Dec;8(8):784-794</w:t>
      </w:r>
    </w:p>
    <w:p w14:paraId="303C738D"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28333D"/>
          <w:sz w:val="24"/>
          <w:szCs w:val="24"/>
          <w:shd w:val="clear" w:color="auto" w:fill="FFFFFF"/>
        </w:rPr>
        <w:t>Badhiwala</w:t>
      </w:r>
      <w:proofErr w:type="spellEnd"/>
      <w:r w:rsidRPr="00322C9C">
        <w:rPr>
          <w:rFonts w:ascii="Times New Roman" w:hAnsi="Times New Roman" w:cs="Times New Roman"/>
          <w:color w:val="28333D"/>
          <w:sz w:val="24"/>
          <w:szCs w:val="24"/>
          <w:shd w:val="clear" w:color="auto" w:fill="FFFFFF"/>
        </w:rPr>
        <w:t xml:space="preserve">, J., Ahuja, C., Akbar, M., </w:t>
      </w:r>
      <w:proofErr w:type="spellStart"/>
      <w:r w:rsidRPr="00322C9C">
        <w:rPr>
          <w:rFonts w:ascii="Times New Roman" w:hAnsi="Times New Roman" w:cs="Times New Roman"/>
          <w:color w:val="28333D"/>
          <w:sz w:val="24"/>
          <w:szCs w:val="24"/>
          <w:shd w:val="clear" w:color="auto" w:fill="FFFFFF"/>
        </w:rPr>
        <w:t>Witiw</w:t>
      </w:r>
      <w:proofErr w:type="spellEnd"/>
      <w:r w:rsidRPr="00322C9C">
        <w:rPr>
          <w:rFonts w:ascii="Times New Roman" w:hAnsi="Times New Roman" w:cs="Times New Roman"/>
          <w:color w:val="28333D"/>
          <w:sz w:val="24"/>
          <w:szCs w:val="24"/>
          <w:shd w:val="clear" w:color="auto" w:fill="FFFFFF"/>
        </w:rPr>
        <w:t xml:space="preserve">, C., Nassiri, F., Furlan, J., Curt, A., Wilson, J., &amp; </w:t>
      </w:r>
      <w:proofErr w:type="spellStart"/>
      <w:r w:rsidRPr="00322C9C">
        <w:rPr>
          <w:rFonts w:ascii="Times New Roman" w:hAnsi="Times New Roman" w:cs="Times New Roman"/>
          <w:color w:val="28333D"/>
          <w:sz w:val="24"/>
          <w:szCs w:val="24"/>
          <w:shd w:val="clear" w:color="auto" w:fill="FFFFFF"/>
        </w:rPr>
        <w:t>Fehlings</w:t>
      </w:r>
      <w:proofErr w:type="spellEnd"/>
      <w:r w:rsidRPr="00322C9C">
        <w:rPr>
          <w:rFonts w:ascii="Times New Roman" w:hAnsi="Times New Roman" w:cs="Times New Roman"/>
          <w:color w:val="28333D"/>
          <w:sz w:val="24"/>
          <w:szCs w:val="24"/>
          <w:shd w:val="clear" w:color="auto" w:fill="FFFFFF"/>
        </w:rPr>
        <w:t>, M. (2020). Degenerative cervical myelopathy — update and future directions. </w:t>
      </w:r>
      <w:r w:rsidRPr="00322C9C">
        <w:rPr>
          <w:rStyle w:val="Emphasis"/>
          <w:rFonts w:ascii="Times New Roman" w:hAnsi="Times New Roman" w:cs="Times New Roman"/>
          <w:i w:val="0"/>
          <w:color w:val="28333D"/>
          <w:sz w:val="24"/>
          <w:szCs w:val="24"/>
          <w:shd w:val="clear" w:color="auto" w:fill="FFFFFF"/>
        </w:rPr>
        <w:t>Nature Reviews Neurology</w:t>
      </w:r>
      <w:r w:rsidRPr="00322C9C">
        <w:rPr>
          <w:rFonts w:ascii="Times New Roman" w:hAnsi="Times New Roman" w:cs="Times New Roman"/>
          <w:color w:val="28333D"/>
          <w:sz w:val="24"/>
          <w:szCs w:val="24"/>
          <w:shd w:val="clear" w:color="auto" w:fill="FFFFFF"/>
        </w:rPr>
        <w:t xml:space="preserve">, 16, 108-124. </w:t>
      </w:r>
    </w:p>
    <w:p w14:paraId="1A29C104"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Onyemaechi</w:t>
      </w:r>
      <w:proofErr w:type="spellEnd"/>
      <w:r w:rsidRPr="00322C9C">
        <w:rPr>
          <w:rFonts w:ascii="Times New Roman" w:hAnsi="Times New Roman" w:cs="Times New Roman"/>
          <w:color w:val="1B1B1B"/>
          <w:sz w:val="24"/>
          <w:szCs w:val="24"/>
          <w:shd w:val="clear" w:color="auto" w:fill="FFFFFF"/>
        </w:rPr>
        <w:t xml:space="preserve"> NO. Road traffic injuries in a Nigerian referral trauma center: Characteristics, correlates, and outcomes. Int J </w:t>
      </w:r>
      <w:proofErr w:type="spellStart"/>
      <w:r w:rsidRPr="00322C9C">
        <w:rPr>
          <w:rFonts w:ascii="Times New Roman" w:hAnsi="Times New Roman" w:cs="Times New Roman"/>
          <w:color w:val="1B1B1B"/>
          <w:sz w:val="24"/>
          <w:szCs w:val="24"/>
          <w:shd w:val="clear" w:color="auto" w:fill="FFFFFF"/>
        </w:rPr>
        <w:t>Crit</w:t>
      </w:r>
      <w:proofErr w:type="spellEnd"/>
      <w:r w:rsidRPr="00322C9C">
        <w:rPr>
          <w:rFonts w:ascii="Times New Roman" w:hAnsi="Times New Roman" w:cs="Times New Roman"/>
          <w:color w:val="1B1B1B"/>
          <w:sz w:val="24"/>
          <w:szCs w:val="24"/>
          <w:shd w:val="clear" w:color="auto" w:fill="FFFFFF"/>
        </w:rPr>
        <w:t xml:space="preserve"> </w:t>
      </w:r>
      <w:proofErr w:type="spellStart"/>
      <w:r w:rsidRPr="00322C9C">
        <w:rPr>
          <w:rFonts w:ascii="Times New Roman" w:hAnsi="Times New Roman" w:cs="Times New Roman"/>
          <w:color w:val="1B1B1B"/>
          <w:sz w:val="24"/>
          <w:szCs w:val="24"/>
          <w:shd w:val="clear" w:color="auto" w:fill="FFFFFF"/>
        </w:rPr>
        <w:t>Illn</w:t>
      </w:r>
      <w:proofErr w:type="spellEnd"/>
      <w:r w:rsidRPr="00322C9C">
        <w:rPr>
          <w:rFonts w:ascii="Times New Roman" w:hAnsi="Times New Roman" w:cs="Times New Roman"/>
          <w:color w:val="1B1B1B"/>
          <w:sz w:val="24"/>
          <w:szCs w:val="24"/>
          <w:shd w:val="clear" w:color="auto" w:fill="FFFFFF"/>
        </w:rPr>
        <w:t xml:space="preserve"> </w:t>
      </w:r>
      <w:proofErr w:type="spellStart"/>
      <w:r w:rsidRPr="00322C9C">
        <w:rPr>
          <w:rFonts w:ascii="Times New Roman" w:hAnsi="Times New Roman" w:cs="Times New Roman"/>
          <w:color w:val="1B1B1B"/>
          <w:sz w:val="24"/>
          <w:szCs w:val="24"/>
          <w:shd w:val="clear" w:color="auto" w:fill="FFFFFF"/>
        </w:rPr>
        <w:t>Inj</w:t>
      </w:r>
      <w:proofErr w:type="spellEnd"/>
      <w:r w:rsidRPr="00322C9C">
        <w:rPr>
          <w:rFonts w:ascii="Times New Roman" w:hAnsi="Times New Roman" w:cs="Times New Roman"/>
          <w:color w:val="1B1B1B"/>
          <w:sz w:val="24"/>
          <w:szCs w:val="24"/>
          <w:shd w:val="clear" w:color="auto" w:fill="FFFFFF"/>
        </w:rPr>
        <w:t xml:space="preserve"> Sci. 2020 Apr-Jun;10(2):64-69</w:t>
      </w:r>
    </w:p>
    <w:p w14:paraId="4EDE734B"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Wang, H., Sun, A., Zhang, Z., Chen, J., Dong, H., Zou, Y., Wang, W., Zheng, Q., Feng, Y., Tan, Z., Zeng, X., Zhao, Y., &amp; Wang, Y. (2024). Investigation on the Different Needs of Practicing Doctors for Continuing Medical Education under the Three-Level Medical System in China. </w:t>
      </w:r>
      <w:r w:rsidRPr="00322C9C">
        <w:rPr>
          <w:rStyle w:val="Emphasis"/>
          <w:rFonts w:ascii="Times New Roman" w:hAnsi="Times New Roman" w:cs="Times New Roman"/>
          <w:i w:val="0"/>
          <w:color w:val="28333D"/>
          <w:sz w:val="24"/>
          <w:szCs w:val="24"/>
          <w:shd w:val="clear" w:color="auto" w:fill="FFFFFF"/>
        </w:rPr>
        <w:t>Clinical and Experimental Obstetrics &amp; Gynecology</w:t>
      </w:r>
      <w:r w:rsidRPr="00322C9C">
        <w:rPr>
          <w:rFonts w:ascii="Times New Roman" w:hAnsi="Times New Roman" w:cs="Times New Roman"/>
          <w:color w:val="28333D"/>
          <w:sz w:val="24"/>
          <w:szCs w:val="24"/>
          <w:shd w:val="clear" w:color="auto" w:fill="FFFFFF"/>
        </w:rPr>
        <w:t xml:space="preserve">. </w:t>
      </w:r>
    </w:p>
    <w:p w14:paraId="46F9F0F8"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Al-Qurashi AM. Continuing medical education on infectious diseases: a </w:t>
      </w:r>
      <w:proofErr w:type="spellStart"/>
      <w:r w:rsidRPr="00322C9C">
        <w:rPr>
          <w:rFonts w:ascii="Times New Roman" w:hAnsi="Times New Roman" w:cs="Times New Roman"/>
          <w:color w:val="1B1B1B"/>
          <w:sz w:val="24"/>
          <w:szCs w:val="24"/>
          <w:shd w:val="clear" w:color="auto" w:fill="FFFFFF"/>
        </w:rPr>
        <w:t>saudi</w:t>
      </w:r>
      <w:proofErr w:type="spellEnd"/>
      <w:r w:rsidRPr="00322C9C">
        <w:rPr>
          <w:rFonts w:ascii="Times New Roman" w:hAnsi="Times New Roman" w:cs="Times New Roman"/>
          <w:color w:val="1B1B1B"/>
          <w:sz w:val="24"/>
          <w:szCs w:val="24"/>
          <w:shd w:val="clear" w:color="auto" w:fill="FFFFFF"/>
        </w:rPr>
        <w:t xml:space="preserve"> university hospital experience. J Family Community Med. 2000 Sep;7(3):47-54.</w:t>
      </w:r>
    </w:p>
    <w:p w14:paraId="7D9E2312"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Knapke JM, Hildreth L, Molano JR, Schuckman SM, Blackard JT, Johnstone M, Kopras EJ, Lamkin MK, Lee RC, Kues JR, Mendell A. Andragogy in Practice: Applying a Theoretical Framework to Team Science Training in Biomedical Research. Br J Biomed Sci. 2024</w:t>
      </w:r>
    </w:p>
    <w:p w14:paraId="36B46698"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Ahmed K, Wang TT, </w:t>
      </w:r>
      <w:proofErr w:type="spellStart"/>
      <w:r w:rsidRPr="00322C9C">
        <w:rPr>
          <w:rFonts w:ascii="Times New Roman" w:hAnsi="Times New Roman" w:cs="Times New Roman"/>
          <w:color w:val="1B1B1B"/>
          <w:sz w:val="24"/>
          <w:szCs w:val="24"/>
          <w:shd w:val="clear" w:color="auto" w:fill="FFFFFF"/>
        </w:rPr>
        <w:t>Ashrafian</w:t>
      </w:r>
      <w:proofErr w:type="spellEnd"/>
      <w:r w:rsidRPr="00322C9C">
        <w:rPr>
          <w:rFonts w:ascii="Times New Roman" w:hAnsi="Times New Roman" w:cs="Times New Roman"/>
          <w:color w:val="1B1B1B"/>
          <w:sz w:val="24"/>
          <w:szCs w:val="24"/>
          <w:shd w:val="clear" w:color="auto" w:fill="FFFFFF"/>
        </w:rPr>
        <w:t xml:space="preserve"> H, Layer GT, Darzi A, Athanasiou T. The effectiveness of continuing medical education for specialist recertification. Can </w:t>
      </w:r>
      <w:proofErr w:type="spellStart"/>
      <w:r w:rsidRPr="00322C9C">
        <w:rPr>
          <w:rFonts w:ascii="Times New Roman" w:hAnsi="Times New Roman" w:cs="Times New Roman"/>
          <w:color w:val="1B1B1B"/>
          <w:sz w:val="24"/>
          <w:szCs w:val="24"/>
          <w:shd w:val="clear" w:color="auto" w:fill="FFFFFF"/>
        </w:rPr>
        <w:t>Urol</w:t>
      </w:r>
      <w:proofErr w:type="spellEnd"/>
      <w:r w:rsidRPr="00322C9C">
        <w:rPr>
          <w:rFonts w:ascii="Times New Roman" w:hAnsi="Times New Roman" w:cs="Times New Roman"/>
          <w:color w:val="1B1B1B"/>
          <w:sz w:val="24"/>
          <w:szCs w:val="24"/>
          <w:shd w:val="clear" w:color="auto" w:fill="FFFFFF"/>
        </w:rPr>
        <w:t xml:space="preserve"> Assoc J. 2013 Jul-Aug;7(7-8):266-72.</w:t>
      </w:r>
    </w:p>
    <w:p w14:paraId="41D0B534"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333333"/>
          <w:sz w:val="24"/>
          <w:szCs w:val="24"/>
          <w:shd w:val="clear" w:color="auto" w:fill="FFFFFF"/>
        </w:rPr>
        <w:t>Reis, T., Faria, I., Serra, H. </w:t>
      </w:r>
      <w:r w:rsidRPr="00322C9C">
        <w:rPr>
          <w:rFonts w:ascii="Times New Roman" w:hAnsi="Times New Roman" w:cs="Times New Roman"/>
          <w:iCs/>
          <w:color w:val="333333"/>
          <w:sz w:val="24"/>
          <w:szCs w:val="24"/>
          <w:shd w:val="clear" w:color="auto" w:fill="FFFFFF"/>
        </w:rPr>
        <w:t>et al.</w:t>
      </w:r>
      <w:r w:rsidRPr="00322C9C">
        <w:rPr>
          <w:rFonts w:ascii="Times New Roman" w:hAnsi="Times New Roman" w:cs="Times New Roman"/>
          <w:color w:val="333333"/>
          <w:sz w:val="24"/>
          <w:szCs w:val="24"/>
          <w:shd w:val="clear" w:color="auto" w:fill="FFFFFF"/>
        </w:rPr>
        <w:t> Barriers and facilitators to implementing a continuing medical education intervention in a primary health care setting. </w:t>
      </w:r>
      <w:r w:rsidRPr="00322C9C">
        <w:rPr>
          <w:rFonts w:ascii="Times New Roman" w:hAnsi="Times New Roman" w:cs="Times New Roman"/>
          <w:iCs/>
          <w:color w:val="333333"/>
          <w:sz w:val="24"/>
          <w:szCs w:val="24"/>
          <w:shd w:val="clear" w:color="auto" w:fill="FFFFFF"/>
        </w:rPr>
        <w:t>BMC Health Serv Res</w:t>
      </w:r>
      <w:r w:rsidRPr="00322C9C">
        <w:rPr>
          <w:rFonts w:ascii="Times New Roman" w:hAnsi="Times New Roman" w:cs="Times New Roman"/>
          <w:color w:val="333333"/>
          <w:sz w:val="24"/>
          <w:szCs w:val="24"/>
          <w:shd w:val="clear" w:color="auto" w:fill="FFFFFF"/>
        </w:rPr>
        <w:t> </w:t>
      </w:r>
      <w:r w:rsidRPr="00322C9C">
        <w:rPr>
          <w:rFonts w:ascii="Times New Roman" w:hAnsi="Times New Roman" w:cs="Times New Roman"/>
          <w:bCs/>
          <w:color w:val="333333"/>
          <w:sz w:val="24"/>
          <w:szCs w:val="24"/>
          <w:shd w:val="clear" w:color="auto" w:fill="FFFFFF"/>
        </w:rPr>
        <w:t>22</w:t>
      </w:r>
      <w:r w:rsidRPr="00322C9C">
        <w:rPr>
          <w:rFonts w:ascii="Times New Roman" w:hAnsi="Times New Roman" w:cs="Times New Roman"/>
          <w:color w:val="333333"/>
          <w:sz w:val="24"/>
          <w:szCs w:val="24"/>
          <w:shd w:val="clear" w:color="auto" w:fill="FFFFFF"/>
        </w:rPr>
        <w:t>, 638 (2022).</w:t>
      </w:r>
    </w:p>
    <w:p w14:paraId="7EC45983"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333333"/>
          <w:sz w:val="24"/>
          <w:szCs w:val="24"/>
          <w:shd w:val="clear" w:color="auto" w:fill="FFFFFF"/>
        </w:rPr>
        <w:t>O’Brien Pott, M., Blanshan, A.S., Huneke, K.M. </w:t>
      </w:r>
      <w:r w:rsidRPr="00322C9C">
        <w:rPr>
          <w:rFonts w:ascii="Times New Roman" w:hAnsi="Times New Roman" w:cs="Times New Roman"/>
          <w:iCs/>
          <w:color w:val="333333"/>
          <w:sz w:val="24"/>
          <w:szCs w:val="24"/>
          <w:shd w:val="clear" w:color="auto" w:fill="FFFFFF"/>
        </w:rPr>
        <w:t>et al.</w:t>
      </w:r>
      <w:r w:rsidRPr="00322C9C">
        <w:rPr>
          <w:rFonts w:ascii="Times New Roman" w:hAnsi="Times New Roman" w:cs="Times New Roman"/>
          <w:color w:val="333333"/>
          <w:sz w:val="24"/>
          <w:szCs w:val="24"/>
          <w:shd w:val="clear" w:color="auto" w:fill="FFFFFF"/>
        </w:rPr>
        <w:t> Barriers to identifying and obtaining CME: a national survey of physicians, nurse practitioners and physician assistants. </w:t>
      </w:r>
      <w:r w:rsidRPr="00322C9C">
        <w:rPr>
          <w:rFonts w:ascii="Times New Roman" w:hAnsi="Times New Roman" w:cs="Times New Roman"/>
          <w:iCs/>
          <w:color w:val="333333"/>
          <w:sz w:val="24"/>
          <w:szCs w:val="24"/>
          <w:shd w:val="clear" w:color="auto" w:fill="FFFFFF"/>
        </w:rPr>
        <w:t>BMC Med Educ</w:t>
      </w:r>
      <w:r w:rsidRPr="00322C9C">
        <w:rPr>
          <w:rFonts w:ascii="Times New Roman" w:hAnsi="Times New Roman" w:cs="Times New Roman"/>
          <w:color w:val="333333"/>
          <w:sz w:val="24"/>
          <w:szCs w:val="24"/>
          <w:shd w:val="clear" w:color="auto" w:fill="FFFFFF"/>
        </w:rPr>
        <w:t> </w:t>
      </w:r>
      <w:r w:rsidRPr="00322C9C">
        <w:rPr>
          <w:rFonts w:ascii="Times New Roman" w:hAnsi="Times New Roman" w:cs="Times New Roman"/>
          <w:bCs/>
          <w:color w:val="333333"/>
          <w:sz w:val="24"/>
          <w:szCs w:val="24"/>
          <w:shd w:val="clear" w:color="auto" w:fill="FFFFFF"/>
        </w:rPr>
        <w:t>21</w:t>
      </w:r>
      <w:r w:rsidRPr="00322C9C">
        <w:rPr>
          <w:rFonts w:ascii="Times New Roman" w:hAnsi="Times New Roman" w:cs="Times New Roman"/>
          <w:color w:val="333333"/>
          <w:sz w:val="24"/>
          <w:szCs w:val="24"/>
          <w:shd w:val="clear" w:color="auto" w:fill="FFFFFF"/>
        </w:rPr>
        <w:t>, 168 (2021)</w:t>
      </w:r>
    </w:p>
    <w:p w14:paraId="4DAAFDAF"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Ibsen, H., Ahrenfeldt, L., Lykkegaard, J., Søndergaard, J., Švab, I., &amp; Kjaer, N. (2024). Barriers for continuous medical education: a cross-sectional questionnaire study among Danish GPs. </w:t>
      </w:r>
      <w:r w:rsidRPr="00322C9C">
        <w:rPr>
          <w:rStyle w:val="Emphasis"/>
          <w:rFonts w:ascii="Times New Roman" w:hAnsi="Times New Roman" w:cs="Times New Roman"/>
          <w:i w:val="0"/>
          <w:color w:val="28333D"/>
          <w:sz w:val="24"/>
          <w:szCs w:val="24"/>
          <w:shd w:val="clear" w:color="auto" w:fill="FFFFFF"/>
        </w:rPr>
        <w:t>BJGP Open</w:t>
      </w:r>
      <w:r w:rsidRPr="00322C9C">
        <w:rPr>
          <w:rFonts w:ascii="Times New Roman" w:hAnsi="Times New Roman" w:cs="Times New Roman"/>
          <w:color w:val="28333D"/>
          <w:sz w:val="24"/>
          <w:szCs w:val="24"/>
          <w:shd w:val="clear" w:color="auto" w:fill="FFFFFF"/>
        </w:rPr>
        <w:t xml:space="preserve">, 8. </w:t>
      </w:r>
    </w:p>
    <w:p w14:paraId="33D30F99" w14:textId="77777777" w:rsidR="00322C9C" w:rsidRPr="00322C9C" w:rsidRDefault="00322C9C">
      <w:pPr>
        <w:rPr>
          <w:rFonts w:ascii="Times New Roman" w:hAnsi="Times New Roman" w:cs="Times New Roman"/>
          <w:sz w:val="24"/>
          <w:szCs w:val="24"/>
        </w:rPr>
      </w:pPr>
    </w:p>
    <w:sectPr w:rsidR="00322C9C" w:rsidRPr="00322C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B6473" w14:textId="77777777" w:rsidR="00A63E64" w:rsidRDefault="00A63E64" w:rsidP="006A5049">
      <w:pPr>
        <w:spacing w:after="0" w:line="240" w:lineRule="auto"/>
      </w:pPr>
      <w:r>
        <w:separator/>
      </w:r>
    </w:p>
  </w:endnote>
  <w:endnote w:type="continuationSeparator" w:id="0">
    <w:p w14:paraId="47772582" w14:textId="77777777" w:rsidR="00A63E64" w:rsidRDefault="00A63E64" w:rsidP="006A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44F2" w14:textId="77777777" w:rsidR="006A5049" w:rsidRDefault="006A5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7B23" w14:textId="77777777" w:rsidR="006A5049" w:rsidRDefault="006A5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805C" w14:textId="77777777" w:rsidR="006A5049" w:rsidRDefault="006A5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A5559" w14:textId="77777777" w:rsidR="00A63E64" w:rsidRDefault="00A63E64" w:rsidP="006A5049">
      <w:pPr>
        <w:spacing w:after="0" w:line="240" w:lineRule="auto"/>
      </w:pPr>
      <w:r>
        <w:separator/>
      </w:r>
    </w:p>
  </w:footnote>
  <w:footnote w:type="continuationSeparator" w:id="0">
    <w:p w14:paraId="5846735E" w14:textId="77777777" w:rsidR="00A63E64" w:rsidRDefault="00A63E64" w:rsidP="006A5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C95" w14:textId="07FA9730" w:rsidR="006A5049" w:rsidRDefault="006A5049">
    <w:pPr>
      <w:pStyle w:val="Header"/>
    </w:pPr>
    <w:r>
      <w:rPr>
        <w:noProof/>
      </w:rPr>
      <w:pict w14:anchorId="30214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27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1BFB" w14:textId="4527D99B" w:rsidR="006A5049" w:rsidRDefault="006A5049">
    <w:pPr>
      <w:pStyle w:val="Header"/>
    </w:pPr>
    <w:r>
      <w:rPr>
        <w:noProof/>
      </w:rPr>
      <w:pict w14:anchorId="1D4A4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27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04E8" w14:textId="47F15238" w:rsidR="006A5049" w:rsidRDefault="006A5049">
    <w:pPr>
      <w:pStyle w:val="Header"/>
    </w:pPr>
    <w:r>
      <w:rPr>
        <w:noProof/>
      </w:rPr>
      <w:pict w14:anchorId="211BF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27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E6E98"/>
    <w:multiLevelType w:val="hybridMultilevel"/>
    <w:tmpl w:val="2110B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C3D1C"/>
    <w:multiLevelType w:val="multilevel"/>
    <w:tmpl w:val="423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600B3"/>
    <w:multiLevelType w:val="hybridMultilevel"/>
    <w:tmpl w:val="EAC6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E352D"/>
    <w:multiLevelType w:val="multilevel"/>
    <w:tmpl w:val="6E00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38"/>
    <w:rsid w:val="000668F0"/>
    <w:rsid w:val="000678C4"/>
    <w:rsid w:val="000D2737"/>
    <w:rsid w:val="000D7F4C"/>
    <w:rsid w:val="000E0898"/>
    <w:rsid w:val="00126743"/>
    <w:rsid w:val="00225E2C"/>
    <w:rsid w:val="002724DA"/>
    <w:rsid w:val="002C4E19"/>
    <w:rsid w:val="002D2B7B"/>
    <w:rsid w:val="00322C9C"/>
    <w:rsid w:val="003307A0"/>
    <w:rsid w:val="00355986"/>
    <w:rsid w:val="003606E4"/>
    <w:rsid w:val="003A297A"/>
    <w:rsid w:val="004226F3"/>
    <w:rsid w:val="004348D2"/>
    <w:rsid w:val="004525D5"/>
    <w:rsid w:val="004558BE"/>
    <w:rsid w:val="00462437"/>
    <w:rsid w:val="004924CA"/>
    <w:rsid w:val="0049618D"/>
    <w:rsid w:val="005525C3"/>
    <w:rsid w:val="005832D0"/>
    <w:rsid w:val="005B0D45"/>
    <w:rsid w:val="005B5D56"/>
    <w:rsid w:val="005D2921"/>
    <w:rsid w:val="00642FE6"/>
    <w:rsid w:val="006836B9"/>
    <w:rsid w:val="006918EF"/>
    <w:rsid w:val="006A5049"/>
    <w:rsid w:val="006B7DF4"/>
    <w:rsid w:val="006E243B"/>
    <w:rsid w:val="006E4F15"/>
    <w:rsid w:val="007435AA"/>
    <w:rsid w:val="00763BA0"/>
    <w:rsid w:val="007C3FFB"/>
    <w:rsid w:val="00812D30"/>
    <w:rsid w:val="00853B62"/>
    <w:rsid w:val="00877275"/>
    <w:rsid w:val="008C2C9A"/>
    <w:rsid w:val="00907E9A"/>
    <w:rsid w:val="00913AC2"/>
    <w:rsid w:val="009150B8"/>
    <w:rsid w:val="00932917"/>
    <w:rsid w:val="009964A6"/>
    <w:rsid w:val="009A1976"/>
    <w:rsid w:val="009A32D9"/>
    <w:rsid w:val="00A25B56"/>
    <w:rsid w:val="00A52525"/>
    <w:rsid w:val="00A63E64"/>
    <w:rsid w:val="00AB7B22"/>
    <w:rsid w:val="00AC2737"/>
    <w:rsid w:val="00AE1F38"/>
    <w:rsid w:val="00B40D8B"/>
    <w:rsid w:val="00B67346"/>
    <w:rsid w:val="00B95E4D"/>
    <w:rsid w:val="00BF0C05"/>
    <w:rsid w:val="00C0184C"/>
    <w:rsid w:val="00CD21DA"/>
    <w:rsid w:val="00CF7123"/>
    <w:rsid w:val="00E163B4"/>
    <w:rsid w:val="00E57A93"/>
    <w:rsid w:val="00EA6246"/>
    <w:rsid w:val="00EB74F6"/>
    <w:rsid w:val="00ED6777"/>
    <w:rsid w:val="00F3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A65B4"/>
  <w15:chartTrackingRefBased/>
  <w15:docId w15:val="{64BE6718-08F6-4705-93EB-025B3F2A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F38"/>
  </w:style>
  <w:style w:type="paragraph" w:styleId="Heading3">
    <w:name w:val="heading 3"/>
    <w:basedOn w:val="Normal"/>
    <w:next w:val="Normal"/>
    <w:link w:val="Heading3Char"/>
    <w:uiPriority w:val="9"/>
    <w:unhideWhenUsed/>
    <w:qFormat/>
    <w:rsid w:val="00AE1F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1F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E1F38"/>
    <w:rPr>
      <w:color w:val="0000FF"/>
      <w:u w:val="single"/>
    </w:rPr>
  </w:style>
  <w:style w:type="character" w:styleId="Emphasis">
    <w:name w:val="Emphasis"/>
    <w:basedOn w:val="DefaultParagraphFont"/>
    <w:uiPriority w:val="20"/>
    <w:qFormat/>
    <w:rsid w:val="00AE1F38"/>
    <w:rPr>
      <w:i/>
      <w:iCs/>
    </w:rPr>
  </w:style>
  <w:style w:type="paragraph" w:styleId="NormalWeb">
    <w:name w:val="Normal (Web)"/>
    <w:basedOn w:val="Normal"/>
    <w:uiPriority w:val="99"/>
    <w:unhideWhenUsed/>
    <w:rsid w:val="00AE1F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1F38"/>
    <w:rPr>
      <w:b/>
      <w:bCs/>
    </w:rPr>
  </w:style>
  <w:style w:type="character" w:customStyle="1" w:styleId="whitespace-nowrap">
    <w:name w:val="whitespace-nowrap"/>
    <w:basedOn w:val="DefaultParagraphFont"/>
    <w:rsid w:val="00AE1F38"/>
  </w:style>
  <w:style w:type="paragraph" w:styleId="ListParagraph">
    <w:name w:val="List Paragraph"/>
    <w:basedOn w:val="Normal"/>
    <w:uiPriority w:val="34"/>
    <w:qFormat/>
    <w:rsid w:val="00AE1F38"/>
    <w:pPr>
      <w:ind w:left="720"/>
      <w:contextualSpacing/>
    </w:pPr>
  </w:style>
  <w:style w:type="character" w:styleId="UnresolvedMention">
    <w:name w:val="Unresolved Mention"/>
    <w:basedOn w:val="DefaultParagraphFont"/>
    <w:uiPriority w:val="99"/>
    <w:semiHidden/>
    <w:unhideWhenUsed/>
    <w:rsid w:val="002724DA"/>
    <w:rPr>
      <w:color w:val="605E5C"/>
      <w:shd w:val="clear" w:color="auto" w:fill="E1DFDD"/>
    </w:rPr>
  </w:style>
  <w:style w:type="paragraph" w:styleId="Header">
    <w:name w:val="header"/>
    <w:basedOn w:val="Normal"/>
    <w:link w:val="HeaderChar"/>
    <w:uiPriority w:val="99"/>
    <w:unhideWhenUsed/>
    <w:rsid w:val="006A5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49"/>
  </w:style>
  <w:style w:type="paragraph" w:styleId="Footer">
    <w:name w:val="footer"/>
    <w:basedOn w:val="Normal"/>
    <w:link w:val="FooterChar"/>
    <w:uiPriority w:val="99"/>
    <w:unhideWhenUsed/>
    <w:rsid w:val="006A5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3652">
      <w:bodyDiv w:val="1"/>
      <w:marLeft w:val="0"/>
      <w:marRight w:val="0"/>
      <w:marTop w:val="0"/>
      <w:marBottom w:val="0"/>
      <w:divBdr>
        <w:top w:val="none" w:sz="0" w:space="0" w:color="auto"/>
        <w:left w:val="none" w:sz="0" w:space="0" w:color="auto"/>
        <w:bottom w:val="none" w:sz="0" w:space="0" w:color="auto"/>
        <w:right w:val="none" w:sz="0" w:space="0" w:color="auto"/>
      </w:divBdr>
    </w:div>
    <w:div w:id="141584087">
      <w:bodyDiv w:val="1"/>
      <w:marLeft w:val="0"/>
      <w:marRight w:val="0"/>
      <w:marTop w:val="0"/>
      <w:marBottom w:val="0"/>
      <w:divBdr>
        <w:top w:val="none" w:sz="0" w:space="0" w:color="auto"/>
        <w:left w:val="none" w:sz="0" w:space="0" w:color="auto"/>
        <w:bottom w:val="none" w:sz="0" w:space="0" w:color="auto"/>
        <w:right w:val="none" w:sz="0" w:space="0" w:color="auto"/>
      </w:divBdr>
    </w:div>
    <w:div w:id="145320195">
      <w:bodyDiv w:val="1"/>
      <w:marLeft w:val="0"/>
      <w:marRight w:val="0"/>
      <w:marTop w:val="0"/>
      <w:marBottom w:val="0"/>
      <w:divBdr>
        <w:top w:val="none" w:sz="0" w:space="0" w:color="auto"/>
        <w:left w:val="none" w:sz="0" w:space="0" w:color="auto"/>
        <w:bottom w:val="none" w:sz="0" w:space="0" w:color="auto"/>
        <w:right w:val="none" w:sz="0" w:space="0" w:color="auto"/>
      </w:divBdr>
    </w:div>
    <w:div w:id="179010682">
      <w:bodyDiv w:val="1"/>
      <w:marLeft w:val="0"/>
      <w:marRight w:val="0"/>
      <w:marTop w:val="0"/>
      <w:marBottom w:val="0"/>
      <w:divBdr>
        <w:top w:val="none" w:sz="0" w:space="0" w:color="auto"/>
        <w:left w:val="none" w:sz="0" w:space="0" w:color="auto"/>
        <w:bottom w:val="none" w:sz="0" w:space="0" w:color="auto"/>
        <w:right w:val="none" w:sz="0" w:space="0" w:color="auto"/>
      </w:divBdr>
    </w:div>
    <w:div w:id="203250542">
      <w:bodyDiv w:val="1"/>
      <w:marLeft w:val="0"/>
      <w:marRight w:val="0"/>
      <w:marTop w:val="0"/>
      <w:marBottom w:val="0"/>
      <w:divBdr>
        <w:top w:val="none" w:sz="0" w:space="0" w:color="auto"/>
        <w:left w:val="none" w:sz="0" w:space="0" w:color="auto"/>
        <w:bottom w:val="none" w:sz="0" w:space="0" w:color="auto"/>
        <w:right w:val="none" w:sz="0" w:space="0" w:color="auto"/>
      </w:divBdr>
    </w:div>
    <w:div w:id="211310002">
      <w:bodyDiv w:val="1"/>
      <w:marLeft w:val="0"/>
      <w:marRight w:val="0"/>
      <w:marTop w:val="0"/>
      <w:marBottom w:val="0"/>
      <w:divBdr>
        <w:top w:val="none" w:sz="0" w:space="0" w:color="auto"/>
        <w:left w:val="none" w:sz="0" w:space="0" w:color="auto"/>
        <w:bottom w:val="none" w:sz="0" w:space="0" w:color="auto"/>
        <w:right w:val="none" w:sz="0" w:space="0" w:color="auto"/>
      </w:divBdr>
    </w:div>
    <w:div w:id="252782569">
      <w:bodyDiv w:val="1"/>
      <w:marLeft w:val="0"/>
      <w:marRight w:val="0"/>
      <w:marTop w:val="0"/>
      <w:marBottom w:val="0"/>
      <w:divBdr>
        <w:top w:val="none" w:sz="0" w:space="0" w:color="auto"/>
        <w:left w:val="none" w:sz="0" w:space="0" w:color="auto"/>
        <w:bottom w:val="none" w:sz="0" w:space="0" w:color="auto"/>
        <w:right w:val="none" w:sz="0" w:space="0" w:color="auto"/>
      </w:divBdr>
    </w:div>
    <w:div w:id="411585832">
      <w:bodyDiv w:val="1"/>
      <w:marLeft w:val="0"/>
      <w:marRight w:val="0"/>
      <w:marTop w:val="0"/>
      <w:marBottom w:val="0"/>
      <w:divBdr>
        <w:top w:val="none" w:sz="0" w:space="0" w:color="auto"/>
        <w:left w:val="none" w:sz="0" w:space="0" w:color="auto"/>
        <w:bottom w:val="none" w:sz="0" w:space="0" w:color="auto"/>
        <w:right w:val="none" w:sz="0" w:space="0" w:color="auto"/>
      </w:divBdr>
    </w:div>
    <w:div w:id="488058895">
      <w:bodyDiv w:val="1"/>
      <w:marLeft w:val="0"/>
      <w:marRight w:val="0"/>
      <w:marTop w:val="0"/>
      <w:marBottom w:val="0"/>
      <w:divBdr>
        <w:top w:val="none" w:sz="0" w:space="0" w:color="auto"/>
        <w:left w:val="none" w:sz="0" w:space="0" w:color="auto"/>
        <w:bottom w:val="none" w:sz="0" w:space="0" w:color="auto"/>
        <w:right w:val="none" w:sz="0" w:space="0" w:color="auto"/>
      </w:divBdr>
      <w:divsChild>
        <w:div w:id="1957783697">
          <w:marLeft w:val="0"/>
          <w:marRight w:val="0"/>
          <w:marTop w:val="0"/>
          <w:marBottom w:val="0"/>
          <w:divBdr>
            <w:top w:val="none" w:sz="0" w:space="0" w:color="auto"/>
            <w:left w:val="none" w:sz="0" w:space="0" w:color="auto"/>
            <w:bottom w:val="none" w:sz="0" w:space="0" w:color="auto"/>
            <w:right w:val="none" w:sz="0" w:space="0" w:color="auto"/>
          </w:divBdr>
          <w:divsChild>
            <w:div w:id="9393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9507">
      <w:bodyDiv w:val="1"/>
      <w:marLeft w:val="0"/>
      <w:marRight w:val="0"/>
      <w:marTop w:val="0"/>
      <w:marBottom w:val="0"/>
      <w:divBdr>
        <w:top w:val="none" w:sz="0" w:space="0" w:color="auto"/>
        <w:left w:val="none" w:sz="0" w:space="0" w:color="auto"/>
        <w:bottom w:val="none" w:sz="0" w:space="0" w:color="auto"/>
        <w:right w:val="none" w:sz="0" w:space="0" w:color="auto"/>
      </w:divBdr>
    </w:div>
    <w:div w:id="601455577">
      <w:bodyDiv w:val="1"/>
      <w:marLeft w:val="0"/>
      <w:marRight w:val="0"/>
      <w:marTop w:val="0"/>
      <w:marBottom w:val="0"/>
      <w:divBdr>
        <w:top w:val="none" w:sz="0" w:space="0" w:color="auto"/>
        <w:left w:val="none" w:sz="0" w:space="0" w:color="auto"/>
        <w:bottom w:val="none" w:sz="0" w:space="0" w:color="auto"/>
        <w:right w:val="none" w:sz="0" w:space="0" w:color="auto"/>
      </w:divBdr>
    </w:div>
    <w:div w:id="714082748">
      <w:bodyDiv w:val="1"/>
      <w:marLeft w:val="0"/>
      <w:marRight w:val="0"/>
      <w:marTop w:val="0"/>
      <w:marBottom w:val="0"/>
      <w:divBdr>
        <w:top w:val="none" w:sz="0" w:space="0" w:color="auto"/>
        <w:left w:val="none" w:sz="0" w:space="0" w:color="auto"/>
        <w:bottom w:val="none" w:sz="0" w:space="0" w:color="auto"/>
        <w:right w:val="none" w:sz="0" w:space="0" w:color="auto"/>
      </w:divBdr>
    </w:div>
    <w:div w:id="798914180">
      <w:bodyDiv w:val="1"/>
      <w:marLeft w:val="0"/>
      <w:marRight w:val="0"/>
      <w:marTop w:val="0"/>
      <w:marBottom w:val="0"/>
      <w:divBdr>
        <w:top w:val="none" w:sz="0" w:space="0" w:color="auto"/>
        <w:left w:val="none" w:sz="0" w:space="0" w:color="auto"/>
        <w:bottom w:val="none" w:sz="0" w:space="0" w:color="auto"/>
        <w:right w:val="none" w:sz="0" w:space="0" w:color="auto"/>
      </w:divBdr>
    </w:div>
    <w:div w:id="959149993">
      <w:bodyDiv w:val="1"/>
      <w:marLeft w:val="0"/>
      <w:marRight w:val="0"/>
      <w:marTop w:val="0"/>
      <w:marBottom w:val="0"/>
      <w:divBdr>
        <w:top w:val="none" w:sz="0" w:space="0" w:color="auto"/>
        <w:left w:val="none" w:sz="0" w:space="0" w:color="auto"/>
        <w:bottom w:val="none" w:sz="0" w:space="0" w:color="auto"/>
        <w:right w:val="none" w:sz="0" w:space="0" w:color="auto"/>
      </w:divBdr>
    </w:div>
    <w:div w:id="1053653894">
      <w:bodyDiv w:val="1"/>
      <w:marLeft w:val="0"/>
      <w:marRight w:val="0"/>
      <w:marTop w:val="0"/>
      <w:marBottom w:val="0"/>
      <w:divBdr>
        <w:top w:val="none" w:sz="0" w:space="0" w:color="auto"/>
        <w:left w:val="none" w:sz="0" w:space="0" w:color="auto"/>
        <w:bottom w:val="none" w:sz="0" w:space="0" w:color="auto"/>
        <w:right w:val="none" w:sz="0" w:space="0" w:color="auto"/>
      </w:divBdr>
    </w:div>
    <w:div w:id="1679045138">
      <w:bodyDiv w:val="1"/>
      <w:marLeft w:val="0"/>
      <w:marRight w:val="0"/>
      <w:marTop w:val="0"/>
      <w:marBottom w:val="0"/>
      <w:divBdr>
        <w:top w:val="none" w:sz="0" w:space="0" w:color="auto"/>
        <w:left w:val="none" w:sz="0" w:space="0" w:color="auto"/>
        <w:bottom w:val="none" w:sz="0" w:space="0" w:color="auto"/>
        <w:right w:val="none" w:sz="0" w:space="0" w:color="auto"/>
      </w:divBdr>
    </w:div>
    <w:div w:id="1784882455">
      <w:bodyDiv w:val="1"/>
      <w:marLeft w:val="0"/>
      <w:marRight w:val="0"/>
      <w:marTop w:val="0"/>
      <w:marBottom w:val="0"/>
      <w:divBdr>
        <w:top w:val="none" w:sz="0" w:space="0" w:color="auto"/>
        <w:left w:val="none" w:sz="0" w:space="0" w:color="auto"/>
        <w:bottom w:val="none" w:sz="0" w:space="0" w:color="auto"/>
        <w:right w:val="none" w:sz="0" w:space="0" w:color="auto"/>
      </w:divBdr>
    </w:div>
    <w:div w:id="1818304206">
      <w:bodyDiv w:val="1"/>
      <w:marLeft w:val="0"/>
      <w:marRight w:val="0"/>
      <w:marTop w:val="0"/>
      <w:marBottom w:val="0"/>
      <w:divBdr>
        <w:top w:val="none" w:sz="0" w:space="0" w:color="auto"/>
        <w:left w:val="none" w:sz="0" w:space="0" w:color="auto"/>
        <w:bottom w:val="none" w:sz="0" w:space="0" w:color="auto"/>
        <w:right w:val="none" w:sz="0" w:space="0" w:color="auto"/>
      </w:divBdr>
    </w:div>
    <w:div w:id="1875844845">
      <w:bodyDiv w:val="1"/>
      <w:marLeft w:val="0"/>
      <w:marRight w:val="0"/>
      <w:marTop w:val="0"/>
      <w:marBottom w:val="0"/>
      <w:divBdr>
        <w:top w:val="none" w:sz="0" w:space="0" w:color="auto"/>
        <w:left w:val="none" w:sz="0" w:space="0" w:color="auto"/>
        <w:bottom w:val="none" w:sz="0" w:space="0" w:color="auto"/>
        <w:right w:val="none" w:sz="0" w:space="0" w:color="auto"/>
      </w:divBdr>
    </w:div>
    <w:div w:id="1893690476">
      <w:bodyDiv w:val="1"/>
      <w:marLeft w:val="0"/>
      <w:marRight w:val="0"/>
      <w:marTop w:val="0"/>
      <w:marBottom w:val="0"/>
      <w:divBdr>
        <w:top w:val="none" w:sz="0" w:space="0" w:color="auto"/>
        <w:left w:val="none" w:sz="0" w:space="0" w:color="auto"/>
        <w:bottom w:val="none" w:sz="0" w:space="0" w:color="auto"/>
        <w:right w:val="none" w:sz="0" w:space="0" w:color="auto"/>
      </w:divBdr>
    </w:div>
    <w:div w:id="1941064293">
      <w:bodyDiv w:val="1"/>
      <w:marLeft w:val="0"/>
      <w:marRight w:val="0"/>
      <w:marTop w:val="0"/>
      <w:marBottom w:val="0"/>
      <w:divBdr>
        <w:top w:val="none" w:sz="0" w:space="0" w:color="auto"/>
        <w:left w:val="none" w:sz="0" w:space="0" w:color="auto"/>
        <w:bottom w:val="none" w:sz="0" w:space="0" w:color="auto"/>
        <w:right w:val="none" w:sz="0" w:space="0" w:color="auto"/>
      </w:divBdr>
    </w:div>
    <w:div w:id="2056926932">
      <w:bodyDiv w:val="1"/>
      <w:marLeft w:val="0"/>
      <w:marRight w:val="0"/>
      <w:marTop w:val="0"/>
      <w:marBottom w:val="0"/>
      <w:divBdr>
        <w:top w:val="none" w:sz="0" w:space="0" w:color="auto"/>
        <w:left w:val="none" w:sz="0" w:space="0" w:color="auto"/>
        <w:bottom w:val="none" w:sz="0" w:space="0" w:color="auto"/>
        <w:right w:val="none" w:sz="0" w:space="0" w:color="auto"/>
      </w:divBdr>
    </w:div>
    <w:div w:id="21081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11/ans.156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2161</TotalTime>
  <Pages>13</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Fafolahan</dc:creator>
  <cp:keywords/>
  <dc:description/>
  <cp:lastModifiedBy>SDI 1084</cp:lastModifiedBy>
  <cp:revision>43</cp:revision>
  <dcterms:created xsi:type="dcterms:W3CDTF">2025-07-22T12:29:00Z</dcterms:created>
  <dcterms:modified xsi:type="dcterms:W3CDTF">2025-08-29T14:22:00Z</dcterms:modified>
</cp:coreProperties>
</file>