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A2F63" w14:textId="77777777" w:rsidR="00754C9A" w:rsidRDefault="00754C9A" w:rsidP="00441B6F">
      <w:pPr>
        <w:pStyle w:val="Title"/>
        <w:spacing w:after="0"/>
        <w:jc w:val="both"/>
        <w:rPr>
          <w:rFonts w:ascii="Arial" w:hAnsi="Arial" w:cs="Arial"/>
        </w:rPr>
      </w:pPr>
    </w:p>
    <w:p w14:paraId="77A22AB1" w14:textId="15A7687F" w:rsidR="00A258C3" w:rsidRDefault="00060351" w:rsidP="00060351">
      <w:pPr>
        <w:pStyle w:val="Author"/>
        <w:spacing w:line="240" w:lineRule="auto"/>
        <w:rPr>
          <w:rFonts w:ascii="Arial" w:hAnsi="Arial" w:cs="Arial"/>
          <w:bCs/>
          <w:iCs/>
          <w:kern w:val="28"/>
          <w:sz w:val="36"/>
        </w:rPr>
      </w:pPr>
      <w:r w:rsidRPr="00060351">
        <w:rPr>
          <w:rFonts w:ascii="Arial" w:hAnsi="Arial" w:cs="Arial"/>
          <w:bCs/>
          <w:iCs/>
          <w:kern w:val="28"/>
          <w:sz w:val="36"/>
        </w:rPr>
        <w:t xml:space="preserve">Effect of whitening dentifrice containing blue </w:t>
      </w:r>
      <w:proofErr w:type="spellStart"/>
      <w:r w:rsidRPr="00060351">
        <w:rPr>
          <w:rFonts w:ascii="Arial" w:hAnsi="Arial" w:cs="Arial"/>
          <w:bCs/>
          <w:iCs/>
          <w:kern w:val="28"/>
          <w:sz w:val="36"/>
        </w:rPr>
        <w:t>covarine</w:t>
      </w:r>
      <w:proofErr w:type="spellEnd"/>
      <w:r w:rsidRPr="00060351">
        <w:rPr>
          <w:rFonts w:ascii="Arial" w:hAnsi="Arial" w:cs="Arial"/>
          <w:bCs/>
          <w:iCs/>
          <w:kern w:val="28"/>
          <w:sz w:val="36"/>
        </w:rPr>
        <w:t xml:space="preserve"> on the color of enamel stained with different beverages</w:t>
      </w:r>
    </w:p>
    <w:p w14:paraId="66947819" w14:textId="7C7FC553" w:rsidR="00B01FCD" w:rsidRPr="00FB3A86" w:rsidRDefault="00B01FCD" w:rsidP="00441B6F">
      <w:pPr>
        <w:pStyle w:val="Copyright"/>
        <w:spacing w:after="0" w:line="240" w:lineRule="auto"/>
        <w:jc w:val="both"/>
        <w:rPr>
          <w:rFonts w:ascii="Arial" w:hAnsi="Arial" w:cs="Arial"/>
        </w:rPr>
        <w:sectPr w:rsidR="00B01FCD" w:rsidRPr="00FB3A86" w:rsidSect="00C15D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8D03710" w14:textId="6B53DA81" w:rsidR="00B01FCD" w:rsidRDefault="00B01FCD" w:rsidP="00441B6F">
      <w:pPr>
        <w:pStyle w:val="AbstHead"/>
        <w:spacing w:after="0"/>
        <w:jc w:val="both"/>
        <w:rPr>
          <w:rFonts w:ascii="Arial" w:hAnsi="Arial" w:cs="Arial"/>
        </w:rPr>
      </w:pPr>
      <w:r w:rsidRPr="00FB3A86">
        <w:rPr>
          <w:rFonts w:ascii="Arial" w:hAnsi="Arial" w:cs="Arial"/>
        </w:rPr>
        <w:t>ABSTRACT</w:t>
      </w:r>
    </w:p>
    <w:p w14:paraId="16DD54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FD99B5" w14:textId="77777777" w:rsidTr="001E44FE">
        <w:tc>
          <w:tcPr>
            <w:tcW w:w="9576" w:type="dxa"/>
            <w:shd w:val="clear" w:color="auto" w:fill="F2F2F2"/>
          </w:tcPr>
          <w:p w14:paraId="1D0AAAD4" w14:textId="77777777" w:rsidR="00346F91" w:rsidRDefault="00346F91" w:rsidP="00441B6F">
            <w:pPr>
              <w:pStyle w:val="Body"/>
              <w:spacing w:after="0"/>
              <w:rPr>
                <w:rFonts w:ascii="Arial" w:eastAsia="Calibri" w:hAnsi="Arial" w:cs="Arial"/>
                <w:b/>
                <w:sz w:val="22"/>
                <w:szCs w:val="24"/>
              </w:rPr>
            </w:pPr>
          </w:p>
          <w:p w14:paraId="741A7A36" w14:textId="3D952073" w:rsidR="00124BC8" w:rsidRPr="00346F91" w:rsidRDefault="00BA1B01" w:rsidP="00346F91">
            <w:pPr>
              <w:pStyle w:val="Body"/>
              <w:spacing w:after="0" w:line="276" w:lineRule="auto"/>
              <w:rPr>
                <w:rFonts w:ascii="Arial" w:hAnsi="Arial" w:cs="Arial"/>
                <w:bCs/>
                <w:sz w:val="22"/>
                <w:szCs w:val="22"/>
              </w:rPr>
            </w:pPr>
            <w:r w:rsidRPr="00346F91">
              <w:rPr>
                <w:rFonts w:ascii="Arial" w:eastAsia="Calibri" w:hAnsi="Arial" w:cs="Arial"/>
                <w:b/>
                <w:sz w:val="22"/>
                <w:szCs w:val="22"/>
              </w:rPr>
              <w:t xml:space="preserve">Aims: </w:t>
            </w:r>
            <w:r w:rsidR="00124BC8" w:rsidRPr="00346F91">
              <w:rPr>
                <w:rFonts w:ascii="Arial" w:hAnsi="Arial" w:cs="Arial"/>
                <w:bCs/>
                <w:sz w:val="22"/>
                <w:szCs w:val="22"/>
              </w:rPr>
              <w:t xml:space="preserve">evaluate the effect of whitening dentifrice containing BC on the color of enamel stained with different beverages. </w:t>
            </w:r>
          </w:p>
          <w:p w14:paraId="695A948B" w14:textId="37D4A714" w:rsidR="00BA1B01" w:rsidRPr="00346F91" w:rsidRDefault="00BA1B01" w:rsidP="00346F91">
            <w:pPr>
              <w:pStyle w:val="Body"/>
              <w:spacing w:after="0" w:line="276" w:lineRule="auto"/>
              <w:rPr>
                <w:rFonts w:ascii="Arial" w:eastAsia="Calibri" w:hAnsi="Arial" w:cs="Arial"/>
                <w:bCs/>
                <w:sz w:val="22"/>
                <w:szCs w:val="22"/>
              </w:rPr>
            </w:pPr>
            <w:r w:rsidRPr="00346F91">
              <w:rPr>
                <w:rFonts w:ascii="Arial" w:eastAsia="Calibri" w:hAnsi="Arial" w:cs="Arial"/>
                <w:b/>
                <w:sz w:val="22"/>
                <w:szCs w:val="22"/>
              </w:rPr>
              <w:t>Study design:</w:t>
            </w:r>
            <w:r w:rsidRPr="00346F91">
              <w:rPr>
                <w:rFonts w:ascii="Arial" w:eastAsia="Calibri" w:hAnsi="Arial" w:cs="Arial"/>
                <w:bCs/>
                <w:sz w:val="22"/>
                <w:szCs w:val="22"/>
              </w:rPr>
              <w:t xml:space="preserve">  </w:t>
            </w:r>
            <w:r w:rsidR="006B21D3" w:rsidRPr="00346F91">
              <w:rPr>
                <w:rFonts w:ascii="Arial" w:eastAsia="Calibri" w:hAnsi="Arial" w:cs="Arial"/>
                <w:bCs/>
                <w:sz w:val="22"/>
                <w:szCs w:val="22"/>
              </w:rPr>
              <w:t>Mention the design of the study here</w:t>
            </w:r>
            <w:r w:rsidRPr="00346F91">
              <w:rPr>
                <w:rFonts w:ascii="Arial" w:eastAsia="Calibri" w:hAnsi="Arial" w:cs="Arial"/>
                <w:bCs/>
                <w:sz w:val="22"/>
                <w:szCs w:val="22"/>
              </w:rPr>
              <w:t>.</w:t>
            </w:r>
          </w:p>
          <w:p w14:paraId="53018E35" w14:textId="37D333EE" w:rsidR="00BA1B01" w:rsidRPr="00346F91" w:rsidRDefault="00BA1B01" w:rsidP="00346F91">
            <w:pPr>
              <w:pStyle w:val="Body"/>
              <w:spacing w:after="0" w:line="276" w:lineRule="auto"/>
              <w:rPr>
                <w:rFonts w:ascii="Arial" w:eastAsia="Calibri" w:hAnsi="Arial" w:cs="Arial"/>
                <w:bCs/>
                <w:sz w:val="22"/>
                <w:szCs w:val="22"/>
              </w:rPr>
            </w:pPr>
            <w:r w:rsidRPr="00346F91">
              <w:rPr>
                <w:rFonts w:ascii="Arial" w:eastAsia="Calibri" w:hAnsi="Arial" w:cs="Arial"/>
                <w:bCs/>
                <w:sz w:val="22"/>
                <w:szCs w:val="22"/>
              </w:rPr>
              <w:t xml:space="preserve">Place and Duration of Study: </w:t>
            </w:r>
            <w:r w:rsidR="00346F91" w:rsidRPr="00346F91">
              <w:rPr>
                <w:rFonts w:ascii="Arial" w:eastAsia="Calibri" w:hAnsi="Arial" w:cs="Arial"/>
                <w:bCs/>
                <w:sz w:val="22"/>
                <w:szCs w:val="22"/>
              </w:rPr>
              <w:t>Experimental in vitro study, comparative, with parallel groups, controlled, and randomized</w:t>
            </w:r>
          </w:p>
          <w:p w14:paraId="147887C7" w14:textId="1B00E199" w:rsidR="00124BC8" w:rsidRPr="00346F91" w:rsidRDefault="00BA1B01" w:rsidP="00346F91">
            <w:pPr>
              <w:spacing w:line="276" w:lineRule="auto"/>
              <w:jc w:val="both"/>
              <w:rPr>
                <w:rFonts w:ascii="Arial" w:hAnsi="Arial" w:cs="Arial"/>
                <w:sz w:val="22"/>
                <w:szCs w:val="22"/>
              </w:rPr>
            </w:pPr>
            <w:r w:rsidRPr="00346F91">
              <w:rPr>
                <w:rFonts w:ascii="Arial" w:eastAsia="Calibri" w:hAnsi="Arial" w:cs="Arial"/>
                <w:b/>
                <w:bCs/>
                <w:sz w:val="22"/>
                <w:szCs w:val="22"/>
              </w:rPr>
              <w:t>Methodology</w:t>
            </w:r>
            <w:r w:rsidR="00124BC8" w:rsidRPr="00346F91">
              <w:rPr>
                <w:rFonts w:ascii="Arial" w:eastAsia="Calibri" w:hAnsi="Arial" w:cs="Arial"/>
                <w:sz w:val="22"/>
                <w:szCs w:val="22"/>
              </w:rPr>
              <w:t>:</w:t>
            </w:r>
            <w:r w:rsidR="00346F91" w:rsidRPr="00346F91">
              <w:rPr>
                <w:rFonts w:ascii="Arial" w:eastAsia="Calibri" w:hAnsi="Arial" w:cs="Arial"/>
                <w:sz w:val="22"/>
                <w:szCs w:val="22"/>
              </w:rPr>
              <w:t xml:space="preserve"> </w:t>
            </w:r>
            <w:r w:rsidR="00124BC8" w:rsidRPr="00346F91">
              <w:rPr>
                <w:rFonts w:ascii="Arial" w:hAnsi="Arial" w:cs="Arial"/>
                <w:sz w:val="22"/>
                <w:szCs w:val="22"/>
              </w:rPr>
              <w:t>Fifteen molars were sectioned to obtain enamel sp</w:t>
            </w:r>
            <w:bookmarkStart w:id="0" w:name="_GoBack"/>
            <w:bookmarkEnd w:id="0"/>
            <w:r w:rsidR="00124BC8" w:rsidRPr="00346F91">
              <w:rPr>
                <w:rFonts w:ascii="Arial" w:hAnsi="Arial" w:cs="Arial"/>
                <w:sz w:val="22"/>
                <w:szCs w:val="22"/>
              </w:rPr>
              <w:t>ecimens, which were flattened, and divided into 6 groups: distilled water, cola-based soft drink, wine, acai, coffee, and dark beer. The color of the specimens was evaluated using a spectrophotometer. Subsequently, they were immersed in the beverages for 6 hours/day, for a total of 30 days. Each specimen was inserted into a brushing machine containing a solution with BC. All data were analyzed by ANOVA and the Student-Newman-Keuls test (α=0.05).</w:t>
            </w:r>
          </w:p>
          <w:p w14:paraId="4DDCAFB9" w14:textId="19E34E59" w:rsidR="00BA1B01" w:rsidRPr="00346F91" w:rsidRDefault="00BA1B01" w:rsidP="00346F91">
            <w:pPr>
              <w:pStyle w:val="Body"/>
              <w:spacing w:after="0" w:line="276" w:lineRule="auto"/>
              <w:rPr>
                <w:rFonts w:ascii="Arial" w:eastAsia="Calibri" w:hAnsi="Arial" w:cs="Arial"/>
                <w:sz w:val="22"/>
                <w:szCs w:val="22"/>
              </w:rPr>
            </w:pPr>
            <w:r w:rsidRPr="00346F91">
              <w:rPr>
                <w:rFonts w:ascii="Arial" w:eastAsia="Calibri" w:hAnsi="Arial" w:cs="Arial"/>
                <w:b/>
                <w:bCs/>
                <w:sz w:val="22"/>
                <w:szCs w:val="22"/>
              </w:rPr>
              <w:t>Results</w:t>
            </w:r>
            <w:r w:rsidR="00124BC8" w:rsidRPr="00346F91">
              <w:rPr>
                <w:rFonts w:ascii="Arial" w:eastAsia="Calibri" w:hAnsi="Arial" w:cs="Arial"/>
                <w:b/>
                <w:bCs/>
                <w:sz w:val="22"/>
                <w:szCs w:val="22"/>
              </w:rPr>
              <w:t>:</w:t>
            </w:r>
            <w:r w:rsidR="00124BC8" w:rsidRPr="00346F91">
              <w:rPr>
                <w:rFonts w:ascii="Arial" w:hAnsi="Arial" w:cs="Arial"/>
                <w:b/>
                <w:bCs/>
                <w:sz w:val="22"/>
                <w:szCs w:val="22"/>
              </w:rPr>
              <w:t xml:space="preserve"> </w:t>
            </w:r>
            <w:r w:rsidR="00124BC8" w:rsidRPr="00346F91">
              <w:rPr>
                <w:rFonts w:ascii="Arial" w:hAnsi="Arial" w:cs="Arial"/>
                <w:sz w:val="22"/>
                <w:szCs w:val="22"/>
              </w:rPr>
              <w:t xml:space="preserve">As for </w:t>
            </w:r>
            <w:proofErr w:type="spellStart"/>
            <w:r w:rsidR="00124BC8" w:rsidRPr="00346F91">
              <w:rPr>
                <w:rFonts w:ascii="Arial" w:hAnsi="Arial" w:cs="Arial"/>
                <w:sz w:val="22"/>
                <w:szCs w:val="22"/>
              </w:rPr>
              <w:t>Δb</w:t>
            </w:r>
            <w:proofErr w:type="spellEnd"/>
            <w:r w:rsidR="00124BC8" w:rsidRPr="00346F91">
              <w:rPr>
                <w:rFonts w:ascii="Arial" w:hAnsi="Arial" w:cs="Arial"/>
                <w:sz w:val="22"/>
                <w:szCs w:val="22"/>
              </w:rPr>
              <w:t>*, no statistical difference was observed among the distilled water, cola-based soft drink, wine, and coffee groups (p&gt;0.05). Also, no statistical difference was found between the acai and dark beer groups (p&gt;0.05</w:t>
            </w:r>
            <w:proofErr w:type="gramStart"/>
            <w:r w:rsidR="00124BC8" w:rsidRPr="00346F91">
              <w:rPr>
                <w:rFonts w:ascii="Arial" w:hAnsi="Arial" w:cs="Arial"/>
                <w:sz w:val="22"/>
                <w:szCs w:val="22"/>
              </w:rPr>
              <w:t>).</w:t>
            </w:r>
            <w:r w:rsidRPr="00346F91">
              <w:rPr>
                <w:rFonts w:ascii="Arial" w:eastAsia="Calibri" w:hAnsi="Arial" w:cs="Arial"/>
                <w:sz w:val="22"/>
                <w:szCs w:val="22"/>
              </w:rPr>
              <w:t>splenic</w:t>
            </w:r>
            <w:proofErr w:type="gramEnd"/>
            <w:r w:rsidRPr="00346F91">
              <w:rPr>
                <w:rFonts w:ascii="Arial" w:eastAsia="Calibri" w:hAnsi="Arial" w:cs="Arial"/>
                <w:sz w:val="22"/>
                <w:szCs w:val="22"/>
              </w:rPr>
              <w:t xml:space="preserve"> diameter ratio (</w:t>
            </w:r>
            <w:r w:rsidRPr="00346F91">
              <w:rPr>
                <w:rFonts w:ascii="Arial" w:eastAsia="Calibri" w:hAnsi="Arial" w:cs="Arial"/>
                <w:i/>
                <w:sz w:val="22"/>
                <w:szCs w:val="22"/>
              </w:rPr>
              <w:t xml:space="preserve">1676.7 </w:t>
            </w:r>
            <w:r w:rsidRPr="00346F91">
              <w:rPr>
                <w:rFonts w:ascii="Arial" w:eastAsia="Calibri" w:hAnsi="Arial" w:cs="Arial"/>
                <w:sz w:val="22"/>
                <w:szCs w:val="22"/>
              </w:rPr>
              <w:t>to</w:t>
            </w:r>
            <w:r w:rsidRPr="00346F91">
              <w:rPr>
                <w:rFonts w:ascii="Arial" w:eastAsia="Calibri" w:hAnsi="Arial" w:cs="Arial"/>
                <w:i/>
                <w:sz w:val="22"/>
                <w:szCs w:val="22"/>
              </w:rPr>
              <w:t xml:space="preserve"> 824.6</w:t>
            </w:r>
            <w:r w:rsidRPr="00346F91">
              <w:rPr>
                <w:rFonts w:ascii="Arial" w:eastAsia="Calibri" w:hAnsi="Arial" w:cs="Arial"/>
                <w:sz w:val="22"/>
                <w:szCs w:val="22"/>
              </w:rPr>
              <w:t>) declining significantly. Logistic regression showed splenic collaterals and platelets are significantly but negatively associated with esophageal varices grades.</w:t>
            </w:r>
          </w:p>
          <w:p w14:paraId="56B26077" w14:textId="77777777" w:rsidR="00124BC8" w:rsidRPr="00346F91" w:rsidRDefault="00BA1B01" w:rsidP="00346F91">
            <w:pPr>
              <w:spacing w:line="276" w:lineRule="auto"/>
              <w:jc w:val="both"/>
              <w:rPr>
                <w:rFonts w:ascii="Arial" w:hAnsi="Arial" w:cs="Arial"/>
                <w:sz w:val="22"/>
                <w:szCs w:val="22"/>
              </w:rPr>
            </w:pPr>
            <w:r w:rsidRPr="00346F91">
              <w:rPr>
                <w:rFonts w:ascii="Arial" w:eastAsia="Calibri" w:hAnsi="Arial" w:cs="Arial"/>
                <w:b/>
                <w:bCs/>
                <w:sz w:val="22"/>
                <w:szCs w:val="22"/>
              </w:rPr>
              <w:t xml:space="preserve">Conclusion: </w:t>
            </w:r>
            <w:r w:rsidR="00124BC8" w:rsidRPr="00346F91">
              <w:rPr>
                <w:rFonts w:ascii="Arial" w:hAnsi="Arial" w:cs="Arial"/>
                <w:sz w:val="22"/>
                <w:szCs w:val="22"/>
              </w:rPr>
              <w:t>The whitening dentifrice containing BC was effective in altering the color of tooth enamel stained with coffee, the cola-based soft drink, wine, acai, and dark beer.</w:t>
            </w:r>
          </w:p>
          <w:p w14:paraId="20FF160C" w14:textId="38F19038" w:rsidR="00505F06" w:rsidRPr="00BA1B01" w:rsidRDefault="00505F06" w:rsidP="00441B6F">
            <w:pPr>
              <w:pStyle w:val="Body"/>
              <w:spacing w:after="0"/>
              <w:rPr>
                <w:rFonts w:ascii="Arial" w:eastAsia="Calibri" w:hAnsi="Arial" w:cs="Arial"/>
                <w:szCs w:val="22"/>
              </w:rPr>
            </w:pPr>
          </w:p>
        </w:tc>
      </w:tr>
    </w:tbl>
    <w:p w14:paraId="3FFE9C4E" w14:textId="77777777" w:rsidR="00636EB2" w:rsidRDefault="00636EB2" w:rsidP="00441B6F">
      <w:pPr>
        <w:pStyle w:val="Body"/>
        <w:spacing w:after="0"/>
        <w:rPr>
          <w:rFonts w:ascii="Arial" w:hAnsi="Arial" w:cs="Arial"/>
          <w:i/>
        </w:rPr>
      </w:pPr>
    </w:p>
    <w:p w14:paraId="25BF3760" w14:textId="089EEA4B" w:rsidR="00A24E7E" w:rsidRDefault="00A24E7E" w:rsidP="00441B6F">
      <w:pPr>
        <w:pStyle w:val="Body"/>
        <w:spacing w:after="0"/>
        <w:rPr>
          <w:rFonts w:ascii="Arial" w:hAnsi="Arial" w:cs="Arial"/>
          <w:i/>
        </w:rPr>
      </w:pPr>
      <w:r>
        <w:rPr>
          <w:rFonts w:ascii="Arial" w:hAnsi="Arial" w:cs="Arial"/>
          <w:i/>
        </w:rPr>
        <w:t>Keywords:</w:t>
      </w:r>
      <w:r w:rsidR="00346F91">
        <w:rPr>
          <w:rFonts w:ascii="Arial" w:hAnsi="Arial" w:cs="Arial"/>
          <w:i/>
        </w:rPr>
        <w:t xml:space="preserve"> </w:t>
      </w:r>
      <w:r w:rsidR="00346F91" w:rsidRPr="00346F91">
        <w:rPr>
          <w:rFonts w:ascii="Arial" w:hAnsi="Arial" w:cs="Arial"/>
          <w:i/>
        </w:rPr>
        <w:t xml:space="preserve">Blue </w:t>
      </w:r>
      <w:proofErr w:type="spellStart"/>
      <w:r w:rsidR="00346F91" w:rsidRPr="00346F91">
        <w:rPr>
          <w:rFonts w:ascii="Arial" w:hAnsi="Arial" w:cs="Arial"/>
          <w:i/>
        </w:rPr>
        <w:t>covarine</w:t>
      </w:r>
      <w:proofErr w:type="spellEnd"/>
      <w:r w:rsidR="00346F91" w:rsidRPr="00346F91">
        <w:rPr>
          <w:rFonts w:ascii="Arial" w:hAnsi="Arial" w:cs="Arial"/>
          <w:i/>
        </w:rPr>
        <w:t>, Dentifrices, Tooth bleaching</w:t>
      </w:r>
      <w:r w:rsidR="00346F91">
        <w:rPr>
          <w:rFonts w:ascii="Arial" w:hAnsi="Arial" w:cs="Arial"/>
          <w:i/>
        </w:rPr>
        <w:t xml:space="preserve">, </w:t>
      </w:r>
      <w:r w:rsidR="00346F91" w:rsidRPr="00346F91">
        <w:rPr>
          <w:rFonts w:ascii="Arial" w:hAnsi="Arial" w:cs="Arial"/>
          <w:i/>
        </w:rPr>
        <w:t>Biomaterials</w:t>
      </w:r>
      <w:r w:rsidR="00346F91">
        <w:rPr>
          <w:rFonts w:ascii="Arial" w:hAnsi="Arial" w:cs="Arial"/>
          <w:i/>
        </w:rPr>
        <w:t>.</w:t>
      </w:r>
    </w:p>
    <w:p w14:paraId="0124573F" w14:textId="77777777" w:rsidR="0024282C" w:rsidRDefault="0024282C" w:rsidP="00441B6F">
      <w:pPr>
        <w:pStyle w:val="Body"/>
        <w:spacing w:after="0"/>
        <w:rPr>
          <w:rFonts w:ascii="Arial" w:hAnsi="Arial" w:cs="Arial"/>
          <w:i/>
          <w:sz w:val="18"/>
        </w:rPr>
      </w:pPr>
    </w:p>
    <w:p w14:paraId="6A33C4FB" w14:textId="77777777" w:rsidR="00505F06" w:rsidRPr="00A24E7E" w:rsidRDefault="00505F06" w:rsidP="00441B6F">
      <w:pPr>
        <w:pStyle w:val="Body"/>
        <w:spacing w:after="0"/>
        <w:rPr>
          <w:rFonts w:ascii="Arial" w:hAnsi="Arial" w:cs="Arial"/>
          <w:i/>
        </w:rPr>
      </w:pPr>
    </w:p>
    <w:p w14:paraId="5F18BAC2" w14:textId="0968E9C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68B59E" w14:textId="77777777" w:rsidR="000819E8" w:rsidRDefault="000819E8" w:rsidP="000819E8">
      <w:pPr>
        <w:spacing w:line="360" w:lineRule="auto"/>
        <w:ind w:firstLine="426"/>
        <w:jc w:val="both"/>
      </w:pPr>
    </w:p>
    <w:p w14:paraId="0A13ACB3" w14:textId="734090F8" w:rsidR="000819E8" w:rsidRDefault="000819E8" w:rsidP="000819E8">
      <w:pPr>
        <w:spacing w:line="360" w:lineRule="auto"/>
        <w:ind w:firstLine="426"/>
        <w:jc w:val="both"/>
        <w:rPr>
          <w:rFonts w:ascii="Times New Roman" w:hAnsi="Times New Roman"/>
        </w:rPr>
      </w:pPr>
      <w:r>
        <w:t>The occurrence of extrinsic enamel staining and tooth darkening are problems constantly reported by patients who seek esthetic improvements in their smile</w:t>
      </w:r>
      <w:r w:rsidR="00CE75B8">
        <w:t xml:space="preserve">. </w:t>
      </w:r>
      <w:r>
        <w:t>The frequent consumption of beverages containing high concentrations of organic pigments, such as tea, coffee, acai, wine, and cola-based soft drinks, can lead to tooth staining</w:t>
      </w:r>
      <w:r w:rsidR="00064817">
        <w:t xml:space="preserve"> (</w:t>
      </w:r>
      <w:r w:rsidR="00CE75B8">
        <w:rPr>
          <w:color w:val="000000"/>
        </w:rPr>
        <w:t xml:space="preserve">Çelik </w:t>
      </w:r>
      <w:r w:rsidR="00CE75B8">
        <w:t>et al.</w:t>
      </w:r>
      <w:r w:rsidR="00CE75B8">
        <w:rPr>
          <w:color w:val="000000"/>
        </w:rPr>
        <w:t>, 2021, Zanatta</w:t>
      </w:r>
      <w:r w:rsidR="00CE75B8" w:rsidRPr="00064817">
        <w:t xml:space="preserve"> </w:t>
      </w:r>
      <w:r w:rsidR="00CE75B8">
        <w:t>et al.</w:t>
      </w:r>
      <w:r w:rsidR="00CE75B8">
        <w:rPr>
          <w:color w:val="000000"/>
        </w:rPr>
        <w:t>, 2016, Soares et al., 2015)</w:t>
      </w:r>
      <w:r>
        <w:t>.</w:t>
      </w:r>
      <w:r>
        <w:rPr>
          <w:color w:val="FF0000"/>
          <w:vertAlign w:val="superscript"/>
        </w:rPr>
        <w:t xml:space="preserve"> </w:t>
      </w:r>
    </w:p>
    <w:p w14:paraId="2FD50E45" w14:textId="57DF90AC" w:rsidR="000819E8" w:rsidRDefault="000819E8" w:rsidP="000819E8">
      <w:pPr>
        <w:spacing w:line="360" w:lineRule="auto"/>
        <w:ind w:firstLine="426"/>
        <w:jc w:val="both"/>
      </w:pPr>
      <w:r>
        <w:lastRenderedPageBreak/>
        <w:t>Due to the increased demand of patients seeking white and stain-free teeth, the dental products industry has launched mouthwashes and dentifrices that claim to whiten teeth</w:t>
      </w:r>
      <w:r w:rsidR="00CE75B8">
        <w:t xml:space="preserve"> (</w:t>
      </w:r>
      <w:r w:rsidR="00CE75B8">
        <w:rPr>
          <w:color w:val="000000"/>
        </w:rPr>
        <w:t>Kwon et al., 2015, Andrade et al., 2021, Meireles et al., 2021, Borges et al., 2023)</w:t>
      </w:r>
      <w:r>
        <w:t>.</w:t>
      </w:r>
    </w:p>
    <w:p w14:paraId="1B91433A" w14:textId="35DD2F23" w:rsidR="000819E8" w:rsidRDefault="000819E8" w:rsidP="000819E8">
      <w:pPr>
        <w:spacing w:line="360" w:lineRule="auto"/>
        <w:ind w:firstLine="426"/>
        <w:jc w:val="both"/>
      </w:pPr>
      <w:r>
        <w:t>However, there are controversies regarding the safety of these types of dentifrices, mainly regarding the risk of irreversible damage to the tooth enamel due to the abrasive action of their components</w:t>
      </w:r>
      <w:r w:rsidR="00CE75B8">
        <w:t xml:space="preserve"> (</w:t>
      </w:r>
      <w:r w:rsidR="00CE75B8">
        <w:rPr>
          <w:color w:val="000000"/>
        </w:rPr>
        <w:t>Carey, 2014)</w:t>
      </w:r>
      <w:r>
        <w:t>.</w:t>
      </w:r>
      <w:r>
        <w:rPr>
          <w:color w:val="FF0000"/>
        </w:rPr>
        <w:t xml:space="preserve"> </w:t>
      </w:r>
    </w:p>
    <w:p w14:paraId="2ECCCE51" w14:textId="13460FFB" w:rsidR="000819E8" w:rsidRDefault="000819E8" w:rsidP="000819E8">
      <w:pPr>
        <w:spacing w:line="360" w:lineRule="auto"/>
        <w:ind w:firstLine="426"/>
        <w:jc w:val="both"/>
      </w:pPr>
      <w:r>
        <w:t>Although teeth whitening is a procedure desired by patients who are dissatisfied with the color of their teeth, it usually has a high cost, leading many patients to seek more affordable alternatives</w:t>
      </w:r>
      <w:r w:rsidR="00CE75B8">
        <w:t xml:space="preserve"> (</w:t>
      </w:r>
      <w:r w:rsidR="00CE75B8">
        <w:rPr>
          <w:color w:val="212121"/>
        </w:rPr>
        <w:t>Santos et al., 2024)</w:t>
      </w:r>
      <w:r>
        <w:t>.</w:t>
      </w:r>
      <w:r>
        <w:rPr>
          <w:color w:val="0000FF"/>
        </w:rPr>
        <w:t xml:space="preserve"> </w:t>
      </w:r>
      <w:r>
        <w:t xml:space="preserve">As an alternative to whitening dentifrices with abrasive action, toothpastes containing blue </w:t>
      </w:r>
      <w:proofErr w:type="spellStart"/>
      <w:r>
        <w:t>covarine</w:t>
      </w:r>
      <w:proofErr w:type="spellEnd"/>
      <w:r>
        <w:t xml:space="preserve"> (BC) have been developed</w:t>
      </w:r>
      <w:r w:rsidR="00CE75B8">
        <w:rPr>
          <w:color w:val="000000"/>
        </w:rPr>
        <w:t>.</w:t>
      </w:r>
      <w:r>
        <w:rPr>
          <w:color w:val="FF0000"/>
        </w:rPr>
        <w:t xml:space="preserve"> </w:t>
      </w:r>
      <w:r>
        <w:t>The primary mechanism of action of these products is based on optical effects promoted by the deposition of a thin layer of BC on the surface of the tooth enamel</w:t>
      </w:r>
      <w:r w:rsidR="00992D03">
        <w:t xml:space="preserve">. </w:t>
      </w:r>
      <w:r>
        <w:t>This pigment has the ability to attenuate the perception of yellow color and bring out bluish tones, resulting in an optical illusion of greater luminosity of the teeth</w:t>
      </w:r>
      <w:r w:rsidR="00992D03">
        <w:t xml:space="preserve">. </w:t>
      </w:r>
      <w:r>
        <w:t>The decrease in yellow color is an important indicator in tooth whitening and is a relevant parameter to the patient regarding self-perception</w:t>
      </w:r>
      <w:r w:rsidR="00CE75B8">
        <w:t xml:space="preserve"> (</w:t>
      </w:r>
      <w:proofErr w:type="spellStart"/>
      <w:r w:rsidR="00992D03">
        <w:rPr>
          <w:color w:val="000000"/>
        </w:rPr>
        <w:t>Hashemikamangar</w:t>
      </w:r>
      <w:proofErr w:type="spellEnd"/>
      <w:r w:rsidR="00992D03">
        <w:rPr>
          <w:color w:val="000000"/>
        </w:rPr>
        <w:t xml:space="preserve"> et al., 2020, </w:t>
      </w:r>
      <w:r w:rsidR="00CE75B8">
        <w:rPr>
          <w:color w:val="000000"/>
        </w:rPr>
        <w:t>Vaz et al., 2019)</w:t>
      </w:r>
      <w:r w:rsidR="00CE75B8">
        <w:t>.</w:t>
      </w:r>
    </w:p>
    <w:p w14:paraId="0213CB24" w14:textId="6694F492" w:rsidR="000819E8" w:rsidRDefault="000819E8" w:rsidP="000819E8">
      <w:pPr>
        <w:spacing w:line="360" w:lineRule="auto"/>
        <w:ind w:firstLine="426"/>
        <w:jc w:val="both"/>
      </w:pPr>
      <w:r>
        <w:t>Although it has been proven that after brushing with a dentifrice containing BC, there is a whitening effect,</w:t>
      </w:r>
      <w:r>
        <w:rPr>
          <w:color w:val="FF0000"/>
        </w:rPr>
        <w:t xml:space="preserve"> </w:t>
      </w:r>
      <w:r>
        <w:t>there are still gaps in scientific knowledge concerning its efficiency. According to coloring and acidic beverages, such as cola-based soft drinks, coffee, red wine, dark beer, and acai, promote significant changes in the color of tooth enamel. Thus, it remains to be elucidated whether dentifrices containing BC are efficient in attenuating or masking different types of extrinsic enamel staining</w:t>
      </w:r>
      <w:r w:rsidR="00CE75B8">
        <w:t xml:space="preserve"> (</w:t>
      </w:r>
      <w:proofErr w:type="spellStart"/>
      <w:r w:rsidR="00CE75B8">
        <w:rPr>
          <w:color w:val="000000"/>
        </w:rPr>
        <w:t>Bortolatto</w:t>
      </w:r>
      <w:proofErr w:type="spellEnd"/>
      <w:r w:rsidR="00CE75B8">
        <w:rPr>
          <w:color w:val="000000"/>
        </w:rPr>
        <w:t xml:space="preserve"> et al., 2016</w:t>
      </w:r>
      <w:r w:rsidR="00CE75B8">
        <w:t>,</w:t>
      </w:r>
      <w:r w:rsidR="00CE75B8">
        <w:rPr>
          <w:color w:val="FF0000"/>
        </w:rPr>
        <w:t xml:space="preserve"> </w:t>
      </w:r>
      <w:r w:rsidR="00CE75B8">
        <w:rPr>
          <w:color w:val="000000"/>
        </w:rPr>
        <w:t>Neri et al., 2020)</w:t>
      </w:r>
      <w:r>
        <w:t>.</w:t>
      </w:r>
      <w:r w:rsidR="00CE75B8">
        <w:t xml:space="preserve"> </w:t>
      </w:r>
    </w:p>
    <w:p w14:paraId="4C64C768" w14:textId="77777777" w:rsidR="000819E8" w:rsidRDefault="000819E8" w:rsidP="000819E8">
      <w:pPr>
        <w:spacing w:line="360" w:lineRule="auto"/>
        <w:ind w:firstLine="426"/>
        <w:jc w:val="both"/>
      </w:pPr>
      <w:r>
        <w:t xml:space="preserve">In this context, the aim of the present study was to evaluate the effect of a whitening dentifrice containing BC on the color of enamel stained with different beverages: wine, acai, dark beer, and a cola-based soft drink. The null hypotheses tested were that there would be no statistical difference among the groups regarding the values of ΔL*, </w:t>
      </w:r>
      <w:proofErr w:type="spellStart"/>
      <w:r>
        <w:t>Δa</w:t>
      </w:r>
      <w:proofErr w:type="spellEnd"/>
      <w:r>
        <w:t xml:space="preserve">*, </w:t>
      </w:r>
      <w:proofErr w:type="spellStart"/>
      <w:r>
        <w:t>Δb</w:t>
      </w:r>
      <w:proofErr w:type="spellEnd"/>
      <w:r>
        <w:t>*, and ΔE*.</w:t>
      </w:r>
    </w:p>
    <w:p w14:paraId="22E24B5F" w14:textId="77777777" w:rsidR="00790ADA" w:rsidRPr="00FB3A86" w:rsidRDefault="00790ADA" w:rsidP="00441B6F">
      <w:pPr>
        <w:pStyle w:val="Body"/>
        <w:spacing w:after="0"/>
        <w:rPr>
          <w:rFonts w:ascii="Arial" w:hAnsi="Arial" w:cs="Arial"/>
        </w:rPr>
      </w:pPr>
    </w:p>
    <w:p w14:paraId="5E7238F4" w14:textId="7703B0B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FFC061" w14:textId="77777777" w:rsidR="00790ADA" w:rsidRPr="00FB3A86" w:rsidRDefault="00790ADA" w:rsidP="00441B6F">
      <w:pPr>
        <w:pStyle w:val="AbstHead"/>
        <w:spacing w:after="0"/>
        <w:jc w:val="both"/>
        <w:rPr>
          <w:rFonts w:ascii="Arial" w:hAnsi="Arial" w:cs="Arial"/>
        </w:rPr>
      </w:pPr>
    </w:p>
    <w:p w14:paraId="6C158FEF" w14:textId="77777777" w:rsidR="000819E8" w:rsidRDefault="000819E8" w:rsidP="000819E8">
      <w:pPr>
        <w:spacing w:line="360" w:lineRule="auto"/>
        <w:ind w:firstLine="425"/>
        <w:jc w:val="both"/>
        <w:rPr>
          <w:rFonts w:ascii="Times New Roman" w:hAnsi="Times New Roman"/>
        </w:rPr>
      </w:pPr>
      <w:r>
        <w:rPr>
          <w:color w:val="000000"/>
        </w:rPr>
        <w:t xml:space="preserve">This study was approved by the Human Research Ethics Committee (No. </w:t>
      </w:r>
      <w:r>
        <w:t>2,758,761). F</w:t>
      </w:r>
      <w:r>
        <w:rPr>
          <w:color w:val="000000"/>
        </w:rPr>
        <w:t>ifteen healthy human third molars were selected, cleaned, and stored in distilled water at</w:t>
      </w:r>
      <w:r>
        <w:t xml:space="preserve"> 4°C. </w:t>
      </w:r>
      <w:r>
        <w:rPr>
          <w:color w:val="000000"/>
        </w:rPr>
        <w:t xml:space="preserve">The teeth were fixed with wax </w:t>
      </w:r>
      <w:r>
        <w:t xml:space="preserve">(Kota Ind. e Com. Ltda., São Paulo, SP, Brazil) </w:t>
      </w:r>
      <w:r>
        <w:rPr>
          <w:color w:val="000000"/>
        </w:rPr>
        <w:t xml:space="preserve">on acrylic plates and placed into a cutting machine </w:t>
      </w:r>
      <w:r>
        <w:t>(</w:t>
      </w:r>
      <w:proofErr w:type="spellStart"/>
      <w:r>
        <w:t>Extec</w:t>
      </w:r>
      <w:proofErr w:type="spellEnd"/>
      <w:r>
        <w:t>, Enfield, CT, USA), where they</w:t>
      </w:r>
      <w:r>
        <w:rPr>
          <w:color w:val="000000"/>
        </w:rPr>
        <w:t xml:space="preserve"> were cut with the aid of a diamond disk</w:t>
      </w:r>
      <w:r>
        <w:t xml:space="preserve"> (</w:t>
      </w:r>
      <w:proofErr w:type="spellStart"/>
      <w:r>
        <w:t>Extec</w:t>
      </w:r>
      <w:proofErr w:type="spellEnd"/>
      <w:r>
        <w:t xml:space="preserve"> Corp, Enfield, CT, USA) </w:t>
      </w:r>
      <w:r>
        <w:rPr>
          <w:color w:val="000000"/>
        </w:rPr>
        <w:t>to obtain</w:t>
      </w:r>
      <w:r>
        <w:t xml:space="preserve"> 4 mm x 4 mm </w:t>
      </w:r>
      <w:r>
        <w:rPr>
          <w:color w:val="000000"/>
        </w:rPr>
        <w:t>enamel fragments</w:t>
      </w:r>
      <w:r>
        <w:t xml:space="preserve">. </w:t>
      </w:r>
    </w:p>
    <w:p w14:paraId="123FAC81" w14:textId="77777777"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r>
        <w:rPr>
          <w:color w:val="000000"/>
        </w:rPr>
        <w:t xml:space="preserve">The enamel fragments were embedded </w:t>
      </w:r>
      <w:r>
        <w:t xml:space="preserve">(PRE30Mi; Arotec, São Paulo, SP, Brazil) </w:t>
      </w:r>
      <w:r>
        <w:rPr>
          <w:color w:val="000000"/>
        </w:rPr>
        <w:t xml:space="preserve">in acrylic resin and later flattened and polished with </w:t>
      </w:r>
      <w:r>
        <w:t xml:space="preserve">320, 400, 600, and 1200 </w:t>
      </w:r>
      <w:r>
        <w:rPr>
          <w:color w:val="000000"/>
        </w:rPr>
        <w:t xml:space="preserve">silicon carbide </w:t>
      </w:r>
      <w:r>
        <w:rPr>
          <w:color w:val="000000"/>
        </w:rPr>
        <w:lastRenderedPageBreak/>
        <w:t>sandpaper grits</w:t>
      </w:r>
      <w:r>
        <w:t xml:space="preserve">. </w:t>
      </w:r>
      <w:r>
        <w:rPr>
          <w:color w:val="000000"/>
        </w:rPr>
        <w:t xml:space="preserve">Each step of the flattening and polishing process was carried out for </w:t>
      </w:r>
      <w:r>
        <w:t xml:space="preserve">60 </w:t>
      </w:r>
      <w:r>
        <w:rPr>
          <w:color w:val="000000"/>
        </w:rPr>
        <w:t>seconds</w:t>
      </w:r>
      <w:r>
        <w:t>.</w:t>
      </w:r>
    </w:p>
    <w:p w14:paraId="2FC97AE6" w14:textId="77777777"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bookmarkStart w:id="1" w:name="_heading=h.30j0zll"/>
      <w:bookmarkEnd w:id="1"/>
      <w:r>
        <w:rPr>
          <w:color w:val="000000"/>
        </w:rPr>
        <w:t xml:space="preserve">All specimens were analyzed with a </w:t>
      </w:r>
      <w:r>
        <w:t>40X</w:t>
      </w:r>
      <w:r>
        <w:rPr>
          <w:color w:val="000000"/>
        </w:rPr>
        <w:t xml:space="preserve"> magnification stereoscopic magnifying glass </w:t>
      </w:r>
      <w:r>
        <w:t>(</w:t>
      </w:r>
      <w:proofErr w:type="spellStart"/>
      <w:r>
        <w:t>StereoZoom</w:t>
      </w:r>
      <w:proofErr w:type="spellEnd"/>
      <w:r>
        <w:rPr>
          <w:vertAlign w:val="superscript"/>
        </w:rPr>
        <w:t>®</w:t>
      </w:r>
      <w:r>
        <w:t xml:space="preserve"> Leica S8 APO, Leica Microsystems, Wetzlar, Germany) </w:t>
      </w:r>
      <w:r>
        <w:rPr>
          <w:color w:val="000000"/>
        </w:rPr>
        <w:t>to ensure that they were exclusively enamel, without cracks, and without exposed dentin areas</w:t>
      </w:r>
      <w:r>
        <w:t xml:space="preserve">. </w:t>
      </w:r>
      <w:r>
        <w:rPr>
          <w:color w:val="000000"/>
        </w:rPr>
        <w:t xml:space="preserve">Subsequently, the specimens were randomly divided using the </w:t>
      </w:r>
      <w:r>
        <w:t xml:space="preserve">Excel </w:t>
      </w:r>
      <w:r>
        <w:rPr>
          <w:color w:val="000000"/>
        </w:rPr>
        <w:t>program</w:t>
      </w:r>
      <w:r>
        <w:t xml:space="preserve"> (Excel 2019, Microsoft Corporation, One Microsoft Way, Redmond, WA, USA) </w:t>
      </w:r>
      <w:r>
        <w:rPr>
          <w:color w:val="000000"/>
        </w:rPr>
        <w:t>into</w:t>
      </w:r>
      <w:r>
        <w:t xml:space="preserve"> 6 </w:t>
      </w:r>
      <w:r>
        <w:rPr>
          <w:color w:val="000000"/>
        </w:rPr>
        <w:t>groups</w:t>
      </w:r>
      <w:r>
        <w:t xml:space="preserve"> (</w:t>
      </w:r>
      <w:r>
        <w:rPr>
          <w:i/>
        </w:rPr>
        <w:t>n</w:t>
      </w:r>
      <w:r>
        <w:t xml:space="preserve">=5), </w:t>
      </w:r>
      <w:r>
        <w:rPr>
          <w:color w:val="000000"/>
        </w:rPr>
        <w:t>according to the evaluated beverages</w:t>
      </w:r>
      <w:r>
        <w:t xml:space="preserve">: </w:t>
      </w:r>
      <w:r>
        <w:rPr>
          <w:color w:val="000000"/>
        </w:rPr>
        <w:t xml:space="preserve">distilled water </w:t>
      </w:r>
      <w:r>
        <w:t xml:space="preserve">(control), </w:t>
      </w:r>
      <w:r>
        <w:rPr>
          <w:color w:val="000000"/>
        </w:rPr>
        <w:t>cola-based soft drink, wine, acai, coffee, and dark beer</w:t>
      </w:r>
      <w:r>
        <w:t>.</w:t>
      </w:r>
    </w:p>
    <w:p w14:paraId="5F7C9F92" w14:textId="6CFA1AAB"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r>
        <w:rPr>
          <w:color w:val="000000"/>
        </w:rPr>
        <w:t xml:space="preserve">Initially, the color of each specimen was assessed </w:t>
      </w:r>
      <w:r>
        <w:t xml:space="preserve">(baseline) </w:t>
      </w:r>
      <w:r>
        <w:rPr>
          <w:color w:val="000000"/>
        </w:rPr>
        <w:t xml:space="preserve">with the aid of a spectrophotometer </w:t>
      </w:r>
      <w:r>
        <w:t xml:space="preserve">(VITA </w:t>
      </w:r>
      <w:proofErr w:type="spellStart"/>
      <w:r>
        <w:t>Easyshade</w:t>
      </w:r>
      <w:proofErr w:type="spellEnd"/>
      <w:r>
        <w:rPr>
          <w:vertAlign w:val="superscript"/>
        </w:rPr>
        <w:t>®</w:t>
      </w:r>
      <w:r>
        <w:t xml:space="preserve"> Advance 4.0, </w:t>
      </w:r>
      <w:proofErr w:type="spellStart"/>
      <w:r>
        <w:t>Vident</w:t>
      </w:r>
      <w:proofErr w:type="spellEnd"/>
      <w:r>
        <w:t xml:space="preserve">, Brea, CA, USA) </w:t>
      </w:r>
      <w:r>
        <w:rPr>
          <w:color w:val="000000"/>
        </w:rPr>
        <w:t xml:space="preserve">and, afterward, they were individually submerged in </w:t>
      </w:r>
      <w:r>
        <w:t xml:space="preserve">5 mL </w:t>
      </w:r>
      <w:r>
        <w:rPr>
          <w:color w:val="000000"/>
        </w:rPr>
        <w:t xml:space="preserve">of the respective beverage at </w:t>
      </w:r>
      <w:r>
        <w:t xml:space="preserve">37°C </w:t>
      </w:r>
      <w:r>
        <w:rPr>
          <w:color w:val="000000"/>
        </w:rPr>
        <w:t>for</w:t>
      </w:r>
      <w:r>
        <w:t xml:space="preserve"> 6 hours/day, for </w:t>
      </w:r>
      <w:r>
        <w:rPr>
          <w:color w:val="000000"/>
        </w:rPr>
        <w:t xml:space="preserve">up to a total of </w:t>
      </w:r>
      <w:r>
        <w:t xml:space="preserve">30 days. </w:t>
      </w:r>
      <w:r>
        <w:rPr>
          <w:color w:val="000000"/>
        </w:rPr>
        <w:t xml:space="preserve">In the immersion intervals, the samples were maintained in artificial saliva at </w:t>
      </w:r>
      <w:r>
        <w:t>37°C.</w:t>
      </w:r>
      <w:r>
        <w:rPr>
          <w:color w:val="FF0000"/>
        </w:rPr>
        <w:t xml:space="preserve"> </w:t>
      </w:r>
      <w:r>
        <w:rPr>
          <w:color w:val="000000"/>
        </w:rPr>
        <w:t>The coffee was prepared, according to the manufacturer’s instructions, in the proportion of 8 mg of ground coffee in 50 mL of warm water. As for the acai preparation, 100 g of pulp was used in 200 mL of ice water, according to the manufacturer’s instructions. In order to prevent possible chemical alterations in the beverages, they were replaced every 24 hours</w:t>
      </w:r>
      <w:r w:rsidR="00992D03">
        <w:rPr>
          <w:color w:val="000000"/>
        </w:rPr>
        <w:t xml:space="preserve"> (Karadas M, Seven N, 2014).</w:t>
      </w:r>
    </w:p>
    <w:p w14:paraId="4B0291F5" w14:textId="77777777"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425"/>
        <w:jc w:val="both"/>
      </w:pPr>
      <w:bookmarkStart w:id="2" w:name="_heading=h.1fob9te"/>
      <w:bookmarkEnd w:id="2"/>
      <w:r>
        <w:rPr>
          <w:color w:val="000000"/>
        </w:rPr>
        <w:t xml:space="preserve">After 30 days, the specimens were removed from the vials containing the coloring beverage and washed with distilled water for 20 seconds. Subsequently, they were carefully dried with a water- and oil-free air blaster for </w:t>
      </w:r>
      <w:r>
        <w:t xml:space="preserve">10 </w:t>
      </w:r>
      <w:r>
        <w:rPr>
          <w:color w:val="000000"/>
        </w:rPr>
        <w:t>seconds</w:t>
      </w:r>
      <w:r>
        <w:t xml:space="preserve">, </w:t>
      </w:r>
      <w:r>
        <w:rPr>
          <w:color w:val="000000"/>
        </w:rPr>
        <w:t>after which an intermediate evaluation was conducted using a spectrophotometer</w:t>
      </w:r>
      <w:r>
        <w:t xml:space="preserve">. </w:t>
      </w:r>
    </w:p>
    <w:p w14:paraId="3CA64FC0" w14:textId="77777777" w:rsidR="000819E8" w:rsidRDefault="000819E8" w:rsidP="000819E8">
      <w:pPr>
        <w:spacing w:line="360" w:lineRule="auto"/>
        <w:ind w:firstLine="425"/>
        <w:jc w:val="both"/>
        <w:rPr>
          <w:highlight w:val="white"/>
        </w:rPr>
      </w:pPr>
      <w:r>
        <w:rPr>
          <w:color w:val="000000"/>
        </w:rPr>
        <w:t xml:space="preserve">Each specimen was inserted in a mechanical brushing machine </w:t>
      </w:r>
      <w:r>
        <w:rPr>
          <w:highlight w:val="white"/>
        </w:rPr>
        <w:t>(</w:t>
      </w:r>
      <w:r>
        <w:rPr>
          <w:color w:val="000000"/>
        </w:rPr>
        <w:t>Brushing machine</w:t>
      </w:r>
      <w:r>
        <w:rPr>
          <w:highlight w:val="white"/>
        </w:rPr>
        <w:t xml:space="preserve"> - XY movement, </w:t>
      </w:r>
      <w:proofErr w:type="spellStart"/>
      <w:r>
        <w:rPr>
          <w:highlight w:val="white"/>
        </w:rPr>
        <w:t>Biopdi</w:t>
      </w:r>
      <w:proofErr w:type="spellEnd"/>
      <w:r>
        <w:rPr>
          <w:highlight w:val="white"/>
        </w:rPr>
        <w:t xml:space="preserve">, São Carlos, SP, </w:t>
      </w:r>
      <w:proofErr w:type="spellStart"/>
      <w:r>
        <w:rPr>
          <w:highlight w:val="white"/>
        </w:rPr>
        <w:t>Brasil</w:t>
      </w:r>
      <w:proofErr w:type="spellEnd"/>
      <w:r>
        <w:rPr>
          <w:highlight w:val="white"/>
        </w:rPr>
        <w:t xml:space="preserve">) </w:t>
      </w:r>
      <w:r>
        <w:rPr>
          <w:color w:val="000000"/>
        </w:rPr>
        <w:t xml:space="preserve">and immersed in </w:t>
      </w:r>
      <w:r>
        <w:rPr>
          <w:highlight w:val="white"/>
        </w:rPr>
        <w:t xml:space="preserve">5 mL </w:t>
      </w:r>
      <w:r>
        <w:rPr>
          <w:color w:val="000000"/>
        </w:rPr>
        <w:t>of a solution containing BC-based whitening dentifrice</w:t>
      </w:r>
      <w:r>
        <w:rPr>
          <w:highlight w:val="white"/>
        </w:rPr>
        <w:t xml:space="preserve"> (Close Up White Now Glacier Fresh; Unilever, São Paulo, SP, Brazil), </w:t>
      </w:r>
      <w:r>
        <w:rPr>
          <w:color w:val="000000"/>
        </w:rPr>
        <w:t xml:space="preserve">artificial saliva, and distilled water, obtained by diluting equal volumes of each component </w:t>
      </w:r>
      <w:r>
        <w:rPr>
          <w:highlight w:val="white"/>
        </w:rPr>
        <w:t xml:space="preserve">(1:1:1). </w:t>
      </w:r>
      <w:r>
        <w:rPr>
          <w:color w:val="000000"/>
        </w:rPr>
        <w:t>Next, the specimens were subjected to brushing with a soft-bristled toothbrush</w:t>
      </w:r>
      <w:r>
        <w:rPr>
          <w:highlight w:val="white"/>
        </w:rPr>
        <w:t xml:space="preserve"> </w:t>
      </w:r>
      <w:r>
        <w:rPr>
          <w:color w:val="000000"/>
        </w:rPr>
        <w:t>for</w:t>
      </w:r>
      <w:r>
        <w:rPr>
          <w:highlight w:val="white"/>
        </w:rPr>
        <w:t xml:space="preserve"> 3,150 cycles (150 </w:t>
      </w:r>
      <w:r>
        <w:rPr>
          <w:color w:val="000000"/>
        </w:rPr>
        <w:t>strokes</w:t>
      </w:r>
      <w:r>
        <w:rPr>
          <w:highlight w:val="white"/>
        </w:rPr>
        <w:t xml:space="preserve">/minute, 3 minutes/day, for 7 days, with a 200 g load), </w:t>
      </w:r>
      <w:r>
        <w:rPr>
          <w:color w:val="000000"/>
        </w:rPr>
        <w:t>using a horizontal brushing technique, simulating the toothbrushing recommendations given to patients: 3 times per day, for 1 min</w:t>
      </w:r>
      <w:r>
        <w:rPr>
          <w:highlight w:val="white"/>
        </w:rPr>
        <w:t xml:space="preserve">. </w:t>
      </w:r>
      <w:r>
        <w:rPr>
          <w:color w:val="000000"/>
        </w:rPr>
        <w:t>After each cycle, the specimens were washed in running water and stored in artificial saliva</w:t>
      </w:r>
      <w:r>
        <w:rPr>
          <w:highlight w:val="white"/>
        </w:rPr>
        <w:t>.</w:t>
      </w:r>
    </w:p>
    <w:p w14:paraId="534E5A3B" w14:textId="77777777" w:rsidR="000819E8" w:rsidRDefault="000819E8" w:rsidP="000819E8">
      <w:pPr>
        <w:spacing w:line="360" w:lineRule="auto"/>
        <w:ind w:firstLine="425"/>
        <w:jc w:val="both"/>
        <w:rPr>
          <w:color w:val="000000"/>
        </w:rPr>
      </w:pPr>
      <w:r>
        <w:rPr>
          <w:color w:val="000000"/>
        </w:rPr>
        <w:t xml:space="preserve">After brushing, a final evaluation was carried out with a spectrophotometer that measured color using values corresponding to the CIE L* a* b* scale. In this system, L* indicates luminosity, and a* and b* the hue, with a* representing saturation on the red-green axis and b* on the blue-yellow axis. </w:t>
      </w:r>
    </w:p>
    <w:p w14:paraId="7FE86F55" w14:textId="77777777" w:rsidR="000819E8" w:rsidRDefault="000819E8" w:rsidP="000819E8">
      <w:pPr>
        <w:spacing w:line="360" w:lineRule="auto"/>
        <w:ind w:firstLine="708"/>
        <w:jc w:val="both"/>
        <w:rPr>
          <w:color w:val="000000"/>
        </w:rPr>
      </w:pPr>
      <w:r>
        <w:rPr>
          <w:color w:val="000000"/>
        </w:rPr>
        <w:lastRenderedPageBreak/>
        <w:t xml:space="preserve">The comparison of color before and after the specimens were exposed to the beverages and the brushing procedure was based on the color difference or ΔE, represented by the equation: </w:t>
      </w:r>
    </w:p>
    <w:p w14:paraId="13041148" w14:textId="77777777" w:rsidR="000819E8" w:rsidRDefault="000819E8" w:rsidP="000819E8">
      <w:pPr>
        <w:spacing w:line="360" w:lineRule="auto"/>
        <w:jc w:val="both"/>
        <w:rPr>
          <w:color w:val="000000"/>
        </w:rPr>
      </w:pPr>
    </w:p>
    <w:p w14:paraId="1E17C54F" w14:textId="77777777" w:rsidR="000819E8" w:rsidRDefault="000819E8" w:rsidP="000819E8">
      <w:pPr>
        <w:spacing w:line="360" w:lineRule="auto"/>
        <w:jc w:val="both"/>
        <w:rPr>
          <w:color w:val="000000"/>
        </w:rPr>
      </w:pPr>
      <w:r>
        <w:rPr>
          <w:color w:val="000000"/>
        </w:rPr>
        <w:t>ΔE ab = [(ΔL )</w:t>
      </w:r>
      <w:r>
        <w:rPr>
          <w:color w:val="000000"/>
          <w:vertAlign w:val="superscript"/>
        </w:rPr>
        <w:t>2</w:t>
      </w:r>
      <w:r>
        <w:rPr>
          <w:color w:val="000000"/>
        </w:rPr>
        <w:t xml:space="preserve"> + (</w:t>
      </w:r>
      <w:proofErr w:type="spellStart"/>
      <w:r>
        <w:rPr>
          <w:color w:val="000000"/>
        </w:rPr>
        <w:t>Δa</w:t>
      </w:r>
      <w:proofErr w:type="spellEnd"/>
      <w:r>
        <w:rPr>
          <w:color w:val="000000"/>
        </w:rPr>
        <w:t xml:space="preserve"> )</w:t>
      </w:r>
      <w:r>
        <w:rPr>
          <w:color w:val="000000"/>
          <w:vertAlign w:val="superscript"/>
        </w:rPr>
        <w:t>2</w:t>
      </w:r>
      <w:r>
        <w:rPr>
          <w:color w:val="000000"/>
        </w:rPr>
        <w:t>+ (</w:t>
      </w:r>
      <w:proofErr w:type="spellStart"/>
      <w:r>
        <w:rPr>
          <w:color w:val="000000"/>
        </w:rPr>
        <w:t>Δb</w:t>
      </w:r>
      <w:proofErr w:type="spellEnd"/>
      <w:r>
        <w:rPr>
          <w:color w:val="000000"/>
        </w:rPr>
        <w:t xml:space="preserve"> )</w:t>
      </w:r>
      <w:r>
        <w:rPr>
          <w:color w:val="000000"/>
          <w:vertAlign w:val="superscript"/>
        </w:rPr>
        <w:t>2</w:t>
      </w:r>
      <w:r>
        <w:rPr>
          <w:color w:val="000000"/>
        </w:rPr>
        <w:t xml:space="preserve"> </w:t>
      </w:r>
      <w:r>
        <w:rPr>
          <w:color w:val="000000"/>
          <w:vertAlign w:val="superscript"/>
        </w:rPr>
        <w:t>]0.5</w:t>
      </w:r>
    </w:p>
    <w:p w14:paraId="10F92C7D" w14:textId="77777777"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60" w:lineRule="auto"/>
        <w:ind w:firstLine="708"/>
        <w:jc w:val="both"/>
      </w:pPr>
    </w:p>
    <w:p w14:paraId="422C6125" w14:textId="1D5F787A" w:rsidR="000819E8" w:rsidRDefault="000819E8" w:rsidP="000819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60" w:lineRule="auto"/>
        <w:ind w:firstLine="425"/>
        <w:jc w:val="both"/>
      </w:pPr>
      <w:bookmarkStart w:id="3" w:name="_heading=h.3znysh7"/>
      <w:bookmarkEnd w:id="3"/>
      <w:r>
        <w:rPr>
          <w:color w:val="000000"/>
        </w:rPr>
        <w:t>All of the specimens’ color spectra readings were standardized regarding the location of the evaluated specimen, luminosity, temperature, and ambient humidity</w:t>
      </w:r>
      <w:r>
        <w:t xml:space="preserve">. </w:t>
      </w:r>
      <w:r>
        <w:rPr>
          <w:color w:val="000000"/>
        </w:rPr>
        <w:t xml:space="preserve">The measuring aperture was set and positioned perpendicularly to the enamel surface. When the value of </w:t>
      </w:r>
      <w:r>
        <w:t xml:space="preserve">ΔE </w:t>
      </w:r>
      <w:r>
        <w:rPr>
          <w:color w:val="000000"/>
        </w:rPr>
        <w:t xml:space="preserve">was greater than </w:t>
      </w:r>
      <w:r>
        <w:t xml:space="preserve">3.7, the </w:t>
      </w:r>
      <w:r>
        <w:rPr>
          <w:color w:val="000000"/>
        </w:rPr>
        <w:t xml:space="preserve">color variation was considered easily clinically visible. Values between </w:t>
      </w:r>
      <w:r>
        <w:t xml:space="preserve">3.7 and 1 </w:t>
      </w:r>
      <w:r>
        <w:rPr>
          <w:color w:val="000000"/>
        </w:rPr>
        <w:t>were considered a clinically acceptable color difference</w:t>
      </w:r>
      <w:r>
        <w:t xml:space="preserve">. </w:t>
      </w:r>
      <w:r>
        <w:rPr>
          <w:color w:val="000000"/>
        </w:rPr>
        <w:t>On the other hand</w:t>
      </w:r>
      <w:r>
        <w:t xml:space="preserve">, ΔE </w:t>
      </w:r>
      <w:r>
        <w:rPr>
          <w:color w:val="000000"/>
        </w:rPr>
        <w:t xml:space="preserve">values less than </w:t>
      </w:r>
      <w:r>
        <w:t xml:space="preserve">1 </w:t>
      </w:r>
      <w:r>
        <w:rPr>
          <w:color w:val="000000"/>
        </w:rPr>
        <w:t>were considered clinically imperceptible</w:t>
      </w:r>
      <w:r w:rsidR="00992D03">
        <w:rPr>
          <w:color w:val="000000"/>
        </w:rPr>
        <w:t xml:space="preserve"> </w:t>
      </w:r>
      <w:proofErr w:type="gramStart"/>
      <w:r w:rsidR="00992D03">
        <w:rPr>
          <w:color w:val="000000"/>
        </w:rPr>
        <w:t>( Reis</w:t>
      </w:r>
      <w:proofErr w:type="gramEnd"/>
      <w:r w:rsidR="00992D03">
        <w:rPr>
          <w:color w:val="000000"/>
        </w:rPr>
        <w:t xml:space="preserve"> et al., 1996).</w:t>
      </w:r>
      <w:r>
        <w:rPr>
          <w:color w:val="FF0000"/>
          <w:vertAlign w:val="superscript"/>
        </w:rPr>
        <w:t xml:space="preserve"> </w:t>
      </w:r>
    </w:p>
    <w:p w14:paraId="3B97A8F3" w14:textId="77777777" w:rsidR="000819E8" w:rsidRDefault="000819E8" w:rsidP="000819E8">
      <w:pPr>
        <w:spacing w:line="360" w:lineRule="auto"/>
        <w:ind w:firstLine="425"/>
        <w:jc w:val="both"/>
        <w:rPr>
          <w:color w:val="000000"/>
        </w:rPr>
      </w:pPr>
      <w:r>
        <w:rPr>
          <w:color w:val="000000"/>
        </w:rPr>
        <w:t xml:space="preserve">Statistical analysis was performed using the </w:t>
      </w:r>
      <w:proofErr w:type="spellStart"/>
      <w:r>
        <w:t>SigmaStat</w:t>
      </w:r>
      <w:proofErr w:type="spellEnd"/>
      <w:r>
        <w:t xml:space="preserve"> 3.5 </w:t>
      </w:r>
      <w:r>
        <w:rPr>
          <w:color w:val="000000"/>
        </w:rPr>
        <w:t>program</w:t>
      </w:r>
      <w:r>
        <w:t xml:space="preserve"> (</w:t>
      </w:r>
      <w:proofErr w:type="spellStart"/>
      <w:r>
        <w:rPr>
          <w:highlight w:val="white"/>
        </w:rPr>
        <w:t>Systat</w:t>
      </w:r>
      <w:proofErr w:type="spellEnd"/>
      <w:r>
        <w:rPr>
          <w:highlight w:val="white"/>
        </w:rPr>
        <w:t xml:space="preserve"> Software Inc., San Jose, CA, USA</w:t>
      </w:r>
      <w:r>
        <w:t xml:space="preserve">). </w:t>
      </w:r>
      <w:r>
        <w:rPr>
          <w:color w:val="000000"/>
        </w:rPr>
        <w:t xml:space="preserve">All data were analyzed using the Analysis of Variance (ANOVA) test, and </w:t>
      </w:r>
      <w:r>
        <w:rPr>
          <w:i/>
          <w:color w:val="000000"/>
        </w:rPr>
        <w:t>post-hoc</w:t>
      </w:r>
      <w:r>
        <w:rPr>
          <w:color w:val="000000"/>
        </w:rPr>
        <w:t xml:space="preserve"> comparisons were conducted using the </w:t>
      </w:r>
      <w:r>
        <w:t xml:space="preserve">Student-Newman-Keuls </w:t>
      </w:r>
      <w:r>
        <w:rPr>
          <w:color w:val="000000"/>
        </w:rPr>
        <w:t>test. The adopted level of significance was p&lt;0.05.</w:t>
      </w:r>
    </w:p>
    <w:p w14:paraId="3A1CBAD0" w14:textId="77777777" w:rsidR="00790ADA" w:rsidRPr="00FB3A86" w:rsidRDefault="00790ADA" w:rsidP="00441B6F">
      <w:pPr>
        <w:pStyle w:val="Body"/>
        <w:spacing w:after="0"/>
        <w:rPr>
          <w:rFonts w:ascii="Arial" w:hAnsi="Arial" w:cs="Arial"/>
        </w:rPr>
      </w:pPr>
    </w:p>
    <w:p w14:paraId="37746E6C" w14:textId="77777777" w:rsidR="00790ADA" w:rsidRPr="00FB3A86" w:rsidRDefault="00790ADA" w:rsidP="00441B6F">
      <w:pPr>
        <w:pStyle w:val="Body"/>
        <w:spacing w:after="0"/>
        <w:rPr>
          <w:rFonts w:ascii="Arial" w:hAnsi="Arial" w:cs="Arial"/>
        </w:rPr>
      </w:pPr>
    </w:p>
    <w:p w14:paraId="08BCFCC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3AA18E" w14:textId="77777777" w:rsidR="00790ADA" w:rsidRPr="00FB3A86" w:rsidRDefault="00790ADA" w:rsidP="00441B6F">
      <w:pPr>
        <w:pStyle w:val="Head1"/>
        <w:spacing w:after="0"/>
        <w:jc w:val="both"/>
        <w:rPr>
          <w:rFonts w:ascii="Arial" w:hAnsi="Arial" w:cs="Arial"/>
        </w:rPr>
      </w:pPr>
    </w:p>
    <w:p w14:paraId="063AA123" w14:textId="77777777" w:rsidR="000819E8" w:rsidRDefault="000819E8" w:rsidP="0008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i/>
          <w:color w:val="000000"/>
        </w:rPr>
      </w:pPr>
      <w:r>
        <w:rPr>
          <w:i/>
          <w:color w:val="000000"/>
        </w:rPr>
        <w:t>Enamel color evaluation after immersion in coloring beverages</w:t>
      </w:r>
    </w:p>
    <w:p w14:paraId="12447FD4" w14:textId="77777777" w:rsidR="000819E8" w:rsidRDefault="000819E8" w:rsidP="000819E8">
      <w:pPr>
        <w:spacing w:line="360" w:lineRule="auto"/>
        <w:jc w:val="both"/>
      </w:pPr>
    </w:p>
    <w:p w14:paraId="68E89FC3" w14:textId="77777777" w:rsidR="000819E8" w:rsidRDefault="000819E8" w:rsidP="000819E8">
      <w:pPr>
        <w:spacing w:line="360" w:lineRule="auto"/>
        <w:ind w:firstLine="425"/>
        <w:jc w:val="both"/>
      </w:pPr>
      <w:r>
        <w:rPr>
          <w:color w:val="000000"/>
        </w:rPr>
        <w:t xml:space="preserve">The data obtained from the evaluation of the parameters </w:t>
      </w:r>
      <w:r>
        <w:t xml:space="preserve">ΔL, </w:t>
      </w:r>
      <w:proofErr w:type="spellStart"/>
      <w:r>
        <w:t>Δa</w:t>
      </w:r>
      <w:proofErr w:type="spellEnd"/>
      <w:r>
        <w:t xml:space="preserve">, </w:t>
      </w:r>
      <w:proofErr w:type="spellStart"/>
      <w:r>
        <w:t>Δb</w:t>
      </w:r>
      <w:proofErr w:type="spellEnd"/>
      <w:r>
        <w:t xml:space="preserve">, and ΔE </w:t>
      </w:r>
      <w:r>
        <w:rPr>
          <w:color w:val="000000"/>
        </w:rPr>
        <w:t xml:space="preserve">are shown in Table </w:t>
      </w:r>
      <w:r>
        <w:t>1.</w:t>
      </w:r>
    </w:p>
    <w:p w14:paraId="3F45DB13" w14:textId="77777777" w:rsidR="000819E8" w:rsidRDefault="000819E8" w:rsidP="000819E8">
      <w:pPr>
        <w:spacing w:line="360" w:lineRule="auto"/>
        <w:jc w:val="both"/>
      </w:pPr>
    </w:p>
    <w:p w14:paraId="75F23C91" w14:textId="77777777" w:rsidR="000819E8" w:rsidRDefault="000819E8" w:rsidP="000819E8">
      <w:pPr>
        <w:spacing w:line="360" w:lineRule="auto"/>
        <w:jc w:val="both"/>
      </w:pPr>
      <w:r>
        <w:rPr>
          <w:color w:val="000000"/>
        </w:rPr>
        <w:t xml:space="preserve">Analysis of </w:t>
      </w:r>
      <w:r>
        <w:t xml:space="preserve">ΔL </w:t>
      </w:r>
      <w:r>
        <w:rPr>
          <w:color w:val="000000"/>
        </w:rPr>
        <w:t>values (variation in brightness</w:t>
      </w:r>
      <w:r>
        <w:t>)</w:t>
      </w:r>
    </w:p>
    <w:p w14:paraId="690A909E" w14:textId="77777777" w:rsidR="000819E8" w:rsidRDefault="000819E8" w:rsidP="000819E8">
      <w:pPr>
        <w:spacing w:line="360" w:lineRule="auto"/>
        <w:jc w:val="both"/>
        <w:rPr>
          <w:i/>
        </w:rPr>
      </w:pPr>
    </w:p>
    <w:p w14:paraId="555AE6AC" w14:textId="77777777" w:rsidR="000819E8" w:rsidRDefault="000819E8" w:rsidP="000819E8">
      <w:pPr>
        <w:spacing w:line="360" w:lineRule="auto"/>
        <w:ind w:firstLine="425"/>
        <w:jc w:val="both"/>
      </w:pPr>
      <w:bookmarkStart w:id="4" w:name="_heading=h.2et92p0"/>
      <w:bookmarkEnd w:id="4"/>
      <w:r>
        <w:rPr>
          <w:color w:val="000000"/>
        </w:rPr>
        <w:t>All groups presented negative results, indicating that the specimens became darker after exposure to the beverages</w:t>
      </w:r>
      <w:r>
        <w:t xml:space="preserve">. </w:t>
      </w:r>
      <w:r>
        <w:rPr>
          <w:color w:val="000000"/>
        </w:rPr>
        <w:t xml:space="preserve">No statistical difference was observed among the samples exposed to distilled water, the cola-based soft drink, and dark beer </w:t>
      </w:r>
      <w:r>
        <w:t xml:space="preserve">(p&gt;0.05). </w:t>
      </w:r>
      <w:r>
        <w:rPr>
          <w:color w:val="000000"/>
        </w:rPr>
        <w:t xml:space="preserve">Those exposed to wine, acai, and coffee had significantly lower ΔL values </w:t>
      </w:r>
      <w:r>
        <w:t xml:space="preserve">(p&lt;0.05); </w:t>
      </w:r>
      <w:r>
        <w:rPr>
          <w:color w:val="000000"/>
        </w:rPr>
        <w:t>therefore, they became darker than specimens from the other groups</w:t>
      </w:r>
      <w:r>
        <w:t>.</w:t>
      </w:r>
    </w:p>
    <w:p w14:paraId="1B503632" w14:textId="77777777" w:rsidR="000819E8" w:rsidRDefault="000819E8" w:rsidP="000819E8">
      <w:pPr>
        <w:spacing w:line="360" w:lineRule="auto"/>
        <w:ind w:firstLine="708"/>
        <w:jc w:val="both"/>
      </w:pPr>
      <w:r>
        <w:t xml:space="preserve"> </w:t>
      </w:r>
    </w:p>
    <w:p w14:paraId="6F3BCA3E" w14:textId="77777777" w:rsidR="000819E8" w:rsidRDefault="000819E8" w:rsidP="000819E8">
      <w:pPr>
        <w:spacing w:line="360" w:lineRule="auto"/>
        <w:jc w:val="both"/>
      </w:pPr>
      <w:r>
        <w:rPr>
          <w:color w:val="000000"/>
        </w:rPr>
        <w:t xml:space="preserve">Analysis of </w:t>
      </w:r>
      <w:proofErr w:type="spellStart"/>
      <w:r>
        <w:t>Δa</w:t>
      </w:r>
      <w:proofErr w:type="spellEnd"/>
      <w:r>
        <w:t xml:space="preserve"> </w:t>
      </w:r>
      <w:r>
        <w:rPr>
          <w:color w:val="000000"/>
        </w:rPr>
        <w:t>values (red-green axis variation</w:t>
      </w:r>
      <w:r>
        <w:t>)</w:t>
      </w:r>
    </w:p>
    <w:p w14:paraId="63CAA18F" w14:textId="77777777" w:rsidR="000819E8" w:rsidRDefault="000819E8" w:rsidP="000819E8">
      <w:pPr>
        <w:spacing w:line="360" w:lineRule="auto"/>
        <w:ind w:firstLine="425"/>
        <w:jc w:val="both"/>
      </w:pPr>
      <w:bookmarkStart w:id="5" w:name="_heading=h.tyjcwt"/>
      <w:bookmarkEnd w:id="5"/>
      <w:r>
        <w:rPr>
          <w:color w:val="000000"/>
        </w:rPr>
        <w:lastRenderedPageBreak/>
        <w:t xml:space="preserve">There was no statistical difference among the </w:t>
      </w:r>
      <w:proofErr w:type="spellStart"/>
      <w:r>
        <w:t>Δa</w:t>
      </w:r>
      <w:proofErr w:type="spellEnd"/>
      <w:r>
        <w:t xml:space="preserve"> </w:t>
      </w:r>
      <w:r>
        <w:rPr>
          <w:color w:val="000000"/>
        </w:rPr>
        <w:t xml:space="preserve">values of all groups tested </w:t>
      </w:r>
      <w:r>
        <w:t xml:space="preserve">(p&gt;0.05). </w:t>
      </w:r>
      <w:r>
        <w:rPr>
          <w:color w:val="000000"/>
        </w:rPr>
        <w:t xml:space="preserve">All groups had positive </w:t>
      </w:r>
      <w:proofErr w:type="spellStart"/>
      <w:r>
        <w:t>Δa</w:t>
      </w:r>
      <w:proofErr w:type="spellEnd"/>
      <w:r>
        <w:t xml:space="preserve"> </w:t>
      </w:r>
      <w:r>
        <w:rPr>
          <w:color w:val="000000"/>
        </w:rPr>
        <w:t>results</w:t>
      </w:r>
      <w:r>
        <w:t xml:space="preserve">, </w:t>
      </w:r>
      <w:r>
        <w:rPr>
          <w:color w:val="000000"/>
        </w:rPr>
        <w:t>indicating a shift in the color of the specimens to the red spectrum</w:t>
      </w:r>
      <w:r>
        <w:t>.</w:t>
      </w:r>
    </w:p>
    <w:p w14:paraId="6FA4E0A9" w14:textId="77777777" w:rsidR="000819E8" w:rsidRDefault="000819E8" w:rsidP="000819E8">
      <w:pPr>
        <w:spacing w:line="360" w:lineRule="auto"/>
      </w:pPr>
    </w:p>
    <w:p w14:paraId="234B9AF3" w14:textId="77777777" w:rsidR="000819E8" w:rsidRDefault="000819E8" w:rsidP="000819E8">
      <w:pPr>
        <w:spacing w:line="360" w:lineRule="auto"/>
        <w:jc w:val="both"/>
      </w:pPr>
      <w:r>
        <w:rPr>
          <w:color w:val="000000"/>
        </w:rPr>
        <w:t>Analysis of</w:t>
      </w:r>
      <w:r>
        <w:t xml:space="preserve"> </w:t>
      </w:r>
      <w:proofErr w:type="spellStart"/>
      <w:r>
        <w:t>Δb</w:t>
      </w:r>
      <w:proofErr w:type="spellEnd"/>
      <w:r>
        <w:t xml:space="preserve"> </w:t>
      </w:r>
      <w:r>
        <w:rPr>
          <w:color w:val="000000"/>
        </w:rPr>
        <w:t>values (yellow-blue axis variation</w:t>
      </w:r>
      <w:r>
        <w:t>)</w:t>
      </w:r>
    </w:p>
    <w:p w14:paraId="268410F4" w14:textId="77777777" w:rsidR="000819E8" w:rsidRDefault="000819E8" w:rsidP="000819E8">
      <w:pPr>
        <w:spacing w:line="360" w:lineRule="auto"/>
        <w:jc w:val="both"/>
        <w:rPr>
          <w:i/>
        </w:rPr>
      </w:pPr>
    </w:p>
    <w:p w14:paraId="338B2EB8" w14:textId="77777777" w:rsidR="000819E8" w:rsidRDefault="000819E8" w:rsidP="000819E8">
      <w:pPr>
        <w:spacing w:line="360" w:lineRule="auto"/>
        <w:ind w:firstLine="425"/>
        <w:jc w:val="both"/>
      </w:pPr>
      <w:r>
        <w:rPr>
          <w:color w:val="000000"/>
        </w:rPr>
        <w:t xml:space="preserve">The specimens exposed to wine presented negative </w:t>
      </w:r>
      <w:proofErr w:type="spellStart"/>
      <w:r>
        <w:t>Δb</w:t>
      </w:r>
      <w:proofErr w:type="spellEnd"/>
      <w:r>
        <w:t xml:space="preserve"> </w:t>
      </w:r>
      <w:r>
        <w:rPr>
          <w:color w:val="000000"/>
        </w:rPr>
        <w:t>values, denoting a color shift to the blue spectrum</w:t>
      </w:r>
      <w:r>
        <w:t xml:space="preserve">. </w:t>
      </w:r>
      <w:r>
        <w:rPr>
          <w:color w:val="000000"/>
        </w:rPr>
        <w:t xml:space="preserve">The wine group had significantly lower </w:t>
      </w:r>
      <w:proofErr w:type="spellStart"/>
      <w:r>
        <w:t>Δb</w:t>
      </w:r>
      <w:proofErr w:type="spellEnd"/>
      <w:r>
        <w:rPr>
          <w:color w:val="000000"/>
        </w:rPr>
        <w:t xml:space="preserve"> values compared to the cola-based soft drink, coffee, and dark beer groups</w:t>
      </w:r>
      <w:r>
        <w:t xml:space="preserve"> (p&lt;0.05). </w:t>
      </w:r>
      <w:r>
        <w:rPr>
          <w:color w:val="000000"/>
        </w:rPr>
        <w:t xml:space="preserve">Nonetheless, there was no statistical difference among the distilled water, cola-based soft drink, acai, coffee, and dark beer groups </w:t>
      </w:r>
      <w:r>
        <w:t>(p&gt;0.05).</w:t>
      </w:r>
    </w:p>
    <w:p w14:paraId="7D8C06A8" w14:textId="77777777" w:rsidR="000819E8" w:rsidRDefault="000819E8" w:rsidP="000819E8">
      <w:pPr>
        <w:spacing w:line="360" w:lineRule="auto"/>
        <w:jc w:val="both"/>
      </w:pPr>
    </w:p>
    <w:p w14:paraId="7FE8559C" w14:textId="77777777" w:rsidR="000819E8" w:rsidRDefault="000819E8" w:rsidP="000819E8">
      <w:pPr>
        <w:spacing w:line="360" w:lineRule="auto"/>
        <w:jc w:val="both"/>
      </w:pPr>
      <w:r>
        <w:rPr>
          <w:color w:val="000000"/>
        </w:rPr>
        <w:t xml:space="preserve">Analysis of </w:t>
      </w:r>
      <w:r>
        <w:t xml:space="preserve">ΔE </w:t>
      </w:r>
      <w:r>
        <w:rPr>
          <w:color w:val="000000"/>
        </w:rPr>
        <w:t>values (total color variation</w:t>
      </w:r>
      <w:r>
        <w:t>)</w:t>
      </w:r>
    </w:p>
    <w:p w14:paraId="0F29482C" w14:textId="77777777" w:rsidR="000819E8" w:rsidRDefault="000819E8" w:rsidP="000819E8">
      <w:pPr>
        <w:spacing w:line="360" w:lineRule="auto"/>
        <w:jc w:val="both"/>
        <w:rPr>
          <w:i/>
        </w:rPr>
      </w:pPr>
    </w:p>
    <w:p w14:paraId="3DC27542" w14:textId="77777777" w:rsidR="000819E8" w:rsidRDefault="000819E8" w:rsidP="000819E8">
      <w:pPr>
        <w:spacing w:line="360" w:lineRule="auto"/>
        <w:ind w:firstLine="425"/>
        <w:jc w:val="both"/>
      </w:pPr>
      <w:bookmarkStart w:id="6" w:name="_heading=h.3dy6vkm"/>
      <w:bookmarkEnd w:id="6"/>
      <w:r>
        <w:rPr>
          <w:color w:val="000000"/>
        </w:rPr>
        <w:t xml:space="preserve">The lowest </w:t>
      </w:r>
      <w:r>
        <w:t xml:space="preserve">ΔE </w:t>
      </w:r>
      <w:r>
        <w:rPr>
          <w:color w:val="000000"/>
        </w:rPr>
        <w:t>values were observed in the distilled water group</w:t>
      </w:r>
      <w:r>
        <w:t xml:space="preserve"> (p&lt;0.05). </w:t>
      </w:r>
      <w:r>
        <w:rPr>
          <w:color w:val="000000"/>
        </w:rPr>
        <w:t xml:space="preserve">No statistical difference was found among the </w:t>
      </w:r>
      <w:r>
        <w:t xml:space="preserve">ΔE </w:t>
      </w:r>
      <w:r>
        <w:rPr>
          <w:color w:val="000000"/>
        </w:rPr>
        <w:t xml:space="preserve">values of the specimens stained with the cola-based soft drink, wine, acai, and coffee </w:t>
      </w:r>
      <w:r>
        <w:t xml:space="preserve">(p&gt;0.05). </w:t>
      </w:r>
      <w:r>
        <w:rPr>
          <w:color w:val="000000"/>
        </w:rPr>
        <w:t xml:space="preserve">However, there was a significant difference between the wine and dark beer groups </w:t>
      </w:r>
      <w:r>
        <w:t xml:space="preserve">(p&lt;0.05). </w:t>
      </w:r>
      <w:r>
        <w:rPr>
          <w:color w:val="000000"/>
        </w:rPr>
        <w:t xml:space="preserve">All groups, with the exception of the distilled water group, had a </w:t>
      </w:r>
      <w:r>
        <w:t xml:space="preserve">ΔE </w:t>
      </w:r>
      <w:r>
        <w:rPr>
          <w:color w:val="000000"/>
        </w:rPr>
        <w:t xml:space="preserve">greater than </w:t>
      </w:r>
      <w:r>
        <w:t xml:space="preserve">3.7; </w:t>
      </w:r>
      <w:r>
        <w:rPr>
          <w:color w:val="000000"/>
        </w:rPr>
        <w:t>therefore, they presented clinically visible color variations</w:t>
      </w:r>
      <w:r>
        <w:t>.</w:t>
      </w:r>
    </w:p>
    <w:p w14:paraId="6819446F" w14:textId="77777777" w:rsidR="000819E8" w:rsidRDefault="000819E8" w:rsidP="000819E8">
      <w:pPr>
        <w:spacing w:line="360" w:lineRule="auto"/>
        <w:jc w:val="both"/>
      </w:pPr>
    </w:p>
    <w:p w14:paraId="2C633FE6" w14:textId="77777777" w:rsidR="000819E8" w:rsidRDefault="000819E8" w:rsidP="000819E8">
      <w:pPr>
        <w:spacing w:line="360" w:lineRule="auto"/>
        <w:jc w:val="both"/>
      </w:pPr>
      <w:r>
        <w:rPr>
          <w:i/>
          <w:color w:val="000000"/>
        </w:rPr>
        <w:t>Enamel color evaluation after treatment with BC</w:t>
      </w:r>
    </w:p>
    <w:p w14:paraId="769731C5" w14:textId="77777777" w:rsidR="000819E8" w:rsidRDefault="000819E8" w:rsidP="000819E8">
      <w:pPr>
        <w:spacing w:line="360" w:lineRule="auto"/>
        <w:jc w:val="both"/>
      </w:pPr>
    </w:p>
    <w:p w14:paraId="215D3CE4" w14:textId="77777777" w:rsidR="000819E8" w:rsidRDefault="000819E8" w:rsidP="000819E8">
      <w:pPr>
        <w:spacing w:line="360" w:lineRule="auto"/>
        <w:ind w:firstLine="425"/>
        <w:jc w:val="both"/>
      </w:pPr>
      <w:r>
        <w:rPr>
          <w:color w:val="000000"/>
        </w:rPr>
        <w:t xml:space="preserve">The data obtained from the evaluation of the parameters </w:t>
      </w:r>
      <w:r>
        <w:t xml:space="preserve">ΔL*, </w:t>
      </w:r>
      <w:proofErr w:type="spellStart"/>
      <w:r>
        <w:t>Δa</w:t>
      </w:r>
      <w:proofErr w:type="spellEnd"/>
      <w:r>
        <w:t xml:space="preserve">*, </w:t>
      </w:r>
      <w:proofErr w:type="spellStart"/>
      <w:r>
        <w:t>Δb</w:t>
      </w:r>
      <w:proofErr w:type="spellEnd"/>
      <w:r>
        <w:t xml:space="preserve">*, and ΔE* </w:t>
      </w:r>
      <w:r>
        <w:rPr>
          <w:color w:val="000000"/>
        </w:rPr>
        <w:t xml:space="preserve">are shown in Table </w:t>
      </w:r>
      <w:r>
        <w:t>2.</w:t>
      </w:r>
    </w:p>
    <w:p w14:paraId="10F5C714" w14:textId="77777777" w:rsidR="000819E8" w:rsidRDefault="000819E8" w:rsidP="000819E8">
      <w:pPr>
        <w:spacing w:line="360" w:lineRule="auto"/>
        <w:jc w:val="both"/>
      </w:pPr>
    </w:p>
    <w:p w14:paraId="3FE31259" w14:textId="77777777" w:rsidR="000819E8" w:rsidRDefault="000819E8" w:rsidP="000819E8">
      <w:pPr>
        <w:spacing w:line="360" w:lineRule="auto"/>
        <w:jc w:val="both"/>
      </w:pPr>
      <w:r>
        <w:rPr>
          <w:color w:val="000000"/>
        </w:rPr>
        <w:t xml:space="preserve">Analysis of </w:t>
      </w:r>
      <w:r>
        <w:t xml:space="preserve">ΔL* </w:t>
      </w:r>
      <w:r>
        <w:rPr>
          <w:color w:val="000000"/>
        </w:rPr>
        <w:t>values (variation in brightness</w:t>
      </w:r>
      <w:r>
        <w:t>)</w:t>
      </w:r>
    </w:p>
    <w:p w14:paraId="0543B022" w14:textId="77777777" w:rsidR="000819E8" w:rsidRDefault="000819E8" w:rsidP="000819E8">
      <w:pPr>
        <w:spacing w:line="360" w:lineRule="auto"/>
        <w:jc w:val="both"/>
        <w:rPr>
          <w:i/>
        </w:rPr>
      </w:pPr>
    </w:p>
    <w:p w14:paraId="10C8CCFD" w14:textId="77777777" w:rsidR="000819E8" w:rsidRDefault="000819E8" w:rsidP="000819E8">
      <w:pPr>
        <w:spacing w:line="360" w:lineRule="auto"/>
        <w:ind w:firstLine="425"/>
        <w:jc w:val="both"/>
      </w:pPr>
      <w:r>
        <w:rPr>
          <w:color w:val="000000"/>
        </w:rPr>
        <w:t xml:space="preserve">There was no statistical difference among groups </w:t>
      </w:r>
      <w:r>
        <w:t>(p&gt;0.05).</w:t>
      </w:r>
    </w:p>
    <w:p w14:paraId="026CC813" w14:textId="77777777" w:rsidR="000819E8" w:rsidRDefault="000819E8" w:rsidP="000819E8">
      <w:pPr>
        <w:spacing w:line="360" w:lineRule="auto"/>
        <w:jc w:val="both"/>
      </w:pPr>
      <w:r>
        <w:rPr>
          <w:color w:val="000000"/>
        </w:rPr>
        <w:t xml:space="preserve">Analysis of </w:t>
      </w:r>
      <w:proofErr w:type="spellStart"/>
      <w:r>
        <w:t>Δa</w:t>
      </w:r>
      <w:proofErr w:type="spellEnd"/>
      <w:r>
        <w:t xml:space="preserve">* </w:t>
      </w:r>
      <w:r>
        <w:rPr>
          <w:color w:val="000000"/>
        </w:rPr>
        <w:t>values (red-green axis variation</w:t>
      </w:r>
      <w:r>
        <w:t>)</w:t>
      </w:r>
    </w:p>
    <w:p w14:paraId="2244434A" w14:textId="77777777" w:rsidR="000819E8" w:rsidRDefault="000819E8" w:rsidP="000819E8">
      <w:pPr>
        <w:spacing w:line="360" w:lineRule="auto"/>
        <w:jc w:val="both"/>
        <w:rPr>
          <w:i/>
        </w:rPr>
      </w:pPr>
    </w:p>
    <w:p w14:paraId="2FD6452E" w14:textId="77777777" w:rsidR="000819E8" w:rsidRDefault="000819E8" w:rsidP="000819E8">
      <w:pPr>
        <w:spacing w:line="360" w:lineRule="auto"/>
        <w:ind w:firstLine="425"/>
        <w:jc w:val="both"/>
      </w:pPr>
      <w:r>
        <w:rPr>
          <w:color w:val="000000"/>
        </w:rPr>
        <w:t xml:space="preserve">No statistical difference was observed among the tested groups regarding the </w:t>
      </w:r>
      <w:proofErr w:type="spellStart"/>
      <w:r>
        <w:t>Δa</w:t>
      </w:r>
      <w:proofErr w:type="spellEnd"/>
      <w:r>
        <w:t xml:space="preserve">* values (p&gt;0.05). </w:t>
      </w:r>
      <w:r>
        <w:rPr>
          <w:color w:val="000000"/>
        </w:rPr>
        <w:t xml:space="preserve">All groups had positive </w:t>
      </w:r>
      <w:proofErr w:type="spellStart"/>
      <w:r>
        <w:t>Δa</w:t>
      </w:r>
      <w:proofErr w:type="spellEnd"/>
      <w:r>
        <w:t xml:space="preserve">* </w:t>
      </w:r>
      <w:r>
        <w:rPr>
          <w:color w:val="000000"/>
        </w:rPr>
        <w:t>results, indicating a shift in the color of the specimens to the red spectrum</w:t>
      </w:r>
      <w:r>
        <w:t>.</w:t>
      </w:r>
    </w:p>
    <w:p w14:paraId="4A28B147" w14:textId="77777777" w:rsidR="000819E8" w:rsidRDefault="000819E8" w:rsidP="000819E8">
      <w:pPr>
        <w:spacing w:line="360" w:lineRule="auto"/>
      </w:pPr>
    </w:p>
    <w:p w14:paraId="1625DA25" w14:textId="77777777" w:rsidR="000819E8" w:rsidRDefault="000819E8" w:rsidP="000819E8">
      <w:pPr>
        <w:spacing w:line="360" w:lineRule="auto"/>
        <w:jc w:val="both"/>
      </w:pPr>
      <w:r>
        <w:rPr>
          <w:color w:val="000000"/>
        </w:rPr>
        <w:t xml:space="preserve">Analysis of </w:t>
      </w:r>
      <w:proofErr w:type="spellStart"/>
      <w:r>
        <w:t>Δb</w:t>
      </w:r>
      <w:proofErr w:type="spellEnd"/>
      <w:r>
        <w:t xml:space="preserve">* </w:t>
      </w:r>
      <w:r>
        <w:rPr>
          <w:color w:val="000000"/>
        </w:rPr>
        <w:t>values (yellow-blue axis variation</w:t>
      </w:r>
      <w:r>
        <w:t>)</w:t>
      </w:r>
    </w:p>
    <w:p w14:paraId="452E7FC1" w14:textId="77777777" w:rsidR="000819E8" w:rsidRDefault="000819E8" w:rsidP="000819E8">
      <w:pPr>
        <w:spacing w:line="360" w:lineRule="auto"/>
        <w:jc w:val="both"/>
        <w:rPr>
          <w:i/>
        </w:rPr>
      </w:pPr>
    </w:p>
    <w:p w14:paraId="23E7DF70" w14:textId="77777777" w:rsidR="000819E8" w:rsidRDefault="000819E8" w:rsidP="000819E8">
      <w:pPr>
        <w:spacing w:line="360" w:lineRule="auto"/>
        <w:ind w:firstLine="425"/>
        <w:jc w:val="both"/>
      </w:pPr>
      <w:r>
        <w:rPr>
          <w:color w:val="000000"/>
        </w:rPr>
        <w:lastRenderedPageBreak/>
        <w:t xml:space="preserve">There was no statistical difference among the distilled water, cola-based soft drink, wine, and coffee groups </w:t>
      </w:r>
      <w:r>
        <w:t xml:space="preserve">(p&gt;0.05), </w:t>
      </w:r>
      <w:r>
        <w:rPr>
          <w:color w:val="000000"/>
        </w:rPr>
        <w:t xml:space="preserve">nor was there a statistical difference between the acai and dark beer groups </w:t>
      </w:r>
      <w:r>
        <w:t xml:space="preserve">(p&gt;0.05). </w:t>
      </w:r>
      <w:r>
        <w:rPr>
          <w:color w:val="000000"/>
        </w:rPr>
        <w:t xml:space="preserve">However, a significant difference was observed between the distilled water and dark beer groups </w:t>
      </w:r>
      <w:r>
        <w:t xml:space="preserve">(p&lt;0.05). </w:t>
      </w:r>
      <w:r>
        <w:rPr>
          <w:color w:val="000000"/>
        </w:rPr>
        <w:t xml:space="preserve">The latter group presented negative </w:t>
      </w:r>
      <w:proofErr w:type="spellStart"/>
      <w:r>
        <w:t>Δb</w:t>
      </w:r>
      <w:proofErr w:type="spellEnd"/>
      <w:r>
        <w:t xml:space="preserve">* </w:t>
      </w:r>
      <w:r>
        <w:rPr>
          <w:color w:val="000000"/>
        </w:rPr>
        <w:t>results, denoting a color variation in the blue spectrum; the other groups had positive values, indicating variations in the yellow spectrum</w:t>
      </w:r>
      <w:r>
        <w:t>.</w:t>
      </w:r>
    </w:p>
    <w:p w14:paraId="11739ABD" w14:textId="77777777" w:rsidR="000819E8" w:rsidRDefault="000819E8" w:rsidP="000819E8">
      <w:pPr>
        <w:spacing w:line="360" w:lineRule="auto"/>
        <w:ind w:firstLine="708"/>
        <w:jc w:val="both"/>
      </w:pPr>
      <w:r>
        <w:t xml:space="preserve"> </w:t>
      </w:r>
    </w:p>
    <w:p w14:paraId="1B041057" w14:textId="77777777" w:rsidR="000819E8" w:rsidRDefault="000819E8" w:rsidP="000819E8">
      <w:pPr>
        <w:spacing w:line="360" w:lineRule="auto"/>
        <w:jc w:val="both"/>
      </w:pPr>
      <w:r>
        <w:rPr>
          <w:color w:val="000000"/>
        </w:rPr>
        <w:t xml:space="preserve">Analysis of </w:t>
      </w:r>
      <w:r>
        <w:t xml:space="preserve">ΔE* </w:t>
      </w:r>
      <w:r>
        <w:rPr>
          <w:color w:val="000000"/>
        </w:rPr>
        <w:t>values (total color variation</w:t>
      </w:r>
      <w:r>
        <w:t>)</w:t>
      </w:r>
    </w:p>
    <w:p w14:paraId="05F39E9E" w14:textId="77777777" w:rsidR="000819E8" w:rsidRDefault="000819E8" w:rsidP="000819E8">
      <w:pPr>
        <w:spacing w:line="360" w:lineRule="auto"/>
        <w:jc w:val="both"/>
        <w:rPr>
          <w:i/>
        </w:rPr>
      </w:pPr>
    </w:p>
    <w:p w14:paraId="6E18D209" w14:textId="77777777" w:rsidR="000819E8" w:rsidRDefault="000819E8" w:rsidP="000819E8">
      <w:pPr>
        <w:spacing w:line="360" w:lineRule="auto"/>
        <w:ind w:firstLine="425"/>
        <w:jc w:val="both"/>
      </w:pPr>
      <w:r>
        <w:rPr>
          <w:color w:val="000000"/>
        </w:rPr>
        <w:t xml:space="preserve">No statistical difference was observed among the groups </w:t>
      </w:r>
      <w:r>
        <w:t xml:space="preserve">(p&gt;0.05). </w:t>
      </w:r>
      <w:r>
        <w:rPr>
          <w:color w:val="000000"/>
        </w:rPr>
        <w:t>The</w:t>
      </w:r>
      <w:r>
        <w:t xml:space="preserve"> ΔE* </w:t>
      </w:r>
      <w:r>
        <w:rPr>
          <w:color w:val="000000"/>
        </w:rPr>
        <w:t>values of all groups were greater than</w:t>
      </w:r>
      <w:r>
        <w:t xml:space="preserve"> 3.7; therefore, </w:t>
      </w:r>
      <w:r>
        <w:rPr>
          <w:color w:val="000000"/>
        </w:rPr>
        <w:t>there was a clinically visible change in color after exposure to BC</w:t>
      </w:r>
      <w:r>
        <w:t>.</w:t>
      </w:r>
    </w:p>
    <w:p w14:paraId="493E9DC7" w14:textId="77777777" w:rsidR="000819E8" w:rsidRDefault="000819E8" w:rsidP="000819E8">
      <w:pPr>
        <w:spacing w:line="360" w:lineRule="auto"/>
        <w:jc w:val="both"/>
      </w:pPr>
    </w:p>
    <w:p w14:paraId="0237B489" w14:textId="77777777" w:rsidR="000819E8" w:rsidRDefault="000819E8" w:rsidP="000819E8">
      <w:pPr>
        <w:spacing w:line="360" w:lineRule="auto"/>
        <w:jc w:val="both"/>
      </w:pPr>
    </w:p>
    <w:p w14:paraId="2E15AC0F" w14:textId="5320AFFB" w:rsidR="000819E8" w:rsidRDefault="000819E8" w:rsidP="000819E8">
      <w:pPr>
        <w:spacing w:line="360" w:lineRule="auto"/>
        <w:jc w:val="both"/>
      </w:pPr>
      <w:r>
        <w:rPr>
          <w:b/>
        </w:rPr>
        <w:t>3.1 Discussion</w:t>
      </w:r>
    </w:p>
    <w:p w14:paraId="10768F73" w14:textId="1E4152FE" w:rsidR="000819E8" w:rsidRDefault="000819E8" w:rsidP="000819E8">
      <w:pPr>
        <w:spacing w:line="360" w:lineRule="auto"/>
        <w:ind w:firstLine="425"/>
        <w:jc w:val="both"/>
      </w:pPr>
      <w:r>
        <w:rPr>
          <w:color w:val="000000"/>
        </w:rPr>
        <w:t>Some studies show that a diet based on the frequent consumption of foods with high levels of pigmenting agents directly influences the color of tooth enamel, which can lead to extrinsic stains</w:t>
      </w:r>
      <w:r w:rsidR="00992D03">
        <w:t xml:space="preserve">. </w:t>
      </w:r>
      <w:r>
        <w:rPr>
          <w:color w:val="000000"/>
        </w:rPr>
        <w:t xml:space="preserve">When evaluating the </w:t>
      </w:r>
      <w:proofErr w:type="spellStart"/>
      <w:r>
        <w:rPr>
          <w:highlight w:val="white"/>
        </w:rPr>
        <w:t>Δb</w:t>
      </w:r>
      <w:proofErr w:type="spellEnd"/>
      <w:r>
        <w:rPr>
          <w:highlight w:val="white"/>
        </w:rPr>
        <w:t xml:space="preserve"> </w:t>
      </w:r>
      <w:r>
        <w:rPr>
          <w:color w:val="000000"/>
        </w:rPr>
        <w:t>values of the groups of samples stained with the cola-based soft drink, wine, and coffee, it was noted that they were statistically equal to the control group (distilled water), a fact that would explain the reduction in the yellow color of the teeth after brushing.</w:t>
      </w:r>
      <w:r w:rsidR="00992D03">
        <w:rPr>
          <w:color w:val="FF0000"/>
          <w:vertAlign w:val="superscript"/>
        </w:rPr>
        <w:t xml:space="preserve"> </w:t>
      </w:r>
      <w:r>
        <w:rPr>
          <w:color w:val="000000"/>
        </w:rPr>
        <w:t xml:space="preserve">Our findings contrast with those reported in the study by </w:t>
      </w:r>
      <w:r>
        <w:rPr>
          <w:highlight w:val="white"/>
        </w:rPr>
        <w:t xml:space="preserve">Torres </w:t>
      </w:r>
      <w:r>
        <w:rPr>
          <w:i/>
          <w:highlight w:val="white"/>
        </w:rPr>
        <w:t>et al</w:t>
      </w:r>
      <w:r>
        <w:rPr>
          <w:highlight w:val="white"/>
        </w:rPr>
        <w:t>.,</w:t>
      </w:r>
      <w:r w:rsidR="00992D03" w:rsidRPr="00992D03">
        <w:rPr>
          <w:color w:val="FF0000"/>
          <w:vertAlign w:val="superscript"/>
        </w:rPr>
        <w:t xml:space="preserve"> </w:t>
      </w:r>
      <w:r>
        <w:rPr>
          <w:color w:val="000000"/>
        </w:rPr>
        <w:t>who tested the effectiveness of mouthwashes and dentifrices in changing the enamel tonality after coffee staining</w:t>
      </w:r>
      <w:r w:rsidR="00992D03">
        <w:rPr>
          <w:color w:val="000000"/>
        </w:rPr>
        <w:t xml:space="preserve"> </w:t>
      </w:r>
      <w:proofErr w:type="gramStart"/>
      <w:r w:rsidR="00992D03">
        <w:rPr>
          <w:color w:val="000000"/>
        </w:rPr>
        <w:t>( Taneja</w:t>
      </w:r>
      <w:proofErr w:type="gramEnd"/>
      <w:r w:rsidR="00992D03">
        <w:rPr>
          <w:color w:val="000000"/>
        </w:rPr>
        <w:t xml:space="preserve"> et al., 2016, Proctor et al., 2005, Torres et al., 2013)</w:t>
      </w:r>
      <w:r>
        <w:rPr>
          <w:color w:val="000000"/>
        </w:rPr>
        <w:t xml:space="preserve">. </w:t>
      </w:r>
    </w:p>
    <w:p w14:paraId="2F69EAA5" w14:textId="77777777" w:rsidR="000819E8" w:rsidRDefault="000819E8" w:rsidP="000819E8">
      <w:pPr>
        <w:spacing w:line="360" w:lineRule="auto"/>
        <w:ind w:firstLine="425"/>
        <w:jc w:val="both"/>
      </w:pPr>
      <w:r>
        <w:rPr>
          <w:color w:val="000000"/>
        </w:rPr>
        <w:t xml:space="preserve">The authors found that the subjective level of responses to improvement and satisfaction with the whiteness were significantly associated with changes in </w:t>
      </w:r>
      <w:proofErr w:type="spellStart"/>
      <w:r>
        <w:t>Δb</w:t>
      </w:r>
      <w:proofErr w:type="spellEnd"/>
      <w:r>
        <w:t xml:space="preserve"> </w:t>
      </w:r>
      <w:r>
        <w:rPr>
          <w:color w:val="000000"/>
        </w:rPr>
        <w:t>values</w:t>
      </w:r>
      <w:r>
        <w:t xml:space="preserve">, </w:t>
      </w:r>
      <w:r>
        <w:rPr>
          <w:color w:val="000000"/>
        </w:rPr>
        <w:t xml:space="preserve">but not with alterations in </w:t>
      </w:r>
      <w:r>
        <w:t xml:space="preserve">ΔL and </w:t>
      </w:r>
      <w:proofErr w:type="spellStart"/>
      <w:r>
        <w:t>Δa</w:t>
      </w:r>
      <w:proofErr w:type="spellEnd"/>
      <w:r>
        <w:t xml:space="preserve"> </w:t>
      </w:r>
      <w:r>
        <w:rPr>
          <w:color w:val="000000"/>
        </w:rPr>
        <w:t>values, corroborating the present study, which demonstrated statistical changes only in the yellow-blue spectrum</w:t>
      </w:r>
      <w:r>
        <w:t xml:space="preserve">. </w:t>
      </w:r>
    </w:p>
    <w:p w14:paraId="0D5B9ACE" w14:textId="77777777" w:rsidR="000819E8" w:rsidRDefault="000819E8" w:rsidP="000819E8">
      <w:pPr>
        <w:shd w:val="clear" w:color="auto" w:fill="FFFFFF"/>
        <w:spacing w:line="360" w:lineRule="auto"/>
        <w:ind w:firstLine="425"/>
        <w:jc w:val="both"/>
      </w:pPr>
      <w:r>
        <w:rPr>
          <w:color w:val="000000"/>
        </w:rPr>
        <w:t xml:space="preserve">Considering the importance of reducing the </w:t>
      </w:r>
      <w:proofErr w:type="spellStart"/>
      <w:r>
        <w:rPr>
          <w:color w:val="000000"/>
        </w:rPr>
        <w:t>Δb</w:t>
      </w:r>
      <w:proofErr w:type="spellEnd"/>
      <w:r>
        <w:rPr>
          <w:color w:val="000000"/>
        </w:rPr>
        <w:t xml:space="preserve"> value in tooth whitening, it is understood that the deposition of blue-colored agents on the enamel surface would give rise to favorable changes in the optical properties of the tooth, particularly in the color change to blue, improving the measurement and perception of tooth whitening. </w:t>
      </w:r>
    </w:p>
    <w:p w14:paraId="0E4E82AB" w14:textId="419FBA58" w:rsidR="000819E8" w:rsidRDefault="000819E8" w:rsidP="000819E8">
      <w:pPr>
        <w:shd w:val="clear" w:color="auto" w:fill="FFFFFF"/>
        <w:spacing w:line="360" w:lineRule="auto"/>
        <w:ind w:firstLine="425"/>
        <w:jc w:val="both"/>
      </w:pPr>
      <w:r>
        <w:rPr>
          <w:color w:val="000000"/>
        </w:rPr>
        <w:t>Tooth whitening products are marketed in many different formats</w:t>
      </w:r>
      <w:r w:rsidR="00111D3A" w:rsidRPr="00111D3A">
        <w:rPr>
          <w:color w:val="000000"/>
        </w:rPr>
        <w:t xml:space="preserve"> </w:t>
      </w:r>
      <w:r w:rsidR="00111D3A">
        <w:rPr>
          <w:color w:val="000000"/>
        </w:rPr>
        <w:t>(Gerlach et al., 2001)</w:t>
      </w:r>
      <w:r>
        <w:rPr>
          <w:color w:val="000000"/>
        </w:rPr>
        <w:t>.</w:t>
      </w:r>
      <w:r>
        <w:rPr>
          <w:color w:val="FF0000"/>
        </w:rPr>
        <w:t xml:space="preserve"> </w:t>
      </w:r>
      <w:r>
        <w:rPr>
          <w:color w:val="000000"/>
        </w:rPr>
        <w:t xml:space="preserve">However, dentifrices comprise the most affordable product format for many patients and consumers. Therefore, the incorporation of BC in dentifrice formulations has been investigated in several studies. Collins </w:t>
      </w:r>
      <w:r>
        <w:rPr>
          <w:i/>
          <w:color w:val="000000"/>
        </w:rPr>
        <w:t>et al</w:t>
      </w:r>
      <w:r>
        <w:rPr>
          <w:color w:val="000000"/>
        </w:rPr>
        <w:t>.</w:t>
      </w:r>
      <w:r>
        <w:rPr>
          <w:color w:val="FF0000"/>
        </w:rPr>
        <w:t xml:space="preserve"> </w:t>
      </w:r>
      <w:r>
        <w:t xml:space="preserve">and </w:t>
      </w:r>
      <w:r>
        <w:rPr>
          <w:color w:val="222222"/>
          <w:highlight w:val="white"/>
        </w:rPr>
        <w:t xml:space="preserve">Joiner </w:t>
      </w:r>
      <w:r>
        <w:rPr>
          <w:i/>
          <w:color w:val="222222"/>
          <w:highlight w:val="white"/>
        </w:rPr>
        <w:t>et al</w:t>
      </w:r>
      <w:r>
        <w:rPr>
          <w:color w:val="222222"/>
          <w:highlight w:val="white"/>
        </w:rPr>
        <w:t>.</w:t>
      </w:r>
      <w:r>
        <w:rPr>
          <w:color w:val="FF0000"/>
          <w:highlight w:val="white"/>
        </w:rPr>
        <w:t xml:space="preserve"> </w:t>
      </w:r>
      <w:r>
        <w:rPr>
          <w:color w:val="000000"/>
        </w:rPr>
        <w:t xml:space="preserve">showed immediate and noticeable results that lasted for up to 8 hours after a single application of their tested product, whereas Torres </w:t>
      </w:r>
      <w:r>
        <w:rPr>
          <w:i/>
          <w:color w:val="000000"/>
        </w:rPr>
        <w:t>et al</w:t>
      </w:r>
      <w:r>
        <w:rPr>
          <w:color w:val="000000"/>
        </w:rPr>
        <w:t>.,</w:t>
      </w:r>
      <w:r w:rsidR="00111D3A">
        <w:rPr>
          <w:color w:val="000000"/>
        </w:rPr>
        <w:t xml:space="preserve"> </w:t>
      </w:r>
      <w:r w:rsidR="00111D3A">
        <w:rPr>
          <w:color w:val="000000"/>
        </w:rPr>
        <w:lastRenderedPageBreak/>
        <w:t xml:space="preserve">2013, </w:t>
      </w:r>
      <w:r w:rsidR="00111D3A">
        <w:rPr>
          <w:color w:val="FF0000"/>
          <w:vertAlign w:val="superscript"/>
        </w:rPr>
        <w:t xml:space="preserve"> </w:t>
      </w:r>
      <w:r>
        <w:t xml:space="preserve">Dantas </w:t>
      </w:r>
      <w:r>
        <w:rPr>
          <w:i/>
        </w:rPr>
        <w:t>et al</w:t>
      </w:r>
      <w:r>
        <w:t>.,</w:t>
      </w:r>
      <w:r w:rsidR="00111D3A">
        <w:t xml:space="preserve"> 2015,</w:t>
      </w:r>
      <w:r>
        <w:rPr>
          <w:color w:val="FF0000"/>
        </w:rPr>
        <w:t xml:space="preserve"> </w:t>
      </w:r>
      <w:r>
        <w:t xml:space="preserve">Oliveira </w:t>
      </w:r>
      <w:r>
        <w:rPr>
          <w:i/>
        </w:rPr>
        <w:t>et al</w:t>
      </w:r>
      <w:r>
        <w:t>.,</w:t>
      </w:r>
      <w:r w:rsidR="00111D3A">
        <w:t xml:space="preserve"> 2016,</w:t>
      </w:r>
      <w:r>
        <w:rPr>
          <w:color w:val="FF0000"/>
        </w:rPr>
        <w:t xml:space="preserve"> </w:t>
      </w:r>
      <w:r>
        <w:t xml:space="preserve">Horn </w:t>
      </w:r>
      <w:r>
        <w:rPr>
          <w:i/>
        </w:rPr>
        <w:t>et al</w:t>
      </w:r>
      <w:r>
        <w:t>.,</w:t>
      </w:r>
      <w:r w:rsidR="00111D3A">
        <w:t xml:space="preserve"> 2014</w:t>
      </w:r>
      <w:r>
        <w:rPr>
          <w:color w:val="FF0000"/>
        </w:rPr>
        <w:t xml:space="preserve"> </w:t>
      </w:r>
      <w:r>
        <w:t xml:space="preserve">and </w:t>
      </w:r>
      <w:proofErr w:type="spellStart"/>
      <w:r>
        <w:t>Bortolatto</w:t>
      </w:r>
      <w:proofErr w:type="spellEnd"/>
      <w:r>
        <w:t xml:space="preserve"> </w:t>
      </w:r>
      <w:r>
        <w:rPr>
          <w:i/>
        </w:rPr>
        <w:t>et al</w:t>
      </w:r>
      <w:r>
        <w:t xml:space="preserve"> </w:t>
      </w:r>
      <w:r w:rsidR="00111D3A">
        <w:t>2016</w:t>
      </w:r>
      <w:r>
        <w:rPr>
          <w:color w:val="FF0000"/>
        </w:rPr>
        <w:t xml:space="preserve"> </w:t>
      </w:r>
      <w:r>
        <w:rPr>
          <w:color w:val="000000"/>
        </w:rPr>
        <w:t xml:space="preserve">were unable to evidence superior whitening effects to those provided by a conventional toothpaste, a fact that contrasts with the results found herein, seeing that a statistical change in the </w:t>
      </w:r>
      <w:proofErr w:type="spellStart"/>
      <w:r>
        <w:rPr>
          <w:color w:val="000000"/>
        </w:rPr>
        <w:t>Δb</w:t>
      </w:r>
      <w:proofErr w:type="spellEnd"/>
      <w:r>
        <w:rPr>
          <w:color w:val="000000"/>
        </w:rPr>
        <w:t xml:space="preserve"> value was observed</w:t>
      </w:r>
      <w:r w:rsidR="00111D3A">
        <w:rPr>
          <w:color w:val="000000"/>
        </w:rPr>
        <w:t>.</w:t>
      </w:r>
    </w:p>
    <w:p w14:paraId="74F78594" w14:textId="77777777" w:rsidR="000819E8" w:rsidRDefault="000819E8" w:rsidP="000819E8">
      <w:pPr>
        <w:shd w:val="clear" w:color="auto" w:fill="FFFFFF"/>
        <w:spacing w:line="360" w:lineRule="auto"/>
        <w:ind w:firstLine="425"/>
        <w:jc w:val="both"/>
      </w:pPr>
      <w:r>
        <w:rPr>
          <w:color w:val="000000"/>
        </w:rPr>
        <w:t xml:space="preserve">Finally, when evaluating the color stability of the tooth enamel after immersion in dark beer and brushing with BC, it was noted that its </w:t>
      </w:r>
      <w:proofErr w:type="spellStart"/>
      <w:r>
        <w:rPr>
          <w:color w:val="000000"/>
        </w:rPr>
        <w:t>Δb</w:t>
      </w:r>
      <w:proofErr w:type="spellEnd"/>
      <w:r>
        <w:rPr>
          <w:color w:val="000000"/>
        </w:rPr>
        <w:t xml:space="preserve"> was significantly influenced by the oral hygiene process, a fact that can be explained by the change in the enamel color to the blue spectrum in an attempt to balance the yellowish color after immersion in the coloring beverage. These findings demonstrate the efficiency of BC at changing the color of the tooth enamel since the coloration of teeth stained with dark beer had statistically equal results to non-stained teeth after brushing.</w:t>
      </w:r>
    </w:p>
    <w:p w14:paraId="26325AA3" w14:textId="77777777" w:rsidR="000819E8" w:rsidRDefault="000819E8" w:rsidP="00441B6F">
      <w:pPr>
        <w:pStyle w:val="ConcHead"/>
        <w:spacing w:after="0"/>
        <w:jc w:val="both"/>
        <w:rPr>
          <w:rFonts w:ascii="Arial" w:hAnsi="Arial" w:cs="Arial"/>
        </w:rPr>
      </w:pPr>
    </w:p>
    <w:p w14:paraId="11B305D1" w14:textId="5A27068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F2DD99" w14:textId="77777777" w:rsidR="00790ADA" w:rsidRPr="00FB3A86" w:rsidRDefault="00790ADA" w:rsidP="00441B6F">
      <w:pPr>
        <w:pStyle w:val="ConcHead"/>
        <w:spacing w:after="0"/>
        <w:jc w:val="both"/>
        <w:rPr>
          <w:rFonts w:ascii="Arial" w:hAnsi="Arial" w:cs="Arial"/>
        </w:rPr>
      </w:pPr>
    </w:p>
    <w:p w14:paraId="273639A2" w14:textId="77777777" w:rsidR="000819E8" w:rsidRDefault="000819E8" w:rsidP="00441B6F">
      <w:pPr>
        <w:pStyle w:val="AcknHead"/>
        <w:spacing w:after="0"/>
        <w:jc w:val="both"/>
        <w:rPr>
          <w:rFonts w:ascii="Arial" w:hAnsi="Arial" w:cs="Arial"/>
          <w:b w:val="0"/>
          <w:caps w:val="0"/>
          <w:sz w:val="20"/>
        </w:rPr>
      </w:pPr>
      <w:r w:rsidRPr="000819E8">
        <w:rPr>
          <w:rFonts w:ascii="Arial" w:hAnsi="Arial" w:cs="Arial"/>
          <w:b w:val="0"/>
          <w:caps w:val="0"/>
          <w:sz w:val="20"/>
        </w:rPr>
        <w:t>The whitening dentifrice containing BC was efficient in changing the color of tooth enamel stained with coffee, the cola-based soft drink, wine, acai, and dark beer, acting primarily in the balance of the blue and yellow spectra.</w:t>
      </w:r>
    </w:p>
    <w:p w14:paraId="6D666578" w14:textId="77777777" w:rsidR="00315186" w:rsidRPr="00315186" w:rsidRDefault="00315186" w:rsidP="00441B6F"/>
    <w:p w14:paraId="06A11AA3" w14:textId="77777777" w:rsidR="00167055" w:rsidRDefault="00167055" w:rsidP="00441B6F">
      <w:pPr>
        <w:pStyle w:val="ReferHead"/>
        <w:spacing w:after="0"/>
        <w:jc w:val="both"/>
        <w:rPr>
          <w:rFonts w:ascii="Arial" w:hAnsi="Arial" w:cs="Arial"/>
          <w:b w:val="0"/>
          <w:caps w:val="0"/>
          <w:sz w:val="20"/>
        </w:rPr>
      </w:pPr>
    </w:p>
    <w:p w14:paraId="3048A160" w14:textId="5858E42C" w:rsidR="00A9064C" w:rsidRPr="00A9064C" w:rsidRDefault="00A9064C" w:rsidP="00441B6F">
      <w:pPr>
        <w:pStyle w:val="ReferHead"/>
        <w:spacing w:after="0"/>
        <w:jc w:val="both"/>
        <w:rPr>
          <w:rFonts w:ascii="Arial" w:hAnsi="Arial" w:cs="Arial"/>
          <w:bCs/>
        </w:rPr>
      </w:pPr>
      <w:r w:rsidRPr="00A9064C">
        <w:rPr>
          <w:rFonts w:ascii="Arial" w:hAnsi="Arial" w:cs="Arial"/>
          <w:bCs/>
        </w:rPr>
        <w:t>ETHICAL APPROVAL</w:t>
      </w:r>
    </w:p>
    <w:p w14:paraId="1E95B21D" w14:textId="04092149" w:rsidR="00860000" w:rsidRPr="00A9064C" w:rsidRDefault="00A9064C" w:rsidP="00441B6F">
      <w:pPr>
        <w:pStyle w:val="ReferHead"/>
        <w:spacing w:after="0"/>
        <w:jc w:val="both"/>
        <w:rPr>
          <w:rFonts w:ascii="Arial" w:hAnsi="Arial" w:cs="Arial"/>
          <w:b w:val="0"/>
        </w:rPr>
      </w:pPr>
      <w:r w:rsidRPr="00A9064C">
        <w:rPr>
          <w:rFonts w:ascii="Arial" w:hAnsi="Arial" w:cs="Arial"/>
          <w:b w:val="0"/>
          <w:caps w:val="0"/>
        </w:rPr>
        <w:t xml:space="preserve">The research was approved by the research ethics committee of the </w:t>
      </w:r>
      <w:proofErr w:type="spellStart"/>
      <w:r w:rsidRPr="00A9064C">
        <w:rPr>
          <w:rFonts w:ascii="Arial" w:hAnsi="Arial" w:cs="Arial"/>
          <w:b w:val="0"/>
          <w:caps w:val="0"/>
        </w:rPr>
        <w:t>fortaleza</w:t>
      </w:r>
      <w:proofErr w:type="spellEnd"/>
      <w:r w:rsidRPr="00A9064C">
        <w:rPr>
          <w:rFonts w:ascii="Arial" w:hAnsi="Arial" w:cs="Arial"/>
          <w:b w:val="0"/>
          <w:caps w:val="0"/>
        </w:rPr>
        <w:t xml:space="preserve"> university, according to opinion number </w:t>
      </w:r>
      <w:r w:rsidRPr="00A9064C">
        <w:rPr>
          <w:rFonts w:ascii="Arial" w:hAnsi="Arial" w:cs="Arial"/>
          <w:b w:val="0"/>
        </w:rPr>
        <w:t>2,758,761.</w:t>
      </w:r>
    </w:p>
    <w:p w14:paraId="6FDED1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18534C" w14:textId="77777777" w:rsidR="00790ADA" w:rsidRPr="00FB3A86" w:rsidRDefault="00790ADA" w:rsidP="00441B6F">
      <w:pPr>
        <w:pStyle w:val="ReferHead"/>
        <w:spacing w:after="0"/>
        <w:jc w:val="both"/>
        <w:rPr>
          <w:rFonts w:ascii="Arial" w:hAnsi="Arial" w:cs="Arial"/>
        </w:rPr>
      </w:pPr>
    </w:p>
    <w:p w14:paraId="669BFBF1" w14:textId="77777777" w:rsidR="00E769F6" w:rsidRPr="002C57D2" w:rsidRDefault="00E769F6" w:rsidP="00441B6F">
      <w:pPr>
        <w:pStyle w:val="Body"/>
        <w:spacing w:after="0"/>
        <w:rPr>
          <w:rFonts w:ascii="Arial" w:hAnsi="Arial" w:cs="Arial"/>
        </w:rPr>
      </w:pPr>
    </w:p>
    <w:p w14:paraId="7EB8E87D" w14:textId="62A34E66" w:rsidR="00064817" w:rsidRDefault="00064817" w:rsidP="008F060F">
      <w:pPr>
        <w:suppressAutoHyphens/>
        <w:spacing w:line="360" w:lineRule="auto"/>
        <w:jc w:val="both"/>
        <w:rPr>
          <w:color w:val="000000"/>
        </w:rPr>
      </w:pPr>
      <w:proofErr w:type="spellStart"/>
      <w:r>
        <w:rPr>
          <w:color w:val="000000"/>
        </w:rPr>
        <w:t>Çelik</w:t>
      </w:r>
      <w:proofErr w:type="spellEnd"/>
      <w:r>
        <w:rPr>
          <w:color w:val="000000"/>
        </w:rPr>
        <w:t xml:space="preserve"> ZC, </w:t>
      </w:r>
      <w:proofErr w:type="spellStart"/>
      <w:r>
        <w:rPr>
          <w:color w:val="000000"/>
        </w:rPr>
        <w:t>Çakiris</w:t>
      </w:r>
      <w:proofErr w:type="spellEnd"/>
      <w:r>
        <w:rPr>
          <w:color w:val="000000"/>
        </w:rPr>
        <w:t xml:space="preserve"> A, </w:t>
      </w:r>
      <w:proofErr w:type="spellStart"/>
      <w:r>
        <w:rPr>
          <w:color w:val="000000"/>
        </w:rPr>
        <w:t>Yanıkoğlu</w:t>
      </w:r>
      <w:proofErr w:type="spellEnd"/>
      <w:r>
        <w:rPr>
          <w:color w:val="000000"/>
        </w:rPr>
        <w:t xml:space="preserve"> F, Abacı N, </w:t>
      </w:r>
      <w:proofErr w:type="spellStart"/>
      <w:r>
        <w:rPr>
          <w:color w:val="000000"/>
        </w:rPr>
        <w:t>Ekmekçi</w:t>
      </w:r>
      <w:proofErr w:type="spellEnd"/>
      <w:r>
        <w:rPr>
          <w:color w:val="000000"/>
        </w:rPr>
        <w:t xml:space="preserve"> SS, </w:t>
      </w:r>
      <w:proofErr w:type="spellStart"/>
      <w:r>
        <w:rPr>
          <w:color w:val="000000"/>
        </w:rPr>
        <w:t>Ilgın</w:t>
      </w:r>
      <w:proofErr w:type="spellEnd"/>
      <w:r>
        <w:rPr>
          <w:color w:val="000000"/>
        </w:rPr>
        <w:t xml:space="preserve"> C, et al. Metagenomic analysis of black-stained plaques in permanent dentition. Archives of Oral Biology </w:t>
      </w:r>
      <w:proofErr w:type="gramStart"/>
      <w:r>
        <w:rPr>
          <w:color w:val="000000"/>
        </w:rPr>
        <w:t>2021;128:105171</w:t>
      </w:r>
      <w:proofErr w:type="gramEnd"/>
    </w:p>
    <w:p w14:paraId="2E03834F" w14:textId="77777777" w:rsidR="00111D3A" w:rsidRDefault="00111D3A" w:rsidP="00111D3A">
      <w:pPr>
        <w:suppressAutoHyphens/>
        <w:spacing w:line="360" w:lineRule="auto"/>
        <w:ind w:left="720"/>
        <w:jc w:val="both"/>
        <w:rPr>
          <w:rFonts w:ascii="Times New Roman" w:hAnsi="Times New Roman"/>
          <w:color w:val="000000"/>
        </w:rPr>
      </w:pPr>
    </w:p>
    <w:p w14:paraId="16BC10CD" w14:textId="78290E00" w:rsidR="00064817" w:rsidRPr="00922B41" w:rsidRDefault="00064817" w:rsidP="008F060F">
      <w:pPr>
        <w:suppressAutoHyphens/>
        <w:spacing w:line="360" w:lineRule="auto"/>
        <w:jc w:val="both"/>
        <w:rPr>
          <w:color w:val="000000"/>
          <w:lang w:val="pt-BR"/>
        </w:rPr>
      </w:pPr>
      <w:r>
        <w:rPr>
          <w:color w:val="000000"/>
        </w:rPr>
        <w:t xml:space="preserve">Zanatta RF, Esper MÂLR, Valera MC, Melo RM, Bresciani E. Harmful Effect of Beer on Bovine Enamel Microhardness – In Vitro Study. </w:t>
      </w:r>
      <w:r w:rsidRPr="00922B41">
        <w:rPr>
          <w:color w:val="000000"/>
          <w:lang w:val="pt-BR"/>
        </w:rPr>
        <w:t>PLoS ONE 2016;11:e0163440</w:t>
      </w:r>
    </w:p>
    <w:p w14:paraId="5A0B123B" w14:textId="77777777" w:rsidR="00111D3A" w:rsidRPr="00922B41" w:rsidRDefault="00111D3A" w:rsidP="00111D3A">
      <w:pPr>
        <w:suppressAutoHyphens/>
        <w:spacing w:line="360" w:lineRule="auto"/>
        <w:ind w:left="720"/>
        <w:jc w:val="both"/>
        <w:rPr>
          <w:rFonts w:eastAsia="Lucida Sans Unicode"/>
          <w:lang w:val="pt-BR"/>
        </w:rPr>
      </w:pPr>
    </w:p>
    <w:p w14:paraId="47DD5905" w14:textId="08CF1978" w:rsidR="00064817" w:rsidRDefault="00064817" w:rsidP="008F060F">
      <w:pPr>
        <w:suppressAutoHyphens/>
        <w:spacing w:line="360" w:lineRule="auto"/>
        <w:jc w:val="both"/>
        <w:rPr>
          <w:color w:val="000000"/>
        </w:rPr>
      </w:pPr>
      <w:r w:rsidRPr="00922B41">
        <w:rPr>
          <w:color w:val="000000"/>
          <w:lang w:val="pt-BR"/>
        </w:rPr>
        <w:t xml:space="preserve">Soares CNGS, Amaral BLF, Mesquita FM, Franca GMF, Basting TR, Turssi PC. </w:t>
      </w:r>
      <w:r>
        <w:rPr>
          <w:color w:val="000000"/>
        </w:rPr>
        <w:t>Toothpastes containing abrasive and chemical whitening agents: Efficacy in reducing extrinsic dental staining. General Dentistry 2015;63(6), 24–28</w:t>
      </w:r>
    </w:p>
    <w:p w14:paraId="0C10CA71" w14:textId="77777777" w:rsidR="00111D3A" w:rsidRDefault="00111D3A" w:rsidP="00111D3A">
      <w:pPr>
        <w:suppressAutoHyphens/>
        <w:spacing w:line="360" w:lineRule="auto"/>
        <w:ind w:left="720"/>
        <w:jc w:val="both"/>
      </w:pPr>
    </w:p>
    <w:p w14:paraId="11ACF8C6" w14:textId="52BAE322" w:rsidR="00064817" w:rsidRPr="00922B41" w:rsidRDefault="00064817" w:rsidP="008F060F">
      <w:pPr>
        <w:suppressAutoHyphens/>
        <w:spacing w:line="360" w:lineRule="auto"/>
        <w:jc w:val="both"/>
        <w:rPr>
          <w:color w:val="000000"/>
          <w:lang w:val="pt-BR"/>
        </w:rPr>
      </w:pPr>
      <w:r>
        <w:rPr>
          <w:color w:val="000000"/>
        </w:rPr>
        <w:t xml:space="preserve">Kwon SR, Wertz PW. Review of the Mechanism of Tooth Whitening: The Mechanism of Tooth Whitening. </w:t>
      </w:r>
      <w:r w:rsidRPr="00922B41">
        <w:rPr>
          <w:color w:val="000000"/>
          <w:lang w:val="pt-BR"/>
        </w:rPr>
        <w:t xml:space="preserve">J Esthet Restor Dent 2015;27:240–57. </w:t>
      </w:r>
    </w:p>
    <w:p w14:paraId="66A87F38" w14:textId="77777777" w:rsidR="00111D3A" w:rsidRPr="00922B41" w:rsidRDefault="00111D3A" w:rsidP="00111D3A">
      <w:pPr>
        <w:suppressAutoHyphens/>
        <w:spacing w:line="360" w:lineRule="auto"/>
        <w:ind w:left="720"/>
        <w:jc w:val="both"/>
        <w:rPr>
          <w:lang w:val="pt-BR"/>
        </w:rPr>
      </w:pPr>
    </w:p>
    <w:p w14:paraId="33D0833F" w14:textId="65CC7C35" w:rsidR="00064817" w:rsidRDefault="00064817" w:rsidP="008F060F">
      <w:pPr>
        <w:suppressAutoHyphens/>
        <w:spacing w:line="360" w:lineRule="auto"/>
        <w:jc w:val="both"/>
        <w:rPr>
          <w:color w:val="000000"/>
        </w:rPr>
      </w:pPr>
      <w:r w:rsidRPr="00922B41">
        <w:rPr>
          <w:color w:val="000000"/>
          <w:lang w:val="pt-BR"/>
        </w:rPr>
        <w:lastRenderedPageBreak/>
        <w:t xml:space="preserve">Andrade ICGB, Silva BM, Turssi CP, Amaral FLB, Basting TR, Souza EM, et al.  </w:t>
      </w:r>
      <w:r>
        <w:rPr>
          <w:color w:val="212121"/>
        </w:rPr>
        <w:t>Effect of whitening dentifrices on color, surface roughness and microhardness of dental enamel in vitro. Am J Dent 2021;</w:t>
      </w:r>
      <w:r>
        <w:rPr>
          <w:color w:val="5B616B"/>
          <w:highlight w:val="white"/>
        </w:rPr>
        <w:t xml:space="preserve"> </w:t>
      </w:r>
      <w:r>
        <w:rPr>
          <w:color w:val="000000"/>
          <w:highlight w:val="white"/>
        </w:rPr>
        <w:t xml:space="preserve">34(6):300-306. </w:t>
      </w:r>
    </w:p>
    <w:p w14:paraId="70C5EE9E" w14:textId="77777777" w:rsidR="00111D3A" w:rsidRDefault="00111D3A" w:rsidP="00111D3A">
      <w:pPr>
        <w:suppressAutoHyphens/>
        <w:spacing w:line="360" w:lineRule="auto"/>
        <w:ind w:left="720"/>
        <w:jc w:val="both"/>
      </w:pPr>
    </w:p>
    <w:p w14:paraId="6147CE05" w14:textId="1B39986A" w:rsidR="00064817" w:rsidRDefault="00064817" w:rsidP="008F060F">
      <w:pPr>
        <w:suppressAutoHyphens/>
        <w:spacing w:line="360" w:lineRule="auto"/>
        <w:jc w:val="both"/>
        <w:rPr>
          <w:color w:val="000000"/>
        </w:rPr>
      </w:pPr>
      <w:r>
        <w:rPr>
          <w:color w:val="000000"/>
        </w:rPr>
        <w:t xml:space="preserve">Meireles SS, Sousa JP, </w:t>
      </w:r>
      <w:proofErr w:type="spellStart"/>
      <w:r>
        <w:rPr>
          <w:color w:val="000000"/>
        </w:rPr>
        <w:t>Lins</w:t>
      </w:r>
      <w:proofErr w:type="spellEnd"/>
      <w:r>
        <w:rPr>
          <w:color w:val="000000"/>
        </w:rPr>
        <w:t xml:space="preserve"> RBE, </w:t>
      </w:r>
      <w:proofErr w:type="spellStart"/>
      <w:r>
        <w:rPr>
          <w:color w:val="000000"/>
        </w:rPr>
        <w:t>Smapaio</w:t>
      </w:r>
      <w:proofErr w:type="spellEnd"/>
      <w:r>
        <w:rPr>
          <w:color w:val="000000"/>
        </w:rPr>
        <w:t xml:space="preserve"> FC. Efficacy of whitening toothpaste containing blue </w:t>
      </w:r>
      <w:proofErr w:type="spellStart"/>
      <w:r>
        <w:rPr>
          <w:color w:val="000000"/>
        </w:rPr>
        <w:t>covarine</w:t>
      </w:r>
      <w:proofErr w:type="spellEnd"/>
      <w:r>
        <w:rPr>
          <w:color w:val="000000"/>
        </w:rPr>
        <w:t xml:space="preserve">: A double-blind controlled randomized clinical trial. J </w:t>
      </w:r>
      <w:proofErr w:type="spellStart"/>
      <w:r>
        <w:rPr>
          <w:color w:val="000000"/>
        </w:rPr>
        <w:t>Esthet</w:t>
      </w:r>
      <w:proofErr w:type="spellEnd"/>
      <w:r>
        <w:rPr>
          <w:color w:val="000000"/>
        </w:rPr>
        <w:t xml:space="preserve"> </w:t>
      </w:r>
      <w:proofErr w:type="spellStart"/>
      <w:r>
        <w:rPr>
          <w:color w:val="000000"/>
        </w:rPr>
        <w:t>Restor</w:t>
      </w:r>
      <w:proofErr w:type="spellEnd"/>
      <w:r>
        <w:rPr>
          <w:color w:val="000000"/>
        </w:rPr>
        <w:t xml:space="preserve"> Dent </w:t>
      </w:r>
      <w:r>
        <w:rPr>
          <w:color w:val="000000"/>
          <w:highlight w:val="white"/>
        </w:rPr>
        <w:t xml:space="preserve">2021;33(2):341-350. </w:t>
      </w:r>
    </w:p>
    <w:p w14:paraId="0B98E12B" w14:textId="77777777" w:rsidR="00111D3A" w:rsidRDefault="00111D3A" w:rsidP="00111D3A">
      <w:pPr>
        <w:suppressAutoHyphens/>
        <w:spacing w:line="360" w:lineRule="auto"/>
        <w:ind w:left="720"/>
        <w:jc w:val="both"/>
      </w:pPr>
    </w:p>
    <w:p w14:paraId="1AB77042" w14:textId="317D3947" w:rsidR="00064817" w:rsidRDefault="00064817" w:rsidP="008F060F">
      <w:pPr>
        <w:suppressAutoHyphens/>
        <w:spacing w:line="360" w:lineRule="auto"/>
        <w:jc w:val="both"/>
        <w:rPr>
          <w:color w:val="000000"/>
        </w:rPr>
      </w:pPr>
      <w:r w:rsidRPr="00922B41">
        <w:rPr>
          <w:color w:val="000000"/>
          <w:lang w:val="pt-BR"/>
        </w:rPr>
        <w:t xml:space="preserve">Borges  JS, Soares CJ, Bragança GF, Vilela ABF, Soares PBF. </w:t>
      </w:r>
      <w:r>
        <w:rPr>
          <w:color w:val="212121"/>
        </w:rPr>
        <w:t>Effect of Activated Charcoal Toothpaste on Color Stability of Bleached Teeth Immersed in Different Drinks. Oper Dent 2023;</w:t>
      </w:r>
      <w:r>
        <w:rPr>
          <w:color w:val="000000"/>
          <w:highlight w:val="white"/>
        </w:rPr>
        <w:t xml:space="preserve">1;48(2):207-217. </w:t>
      </w:r>
    </w:p>
    <w:p w14:paraId="2C0B1A9E" w14:textId="77777777" w:rsidR="00111D3A" w:rsidRDefault="00111D3A" w:rsidP="00111D3A">
      <w:pPr>
        <w:suppressAutoHyphens/>
        <w:spacing w:line="360" w:lineRule="auto"/>
        <w:ind w:left="720"/>
        <w:jc w:val="both"/>
      </w:pPr>
    </w:p>
    <w:p w14:paraId="0A5A50AC" w14:textId="493A0F45" w:rsidR="00064817" w:rsidRDefault="00064817" w:rsidP="008F060F">
      <w:pPr>
        <w:suppressAutoHyphens/>
        <w:spacing w:line="360" w:lineRule="auto"/>
        <w:jc w:val="both"/>
        <w:rPr>
          <w:color w:val="000000"/>
        </w:rPr>
      </w:pPr>
      <w:r>
        <w:rPr>
          <w:color w:val="000000"/>
        </w:rPr>
        <w:t xml:space="preserve">Carey CM. Tooth Whitening: What We Now Know. Journal of Evidence Based Dental Practice </w:t>
      </w:r>
      <w:proofErr w:type="gramStart"/>
      <w:r>
        <w:rPr>
          <w:color w:val="000000"/>
        </w:rPr>
        <w:t>2014;14:70</w:t>
      </w:r>
      <w:proofErr w:type="gramEnd"/>
      <w:r>
        <w:rPr>
          <w:color w:val="000000"/>
        </w:rPr>
        <w:t>–6.</w:t>
      </w:r>
    </w:p>
    <w:p w14:paraId="5368A986" w14:textId="77777777" w:rsidR="00111D3A" w:rsidRDefault="00111D3A" w:rsidP="00111D3A">
      <w:pPr>
        <w:suppressAutoHyphens/>
        <w:spacing w:line="360" w:lineRule="auto"/>
        <w:ind w:left="720"/>
        <w:jc w:val="both"/>
        <w:rPr>
          <w:color w:val="000000"/>
        </w:rPr>
      </w:pPr>
    </w:p>
    <w:p w14:paraId="45D58EE8" w14:textId="62544DE3" w:rsidR="00064817" w:rsidRDefault="00064817" w:rsidP="008F060F">
      <w:pPr>
        <w:suppressAutoHyphens/>
        <w:spacing w:line="360" w:lineRule="auto"/>
        <w:jc w:val="both"/>
        <w:rPr>
          <w:color w:val="212121"/>
        </w:rPr>
      </w:pPr>
      <w:r w:rsidRPr="00922B41">
        <w:rPr>
          <w:color w:val="212121"/>
          <w:lang w:val="pt-BR"/>
        </w:rPr>
        <w:t xml:space="preserve">Santos ME, Silva ROD, Cavalcanti YW, Meireles SS. </w:t>
      </w:r>
      <w:r>
        <w:rPr>
          <w:color w:val="212121"/>
        </w:rPr>
        <w:t>At-home bleaching versus whitening toothpastes for treatment of tooth discoloration: a cost-effectiveness analysis. J Appl Oral Sci. 2024 Feb 5;</w:t>
      </w:r>
      <w:proofErr w:type="gramStart"/>
      <w:r>
        <w:rPr>
          <w:color w:val="212121"/>
        </w:rPr>
        <w:t>32:e</w:t>
      </w:r>
      <w:proofErr w:type="gramEnd"/>
      <w:r>
        <w:rPr>
          <w:color w:val="212121"/>
        </w:rPr>
        <w:t xml:space="preserve">20230336. </w:t>
      </w:r>
    </w:p>
    <w:p w14:paraId="573CDD5F" w14:textId="77777777" w:rsidR="00111D3A" w:rsidRDefault="00111D3A" w:rsidP="00111D3A">
      <w:pPr>
        <w:suppressAutoHyphens/>
        <w:spacing w:line="360" w:lineRule="auto"/>
        <w:ind w:left="720"/>
        <w:jc w:val="both"/>
        <w:rPr>
          <w:rFonts w:eastAsia="Lucida Sans Unicode"/>
        </w:rPr>
      </w:pPr>
    </w:p>
    <w:p w14:paraId="2CD82B81" w14:textId="76505240" w:rsidR="00064817" w:rsidRPr="00922B41" w:rsidRDefault="00064817" w:rsidP="008F060F">
      <w:pPr>
        <w:suppressAutoHyphens/>
        <w:spacing w:line="360" w:lineRule="auto"/>
        <w:jc w:val="both"/>
        <w:rPr>
          <w:color w:val="000000"/>
          <w:lang w:val="pt-BR"/>
        </w:rPr>
      </w:pPr>
      <w:proofErr w:type="spellStart"/>
      <w:r>
        <w:rPr>
          <w:color w:val="000000"/>
        </w:rPr>
        <w:t>Hashemikamangar</w:t>
      </w:r>
      <w:proofErr w:type="spellEnd"/>
      <w:r>
        <w:rPr>
          <w:color w:val="000000"/>
        </w:rPr>
        <w:t xml:space="preserve"> SS, </w:t>
      </w:r>
      <w:proofErr w:type="spellStart"/>
      <w:r>
        <w:rPr>
          <w:color w:val="000000"/>
        </w:rPr>
        <w:t>Hoseinpour</w:t>
      </w:r>
      <w:proofErr w:type="spellEnd"/>
      <w:r>
        <w:rPr>
          <w:color w:val="000000"/>
        </w:rPr>
        <w:t xml:space="preserve"> F, </w:t>
      </w:r>
      <w:proofErr w:type="spellStart"/>
      <w:r>
        <w:rPr>
          <w:color w:val="000000"/>
        </w:rPr>
        <w:t>Kiomarsi</w:t>
      </w:r>
      <w:proofErr w:type="spellEnd"/>
      <w:r>
        <w:rPr>
          <w:color w:val="000000"/>
        </w:rPr>
        <w:t xml:space="preserve"> N, </w:t>
      </w:r>
      <w:proofErr w:type="spellStart"/>
      <w:r>
        <w:rPr>
          <w:color w:val="000000"/>
        </w:rPr>
        <w:t>Dehaki</w:t>
      </w:r>
      <w:proofErr w:type="spellEnd"/>
      <w:r>
        <w:rPr>
          <w:color w:val="000000"/>
        </w:rPr>
        <w:t xml:space="preserve"> MG, </w:t>
      </w:r>
      <w:proofErr w:type="spellStart"/>
      <w:r>
        <w:rPr>
          <w:color w:val="000000"/>
        </w:rPr>
        <w:t>Kharazifard</w:t>
      </w:r>
      <w:proofErr w:type="spellEnd"/>
      <w:r>
        <w:rPr>
          <w:color w:val="000000"/>
        </w:rPr>
        <w:t xml:space="preserve"> MJ. Effect of an Optical Whitening Toothpaste on Color Stability of Tooth-Colored Restorative Materials. </w:t>
      </w:r>
      <w:r w:rsidRPr="00922B41">
        <w:rPr>
          <w:color w:val="000000"/>
          <w:lang w:val="pt-BR"/>
        </w:rPr>
        <w:t>Eur J Dent 2020;14:085–91.</w:t>
      </w:r>
    </w:p>
    <w:p w14:paraId="02704CC7" w14:textId="77777777" w:rsidR="00111D3A" w:rsidRPr="00922B41" w:rsidRDefault="00111D3A" w:rsidP="00111D3A">
      <w:pPr>
        <w:suppressAutoHyphens/>
        <w:spacing w:line="360" w:lineRule="auto"/>
        <w:ind w:left="720"/>
        <w:jc w:val="both"/>
        <w:rPr>
          <w:lang w:val="pt-BR"/>
        </w:rPr>
      </w:pPr>
    </w:p>
    <w:p w14:paraId="7C09C9CD" w14:textId="5503C972" w:rsidR="00064817" w:rsidRDefault="00064817" w:rsidP="008F060F">
      <w:pPr>
        <w:suppressAutoHyphens/>
        <w:spacing w:line="360" w:lineRule="auto"/>
        <w:jc w:val="both"/>
        <w:rPr>
          <w:color w:val="000000"/>
        </w:rPr>
      </w:pPr>
      <w:r w:rsidRPr="00922B41">
        <w:rPr>
          <w:color w:val="000000"/>
          <w:lang w:val="pt-BR"/>
        </w:rPr>
        <w:t xml:space="preserve">Vaz VTP, Jubilato DP, Oliveira MRM, Bortolatto JF, Floros MC, Dantas AAR, et al. </w:t>
      </w:r>
      <w:r>
        <w:rPr>
          <w:color w:val="000000"/>
        </w:rPr>
        <w:t xml:space="preserve">Whitening toothpaste containing activated charcoal, blue </w:t>
      </w:r>
      <w:proofErr w:type="spellStart"/>
      <w:r>
        <w:rPr>
          <w:color w:val="000000"/>
        </w:rPr>
        <w:t>covarine</w:t>
      </w:r>
      <w:proofErr w:type="spellEnd"/>
      <w:r>
        <w:rPr>
          <w:color w:val="000000"/>
        </w:rPr>
        <w:t>, hydrogen peroxide or microbeads: which one is the most effective? J Appl Oral Sci 2019;</w:t>
      </w:r>
      <w:proofErr w:type="gramStart"/>
      <w:r>
        <w:rPr>
          <w:color w:val="000000"/>
        </w:rPr>
        <w:t>27:e</w:t>
      </w:r>
      <w:proofErr w:type="gramEnd"/>
      <w:r>
        <w:rPr>
          <w:color w:val="000000"/>
        </w:rPr>
        <w:t>20180051.</w:t>
      </w:r>
    </w:p>
    <w:p w14:paraId="0D53F528" w14:textId="77777777" w:rsidR="00111D3A" w:rsidRDefault="00111D3A" w:rsidP="00111D3A">
      <w:pPr>
        <w:suppressAutoHyphens/>
        <w:spacing w:line="360" w:lineRule="auto"/>
        <w:ind w:left="720"/>
        <w:jc w:val="both"/>
      </w:pPr>
    </w:p>
    <w:p w14:paraId="1E8FCACA" w14:textId="097CA9F2" w:rsidR="00064817" w:rsidRDefault="00064817" w:rsidP="008F060F">
      <w:pPr>
        <w:suppressAutoHyphens/>
        <w:spacing w:line="360" w:lineRule="auto"/>
        <w:jc w:val="both"/>
        <w:rPr>
          <w:color w:val="000000"/>
        </w:rPr>
      </w:pPr>
      <w:r w:rsidRPr="00922B41">
        <w:rPr>
          <w:color w:val="000000"/>
          <w:lang w:val="pt-BR"/>
        </w:rPr>
        <w:t xml:space="preserve">Bortolatto JF, Dantas AAR, Roncolato Á, Merchan H, Floros MC, Kuga MC, et al. </w:t>
      </w:r>
      <w:r>
        <w:rPr>
          <w:color w:val="000000"/>
        </w:rPr>
        <w:t xml:space="preserve">Does a toothpaste containing blue </w:t>
      </w:r>
      <w:proofErr w:type="spellStart"/>
      <w:r>
        <w:rPr>
          <w:color w:val="000000"/>
        </w:rPr>
        <w:t>covarine</w:t>
      </w:r>
      <w:proofErr w:type="spellEnd"/>
      <w:r>
        <w:rPr>
          <w:color w:val="000000"/>
        </w:rPr>
        <w:t xml:space="preserve"> have any effect on bleached teeth? An in vitro, randomized and blinded study. Braz Oral Res 2016;30.</w:t>
      </w:r>
    </w:p>
    <w:p w14:paraId="0E905ECA" w14:textId="77777777" w:rsidR="00111D3A" w:rsidRDefault="00111D3A" w:rsidP="00111D3A">
      <w:pPr>
        <w:suppressAutoHyphens/>
        <w:spacing w:line="360" w:lineRule="auto"/>
        <w:ind w:left="720"/>
        <w:jc w:val="both"/>
        <w:rPr>
          <w:color w:val="000000"/>
        </w:rPr>
      </w:pPr>
    </w:p>
    <w:p w14:paraId="0D63710A" w14:textId="144040A3" w:rsidR="00064817" w:rsidRDefault="00064817" w:rsidP="008F060F">
      <w:pPr>
        <w:suppressAutoHyphens/>
        <w:spacing w:line="360" w:lineRule="auto"/>
        <w:jc w:val="both"/>
        <w:rPr>
          <w:color w:val="000000"/>
        </w:rPr>
      </w:pPr>
      <w:r w:rsidRPr="00922B41">
        <w:rPr>
          <w:color w:val="000000"/>
          <w:lang w:val="pt-BR"/>
        </w:rPr>
        <w:t xml:space="preserve">Neri JR, Aragão LR, Nigri FMN, Passos VF, Barros LO, Sampaio FA, et al. Efeito de bebidas corantes e ácidas na estabilidade da cor do esmalte dentário após clareamento de consultório. </w:t>
      </w:r>
      <w:proofErr w:type="spellStart"/>
      <w:r>
        <w:rPr>
          <w:color w:val="000000"/>
        </w:rPr>
        <w:t>Acervo</w:t>
      </w:r>
      <w:proofErr w:type="spellEnd"/>
      <w:r>
        <w:rPr>
          <w:color w:val="000000"/>
        </w:rPr>
        <w:t xml:space="preserve"> </w:t>
      </w:r>
      <w:proofErr w:type="spellStart"/>
      <w:r>
        <w:rPr>
          <w:color w:val="000000"/>
        </w:rPr>
        <w:t>Saúde</w:t>
      </w:r>
      <w:proofErr w:type="spellEnd"/>
      <w:r>
        <w:rPr>
          <w:color w:val="000000"/>
        </w:rPr>
        <w:t xml:space="preserve"> 2020;</w:t>
      </w:r>
      <w:proofErr w:type="gramStart"/>
      <w:r>
        <w:rPr>
          <w:color w:val="000000"/>
        </w:rPr>
        <w:t>12:e</w:t>
      </w:r>
      <w:proofErr w:type="gramEnd"/>
      <w:r>
        <w:rPr>
          <w:color w:val="000000"/>
        </w:rPr>
        <w:t>2594.</w:t>
      </w:r>
    </w:p>
    <w:p w14:paraId="7FFC6362" w14:textId="77777777" w:rsidR="00111D3A" w:rsidRDefault="00111D3A" w:rsidP="00111D3A">
      <w:pPr>
        <w:suppressAutoHyphens/>
        <w:spacing w:line="360" w:lineRule="auto"/>
        <w:ind w:left="720"/>
        <w:jc w:val="both"/>
        <w:rPr>
          <w:rFonts w:eastAsia="Lucida Sans Unicode"/>
        </w:rPr>
      </w:pPr>
    </w:p>
    <w:p w14:paraId="3AF45550" w14:textId="2846D3CF" w:rsidR="00064817" w:rsidRDefault="00064817" w:rsidP="008F060F">
      <w:pPr>
        <w:suppressAutoHyphens/>
        <w:spacing w:line="360" w:lineRule="auto"/>
        <w:jc w:val="both"/>
        <w:rPr>
          <w:color w:val="000000"/>
        </w:rPr>
      </w:pPr>
      <w:r>
        <w:rPr>
          <w:color w:val="000000"/>
        </w:rPr>
        <w:lastRenderedPageBreak/>
        <w:t xml:space="preserve">Karadas M, Seven N. The effect of different drinks on tooth color after home bleaching. Eur J Dent </w:t>
      </w:r>
      <w:proofErr w:type="gramStart"/>
      <w:r>
        <w:rPr>
          <w:color w:val="000000"/>
        </w:rPr>
        <w:t>2014;08:249</w:t>
      </w:r>
      <w:proofErr w:type="gramEnd"/>
      <w:r>
        <w:rPr>
          <w:color w:val="000000"/>
        </w:rPr>
        <w:t>–53.</w:t>
      </w:r>
    </w:p>
    <w:p w14:paraId="40387E2C" w14:textId="77777777" w:rsidR="00111D3A" w:rsidRDefault="00111D3A" w:rsidP="00111D3A">
      <w:pPr>
        <w:suppressAutoHyphens/>
        <w:spacing w:line="360" w:lineRule="auto"/>
        <w:ind w:left="720"/>
        <w:jc w:val="both"/>
      </w:pPr>
    </w:p>
    <w:p w14:paraId="4A79BF3F" w14:textId="7B090B7F" w:rsidR="00064817" w:rsidRDefault="00064817" w:rsidP="008F060F">
      <w:pPr>
        <w:suppressAutoHyphens/>
        <w:spacing w:line="360" w:lineRule="auto"/>
        <w:jc w:val="both"/>
        <w:rPr>
          <w:color w:val="000000"/>
        </w:rPr>
      </w:pPr>
      <w:r>
        <w:rPr>
          <w:color w:val="000000"/>
        </w:rPr>
        <w:t xml:space="preserve">Reis RS, Neiva GF, </w:t>
      </w:r>
      <w:proofErr w:type="spellStart"/>
      <w:r>
        <w:rPr>
          <w:color w:val="000000"/>
        </w:rPr>
        <w:t>Yaman</w:t>
      </w:r>
      <w:proofErr w:type="spellEnd"/>
      <w:r>
        <w:rPr>
          <w:color w:val="000000"/>
        </w:rPr>
        <w:t xml:space="preserve"> P, </w:t>
      </w:r>
      <w:proofErr w:type="spellStart"/>
      <w:r>
        <w:rPr>
          <w:color w:val="000000"/>
        </w:rPr>
        <w:t>Razzoog</w:t>
      </w:r>
      <w:proofErr w:type="spellEnd"/>
      <w:r>
        <w:rPr>
          <w:color w:val="000000"/>
        </w:rPr>
        <w:t xml:space="preserve"> ME. Effect of Firing on the Color Stability of a Light-Cured Ceramic Stain. J Prosthodontics </w:t>
      </w:r>
      <w:proofErr w:type="gramStart"/>
      <w:r>
        <w:rPr>
          <w:color w:val="000000"/>
        </w:rPr>
        <w:t>1996;5:182</w:t>
      </w:r>
      <w:proofErr w:type="gramEnd"/>
      <w:r>
        <w:rPr>
          <w:color w:val="000000"/>
        </w:rPr>
        <w:t>–5.</w:t>
      </w:r>
    </w:p>
    <w:p w14:paraId="250AFF40" w14:textId="77777777" w:rsidR="00111D3A" w:rsidRDefault="00111D3A" w:rsidP="00111D3A">
      <w:pPr>
        <w:suppressAutoHyphens/>
        <w:spacing w:line="360" w:lineRule="auto"/>
        <w:ind w:left="720"/>
        <w:jc w:val="both"/>
        <w:rPr>
          <w:color w:val="000000"/>
        </w:rPr>
      </w:pPr>
    </w:p>
    <w:p w14:paraId="3BAA9DEB" w14:textId="5586FC36" w:rsidR="00064817" w:rsidRDefault="00064817" w:rsidP="008F060F">
      <w:pPr>
        <w:suppressAutoHyphens/>
        <w:spacing w:line="360" w:lineRule="auto"/>
        <w:jc w:val="both"/>
        <w:rPr>
          <w:color w:val="000000"/>
        </w:rPr>
      </w:pPr>
      <w:r>
        <w:rPr>
          <w:color w:val="000000"/>
        </w:rPr>
        <w:t xml:space="preserve">Taneja S, Kumar M, Agarwal P, Bhalla A. Effect of potential </w:t>
      </w:r>
      <w:proofErr w:type="spellStart"/>
      <w:r>
        <w:rPr>
          <w:color w:val="000000"/>
        </w:rPr>
        <w:t>remineralizing</w:t>
      </w:r>
      <w:proofErr w:type="spellEnd"/>
      <w:r>
        <w:rPr>
          <w:color w:val="000000"/>
        </w:rPr>
        <w:t xml:space="preserve"> agent and antioxidants on color stability of bleached tooth exposed to different staining solutions. J </w:t>
      </w:r>
      <w:proofErr w:type="spellStart"/>
      <w:r>
        <w:rPr>
          <w:color w:val="000000"/>
        </w:rPr>
        <w:t>Conserv</w:t>
      </w:r>
      <w:proofErr w:type="spellEnd"/>
      <w:r>
        <w:rPr>
          <w:color w:val="000000"/>
        </w:rPr>
        <w:t xml:space="preserve"> Dent </w:t>
      </w:r>
      <w:proofErr w:type="gramStart"/>
      <w:r>
        <w:rPr>
          <w:color w:val="000000"/>
        </w:rPr>
        <w:t>2018;21:378</w:t>
      </w:r>
      <w:proofErr w:type="gramEnd"/>
      <w:r>
        <w:rPr>
          <w:color w:val="000000"/>
        </w:rPr>
        <w:t>.</w:t>
      </w:r>
    </w:p>
    <w:p w14:paraId="368684F3" w14:textId="77777777" w:rsidR="00111D3A" w:rsidRDefault="00111D3A" w:rsidP="00111D3A">
      <w:pPr>
        <w:suppressAutoHyphens/>
        <w:spacing w:line="360" w:lineRule="auto"/>
        <w:ind w:left="720"/>
        <w:jc w:val="both"/>
        <w:rPr>
          <w:rFonts w:eastAsia="Lucida Sans Unicode"/>
        </w:rPr>
      </w:pPr>
    </w:p>
    <w:p w14:paraId="1B790588" w14:textId="42F51E8B" w:rsidR="00064817" w:rsidRDefault="00064817" w:rsidP="008F060F">
      <w:pPr>
        <w:suppressAutoHyphens/>
        <w:spacing w:line="360" w:lineRule="auto"/>
        <w:jc w:val="both"/>
        <w:rPr>
          <w:color w:val="000000"/>
        </w:rPr>
      </w:pPr>
      <w:r>
        <w:rPr>
          <w:color w:val="000000"/>
        </w:rPr>
        <w:t xml:space="preserve">Proctor GB, Pramanik R, Carpenter GH, Rees GD. Salivary Proteins Interact with Dietary Constituents to Modulate Tooth Staining. J Dent Res </w:t>
      </w:r>
      <w:proofErr w:type="gramStart"/>
      <w:r>
        <w:rPr>
          <w:color w:val="000000"/>
        </w:rPr>
        <w:t>2005;84:73</w:t>
      </w:r>
      <w:proofErr w:type="gramEnd"/>
      <w:r>
        <w:rPr>
          <w:color w:val="000000"/>
        </w:rPr>
        <w:t>–8.</w:t>
      </w:r>
    </w:p>
    <w:p w14:paraId="50A18FC4" w14:textId="77777777" w:rsidR="00111D3A" w:rsidRDefault="00111D3A" w:rsidP="00111D3A">
      <w:pPr>
        <w:suppressAutoHyphens/>
        <w:spacing w:line="360" w:lineRule="auto"/>
        <w:ind w:left="720"/>
        <w:jc w:val="both"/>
        <w:rPr>
          <w:color w:val="000000"/>
        </w:rPr>
      </w:pPr>
    </w:p>
    <w:p w14:paraId="0CD5FEFD" w14:textId="408C05F3" w:rsidR="00064817" w:rsidRDefault="00064817" w:rsidP="008F060F">
      <w:pPr>
        <w:suppressAutoHyphens/>
        <w:spacing w:line="360" w:lineRule="auto"/>
        <w:jc w:val="both"/>
        <w:rPr>
          <w:color w:val="000000"/>
        </w:rPr>
      </w:pPr>
      <w:r>
        <w:rPr>
          <w:color w:val="000000"/>
        </w:rPr>
        <w:t xml:space="preserve">Torres C, Perote L, Gutierrez N, Pucci C, Borges A. Efficacy of Mouth Rinses and Toothpaste on Tooth Whitening. Operative Dentistry </w:t>
      </w:r>
      <w:proofErr w:type="gramStart"/>
      <w:r>
        <w:rPr>
          <w:color w:val="000000"/>
        </w:rPr>
        <w:t>2013;38:57</w:t>
      </w:r>
      <w:proofErr w:type="gramEnd"/>
      <w:r>
        <w:rPr>
          <w:color w:val="000000"/>
        </w:rPr>
        <w:t>–62.</w:t>
      </w:r>
    </w:p>
    <w:p w14:paraId="56CD19C3" w14:textId="77777777" w:rsidR="00111D3A" w:rsidRDefault="00111D3A" w:rsidP="00111D3A">
      <w:pPr>
        <w:suppressAutoHyphens/>
        <w:spacing w:line="360" w:lineRule="auto"/>
        <w:ind w:left="720"/>
        <w:jc w:val="both"/>
        <w:rPr>
          <w:rFonts w:eastAsia="Lucida Sans Unicode"/>
        </w:rPr>
      </w:pPr>
    </w:p>
    <w:p w14:paraId="08A3D574" w14:textId="68DAA781" w:rsidR="00064817" w:rsidRDefault="00064817" w:rsidP="008F060F">
      <w:pPr>
        <w:suppressAutoHyphens/>
        <w:spacing w:line="360" w:lineRule="auto"/>
        <w:jc w:val="both"/>
        <w:rPr>
          <w:color w:val="000000"/>
        </w:rPr>
      </w:pPr>
      <w:r>
        <w:rPr>
          <w:color w:val="000000"/>
        </w:rPr>
        <w:t xml:space="preserve">Gerlach RW, Zhou X. Vital Bleaching with Whitening Strips: Summary of Clinical Research on Effectiveness and Tolerability. The Journal of Contemporary Dental Practice </w:t>
      </w:r>
      <w:proofErr w:type="gramStart"/>
      <w:r>
        <w:rPr>
          <w:color w:val="000000"/>
        </w:rPr>
        <w:t>2001;2:28</w:t>
      </w:r>
      <w:proofErr w:type="gramEnd"/>
      <w:r>
        <w:rPr>
          <w:color w:val="000000"/>
        </w:rPr>
        <w:t>–42.</w:t>
      </w:r>
    </w:p>
    <w:p w14:paraId="2758F2E1" w14:textId="77777777" w:rsidR="00111D3A" w:rsidRDefault="00111D3A" w:rsidP="00111D3A">
      <w:pPr>
        <w:suppressAutoHyphens/>
        <w:spacing w:line="360" w:lineRule="auto"/>
        <w:ind w:left="720"/>
        <w:jc w:val="both"/>
      </w:pPr>
    </w:p>
    <w:p w14:paraId="104076B2" w14:textId="3614E156" w:rsidR="00064817" w:rsidRDefault="00064817" w:rsidP="008F060F">
      <w:pPr>
        <w:suppressAutoHyphens/>
        <w:spacing w:line="360" w:lineRule="auto"/>
        <w:jc w:val="both"/>
        <w:rPr>
          <w:color w:val="000000"/>
        </w:rPr>
      </w:pPr>
      <w:r>
        <w:rPr>
          <w:color w:val="000000"/>
        </w:rPr>
        <w:t xml:space="preserve">Collins LZ, </w:t>
      </w:r>
      <w:proofErr w:type="spellStart"/>
      <w:r>
        <w:rPr>
          <w:color w:val="000000"/>
        </w:rPr>
        <w:t>Naeeni</w:t>
      </w:r>
      <w:proofErr w:type="spellEnd"/>
      <w:r>
        <w:rPr>
          <w:color w:val="000000"/>
        </w:rPr>
        <w:t xml:space="preserve"> M, </w:t>
      </w:r>
      <w:proofErr w:type="spellStart"/>
      <w:r>
        <w:rPr>
          <w:color w:val="000000"/>
        </w:rPr>
        <w:t>Platten</w:t>
      </w:r>
      <w:proofErr w:type="spellEnd"/>
      <w:r>
        <w:rPr>
          <w:color w:val="000000"/>
        </w:rPr>
        <w:t xml:space="preserve"> SM. Instant tooth whitening from a silica toothpaste containing blue </w:t>
      </w:r>
      <w:proofErr w:type="spellStart"/>
      <w:r>
        <w:rPr>
          <w:color w:val="000000"/>
        </w:rPr>
        <w:t>covarine</w:t>
      </w:r>
      <w:proofErr w:type="spellEnd"/>
      <w:r>
        <w:rPr>
          <w:color w:val="000000"/>
        </w:rPr>
        <w:t xml:space="preserve">. Journal of Dentistry </w:t>
      </w:r>
      <w:proofErr w:type="gramStart"/>
      <w:r>
        <w:rPr>
          <w:color w:val="000000"/>
        </w:rPr>
        <w:t>2008;36:21</w:t>
      </w:r>
      <w:proofErr w:type="gramEnd"/>
      <w:r>
        <w:rPr>
          <w:color w:val="000000"/>
        </w:rPr>
        <w:t>–5</w:t>
      </w:r>
    </w:p>
    <w:p w14:paraId="5A156E17" w14:textId="77777777" w:rsidR="00111D3A" w:rsidRDefault="00111D3A" w:rsidP="00111D3A">
      <w:pPr>
        <w:suppressAutoHyphens/>
        <w:spacing w:line="360" w:lineRule="auto"/>
        <w:ind w:left="720"/>
        <w:jc w:val="both"/>
      </w:pPr>
    </w:p>
    <w:p w14:paraId="14163CF2" w14:textId="4FF21A20" w:rsidR="00064817" w:rsidRDefault="00064817" w:rsidP="008F060F">
      <w:pPr>
        <w:suppressAutoHyphens/>
        <w:spacing w:line="360" w:lineRule="auto"/>
        <w:jc w:val="both"/>
        <w:rPr>
          <w:color w:val="000000"/>
        </w:rPr>
      </w:pPr>
      <w:r>
        <w:rPr>
          <w:color w:val="000000"/>
        </w:rPr>
        <w:t xml:space="preserve">Joiner A, Philpotts CJ, Alonso C, Ashcroft AT, </w:t>
      </w:r>
      <w:proofErr w:type="spellStart"/>
      <w:r>
        <w:rPr>
          <w:color w:val="000000"/>
        </w:rPr>
        <w:t>Sygrove</w:t>
      </w:r>
      <w:proofErr w:type="spellEnd"/>
      <w:r>
        <w:rPr>
          <w:color w:val="000000"/>
        </w:rPr>
        <w:t xml:space="preserve"> NJ. A novel optical approach to achieving tooth whitening. Journal of Dentistry </w:t>
      </w:r>
      <w:proofErr w:type="gramStart"/>
      <w:r>
        <w:rPr>
          <w:color w:val="000000"/>
        </w:rPr>
        <w:t>2008;36:8</w:t>
      </w:r>
      <w:proofErr w:type="gramEnd"/>
      <w:r>
        <w:rPr>
          <w:color w:val="000000"/>
        </w:rPr>
        <w:t>–14.</w:t>
      </w:r>
    </w:p>
    <w:p w14:paraId="15E11778" w14:textId="77777777" w:rsidR="00111D3A" w:rsidRDefault="00111D3A" w:rsidP="00111D3A">
      <w:pPr>
        <w:suppressAutoHyphens/>
        <w:spacing w:line="360" w:lineRule="auto"/>
        <w:ind w:left="720"/>
        <w:jc w:val="both"/>
      </w:pPr>
    </w:p>
    <w:p w14:paraId="342CBED2" w14:textId="56528F04" w:rsidR="00064817" w:rsidRDefault="00064817" w:rsidP="008F060F">
      <w:pPr>
        <w:suppressAutoHyphens/>
        <w:spacing w:line="360" w:lineRule="auto"/>
        <w:jc w:val="both"/>
        <w:rPr>
          <w:color w:val="000000"/>
        </w:rPr>
      </w:pPr>
      <w:proofErr w:type="spellStart"/>
      <w:r>
        <w:rPr>
          <w:color w:val="000000"/>
        </w:rPr>
        <w:t>Dantas</w:t>
      </w:r>
      <w:proofErr w:type="spellEnd"/>
      <w:r>
        <w:rPr>
          <w:color w:val="000000"/>
        </w:rPr>
        <w:t xml:space="preserve"> AAR, </w:t>
      </w:r>
      <w:proofErr w:type="spellStart"/>
      <w:r>
        <w:rPr>
          <w:color w:val="000000"/>
        </w:rPr>
        <w:t>Bortolatto</w:t>
      </w:r>
      <w:proofErr w:type="spellEnd"/>
      <w:r>
        <w:rPr>
          <w:color w:val="000000"/>
        </w:rPr>
        <w:t xml:space="preserve"> JF, </w:t>
      </w:r>
      <w:proofErr w:type="spellStart"/>
      <w:r>
        <w:rPr>
          <w:color w:val="000000"/>
        </w:rPr>
        <w:t>Roncolato</w:t>
      </w:r>
      <w:proofErr w:type="spellEnd"/>
      <w:r>
        <w:rPr>
          <w:color w:val="000000"/>
        </w:rPr>
        <w:t xml:space="preserve"> Á, Merchan H, Floros MC, Kuga MC, et al. Can a bleaching toothpaste containing Blue </w:t>
      </w:r>
      <w:proofErr w:type="spellStart"/>
      <w:r>
        <w:rPr>
          <w:color w:val="000000"/>
        </w:rPr>
        <w:t>Covarine</w:t>
      </w:r>
      <w:proofErr w:type="spellEnd"/>
      <w:r>
        <w:rPr>
          <w:color w:val="000000"/>
        </w:rPr>
        <w:t xml:space="preserve"> demonstrate the same bleaching as conventional techniques? An in vitro, randomized and blinded study. J Appl Oral Sci </w:t>
      </w:r>
      <w:proofErr w:type="gramStart"/>
      <w:r>
        <w:rPr>
          <w:color w:val="000000"/>
        </w:rPr>
        <w:t>2015;23:609</w:t>
      </w:r>
      <w:proofErr w:type="gramEnd"/>
      <w:r>
        <w:rPr>
          <w:color w:val="000000"/>
        </w:rPr>
        <w:t>–13.</w:t>
      </w:r>
    </w:p>
    <w:p w14:paraId="38457B0C" w14:textId="77777777" w:rsidR="00111D3A" w:rsidRDefault="00111D3A" w:rsidP="00111D3A">
      <w:pPr>
        <w:suppressAutoHyphens/>
        <w:spacing w:line="360" w:lineRule="auto"/>
        <w:ind w:left="720"/>
        <w:jc w:val="both"/>
        <w:rPr>
          <w:color w:val="000000"/>
        </w:rPr>
      </w:pPr>
    </w:p>
    <w:p w14:paraId="33A14CE4" w14:textId="121D6270" w:rsidR="00064817" w:rsidRDefault="00064817" w:rsidP="008F060F">
      <w:pPr>
        <w:suppressAutoHyphens/>
        <w:spacing w:line="360" w:lineRule="auto"/>
        <w:jc w:val="both"/>
        <w:rPr>
          <w:color w:val="000000"/>
        </w:rPr>
      </w:pPr>
      <w:r w:rsidRPr="00922B41">
        <w:rPr>
          <w:color w:val="000000"/>
          <w:lang w:val="pt-BR"/>
        </w:rPr>
        <w:t xml:space="preserve">Oliveira M, Fernández E, Bortolatto J, Oliveira Junior O, Bandeca M, Khajotia S, et al. </w:t>
      </w:r>
      <w:r>
        <w:rPr>
          <w:color w:val="000000"/>
        </w:rPr>
        <w:t xml:space="preserve">Optical Dental Whitening Efficacy of Blue </w:t>
      </w:r>
      <w:proofErr w:type="spellStart"/>
      <w:r>
        <w:rPr>
          <w:color w:val="000000"/>
        </w:rPr>
        <w:t>Covarine</w:t>
      </w:r>
      <w:proofErr w:type="spellEnd"/>
      <w:r>
        <w:rPr>
          <w:color w:val="000000"/>
        </w:rPr>
        <w:t xml:space="preserve"> Toothpaste in Teeth Stained by Different Colors: Optical Dental Whitening Efficacy. J </w:t>
      </w:r>
      <w:proofErr w:type="spellStart"/>
      <w:r>
        <w:rPr>
          <w:color w:val="000000"/>
        </w:rPr>
        <w:t>Esthet</w:t>
      </w:r>
      <w:proofErr w:type="spellEnd"/>
      <w:r>
        <w:rPr>
          <w:color w:val="000000"/>
        </w:rPr>
        <w:t xml:space="preserve"> </w:t>
      </w:r>
      <w:proofErr w:type="spellStart"/>
      <w:r>
        <w:rPr>
          <w:color w:val="000000"/>
        </w:rPr>
        <w:t>Restor</w:t>
      </w:r>
      <w:proofErr w:type="spellEnd"/>
      <w:r>
        <w:rPr>
          <w:color w:val="000000"/>
        </w:rPr>
        <w:t xml:space="preserve"> Dent 2016;</w:t>
      </w:r>
      <w:proofErr w:type="gramStart"/>
      <w:r>
        <w:rPr>
          <w:color w:val="000000"/>
        </w:rPr>
        <w:t>28:S</w:t>
      </w:r>
      <w:proofErr w:type="gramEnd"/>
      <w:r>
        <w:rPr>
          <w:color w:val="000000"/>
        </w:rPr>
        <w:t>68–77.</w:t>
      </w:r>
    </w:p>
    <w:p w14:paraId="0C56259A" w14:textId="77777777" w:rsidR="00111D3A" w:rsidRDefault="00111D3A" w:rsidP="00111D3A">
      <w:pPr>
        <w:suppressAutoHyphens/>
        <w:spacing w:line="360" w:lineRule="auto"/>
        <w:ind w:left="720"/>
        <w:jc w:val="both"/>
        <w:rPr>
          <w:rFonts w:eastAsia="Lucida Sans Unicode"/>
        </w:rPr>
      </w:pPr>
    </w:p>
    <w:p w14:paraId="4E0F8F0F" w14:textId="77777777" w:rsidR="00064817" w:rsidRDefault="00064817" w:rsidP="008F060F">
      <w:pPr>
        <w:suppressAutoHyphens/>
        <w:spacing w:line="360" w:lineRule="auto"/>
        <w:jc w:val="both"/>
        <w:rPr>
          <w:color w:val="000000"/>
        </w:rPr>
      </w:pPr>
      <w:r>
        <w:rPr>
          <w:color w:val="000000"/>
        </w:rPr>
        <w:t xml:space="preserve">Horn BA, Bittencourt BF, Gomes OMM, Farhat PA. Clinical Evaluation of the Whitening Effect of Over-the-Counter Dentifrices on Vital Teeth. Braz Dent J </w:t>
      </w:r>
      <w:proofErr w:type="gramStart"/>
      <w:r>
        <w:rPr>
          <w:color w:val="000000"/>
        </w:rPr>
        <w:t>2014;25:203</w:t>
      </w:r>
      <w:proofErr w:type="gramEnd"/>
      <w:r>
        <w:rPr>
          <w:color w:val="000000"/>
        </w:rPr>
        <w:t>–6.</w:t>
      </w:r>
    </w:p>
    <w:p w14:paraId="3EFAF445" w14:textId="77777777" w:rsidR="008B459E" w:rsidRPr="002C57D2" w:rsidRDefault="008B459E" w:rsidP="00441B6F">
      <w:pPr>
        <w:pStyle w:val="Body"/>
        <w:spacing w:after="0"/>
        <w:rPr>
          <w:rFonts w:ascii="Arial" w:hAnsi="Arial" w:cs="Arial"/>
        </w:rPr>
      </w:pPr>
    </w:p>
    <w:p w14:paraId="22E623DF" w14:textId="77777777" w:rsidR="00790ADA" w:rsidRPr="00FB3A86" w:rsidRDefault="00790ADA" w:rsidP="00441B6F">
      <w:pPr>
        <w:pStyle w:val="Body"/>
        <w:spacing w:after="0"/>
        <w:rPr>
          <w:rFonts w:ascii="Arial" w:hAnsi="Arial" w:cs="Arial"/>
        </w:rPr>
      </w:pPr>
    </w:p>
    <w:p w14:paraId="7B6D26FD" w14:textId="77777777" w:rsidR="00111D3A" w:rsidRDefault="00111D3A" w:rsidP="00111D3A">
      <w:pPr>
        <w:spacing w:line="360" w:lineRule="auto"/>
        <w:jc w:val="both"/>
      </w:pPr>
      <w:r>
        <w:t xml:space="preserve">Table 1. </w:t>
      </w:r>
    </w:p>
    <w:p w14:paraId="257DB21F" w14:textId="77777777" w:rsidR="00111D3A" w:rsidRDefault="00111D3A" w:rsidP="00111D3A">
      <w:pPr>
        <w:spacing w:line="360" w:lineRule="auto"/>
        <w:jc w:val="both"/>
      </w:pPr>
      <w:r>
        <w:t xml:space="preserve">Mean values of color coordinates (ΔL, </w:t>
      </w:r>
      <w:proofErr w:type="spellStart"/>
      <w:r>
        <w:t>Δa</w:t>
      </w:r>
      <w:proofErr w:type="spellEnd"/>
      <w:r>
        <w:t xml:space="preserve">, </w:t>
      </w:r>
      <w:proofErr w:type="spellStart"/>
      <w:r>
        <w:t>Δb</w:t>
      </w:r>
      <w:proofErr w:type="spellEnd"/>
      <w:r>
        <w:t xml:space="preserve"> and ΔE) of enamel after immersion in coloring beverages.</w:t>
      </w:r>
    </w:p>
    <w:p w14:paraId="62270CA0" w14:textId="77777777" w:rsidR="00111D3A" w:rsidRDefault="00111D3A" w:rsidP="00111D3A">
      <w:pPr>
        <w:spacing w:line="360" w:lineRule="auto"/>
        <w:jc w:val="both"/>
      </w:pPr>
    </w:p>
    <w:tbl>
      <w:tblPr>
        <w:tblW w:w="8790" w:type="dxa"/>
        <w:tblBorders>
          <w:top w:val="single" w:sz="4" w:space="0" w:color="000000"/>
          <w:bottom w:val="single" w:sz="4" w:space="0" w:color="000000"/>
        </w:tblBorders>
        <w:tblLayout w:type="fixed"/>
        <w:tblLook w:val="0400" w:firstRow="0" w:lastRow="0" w:firstColumn="0" w:lastColumn="0" w:noHBand="0" w:noVBand="1"/>
      </w:tblPr>
      <w:tblGrid>
        <w:gridCol w:w="2553"/>
        <w:gridCol w:w="1663"/>
        <w:gridCol w:w="1413"/>
        <w:gridCol w:w="1523"/>
        <w:gridCol w:w="1638"/>
      </w:tblGrid>
      <w:tr w:rsidR="00111D3A" w14:paraId="72BFF117" w14:textId="77777777" w:rsidTr="00111D3A">
        <w:trPr>
          <w:trHeight w:val="246"/>
        </w:trPr>
        <w:tc>
          <w:tcPr>
            <w:tcW w:w="2552" w:type="dxa"/>
            <w:tcBorders>
              <w:top w:val="single" w:sz="4" w:space="0" w:color="000000"/>
              <w:left w:val="nil"/>
              <w:bottom w:val="single" w:sz="4" w:space="0" w:color="000000"/>
              <w:right w:val="nil"/>
            </w:tcBorders>
            <w:hideMark/>
          </w:tcPr>
          <w:p w14:paraId="0F1C4D44" w14:textId="77777777" w:rsidR="00111D3A" w:rsidRDefault="00111D3A">
            <w:pPr>
              <w:spacing w:line="360" w:lineRule="auto"/>
              <w:jc w:val="both"/>
            </w:pPr>
            <w:r>
              <w:t>Groups (n=5)</w:t>
            </w:r>
          </w:p>
        </w:tc>
        <w:tc>
          <w:tcPr>
            <w:tcW w:w="1663" w:type="dxa"/>
            <w:tcBorders>
              <w:top w:val="single" w:sz="4" w:space="0" w:color="000000"/>
              <w:left w:val="nil"/>
              <w:bottom w:val="single" w:sz="4" w:space="0" w:color="000000"/>
              <w:right w:val="nil"/>
            </w:tcBorders>
            <w:hideMark/>
          </w:tcPr>
          <w:p w14:paraId="4BCCD5D6" w14:textId="77777777" w:rsidR="00111D3A" w:rsidRDefault="00111D3A">
            <w:pPr>
              <w:spacing w:line="360" w:lineRule="auto"/>
              <w:jc w:val="center"/>
            </w:pPr>
            <w:r>
              <w:t>ΔL</w:t>
            </w:r>
          </w:p>
        </w:tc>
        <w:tc>
          <w:tcPr>
            <w:tcW w:w="1413" w:type="dxa"/>
            <w:tcBorders>
              <w:top w:val="single" w:sz="4" w:space="0" w:color="000000"/>
              <w:left w:val="nil"/>
              <w:bottom w:val="single" w:sz="4" w:space="0" w:color="000000"/>
              <w:right w:val="nil"/>
            </w:tcBorders>
            <w:hideMark/>
          </w:tcPr>
          <w:p w14:paraId="0C344C0F" w14:textId="77777777" w:rsidR="00111D3A" w:rsidRDefault="00111D3A">
            <w:pPr>
              <w:spacing w:line="360" w:lineRule="auto"/>
              <w:jc w:val="center"/>
            </w:pPr>
            <w:proofErr w:type="spellStart"/>
            <w:r>
              <w:t>Δa</w:t>
            </w:r>
            <w:proofErr w:type="spellEnd"/>
          </w:p>
        </w:tc>
        <w:tc>
          <w:tcPr>
            <w:tcW w:w="1523" w:type="dxa"/>
            <w:tcBorders>
              <w:top w:val="single" w:sz="4" w:space="0" w:color="000000"/>
              <w:left w:val="nil"/>
              <w:bottom w:val="single" w:sz="4" w:space="0" w:color="000000"/>
              <w:right w:val="nil"/>
            </w:tcBorders>
            <w:hideMark/>
          </w:tcPr>
          <w:p w14:paraId="4D56A2B5" w14:textId="77777777" w:rsidR="00111D3A" w:rsidRDefault="00111D3A">
            <w:pPr>
              <w:spacing w:line="360" w:lineRule="auto"/>
              <w:jc w:val="center"/>
            </w:pPr>
            <w:proofErr w:type="spellStart"/>
            <w:r>
              <w:t>Δb</w:t>
            </w:r>
            <w:proofErr w:type="spellEnd"/>
          </w:p>
        </w:tc>
        <w:tc>
          <w:tcPr>
            <w:tcW w:w="1638" w:type="dxa"/>
            <w:tcBorders>
              <w:top w:val="single" w:sz="4" w:space="0" w:color="000000"/>
              <w:left w:val="nil"/>
              <w:bottom w:val="single" w:sz="4" w:space="0" w:color="000000"/>
              <w:right w:val="nil"/>
            </w:tcBorders>
            <w:hideMark/>
          </w:tcPr>
          <w:p w14:paraId="0FACC9A1" w14:textId="77777777" w:rsidR="00111D3A" w:rsidRDefault="00111D3A">
            <w:pPr>
              <w:spacing w:line="360" w:lineRule="auto"/>
              <w:jc w:val="center"/>
            </w:pPr>
            <w:r>
              <w:t>ΔE</w:t>
            </w:r>
          </w:p>
        </w:tc>
      </w:tr>
      <w:tr w:rsidR="00111D3A" w14:paraId="79D184E2" w14:textId="77777777" w:rsidTr="00111D3A">
        <w:trPr>
          <w:trHeight w:val="232"/>
        </w:trPr>
        <w:tc>
          <w:tcPr>
            <w:tcW w:w="2552" w:type="dxa"/>
            <w:tcBorders>
              <w:top w:val="single" w:sz="4" w:space="0" w:color="000000"/>
              <w:left w:val="nil"/>
              <w:bottom w:val="nil"/>
              <w:right w:val="nil"/>
            </w:tcBorders>
            <w:hideMark/>
          </w:tcPr>
          <w:p w14:paraId="4890E3C2" w14:textId="77777777" w:rsidR="00111D3A" w:rsidRDefault="00111D3A">
            <w:pPr>
              <w:spacing w:line="360" w:lineRule="auto"/>
              <w:jc w:val="both"/>
            </w:pPr>
            <w:r>
              <w:t>Distilled water</w:t>
            </w:r>
          </w:p>
        </w:tc>
        <w:tc>
          <w:tcPr>
            <w:tcW w:w="1663" w:type="dxa"/>
            <w:tcBorders>
              <w:top w:val="single" w:sz="4" w:space="0" w:color="000000"/>
              <w:left w:val="nil"/>
              <w:bottom w:val="nil"/>
              <w:right w:val="nil"/>
            </w:tcBorders>
            <w:hideMark/>
          </w:tcPr>
          <w:p w14:paraId="797E7299" w14:textId="77777777" w:rsidR="00111D3A" w:rsidRDefault="00111D3A">
            <w:pPr>
              <w:spacing w:line="360" w:lineRule="auto"/>
              <w:jc w:val="both"/>
            </w:pPr>
            <w:r>
              <w:t>-1.62±4.65</w:t>
            </w:r>
            <w:r>
              <w:rPr>
                <w:vertAlign w:val="superscript"/>
              </w:rPr>
              <w:t>A</w:t>
            </w:r>
          </w:p>
        </w:tc>
        <w:tc>
          <w:tcPr>
            <w:tcW w:w="1413" w:type="dxa"/>
            <w:tcBorders>
              <w:top w:val="single" w:sz="4" w:space="0" w:color="000000"/>
              <w:left w:val="nil"/>
              <w:bottom w:val="nil"/>
              <w:right w:val="nil"/>
            </w:tcBorders>
            <w:hideMark/>
          </w:tcPr>
          <w:p w14:paraId="02FF51B8" w14:textId="77777777" w:rsidR="00111D3A" w:rsidRDefault="00111D3A">
            <w:pPr>
              <w:spacing w:line="360" w:lineRule="auto"/>
              <w:jc w:val="both"/>
            </w:pPr>
            <w:r>
              <w:t>2.38±2.06</w:t>
            </w:r>
            <w:r>
              <w:rPr>
                <w:vertAlign w:val="superscript"/>
              </w:rPr>
              <w:t>A</w:t>
            </w:r>
          </w:p>
        </w:tc>
        <w:tc>
          <w:tcPr>
            <w:tcW w:w="1523" w:type="dxa"/>
            <w:tcBorders>
              <w:top w:val="single" w:sz="4" w:space="0" w:color="000000"/>
              <w:left w:val="nil"/>
              <w:bottom w:val="nil"/>
              <w:right w:val="nil"/>
            </w:tcBorders>
            <w:hideMark/>
          </w:tcPr>
          <w:p w14:paraId="17EEB652" w14:textId="77777777" w:rsidR="00111D3A" w:rsidRDefault="00111D3A">
            <w:pPr>
              <w:spacing w:line="360" w:lineRule="auto"/>
              <w:jc w:val="both"/>
            </w:pPr>
            <w:r>
              <w:t>2.46±2.59</w:t>
            </w:r>
            <w:r>
              <w:rPr>
                <w:vertAlign w:val="superscript"/>
              </w:rPr>
              <w:t>AB</w:t>
            </w:r>
          </w:p>
        </w:tc>
        <w:tc>
          <w:tcPr>
            <w:tcW w:w="1638" w:type="dxa"/>
            <w:tcBorders>
              <w:top w:val="single" w:sz="4" w:space="0" w:color="000000"/>
              <w:left w:val="nil"/>
              <w:bottom w:val="nil"/>
              <w:right w:val="nil"/>
            </w:tcBorders>
            <w:hideMark/>
          </w:tcPr>
          <w:p w14:paraId="3BD51D4A" w14:textId="77777777" w:rsidR="00111D3A" w:rsidRDefault="00111D3A">
            <w:pPr>
              <w:spacing w:line="360" w:lineRule="auto"/>
              <w:jc w:val="both"/>
            </w:pPr>
            <w:r>
              <w:t>3.79±2.70</w:t>
            </w:r>
            <w:r>
              <w:rPr>
                <w:vertAlign w:val="superscript"/>
              </w:rPr>
              <w:t>A</w:t>
            </w:r>
          </w:p>
        </w:tc>
      </w:tr>
      <w:tr w:rsidR="00111D3A" w14:paraId="1A4C39E7" w14:textId="77777777" w:rsidTr="00111D3A">
        <w:trPr>
          <w:trHeight w:val="291"/>
        </w:trPr>
        <w:tc>
          <w:tcPr>
            <w:tcW w:w="2552" w:type="dxa"/>
            <w:tcBorders>
              <w:top w:val="nil"/>
              <w:left w:val="nil"/>
              <w:bottom w:val="nil"/>
              <w:right w:val="nil"/>
            </w:tcBorders>
            <w:hideMark/>
          </w:tcPr>
          <w:p w14:paraId="75E3CC9B" w14:textId="77777777" w:rsidR="00111D3A" w:rsidRDefault="00111D3A">
            <w:pPr>
              <w:spacing w:line="360" w:lineRule="auto"/>
              <w:jc w:val="both"/>
            </w:pPr>
            <w:r>
              <w:t xml:space="preserve">Cola-based soft drink </w:t>
            </w:r>
          </w:p>
        </w:tc>
        <w:tc>
          <w:tcPr>
            <w:tcW w:w="1663" w:type="dxa"/>
            <w:tcBorders>
              <w:top w:val="nil"/>
              <w:left w:val="nil"/>
              <w:bottom w:val="nil"/>
              <w:right w:val="nil"/>
            </w:tcBorders>
            <w:hideMark/>
          </w:tcPr>
          <w:p w14:paraId="3F2D55E9" w14:textId="77777777" w:rsidR="00111D3A" w:rsidRDefault="00111D3A">
            <w:pPr>
              <w:spacing w:line="360" w:lineRule="auto"/>
              <w:jc w:val="both"/>
              <w:rPr>
                <w:color w:val="000000"/>
              </w:rPr>
            </w:pPr>
            <w:r>
              <w:rPr>
                <w:color w:val="000000"/>
              </w:rPr>
              <w:t>-4.16</w:t>
            </w:r>
            <w:r>
              <w:t>±6.53</w:t>
            </w:r>
            <w:r>
              <w:rPr>
                <w:vertAlign w:val="superscript"/>
              </w:rPr>
              <w:t>A</w:t>
            </w:r>
          </w:p>
        </w:tc>
        <w:tc>
          <w:tcPr>
            <w:tcW w:w="1413" w:type="dxa"/>
            <w:tcBorders>
              <w:top w:val="nil"/>
              <w:left w:val="nil"/>
              <w:bottom w:val="nil"/>
              <w:right w:val="nil"/>
            </w:tcBorders>
            <w:hideMark/>
          </w:tcPr>
          <w:p w14:paraId="4945B25F" w14:textId="77777777" w:rsidR="00111D3A" w:rsidRDefault="00111D3A">
            <w:pPr>
              <w:spacing w:line="360" w:lineRule="auto"/>
              <w:jc w:val="both"/>
            </w:pPr>
            <w:r>
              <w:t>4.12±5.24</w:t>
            </w:r>
            <w:r>
              <w:rPr>
                <w:vertAlign w:val="superscript"/>
              </w:rPr>
              <w:t>A</w:t>
            </w:r>
          </w:p>
        </w:tc>
        <w:tc>
          <w:tcPr>
            <w:tcW w:w="1523" w:type="dxa"/>
            <w:tcBorders>
              <w:top w:val="nil"/>
              <w:left w:val="nil"/>
              <w:bottom w:val="nil"/>
              <w:right w:val="nil"/>
            </w:tcBorders>
            <w:hideMark/>
          </w:tcPr>
          <w:p w14:paraId="11D8C17A" w14:textId="77777777" w:rsidR="00111D3A" w:rsidRDefault="00111D3A">
            <w:pPr>
              <w:spacing w:line="360" w:lineRule="auto"/>
              <w:jc w:val="both"/>
            </w:pPr>
            <w:r>
              <w:t>13.10±3.83</w:t>
            </w:r>
            <w:r>
              <w:rPr>
                <w:vertAlign w:val="superscript"/>
              </w:rPr>
              <w:t>A</w:t>
            </w:r>
          </w:p>
        </w:tc>
        <w:tc>
          <w:tcPr>
            <w:tcW w:w="1638" w:type="dxa"/>
            <w:tcBorders>
              <w:top w:val="nil"/>
              <w:left w:val="nil"/>
              <w:bottom w:val="nil"/>
              <w:right w:val="nil"/>
            </w:tcBorders>
            <w:hideMark/>
          </w:tcPr>
          <w:p w14:paraId="43832C6D" w14:textId="77777777" w:rsidR="00111D3A" w:rsidRDefault="00111D3A">
            <w:pPr>
              <w:spacing w:line="360" w:lineRule="auto"/>
              <w:jc w:val="both"/>
            </w:pPr>
            <w:r>
              <w:t>16.28±3.26</w:t>
            </w:r>
            <w:r>
              <w:rPr>
                <w:vertAlign w:val="superscript"/>
              </w:rPr>
              <w:t>BC</w:t>
            </w:r>
          </w:p>
        </w:tc>
      </w:tr>
      <w:tr w:rsidR="00111D3A" w14:paraId="31422E4A" w14:textId="77777777" w:rsidTr="00111D3A">
        <w:trPr>
          <w:trHeight w:val="232"/>
        </w:trPr>
        <w:tc>
          <w:tcPr>
            <w:tcW w:w="2552" w:type="dxa"/>
            <w:tcBorders>
              <w:top w:val="nil"/>
              <w:left w:val="nil"/>
              <w:bottom w:val="nil"/>
              <w:right w:val="nil"/>
            </w:tcBorders>
            <w:hideMark/>
          </w:tcPr>
          <w:p w14:paraId="79560065" w14:textId="77777777" w:rsidR="00111D3A" w:rsidRDefault="00111D3A">
            <w:pPr>
              <w:spacing w:line="360" w:lineRule="auto"/>
              <w:jc w:val="both"/>
            </w:pPr>
            <w:r>
              <w:t xml:space="preserve">Wine </w:t>
            </w:r>
          </w:p>
        </w:tc>
        <w:tc>
          <w:tcPr>
            <w:tcW w:w="1663" w:type="dxa"/>
            <w:tcBorders>
              <w:top w:val="nil"/>
              <w:left w:val="nil"/>
              <w:bottom w:val="nil"/>
              <w:right w:val="nil"/>
            </w:tcBorders>
            <w:hideMark/>
          </w:tcPr>
          <w:p w14:paraId="735A2CB5" w14:textId="77777777" w:rsidR="00111D3A" w:rsidRDefault="00111D3A">
            <w:pPr>
              <w:spacing w:line="360" w:lineRule="auto"/>
              <w:jc w:val="both"/>
              <w:rPr>
                <w:color w:val="000000"/>
              </w:rPr>
            </w:pPr>
            <w:r>
              <w:rPr>
                <w:color w:val="000000"/>
              </w:rPr>
              <w:t>-19.84</w:t>
            </w:r>
            <w:r>
              <w:t>±5.35</w:t>
            </w:r>
            <w:r>
              <w:rPr>
                <w:vertAlign w:val="superscript"/>
              </w:rPr>
              <w:t>B</w:t>
            </w:r>
          </w:p>
        </w:tc>
        <w:tc>
          <w:tcPr>
            <w:tcW w:w="1413" w:type="dxa"/>
            <w:tcBorders>
              <w:top w:val="nil"/>
              <w:left w:val="nil"/>
              <w:bottom w:val="nil"/>
              <w:right w:val="nil"/>
            </w:tcBorders>
            <w:hideMark/>
          </w:tcPr>
          <w:p w14:paraId="65720C12" w14:textId="77777777" w:rsidR="00111D3A" w:rsidRDefault="00111D3A">
            <w:pPr>
              <w:spacing w:line="360" w:lineRule="auto"/>
              <w:jc w:val="both"/>
            </w:pPr>
            <w:r>
              <w:t>4.02±2.98</w:t>
            </w:r>
            <w:r>
              <w:rPr>
                <w:vertAlign w:val="superscript"/>
              </w:rPr>
              <w:t>A</w:t>
            </w:r>
          </w:p>
        </w:tc>
        <w:tc>
          <w:tcPr>
            <w:tcW w:w="1523" w:type="dxa"/>
            <w:tcBorders>
              <w:top w:val="nil"/>
              <w:left w:val="nil"/>
              <w:bottom w:val="nil"/>
              <w:right w:val="nil"/>
            </w:tcBorders>
            <w:hideMark/>
          </w:tcPr>
          <w:p w14:paraId="6345F32A" w14:textId="77777777" w:rsidR="00111D3A" w:rsidRDefault="00111D3A">
            <w:pPr>
              <w:spacing w:line="360" w:lineRule="auto"/>
              <w:jc w:val="both"/>
            </w:pPr>
            <w:r>
              <w:t>-6.06±9.59</w:t>
            </w:r>
            <w:r>
              <w:rPr>
                <w:vertAlign w:val="superscript"/>
              </w:rPr>
              <w:t>B</w:t>
            </w:r>
          </w:p>
        </w:tc>
        <w:tc>
          <w:tcPr>
            <w:tcW w:w="1638" w:type="dxa"/>
            <w:tcBorders>
              <w:top w:val="nil"/>
              <w:left w:val="nil"/>
              <w:bottom w:val="nil"/>
              <w:right w:val="nil"/>
            </w:tcBorders>
            <w:hideMark/>
          </w:tcPr>
          <w:p w14:paraId="0D8E904A" w14:textId="77777777" w:rsidR="00111D3A" w:rsidRDefault="00111D3A">
            <w:pPr>
              <w:spacing w:line="360" w:lineRule="auto"/>
              <w:jc w:val="both"/>
            </w:pPr>
            <w:r>
              <w:t>23.32±2.53</w:t>
            </w:r>
            <w:r>
              <w:rPr>
                <w:vertAlign w:val="superscript"/>
              </w:rPr>
              <w:t>B</w:t>
            </w:r>
          </w:p>
        </w:tc>
      </w:tr>
      <w:tr w:rsidR="00111D3A" w14:paraId="160E0452" w14:textId="77777777" w:rsidTr="00111D3A">
        <w:trPr>
          <w:trHeight w:val="246"/>
        </w:trPr>
        <w:tc>
          <w:tcPr>
            <w:tcW w:w="2552" w:type="dxa"/>
            <w:tcBorders>
              <w:top w:val="nil"/>
              <w:left w:val="nil"/>
              <w:bottom w:val="nil"/>
              <w:right w:val="nil"/>
            </w:tcBorders>
            <w:hideMark/>
          </w:tcPr>
          <w:p w14:paraId="52F6AAB1" w14:textId="77777777" w:rsidR="00111D3A" w:rsidRDefault="00111D3A">
            <w:pPr>
              <w:spacing w:line="360" w:lineRule="auto"/>
              <w:jc w:val="both"/>
            </w:pPr>
            <w:r>
              <w:t xml:space="preserve">Acai </w:t>
            </w:r>
          </w:p>
        </w:tc>
        <w:tc>
          <w:tcPr>
            <w:tcW w:w="1663" w:type="dxa"/>
            <w:tcBorders>
              <w:top w:val="nil"/>
              <w:left w:val="nil"/>
              <w:bottom w:val="nil"/>
              <w:right w:val="nil"/>
            </w:tcBorders>
            <w:hideMark/>
          </w:tcPr>
          <w:p w14:paraId="5BFF3206" w14:textId="77777777" w:rsidR="00111D3A" w:rsidRDefault="00111D3A">
            <w:pPr>
              <w:spacing w:line="360" w:lineRule="auto"/>
              <w:jc w:val="both"/>
              <w:rPr>
                <w:color w:val="000000"/>
              </w:rPr>
            </w:pPr>
            <w:r>
              <w:rPr>
                <w:color w:val="000000"/>
              </w:rPr>
              <w:t>-18.54</w:t>
            </w:r>
            <w:r>
              <w:t>±5.49</w:t>
            </w:r>
            <w:r>
              <w:rPr>
                <w:vertAlign w:val="superscript"/>
              </w:rPr>
              <w:t>B</w:t>
            </w:r>
          </w:p>
        </w:tc>
        <w:tc>
          <w:tcPr>
            <w:tcW w:w="1413" w:type="dxa"/>
            <w:tcBorders>
              <w:top w:val="nil"/>
              <w:left w:val="nil"/>
              <w:bottom w:val="nil"/>
              <w:right w:val="nil"/>
            </w:tcBorders>
            <w:hideMark/>
          </w:tcPr>
          <w:p w14:paraId="682EF555" w14:textId="77777777" w:rsidR="00111D3A" w:rsidRDefault="00111D3A">
            <w:pPr>
              <w:spacing w:line="360" w:lineRule="auto"/>
              <w:jc w:val="both"/>
              <w:rPr>
                <w:color w:val="000000"/>
              </w:rPr>
            </w:pPr>
            <w:r>
              <w:rPr>
                <w:color w:val="000000"/>
              </w:rPr>
              <w:t>5.20</w:t>
            </w:r>
            <w:r>
              <w:t>±2.89</w:t>
            </w:r>
            <w:r>
              <w:rPr>
                <w:vertAlign w:val="superscript"/>
              </w:rPr>
              <w:t>A</w:t>
            </w:r>
          </w:p>
        </w:tc>
        <w:tc>
          <w:tcPr>
            <w:tcW w:w="1523" w:type="dxa"/>
            <w:tcBorders>
              <w:top w:val="nil"/>
              <w:left w:val="nil"/>
              <w:bottom w:val="nil"/>
              <w:right w:val="nil"/>
            </w:tcBorders>
            <w:hideMark/>
          </w:tcPr>
          <w:p w14:paraId="6C869FF5" w14:textId="77777777" w:rsidR="00111D3A" w:rsidRDefault="00111D3A">
            <w:pPr>
              <w:spacing w:line="360" w:lineRule="auto"/>
              <w:jc w:val="both"/>
            </w:pPr>
            <w:r>
              <w:t>2.36±7.21</w:t>
            </w:r>
            <w:r>
              <w:rPr>
                <w:vertAlign w:val="superscript"/>
              </w:rPr>
              <w:t>AB</w:t>
            </w:r>
          </w:p>
        </w:tc>
        <w:tc>
          <w:tcPr>
            <w:tcW w:w="1638" w:type="dxa"/>
            <w:tcBorders>
              <w:top w:val="nil"/>
              <w:left w:val="nil"/>
              <w:bottom w:val="nil"/>
              <w:right w:val="nil"/>
            </w:tcBorders>
            <w:hideMark/>
          </w:tcPr>
          <w:p w14:paraId="03B3714B" w14:textId="77777777" w:rsidR="00111D3A" w:rsidRDefault="00111D3A">
            <w:pPr>
              <w:spacing w:line="360" w:lineRule="auto"/>
              <w:jc w:val="both"/>
            </w:pPr>
            <w:r>
              <w:t>20.98±3.81</w:t>
            </w:r>
            <w:r>
              <w:rPr>
                <w:vertAlign w:val="superscript"/>
              </w:rPr>
              <w:t>BC</w:t>
            </w:r>
          </w:p>
        </w:tc>
      </w:tr>
      <w:tr w:rsidR="00111D3A" w14:paraId="3D962D0E" w14:textId="77777777" w:rsidTr="00111D3A">
        <w:trPr>
          <w:trHeight w:val="232"/>
        </w:trPr>
        <w:tc>
          <w:tcPr>
            <w:tcW w:w="2552" w:type="dxa"/>
            <w:tcBorders>
              <w:top w:val="nil"/>
              <w:left w:val="nil"/>
              <w:bottom w:val="nil"/>
              <w:right w:val="nil"/>
            </w:tcBorders>
            <w:hideMark/>
          </w:tcPr>
          <w:p w14:paraId="32C86880" w14:textId="77777777" w:rsidR="00111D3A" w:rsidRDefault="00111D3A">
            <w:pPr>
              <w:spacing w:line="360" w:lineRule="auto"/>
              <w:jc w:val="both"/>
            </w:pPr>
            <w:r>
              <w:t xml:space="preserve">Coffee </w:t>
            </w:r>
          </w:p>
        </w:tc>
        <w:tc>
          <w:tcPr>
            <w:tcW w:w="1663" w:type="dxa"/>
            <w:tcBorders>
              <w:top w:val="nil"/>
              <w:left w:val="nil"/>
              <w:bottom w:val="nil"/>
              <w:right w:val="nil"/>
            </w:tcBorders>
            <w:hideMark/>
          </w:tcPr>
          <w:p w14:paraId="4D5DBE81" w14:textId="77777777" w:rsidR="00111D3A" w:rsidRDefault="00111D3A">
            <w:pPr>
              <w:spacing w:line="360" w:lineRule="auto"/>
              <w:jc w:val="both"/>
              <w:rPr>
                <w:color w:val="000000"/>
              </w:rPr>
            </w:pPr>
            <w:r>
              <w:rPr>
                <w:color w:val="000000"/>
              </w:rPr>
              <w:t>-12.68</w:t>
            </w:r>
            <w:r>
              <w:t>±5.11</w:t>
            </w:r>
            <w:r>
              <w:rPr>
                <w:vertAlign w:val="superscript"/>
              </w:rPr>
              <w:t>B</w:t>
            </w:r>
          </w:p>
        </w:tc>
        <w:tc>
          <w:tcPr>
            <w:tcW w:w="1413" w:type="dxa"/>
            <w:tcBorders>
              <w:top w:val="nil"/>
              <w:left w:val="nil"/>
              <w:bottom w:val="nil"/>
              <w:right w:val="nil"/>
            </w:tcBorders>
            <w:hideMark/>
          </w:tcPr>
          <w:p w14:paraId="20624A0F" w14:textId="77777777" w:rsidR="00111D3A" w:rsidRDefault="00111D3A">
            <w:pPr>
              <w:spacing w:line="360" w:lineRule="auto"/>
              <w:jc w:val="both"/>
            </w:pPr>
            <w:r>
              <w:t>6.86±1.02</w:t>
            </w:r>
            <w:r>
              <w:rPr>
                <w:vertAlign w:val="superscript"/>
              </w:rPr>
              <w:t>A</w:t>
            </w:r>
          </w:p>
        </w:tc>
        <w:tc>
          <w:tcPr>
            <w:tcW w:w="1523" w:type="dxa"/>
            <w:tcBorders>
              <w:top w:val="nil"/>
              <w:left w:val="nil"/>
              <w:bottom w:val="nil"/>
              <w:right w:val="nil"/>
            </w:tcBorders>
            <w:hideMark/>
          </w:tcPr>
          <w:p w14:paraId="75BFEA34" w14:textId="77777777" w:rsidR="00111D3A" w:rsidRDefault="00111D3A">
            <w:pPr>
              <w:spacing w:line="360" w:lineRule="auto"/>
              <w:jc w:val="both"/>
            </w:pPr>
            <w:r>
              <w:t>8.00±10.17</w:t>
            </w:r>
            <w:r>
              <w:rPr>
                <w:vertAlign w:val="superscript"/>
              </w:rPr>
              <w:t>A</w:t>
            </w:r>
          </w:p>
        </w:tc>
        <w:tc>
          <w:tcPr>
            <w:tcW w:w="1638" w:type="dxa"/>
            <w:tcBorders>
              <w:top w:val="nil"/>
              <w:left w:val="nil"/>
              <w:bottom w:val="nil"/>
              <w:right w:val="nil"/>
            </w:tcBorders>
            <w:hideMark/>
          </w:tcPr>
          <w:p w14:paraId="5E88B50A" w14:textId="77777777" w:rsidR="00111D3A" w:rsidRDefault="00111D3A">
            <w:pPr>
              <w:spacing w:line="360" w:lineRule="auto"/>
              <w:jc w:val="both"/>
            </w:pPr>
            <w:r>
              <w:t>18.86±5.08</w:t>
            </w:r>
            <w:r>
              <w:rPr>
                <w:vertAlign w:val="superscript"/>
              </w:rPr>
              <w:t>BC</w:t>
            </w:r>
          </w:p>
        </w:tc>
      </w:tr>
      <w:tr w:rsidR="00111D3A" w14:paraId="0DF7F43E" w14:textId="77777777" w:rsidTr="00111D3A">
        <w:trPr>
          <w:trHeight w:val="246"/>
        </w:trPr>
        <w:tc>
          <w:tcPr>
            <w:tcW w:w="2552" w:type="dxa"/>
            <w:tcBorders>
              <w:top w:val="nil"/>
              <w:left w:val="nil"/>
              <w:bottom w:val="single" w:sz="4" w:space="0" w:color="000000"/>
              <w:right w:val="nil"/>
            </w:tcBorders>
            <w:hideMark/>
          </w:tcPr>
          <w:p w14:paraId="454B458E" w14:textId="77777777" w:rsidR="00111D3A" w:rsidRDefault="00111D3A">
            <w:pPr>
              <w:spacing w:line="360" w:lineRule="auto"/>
              <w:jc w:val="both"/>
            </w:pPr>
            <w:r>
              <w:t>Dark beer</w:t>
            </w:r>
          </w:p>
        </w:tc>
        <w:tc>
          <w:tcPr>
            <w:tcW w:w="1663" w:type="dxa"/>
            <w:tcBorders>
              <w:top w:val="nil"/>
              <w:left w:val="nil"/>
              <w:bottom w:val="single" w:sz="4" w:space="0" w:color="000000"/>
              <w:right w:val="nil"/>
            </w:tcBorders>
            <w:hideMark/>
          </w:tcPr>
          <w:p w14:paraId="73B83FC2" w14:textId="77777777" w:rsidR="00111D3A" w:rsidRDefault="00111D3A">
            <w:pPr>
              <w:spacing w:line="360" w:lineRule="auto"/>
              <w:jc w:val="both"/>
              <w:rPr>
                <w:color w:val="000000"/>
              </w:rPr>
            </w:pPr>
            <w:r>
              <w:rPr>
                <w:color w:val="000000"/>
              </w:rPr>
              <w:t>-5.22</w:t>
            </w:r>
            <w:r>
              <w:t>±3.24</w:t>
            </w:r>
            <w:r>
              <w:rPr>
                <w:vertAlign w:val="superscript"/>
              </w:rPr>
              <w:t>A</w:t>
            </w:r>
          </w:p>
        </w:tc>
        <w:tc>
          <w:tcPr>
            <w:tcW w:w="1413" w:type="dxa"/>
            <w:tcBorders>
              <w:top w:val="nil"/>
              <w:left w:val="nil"/>
              <w:bottom w:val="single" w:sz="4" w:space="0" w:color="000000"/>
              <w:right w:val="nil"/>
            </w:tcBorders>
            <w:hideMark/>
          </w:tcPr>
          <w:p w14:paraId="7E72FA3F" w14:textId="77777777" w:rsidR="00111D3A" w:rsidRDefault="00111D3A">
            <w:pPr>
              <w:spacing w:line="360" w:lineRule="auto"/>
              <w:jc w:val="both"/>
            </w:pPr>
            <w:r>
              <w:t>4.46±1.82</w:t>
            </w:r>
            <w:r>
              <w:rPr>
                <w:vertAlign w:val="superscript"/>
              </w:rPr>
              <w:t>A</w:t>
            </w:r>
          </w:p>
        </w:tc>
        <w:tc>
          <w:tcPr>
            <w:tcW w:w="1523" w:type="dxa"/>
            <w:tcBorders>
              <w:top w:val="nil"/>
              <w:left w:val="nil"/>
              <w:bottom w:val="single" w:sz="4" w:space="0" w:color="000000"/>
              <w:right w:val="nil"/>
            </w:tcBorders>
            <w:hideMark/>
          </w:tcPr>
          <w:p w14:paraId="1BF73DFF" w14:textId="77777777" w:rsidR="00111D3A" w:rsidRDefault="00111D3A">
            <w:pPr>
              <w:spacing w:line="360" w:lineRule="auto"/>
              <w:jc w:val="both"/>
            </w:pPr>
            <w:r>
              <w:t>9.18±10.23</w:t>
            </w:r>
            <w:r>
              <w:rPr>
                <w:vertAlign w:val="superscript"/>
              </w:rPr>
              <w:t>A</w:t>
            </w:r>
          </w:p>
        </w:tc>
        <w:tc>
          <w:tcPr>
            <w:tcW w:w="1638" w:type="dxa"/>
            <w:tcBorders>
              <w:top w:val="nil"/>
              <w:left w:val="nil"/>
              <w:bottom w:val="single" w:sz="4" w:space="0" w:color="000000"/>
              <w:right w:val="nil"/>
            </w:tcBorders>
            <w:hideMark/>
          </w:tcPr>
          <w:p w14:paraId="771223E5" w14:textId="77777777" w:rsidR="00111D3A" w:rsidRDefault="00111D3A">
            <w:pPr>
              <w:spacing w:line="360" w:lineRule="auto"/>
              <w:jc w:val="both"/>
            </w:pPr>
            <w:r>
              <w:t>13.94±6.31</w:t>
            </w:r>
            <w:r>
              <w:rPr>
                <w:vertAlign w:val="superscript"/>
              </w:rPr>
              <w:t>C</w:t>
            </w:r>
          </w:p>
        </w:tc>
      </w:tr>
    </w:tbl>
    <w:p w14:paraId="7C619F4C" w14:textId="77777777" w:rsidR="00111D3A" w:rsidRDefault="00111D3A" w:rsidP="00111D3A">
      <w:pPr>
        <w:spacing w:line="360" w:lineRule="auto"/>
        <w:jc w:val="both"/>
        <w:rPr>
          <w:rFonts w:eastAsia="Lucida Sans Unicode"/>
          <w:lang w:val="en"/>
        </w:rPr>
      </w:pPr>
      <w:r>
        <w:t>*Identical superscript letters indicate no statistical significance between values in columns.</w:t>
      </w:r>
    </w:p>
    <w:p w14:paraId="48293054" w14:textId="77777777" w:rsidR="00111D3A" w:rsidRDefault="00111D3A" w:rsidP="00111D3A">
      <w:pPr>
        <w:spacing w:line="360" w:lineRule="auto"/>
        <w:jc w:val="both"/>
      </w:pPr>
    </w:p>
    <w:p w14:paraId="6F2FDAF5" w14:textId="77777777" w:rsidR="00111D3A" w:rsidRDefault="00111D3A" w:rsidP="00111D3A">
      <w:pPr>
        <w:spacing w:line="360" w:lineRule="auto"/>
        <w:jc w:val="both"/>
      </w:pPr>
    </w:p>
    <w:p w14:paraId="19EFDE0B" w14:textId="4175294C" w:rsidR="00111D3A" w:rsidRDefault="00111D3A" w:rsidP="00111D3A">
      <w:pPr>
        <w:spacing w:line="360" w:lineRule="auto"/>
        <w:jc w:val="both"/>
      </w:pPr>
      <w:r>
        <w:t>Tab</w:t>
      </w:r>
      <w:r w:rsidR="00B53006">
        <w:t>le</w:t>
      </w:r>
      <w:r>
        <w:t xml:space="preserve"> 2. </w:t>
      </w:r>
    </w:p>
    <w:p w14:paraId="22261B59" w14:textId="77777777" w:rsidR="00111D3A" w:rsidRDefault="00111D3A" w:rsidP="00111D3A">
      <w:pPr>
        <w:spacing w:line="360" w:lineRule="auto"/>
        <w:jc w:val="both"/>
      </w:pPr>
      <w:r>
        <w:t xml:space="preserve">Mean values of color coordinates (ΔL *, </w:t>
      </w:r>
      <w:proofErr w:type="spellStart"/>
      <w:r>
        <w:t>Δa</w:t>
      </w:r>
      <w:proofErr w:type="spellEnd"/>
      <w:r>
        <w:t xml:space="preserve"> *, </w:t>
      </w:r>
      <w:proofErr w:type="spellStart"/>
      <w:r>
        <w:t>Δb</w:t>
      </w:r>
      <w:proofErr w:type="spellEnd"/>
      <w:r>
        <w:t xml:space="preserve"> * and ΔE *) of enamel after treatment with </w:t>
      </w:r>
      <w:r>
        <w:rPr>
          <w:color w:val="000000"/>
        </w:rPr>
        <w:t xml:space="preserve">dentifrice containing blue </w:t>
      </w:r>
      <w:proofErr w:type="spellStart"/>
      <w:r>
        <w:rPr>
          <w:color w:val="000000"/>
        </w:rPr>
        <w:t>covarine</w:t>
      </w:r>
      <w:proofErr w:type="spellEnd"/>
      <w:r>
        <w:t>.</w:t>
      </w:r>
    </w:p>
    <w:p w14:paraId="2AF3E685" w14:textId="77777777" w:rsidR="00111D3A" w:rsidRDefault="00111D3A" w:rsidP="00111D3A">
      <w:pPr>
        <w:spacing w:line="360" w:lineRule="auto"/>
        <w:jc w:val="both"/>
      </w:pPr>
    </w:p>
    <w:tbl>
      <w:tblPr>
        <w:tblW w:w="8655" w:type="dxa"/>
        <w:tblBorders>
          <w:top w:val="single" w:sz="4" w:space="0" w:color="000000"/>
          <w:bottom w:val="single" w:sz="4" w:space="0" w:color="000000"/>
        </w:tblBorders>
        <w:tblLayout w:type="fixed"/>
        <w:tblLook w:val="0400" w:firstRow="0" w:lastRow="0" w:firstColumn="0" w:lastColumn="0" w:noHBand="0" w:noVBand="1"/>
      </w:tblPr>
      <w:tblGrid>
        <w:gridCol w:w="2128"/>
        <w:gridCol w:w="1986"/>
        <w:gridCol w:w="1389"/>
        <w:gridCol w:w="1629"/>
        <w:gridCol w:w="1523"/>
      </w:tblGrid>
      <w:tr w:rsidR="00111D3A" w14:paraId="1131808C" w14:textId="77777777" w:rsidTr="00111D3A">
        <w:trPr>
          <w:trHeight w:val="246"/>
        </w:trPr>
        <w:tc>
          <w:tcPr>
            <w:tcW w:w="2127" w:type="dxa"/>
            <w:tcBorders>
              <w:top w:val="single" w:sz="4" w:space="0" w:color="000000"/>
              <w:left w:val="nil"/>
              <w:bottom w:val="single" w:sz="4" w:space="0" w:color="000000"/>
              <w:right w:val="nil"/>
            </w:tcBorders>
            <w:hideMark/>
          </w:tcPr>
          <w:p w14:paraId="69DF5734" w14:textId="77777777" w:rsidR="00111D3A" w:rsidRDefault="00111D3A">
            <w:pPr>
              <w:spacing w:line="360" w:lineRule="auto"/>
              <w:jc w:val="both"/>
            </w:pPr>
            <w:proofErr w:type="spellStart"/>
            <w:r>
              <w:t>Grupos</w:t>
            </w:r>
            <w:proofErr w:type="spellEnd"/>
            <w:r>
              <w:t xml:space="preserve"> (n=5)</w:t>
            </w:r>
          </w:p>
        </w:tc>
        <w:tc>
          <w:tcPr>
            <w:tcW w:w="1986" w:type="dxa"/>
            <w:tcBorders>
              <w:top w:val="single" w:sz="4" w:space="0" w:color="000000"/>
              <w:left w:val="nil"/>
              <w:bottom w:val="single" w:sz="4" w:space="0" w:color="000000"/>
              <w:right w:val="nil"/>
            </w:tcBorders>
            <w:hideMark/>
          </w:tcPr>
          <w:p w14:paraId="38214C65" w14:textId="77777777" w:rsidR="00111D3A" w:rsidRDefault="00111D3A">
            <w:pPr>
              <w:spacing w:line="360" w:lineRule="auto"/>
              <w:jc w:val="center"/>
            </w:pPr>
            <w:r>
              <w:t>ΔL*</w:t>
            </w:r>
          </w:p>
        </w:tc>
        <w:tc>
          <w:tcPr>
            <w:tcW w:w="1389" w:type="dxa"/>
            <w:tcBorders>
              <w:top w:val="single" w:sz="4" w:space="0" w:color="000000"/>
              <w:left w:val="nil"/>
              <w:bottom w:val="single" w:sz="4" w:space="0" w:color="000000"/>
              <w:right w:val="nil"/>
            </w:tcBorders>
            <w:hideMark/>
          </w:tcPr>
          <w:p w14:paraId="707C84BF" w14:textId="77777777" w:rsidR="00111D3A" w:rsidRDefault="00111D3A">
            <w:pPr>
              <w:spacing w:line="360" w:lineRule="auto"/>
              <w:jc w:val="center"/>
            </w:pPr>
            <w:proofErr w:type="spellStart"/>
            <w:r>
              <w:t>Δa</w:t>
            </w:r>
            <w:proofErr w:type="spellEnd"/>
            <w:r>
              <w:t>*</w:t>
            </w:r>
          </w:p>
        </w:tc>
        <w:tc>
          <w:tcPr>
            <w:tcW w:w="1629" w:type="dxa"/>
            <w:tcBorders>
              <w:top w:val="single" w:sz="4" w:space="0" w:color="000000"/>
              <w:left w:val="nil"/>
              <w:bottom w:val="single" w:sz="4" w:space="0" w:color="000000"/>
              <w:right w:val="nil"/>
            </w:tcBorders>
            <w:hideMark/>
          </w:tcPr>
          <w:p w14:paraId="73FD8D38" w14:textId="77777777" w:rsidR="00111D3A" w:rsidRDefault="00111D3A">
            <w:pPr>
              <w:spacing w:line="360" w:lineRule="auto"/>
              <w:jc w:val="center"/>
            </w:pPr>
            <w:proofErr w:type="spellStart"/>
            <w:r>
              <w:t>Δb</w:t>
            </w:r>
            <w:proofErr w:type="spellEnd"/>
            <w:r>
              <w:t>*</w:t>
            </w:r>
          </w:p>
        </w:tc>
        <w:tc>
          <w:tcPr>
            <w:tcW w:w="1523" w:type="dxa"/>
            <w:tcBorders>
              <w:top w:val="single" w:sz="4" w:space="0" w:color="000000"/>
              <w:left w:val="nil"/>
              <w:bottom w:val="single" w:sz="4" w:space="0" w:color="000000"/>
              <w:right w:val="nil"/>
            </w:tcBorders>
            <w:hideMark/>
          </w:tcPr>
          <w:p w14:paraId="611F84AB" w14:textId="77777777" w:rsidR="00111D3A" w:rsidRDefault="00111D3A">
            <w:pPr>
              <w:spacing w:line="360" w:lineRule="auto"/>
              <w:jc w:val="center"/>
            </w:pPr>
            <w:r>
              <w:t>ΔE*</w:t>
            </w:r>
          </w:p>
        </w:tc>
      </w:tr>
      <w:tr w:rsidR="00111D3A" w14:paraId="69A007AF" w14:textId="77777777" w:rsidTr="00111D3A">
        <w:trPr>
          <w:trHeight w:val="232"/>
        </w:trPr>
        <w:tc>
          <w:tcPr>
            <w:tcW w:w="2127" w:type="dxa"/>
            <w:tcBorders>
              <w:top w:val="single" w:sz="4" w:space="0" w:color="000000"/>
              <w:left w:val="nil"/>
              <w:bottom w:val="nil"/>
              <w:right w:val="nil"/>
            </w:tcBorders>
            <w:hideMark/>
          </w:tcPr>
          <w:p w14:paraId="331D27F8" w14:textId="77777777" w:rsidR="00111D3A" w:rsidRDefault="00111D3A">
            <w:pPr>
              <w:spacing w:line="360" w:lineRule="auto"/>
              <w:jc w:val="both"/>
            </w:pPr>
            <w:r>
              <w:t>Distilled water</w:t>
            </w:r>
          </w:p>
        </w:tc>
        <w:tc>
          <w:tcPr>
            <w:tcW w:w="1986" w:type="dxa"/>
            <w:tcBorders>
              <w:top w:val="single" w:sz="4" w:space="0" w:color="000000"/>
              <w:left w:val="nil"/>
              <w:bottom w:val="nil"/>
              <w:right w:val="nil"/>
            </w:tcBorders>
            <w:hideMark/>
          </w:tcPr>
          <w:p w14:paraId="009315E9" w14:textId="77777777" w:rsidR="00111D3A" w:rsidRDefault="00111D3A">
            <w:pPr>
              <w:spacing w:line="360" w:lineRule="auto"/>
              <w:jc w:val="both"/>
              <w:rPr>
                <w:color w:val="000000"/>
              </w:rPr>
            </w:pPr>
            <w:r>
              <w:rPr>
                <w:color w:val="000000"/>
              </w:rPr>
              <w:t>6.40</w:t>
            </w:r>
            <w:r>
              <w:t>±5.82</w:t>
            </w:r>
            <w:r>
              <w:rPr>
                <w:vertAlign w:val="superscript"/>
              </w:rPr>
              <w:t>A</w:t>
            </w:r>
          </w:p>
        </w:tc>
        <w:tc>
          <w:tcPr>
            <w:tcW w:w="1389" w:type="dxa"/>
            <w:tcBorders>
              <w:top w:val="single" w:sz="4" w:space="0" w:color="000000"/>
              <w:left w:val="nil"/>
              <w:bottom w:val="nil"/>
              <w:right w:val="nil"/>
            </w:tcBorders>
            <w:hideMark/>
          </w:tcPr>
          <w:p w14:paraId="25BC43B1" w14:textId="77777777" w:rsidR="00111D3A" w:rsidRDefault="00111D3A">
            <w:pPr>
              <w:spacing w:line="360" w:lineRule="auto"/>
              <w:jc w:val="both"/>
            </w:pPr>
            <w:r>
              <w:t>2.92±3.20</w:t>
            </w:r>
            <w:r>
              <w:rPr>
                <w:vertAlign w:val="superscript"/>
              </w:rPr>
              <w:t>A</w:t>
            </w:r>
          </w:p>
        </w:tc>
        <w:tc>
          <w:tcPr>
            <w:tcW w:w="1629" w:type="dxa"/>
            <w:tcBorders>
              <w:top w:val="single" w:sz="4" w:space="0" w:color="000000"/>
              <w:left w:val="nil"/>
              <w:bottom w:val="nil"/>
              <w:right w:val="nil"/>
            </w:tcBorders>
            <w:hideMark/>
          </w:tcPr>
          <w:p w14:paraId="427DB20C" w14:textId="77777777" w:rsidR="00111D3A" w:rsidRDefault="00111D3A">
            <w:pPr>
              <w:spacing w:line="360" w:lineRule="auto"/>
              <w:jc w:val="both"/>
            </w:pPr>
            <w:r>
              <w:t>14.96±2.85</w:t>
            </w:r>
            <w:r>
              <w:rPr>
                <w:vertAlign w:val="superscript"/>
              </w:rPr>
              <w:t>A</w:t>
            </w:r>
          </w:p>
        </w:tc>
        <w:tc>
          <w:tcPr>
            <w:tcW w:w="1523" w:type="dxa"/>
            <w:tcBorders>
              <w:top w:val="single" w:sz="4" w:space="0" w:color="000000"/>
              <w:left w:val="nil"/>
              <w:bottom w:val="nil"/>
              <w:right w:val="nil"/>
            </w:tcBorders>
            <w:hideMark/>
          </w:tcPr>
          <w:p w14:paraId="6B24460B" w14:textId="77777777" w:rsidR="00111D3A" w:rsidRDefault="00111D3A">
            <w:pPr>
              <w:spacing w:line="360" w:lineRule="auto"/>
              <w:jc w:val="both"/>
            </w:pPr>
            <w:r>
              <w:t>17.49±3.33</w:t>
            </w:r>
            <w:r>
              <w:rPr>
                <w:vertAlign w:val="superscript"/>
              </w:rPr>
              <w:t>A</w:t>
            </w:r>
          </w:p>
        </w:tc>
      </w:tr>
      <w:tr w:rsidR="00111D3A" w14:paraId="64D4176E" w14:textId="77777777" w:rsidTr="00111D3A">
        <w:trPr>
          <w:trHeight w:val="291"/>
        </w:trPr>
        <w:tc>
          <w:tcPr>
            <w:tcW w:w="2127" w:type="dxa"/>
            <w:tcBorders>
              <w:top w:val="nil"/>
              <w:left w:val="nil"/>
              <w:bottom w:val="nil"/>
              <w:right w:val="nil"/>
            </w:tcBorders>
            <w:hideMark/>
          </w:tcPr>
          <w:p w14:paraId="3B53AFCC" w14:textId="77777777" w:rsidR="00111D3A" w:rsidRDefault="00111D3A">
            <w:pPr>
              <w:spacing w:line="360" w:lineRule="auto"/>
              <w:jc w:val="both"/>
            </w:pPr>
            <w:r>
              <w:t xml:space="preserve">Cola-based soft drink </w:t>
            </w:r>
          </w:p>
        </w:tc>
        <w:tc>
          <w:tcPr>
            <w:tcW w:w="1986" w:type="dxa"/>
            <w:tcBorders>
              <w:top w:val="nil"/>
              <w:left w:val="nil"/>
              <w:bottom w:val="nil"/>
              <w:right w:val="nil"/>
            </w:tcBorders>
            <w:hideMark/>
          </w:tcPr>
          <w:p w14:paraId="148BFC2E" w14:textId="77777777" w:rsidR="00111D3A" w:rsidRDefault="00111D3A">
            <w:pPr>
              <w:spacing w:line="360" w:lineRule="auto"/>
              <w:jc w:val="both"/>
              <w:rPr>
                <w:color w:val="000000"/>
              </w:rPr>
            </w:pPr>
            <w:r>
              <w:rPr>
                <w:color w:val="000000"/>
              </w:rPr>
              <w:t>3.08</w:t>
            </w:r>
            <w:r>
              <w:t>±6.19</w:t>
            </w:r>
            <w:r>
              <w:rPr>
                <w:vertAlign w:val="superscript"/>
              </w:rPr>
              <w:t>A</w:t>
            </w:r>
          </w:p>
        </w:tc>
        <w:tc>
          <w:tcPr>
            <w:tcW w:w="1389" w:type="dxa"/>
            <w:tcBorders>
              <w:top w:val="nil"/>
              <w:left w:val="nil"/>
              <w:bottom w:val="nil"/>
              <w:right w:val="nil"/>
            </w:tcBorders>
            <w:hideMark/>
          </w:tcPr>
          <w:p w14:paraId="595626BC" w14:textId="77777777" w:rsidR="00111D3A" w:rsidRDefault="00111D3A">
            <w:pPr>
              <w:spacing w:line="360" w:lineRule="auto"/>
              <w:jc w:val="both"/>
            </w:pPr>
            <w:r>
              <w:t>4.66±2.10</w:t>
            </w:r>
            <w:r>
              <w:rPr>
                <w:vertAlign w:val="superscript"/>
              </w:rPr>
              <w:t>A</w:t>
            </w:r>
          </w:p>
        </w:tc>
        <w:tc>
          <w:tcPr>
            <w:tcW w:w="1629" w:type="dxa"/>
            <w:tcBorders>
              <w:top w:val="nil"/>
              <w:left w:val="nil"/>
              <w:bottom w:val="nil"/>
              <w:right w:val="nil"/>
            </w:tcBorders>
            <w:hideMark/>
          </w:tcPr>
          <w:p w14:paraId="5918D2B6" w14:textId="77777777" w:rsidR="00111D3A" w:rsidRDefault="00111D3A">
            <w:pPr>
              <w:spacing w:line="360" w:lineRule="auto"/>
              <w:jc w:val="both"/>
            </w:pPr>
            <w:r>
              <w:t>10.28±2.79</w:t>
            </w:r>
            <w:r>
              <w:rPr>
                <w:vertAlign w:val="superscript"/>
              </w:rPr>
              <w:t>AB</w:t>
            </w:r>
          </w:p>
        </w:tc>
        <w:tc>
          <w:tcPr>
            <w:tcW w:w="1523" w:type="dxa"/>
            <w:tcBorders>
              <w:top w:val="nil"/>
              <w:left w:val="nil"/>
              <w:bottom w:val="nil"/>
              <w:right w:val="nil"/>
            </w:tcBorders>
            <w:hideMark/>
          </w:tcPr>
          <w:p w14:paraId="285876D8" w14:textId="77777777" w:rsidR="00111D3A" w:rsidRDefault="00111D3A">
            <w:pPr>
              <w:spacing w:line="360" w:lineRule="auto"/>
              <w:jc w:val="both"/>
            </w:pPr>
            <w:r>
              <w:t>13.13±2.44</w:t>
            </w:r>
            <w:r>
              <w:rPr>
                <w:vertAlign w:val="superscript"/>
              </w:rPr>
              <w:t>A</w:t>
            </w:r>
          </w:p>
        </w:tc>
      </w:tr>
      <w:tr w:rsidR="00111D3A" w14:paraId="17EBA848" w14:textId="77777777" w:rsidTr="00111D3A">
        <w:trPr>
          <w:trHeight w:val="232"/>
        </w:trPr>
        <w:tc>
          <w:tcPr>
            <w:tcW w:w="2127" w:type="dxa"/>
            <w:tcBorders>
              <w:top w:val="nil"/>
              <w:left w:val="nil"/>
              <w:bottom w:val="nil"/>
              <w:right w:val="nil"/>
            </w:tcBorders>
            <w:hideMark/>
          </w:tcPr>
          <w:p w14:paraId="3793C46F" w14:textId="77777777" w:rsidR="00111D3A" w:rsidRDefault="00111D3A">
            <w:pPr>
              <w:spacing w:line="360" w:lineRule="auto"/>
              <w:jc w:val="both"/>
            </w:pPr>
            <w:r>
              <w:t xml:space="preserve">Wine </w:t>
            </w:r>
          </w:p>
        </w:tc>
        <w:tc>
          <w:tcPr>
            <w:tcW w:w="1986" w:type="dxa"/>
            <w:tcBorders>
              <w:top w:val="nil"/>
              <w:left w:val="nil"/>
              <w:bottom w:val="nil"/>
              <w:right w:val="nil"/>
            </w:tcBorders>
            <w:hideMark/>
          </w:tcPr>
          <w:p w14:paraId="3AE39843" w14:textId="77777777" w:rsidR="00111D3A" w:rsidRDefault="00111D3A">
            <w:pPr>
              <w:spacing w:line="360" w:lineRule="auto"/>
              <w:jc w:val="both"/>
              <w:rPr>
                <w:color w:val="000000"/>
              </w:rPr>
            </w:pPr>
            <w:r>
              <w:rPr>
                <w:color w:val="000000"/>
              </w:rPr>
              <w:t>-3.32</w:t>
            </w:r>
            <w:r>
              <w:t>±11.69</w:t>
            </w:r>
            <w:r>
              <w:rPr>
                <w:vertAlign w:val="superscript"/>
              </w:rPr>
              <w:t>A</w:t>
            </w:r>
          </w:p>
        </w:tc>
        <w:tc>
          <w:tcPr>
            <w:tcW w:w="1389" w:type="dxa"/>
            <w:tcBorders>
              <w:top w:val="nil"/>
              <w:left w:val="nil"/>
              <w:bottom w:val="nil"/>
              <w:right w:val="nil"/>
            </w:tcBorders>
            <w:hideMark/>
          </w:tcPr>
          <w:p w14:paraId="4855162F" w14:textId="77777777" w:rsidR="00111D3A" w:rsidRDefault="00111D3A">
            <w:pPr>
              <w:spacing w:line="360" w:lineRule="auto"/>
              <w:jc w:val="both"/>
            </w:pPr>
            <w:r>
              <w:t>4.66±5.03</w:t>
            </w:r>
            <w:r>
              <w:rPr>
                <w:vertAlign w:val="superscript"/>
              </w:rPr>
              <w:t>A</w:t>
            </w:r>
          </w:p>
        </w:tc>
        <w:tc>
          <w:tcPr>
            <w:tcW w:w="1629" w:type="dxa"/>
            <w:tcBorders>
              <w:top w:val="nil"/>
              <w:left w:val="nil"/>
              <w:bottom w:val="nil"/>
              <w:right w:val="nil"/>
            </w:tcBorders>
            <w:hideMark/>
          </w:tcPr>
          <w:p w14:paraId="0340ECBC" w14:textId="77777777" w:rsidR="00111D3A" w:rsidRDefault="00111D3A">
            <w:pPr>
              <w:spacing w:line="360" w:lineRule="auto"/>
              <w:jc w:val="both"/>
            </w:pPr>
            <w:r>
              <w:t>11.98±8.75</w:t>
            </w:r>
            <w:r>
              <w:rPr>
                <w:vertAlign w:val="superscript"/>
              </w:rPr>
              <w:t>AB</w:t>
            </w:r>
          </w:p>
        </w:tc>
        <w:tc>
          <w:tcPr>
            <w:tcW w:w="1523" w:type="dxa"/>
            <w:tcBorders>
              <w:top w:val="nil"/>
              <w:left w:val="nil"/>
              <w:bottom w:val="nil"/>
              <w:right w:val="nil"/>
            </w:tcBorders>
            <w:hideMark/>
          </w:tcPr>
          <w:p w14:paraId="6CC68BBC" w14:textId="77777777" w:rsidR="00111D3A" w:rsidRDefault="00111D3A">
            <w:pPr>
              <w:spacing w:line="360" w:lineRule="auto"/>
              <w:jc w:val="both"/>
            </w:pPr>
            <w:r>
              <w:t>18.94±3.25</w:t>
            </w:r>
            <w:r>
              <w:rPr>
                <w:vertAlign w:val="superscript"/>
              </w:rPr>
              <w:t>A</w:t>
            </w:r>
          </w:p>
        </w:tc>
      </w:tr>
      <w:tr w:rsidR="00111D3A" w14:paraId="053B004B" w14:textId="77777777" w:rsidTr="00111D3A">
        <w:trPr>
          <w:trHeight w:val="246"/>
        </w:trPr>
        <w:tc>
          <w:tcPr>
            <w:tcW w:w="2127" w:type="dxa"/>
            <w:tcBorders>
              <w:top w:val="nil"/>
              <w:left w:val="nil"/>
              <w:bottom w:val="nil"/>
              <w:right w:val="nil"/>
            </w:tcBorders>
            <w:hideMark/>
          </w:tcPr>
          <w:p w14:paraId="46A39BD0" w14:textId="77777777" w:rsidR="00111D3A" w:rsidRDefault="00111D3A">
            <w:pPr>
              <w:spacing w:line="360" w:lineRule="auto"/>
              <w:jc w:val="both"/>
            </w:pPr>
            <w:r>
              <w:t xml:space="preserve">Acai </w:t>
            </w:r>
          </w:p>
        </w:tc>
        <w:tc>
          <w:tcPr>
            <w:tcW w:w="1986" w:type="dxa"/>
            <w:tcBorders>
              <w:top w:val="nil"/>
              <w:left w:val="nil"/>
              <w:bottom w:val="nil"/>
              <w:right w:val="nil"/>
            </w:tcBorders>
            <w:hideMark/>
          </w:tcPr>
          <w:p w14:paraId="0D9D433F" w14:textId="77777777" w:rsidR="00111D3A" w:rsidRDefault="00111D3A">
            <w:pPr>
              <w:spacing w:line="360" w:lineRule="auto"/>
              <w:jc w:val="both"/>
              <w:rPr>
                <w:color w:val="000000"/>
              </w:rPr>
            </w:pPr>
            <w:r>
              <w:rPr>
                <w:color w:val="000000"/>
              </w:rPr>
              <w:t>-6.12</w:t>
            </w:r>
            <w:r>
              <w:t>±4.72</w:t>
            </w:r>
            <w:r>
              <w:rPr>
                <w:vertAlign w:val="superscript"/>
              </w:rPr>
              <w:t>A</w:t>
            </w:r>
          </w:p>
        </w:tc>
        <w:tc>
          <w:tcPr>
            <w:tcW w:w="1389" w:type="dxa"/>
            <w:tcBorders>
              <w:top w:val="nil"/>
              <w:left w:val="nil"/>
              <w:bottom w:val="nil"/>
              <w:right w:val="nil"/>
            </w:tcBorders>
            <w:hideMark/>
          </w:tcPr>
          <w:p w14:paraId="652982B4" w14:textId="77777777" w:rsidR="00111D3A" w:rsidRDefault="00111D3A">
            <w:pPr>
              <w:spacing w:line="360" w:lineRule="auto"/>
              <w:jc w:val="both"/>
              <w:rPr>
                <w:color w:val="000000"/>
              </w:rPr>
            </w:pPr>
            <w:r>
              <w:rPr>
                <w:color w:val="000000"/>
              </w:rPr>
              <w:t>4.50</w:t>
            </w:r>
            <w:r>
              <w:t>±3.25</w:t>
            </w:r>
            <w:r>
              <w:rPr>
                <w:vertAlign w:val="superscript"/>
              </w:rPr>
              <w:t>A</w:t>
            </w:r>
          </w:p>
        </w:tc>
        <w:tc>
          <w:tcPr>
            <w:tcW w:w="1629" w:type="dxa"/>
            <w:tcBorders>
              <w:top w:val="nil"/>
              <w:left w:val="nil"/>
              <w:bottom w:val="nil"/>
              <w:right w:val="nil"/>
            </w:tcBorders>
            <w:hideMark/>
          </w:tcPr>
          <w:p w14:paraId="048823C9" w14:textId="77777777" w:rsidR="00111D3A" w:rsidRDefault="00111D3A">
            <w:pPr>
              <w:spacing w:line="360" w:lineRule="auto"/>
              <w:jc w:val="both"/>
            </w:pPr>
            <w:r>
              <w:rPr>
                <w:color w:val="000000"/>
              </w:rPr>
              <w:t>0.26</w:t>
            </w:r>
            <w:r>
              <w:t>±8.26</w:t>
            </w:r>
            <w:r>
              <w:rPr>
                <w:vertAlign w:val="superscript"/>
              </w:rPr>
              <w:t>BC</w:t>
            </w:r>
          </w:p>
        </w:tc>
        <w:tc>
          <w:tcPr>
            <w:tcW w:w="1523" w:type="dxa"/>
            <w:tcBorders>
              <w:top w:val="nil"/>
              <w:left w:val="nil"/>
              <w:bottom w:val="nil"/>
              <w:right w:val="nil"/>
            </w:tcBorders>
            <w:hideMark/>
          </w:tcPr>
          <w:p w14:paraId="75D19B2D" w14:textId="77777777" w:rsidR="00111D3A" w:rsidRDefault="00111D3A">
            <w:pPr>
              <w:spacing w:line="360" w:lineRule="auto"/>
              <w:jc w:val="both"/>
            </w:pPr>
            <w:r>
              <w:t>11.28±3.76</w:t>
            </w:r>
            <w:r>
              <w:rPr>
                <w:vertAlign w:val="superscript"/>
              </w:rPr>
              <w:t>A</w:t>
            </w:r>
          </w:p>
        </w:tc>
      </w:tr>
      <w:tr w:rsidR="00111D3A" w14:paraId="074E957E" w14:textId="77777777" w:rsidTr="00111D3A">
        <w:trPr>
          <w:trHeight w:val="232"/>
        </w:trPr>
        <w:tc>
          <w:tcPr>
            <w:tcW w:w="2127" w:type="dxa"/>
            <w:tcBorders>
              <w:top w:val="nil"/>
              <w:left w:val="nil"/>
              <w:bottom w:val="nil"/>
              <w:right w:val="nil"/>
            </w:tcBorders>
            <w:hideMark/>
          </w:tcPr>
          <w:p w14:paraId="4386E2EF" w14:textId="77777777" w:rsidR="00111D3A" w:rsidRDefault="00111D3A">
            <w:pPr>
              <w:spacing w:line="360" w:lineRule="auto"/>
              <w:jc w:val="both"/>
            </w:pPr>
            <w:r>
              <w:t xml:space="preserve">Coffee </w:t>
            </w:r>
          </w:p>
        </w:tc>
        <w:tc>
          <w:tcPr>
            <w:tcW w:w="1986" w:type="dxa"/>
            <w:tcBorders>
              <w:top w:val="nil"/>
              <w:left w:val="nil"/>
              <w:bottom w:val="nil"/>
              <w:right w:val="nil"/>
            </w:tcBorders>
            <w:hideMark/>
          </w:tcPr>
          <w:p w14:paraId="28BCD2AD" w14:textId="77777777" w:rsidR="00111D3A" w:rsidRDefault="00111D3A">
            <w:pPr>
              <w:spacing w:line="360" w:lineRule="auto"/>
              <w:jc w:val="both"/>
              <w:rPr>
                <w:color w:val="000000"/>
              </w:rPr>
            </w:pPr>
            <w:r>
              <w:rPr>
                <w:color w:val="000000"/>
              </w:rPr>
              <w:t>3.48</w:t>
            </w:r>
            <w:r>
              <w:t>±6.41</w:t>
            </w:r>
            <w:r>
              <w:rPr>
                <w:vertAlign w:val="superscript"/>
              </w:rPr>
              <w:t>A</w:t>
            </w:r>
          </w:p>
        </w:tc>
        <w:tc>
          <w:tcPr>
            <w:tcW w:w="1389" w:type="dxa"/>
            <w:tcBorders>
              <w:top w:val="nil"/>
              <w:left w:val="nil"/>
              <w:bottom w:val="nil"/>
              <w:right w:val="nil"/>
            </w:tcBorders>
            <w:hideMark/>
          </w:tcPr>
          <w:p w14:paraId="6EEB073E" w14:textId="77777777" w:rsidR="00111D3A" w:rsidRDefault="00111D3A">
            <w:pPr>
              <w:spacing w:line="360" w:lineRule="auto"/>
              <w:jc w:val="both"/>
            </w:pPr>
            <w:r>
              <w:t>5.88±3.18</w:t>
            </w:r>
            <w:r>
              <w:rPr>
                <w:vertAlign w:val="superscript"/>
              </w:rPr>
              <w:t>A</w:t>
            </w:r>
          </w:p>
        </w:tc>
        <w:tc>
          <w:tcPr>
            <w:tcW w:w="1629" w:type="dxa"/>
            <w:tcBorders>
              <w:top w:val="nil"/>
              <w:left w:val="nil"/>
              <w:bottom w:val="nil"/>
              <w:right w:val="nil"/>
            </w:tcBorders>
            <w:hideMark/>
          </w:tcPr>
          <w:p w14:paraId="4981D1E7" w14:textId="77777777" w:rsidR="00111D3A" w:rsidRDefault="00111D3A">
            <w:pPr>
              <w:spacing w:line="360" w:lineRule="auto"/>
              <w:jc w:val="both"/>
            </w:pPr>
            <w:r>
              <w:t>11.88±5.88</w:t>
            </w:r>
            <w:r>
              <w:rPr>
                <w:vertAlign w:val="superscript"/>
              </w:rPr>
              <w:t>AB</w:t>
            </w:r>
          </w:p>
        </w:tc>
        <w:tc>
          <w:tcPr>
            <w:tcW w:w="1523" w:type="dxa"/>
            <w:tcBorders>
              <w:top w:val="nil"/>
              <w:left w:val="nil"/>
              <w:bottom w:val="nil"/>
              <w:right w:val="nil"/>
            </w:tcBorders>
            <w:hideMark/>
          </w:tcPr>
          <w:p w14:paraId="145E78D7" w14:textId="77777777" w:rsidR="00111D3A" w:rsidRDefault="00111D3A">
            <w:pPr>
              <w:spacing w:line="360" w:lineRule="auto"/>
              <w:jc w:val="both"/>
            </w:pPr>
            <w:r>
              <w:t>15.07±6.05</w:t>
            </w:r>
            <w:r>
              <w:rPr>
                <w:vertAlign w:val="superscript"/>
              </w:rPr>
              <w:t>A</w:t>
            </w:r>
          </w:p>
        </w:tc>
      </w:tr>
      <w:tr w:rsidR="00111D3A" w14:paraId="2E2F56B7" w14:textId="77777777" w:rsidTr="00111D3A">
        <w:trPr>
          <w:trHeight w:val="246"/>
        </w:trPr>
        <w:tc>
          <w:tcPr>
            <w:tcW w:w="2127" w:type="dxa"/>
            <w:tcBorders>
              <w:top w:val="nil"/>
              <w:left w:val="nil"/>
              <w:bottom w:val="single" w:sz="4" w:space="0" w:color="000000"/>
              <w:right w:val="nil"/>
            </w:tcBorders>
            <w:hideMark/>
          </w:tcPr>
          <w:p w14:paraId="6CC9BDE4" w14:textId="77777777" w:rsidR="00111D3A" w:rsidRDefault="00111D3A">
            <w:pPr>
              <w:spacing w:line="360" w:lineRule="auto"/>
              <w:jc w:val="both"/>
            </w:pPr>
            <w:r>
              <w:t>Dark beer</w:t>
            </w:r>
          </w:p>
        </w:tc>
        <w:tc>
          <w:tcPr>
            <w:tcW w:w="1986" w:type="dxa"/>
            <w:tcBorders>
              <w:top w:val="nil"/>
              <w:left w:val="nil"/>
              <w:bottom w:val="single" w:sz="4" w:space="0" w:color="000000"/>
              <w:right w:val="nil"/>
            </w:tcBorders>
            <w:hideMark/>
          </w:tcPr>
          <w:p w14:paraId="1286B9BC" w14:textId="77777777" w:rsidR="00111D3A" w:rsidRDefault="00111D3A">
            <w:pPr>
              <w:spacing w:line="360" w:lineRule="auto"/>
              <w:jc w:val="both"/>
              <w:rPr>
                <w:color w:val="000000"/>
              </w:rPr>
            </w:pPr>
            <w:r>
              <w:rPr>
                <w:color w:val="000000"/>
              </w:rPr>
              <w:t>-6.40</w:t>
            </w:r>
            <w:r>
              <w:t>±9.38</w:t>
            </w:r>
            <w:r>
              <w:rPr>
                <w:vertAlign w:val="superscript"/>
              </w:rPr>
              <w:t>A</w:t>
            </w:r>
          </w:p>
        </w:tc>
        <w:tc>
          <w:tcPr>
            <w:tcW w:w="1389" w:type="dxa"/>
            <w:tcBorders>
              <w:top w:val="nil"/>
              <w:left w:val="nil"/>
              <w:bottom w:val="single" w:sz="4" w:space="0" w:color="000000"/>
              <w:right w:val="nil"/>
            </w:tcBorders>
            <w:hideMark/>
          </w:tcPr>
          <w:p w14:paraId="559015F8" w14:textId="77777777" w:rsidR="00111D3A" w:rsidRDefault="00111D3A">
            <w:pPr>
              <w:spacing w:line="360" w:lineRule="auto"/>
              <w:jc w:val="both"/>
            </w:pPr>
            <w:r>
              <w:t>1.70±2.46</w:t>
            </w:r>
            <w:r>
              <w:rPr>
                <w:vertAlign w:val="superscript"/>
              </w:rPr>
              <w:t>A</w:t>
            </w:r>
          </w:p>
        </w:tc>
        <w:tc>
          <w:tcPr>
            <w:tcW w:w="1629" w:type="dxa"/>
            <w:tcBorders>
              <w:top w:val="nil"/>
              <w:left w:val="nil"/>
              <w:bottom w:val="single" w:sz="4" w:space="0" w:color="000000"/>
              <w:right w:val="nil"/>
            </w:tcBorders>
            <w:hideMark/>
          </w:tcPr>
          <w:p w14:paraId="13A7BF89" w14:textId="77777777" w:rsidR="00111D3A" w:rsidRDefault="00111D3A">
            <w:pPr>
              <w:spacing w:line="360" w:lineRule="auto"/>
              <w:jc w:val="both"/>
            </w:pPr>
            <w:r>
              <w:t>-6.02±10.69</w:t>
            </w:r>
            <w:r>
              <w:rPr>
                <w:vertAlign w:val="superscript"/>
              </w:rPr>
              <w:t>C</w:t>
            </w:r>
          </w:p>
        </w:tc>
        <w:tc>
          <w:tcPr>
            <w:tcW w:w="1523" w:type="dxa"/>
            <w:tcBorders>
              <w:top w:val="nil"/>
              <w:left w:val="nil"/>
              <w:bottom w:val="single" w:sz="4" w:space="0" w:color="000000"/>
              <w:right w:val="nil"/>
            </w:tcBorders>
            <w:hideMark/>
          </w:tcPr>
          <w:p w14:paraId="256BA896" w14:textId="77777777" w:rsidR="00111D3A" w:rsidRDefault="00111D3A">
            <w:pPr>
              <w:spacing w:line="360" w:lineRule="auto"/>
              <w:jc w:val="both"/>
            </w:pPr>
            <w:r>
              <w:t>14.88±5.61</w:t>
            </w:r>
            <w:r>
              <w:rPr>
                <w:vertAlign w:val="superscript"/>
              </w:rPr>
              <w:t>A</w:t>
            </w:r>
          </w:p>
        </w:tc>
      </w:tr>
    </w:tbl>
    <w:p w14:paraId="691E643F" w14:textId="77777777" w:rsidR="00111D3A" w:rsidRDefault="00111D3A" w:rsidP="00111D3A">
      <w:pPr>
        <w:spacing w:line="360" w:lineRule="auto"/>
        <w:jc w:val="both"/>
        <w:rPr>
          <w:rFonts w:eastAsia="Lucida Sans Unicode"/>
          <w:lang w:val="en"/>
        </w:rPr>
      </w:pPr>
      <w:r>
        <w:t>*Identical superscript letters indicate no statistical significance between values in columns.</w:t>
      </w:r>
    </w:p>
    <w:p w14:paraId="4DF8C6D0" w14:textId="77777777" w:rsidR="00111D3A" w:rsidRDefault="00111D3A" w:rsidP="00111D3A">
      <w:pPr>
        <w:spacing w:line="360" w:lineRule="auto"/>
        <w:jc w:val="both"/>
      </w:pPr>
    </w:p>
    <w:p w14:paraId="5BEFF20D" w14:textId="77777777" w:rsidR="00111D3A" w:rsidRDefault="00111D3A" w:rsidP="00111D3A">
      <w:pPr>
        <w:spacing w:line="360" w:lineRule="auto"/>
      </w:pPr>
    </w:p>
    <w:p w14:paraId="1F25CA6C" w14:textId="77777777" w:rsidR="00111D3A" w:rsidRDefault="00111D3A" w:rsidP="00111D3A">
      <w:pPr>
        <w:spacing w:line="360" w:lineRule="auto"/>
      </w:pPr>
    </w:p>
    <w:p w14:paraId="71FAECCA" w14:textId="3C7A0807" w:rsidR="00111D3A" w:rsidRPr="00FB3A86" w:rsidRDefault="00111D3A" w:rsidP="00441B6F">
      <w:pPr>
        <w:pStyle w:val="Appendix"/>
        <w:spacing w:after="0"/>
        <w:jc w:val="both"/>
        <w:rPr>
          <w:rFonts w:ascii="Arial" w:hAnsi="Arial" w:cs="Arial"/>
          <w:b w:val="0"/>
        </w:rPr>
        <w:sectPr w:rsidR="00111D3A" w:rsidRPr="00FB3A86" w:rsidSect="00C15D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25AE5DD" w14:textId="77777777" w:rsidR="00B01FCD" w:rsidRPr="00FB3A86" w:rsidRDefault="00B01FCD" w:rsidP="00441B6F">
      <w:pPr>
        <w:pStyle w:val="Appendix"/>
        <w:spacing w:after="0"/>
        <w:jc w:val="both"/>
        <w:rPr>
          <w:rFonts w:ascii="Arial" w:hAnsi="Arial" w:cs="Arial"/>
          <w:b w:val="0"/>
        </w:rPr>
      </w:pPr>
    </w:p>
    <w:sectPr w:rsidR="00B01FCD" w:rsidRPr="00FB3A86" w:rsidSect="00C15D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7F062" w14:textId="77777777" w:rsidR="003D603B" w:rsidRDefault="003D603B" w:rsidP="00C37E61">
      <w:r>
        <w:separator/>
      </w:r>
    </w:p>
  </w:endnote>
  <w:endnote w:type="continuationSeparator" w:id="0">
    <w:p w14:paraId="0110360B" w14:textId="77777777" w:rsidR="003D603B" w:rsidRDefault="003D60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7401" w14:textId="77777777" w:rsidR="002F6E18" w:rsidRDefault="002F6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AA4D" w14:textId="77777777" w:rsidR="002F6E18" w:rsidRDefault="002F6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3AE2" w14:textId="77777777" w:rsidR="009E048A" w:rsidRDefault="009E048A">
    <w:pPr>
      <w:pStyle w:val="Footer"/>
      <w:rPr>
        <w:rFonts w:ascii="Arial" w:hAnsi="Arial" w:cs="Arial"/>
        <w:sz w:val="16"/>
      </w:rPr>
    </w:pPr>
  </w:p>
  <w:p w14:paraId="1FB3B0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96DF6B" w14:textId="77777777" w:rsidR="009E048A" w:rsidRDefault="009E048A">
    <w:pPr>
      <w:pStyle w:val="Footer"/>
      <w:rPr>
        <w:rFonts w:ascii="Arial" w:hAnsi="Arial" w:cs="Arial"/>
        <w:sz w:val="16"/>
      </w:rPr>
    </w:pPr>
  </w:p>
  <w:p w14:paraId="7605E0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26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1AAE" w14:textId="77777777" w:rsidR="003D603B" w:rsidRDefault="003D603B" w:rsidP="00C37E61">
      <w:r>
        <w:separator/>
      </w:r>
    </w:p>
  </w:footnote>
  <w:footnote w:type="continuationSeparator" w:id="0">
    <w:p w14:paraId="4D36E930" w14:textId="77777777" w:rsidR="003D603B" w:rsidRDefault="003D60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3BAB6" w14:textId="5FD32E3F" w:rsidR="002F6E18" w:rsidRDefault="002F6E18">
    <w:pPr>
      <w:pStyle w:val="Header"/>
    </w:pPr>
    <w:r>
      <w:rPr>
        <w:noProof/>
      </w:rPr>
      <w:pict w14:anchorId="330EF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5A46" w14:textId="09AE7D7F" w:rsidR="002F6E18" w:rsidRDefault="002F6E18">
    <w:pPr>
      <w:pStyle w:val="Header"/>
    </w:pPr>
    <w:r>
      <w:rPr>
        <w:noProof/>
      </w:rPr>
      <w:pict w14:anchorId="468F7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C762" w14:textId="5061EF76" w:rsidR="00296529" w:rsidRPr="00296529" w:rsidRDefault="002F6E18" w:rsidP="00296529">
    <w:pPr>
      <w:ind w:left="2160"/>
      <w:jc w:val="center"/>
      <w:rPr>
        <w:rFonts w:ascii="Times New Roman" w:eastAsia="Calibri" w:hAnsi="Times New Roman"/>
        <w:i/>
        <w:sz w:val="18"/>
        <w:szCs w:val="22"/>
      </w:rPr>
    </w:pPr>
    <w:r>
      <w:rPr>
        <w:noProof/>
      </w:rPr>
      <w:pict w14:anchorId="73F9C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61B7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C476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1249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81B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8AA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079F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058F" w14:textId="620712CC" w:rsidR="002F6E18" w:rsidRDefault="002F6E18">
    <w:pPr>
      <w:pStyle w:val="Header"/>
    </w:pPr>
    <w:r>
      <w:rPr>
        <w:noProof/>
      </w:rPr>
      <w:pict w14:anchorId="653FF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604C" w14:textId="3BC54F4C" w:rsidR="002F6E18" w:rsidRDefault="002F6E18">
    <w:pPr>
      <w:pStyle w:val="Header"/>
    </w:pPr>
    <w:r>
      <w:rPr>
        <w:noProof/>
      </w:rPr>
      <w:pict w14:anchorId="143E7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B60" w14:textId="14C6750B" w:rsidR="002F6E18" w:rsidRDefault="002F6E18">
    <w:pPr>
      <w:pStyle w:val="Header"/>
    </w:pPr>
    <w:r>
      <w:rPr>
        <w:noProof/>
      </w:rPr>
      <w:pict w14:anchorId="33EC8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FF3EA4"/>
    <w:multiLevelType w:val="multilevel"/>
    <w:tmpl w:val="C02E5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351"/>
    <w:rsid w:val="00064817"/>
    <w:rsid w:val="000819E8"/>
    <w:rsid w:val="00085DC8"/>
    <w:rsid w:val="00095652"/>
    <w:rsid w:val="000A47FA"/>
    <w:rsid w:val="000A65D3"/>
    <w:rsid w:val="000B1E33"/>
    <w:rsid w:val="000D689F"/>
    <w:rsid w:val="000E7B7B"/>
    <w:rsid w:val="000E7D62"/>
    <w:rsid w:val="00103357"/>
    <w:rsid w:val="00111D3A"/>
    <w:rsid w:val="00123C9F"/>
    <w:rsid w:val="00124BC8"/>
    <w:rsid w:val="00126190"/>
    <w:rsid w:val="00130F17"/>
    <w:rsid w:val="001320BF"/>
    <w:rsid w:val="00163BC4"/>
    <w:rsid w:val="00167055"/>
    <w:rsid w:val="00191062"/>
    <w:rsid w:val="00192B72"/>
    <w:rsid w:val="001A29D8"/>
    <w:rsid w:val="001A5CAA"/>
    <w:rsid w:val="001B0427"/>
    <w:rsid w:val="001D133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E18"/>
    <w:rsid w:val="00306DFE"/>
    <w:rsid w:val="00315186"/>
    <w:rsid w:val="0033343E"/>
    <w:rsid w:val="00346F91"/>
    <w:rsid w:val="003512C2"/>
    <w:rsid w:val="00355BA9"/>
    <w:rsid w:val="00371FB6"/>
    <w:rsid w:val="003763C1"/>
    <w:rsid w:val="00376BBE"/>
    <w:rsid w:val="0039224F"/>
    <w:rsid w:val="003A43A4"/>
    <w:rsid w:val="003A7E18"/>
    <w:rsid w:val="003C4C86"/>
    <w:rsid w:val="003C6258"/>
    <w:rsid w:val="003D603B"/>
    <w:rsid w:val="003E2904"/>
    <w:rsid w:val="003E5E9D"/>
    <w:rsid w:val="00401927"/>
    <w:rsid w:val="0041027F"/>
    <w:rsid w:val="00412475"/>
    <w:rsid w:val="00423789"/>
    <w:rsid w:val="00433BB4"/>
    <w:rsid w:val="00440F43"/>
    <w:rsid w:val="00441B6F"/>
    <w:rsid w:val="00446221"/>
    <w:rsid w:val="00450E62"/>
    <w:rsid w:val="004539DB"/>
    <w:rsid w:val="00464587"/>
    <w:rsid w:val="00471A80"/>
    <w:rsid w:val="004D305E"/>
    <w:rsid w:val="004D4277"/>
    <w:rsid w:val="004E5D8F"/>
    <w:rsid w:val="00502516"/>
    <w:rsid w:val="00505F06"/>
    <w:rsid w:val="00506828"/>
    <w:rsid w:val="0053056E"/>
    <w:rsid w:val="00554FDA"/>
    <w:rsid w:val="005A700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4B1B"/>
    <w:rsid w:val="0083216F"/>
    <w:rsid w:val="00860000"/>
    <w:rsid w:val="00863BD3"/>
    <w:rsid w:val="008641ED"/>
    <w:rsid w:val="00866D66"/>
    <w:rsid w:val="008671C6"/>
    <w:rsid w:val="00875803"/>
    <w:rsid w:val="008B459E"/>
    <w:rsid w:val="008E13AE"/>
    <w:rsid w:val="008E1506"/>
    <w:rsid w:val="008E710C"/>
    <w:rsid w:val="008F060F"/>
    <w:rsid w:val="008F69D6"/>
    <w:rsid w:val="00902823"/>
    <w:rsid w:val="00915CA6"/>
    <w:rsid w:val="00922B41"/>
    <w:rsid w:val="00927834"/>
    <w:rsid w:val="009500A6"/>
    <w:rsid w:val="00957C18"/>
    <w:rsid w:val="009659BA"/>
    <w:rsid w:val="00983040"/>
    <w:rsid w:val="00992D0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0E4"/>
    <w:rsid w:val="00A347C0"/>
    <w:rsid w:val="00A51431"/>
    <w:rsid w:val="00A539AD"/>
    <w:rsid w:val="00A9064C"/>
    <w:rsid w:val="00A94063"/>
    <w:rsid w:val="00AA6219"/>
    <w:rsid w:val="00AA74E0"/>
    <w:rsid w:val="00AB703F"/>
    <w:rsid w:val="00AC6BB8"/>
    <w:rsid w:val="00AE008F"/>
    <w:rsid w:val="00B01FCD"/>
    <w:rsid w:val="00B1776C"/>
    <w:rsid w:val="00B26890"/>
    <w:rsid w:val="00B52583"/>
    <w:rsid w:val="00B52896"/>
    <w:rsid w:val="00B53006"/>
    <w:rsid w:val="00B95236"/>
    <w:rsid w:val="00B96BD9"/>
    <w:rsid w:val="00BA1B01"/>
    <w:rsid w:val="00BA2641"/>
    <w:rsid w:val="00BB37AA"/>
    <w:rsid w:val="00BC53A0"/>
    <w:rsid w:val="00BE62AD"/>
    <w:rsid w:val="00BF121F"/>
    <w:rsid w:val="00BF1F80"/>
    <w:rsid w:val="00C15DF9"/>
    <w:rsid w:val="00C166EF"/>
    <w:rsid w:val="00C17EB0"/>
    <w:rsid w:val="00C27F5F"/>
    <w:rsid w:val="00C30A0F"/>
    <w:rsid w:val="00C37E61"/>
    <w:rsid w:val="00C70F1B"/>
    <w:rsid w:val="00C71A47"/>
    <w:rsid w:val="00C7464C"/>
    <w:rsid w:val="00C85588"/>
    <w:rsid w:val="00CD6755"/>
    <w:rsid w:val="00CD6856"/>
    <w:rsid w:val="00CE0089"/>
    <w:rsid w:val="00CE75B8"/>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31F5"/>
    <w:rsid w:val="00EC6A55"/>
    <w:rsid w:val="00ED0288"/>
    <w:rsid w:val="00EE19ED"/>
    <w:rsid w:val="00EE52CB"/>
    <w:rsid w:val="00EF581D"/>
    <w:rsid w:val="00EF7FD8"/>
    <w:rsid w:val="00F05597"/>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0EC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06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9064C"/>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unhideWhenUsed/>
    <w:rsid w:val="00EB31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004166">
      <w:bodyDiv w:val="1"/>
      <w:marLeft w:val="0"/>
      <w:marRight w:val="0"/>
      <w:marTop w:val="0"/>
      <w:marBottom w:val="0"/>
      <w:divBdr>
        <w:top w:val="none" w:sz="0" w:space="0" w:color="auto"/>
        <w:left w:val="none" w:sz="0" w:space="0" w:color="auto"/>
        <w:bottom w:val="none" w:sz="0" w:space="0" w:color="auto"/>
        <w:right w:val="none" w:sz="0" w:space="0" w:color="auto"/>
      </w:divBdr>
    </w:div>
    <w:div w:id="29645713">
      <w:bodyDiv w:val="1"/>
      <w:marLeft w:val="0"/>
      <w:marRight w:val="0"/>
      <w:marTop w:val="0"/>
      <w:marBottom w:val="0"/>
      <w:divBdr>
        <w:top w:val="none" w:sz="0" w:space="0" w:color="auto"/>
        <w:left w:val="none" w:sz="0" w:space="0" w:color="auto"/>
        <w:bottom w:val="none" w:sz="0" w:space="0" w:color="auto"/>
        <w:right w:val="none" w:sz="0" w:space="0" w:color="auto"/>
      </w:divBdr>
    </w:div>
    <w:div w:id="76946563">
      <w:bodyDiv w:val="1"/>
      <w:marLeft w:val="0"/>
      <w:marRight w:val="0"/>
      <w:marTop w:val="0"/>
      <w:marBottom w:val="0"/>
      <w:divBdr>
        <w:top w:val="none" w:sz="0" w:space="0" w:color="auto"/>
        <w:left w:val="none" w:sz="0" w:space="0" w:color="auto"/>
        <w:bottom w:val="none" w:sz="0" w:space="0" w:color="auto"/>
        <w:right w:val="none" w:sz="0" w:space="0" w:color="auto"/>
      </w:divBdr>
    </w:div>
    <w:div w:id="1271619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23591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4523063">
      <w:bodyDiv w:val="1"/>
      <w:marLeft w:val="0"/>
      <w:marRight w:val="0"/>
      <w:marTop w:val="0"/>
      <w:marBottom w:val="0"/>
      <w:divBdr>
        <w:top w:val="none" w:sz="0" w:space="0" w:color="auto"/>
        <w:left w:val="none" w:sz="0" w:space="0" w:color="auto"/>
        <w:bottom w:val="none" w:sz="0" w:space="0" w:color="auto"/>
        <w:right w:val="none" w:sz="0" w:space="0" w:color="auto"/>
      </w:divBdr>
    </w:div>
    <w:div w:id="4155187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4634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59403">
      <w:bodyDiv w:val="1"/>
      <w:marLeft w:val="0"/>
      <w:marRight w:val="0"/>
      <w:marTop w:val="0"/>
      <w:marBottom w:val="0"/>
      <w:divBdr>
        <w:top w:val="none" w:sz="0" w:space="0" w:color="auto"/>
        <w:left w:val="none" w:sz="0" w:space="0" w:color="auto"/>
        <w:bottom w:val="none" w:sz="0" w:space="0" w:color="auto"/>
        <w:right w:val="none" w:sz="0" w:space="0" w:color="auto"/>
      </w:divBdr>
      <w:divsChild>
        <w:div w:id="1690836662">
          <w:marLeft w:val="0"/>
          <w:marRight w:val="0"/>
          <w:marTop w:val="0"/>
          <w:marBottom w:val="0"/>
          <w:divBdr>
            <w:top w:val="none" w:sz="0" w:space="0" w:color="auto"/>
            <w:left w:val="none" w:sz="0" w:space="0" w:color="auto"/>
            <w:bottom w:val="none" w:sz="0" w:space="0" w:color="auto"/>
            <w:right w:val="none" w:sz="0" w:space="0" w:color="auto"/>
          </w:divBdr>
        </w:div>
      </w:divsChild>
    </w:div>
    <w:div w:id="1308126394">
      <w:bodyDiv w:val="1"/>
      <w:marLeft w:val="0"/>
      <w:marRight w:val="0"/>
      <w:marTop w:val="0"/>
      <w:marBottom w:val="0"/>
      <w:divBdr>
        <w:top w:val="none" w:sz="0" w:space="0" w:color="auto"/>
        <w:left w:val="none" w:sz="0" w:space="0" w:color="auto"/>
        <w:bottom w:val="none" w:sz="0" w:space="0" w:color="auto"/>
        <w:right w:val="none" w:sz="0" w:space="0" w:color="auto"/>
      </w:divBdr>
    </w:div>
    <w:div w:id="1356267539">
      <w:bodyDiv w:val="1"/>
      <w:marLeft w:val="0"/>
      <w:marRight w:val="0"/>
      <w:marTop w:val="0"/>
      <w:marBottom w:val="0"/>
      <w:divBdr>
        <w:top w:val="none" w:sz="0" w:space="0" w:color="auto"/>
        <w:left w:val="none" w:sz="0" w:space="0" w:color="auto"/>
        <w:bottom w:val="none" w:sz="0" w:space="0" w:color="auto"/>
        <w:right w:val="none" w:sz="0" w:space="0" w:color="auto"/>
      </w:divBdr>
    </w:div>
    <w:div w:id="14098858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C5BF-CCC5-4EF3-B297-6B55D04F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10</Pages>
  <Words>3103</Words>
  <Characters>17691</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20753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21</cp:revision>
  <cp:lastPrinted>1999-07-06T11:00:00Z</cp:lastPrinted>
  <dcterms:created xsi:type="dcterms:W3CDTF">2025-08-13T01:28:00Z</dcterms:created>
  <dcterms:modified xsi:type="dcterms:W3CDTF">2025-08-27T11:52:00Z</dcterms:modified>
</cp:coreProperties>
</file>