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04E330" w14:textId="77777777" w:rsidR="0000241A" w:rsidRDefault="0000241A" w:rsidP="00EB3A1E">
      <w:pPr>
        <w:pStyle w:val="p1"/>
        <w:spacing w:before="0" w:beforeAutospacing="0" w:after="0" w:afterAutospacing="0" w:line="360" w:lineRule="auto"/>
        <w:jc w:val="both"/>
        <w:rPr>
          <w:b/>
          <w:bCs/>
          <w:lang w:val="en-US"/>
        </w:rPr>
      </w:pPr>
      <w:r w:rsidRPr="0000241A">
        <w:rPr>
          <w:b/>
          <w:bCs/>
          <w:lang w:val="en-US"/>
        </w:rPr>
        <w:t xml:space="preserve">Study Protocol </w:t>
      </w:r>
    </w:p>
    <w:p w14:paraId="7209E87A" w14:textId="77777777" w:rsidR="0000241A" w:rsidRDefault="0000241A" w:rsidP="00EB3A1E">
      <w:pPr>
        <w:pStyle w:val="p1"/>
        <w:spacing w:before="0" w:beforeAutospacing="0" w:after="0" w:afterAutospacing="0" w:line="360" w:lineRule="auto"/>
        <w:jc w:val="both"/>
        <w:rPr>
          <w:b/>
          <w:bCs/>
          <w:lang w:val="en-US"/>
        </w:rPr>
      </w:pPr>
    </w:p>
    <w:p w14:paraId="6D0F056B" w14:textId="688C8652" w:rsidR="00EB3A1E" w:rsidRPr="00DE2F9B" w:rsidRDefault="00EB3A1E" w:rsidP="00EB3A1E">
      <w:pPr>
        <w:pStyle w:val="p1"/>
        <w:spacing w:before="0" w:beforeAutospacing="0" w:after="0" w:afterAutospacing="0" w:line="360" w:lineRule="auto"/>
        <w:jc w:val="both"/>
        <w:rPr>
          <w:b/>
          <w:bCs/>
          <w:lang w:val="en-US"/>
        </w:rPr>
      </w:pPr>
      <w:r w:rsidRPr="00DE2F9B">
        <w:rPr>
          <w:b/>
          <w:bCs/>
          <w:lang w:val="en-US"/>
        </w:rPr>
        <w:t>Effect of Oculomotor Therapy on Convergence Insufficiency and Postural Control: Protocol for a Randomized Clinical Trial</w:t>
      </w:r>
    </w:p>
    <w:p w14:paraId="6B505FB3" w14:textId="77777777" w:rsidR="001F1C80" w:rsidRPr="00DE2F9B" w:rsidRDefault="001F1C80" w:rsidP="00EB3A1E">
      <w:pPr>
        <w:pStyle w:val="p1"/>
        <w:spacing w:before="0" w:beforeAutospacing="0" w:after="0" w:afterAutospacing="0" w:line="360" w:lineRule="auto"/>
        <w:jc w:val="both"/>
        <w:rPr>
          <w:color w:val="000000"/>
          <w:shd w:val="clear" w:color="auto" w:fill="FFFFFF"/>
          <w:lang w:val="en-US"/>
        </w:rPr>
      </w:pPr>
    </w:p>
    <w:p w14:paraId="34EDCF4C" w14:textId="77777777" w:rsidR="00DE2F9B" w:rsidRPr="002E7B27" w:rsidRDefault="00DE2F9B" w:rsidP="001D53FD">
      <w:pPr>
        <w:pStyle w:val="p1"/>
        <w:spacing w:before="0" w:beforeAutospacing="0" w:after="0" w:afterAutospacing="0" w:line="360" w:lineRule="auto"/>
        <w:jc w:val="both"/>
        <w:rPr>
          <w:b/>
          <w:bCs/>
        </w:rPr>
      </w:pPr>
    </w:p>
    <w:p w14:paraId="2F0C07CD" w14:textId="49434654" w:rsidR="00605BDF" w:rsidRPr="00DE2F9B" w:rsidRDefault="0029500A" w:rsidP="001D53FD">
      <w:pPr>
        <w:pStyle w:val="p1"/>
        <w:spacing w:before="0" w:beforeAutospacing="0" w:after="0" w:afterAutospacing="0" w:line="360" w:lineRule="auto"/>
        <w:jc w:val="both"/>
        <w:rPr>
          <w:b/>
          <w:bCs/>
          <w:lang w:val="en-US"/>
        </w:rPr>
      </w:pPr>
      <w:r w:rsidRPr="00DE2F9B">
        <w:rPr>
          <w:b/>
          <w:bCs/>
          <w:lang w:val="en-US"/>
        </w:rPr>
        <w:t>ABSTRACT</w:t>
      </w:r>
    </w:p>
    <w:p w14:paraId="7CECC8FA" w14:textId="4ED942EC" w:rsidR="001F1C80" w:rsidRPr="00DE2F9B" w:rsidRDefault="001F1C80" w:rsidP="001D53FD">
      <w:pPr>
        <w:pStyle w:val="NormalWeb"/>
        <w:spacing w:line="360" w:lineRule="auto"/>
        <w:jc w:val="both"/>
        <w:rPr>
          <w:lang w:val="en-US"/>
        </w:rPr>
      </w:pPr>
      <w:r w:rsidRPr="00DE2F9B">
        <w:rPr>
          <w:rStyle w:val="citation-86"/>
          <w:rFonts w:eastAsiaTheme="majorEastAsia"/>
          <w:b/>
          <w:bCs/>
          <w:color w:val="000000"/>
          <w:lang w:val="en-US"/>
        </w:rPr>
        <w:t>Aims:</w:t>
      </w:r>
      <w:r w:rsidRPr="00DE2F9B">
        <w:rPr>
          <w:rStyle w:val="citation-86"/>
          <w:rFonts w:eastAsiaTheme="majorEastAsia"/>
          <w:color w:val="000000"/>
          <w:lang w:val="en-US"/>
        </w:rPr>
        <w:t xml:space="preserve"> </w:t>
      </w:r>
      <w:r w:rsidRPr="00DE2F9B">
        <w:rPr>
          <w:lang w:val="en-US"/>
        </w:rPr>
        <w:t xml:space="preserve">To investigate the effects of oculomotor therapy on binocular convergence and postural control in adults with </w:t>
      </w:r>
      <w:r w:rsidR="001D53FD" w:rsidRPr="00DE2F9B">
        <w:rPr>
          <w:lang w:val="en-US"/>
        </w:rPr>
        <w:t>convergence insufficiency (</w:t>
      </w:r>
      <w:r w:rsidRPr="00DE2F9B">
        <w:rPr>
          <w:lang w:val="en-US"/>
        </w:rPr>
        <w:t>CI</w:t>
      </w:r>
      <w:r w:rsidR="001D53FD" w:rsidRPr="00DE2F9B">
        <w:rPr>
          <w:lang w:val="en-US"/>
        </w:rPr>
        <w:t>).</w:t>
      </w:r>
    </w:p>
    <w:p w14:paraId="412A217C" w14:textId="75AC27DB" w:rsidR="001F1C80" w:rsidRPr="00DE2F9B" w:rsidRDefault="001F1C80" w:rsidP="001D53FD">
      <w:pPr>
        <w:pStyle w:val="NormalWeb"/>
        <w:spacing w:line="360" w:lineRule="auto"/>
        <w:jc w:val="both"/>
        <w:rPr>
          <w:color w:val="000000"/>
          <w:lang w:val="en-US"/>
        </w:rPr>
      </w:pPr>
      <w:r w:rsidRPr="00DE2F9B">
        <w:rPr>
          <w:rStyle w:val="citation-85"/>
          <w:rFonts w:eastAsiaTheme="majorEastAsia"/>
          <w:b/>
          <w:bCs/>
          <w:color w:val="000000"/>
          <w:lang w:val="en-US"/>
        </w:rPr>
        <w:t>Materials and Methods:</w:t>
      </w:r>
      <w:r w:rsidRPr="00DE2F9B">
        <w:rPr>
          <w:rStyle w:val="citation-85"/>
          <w:rFonts w:eastAsiaTheme="majorEastAsia"/>
          <w:color w:val="000000"/>
          <w:lang w:val="en-US"/>
        </w:rPr>
        <w:t xml:space="preserve"> This will be a randomized controlled clinical trial, with a total of 48 participants with a confirmed diagnosis of CI</w:t>
      </w:r>
      <w:r w:rsidRPr="00DE2F9B">
        <w:rPr>
          <w:color w:val="000000"/>
          <w:lang w:val="en-US"/>
        </w:rPr>
        <w:t>.</w:t>
      </w:r>
      <w:r w:rsidRPr="00DE2F9B">
        <w:rPr>
          <w:rStyle w:val="apple-converted-space"/>
          <w:rFonts w:eastAsiaTheme="majorEastAsia"/>
          <w:color w:val="000000"/>
          <w:lang w:val="en-US"/>
        </w:rPr>
        <w:t> </w:t>
      </w:r>
      <w:r w:rsidRPr="00DE2F9B">
        <w:rPr>
          <w:rStyle w:val="citation-84"/>
          <w:rFonts w:eastAsiaTheme="majorEastAsia"/>
          <w:color w:val="000000"/>
          <w:lang w:val="en-US"/>
        </w:rPr>
        <w:t>Participants will be randomly allocated to two groups: Experimental Group (EG, n=24) which will receive oculomotor therapy, and Control Group (CG, n=24) which will have no intervention</w:t>
      </w:r>
      <w:r w:rsidRPr="00DE2F9B">
        <w:rPr>
          <w:color w:val="000000"/>
          <w:lang w:val="en-US"/>
        </w:rPr>
        <w:t>.</w:t>
      </w:r>
      <w:r w:rsidRPr="00DE2F9B">
        <w:rPr>
          <w:rStyle w:val="apple-converted-space"/>
          <w:rFonts w:eastAsiaTheme="majorEastAsia"/>
          <w:color w:val="000000"/>
          <w:lang w:val="en-US"/>
        </w:rPr>
        <w:t> </w:t>
      </w:r>
      <w:r w:rsidRPr="00DE2F9B">
        <w:rPr>
          <w:rStyle w:val="citation-83"/>
          <w:rFonts w:eastAsiaTheme="majorEastAsia"/>
          <w:color w:val="000000"/>
          <w:lang w:val="en-US"/>
        </w:rPr>
        <w:t>Oculomotor therapy will include exercises such as Brock String, Barrel Card, Life Saver Card (Dynamic Convergence Training), Saccadic and Pursuit Eye Movement Exercises, and Modified Pencil Push-Up</w:t>
      </w:r>
      <w:r w:rsidRPr="00DE2F9B">
        <w:rPr>
          <w:color w:val="000000"/>
          <w:lang w:val="en-US"/>
        </w:rPr>
        <w:t>.</w:t>
      </w:r>
      <w:r w:rsidRPr="00DE2F9B">
        <w:rPr>
          <w:rStyle w:val="apple-converted-space"/>
          <w:rFonts w:eastAsiaTheme="majorEastAsia"/>
          <w:color w:val="000000"/>
          <w:lang w:val="en-US"/>
        </w:rPr>
        <w:t> </w:t>
      </w:r>
      <w:r w:rsidRPr="00DE2F9B">
        <w:rPr>
          <w:rStyle w:val="citation-81"/>
          <w:rFonts w:eastAsiaTheme="majorEastAsia"/>
          <w:color w:val="000000"/>
          <w:lang w:val="en-US"/>
        </w:rPr>
        <w:t>Assessments will occur at three time points: baseline (prior to the intervention), immediately after the five-session intervention (once per week), and at a 30-day follow-up</w:t>
      </w:r>
      <w:r w:rsidRPr="00DE2F9B">
        <w:rPr>
          <w:color w:val="000000"/>
          <w:lang w:val="en-US"/>
        </w:rPr>
        <w:t>.</w:t>
      </w:r>
      <w:r w:rsidRPr="00DE2F9B">
        <w:rPr>
          <w:rStyle w:val="apple-converted-space"/>
          <w:rFonts w:eastAsiaTheme="majorEastAsia"/>
          <w:color w:val="000000"/>
          <w:lang w:val="en-US"/>
        </w:rPr>
        <w:t> </w:t>
      </w:r>
      <w:r w:rsidRPr="00DE2F9B">
        <w:rPr>
          <w:rStyle w:val="citation-80"/>
          <w:color w:val="000000"/>
          <w:lang w:val="en-US"/>
        </w:rPr>
        <w:t>The primary outcomes will be ocular convergence capacity, assessed using the Near Point of Convergence (NPC) test, and functional mobility, evaluated using the Timed Up and Go (TUG) test</w:t>
      </w:r>
      <w:r w:rsidRPr="00DE2F9B">
        <w:rPr>
          <w:color w:val="000000"/>
          <w:lang w:val="en-US"/>
        </w:rPr>
        <w:t>.</w:t>
      </w:r>
      <w:r w:rsidRPr="00DE2F9B">
        <w:rPr>
          <w:rStyle w:val="apple-converted-space"/>
          <w:rFonts w:eastAsiaTheme="majorEastAsia"/>
          <w:color w:val="000000"/>
          <w:lang w:val="en-US"/>
        </w:rPr>
        <w:t> </w:t>
      </w:r>
      <w:r w:rsidRPr="00DE2F9B">
        <w:rPr>
          <w:rStyle w:val="citation-79"/>
          <w:rFonts w:eastAsiaTheme="majorEastAsia"/>
          <w:color w:val="000000"/>
          <w:lang w:val="en-US"/>
        </w:rPr>
        <w:t xml:space="preserve">Secondary outcomes include CI-related symptomatology, assessed using the Convergence Insufficiency Symptom Survey (CISS), Quality of Life (SF-36), and </w:t>
      </w:r>
      <w:r w:rsidR="00274DB7" w:rsidRPr="00DE2F9B">
        <w:rPr>
          <w:rStyle w:val="citation-79"/>
          <w:rFonts w:eastAsiaTheme="majorEastAsia"/>
          <w:color w:val="000000"/>
          <w:lang w:val="en-US"/>
        </w:rPr>
        <w:t>p</w:t>
      </w:r>
      <w:r w:rsidRPr="00DE2F9B">
        <w:rPr>
          <w:rStyle w:val="citation-79"/>
          <w:rFonts w:eastAsiaTheme="majorEastAsia"/>
          <w:color w:val="000000"/>
          <w:lang w:val="en-US"/>
        </w:rPr>
        <w:t xml:space="preserve">ostural </w:t>
      </w:r>
      <w:r w:rsidR="00274DB7" w:rsidRPr="00DE2F9B">
        <w:rPr>
          <w:rStyle w:val="citation-79"/>
          <w:rFonts w:eastAsiaTheme="majorEastAsia"/>
          <w:color w:val="000000"/>
          <w:lang w:val="en-US"/>
        </w:rPr>
        <w:t>c</w:t>
      </w:r>
      <w:r w:rsidRPr="00DE2F9B">
        <w:rPr>
          <w:rStyle w:val="citation-79"/>
          <w:rFonts w:eastAsiaTheme="majorEastAsia"/>
          <w:color w:val="000000"/>
          <w:lang w:val="en-US"/>
        </w:rPr>
        <w:t>ontrol (</w:t>
      </w:r>
      <w:proofErr w:type="spellStart"/>
      <w:r w:rsidRPr="00DE2F9B">
        <w:rPr>
          <w:rStyle w:val="citation-79"/>
          <w:rFonts w:eastAsiaTheme="majorEastAsia"/>
          <w:color w:val="000000"/>
          <w:lang w:val="en-US"/>
        </w:rPr>
        <w:t>Stabilometry</w:t>
      </w:r>
      <w:proofErr w:type="spellEnd"/>
      <w:r w:rsidRPr="00DE2F9B">
        <w:rPr>
          <w:rStyle w:val="citation-79"/>
          <w:rFonts w:eastAsiaTheme="majorEastAsia"/>
          <w:color w:val="000000"/>
          <w:lang w:val="en-US"/>
        </w:rPr>
        <w:t>) using a force platform</w:t>
      </w:r>
      <w:r w:rsidRPr="00DE2F9B">
        <w:rPr>
          <w:color w:val="000000"/>
          <w:lang w:val="en-US"/>
        </w:rPr>
        <w:t>.</w:t>
      </w:r>
    </w:p>
    <w:p w14:paraId="6533025F" w14:textId="4E28757C" w:rsidR="001F1C80" w:rsidRPr="00DE2F9B" w:rsidRDefault="001F1C80" w:rsidP="001D53FD">
      <w:pPr>
        <w:pStyle w:val="NormalWeb"/>
        <w:spacing w:line="360" w:lineRule="auto"/>
        <w:jc w:val="both"/>
        <w:rPr>
          <w:rStyle w:val="apple-converted-space"/>
          <w:rFonts w:eastAsiaTheme="majorEastAsia"/>
          <w:color w:val="000000"/>
          <w:lang w:val="en-US"/>
        </w:rPr>
      </w:pPr>
      <w:r w:rsidRPr="00DE2F9B">
        <w:rPr>
          <w:rStyle w:val="citation-78"/>
          <w:b/>
          <w:bCs/>
          <w:color w:val="000000"/>
          <w:lang w:val="en-US"/>
        </w:rPr>
        <w:t>Results:</w:t>
      </w:r>
      <w:r w:rsidRPr="00DE2F9B">
        <w:rPr>
          <w:rStyle w:val="citation-78"/>
          <w:color w:val="000000"/>
          <w:lang w:val="en-US"/>
        </w:rPr>
        <w:t xml:space="preserve"> Analysis will be by intention-to-treat using a linear mixed model approach to account for potential participant dropouts</w:t>
      </w:r>
      <w:r w:rsidRPr="00DE2F9B">
        <w:rPr>
          <w:color w:val="000000"/>
          <w:lang w:val="en-US"/>
        </w:rPr>
        <w:t>.</w:t>
      </w:r>
      <w:r w:rsidRPr="00DE2F9B">
        <w:rPr>
          <w:rStyle w:val="apple-converted-space"/>
          <w:rFonts w:eastAsiaTheme="majorEastAsia"/>
          <w:color w:val="000000"/>
          <w:lang w:val="en-US"/>
        </w:rPr>
        <w:t> </w:t>
      </w:r>
      <w:r w:rsidRPr="00DE2F9B">
        <w:rPr>
          <w:rStyle w:val="citation-77"/>
          <w:rFonts w:eastAsiaTheme="majorEastAsia"/>
          <w:color w:val="000000"/>
          <w:lang w:val="en-US"/>
        </w:rPr>
        <w:t>Comparisons between groups before and after treatment will demonstrate whether oculomotor therapy has a significant effect on binocular convergence capacity and postural control</w:t>
      </w:r>
      <w:r w:rsidRPr="00DE2F9B">
        <w:rPr>
          <w:color w:val="000000"/>
          <w:lang w:val="en-US"/>
        </w:rPr>
        <w:t>. The data will be published after the study is completed.</w:t>
      </w:r>
      <w:r w:rsidRPr="00DE2F9B">
        <w:rPr>
          <w:rStyle w:val="apple-converted-space"/>
          <w:rFonts w:eastAsiaTheme="majorEastAsia"/>
          <w:color w:val="000000"/>
          <w:lang w:val="en-US"/>
        </w:rPr>
        <w:t> </w:t>
      </w:r>
      <w:r w:rsidRPr="00DE2F9B">
        <w:rPr>
          <w:rStyle w:val="citation-76"/>
          <w:color w:val="000000"/>
          <w:lang w:val="en-US"/>
        </w:rPr>
        <w:t>The study may support the incorporation of oculomotor rehabilitation into broader therapeutic strategies aimed at preventing falls and improving functional autonomy</w:t>
      </w:r>
      <w:r w:rsidRPr="00DE2F9B">
        <w:rPr>
          <w:color w:val="000000"/>
          <w:lang w:val="en-US"/>
        </w:rPr>
        <w:t xml:space="preserve">. </w:t>
      </w:r>
      <w:r w:rsidRPr="00DE2F9B">
        <w:rPr>
          <w:color w:val="333333"/>
          <w:shd w:val="clear" w:color="auto" w:fill="FFFFFF"/>
          <w:lang w:val="en-US"/>
        </w:rPr>
        <w:t>This protocol was registered (</w:t>
      </w:r>
      <w:r w:rsidRPr="00DE2F9B">
        <w:rPr>
          <w:rStyle w:val="citation-75"/>
          <w:color w:val="000000"/>
          <w:lang w:val="en-US"/>
        </w:rPr>
        <w:t>NCT07036263</w:t>
      </w:r>
      <w:r w:rsidRPr="00DE2F9B">
        <w:rPr>
          <w:color w:val="333333"/>
          <w:shd w:val="clear" w:color="auto" w:fill="FFFFFF"/>
          <w:lang w:val="en-US"/>
        </w:rPr>
        <w:t xml:space="preserve">) and received ethical approval (CAEE: </w:t>
      </w:r>
      <w:r w:rsidR="00B764BF" w:rsidRPr="00DE2F9B">
        <w:rPr>
          <w:color w:val="333333"/>
          <w:shd w:val="clear" w:color="auto" w:fill="FFFFFF"/>
          <w:lang w:val="en-US"/>
        </w:rPr>
        <w:t>79397224.2.0000.5511</w:t>
      </w:r>
      <w:r w:rsidRPr="00DE2F9B">
        <w:rPr>
          <w:color w:val="333333"/>
          <w:shd w:val="clear" w:color="auto" w:fill="FFFFFF"/>
          <w:lang w:val="en-US"/>
        </w:rPr>
        <w:t>).</w:t>
      </w:r>
      <w:r w:rsidRPr="00DE2F9B">
        <w:rPr>
          <w:rStyle w:val="apple-converted-space"/>
          <w:rFonts w:eastAsiaTheme="majorEastAsia"/>
          <w:color w:val="000000"/>
          <w:lang w:val="en-US"/>
        </w:rPr>
        <w:t> </w:t>
      </w:r>
    </w:p>
    <w:p w14:paraId="1C85A20F" w14:textId="3FB4C890" w:rsidR="00274DB7" w:rsidRPr="00DE2F9B" w:rsidRDefault="00274DB7" w:rsidP="00274DB7">
      <w:pPr>
        <w:spacing w:after="0" w:line="240" w:lineRule="auto"/>
        <w:rPr>
          <w:rFonts w:ascii="Times New Roman" w:eastAsia="Times New Roman" w:hAnsi="Times New Roman" w:cs="Times New Roman"/>
          <w:kern w:val="0"/>
          <w:lang w:val="en-US" w:eastAsia="pt-BR"/>
          <w14:ligatures w14:val="none"/>
        </w:rPr>
      </w:pPr>
      <w:r w:rsidRPr="00DE2F9B">
        <w:rPr>
          <w:rFonts w:ascii="Times New Roman" w:eastAsia="Times New Roman" w:hAnsi="Times New Roman" w:cs="Times New Roman"/>
          <w:b/>
          <w:bCs/>
          <w:kern w:val="0"/>
          <w:lang w:val="en-US" w:eastAsia="pt-BR"/>
          <w14:ligatures w14:val="none"/>
        </w:rPr>
        <w:lastRenderedPageBreak/>
        <w:t>Keywords:</w:t>
      </w:r>
      <w:r w:rsidRPr="00DE2F9B">
        <w:rPr>
          <w:rFonts w:ascii="Times New Roman" w:eastAsia="Times New Roman" w:hAnsi="Times New Roman" w:cs="Times New Roman"/>
          <w:kern w:val="0"/>
          <w:lang w:val="en-US" w:eastAsia="pt-BR"/>
          <w14:ligatures w14:val="none"/>
        </w:rPr>
        <w:t xml:space="preserve"> </w:t>
      </w:r>
      <w:r w:rsidRPr="00DE2F9B">
        <w:rPr>
          <w:rFonts w:ascii="Times New Roman" w:hAnsi="Times New Roman" w:cs="Times New Roman"/>
          <w:lang w:val="en-US"/>
        </w:rPr>
        <w:t>Convergence Insufficiency; oculomotor therapy; postural control; visual rehabilitation</w:t>
      </w:r>
    </w:p>
    <w:p w14:paraId="009FB584" w14:textId="77777777" w:rsidR="00274DB7" w:rsidRDefault="00274DB7" w:rsidP="00EB3A1E">
      <w:pPr>
        <w:pStyle w:val="Heading2"/>
        <w:spacing w:before="0" w:after="0" w:line="360" w:lineRule="auto"/>
        <w:jc w:val="both"/>
        <w:rPr>
          <w:rFonts w:ascii="Times New Roman" w:hAnsi="Times New Roman" w:cs="Times New Roman"/>
          <w:b/>
          <w:bCs/>
          <w:color w:val="000000" w:themeColor="text1"/>
          <w:sz w:val="24"/>
          <w:szCs w:val="24"/>
          <w:lang w:val="en-US"/>
        </w:rPr>
      </w:pPr>
    </w:p>
    <w:p w14:paraId="65AA1649" w14:textId="77777777" w:rsidR="00DE2F9B" w:rsidRPr="00DE2F9B" w:rsidRDefault="00DE2F9B" w:rsidP="00DE2F9B">
      <w:pPr>
        <w:rPr>
          <w:lang w:val="en-US"/>
        </w:rPr>
      </w:pPr>
    </w:p>
    <w:p w14:paraId="6402EFC4" w14:textId="588BECBF" w:rsidR="00EB3A1E" w:rsidRPr="00DE2F9B" w:rsidRDefault="00DE2F9B" w:rsidP="00DE2F9B">
      <w:pPr>
        <w:pStyle w:val="Heading2"/>
        <w:numPr>
          <w:ilvl w:val="0"/>
          <w:numId w:val="19"/>
        </w:numPr>
        <w:spacing w:before="0" w:after="0" w:line="360" w:lineRule="auto"/>
        <w:ind w:left="284" w:hanging="284"/>
        <w:jc w:val="both"/>
        <w:rPr>
          <w:rFonts w:ascii="Times New Roman" w:hAnsi="Times New Roman" w:cs="Times New Roman"/>
          <w:b/>
          <w:bCs/>
          <w:color w:val="000000" w:themeColor="text1"/>
          <w:sz w:val="24"/>
          <w:szCs w:val="24"/>
          <w:lang w:val="en-US"/>
        </w:rPr>
      </w:pPr>
      <w:r w:rsidRPr="00DE2F9B">
        <w:rPr>
          <w:rFonts w:ascii="Times New Roman" w:hAnsi="Times New Roman" w:cs="Times New Roman"/>
          <w:b/>
          <w:bCs/>
          <w:color w:val="000000" w:themeColor="text1"/>
          <w:sz w:val="24"/>
          <w:szCs w:val="24"/>
          <w:lang w:val="en-US"/>
        </w:rPr>
        <w:t>INTRODUCTION</w:t>
      </w:r>
    </w:p>
    <w:p w14:paraId="5FB51A80" w14:textId="3968E9D8" w:rsidR="00EB3A1E" w:rsidRPr="00DE2F9B" w:rsidRDefault="00EB3A1E" w:rsidP="00EB3A1E">
      <w:pPr>
        <w:pStyle w:val="p3"/>
        <w:spacing w:before="0" w:beforeAutospacing="0" w:after="0" w:afterAutospacing="0" w:line="360" w:lineRule="auto"/>
        <w:jc w:val="both"/>
        <w:rPr>
          <w:lang w:val="en-US"/>
        </w:rPr>
      </w:pPr>
      <w:r w:rsidRPr="00DE2F9B">
        <w:rPr>
          <w:lang w:val="en-US"/>
        </w:rPr>
        <w:t>Convergence insufficiency (CI) is a binocular vision disorder characterized by the in</w:t>
      </w:r>
      <w:r w:rsidR="0040169B" w:rsidRPr="00DE2F9B">
        <w:rPr>
          <w:lang w:val="en-US"/>
        </w:rPr>
        <w:t>a</w:t>
      </w:r>
      <w:r w:rsidRPr="00DE2F9B">
        <w:rPr>
          <w:lang w:val="en-US"/>
        </w:rPr>
        <w:t xml:space="preserve">bility to adequately converge or sustain convergence during fixation on near objects </w:t>
      </w:r>
      <w:r w:rsidR="00E56D35" w:rsidRPr="00DE2F9B">
        <w:rPr>
          <w:lang w:val="en-US"/>
        </w:rPr>
        <w:fldChar w:fldCharType="begin"/>
      </w:r>
      <w:r w:rsidR="00FC0CE6" w:rsidRPr="00DE2F9B">
        <w:rPr>
          <w:lang w:val="en-US"/>
        </w:rPr>
        <w:instrText xml:space="preserve"> ADDIN ZOTERO_ITEM CSL_CITATION {"citationID":"UkPTJO6e","properties":{"formattedCitation":"(Convergence Insufficiency Treatment Trial (CITT) Study Group, 2008; Menigite; Taglietti, 2017; Scheiman et al., 2020)","plainCitation":"(Convergence Insufficiency Treatment Trial (CITT) Study Group, 2008; Menigite; Taglietti, 2017; Scheiman et al., 2020)","noteIndex":0},"citationItems":[{"id":777,"uris":["http://zotero.org/users/9972645/items/FJJYMGS7"],"itemData":{"id":777,"type":"article-journal","abstract":"Objective\nThis report describes the design and methodology of the Convergence Insufficiency Treatment Trial (CITT), the first large-scale, placebo-controlled, randomized clinical trial evaluating treatments for convergence insufficiency (CI) in children. We also report the clinical and demographic characteristics of patients.\n\nMethods\nWe prospectively randomized children 9 to 17 years of age to one of four treatment groups: 1) home-based pencil push-ups, 2) home-based computer vergence/accommodative therapy and pencil push-ups, 3) office-based vergence/accommodative therapy with home reinforcement, 4) office-based placebo therapy. Outcome data on the Convergence Insufficiency Symptom Survey (CISS) score (primary outcome), near point of convergence (NPC), and positive fusional vergence were collected after 12 weeks of active treatment and again at 6 and 12 months post-treatment.\n\nResults\nThe CITT enrolled 221 children with symptomatic CI with a mean age of 12.0 years (SD = +2.3). The clinical profile of the cohort at baseline was 9Δ exophoria at near (+/− 4.4) and 2Δ exophoria (+/−2.8) at distance, CISS score = 30 (+/−9.0), NPC = 14 cm (+/− 7.5), and near positive fusional vergence break = 13 Δ (+/− 4.6). There were no statistically significant nor clinically relevant differences between treatment groups with respect to baseline characteristics (p &gt; 0.05).\n\nConclusion\nHallmark features of the study design include formal definitions of conditions and outcomes, standardized diagnostic and treatment protocols, a placebo treatment arm, masked outcome examinations, and the CISS score outcome measure. The baseline data reported herein define the clinical profile of those enrolled into the CITT.","container-title":"Ophthalmic epidemiology","DOI":"10.1080/09286580701772037","ISSN":"0928-6586","issue":"1","journalAbbreviation":"Ophthalmic Epidemiol","note":"PMID: 18300086\nPMCID: PMC2782898","page":"24-36","source":"PubMed Central","title":"The Convergence Insufficiency Treatment Trial: Design, Methods, and Baseline Data","title-short":"The Convergence Insufficiency Treatment Trial","volume":"15","author":[{"family":"Convergence Insufficiency Treatment Trial (CITT) Study Group","given":""}],"issued":{"date-parts":[["2008"]]}}},{"id":790,"uris":["http://zotero.org/users/9972645/items/4DHQXDCM"],"itemData":{"id":790,"type":"article-journal","abstract":"Resumo Objetivo: Investigar a prevalência de desconforto visual e insuficiência de convergência (IC) em docentes universitários. Métodos: Tratar-se de um estudo transversal, com 60 docentes de ambos os sexos, tendo sido utilizado o questionário Convergence Insufficiency Symptom Survey, validado para a população brasileira. Resultados: Dos docentes entrevistados 55,0% eram do sexo feminino. 48,3% responderam dedicar menos que duas horas por dia à leitura, sendo que 40,0% dos entrevistados disseram que fazem pausas de 30 minutos à uma hora durante a leitura e 63,3% afirmaram passar entre 2 a 5 horas por dia em frente ao computador. Em relação à investigação sobre as doenças do sistema visual, 25,0% relataram apresentar miopia, sendo que 55,0% dos indivíduos usam óculos e destes 41,7% o usam com frequência. Quanto à investigação da prevalência de insuficiência de convergência, obteve-se frequência de (1,8) %. Conclusão: Constatou-se que a maioria dos entrevistados se apresentou com desconforto visual e uma pequena porcentagem foram acometidos pela IC.","container-title":"Revista Brasileira de Oftalmologia","DOI":"https://doi.org/10.5935/0034-7280.20170050","ISSN":"0034-7280, 1982-8551","journalAbbreviation":"Rev. bras.oftalmol.","language":"pt","note":"publisher: Sociedade Brasileira de Oftalmologia","page":"242-246","source":"SciELO","title":"Sintomas visuais e insuficiência de convergência em docentes universitários","volume":"76","author":[{"family":"Menigite","given":"Nágila Cristiana"},{"family":"Taglietti","given":"Marcelo"}],"issued":{"date-parts":[["2017",12]]}}},{"id":732,"uris":["http://zotero.org/users/9972645/items/22B9UQSC"],"itemData":{"id":732,"type":"article-journal","container-title":"Cochrane Database of Systematic Reviews","DOI":"10.1002/14651858.CD006768.pub3","ISSN":"14651858","issue":"12","language":"en","source":"DOI.org (Crossref)","title":"Interventions for convergence insufficiency: a network meta-analysis","title-short":"Interventions for convergence insufficiency","URL":"http://doi.wiley.com/10.1002/14651858.CD006768.pub3","volume":"2020","editor":[{"literal":"Cochrane Eyes and Vision Group"}],"author":[{"family":"Scheiman","given":"Mitchell"},{"family":"Kulp","given":"Marjean T"},{"family":"Cotter","given":"Susan A"},{"family":"Lawrenson","given":"John G"},{"family":"Wang","given":"Lin"},{"family":"Li","given":"Tianjing"}],"accessed":{"date-parts":[["2024",9,24]]},"issued":{"date-parts":[["2020",12,2]]}}}],"schema":"https://github.com/citation-style-language/schema/raw/master/csl-citation.json"} </w:instrText>
      </w:r>
      <w:r w:rsidR="00E56D35" w:rsidRPr="00DE2F9B">
        <w:rPr>
          <w:lang w:val="en-US"/>
        </w:rPr>
        <w:fldChar w:fldCharType="separate"/>
      </w:r>
      <w:r w:rsidR="00FC0CE6" w:rsidRPr="00DE2F9B">
        <w:rPr>
          <w:lang w:val="en-US"/>
        </w:rPr>
        <w:t>(CITT, 2008; Menigite</w:t>
      </w:r>
      <w:r w:rsidR="003F2E0D" w:rsidRPr="00DE2F9B">
        <w:rPr>
          <w:lang w:val="en-US"/>
        </w:rPr>
        <w:t xml:space="preserve"> et al, </w:t>
      </w:r>
      <w:r w:rsidR="00FC0CE6" w:rsidRPr="00DE2F9B">
        <w:rPr>
          <w:lang w:val="en-US"/>
        </w:rPr>
        <w:t>2017; Scheiman et al., 2020)</w:t>
      </w:r>
      <w:r w:rsidR="00E56D35" w:rsidRPr="00DE2F9B">
        <w:rPr>
          <w:lang w:val="en-US"/>
        </w:rPr>
        <w:fldChar w:fldCharType="end"/>
      </w:r>
      <w:r w:rsidRPr="00DE2F9B">
        <w:rPr>
          <w:lang w:val="en-US"/>
        </w:rPr>
        <w:t>. Common symptoms include diplopia, visual fatigue, headaches, ocular discomfort, difficulty concentrating, and poor performance in tasks requiring prolonged near vision</w:t>
      </w:r>
      <w:r w:rsidR="000A7CC8" w:rsidRPr="00DE2F9B">
        <w:rPr>
          <w:lang w:val="en-US"/>
        </w:rPr>
        <w:t xml:space="preserve"> </w:t>
      </w:r>
      <w:r w:rsidR="005E4D60" w:rsidRPr="00DE2F9B">
        <w:rPr>
          <w:lang w:val="en-US"/>
        </w:rPr>
        <w:fldChar w:fldCharType="begin"/>
      </w:r>
      <w:r w:rsidR="005E4D60" w:rsidRPr="00DE2F9B">
        <w:rPr>
          <w:lang w:val="en-US"/>
        </w:rPr>
        <w:instrText xml:space="preserve"> ADDIN ZOTERO_ITEM CSL_CITATION {"citationID":"omL59K2R","properties":{"formattedCitation":"(Hajebrahimi et al., 2024; Hashemi et al., 2021; Nunes et al., 2019)","plainCitation":"(Hajebrahimi et al., 2024; Hashemi et al., 2021; Nunes et al., 2019)","noteIndex":0},"citationItems":[{"id":896,"uris":["http://zotero.org/users/9972645/items/MN65SZ4H"],"itemData":{"id":896,"type":"article-journal","abstract":"Abstract\n            \n              Introduction\n              Convergence Insufficiency (CI) is the most prevalent oculomotor dysfunction of binocular vision that negatively impacts quality of life when performing visual near tasks. Decreased resting‐state functional connectivity (RSFC) is reported in the CI participants compared to binocularly normal control participants. Studies report that therapeutic interventions such as office‐based vergence and accommodative therapy (OBVAT) can improve CI participants' clinical signs, visual symptoms, and task‐related functional activity. However, longitudinal studies investigating the RSFC changes after such treatments in participants with CI have not been conducted. This study aimed to investigate the neural basis of OBVAT using RSFC in CI participants compared to the placebo treatment to understand how OBVAT improves visual function and symptoms.\n            \n            \n              Methods\n              A total of 51 CI participants between 18 and 35 years of age were included in the study and randomly allocated to receive either 12 one‐hour sessions of OBVAT or placebo treatment for 6 to 8 weeks (1 to 2 sessions per week). Resting‐state functional magnetic resonance imaging and clinical assessments were evaluated at baseline and outcome for each treatment group. Region of interest (ROI) analysis was conducted in nine ROIs of the oculomotor vergence network, including the following: cerebellar vermis (CV), frontal eye fields (FEF), supplementary eye fields (SEF), parietal eye fields (PEF), and primary visual cortices (V1). Paired t‐tests assessed RSFC changes in each group. A linear regression analysis was conducted for significant ROI pairs in the group‐level analysis for correlations with clinical measures.\n            \n            \n              Results\n              \n                Paired t‐test results showed increased RSFC in 10 ROI pairs after the OBVAT but not placebo treatment (\n                p\n                 &lt; 0.05, false discovery rate corrected). These ROI pairs included the following: Left (L)‐SEF–Right (R)‐V1, L‐SEF–CV, R‐SEF–R‐PEF, R‐SEF–L‐V1, R‐SEF–R‐V1, R‐SEF–CV, R‐PEF–CV, L‐V1–CV, R‐V1–CV, and L‐V1–R‐V1. Significant correlations were observed between the RSFC strength of the R‐SEF–R‐PEF ROI pair and the following clinical visual function parameters: positive fusional vergence and near point of convergence (\n                p\n                 &lt; 0.05).\n              \n            \n            \n              Conclusion\n              OBVAT, but not placebo treatment, increased the RSFC in the ROIs of the oculomotor vergence network, which was correlated with the improvements in the clinical measures of the CI participants.","container-title":"CNS Neuroscience &amp; Therapeutics","DOI":"10.1111/cns.70007","ISSN":"1755-5930, 1755-5949","issue":"8","journalAbbreviation":"CNS Neurosci Ther","language":"en","page":"e70007","source":"DOI.org (Crossref)","title":"From convergence insufficiency to functional reorganization: A longitudinal randomized controlled trial of treatment‐induced connectivity plasticity","title-short":"From convergence insufficiency to functional reorganization","volume":"30","author":[{"family":"Hajebrahimi","given":"Farzin"},{"family":"Sangoi","given":"Ayushi"},{"family":"Scheiman","given":"Mitchell"},{"family":"Santos","given":"Elio"},{"family":"Gohel","given":"Suril"},{"family":"Alvarez","given":"Tara L."}],"issued":{"date-parts":[["2024",8]]}}},{"id":755,"uris":["http://zotero.org/users/9972645/items/VEYHE2H2"],"itemData":{"id":755,"type":"article-journal","abstract":"SIGNIFICANCE \n          The present study is the first population-based study to examine the prevalence of convergence insufficiency and its associations specifically in the geriatric population. Knowledge of the population-based determination of prevalence of this disorder in the elderly is necessary to support proper clinical diagnosis and management.\n          PURPOSE \n          This study aimed to determine the prevalence of convergence insufficiency and its associated factors in a geriatric population.\n          METHODS \n          In this study, all residents older than 60 years in Tehran city were selected through random stratified cluster sampling. All participants underwent a complete ocular examination including the measurement of uncorrected and best-corrected visual acuity, objective and subjective refraction, binocular vision assessments including unilateral and alternating cover tests, measurement of the near point of convergence, the positive fusional vergence, and finally ocular health examination.\n          RESULTS \n          In this population-based sample of 1793 participants, the overall prevalences of two-sign and three-sign convergence insufficiency were 29.6% (95% confidence interval, 27.2 to 32.0%) and 21.5% (95% confidence interval, 19.5 to 23.6%), respectively. There were no statistically significant differences in the prevalence of both two-sign (P = .19) and three-sign (P = .41) convergence insufficiency between men and women. The highest and lowest prevalences of two-sign and three-sign convergence insufficiency were in the age groups 70 to 74 and 75 to 79 years, respectively. The prevalence showed no significant trend with age (P = .26 for two-sign convergence insufficiency, P = .33 for three-sign convergence insufficiency). In the multiple logistic regression model, none of the variables, including age, sex, and refractive errors, showed a significant relationship with convergence insufficiency (all, P &gt; .05).\n          CONCLUSIONS \n          The results of the present study showed a high prevalence of convergence insufficiency in the geriatric population. Clinicians should give special attention to this binocular vision disorder in this age group.","container-title":"Optometry and Vision Science","DOI":"10.1097/OPX.0000000000001709","ISSN":"1538-9235","issue":"6","language":"en-US","page":"613","source":"journals.lww.com","title":"Convergence Insufficiency in the Geriatric Population","volume":"98","author":[{"family":"Hashemi","given":"Hassan"},{"family":"Nabovati","given":"Payam"},{"family":"Yekta","given":"Abbasali"},{"family":"Aghamirsalim","given":"Mohamadreza"},{"family":"Rafati","given":"Shokoofeh"},{"family":"Ostadimoghaddam","given":"Hadi"},{"family":"Razmjoo","given":"Hassan"},{"family":"Khabazkhoob","given":"Mehdi"}],"issued":{"date-parts":[["2021",6]]}}},{"id":893,"uris":["http://zotero.org/users/9972645/items/V2DPAIZT"],"itemData":{"id":893,"type":"article-journal","abstract":"Convergence and accommodative insufficiency represent the main cause of complaints during close visual work and can reduce visual performance and comfort. Knowing their prevalence among schoolchildren is fundamental to define strategies for action. The purpose of this study was to estimate the frequency of these conditions in children in 5th and 6th school years in inland Portugal and to assess the impact that each visual condition has on their quality of life, based on the level of visual symptoms.","container-title":"BMC Ophthalmology","DOI":"10.1186/s12886-019-1061-x","ISSN":"1471-2415","issue":"1","journalAbbreviation":"BMC Ophthalmology","page":"58","source":"BioMed Central","title":"Convergence insufficiency and accommodative insufficiency in children","volume":"19","author":[{"family":"Nunes","given":"Amélia F."},{"family":"Monteiro","given":"Pedro M. L."},{"family":"Ferreira","given":"Francisco B. P."},{"family":"Nunes","given":"António S."}],"issued":{"date-parts":[["2019",2,21]]}}}],"schema":"https://github.com/citation-style-language/schema/raw/master/csl-citation.json"} </w:instrText>
      </w:r>
      <w:r w:rsidR="005E4D60" w:rsidRPr="00DE2F9B">
        <w:rPr>
          <w:lang w:val="en-US"/>
        </w:rPr>
        <w:fldChar w:fldCharType="separate"/>
      </w:r>
      <w:r w:rsidR="005E4D60" w:rsidRPr="00DE2F9B">
        <w:rPr>
          <w:lang w:val="en-US"/>
        </w:rPr>
        <w:t>(</w:t>
      </w:r>
      <w:r w:rsidR="004E3601" w:rsidRPr="00DE2F9B">
        <w:rPr>
          <w:lang w:val="en-US"/>
        </w:rPr>
        <w:t xml:space="preserve"> Nunes et al., 2019, Hashemi et al., 2021, </w:t>
      </w:r>
      <w:r w:rsidR="005E4D60" w:rsidRPr="00DE2F9B">
        <w:rPr>
          <w:lang w:val="en-US"/>
        </w:rPr>
        <w:t>Hajebrahimi et al., 2024)</w:t>
      </w:r>
      <w:r w:rsidR="005E4D60" w:rsidRPr="00DE2F9B">
        <w:rPr>
          <w:lang w:val="en-US"/>
        </w:rPr>
        <w:fldChar w:fldCharType="end"/>
      </w:r>
      <w:r w:rsidRPr="00DE2F9B">
        <w:rPr>
          <w:lang w:val="en-US"/>
        </w:rPr>
        <w:t>.</w:t>
      </w:r>
    </w:p>
    <w:p w14:paraId="7B29F568" w14:textId="04559B17" w:rsidR="00EB3A1E" w:rsidRPr="00DE2F9B" w:rsidRDefault="00EB3A1E" w:rsidP="00DE2F9B">
      <w:pPr>
        <w:pStyle w:val="p3"/>
        <w:spacing w:before="0" w:beforeAutospacing="0" w:after="0" w:afterAutospacing="0" w:line="360" w:lineRule="auto"/>
        <w:jc w:val="both"/>
        <w:rPr>
          <w:lang w:val="en-US"/>
        </w:rPr>
      </w:pPr>
      <w:r w:rsidRPr="00DE2F9B">
        <w:rPr>
          <w:lang w:val="en-US"/>
        </w:rPr>
        <w:t>Although historically studied mainly in children and adolescents, this dysfunction may affect individuals across different age groups</w:t>
      </w:r>
      <w:r w:rsidR="004E3601" w:rsidRPr="00DE2F9B">
        <w:rPr>
          <w:lang w:val="en-US"/>
        </w:rPr>
        <w:t xml:space="preserve"> (</w:t>
      </w:r>
      <w:proofErr w:type="spellStart"/>
      <w:r w:rsidR="004E3601" w:rsidRPr="00DE2F9B">
        <w:rPr>
          <w:lang w:val="en-US"/>
        </w:rPr>
        <w:t>Scheiman</w:t>
      </w:r>
      <w:proofErr w:type="spellEnd"/>
      <w:r w:rsidR="004E3601" w:rsidRPr="00DE2F9B">
        <w:rPr>
          <w:lang w:val="en-US"/>
        </w:rPr>
        <w:t xml:space="preserve"> et al., 2005, Bucci et al., 2009, Chang et al., 2021). </w:t>
      </w:r>
      <w:r w:rsidRPr="00DE2F9B">
        <w:rPr>
          <w:lang w:val="en-US"/>
        </w:rPr>
        <w:t>Young and middle-aged adults, especially those with high visual demands in work or academic environments, also exhibit a high prevalence of CI</w:t>
      </w:r>
      <w:r w:rsidR="00035A3B" w:rsidRPr="00DE2F9B">
        <w:rPr>
          <w:lang w:val="en-US"/>
        </w:rPr>
        <w:t xml:space="preserve"> </w:t>
      </w:r>
      <w:r w:rsidR="004E3601" w:rsidRPr="00DE2F9B">
        <w:rPr>
          <w:lang w:val="en-US"/>
        </w:rPr>
        <w:t>(</w:t>
      </w:r>
      <w:proofErr w:type="spellStart"/>
      <w:r w:rsidR="004E3601" w:rsidRPr="00DE2F9B">
        <w:rPr>
          <w:lang w:val="en-US"/>
        </w:rPr>
        <w:t>Figueiredo</w:t>
      </w:r>
      <w:proofErr w:type="spellEnd"/>
      <w:r w:rsidR="004E3601" w:rsidRPr="00DE2F9B">
        <w:rPr>
          <w:lang w:val="en-US"/>
        </w:rPr>
        <w:t xml:space="preserve"> et al., 2022). </w:t>
      </w:r>
      <w:r w:rsidRPr="00DE2F9B">
        <w:rPr>
          <w:lang w:val="en-US"/>
        </w:rPr>
        <w:t>In older adults, this condition has received increasing attention due to its high frequency and potential functional impact in the context of population aging</w:t>
      </w:r>
      <w:r w:rsidR="00720127" w:rsidRPr="00DE2F9B">
        <w:rPr>
          <w:lang w:val="en-US"/>
        </w:rPr>
        <w:t xml:space="preserve"> </w:t>
      </w:r>
      <w:r w:rsidR="004E3601" w:rsidRPr="00DE2F9B">
        <w:rPr>
          <w:lang w:val="en-US"/>
        </w:rPr>
        <w:t>(Hashemi et al., 2021)</w:t>
      </w:r>
      <w:r w:rsidRPr="00DE2F9B">
        <w:rPr>
          <w:lang w:val="en-US"/>
        </w:rPr>
        <w:t>. It is estimated that around 5% of the general population may present CI, with prevalence reaching up to 21% in individuals over 60 years old, and exceeding 30% in certain subgroups</w:t>
      </w:r>
      <w:r w:rsidR="00035A3B" w:rsidRPr="00DE2F9B">
        <w:rPr>
          <w:lang w:val="en-US"/>
        </w:rPr>
        <w:t xml:space="preserve"> </w:t>
      </w:r>
      <w:r w:rsidR="004E3601" w:rsidRPr="00DE2F9B">
        <w:rPr>
          <w:lang w:val="en-US"/>
        </w:rPr>
        <w:t>(Nunes et al., 2019, Hashemi et al., 2021).</w:t>
      </w:r>
    </w:p>
    <w:p w14:paraId="565C6620" w14:textId="02CE87CB" w:rsidR="004E3601" w:rsidRPr="00DE2F9B" w:rsidRDefault="00EB3A1E" w:rsidP="00DE2F9B">
      <w:pPr>
        <w:pStyle w:val="p3"/>
        <w:spacing w:before="0" w:beforeAutospacing="0" w:after="0" w:afterAutospacing="0" w:line="360" w:lineRule="auto"/>
        <w:jc w:val="both"/>
        <w:rPr>
          <w:lang w:val="en-US"/>
        </w:rPr>
      </w:pPr>
      <w:r w:rsidRPr="00DE2F9B">
        <w:rPr>
          <w:lang w:val="en-US"/>
        </w:rPr>
        <w:t xml:space="preserve">Diagnosis is based on a combination of clinical signs and patient-reported symptoms. The most common criteria include measurement of the near point of convergence (NPC), significant near exophoria, poor fusional vergence, and high scores on the Convergence Insufficiency Symptom Survey </w:t>
      </w:r>
      <w:r w:rsidR="004E3601" w:rsidRPr="00DE2F9B">
        <w:rPr>
          <w:lang w:val="en-US"/>
        </w:rPr>
        <w:t>(</w:t>
      </w:r>
      <w:proofErr w:type="spellStart"/>
      <w:r w:rsidR="004E3601" w:rsidRPr="00DE2F9B">
        <w:rPr>
          <w:lang w:val="en-US"/>
        </w:rPr>
        <w:t>Cuccia</w:t>
      </w:r>
      <w:proofErr w:type="spellEnd"/>
      <w:r w:rsidR="004E3601" w:rsidRPr="00DE2F9B">
        <w:rPr>
          <w:lang w:val="en-US"/>
        </w:rPr>
        <w:t xml:space="preserve"> &amp; </w:t>
      </w:r>
      <w:proofErr w:type="spellStart"/>
      <w:r w:rsidR="004E3601" w:rsidRPr="00DE2F9B">
        <w:rPr>
          <w:lang w:val="en-US"/>
        </w:rPr>
        <w:t>Caradonna</w:t>
      </w:r>
      <w:proofErr w:type="spellEnd"/>
      <w:r w:rsidR="004E3601" w:rsidRPr="00DE2F9B">
        <w:rPr>
          <w:lang w:val="en-US"/>
        </w:rPr>
        <w:t>, 2008, Rouse et al., 2009, Paula et al., 2025).</w:t>
      </w:r>
    </w:p>
    <w:p w14:paraId="365FF2FC" w14:textId="13D6BF19" w:rsidR="004E3601" w:rsidRPr="00DE2F9B" w:rsidRDefault="00EB3A1E" w:rsidP="00DE2F9B">
      <w:pPr>
        <w:pStyle w:val="p3"/>
        <w:spacing w:before="0" w:beforeAutospacing="0" w:after="0" w:afterAutospacing="0" w:line="360" w:lineRule="auto"/>
        <w:jc w:val="both"/>
        <w:rPr>
          <w:lang w:val="en-US"/>
        </w:rPr>
      </w:pPr>
      <w:r w:rsidRPr="00DE2F9B">
        <w:rPr>
          <w:lang w:val="en-US"/>
        </w:rPr>
        <w:t>In addition to impairing near-vision efficiency, CI may also have broader implications for sensorimotor function. Some studies have suggested that convergence disorders are associated with poor postural patterns, possibly due to interference in the sensory mechanisms that regulate postural control</w:t>
      </w:r>
      <w:r w:rsidR="00035A3B" w:rsidRPr="00DE2F9B">
        <w:rPr>
          <w:lang w:val="en-US"/>
        </w:rPr>
        <w:t xml:space="preserve"> </w:t>
      </w:r>
      <w:r w:rsidR="004E3601" w:rsidRPr="00DE2F9B">
        <w:rPr>
          <w:lang w:val="en-US"/>
        </w:rPr>
        <w:t>(</w:t>
      </w:r>
      <w:proofErr w:type="spellStart"/>
      <w:r w:rsidR="004E3601" w:rsidRPr="00DE2F9B">
        <w:rPr>
          <w:lang w:val="en-US"/>
        </w:rPr>
        <w:t>Delfosse</w:t>
      </w:r>
      <w:proofErr w:type="spellEnd"/>
      <w:r w:rsidR="004E3601" w:rsidRPr="00DE2F9B">
        <w:rPr>
          <w:lang w:val="en-US"/>
        </w:rPr>
        <w:t xml:space="preserve"> et al., 2018, </w:t>
      </w:r>
      <w:proofErr w:type="spellStart"/>
      <w:r w:rsidR="004E3601" w:rsidRPr="00DE2F9B">
        <w:rPr>
          <w:lang w:val="en-US"/>
        </w:rPr>
        <w:t>Jayakaran</w:t>
      </w:r>
      <w:proofErr w:type="spellEnd"/>
      <w:r w:rsidR="004E3601" w:rsidRPr="00DE2F9B">
        <w:rPr>
          <w:lang w:val="en-US"/>
        </w:rPr>
        <w:t xml:space="preserve"> et al., 2021).</w:t>
      </w:r>
      <w:r w:rsidRPr="00DE2F9B">
        <w:rPr>
          <w:lang w:val="en-US"/>
        </w:rPr>
        <w:t xml:space="preserve"> </w:t>
      </w:r>
    </w:p>
    <w:p w14:paraId="51C9DD79" w14:textId="5AAA2D25" w:rsidR="00EB3A1E" w:rsidRPr="00DE2F9B" w:rsidRDefault="00EB3A1E" w:rsidP="00DE2F9B">
      <w:pPr>
        <w:pStyle w:val="p3"/>
        <w:spacing w:before="0" w:beforeAutospacing="0" w:after="0" w:afterAutospacing="0" w:line="360" w:lineRule="auto"/>
        <w:jc w:val="both"/>
        <w:rPr>
          <w:lang w:val="en-US"/>
        </w:rPr>
      </w:pPr>
      <w:r w:rsidRPr="00DE2F9B">
        <w:rPr>
          <w:lang w:val="en-US"/>
        </w:rPr>
        <w:t xml:space="preserve">Overall, vision plays a leading role in anticipatory postural adjustments and balance correction, especially in environments with sensory or cognitive challenges </w:t>
      </w:r>
      <w:r w:rsidR="004E3601" w:rsidRPr="00DE2F9B">
        <w:rPr>
          <w:lang w:val="en-US"/>
        </w:rPr>
        <w:t>(Paulus et al., 1984)</w:t>
      </w:r>
      <w:r w:rsidRPr="00DE2F9B">
        <w:rPr>
          <w:lang w:val="en-US"/>
        </w:rPr>
        <w:t>. Studies involving individuals with visual deficits demonstrate significant alterations in postural control, including increased visual dependency, greater center-of-pressure variability, and poor performance in static and dynamic balance tests</w:t>
      </w:r>
      <w:r w:rsidR="005A0F16" w:rsidRPr="00DE2F9B">
        <w:rPr>
          <w:lang w:val="en-US"/>
        </w:rPr>
        <w:t xml:space="preserve"> </w:t>
      </w:r>
      <w:r w:rsidR="004E3601" w:rsidRPr="00DE2F9B">
        <w:rPr>
          <w:lang w:val="en-US"/>
        </w:rPr>
        <w:t>(</w:t>
      </w:r>
      <w:proofErr w:type="spellStart"/>
      <w:r w:rsidR="004E3601" w:rsidRPr="00DE2F9B">
        <w:rPr>
          <w:lang w:val="en-US"/>
        </w:rPr>
        <w:t>Morize</w:t>
      </w:r>
      <w:proofErr w:type="spellEnd"/>
      <w:r w:rsidR="004E3601" w:rsidRPr="00DE2F9B">
        <w:rPr>
          <w:lang w:val="en-US"/>
        </w:rPr>
        <w:t xml:space="preserve"> </w:t>
      </w:r>
      <w:r w:rsidR="004E3601" w:rsidRPr="00DE2F9B">
        <w:rPr>
          <w:lang w:val="en-US"/>
        </w:rPr>
        <w:lastRenderedPageBreak/>
        <w:t xml:space="preserve">and </w:t>
      </w:r>
      <w:proofErr w:type="spellStart"/>
      <w:r w:rsidR="004E3601" w:rsidRPr="00DE2F9B">
        <w:rPr>
          <w:lang w:val="en-US"/>
        </w:rPr>
        <w:t>Kapula</w:t>
      </w:r>
      <w:proofErr w:type="spellEnd"/>
      <w:r w:rsidR="004E3601" w:rsidRPr="00DE2F9B">
        <w:rPr>
          <w:lang w:val="en-US"/>
        </w:rPr>
        <w:t xml:space="preserve"> et al., 2017, </w:t>
      </w:r>
      <w:proofErr w:type="spellStart"/>
      <w:r w:rsidR="004E3601" w:rsidRPr="00DE2F9B">
        <w:rPr>
          <w:lang w:val="en-US"/>
        </w:rPr>
        <w:t>Deflfosse</w:t>
      </w:r>
      <w:proofErr w:type="spellEnd"/>
      <w:r w:rsidR="004E3601" w:rsidRPr="00DE2F9B">
        <w:rPr>
          <w:lang w:val="en-US"/>
        </w:rPr>
        <w:t xml:space="preserve"> et al., 2018, Sanchez-Gonzalez et al., 2020). </w:t>
      </w:r>
      <w:r w:rsidRPr="00DE2F9B">
        <w:rPr>
          <w:lang w:val="en-US"/>
        </w:rPr>
        <w:t>Thus, CI may be an underestimated risk factor for postural instability, particularly among older populations where the postural control system is more vulnerable to deterioration</w:t>
      </w:r>
      <w:r w:rsidR="004A6E9A" w:rsidRPr="00DE2F9B">
        <w:rPr>
          <w:lang w:val="en-US"/>
        </w:rPr>
        <w:t xml:space="preserve"> </w:t>
      </w:r>
      <w:r w:rsidR="004E3601" w:rsidRPr="00DE2F9B">
        <w:rPr>
          <w:lang w:val="en-US"/>
        </w:rPr>
        <w:t>(</w:t>
      </w:r>
      <w:proofErr w:type="spellStart"/>
      <w:r w:rsidR="004E3601" w:rsidRPr="00DE2F9B">
        <w:rPr>
          <w:lang w:val="en-US"/>
        </w:rPr>
        <w:t>Horak</w:t>
      </w:r>
      <w:proofErr w:type="spellEnd"/>
      <w:r w:rsidR="004E3601" w:rsidRPr="00DE2F9B">
        <w:rPr>
          <w:lang w:val="en-US"/>
        </w:rPr>
        <w:t xml:space="preserve">, 2006, Van </w:t>
      </w:r>
      <w:proofErr w:type="spellStart"/>
      <w:r w:rsidR="004E3601" w:rsidRPr="00DE2F9B">
        <w:rPr>
          <w:lang w:val="en-US"/>
        </w:rPr>
        <w:t>Humbeeck</w:t>
      </w:r>
      <w:proofErr w:type="spellEnd"/>
      <w:r w:rsidR="004E3601" w:rsidRPr="00DE2F9B">
        <w:rPr>
          <w:lang w:val="en-US"/>
        </w:rPr>
        <w:t xml:space="preserve"> et al., 2023)</w:t>
      </w:r>
      <w:r w:rsidRPr="00DE2F9B">
        <w:rPr>
          <w:lang w:val="en-US"/>
        </w:rPr>
        <w:t>. These findings reinforce the importance of including binocular visual function in balance assessment and rehabilitation strategies.</w:t>
      </w:r>
    </w:p>
    <w:p w14:paraId="27C6929A" w14:textId="424223D1" w:rsidR="00EB3A1E" w:rsidRPr="00DE2F9B" w:rsidRDefault="00EB3A1E" w:rsidP="00EB3A1E">
      <w:pPr>
        <w:pStyle w:val="p3"/>
        <w:spacing w:before="0" w:beforeAutospacing="0" w:after="0" w:afterAutospacing="0" w:line="360" w:lineRule="auto"/>
        <w:jc w:val="both"/>
        <w:rPr>
          <w:lang w:val="en-US"/>
        </w:rPr>
      </w:pPr>
      <w:r w:rsidRPr="00DE2F9B">
        <w:rPr>
          <w:lang w:val="en-US"/>
        </w:rPr>
        <w:t>Considering the potential functional impairments caused by CI, specific interventions aimed at improving convergence may also have positive effects on body stability. Among the available options, oculomotor therapy based on vergence exercises has demonstrated efficacy in reducing CI symptoms</w:t>
      </w:r>
      <w:r w:rsidR="00026A86" w:rsidRPr="00DE2F9B">
        <w:rPr>
          <w:lang w:val="en-US"/>
        </w:rPr>
        <w:t xml:space="preserve"> </w:t>
      </w:r>
      <w:r w:rsidR="004E3601" w:rsidRPr="00DE2F9B">
        <w:rPr>
          <w:lang w:val="en-US"/>
        </w:rPr>
        <w:t>(</w:t>
      </w:r>
      <w:proofErr w:type="spellStart"/>
      <w:r w:rsidR="004E3601" w:rsidRPr="00DE2F9B">
        <w:rPr>
          <w:lang w:val="en-US"/>
        </w:rPr>
        <w:t>Schiman</w:t>
      </w:r>
      <w:proofErr w:type="spellEnd"/>
      <w:r w:rsidR="004E3601" w:rsidRPr="00DE2F9B">
        <w:rPr>
          <w:lang w:val="en-US"/>
        </w:rPr>
        <w:t xml:space="preserve"> et al., 2020, </w:t>
      </w:r>
      <w:proofErr w:type="spellStart"/>
      <w:r w:rsidR="004E3601" w:rsidRPr="00DE2F9B">
        <w:rPr>
          <w:lang w:val="en-US"/>
        </w:rPr>
        <w:t>Rovira</w:t>
      </w:r>
      <w:proofErr w:type="spellEnd"/>
      <w:r w:rsidR="004E3601" w:rsidRPr="00DE2F9B">
        <w:rPr>
          <w:lang w:val="en-US"/>
        </w:rPr>
        <w:t>-Gay et al., 2025)</w:t>
      </w:r>
      <w:r w:rsidRPr="00DE2F9B">
        <w:rPr>
          <w:lang w:val="en-US"/>
        </w:rPr>
        <w:t>. However, few studies have explored its impact on postural control.</w:t>
      </w:r>
    </w:p>
    <w:p w14:paraId="07F2D6E5" w14:textId="77777777" w:rsidR="00EB3A1E" w:rsidRPr="00DE2F9B" w:rsidRDefault="00EB3A1E" w:rsidP="00DE2F9B">
      <w:pPr>
        <w:pStyle w:val="p3"/>
        <w:spacing w:before="0" w:beforeAutospacing="0" w:after="0" w:afterAutospacing="0" w:line="360" w:lineRule="auto"/>
        <w:jc w:val="both"/>
        <w:rPr>
          <w:lang w:val="en-US"/>
        </w:rPr>
      </w:pPr>
      <w:r w:rsidRPr="00DE2F9B">
        <w:rPr>
          <w:lang w:val="en-US"/>
        </w:rPr>
        <w:t>In light of this, the present study aims to investigate the effects of oculomotor therapy on binocular convergence and postural control in adults with CI. The hypothesis is that a structured therapy protocol based on the CITT will be effective in improving NPC and balance-related outcomes when compared to a control group without intervention.</w:t>
      </w:r>
    </w:p>
    <w:p w14:paraId="59482389" w14:textId="77777777" w:rsidR="00EB3A1E" w:rsidRPr="00DE2F9B" w:rsidRDefault="00EB3A1E" w:rsidP="001E67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 New Roman" w:hAnsi="Times New Roman" w:cs="Times New Roman"/>
          <w:b/>
          <w:bCs/>
          <w:color w:val="000000"/>
          <w:kern w:val="0"/>
          <w:lang w:val="en-US"/>
        </w:rPr>
      </w:pPr>
    </w:p>
    <w:p w14:paraId="647AFAF4" w14:textId="77777777" w:rsidR="00EB3A1E" w:rsidRPr="00DE2F9B" w:rsidRDefault="00EB3A1E" w:rsidP="001E67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 New Roman" w:hAnsi="Times New Roman" w:cs="Times New Roman"/>
          <w:b/>
          <w:bCs/>
          <w:color w:val="000000"/>
          <w:kern w:val="0"/>
          <w:lang w:val="en-US"/>
        </w:rPr>
      </w:pPr>
    </w:p>
    <w:p w14:paraId="24827158" w14:textId="5E565E93" w:rsidR="00A542BE" w:rsidRPr="00DE2F9B" w:rsidRDefault="00A542BE" w:rsidP="00AD1AC6">
      <w:pPr>
        <w:pStyle w:val="ListParagraph"/>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284" w:hanging="284"/>
        <w:rPr>
          <w:rFonts w:ascii="Times New Roman" w:hAnsi="Times New Roman" w:cs="Times New Roman"/>
          <w:b/>
          <w:bCs/>
          <w:color w:val="000000"/>
          <w:kern w:val="0"/>
          <w:lang w:val="en-US"/>
        </w:rPr>
      </w:pPr>
      <w:r w:rsidRPr="00DE2F9B">
        <w:rPr>
          <w:rFonts w:ascii="Times New Roman" w:hAnsi="Times New Roman" w:cs="Times New Roman"/>
          <w:b/>
          <w:bCs/>
          <w:color w:val="000000"/>
          <w:kern w:val="0"/>
          <w:lang w:val="en-US"/>
        </w:rPr>
        <w:t>MATERIALS AND METHODS</w:t>
      </w:r>
    </w:p>
    <w:p w14:paraId="6B9F6E46" w14:textId="77777777" w:rsidR="00DE2F9B" w:rsidRPr="00DE2F9B" w:rsidRDefault="00DE2F9B" w:rsidP="00DE2F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 New Roman" w:hAnsi="Times New Roman" w:cs="Times New Roman"/>
          <w:b/>
          <w:bCs/>
          <w:color w:val="000000"/>
          <w:kern w:val="0"/>
          <w:lang w:val="en-US"/>
        </w:rPr>
      </w:pPr>
    </w:p>
    <w:p w14:paraId="05B899D5" w14:textId="0D2B60BE" w:rsidR="001E673E" w:rsidRPr="00DE2F9B" w:rsidRDefault="00A542BE" w:rsidP="00AD1AC6">
      <w:pPr>
        <w:pStyle w:val="ListParagraph"/>
        <w:numPr>
          <w:ilvl w:val="1"/>
          <w:numId w:val="19"/>
        </w:numPr>
        <w:spacing w:after="0" w:line="360" w:lineRule="auto"/>
        <w:ind w:left="426" w:hanging="426"/>
        <w:jc w:val="both"/>
        <w:rPr>
          <w:rFonts w:ascii="Times New Roman" w:hAnsi="Times New Roman" w:cs="Times New Roman"/>
          <w:b/>
          <w:bCs/>
          <w:color w:val="000000"/>
          <w:kern w:val="0"/>
          <w:lang w:val="en-US"/>
        </w:rPr>
      </w:pPr>
      <w:r w:rsidRPr="00DE2F9B">
        <w:rPr>
          <w:rFonts w:ascii="Times New Roman" w:hAnsi="Times New Roman" w:cs="Times New Roman"/>
          <w:b/>
          <w:bCs/>
          <w:color w:val="000000"/>
          <w:kern w:val="0"/>
          <w:lang w:val="en-US"/>
        </w:rPr>
        <w:t>Design</w:t>
      </w:r>
    </w:p>
    <w:p w14:paraId="0ED7F053" w14:textId="77777777" w:rsidR="00DE2F9B" w:rsidRPr="00AD1AC6" w:rsidRDefault="00DE2F9B" w:rsidP="00AD1AC6">
      <w:pPr>
        <w:spacing w:after="0" w:line="360" w:lineRule="auto"/>
        <w:ind w:left="360"/>
        <w:jc w:val="both"/>
        <w:rPr>
          <w:rFonts w:ascii="Times New Roman" w:hAnsi="Times New Roman" w:cs="Times New Roman"/>
          <w:b/>
          <w:bCs/>
          <w:color w:val="000000"/>
          <w:kern w:val="0"/>
          <w:lang w:val="en-US"/>
        </w:rPr>
      </w:pPr>
    </w:p>
    <w:p w14:paraId="5C31E459" w14:textId="6039E879" w:rsidR="00A542BE" w:rsidRDefault="00A542BE" w:rsidP="001E673E">
      <w:pPr>
        <w:pStyle w:val="p1"/>
        <w:spacing w:before="0" w:beforeAutospacing="0" w:after="0" w:afterAutospacing="0" w:line="360" w:lineRule="auto"/>
        <w:jc w:val="both"/>
        <w:rPr>
          <w:lang w:val="en-US"/>
        </w:rPr>
      </w:pPr>
      <w:r w:rsidRPr="00DE2F9B">
        <w:rPr>
          <w:lang w:val="en-US"/>
        </w:rPr>
        <w:t>A randomized controlled clinical trial will be conducted following approval from the Research Ethics Committee of Universi</w:t>
      </w:r>
      <w:r w:rsidR="00C11AE6">
        <w:rPr>
          <w:lang w:val="en-US"/>
        </w:rPr>
        <w:t>ty</w:t>
      </w:r>
      <w:r w:rsidRPr="00DE2F9B">
        <w:rPr>
          <w:lang w:val="en-US"/>
        </w:rPr>
        <w:t xml:space="preserve"> </w:t>
      </w:r>
      <w:proofErr w:type="spellStart"/>
      <w:r w:rsidRPr="00DE2F9B">
        <w:rPr>
          <w:lang w:val="en-US"/>
        </w:rPr>
        <w:t>Nove</w:t>
      </w:r>
      <w:proofErr w:type="spellEnd"/>
      <w:r w:rsidRPr="00DE2F9B">
        <w:rPr>
          <w:lang w:val="en-US"/>
        </w:rPr>
        <w:t xml:space="preserve"> de </w:t>
      </w:r>
      <w:proofErr w:type="spellStart"/>
      <w:r w:rsidRPr="00DE2F9B">
        <w:rPr>
          <w:lang w:val="en-US"/>
        </w:rPr>
        <w:t>Julho</w:t>
      </w:r>
      <w:proofErr w:type="spellEnd"/>
      <w:r w:rsidRPr="00DE2F9B">
        <w:rPr>
          <w:lang w:val="en-US"/>
        </w:rPr>
        <w:t xml:space="preserve"> (protocol number: </w:t>
      </w:r>
      <w:r w:rsidR="00680C54" w:rsidRPr="00DE2F9B">
        <w:rPr>
          <w:color w:val="333333"/>
          <w:shd w:val="clear" w:color="auto" w:fill="FFFFFF"/>
          <w:lang w:val="en-US"/>
        </w:rPr>
        <w:t>CAEE: 79397224.2.0000.5511).</w:t>
      </w:r>
      <w:r w:rsidR="00680C54" w:rsidRPr="00DE2F9B">
        <w:rPr>
          <w:rStyle w:val="apple-converted-space"/>
          <w:rFonts w:eastAsiaTheme="majorEastAsia"/>
          <w:color w:val="000000"/>
          <w:lang w:val="en-US"/>
        </w:rPr>
        <w:t> </w:t>
      </w:r>
      <w:r w:rsidRPr="00DE2F9B">
        <w:rPr>
          <w:lang w:val="en-US"/>
        </w:rPr>
        <w:t xml:space="preserve"> All participants will receive detailed information about the study’s objectives and procedures and will provide written informed consent before participating in any assessments. The study flow is illustrated in Figure 1. This protocol has been registered on ClinicalTrials.gov (ID: NCT07036263).</w:t>
      </w:r>
    </w:p>
    <w:p w14:paraId="4558E4B9" w14:textId="77777777" w:rsidR="001A0455" w:rsidRDefault="001A0455" w:rsidP="001E673E">
      <w:pPr>
        <w:pStyle w:val="p1"/>
        <w:spacing w:before="0" w:beforeAutospacing="0" w:after="0" w:afterAutospacing="0" w:line="360" w:lineRule="auto"/>
        <w:jc w:val="both"/>
        <w:rPr>
          <w:lang w:val="en-US"/>
        </w:rPr>
      </w:pPr>
    </w:p>
    <w:p w14:paraId="2B308664" w14:textId="77777777" w:rsidR="001A0455" w:rsidRDefault="001A0455" w:rsidP="001E673E">
      <w:pPr>
        <w:pStyle w:val="p1"/>
        <w:spacing w:before="0" w:beforeAutospacing="0" w:after="0" w:afterAutospacing="0" w:line="360" w:lineRule="auto"/>
        <w:jc w:val="both"/>
        <w:rPr>
          <w:lang w:val="en-US"/>
        </w:rPr>
      </w:pPr>
    </w:p>
    <w:p w14:paraId="486360AD" w14:textId="488967C2" w:rsidR="001A0455" w:rsidRDefault="005A606D" w:rsidP="001E673E">
      <w:pPr>
        <w:pStyle w:val="p1"/>
        <w:spacing w:before="0" w:beforeAutospacing="0" w:after="0" w:afterAutospacing="0" w:line="360" w:lineRule="auto"/>
        <w:jc w:val="both"/>
        <w:rPr>
          <w:lang w:val="en-US"/>
        </w:rPr>
      </w:pPr>
      <w:r>
        <w:rPr>
          <w:noProof/>
        </w:rPr>
        <w:lastRenderedPageBreak/>
        <w:drawing>
          <wp:inline distT="0" distB="0" distL="0" distR="0" wp14:anchorId="5A5E4748" wp14:editId="6DE16BC5">
            <wp:extent cx="3619500" cy="4371975"/>
            <wp:effectExtent l="0" t="0" r="0" b="9525"/>
            <wp:docPr id="10203862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386218" name=""/>
                    <pic:cNvPicPr/>
                  </pic:nvPicPr>
                  <pic:blipFill>
                    <a:blip r:embed="rId7"/>
                    <a:stretch>
                      <a:fillRect/>
                    </a:stretch>
                  </pic:blipFill>
                  <pic:spPr>
                    <a:xfrm>
                      <a:off x="0" y="0"/>
                      <a:ext cx="3619500" cy="4371975"/>
                    </a:xfrm>
                    <a:prstGeom prst="rect">
                      <a:avLst/>
                    </a:prstGeom>
                  </pic:spPr>
                </pic:pic>
              </a:graphicData>
            </a:graphic>
          </wp:inline>
        </w:drawing>
      </w:r>
    </w:p>
    <w:p w14:paraId="449369A2" w14:textId="77777777" w:rsidR="001A0455" w:rsidRDefault="001A0455" w:rsidP="001E673E">
      <w:pPr>
        <w:pStyle w:val="p1"/>
        <w:spacing w:before="0" w:beforeAutospacing="0" w:after="0" w:afterAutospacing="0" w:line="360" w:lineRule="auto"/>
        <w:jc w:val="both"/>
        <w:rPr>
          <w:b/>
          <w:bCs/>
          <w:lang w:val="en-US"/>
        </w:rPr>
      </w:pPr>
    </w:p>
    <w:p w14:paraId="0F9E278F" w14:textId="623273DA" w:rsidR="001A0455" w:rsidRPr="001A0455" w:rsidRDefault="001A0455" w:rsidP="001E673E">
      <w:pPr>
        <w:pStyle w:val="p1"/>
        <w:spacing w:before="0" w:beforeAutospacing="0" w:after="0" w:afterAutospacing="0" w:line="360" w:lineRule="auto"/>
        <w:jc w:val="both"/>
        <w:rPr>
          <w:lang w:val="en-US"/>
        </w:rPr>
      </w:pPr>
      <w:r w:rsidRPr="001A0455">
        <w:rPr>
          <w:b/>
          <w:bCs/>
          <w:lang w:val="en-US"/>
        </w:rPr>
        <w:t>Figure 1</w:t>
      </w:r>
      <w:r w:rsidRPr="001A0455">
        <w:rPr>
          <w:lang w:val="en-US"/>
        </w:rPr>
        <w:t xml:space="preserve">. </w:t>
      </w:r>
      <w:r w:rsidRPr="001A0455">
        <w:rPr>
          <w:color w:val="000000"/>
          <w:lang w:val="en-US"/>
        </w:rPr>
        <w:t>Study flow diagram</w:t>
      </w:r>
      <w:r>
        <w:rPr>
          <w:color w:val="000000"/>
          <w:lang w:val="en-US"/>
        </w:rPr>
        <w:t>.</w:t>
      </w:r>
      <w:r w:rsidRPr="001A0455">
        <w:rPr>
          <w:color w:val="000000"/>
          <w:lang w:val="en-US"/>
        </w:rPr>
        <w:t xml:space="preserve"> (Figure source: authors)</w:t>
      </w:r>
      <w:r>
        <w:rPr>
          <w:color w:val="000000"/>
          <w:lang w:val="en-US"/>
        </w:rPr>
        <w:t>.</w:t>
      </w:r>
    </w:p>
    <w:p w14:paraId="514F14DB" w14:textId="73DD03C9" w:rsidR="006C6132" w:rsidRPr="00DE2F9B" w:rsidRDefault="006C6132" w:rsidP="001E673E">
      <w:pPr>
        <w:pStyle w:val="p1"/>
        <w:spacing w:before="0" w:beforeAutospacing="0" w:after="0" w:afterAutospacing="0" w:line="360" w:lineRule="auto"/>
        <w:jc w:val="both"/>
        <w:rPr>
          <w:lang w:val="en-US"/>
        </w:rPr>
      </w:pPr>
    </w:p>
    <w:p w14:paraId="694993B2" w14:textId="19AFAA47" w:rsidR="001E673E" w:rsidRPr="00DE2F9B" w:rsidRDefault="00A542BE" w:rsidP="001E673E">
      <w:pPr>
        <w:spacing w:after="0" w:line="360" w:lineRule="auto"/>
        <w:jc w:val="both"/>
        <w:rPr>
          <w:rFonts w:ascii="Times New Roman" w:hAnsi="Times New Roman" w:cs="Times New Roman"/>
          <w:b/>
          <w:bCs/>
          <w:color w:val="000000"/>
          <w:kern w:val="0"/>
          <w:lang w:val="en-US"/>
        </w:rPr>
      </w:pPr>
      <w:r w:rsidRPr="00DE2F9B">
        <w:rPr>
          <w:rFonts w:ascii="Times New Roman" w:hAnsi="Times New Roman" w:cs="Times New Roman"/>
          <w:b/>
          <w:bCs/>
          <w:color w:val="000000"/>
          <w:kern w:val="0"/>
          <w:lang w:val="en-US"/>
        </w:rPr>
        <w:t xml:space="preserve">2.2 Sample </w:t>
      </w:r>
      <w:r w:rsidR="00882B08" w:rsidRPr="00DE2F9B">
        <w:rPr>
          <w:rFonts w:ascii="Times New Roman" w:hAnsi="Times New Roman" w:cs="Times New Roman"/>
          <w:b/>
          <w:bCs/>
          <w:color w:val="000000"/>
          <w:kern w:val="0"/>
          <w:lang w:val="en-US"/>
        </w:rPr>
        <w:t>s</w:t>
      </w:r>
      <w:r w:rsidRPr="00DE2F9B">
        <w:rPr>
          <w:rFonts w:ascii="Times New Roman" w:hAnsi="Times New Roman" w:cs="Times New Roman"/>
          <w:b/>
          <w:bCs/>
          <w:color w:val="000000"/>
          <w:kern w:val="0"/>
          <w:lang w:val="en-US"/>
        </w:rPr>
        <w:t>ize</w:t>
      </w:r>
    </w:p>
    <w:p w14:paraId="62FFBFB1" w14:textId="77777777" w:rsidR="00AD1AC6" w:rsidRDefault="00AD1AC6" w:rsidP="001E673E">
      <w:pPr>
        <w:spacing w:after="0" w:line="360" w:lineRule="auto"/>
        <w:jc w:val="both"/>
        <w:rPr>
          <w:rFonts w:ascii="Times New Roman" w:eastAsia="Times New Roman" w:hAnsi="Times New Roman" w:cs="Times New Roman"/>
          <w:color w:val="0E0E0E"/>
          <w:kern w:val="0"/>
          <w:lang w:val="en-US" w:eastAsia="pt-BR"/>
          <w14:ligatures w14:val="none"/>
        </w:rPr>
      </w:pPr>
    </w:p>
    <w:p w14:paraId="764E4DC0" w14:textId="6149B05D" w:rsidR="00944FA9" w:rsidRPr="00DE2F9B" w:rsidRDefault="00944FA9" w:rsidP="001E673E">
      <w:pPr>
        <w:spacing w:after="0" w:line="360" w:lineRule="auto"/>
        <w:jc w:val="both"/>
        <w:rPr>
          <w:rFonts w:ascii="Times New Roman" w:eastAsia="Times New Roman" w:hAnsi="Times New Roman" w:cs="Times New Roman"/>
          <w:color w:val="0E0E0E"/>
          <w:kern w:val="0"/>
          <w:lang w:val="en-US" w:eastAsia="pt-BR"/>
          <w14:ligatures w14:val="none"/>
        </w:rPr>
      </w:pPr>
      <w:r w:rsidRPr="00DE2F9B">
        <w:rPr>
          <w:rFonts w:ascii="Times New Roman" w:eastAsia="Times New Roman" w:hAnsi="Times New Roman" w:cs="Times New Roman"/>
          <w:color w:val="0E0E0E"/>
          <w:kern w:val="0"/>
          <w:lang w:val="en-US" w:eastAsia="pt-BR"/>
          <w14:ligatures w14:val="none"/>
        </w:rPr>
        <w:t xml:space="preserve">The sample size was estimated considering a clinically meaningful difference of 3.0 seconds in the Timed Up and Go (TUG) test between the experimental and control groups, with an expected standard deviation of 2.5 seconds. </w:t>
      </w:r>
      <w:r w:rsidR="00FF403C" w:rsidRPr="00DE2F9B">
        <w:rPr>
          <w:rFonts w:ascii="Times New Roman" w:eastAsia="Times New Roman" w:hAnsi="Times New Roman" w:cs="Times New Roman"/>
          <w:color w:val="0E0E0E"/>
          <w:kern w:val="0"/>
          <w:lang w:val="en-US" w:eastAsia="pt-BR"/>
          <w14:ligatures w14:val="none"/>
        </w:rPr>
        <w:t xml:space="preserve">As no studies were found that specifically describe a clinically meaningful difference in Timed Up and Go (TUG) performance for individuals with convergence insufficiency, the present estimate was based on research involving populations with comparable functional impairments, such as individuals with sensory integration deficits or mild balance </w:t>
      </w:r>
      <w:r w:rsidR="00FF403C" w:rsidRPr="00DE2F9B">
        <w:rPr>
          <w:rFonts w:ascii="Times New Roman" w:eastAsia="Times New Roman" w:hAnsi="Times New Roman" w:cs="Times New Roman"/>
          <w:color w:val="000000" w:themeColor="text1"/>
          <w:kern w:val="0"/>
          <w:lang w:val="en-US" w:eastAsia="pt-BR"/>
          <w14:ligatures w14:val="none"/>
        </w:rPr>
        <w:t xml:space="preserve">disorders </w:t>
      </w:r>
      <w:r w:rsidR="004E3601" w:rsidRPr="00DE2F9B">
        <w:rPr>
          <w:rFonts w:ascii="Times New Roman" w:eastAsia="Times New Roman" w:hAnsi="Times New Roman" w:cs="Times New Roman"/>
          <w:color w:val="000000" w:themeColor="text1"/>
          <w:kern w:val="0"/>
          <w:lang w:val="en-US" w:eastAsia="pt-BR"/>
          <w14:ligatures w14:val="none"/>
        </w:rPr>
        <w:t>(</w:t>
      </w:r>
      <w:proofErr w:type="spellStart"/>
      <w:r w:rsidR="004E3601" w:rsidRPr="00DE2F9B">
        <w:rPr>
          <w:rFonts w:ascii="Times New Roman" w:eastAsia="Times New Roman" w:hAnsi="Times New Roman" w:cs="Times New Roman"/>
          <w:color w:val="000000" w:themeColor="text1"/>
          <w:kern w:val="0"/>
          <w:lang w:val="en-US" w:eastAsia="pt-BR"/>
          <w14:ligatures w14:val="none"/>
        </w:rPr>
        <w:t>Gerhardy</w:t>
      </w:r>
      <w:proofErr w:type="spellEnd"/>
      <w:r w:rsidR="004E3601" w:rsidRPr="00DE2F9B">
        <w:rPr>
          <w:rFonts w:ascii="Times New Roman" w:eastAsia="Times New Roman" w:hAnsi="Times New Roman" w:cs="Times New Roman"/>
          <w:color w:val="000000" w:themeColor="text1"/>
          <w:kern w:val="0"/>
          <w:lang w:val="en-US" w:eastAsia="pt-BR"/>
          <w14:ligatures w14:val="none"/>
        </w:rPr>
        <w:t xml:space="preserve"> et al., 2029, </w:t>
      </w:r>
      <w:proofErr w:type="spellStart"/>
      <w:r w:rsidR="004E3601" w:rsidRPr="00DE2F9B">
        <w:rPr>
          <w:rFonts w:ascii="Times New Roman" w:eastAsia="Times New Roman" w:hAnsi="Times New Roman" w:cs="Times New Roman"/>
          <w:color w:val="000000" w:themeColor="text1"/>
          <w:kern w:val="0"/>
          <w:lang w:val="en-US" w:eastAsia="pt-BR"/>
          <w14:ligatures w14:val="none"/>
        </w:rPr>
        <w:t>Verdecchia</w:t>
      </w:r>
      <w:proofErr w:type="spellEnd"/>
      <w:r w:rsidR="004E3601" w:rsidRPr="00DE2F9B">
        <w:rPr>
          <w:rFonts w:ascii="Times New Roman" w:eastAsia="Times New Roman" w:hAnsi="Times New Roman" w:cs="Times New Roman"/>
          <w:color w:val="000000" w:themeColor="text1"/>
          <w:kern w:val="0"/>
          <w:lang w:val="en-US" w:eastAsia="pt-BR"/>
          <w14:ligatures w14:val="none"/>
        </w:rPr>
        <w:t xml:space="preserve"> et al., 2020). </w:t>
      </w:r>
      <w:r w:rsidRPr="00DE2F9B">
        <w:rPr>
          <w:rFonts w:ascii="Times New Roman" w:eastAsia="Times New Roman" w:hAnsi="Times New Roman" w:cs="Times New Roman"/>
          <w:color w:val="000000" w:themeColor="text1"/>
          <w:kern w:val="0"/>
          <w:lang w:val="en-US" w:eastAsia="pt-BR"/>
          <w14:ligatures w14:val="none"/>
        </w:rPr>
        <w:t xml:space="preserve">A two-tailed alpha level of 0.05 and a statistical power of 95% were used, resulting in a required sample size of </w:t>
      </w:r>
      <w:r w:rsidR="00FF403C" w:rsidRPr="00DE2F9B">
        <w:rPr>
          <w:rFonts w:ascii="Times New Roman" w:eastAsia="Times New Roman" w:hAnsi="Times New Roman" w:cs="Times New Roman"/>
          <w:color w:val="000000" w:themeColor="text1"/>
          <w:kern w:val="0"/>
          <w:lang w:val="en-US" w:eastAsia="pt-BR"/>
          <w14:ligatures w14:val="none"/>
        </w:rPr>
        <w:t>20</w:t>
      </w:r>
      <w:r w:rsidRPr="00DE2F9B">
        <w:rPr>
          <w:rFonts w:ascii="Times New Roman" w:eastAsia="Times New Roman" w:hAnsi="Times New Roman" w:cs="Times New Roman"/>
          <w:color w:val="000000" w:themeColor="text1"/>
          <w:kern w:val="0"/>
          <w:lang w:val="en-US" w:eastAsia="pt-BR"/>
          <w14:ligatures w14:val="none"/>
        </w:rPr>
        <w:t xml:space="preserve"> participants per group. Considering a potential dropout rate of 20%, the final sample size </w:t>
      </w:r>
      <w:r w:rsidRPr="00DE2F9B">
        <w:rPr>
          <w:rFonts w:ascii="Times New Roman" w:eastAsia="Times New Roman" w:hAnsi="Times New Roman" w:cs="Times New Roman"/>
          <w:color w:val="0E0E0E"/>
          <w:kern w:val="0"/>
          <w:lang w:val="en-US" w:eastAsia="pt-BR"/>
          <w14:ligatures w14:val="none"/>
        </w:rPr>
        <w:t>was adjusted to 2</w:t>
      </w:r>
      <w:r w:rsidR="00FF403C" w:rsidRPr="00DE2F9B">
        <w:rPr>
          <w:rFonts w:ascii="Times New Roman" w:eastAsia="Times New Roman" w:hAnsi="Times New Roman" w:cs="Times New Roman"/>
          <w:color w:val="0E0E0E"/>
          <w:kern w:val="0"/>
          <w:lang w:val="en-US" w:eastAsia="pt-BR"/>
          <w14:ligatures w14:val="none"/>
        </w:rPr>
        <w:t>4</w:t>
      </w:r>
      <w:r w:rsidRPr="00DE2F9B">
        <w:rPr>
          <w:rFonts w:ascii="Times New Roman" w:eastAsia="Times New Roman" w:hAnsi="Times New Roman" w:cs="Times New Roman"/>
          <w:color w:val="0E0E0E"/>
          <w:kern w:val="0"/>
          <w:lang w:val="en-US" w:eastAsia="pt-BR"/>
          <w14:ligatures w14:val="none"/>
        </w:rPr>
        <w:t xml:space="preserve"> participants per group, totaling 4</w:t>
      </w:r>
      <w:r w:rsidR="00FF403C" w:rsidRPr="00DE2F9B">
        <w:rPr>
          <w:rFonts w:ascii="Times New Roman" w:eastAsia="Times New Roman" w:hAnsi="Times New Roman" w:cs="Times New Roman"/>
          <w:color w:val="0E0E0E"/>
          <w:kern w:val="0"/>
          <w:lang w:val="en-US" w:eastAsia="pt-BR"/>
          <w14:ligatures w14:val="none"/>
        </w:rPr>
        <w:t>8</w:t>
      </w:r>
      <w:r w:rsidRPr="00DE2F9B">
        <w:rPr>
          <w:rFonts w:ascii="Times New Roman" w:eastAsia="Times New Roman" w:hAnsi="Times New Roman" w:cs="Times New Roman"/>
          <w:color w:val="0E0E0E"/>
          <w:kern w:val="0"/>
          <w:lang w:val="en-US" w:eastAsia="pt-BR"/>
          <w14:ligatures w14:val="none"/>
        </w:rPr>
        <w:t xml:space="preserve"> individuals in the study.</w:t>
      </w:r>
    </w:p>
    <w:p w14:paraId="1B97DF98" w14:textId="77777777" w:rsidR="00FF403C" w:rsidRPr="00DE2F9B" w:rsidRDefault="00FF403C" w:rsidP="001E673E">
      <w:pPr>
        <w:spacing w:after="0" w:line="360" w:lineRule="auto"/>
        <w:jc w:val="both"/>
        <w:rPr>
          <w:rFonts w:ascii="Times New Roman" w:eastAsia="Times New Roman" w:hAnsi="Times New Roman" w:cs="Times New Roman"/>
          <w:color w:val="0E0E0E"/>
          <w:kern w:val="0"/>
          <w:lang w:val="en-US" w:eastAsia="pt-BR"/>
          <w14:ligatures w14:val="none"/>
        </w:rPr>
      </w:pPr>
    </w:p>
    <w:p w14:paraId="21CF4FCA" w14:textId="146AB34B" w:rsidR="001E673E" w:rsidRDefault="005B7608" w:rsidP="001E673E">
      <w:pPr>
        <w:spacing w:after="0" w:line="360" w:lineRule="auto"/>
        <w:jc w:val="both"/>
        <w:rPr>
          <w:rFonts w:ascii="Times New Roman" w:hAnsi="Times New Roman" w:cs="Times New Roman"/>
          <w:b/>
          <w:bCs/>
          <w:color w:val="000000"/>
          <w:kern w:val="0"/>
          <w:lang w:val="en-US"/>
        </w:rPr>
      </w:pPr>
      <w:r w:rsidRPr="00DE2F9B">
        <w:rPr>
          <w:rFonts w:ascii="Times New Roman" w:hAnsi="Times New Roman" w:cs="Times New Roman"/>
          <w:b/>
          <w:bCs/>
          <w:color w:val="000000"/>
          <w:kern w:val="0"/>
          <w:lang w:val="en-US"/>
        </w:rPr>
        <w:lastRenderedPageBreak/>
        <w:t>2.3 Participants</w:t>
      </w:r>
    </w:p>
    <w:p w14:paraId="5F4FECA4" w14:textId="77777777" w:rsidR="00AD1AC6" w:rsidRPr="00DE2F9B" w:rsidRDefault="00AD1AC6" w:rsidP="001E673E">
      <w:pPr>
        <w:spacing w:after="0" w:line="360" w:lineRule="auto"/>
        <w:jc w:val="both"/>
        <w:rPr>
          <w:rFonts w:ascii="Times New Roman" w:hAnsi="Times New Roman" w:cs="Times New Roman"/>
          <w:b/>
          <w:bCs/>
          <w:color w:val="000000"/>
          <w:kern w:val="0"/>
          <w:lang w:val="en-US"/>
        </w:rPr>
      </w:pPr>
    </w:p>
    <w:p w14:paraId="799052E2" w14:textId="77777777" w:rsidR="00E65A53" w:rsidRPr="00DE2F9B" w:rsidRDefault="005B7608" w:rsidP="001E673E">
      <w:pPr>
        <w:pStyle w:val="p1"/>
        <w:spacing w:before="0" w:beforeAutospacing="0" w:after="0" w:afterAutospacing="0" w:line="360" w:lineRule="auto"/>
        <w:jc w:val="both"/>
        <w:rPr>
          <w:lang w:val="en-US"/>
        </w:rPr>
      </w:pPr>
      <w:r w:rsidRPr="00DE2F9B">
        <w:rPr>
          <w:rStyle w:val="apple-converted-space"/>
          <w:rFonts w:eastAsiaTheme="majorEastAsia"/>
          <w:lang w:val="en-US"/>
        </w:rPr>
        <w:t xml:space="preserve">A </w:t>
      </w:r>
      <w:r w:rsidRPr="00DE2F9B">
        <w:rPr>
          <w:lang w:val="en-US"/>
        </w:rPr>
        <w:t xml:space="preserve">total of 48 participants from the local community, aged between 18 and 60 years, will be recruited for this study. All participants must have a clinical diagnosis of </w:t>
      </w:r>
      <w:r w:rsidRPr="00DE2F9B">
        <w:rPr>
          <w:rStyle w:val="s1"/>
          <w:rFonts w:eastAsiaTheme="majorEastAsia"/>
          <w:lang w:val="en-US"/>
        </w:rPr>
        <w:t>CI</w:t>
      </w:r>
      <w:r w:rsidR="00E65A53" w:rsidRPr="00DE2F9B">
        <w:rPr>
          <w:lang w:val="en-US"/>
        </w:rPr>
        <w:t xml:space="preserve"> </w:t>
      </w:r>
      <w:r w:rsidRPr="00DE2F9B">
        <w:rPr>
          <w:lang w:val="en-US"/>
        </w:rPr>
        <w:t>confirmed by an ophthalmologic evaluation. Recruitment will be conducted through community outreach and referrals.</w:t>
      </w:r>
    </w:p>
    <w:p w14:paraId="5670F0E7" w14:textId="18DF746A" w:rsidR="00E65A53" w:rsidRPr="00DE2F9B" w:rsidRDefault="005B7608" w:rsidP="00AD1AC6">
      <w:pPr>
        <w:pStyle w:val="p1"/>
        <w:spacing w:before="0" w:beforeAutospacing="0" w:after="0" w:afterAutospacing="0" w:line="360" w:lineRule="auto"/>
        <w:jc w:val="both"/>
        <w:rPr>
          <w:lang w:val="en-US"/>
        </w:rPr>
      </w:pPr>
      <w:r w:rsidRPr="00DE2F9B">
        <w:rPr>
          <w:lang w:val="en-US"/>
        </w:rPr>
        <w:t>To be included in the study, participants must meet the following criteria: confirmed diagnosis of CI</w:t>
      </w:r>
      <w:r w:rsidR="00E65A53" w:rsidRPr="00DE2F9B">
        <w:rPr>
          <w:lang w:val="en-US"/>
        </w:rPr>
        <w:t>,</w:t>
      </w:r>
      <w:r w:rsidRPr="00DE2F9B">
        <w:rPr>
          <w:lang w:val="en-US"/>
        </w:rPr>
        <w:t xml:space="preserve"> physical ability to perform the oculomotor exercise protocol</w:t>
      </w:r>
      <w:r w:rsidR="00E65A53" w:rsidRPr="00DE2F9B">
        <w:rPr>
          <w:lang w:val="en-US"/>
        </w:rPr>
        <w:t>,</w:t>
      </w:r>
      <w:r w:rsidRPr="00DE2F9B">
        <w:rPr>
          <w:lang w:val="en-US"/>
        </w:rPr>
        <w:t xml:space="preserve"> no cognitive impairment (Mini-Mental State Examination score ≥ 24) and absence of active vestibular dysfunction</w:t>
      </w:r>
      <w:r w:rsidR="00E81313" w:rsidRPr="00DE2F9B">
        <w:rPr>
          <w:lang w:val="en-US"/>
        </w:rPr>
        <w:t xml:space="preserve"> </w:t>
      </w:r>
      <w:r w:rsidR="004E3601" w:rsidRPr="00DE2F9B">
        <w:rPr>
          <w:lang w:val="en-US"/>
        </w:rPr>
        <w:t>(</w:t>
      </w:r>
      <w:r w:rsidR="0067472D" w:rsidRPr="00DE2F9B">
        <w:rPr>
          <w:lang w:val="en-US"/>
        </w:rPr>
        <w:t xml:space="preserve">Tsoi et al., 2021, </w:t>
      </w:r>
      <w:proofErr w:type="spellStart"/>
      <w:r w:rsidR="004E3601" w:rsidRPr="00DE2F9B">
        <w:rPr>
          <w:lang w:val="en-US"/>
        </w:rPr>
        <w:t>Creavin</w:t>
      </w:r>
      <w:proofErr w:type="spellEnd"/>
      <w:r w:rsidR="004E3601" w:rsidRPr="00DE2F9B">
        <w:rPr>
          <w:lang w:val="en-US"/>
        </w:rPr>
        <w:t xml:space="preserve"> et al., 201</w:t>
      </w:r>
      <w:r w:rsidR="0067472D" w:rsidRPr="00DE2F9B">
        <w:rPr>
          <w:lang w:val="en-US"/>
        </w:rPr>
        <w:t>6, Sakurai et al., 2021)</w:t>
      </w:r>
      <w:r w:rsidR="00D56318" w:rsidRPr="00DE2F9B">
        <w:rPr>
          <w:lang w:val="en-US"/>
        </w:rPr>
        <w:t xml:space="preserve">. </w:t>
      </w:r>
      <w:r w:rsidR="00882B08" w:rsidRPr="00DE2F9B">
        <w:rPr>
          <w:lang w:val="en-US"/>
        </w:rPr>
        <w:t>Absence of active vestibular dysfunction will be confirmed through a structured clinical interview and screening procedures. Participants will be excluded if they report current vestibular symptoms (e.g., dizziness, vertigo, oscillopsia), have a recent history (within the last 30 days) of vestibular crisis</w:t>
      </w:r>
      <w:r w:rsidR="00AD1AC6">
        <w:rPr>
          <w:lang w:val="en-US"/>
        </w:rPr>
        <w:t>.</w:t>
      </w:r>
    </w:p>
    <w:p w14:paraId="6DAF13E5" w14:textId="77777777" w:rsidR="00E65A53" w:rsidRPr="00DE2F9B" w:rsidRDefault="005B7608" w:rsidP="00AD1AC6">
      <w:pPr>
        <w:pStyle w:val="p1"/>
        <w:spacing w:before="0" w:beforeAutospacing="0" w:after="0" w:afterAutospacing="0" w:line="360" w:lineRule="auto"/>
        <w:jc w:val="both"/>
        <w:rPr>
          <w:lang w:val="en-US"/>
        </w:rPr>
      </w:pPr>
      <w:r w:rsidRPr="00DE2F9B">
        <w:rPr>
          <w:lang w:val="en-US"/>
        </w:rPr>
        <w:t>The exclusion criteria will include: diagnosis of degenerative neurological disorders</w:t>
      </w:r>
      <w:r w:rsidR="00E65A53" w:rsidRPr="00DE2F9B">
        <w:rPr>
          <w:lang w:val="en-US"/>
        </w:rPr>
        <w:t>,</w:t>
      </w:r>
      <w:r w:rsidRPr="00DE2F9B">
        <w:rPr>
          <w:lang w:val="en-US"/>
        </w:rPr>
        <w:t xml:space="preserve"> history of stroke</w:t>
      </w:r>
      <w:r w:rsidR="00E65A53" w:rsidRPr="00DE2F9B">
        <w:rPr>
          <w:lang w:val="en-US"/>
        </w:rPr>
        <w:t>,</w:t>
      </w:r>
      <w:r w:rsidRPr="00DE2F9B">
        <w:rPr>
          <w:lang w:val="en-US"/>
        </w:rPr>
        <w:t xml:space="preserve"> peripheral neuropathy</w:t>
      </w:r>
      <w:r w:rsidR="00E65A53" w:rsidRPr="00DE2F9B">
        <w:rPr>
          <w:lang w:val="en-US"/>
        </w:rPr>
        <w:t>,</w:t>
      </w:r>
      <w:r w:rsidRPr="00DE2F9B">
        <w:rPr>
          <w:lang w:val="en-US"/>
        </w:rPr>
        <w:t xml:space="preserve"> joint prostheses</w:t>
      </w:r>
      <w:r w:rsidR="00E65A53" w:rsidRPr="00DE2F9B">
        <w:rPr>
          <w:lang w:val="en-US"/>
        </w:rPr>
        <w:t>,</w:t>
      </w:r>
      <w:r w:rsidRPr="00DE2F9B">
        <w:rPr>
          <w:lang w:val="en-US"/>
        </w:rPr>
        <w:t xml:space="preserve"> disabling pain that interferes with mobility</w:t>
      </w:r>
      <w:r w:rsidR="00E65A53" w:rsidRPr="00DE2F9B">
        <w:rPr>
          <w:lang w:val="en-US"/>
        </w:rPr>
        <w:t>,</w:t>
      </w:r>
      <w:r w:rsidRPr="00DE2F9B">
        <w:rPr>
          <w:lang w:val="en-US"/>
        </w:rPr>
        <w:t xml:space="preserve"> current engagement in visual therapy or physical therapy or any medical condition that prevents the execution of the prescribed exercises.</w:t>
      </w:r>
    </w:p>
    <w:p w14:paraId="6046E53A" w14:textId="5E68BCED" w:rsidR="005B7608" w:rsidRPr="00DE2F9B" w:rsidRDefault="005B7608" w:rsidP="00AD1AC6">
      <w:pPr>
        <w:pStyle w:val="p1"/>
        <w:spacing w:before="0" w:beforeAutospacing="0" w:after="0" w:afterAutospacing="0" w:line="360" w:lineRule="auto"/>
        <w:jc w:val="both"/>
        <w:rPr>
          <w:lang w:val="en-US"/>
        </w:rPr>
      </w:pPr>
      <w:r w:rsidRPr="00DE2F9B">
        <w:rPr>
          <w:lang w:val="en-US"/>
        </w:rPr>
        <w:t>After screening, participants will be randomly allocated to either the experimental group (EG, n=</w:t>
      </w:r>
      <w:r w:rsidR="00FB0BF0" w:rsidRPr="00DE2F9B">
        <w:rPr>
          <w:lang w:val="en-US"/>
        </w:rPr>
        <w:t>2</w:t>
      </w:r>
      <w:r w:rsidR="00055BC7" w:rsidRPr="00DE2F9B">
        <w:rPr>
          <w:lang w:val="en-US"/>
        </w:rPr>
        <w:t>4</w:t>
      </w:r>
      <w:r w:rsidR="001C735A" w:rsidRPr="00DE2F9B">
        <w:rPr>
          <w:lang w:val="en-US"/>
        </w:rPr>
        <w:t>]</w:t>
      </w:r>
      <w:r w:rsidRPr="00DE2F9B">
        <w:rPr>
          <w:lang w:val="en-US"/>
        </w:rPr>
        <w:t>) or control group (CG, n=</w:t>
      </w:r>
      <w:r w:rsidR="00FB0BF0" w:rsidRPr="00DE2F9B">
        <w:rPr>
          <w:lang w:val="en-US"/>
        </w:rPr>
        <w:t>2</w:t>
      </w:r>
      <w:r w:rsidR="00E65A53" w:rsidRPr="00DE2F9B">
        <w:rPr>
          <w:lang w:val="en-US"/>
        </w:rPr>
        <w:t>4</w:t>
      </w:r>
      <w:r w:rsidRPr="00DE2F9B">
        <w:rPr>
          <w:lang w:val="en-US"/>
        </w:rPr>
        <w:t>), using a simple randomization method involving opaque envelopes. Each envelope will be labeled with a group code (A or B), and volunteers will select an envelope on the day of allocation. Once one group reaches its full sample size, subsequent participants will be assigned to the remaining group in the order of arrival.</w:t>
      </w:r>
    </w:p>
    <w:p w14:paraId="0F2D0F84" w14:textId="77777777" w:rsidR="00E65A53" w:rsidRPr="00DE2F9B" w:rsidRDefault="00E65A53" w:rsidP="001E673E">
      <w:pPr>
        <w:pStyle w:val="p1"/>
        <w:spacing w:before="0" w:beforeAutospacing="0" w:after="0" w:afterAutospacing="0" w:line="360" w:lineRule="auto"/>
        <w:ind w:firstLine="708"/>
        <w:jc w:val="both"/>
        <w:rPr>
          <w:lang w:val="en-US"/>
        </w:rPr>
      </w:pPr>
    </w:p>
    <w:p w14:paraId="3B32949E" w14:textId="073842E3" w:rsidR="001E673E" w:rsidRDefault="00E65A53" w:rsidP="001E673E">
      <w:pPr>
        <w:spacing w:after="0" w:line="360" w:lineRule="auto"/>
        <w:jc w:val="both"/>
        <w:rPr>
          <w:rFonts w:ascii="Times New Roman" w:hAnsi="Times New Roman" w:cs="Times New Roman"/>
          <w:b/>
          <w:bCs/>
          <w:color w:val="000000"/>
          <w:kern w:val="0"/>
          <w:lang w:val="en-US"/>
        </w:rPr>
      </w:pPr>
      <w:r w:rsidRPr="00DE2F9B">
        <w:rPr>
          <w:rFonts w:ascii="Times New Roman" w:hAnsi="Times New Roman" w:cs="Times New Roman"/>
          <w:b/>
          <w:bCs/>
          <w:color w:val="000000"/>
          <w:kern w:val="0"/>
          <w:lang w:val="en-US"/>
        </w:rPr>
        <w:t>2.4 Blinding</w:t>
      </w:r>
    </w:p>
    <w:p w14:paraId="42AD96D7" w14:textId="77777777" w:rsidR="00AD1AC6" w:rsidRPr="00DE2F9B" w:rsidRDefault="00AD1AC6" w:rsidP="001E673E">
      <w:pPr>
        <w:spacing w:after="0" w:line="360" w:lineRule="auto"/>
        <w:jc w:val="both"/>
        <w:rPr>
          <w:rFonts w:ascii="Times New Roman" w:hAnsi="Times New Roman" w:cs="Times New Roman"/>
          <w:b/>
          <w:bCs/>
          <w:color w:val="000000"/>
          <w:kern w:val="0"/>
          <w:lang w:val="en-US"/>
        </w:rPr>
      </w:pPr>
    </w:p>
    <w:p w14:paraId="7AC28EEB" w14:textId="77777777" w:rsidR="005F3383" w:rsidRPr="00DE2F9B" w:rsidRDefault="005F3383" w:rsidP="001E673E">
      <w:pPr>
        <w:spacing w:after="0" w:line="360" w:lineRule="auto"/>
        <w:jc w:val="both"/>
        <w:rPr>
          <w:rFonts w:ascii="Times New Roman" w:hAnsi="Times New Roman" w:cs="Times New Roman"/>
          <w:lang w:val="en-US"/>
        </w:rPr>
      </w:pPr>
      <w:r w:rsidRPr="00DE2F9B">
        <w:rPr>
          <w:rFonts w:ascii="Times New Roman" w:hAnsi="Times New Roman" w:cs="Times New Roman"/>
          <w:lang w:val="en-US"/>
        </w:rPr>
        <w:t>To ensure methodological rigor and minimize bias, the study procedures will be performed by independent researchers with distinct responsibilities:</w:t>
      </w:r>
    </w:p>
    <w:p w14:paraId="3C5439FF" w14:textId="088F4BDE" w:rsidR="005F3383" w:rsidRPr="00DE2F9B" w:rsidRDefault="005F3383" w:rsidP="001E673E">
      <w:pPr>
        <w:spacing w:after="0" w:line="360" w:lineRule="auto"/>
        <w:jc w:val="both"/>
        <w:rPr>
          <w:rFonts w:ascii="Times New Roman" w:hAnsi="Times New Roman" w:cs="Times New Roman"/>
          <w:lang w:val="en-US"/>
        </w:rPr>
      </w:pPr>
      <w:r w:rsidRPr="00DE2F9B">
        <w:rPr>
          <w:rFonts w:ascii="Times New Roman" w:hAnsi="Times New Roman" w:cs="Times New Roman"/>
          <w:lang w:val="en-US"/>
        </w:rPr>
        <w:t xml:space="preserve">Evaluator 1: Responsible for screening participants based on the inclusion and exclusion criteria. Evaluator 2: Will administer questionnaires and conduct the clinical evaluation of participants before and after the intervention period. Evaluator 3: Will perform the random allocation of participants to either the experimental group (EG) or control group (CG) using sealed opaque envelopes. Evaluator 4: will be responsible for administering </w:t>
      </w:r>
      <w:r w:rsidRPr="00DE2F9B">
        <w:rPr>
          <w:rFonts w:ascii="Times New Roman" w:hAnsi="Times New Roman" w:cs="Times New Roman"/>
          <w:lang w:val="en-US"/>
        </w:rPr>
        <w:lastRenderedPageBreak/>
        <w:t>the intervention protocols to the participants. Evaluator 5: Will process all data related to functional assessments and perform the statistical analyses.</w:t>
      </w:r>
    </w:p>
    <w:p w14:paraId="513797C9" w14:textId="4744637A" w:rsidR="00A542BE" w:rsidRPr="00DE2F9B" w:rsidRDefault="005F3383" w:rsidP="00AD1AC6">
      <w:pPr>
        <w:spacing w:after="0" w:line="360" w:lineRule="auto"/>
        <w:jc w:val="both"/>
        <w:rPr>
          <w:rFonts w:ascii="Times New Roman" w:hAnsi="Times New Roman" w:cs="Times New Roman"/>
          <w:lang w:val="en-US"/>
        </w:rPr>
      </w:pPr>
      <w:r w:rsidRPr="00DE2F9B">
        <w:rPr>
          <w:rFonts w:ascii="Times New Roman" w:hAnsi="Times New Roman" w:cs="Times New Roman"/>
          <w:lang w:val="en-US"/>
        </w:rPr>
        <w:t>Evaluators 2 and 5 will be blinded to the participants’ group allocation and the type of intervention received, thereby preserving the integrity of both the selection and outcome analysis processes.</w:t>
      </w:r>
    </w:p>
    <w:p w14:paraId="6C92F733" w14:textId="77777777" w:rsidR="00CB51AF" w:rsidRPr="00DE2F9B" w:rsidRDefault="00CB51AF" w:rsidP="001E673E">
      <w:pPr>
        <w:spacing w:after="0" w:line="360" w:lineRule="auto"/>
        <w:jc w:val="both"/>
        <w:rPr>
          <w:rFonts w:ascii="Times New Roman" w:hAnsi="Times New Roman" w:cs="Times New Roman"/>
          <w:lang w:val="en-US"/>
        </w:rPr>
      </w:pPr>
    </w:p>
    <w:p w14:paraId="3B0D8FE7" w14:textId="54B38D15" w:rsidR="001E673E" w:rsidRDefault="005F3383" w:rsidP="001E673E">
      <w:pPr>
        <w:pStyle w:val="p1"/>
        <w:spacing w:before="0" w:beforeAutospacing="0" w:after="0" w:afterAutospacing="0" w:line="360" w:lineRule="auto"/>
        <w:jc w:val="both"/>
        <w:rPr>
          <w:b/>
          <w:bCs/>
          <w:color w:val="000000"/>
          <w:lang w:val="en-US"/>
        </w:rPr>
      </w:pPr>
      <w:r w:rsidRPr="00DE2F9B">
        <w:rPr>
          <w:b/>
          <w:bCs/>
          <w:color w:val="000000"/>
          <w:lang w:val="en-US"/>
        </w:rPr>
        <w:t>2.5 Evaluation Procedures</w:t>
      </w:r>
    </w:p>
    <w:p w14:paraId="79C23A36" w14:textId="77777777" w:rsidR="00AD1AC6" w:rsidRPr="00DE2F9B" w:rsidRDefault="00AD1AC6" w:rsidP="001E673E">
      <w:pPr>
        <w:pStyle w:val="p1"/>
        <w:spacing w:before="0" w:beforeAutospacing="0" w:after="0" w:afterAutospacing="0" w:line="360" w:lineRule="auto"/>
        <w:jc w:val="both"/>
        <w:rPr>
          <w:b/>
          <w:bCs/>
          <w:color w:val="000000"/>
          <w:lang w:val="en-US"/>
        </w:rPr>
      </w:pPr>
    </w:p>
    <w:p w14:paraId="3B3EFDAD" w14:textId="61156E18" w:rsidR="00CB51AF" w:rsidRPr="00DE2F9B" w:rsidRDefault="007F39C1" w:rsidP="001E673E">
      <w:pPr>
        <w:pStyle w:val="p1"/>
        <w:spacing w:before="0" w:beforeAutospacing="0" w:after="0" w:afterAutospacing="0" w:line="360" w:lineRule="auto"/>
        <w:jc w:val="both"/>
        <w:rPr>
          <w:lang w:val="en-US"/>
        </w:rPr>
      </w:pPr>
      <w:r w:rsidRPr="00DE2F9B">
        <w:rPr>
          <w:lang w:val="en-US"/>
        </w:rPr>
        <w:t xml:space="preserve">Participants will undergo assessments at three time points: baseline (prior to the intervention), immediately after the five-session intervention (once per week), and at a 30-day follow-up. Clinical characteristics will be assessed by a physical therapist experienced in evaluating CI, using the measurement of the near point of convergence (NPC) as a primary clinical marker. Symptomatology related to CI will be assessed using the </w:t>
      </w:r>
      <w:r w:rsidRPr="00DE2F9B">
        <w:rPr>
          <w:rStyle w:val="s1"/>
          <w:rFonts w:eastAsiaTheme="majorEastAsia"/>
          <w:lang w:val="en-US"/>
        </w:rPr>
        <w:t>Convergence Insufficiency Symptom Survey (CISS)</w:t>
      </w:r>
      <w:r w:rsidR="004A6E9A" w:rsidRPr="00DE2F9B">
        <w:rPr>
          <w:rStyle w:val="s1"/>
          <w:rFonts w:eastAsiaTheme="majorEastAsia"/>
          <w:lang w:val="en-US"/>
        </w:rPr>
        <w:t xml:space="preserve"> </w:t>
      </w:r>
      <w:r w:rsidR="0067472D" w:rsidRPr="00DE2F9B">
        <w:rPr>
          <w:lang w:val="en-US"/>
        </w:rPr>
        <w:t>(Tavares et al., 2014).</w:t>
      </w:r>
      <w:r w:rsidR="004A6E9A" w:rsidRPr="00DE2F9B">
        <w:rPr>
          <w:lang w:val="en-US"/>
        </w:rPr>
        <w:t xml:space="preserve"> </w:t>
      </w:r>
    </w:p>
    <w:p w14:paraId="3CFA690D" w14:textId="77777777" w:rsidR="002A4D7E" w:rsidRPr="00DE2F9B" w:rsidRDefault="002A4D7E" w:rsidP="001E673E">
      <w:pPr>
        <w:pStyle w:val="p1"/>
        <w:spacing w:before="0" w:beforeAutospacing="0" w:after="0" w:afterAutospacing="0" w:line="360" w:lineRule="auto"/>
        <w:jc w:val="both"/>
        <w:rPr>
          <w:b/>
          <w:bCs/>
          <w:color w:val="000000"/>
          <w:lang w:val="en-US"/>
        </w:rPr>
      </w:pPr>
    </w:p>
    <w:p w14:paraId="047F29C5" w14:textId="77777777" w:rsidR="002A4D7E" w:rsidRDefault="001736BB" w:rsidP="002A4D7E">
      <w:pPr>
        <w:pStyle w:val="p1"/>
        <w:spacing w:before="0" w:beforeAutospacing="0" w:after="0" w:afterAutospacing="0" w:line="360" w:lineRule="auto"/>
        <w:jc w:val="both"/>
        <w:rPr>
          <w:b/>
          <w:bCs/>
          <w:color w:val="000000"/>
          <w:lang w:val="en-US"/>
        </w:rPr>
      </w:pPr>
      <w:r w:rsidRPr="00DE2F9B">
        <w:rPr>
          <w:b/>
          <w:bCs/>
          <w:color w:val="000000"/>
          <w:lang w:val="en-US"/>
        </w:rPr>
        <w:t>2.6 Outcome Measures</w:t>
      </w:r>
    </w:p>
    <w:p w14:paraId="53A38CEA" w14:textId="77777777" w:rsidR="00AD1AC6" w:rsidRPr="00DE2F9B" w:rsidRDefault="00AD1AC6" w:rsidP="002A4D7E">
      <w:pPr>
        <w:pStyle w:val="p1"/>
        <w:spacing w:before="0" w:beforeAutospacing="0" w:after="0" w:afterAutospacing="0" w:line="360" w:lineRule="auto"/>
        <w:jc w:val="both"/>
        <w:rPr>
          <w:b/>
          <w:bCs/>
          <w:color w:val="000000"/>
          <w:lang w:val="en-US"/>
        </w:rPr>
      </w:pPr>
    </w:p>
    <w:p w14:paraId="045762DD" w14:textId="1223DA6C" w:rsidR="00203DEC" w:rsidRPr="00DE2F9B" w:rsidRDefault="00203DEC" w:rsidP="002A4D7E">
      <w:pPr>
        <w:pStyle w:val="p1"/>
        <w:spacing w:before="0" w:beforeAutospacing="0" w:after="0" w:afterAutospacing="0" w:line="360" w:lineRule="auto"/>
        <w:jc w:val="both"/>
        <w:rPr>
          <w:b/>
          <w:bCs/>
          <w:color w:val="000000"/>
          <w:lang w:val="en-US"/>
        </w:rPr>
      </w:pPr>
      <w:r w:rsidRPr="00DE2F9B">
        <w:rPr>
          <w:rStyle w:val="s1"/>
          <w:rFonts w:eastAsiaTheme="majorEastAsia"/>
          <w:color w:val="000000" w:themeColor="text1"/>
          <w:lang w:val="en-US"/>
        </w:rPr>
        <w:t xml:space="preserve">The primary outcomes of the study will be </w:t>
      </w:r>
      <w:r w:rsidRPr="00DE2F9B">
        <w:rPr>
          <w:color w:val="000000" w:themeColor="text1"/>
          <w:lang w:val="en-US"/>
        </w:rPr>
        <w:t>functional mobility</w:t>
      </w:r>
      <w:r w:rsidRPr="00DE2F9B">
        <w:rPr>
          <w:rStyle w:val="s1"/>
          <w:rFonts w:eastAsiaTheme="majorEastAsia"/>
          <w:color w:val="000000" w:themeColor="text1"/>
          <w:lang w:val="en-US"/>
        </w:rPr>
        <w:t xml:space="preserve"> and </w:t>
      </w:r>
      <w:r w:rsidRPr="00DE2F9B">
        <w:rPr>
          <w:color w:val="000000" w:themeColor="text1"/>
          <w:lang w:val="en-US"/>
        </w:rPr>
        <w:t>ocular convergence capacity</w:t>
      </w:r>
      <w:r w:rsidRPr="00DE2F9B">
        <w:rPr>
          <w:rStyle w:val="s1"/>
          <w:rFonts w:eastAsiaTheme="majorEastAsia"/>
          <w:color w:val="000000" w:themeColor="text1"/>
          <w:lang w:val="en-US"/>
        </w:rPr>
        <w:t xml:space="preserve">, assessed using the </w:t>
      </w:r>
      <w:r w:rsidRPr="00DE2F9B">
        <w:rPr>
          <w:color w:val="000000" w:themeColor="text1"/>
          <w:lang w:val="en-US"/>
        </w:rPr>
        <w:t>Timed Up and Go (TUG) test</w:t>
      </w:r>
      <w:r w:rsidRPr="00DE2F9B">
        <w:rPr>
          <w:rStyle w:val="s1"/>
          <w:rFonts w:eastAsiaTheme="majorEastAsia"/>
          <w:color w:val="000000" w:themeColor="text1"/>
          <w:lang w:val="en-US"/>
        </w:rPr>
        <w:t xml:space="preserve"> and the </w:t>
      </w:r>
      <w:r w:rsidRPr="00DE2F9B">
        <w:rPr>
          <w:color w:val="000000" w:themeColor="text1"/>
          <w:lang w:val="en-US"/>
        </w:rPr>
        <w:t>Near Point of Convergence (NPC) test</w:t>
      </w:r>
      <w:r w:rsidRPr="00DE2F9B">
        <w:rPr>
          <w:rStyle w:val="s1"/>
          <w:rFonts w:eastAsiaTheme="majorEastAsia"/>
          <w:color w:val="000000" w:themeColor="text1"/>
          <w:lang w:val="en-US"/>
        </w:rPr>
        <w:t xml:space="preserve">, </w:t>
      </w:r>
      <w:r w:rsidRPr="00DE2F9B">
        <w:rPr>
          <w:color w:val="000000" w:themeColor="text1"/>
          <w:lang w:val="en-US"/>
        </w:rPr>
        <w:t>respectively, as described below:</w:t>
      </w:r>
    </w:p>
    <w:p w14:paraId="17E6376E" w14:textId="77777777" w:rsidR="007B1C37" w:rsidRPr="00DE2F9B" w:rsidRDefault="00203DEC" w:rsidP="001E673E">
      <w:pPr>
        <w:pStyle w:val="Heading4"/>
        <w:numPr>
          <w:ilvl w:val="0"/>
          <w:numId w:val="6"/>
        </w:numPr>
        <w:spacing w:before="0" w:after="0" w:line="360" w:lineRule="auto"/>
        <w:jc w:val="both"/>
        <w:rPr>
          <w:rFonts w:ascii="Times New Roman" w:hAnsi="Times New Roman" w:cs="Times New Roman"/>
          <w:i w:val="0"/>
          <w:iCs w:val="0"/>
          <w:color w:val="000000" w:themeColor="text1"/>
          <w:lang w:val="en-US"/>
        </w:rPr>
      </w:pPr>
      <w:r w:rsidRPr="00DE2F9B">
        <w:rPr>
          <w:rFonts w:ascii="Times New Roman" w:hAnsi="Times New Roman" w:cs="Times New Roman"/>
          <w:i w:val="0"/>
          <w:iCs w:val="0"/>
          <w:color w:val="000000" w:themeColor="text1"/>
          <w:lang w:val="en-US"/>
        </w:rPr>
        <w:t xml:space="preserve">TUG Test: This test will be used to evaluate </w:t>
      </w:r>
      <w:r w:rsidRPr="00DE2F9B">
        <w:rPr>
          <w:rStyle w:val="s2"/>
          <w:rFonts w:ascii="Times New Roman" w:hAnsi="Times New Roman" w:cs="Times New Roman"/>
          <w:i w:val="0"/>
          <w:iCs w:val="0"/>
          <w:color w:val="000000" w:themeColor="text1"/>
          <w:lang w:val="en-US"/>
        </w:rPr>
        <w:t>functional mobility</w:t>
      </w:r>
      <w:r w:rsidRPr="00DE2F9B">
        <w:rPr>
          <w:rFonts w:ascii="Times New Roman" w:hAnsi="Times New Roman" w:cs="Times New Roman"/>
          <w:i w:val="0"/>
          <w:iCs w:val="0"/>
          <w:color w:val="000000" w:themeColor="text1"/>
          <w:lang w:val="en-US"/>
        </w:rPr>
        <w:t xml:space="preserve">. It measures the time (in seconds) a participant takes to rise from a standard chair, walk three meters, turn around, walk back, and sit down. The TUG is a well-established, valid, and reliable instrument for assessing </w:t>
      </w:r>
      <w:r w:rsidRPr="00DE2F9B">
        <w:rPr>
          <w:rStyle w:val="s2"/>
          <w:rFonts w:ascii="Times New Roman" w:hAnsi="Times New Roman" w:cs="Times New Roman"/>
          <w:i w:val="0"/>
          <w:iCs w:val="0"/>
          <w:color w:val="000000" w:themeColor="text1"/>
          <w:lang w:val="en-US"/>
        </w:rPr>
        <w:t>dynamic balance</w:t>
      </w:r>
      <w:r w:rsidRPr="00DE2F9B">
        <w:rPr>
          <w:rFonts w:ascii="Times New Roman" w:hAnsi="Times New Roman" w:cs="Times New Roman"/>
          <w:i w:val="0"/>
          <w:iCs w:val="0"/>
          <w:color w:val="000000" w:themeColor="text1"/>
          <w:lang w:val="en-US"/>
        </w:rPr>
        <w:t xml:space="preserve">, </w:t>
      </w:r>
      <w:r w:rsidRPr="00DE2F9B">
        <w:rPr>
          <w:rStyle w:val="s2"/>
          <w:rFonts w:ascii="Times New Roman" w:hAnsi="Times New Roman" w:cs="Times New Roman"/>
          <w:i w:val="0"/>
          <w:iCs w:val="0"/>
          <w:color w:val="000000" w:themeColor="text1"/>
          <w:lang w:val="en-US"/>
        </w:rPr>
        <w:t>mobility</w:t>
      </w:r>
      <w:r w:rsidRPr="00DE2F9B">
        <w:rPr>
          <w:rFonts w:ascii="Times New Roman" w:hAnsi="Times New Roman" w:cs="Times New Roman"/>
          <w:i w:val="0"/>
          <w:iCs w:val="0"/>
          <w:color w:val="000000" w:themeColor="text1"/>
          <w:lang w:val="en-US"/>
        </w:rPr>
        <w:t xml:space="preserve">, and </w:t>
      </w:r>
      <w:r w:rsidRPr="00DE2F9B">
        <w:rPr>
          <w:rStyle w:val="s2"/>
          <w:rFonts w:ascii="Times New Roman" w:hAnsi="Times New Roman" w:cs="Times New Roman"/>
          <w:i w:val="0"/>
          <w:iCs w:val="0"/>
          <w:color w:val="000000" w:themeColor="text1"/>
          <w:lang w:val="en-US"/>
        </w:rPr>
        <w:t>fall risk</w:t>
      </w:r>
      <w:r w:rsidRPr="00DE2F9B">
        <w:rPr>
          <w:rFonts w:ascii="Times New Roman" w:hAnsi="Times New Roman" w:cs="Times New Roman"/>
          <w:i w:val="0"/>
          <w:iCs w:val="0"/>
          <w:color w:val="000000" w:themeColor="text1"/>
          <w:lang w:val="en-US"/>
        </w:rPr>
        <w:t xml:space="preserve">. Lower completion times </w:t>
      </w:r>
      <w:proofErr w:type="gramStart"/>
      <w:r w:rsidRPr="00DE2F9B">
        <w:rPr>
          <w:rFonts w:ascii="Times New Roman" w:hAnsi="Times New Roman" w:cs="Times New Roman"/>
          <w:i w:val="0"/>
          <w:iCs w:val="0"/>
          <w:color w:val="000000" w:themeColor="text1"/>
          <w:lang w:val="en-US"/>
        </w:rPr>
        <w:t>indicate</w:t>
      </w:r>
      <w:proofErr w:type="gramEnd"/>
      <w:r w:rsidRPr="00DE2F9B">
        <w:rPr>
          <w:rFonts w:ascii="Times New Roman" w:hAnsi="Times New Roman" w:cs="Times New Roman"/>
          <w:i w:val="0"/>
          <w:iCs w:val="0"/>
          <w:color w:val="000000" w:themeColor="text1"/>
          <w:lang w:val="en-US"/>
        </w:rPr>
        <w:t xml:space="preserve"> better performance. </w:t>
      </w:r>
    </w:p>
    <w:p w14:paraId="2DE3B79A" w14:textId="27E245A5" w:rsidR="00252DDD" w:rsidRDefault="00203DEC" w:rsidP="00DF4A56">
      <w:pPr>
        <w:pStyle w:val="Heading4"/>
        <w:numPr>
          <w:ilvl w:val="0"/>
          <w:numId w:val="6"/>
        </w:numPr>
        <w:spacing w:before="0" w:after="0" w:line="360" w:lineRule="auto"/>
        <w:jc w:val="both"/>
        <w:rPr>
          <w:rFonts w:ascii="Times New Roman" w:hAnsi="Times New Roman" w:cs="Times New Roman"/>
          <w:i w:val="0"/>
          <w:iCs w:val="0"/>
          <w:color w:val="000000" w:themeColor="text1"/>
          <w:lang w:val="en-US"/>
        </w:rPr>
      </w:pPr>
      <w:r w:rsidRPr="00DE2F9B">
        <w:rPr>
          <w:rFonts w:ascii="Times New Roman" w:hAnsi="Times New Roman" w:cs="Times New Roman"/>
          <w:i w:val="0"/>
          <w:iCs w:val="0"/>
          <w:color w:val="000000" w:themeColor="text1"/>
          <w:lang w:val="en-US"/>
        </w:rPr>
        <w:t xml:space="preserve">NPC Test: To assess </w:t>
      </w:r>
      <w:r w:rsidRPr="00DE2F9B">
        <w:rPr>
          <w:rStyle w:val="s2"/>
          <w:rFonts w:ascii="Times New Roman" w:hAnsi="Times New Roman" w:cs="Times New Roman"/>
          <w:i w:val="0"/>
          <w:iCs w:val="0"/>
          <w:color w:val="000000" w:themeColor="text1"/>
          <w:lang w:val="en-US"/>
        </w:rPr>
        <w:t>ocular convergence</w:t>
      </w:r>
      <w:r w:rsidRPr="00DE2F9B">
        <w:rPr>
          <w:rFonts w:ascii="Times New Roman" w:hAnsi="Times New Roman" w:cs="Times New Roman"/>
          <w:i w:val="0"/>
          <w:iCs w:val="0"/>
          <w:color w:val="000000" w:themeColor="text1"/>
          <w:lang w:val="en-US"/>
        </w:rPr>
        <w:t xml:space="preserve">, the NPC will be measured using a calibrated caliper with a marked sliding arm. The device will be positioned at the </w:t>
      </w:r>
      <w:r w:rsidRPr="00DE2F9B">
        <w:rPr>
          <w:rStyle w:val="s2"/>
          <w:rFonts w:ascii="Times New Roman" w:hAnsi="Times New Roman" w:cs="Times New Roman"/>
          <w:i w:val="0"/>
          <w:iCs w:val="0"/>
          <w:color w:val="000000" w:themeColor="text1"/>
          <w:lang w:val="en-US"/>
        </w:rPr>
        <w:t>temporal orbital margin</w:t>
      </w:r>
      <w:r w:rsidRPr="00DE2F9B">
        <w:rPr>
          <w:rFonts w:ascii="Times New Roman" w:hAnsi="Times New Roman" w:cs="Times New Roman"/>
          <w:i w:val="0"/>
          <w:iCs w:val="0"/>
          <w:color w:val="000000" w:themeColor="text1"/>
          <w:lang w:val="en-US"/>
        </w:rPr>
        <w:t xml:space="preserve"> and moved slowly toward the participant’s nose, remaining at eye level (Figure 2). The distance at which ocular divergence occurs will be recorded and interpreted according to the following criteria:  </w:t>
      </w:r>
      <w:r w:rsidRPr="00DE2F9B">
        <w:rPr>
          <w:rStyle w:val="s1"/>
          <w:rFonts w:ascii="Times New Roman" w:hAnsi="Times New Roman" w:cs="Times New Roman"/>
          <w:i w:val="0"/>
          <w:iCs w:val="0"/>
          <w:color w:val="000000" w:themeColor="text1"/>
          <w:lang w:val="en-US"/>
        </w:rPr>
        <w:t>3.0–4.0 cm</w:t>
      </w:r>
      <w:r w:rsidRPr="00DE2F9B">
        <w:rPr>
          <w:rFonts w:ascii="Times New Roman" w:hAnsi="Times New Roman" w:cs="Times New Roman"/>
          <w:i w:val="0"/>
          <w:iCs w:val="0"/>
          <w:color w:val="000000" w:themeColor="text1"/>
          <w:lang w:val="en-US"/>
        </w:rPr>
        <w:t xml:space="preserve">: normal convergence; </w:t>
      </w:r>
      <w:r w:rsidRPr="00DE2F9B">
        <w:rPr>
          <w:rStyle w:val="s1"/>
          <w:rFonts w:ascii="Times New Roman" w:hAnsi="Times New Roman" w:cs="Times New Roman"/>
          <w:i w:val="0"/>
          <w:iCs w:val="0"/>
          <w:color w:val="000000" w:themeColor="text1"/>
          <w:lang w:val="en-US"/>
        </w:rPr>
        <w:t>4.1–6.9 cm</w:t>
      </w:r>
      <w:r w:rsidRPr="00DE2F9B">
        <w:rPr>
          <w:rFonts w:ascii="Times New Roman" w:hAnsi="Times New Roman" w:cs="Times New Roman"/>
          <w:i w:val="0"/>
          <w:iCs w:val="0"/>
          <w:color w:val="000000" w:themeColor="text1"/>
          <w:lang w:val="en-US"/>
        </w:rPr>
        <w:t xml:space="preserve">: sufficient convergence </w:t>
      </w:r>
      <w:proofErr w:type="gramStart"/>
      <w:r w:rsidRPr="00DE2F9B">
        <w:rPr>
          <w:rFonts w:ascii="Times New Roman" w:hAnsi="Times New Roman" w:cs="Times New Roman"/>
          <w:i w:val="0"/>
          <w:iCs w:val="0"/>
          <w:color w:val="000000" w:themeColor="text1"/>
          <w:lang w:val="en-US"/>
        </w:rPr>
        <w:t xml:space="preserve">and  </w:t>
      </w:r>
      <w:r w:rsidRPr="00DE2F9B">
        <w:rPr>
          <w:rStyle w:val="s1"/>
          <w:rFonts w:ascii="Times New Roman" w:hAnsi="Times New Roman" w:cs="Times New Roman"/>
          <w:i w:val="0"/>
          <w:iCs w:val="0"/>
          <w:color w:val="000000" w:themeColor="text1"/>
          <w:lang w:val="en-US"/>
        </w:rPr>
        <w:t>≥</w:t>
      </w:r>
      <w:proofErr w:type="gramEnd"/>
      <w:r w:rsidRPr="00DE2F9B">
        <w:rPr>
          <w:rStyle w:val="s1"/>
          <w:rFonts w:ascii="Times New Roman" w:hAnsi="Times New Roman" w:cs="Times New Roman"/>
          <w:i w:val="0"/>
          <w:iCs w:val="0"/>
          <w:color w:val="000000" w:themeColor="text1"/>
          <w:lang w:val="en-US"/>
        </w:rPr>
        <w:t>7.0 cm</w:t>
      </w:r>
      <w:r w:rsidRPr="00DE2F9B">
        <w:rPr>
          <w:rFonts w:ascii="Times New Roman" w:hAnsi="Times New Roman" w:cs="Times New Roman"/>
          <w:i w:val="0"/>
          <w:iCs w:val="0"/>
          <w:color w:val="000000" w:themeColor="text1"/>
          <w:lang w:val="en-US"/>
        </w:rPr>
        <w:t>: convergence insufficiency</w:t>
      </w:r>
      <w:r w:rsidR="0067472D" w:rsidRPr="00DE2F9B">
        <w:rPr>
          <w:rFonts w:ascii="Times New Roman" w:hAnsi="Times New Roman" w:cs="Times New Roman"/>
          <w:color w:val="000000" w:themeColor="text1"/>
          <w:lang w:val="en-US"/>
        </w:rPr>
        <w:t xml:space="preserve"> (</w:t>
      </w:r>
      <w:proofErr w:type="spellStart"/>
      <w:r w:rsidR="0067472D" w:rsidRPr="001A0455">
        <w:rPr>
          <w:rFonts w:ascii="Times New Roman" w:hAnsi="Times New Roman" w:cs="Times New Roman"/>
          <w:i w:val="0"/>
          <w:iCs w:val="0"/>
          <w:color w:val="000000" w:themeColor="text1"/>
          <w:lang w:val="en-US"/>
        </w:rPr>
        <w:t>Cuccia</w:t>
      </w:r>
      <w:proofErr w:type="spellEnd"/>
      <w:r w:rsidR="0067472D" w:rsidRPr="001A0455">
        <w:rPr>
          <w:rFonts w:ascii="Times New Roman" w:hAnsi="Times New Roman" w:cs="Times New Roman"/>
          <w:i w:val="0"/>
          <w:iCs w:val="0"/>
          <w:color w:val="000000" w:themeColor="text1"/>
          <w:lang w:val="en-US"/>
        </w:rPr>
        <w:t xml:space="preserve"> &amp;</w:t>
      </w:r>
      <w:proofErr w:type="spellStart"/>
      <w:r w:rsidR="0067472D" w:rsidRPr="001A0455">
        <w:rPr>
          <w:rFonts w:ascii="Times New Roman" w:hAnsi="Times New Roman" w:cs="Times New Roman"/>
          <w:i w:val="0"/>
          <w:iCs w:val="0"/>
          <w:color w:val="000000" w:themeColor="text1"/>
          <w:lang w:val="en-US"/>
        </w:rPr>
        <w:t>Caradonna</w:t>
      </w:r>
      <w:proofErr w:type="spellEnd"/>
      <w:r w:rsidR="0067472D" w:rsidRPr="001A0455">
        <w:rPr>
          <w:rFonts w:ascii="Times New Roman" w:hAnsi="Times New Roman" w:cs="Times New Roman"/>
          <w:i w:val="0"/>
          <w:iCs w:val="0"/>
          <w:color w:val="000000" w:themeColor="text1"/>
          <w:lang w:val="en-US"/>
        </w:rPr>
        <w:t>, 2008, Dos Santos et al., 2021, Paula et al.</w:t>
      </w:r>
      <w:r w:rsidR="0067472D" w:rsidRPr="00DE2F9B">
        <w:rPr>
          <w:rFonts w:ascii="Times New Roman" w:hAnsi="Times New Roman" w:cs="Times New Roman"/>
          <w:color w:val="000000" w:themeColor="text1"/>
          <w:lang w:val="en-US"/>
        </w:rPr>
        <w:t xml:space="preserve">, </w:t>
      </w:r>
      <w:r w:rsidR="0067472D" w:rsidRPr="001A0455">
        <w:rPr>
          <w:rFonts w:ascii="Times New Roman" w:hAnsi="Times New Roman" w:cs="Times New Roman"/>
          <w:i w:val="0"/>
          <w:iCs w:val="0"/>
          <w:color w:val="000000" w:themeColor="text1"/>
          <w:lang w:val="en-US"/>
        </w:rPr>
        <w:t>2025</w:t>
      </w:r>
      <w:r w:rsidR="0067472D" w:rsidRPr="00DE2F9B">
        <w:rPr>
          <w:rFonts w:ascii="Times New Roman" w:hAnsi="Times New Roman" w:cs="Times New Roman"/>
          <w:color w:val="000000" w:themeColor="text1"/>
          <w:lang w:val="en-US"/>
        </w:rPr>
        <w:t>).</w:t>
      </w:r>
      <w:r w:rsidR="001427D6" w:rsidRPr="00DE2F9B">
        <w:rPr>
          <w:rFonts w:ascii="Times New Roman" w:hAnsi="Times New Roman" w:cs="Times New Roman"/>
          <w:i w:val="0"/>
          <w:iCs w:val="0"/>
          <w:color w:val="000000" w:themeColor="text1"/>
          <w:lang w:val="en-US"/>
        </w:rPr>
        <w:t xml:space="preserve"> </w:t>
      </w:r>
    </w:p>
    <w:p w14:paraId="60B2E710" w14:textId="75F21F3B" w:rsidR="00914940" w:rsidRDefault="00914940" w:rsidP="00914940">
      <w:pPr>
        <w:rPr>
          <w:lang w:val="en-US"/>
        </w:rPr>
      </w:pPr>
    </w:p>
    <w:p w14:paraId="75093F7F" w14:textId="23086609" w:rsidR="00A209BB" w:rsidRDefault="005A606D" w:rsidP="00A209BB">
      <w:pPr>
        <w:ind w:firstLine="1843"/>
        <w:rPr>
          <w:lang w:val="en-US"/>
        </w:rPr>
      </w:pPr>
      <w:r>
        <w:rPr>
          <w:noProof/>
        </w:rPr>
        <w:lastRenderedPageBreak/>
        <w:drawing>
          <wp:inline distT="0" distB="0" distL="0" distR="0" wp14:anchorId="143F22EA" wp14:editId="552B34F6">
            <wp:extent cx="2257425" cy="3314700"/>
            <wp:effectExtent l="0" t="0" r="9525" b="0"/>
            <wp:docPr id="953398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398281" name=""/>
                    <pic:cNvPicPr/>
                  </pic:nvPicPr>
                  <pic:blipFill>
                    <a:blip r:embed="rId8"/>
                    <a:stretch>
                      <a:fillRect/>
                    </a:stretch>
                  </pic:blipFill>
                  <pic:spPr>
                    <a:xfrm>
                      <a:off x="0" y="0"/>
                      <a:ext cx="2257425" cy="3314700"/>
                    </a:xfrm>
                    <a:prstGeom prst="rect">
                      <a:avLst/>
                    </a:prstGeom>
                  </pic:spPr>
                </pic:pic>
              </a:graphicData>
            </a:graphic>
          </wp:inline>
        </w:drawing>
      </w:r>
    </w:p>
    <w:p w14:paraId="0A3CF512" w14:textId="7F263A53" w:rsidR="0067472D" w:rsidRPr="00914940" w:rsidRDefault="00A209BB" w:rsidP="00A53168">
      <w:pPr>
        <w:pStyle w:val="p1"/>
        <w:spacing w:before="0" w:beforeAutospacing="0" w:after="0" w:afterAutospacing="0" w:line="360" w:lineRule="auto"/>
        <w:jc w:val="both"/>
        <w:rPr>
          <w:lang w:val="en-US"/>
        </w:rPr>
      </w:pPr>
      <w:r>
        <w:rPr>
          <w:b/>
          <w:bCs/>
          <w:color w:val="000000" w:themeColor="text1"/>
          <w:lang w:val="en-US"/>
        </w:rPr>
        <w:t xml:space="preserve">                            </w:t>
      </w:r>
      <w:r w:rsidR="00914940" w:rsidRPr="00914940">
        <w:rPr>
          <w:b/>
          <w:bCs/>
          <w:color w:val="000000" w:themeColor="text1"/>
          <w:lang w:val="en-US"/>
        </w:rPr>
        <w:t>Figure 2.</w:t>
      </w:r>
      <w:r w:rsidR="00914940">
        <w:rPr>
          <w:color w:val="000000" w:themeColor="text1"/>
          <w:lang w:val="en-US"/>
        </w:rPr>
        <w:t xml:space="preserve"> </w:t>
      </w:r>
      <w:r w:rsidR="00914940" w:rsidRPr="00DE2F9B">
        <w:rPr>
          <w:color w:val="000000" w:themeColor="text1"/>
          <w:lang w:val="en-US"/>
        </w:rPr>
        <w:t>Near Point of Convergence</w:t>
      </w:r>
      <w:r w:rsidR="00914940">
        <w:rPr>
          <w:color w:val="000000" w:themeColor="text1"/>
          <w:lang w:val="en-US"/>
        </w:rPr>
        <w:t xml:space="preserve"> </w:t>
      </w:r>
      <w:r w:rsidR="00914940" w:rsidRPr="00DE2F9B">
        <w:rPr>
          <w:color w:val="000000" w:themeColor="text1"/>
          <w:lang w:val="en-US"/>
        </w:rPr>
        <w:t>test</w:t>
      </w:r>
      <w:r w:rsidR="00A53168">
        <w:rPr>
          <w:color w:val="000000" w:themeColor="text1"/>
          <w:lang w:val="en-US"/>
        </w:rPr>
        <w:t xml:space="preserve">. </w:t>
      </w:r>
      <w:r w:rsidR="00A53168" w:rsidRPr="001A0455">
        <w:rPr>
          <w:color w:val="000000"/>
          <w:lang w:val="en-US"/>
        </w:rPr>
        <w:t>(Figure source: authors)</w:t>
      </w:r>
      <w:r w:rsidR="00A53168">
        <w:rPr>
          <w:color w:val="000000"/>
          <w:lang w:val="en-US"/>
        </w:rPr>
        <w:t>.</w:t>
      </w:r>
    </w:p>
    <w:p w14:paraId="3309E6A4" w14:textId="77777777" w:rsidR="00914940" w:rsidRDefault="00914940" w:rsidP="001E673E">
      <w:pPr>
        <w:pStyle w:val="p1"/>
        <w:spacing w:before="0" w:beforeAutospacing="0" w:after="0" w:afterAutospacing="0" w:line="360" w:lineRule="auto"/>
        <w:jc w:val="both"/>
        <w:rPr>
          <w:lang w:val="en-US"/>
        </w:rPr>
      </w:pPr>
    </w:p>
    <w:p w14:paraId="5D8C1B72" w14:textId="1F3AEFB0" w:rsidR="00006EBF" w:rsidRPr="00DE2F9B" w:rsidRDefault="001736BB" w:rsidP="001E673E">
      <w:pPr>
        <w:pStyle w:val="p1"/>
        <w:spacing w:before="0" w:beforeAutospacing="0" w:after="0" w:afterAutospacing="0" w:line="360" w:lineRule="auto"/>
        <w:jc w:val="both"/>
        <w:rPr>
          <w:lang w:val="en-US"/>
        </w:rPr>
      </w:pPr>
      <w:r w:rsidRPr="00DE2F9B">
        <w:rPr>
          <w:lang w:val="en-US"/>
        </w:rPr>
        <w:t xml:space="preserve">Secondary Outcomes: </w:t>
      </w:r>
    </w:p>
    <w:p w14:paraId="4B27EE03" w14:textId="7AB4AFE1" w:rsidR="007B1C37" w:rsidRPr="00DE2F9B" w:rsidRDefault="00203DEC" w:rsidP="001E673E">
      <w:pPr>
        <w:pStyle w:val="ListParagraph"/>
        <w:numPr>
          <w:ilvl w:val="0"/>
          <w:numId w:val="7"/>
        </w:numPr>
        <w:spacing w:after="0" w:line="360" w:lineRule="auto"/>
        <w:jc w:val="both"/>
        <w:rPr>
          <w:rFonts w:ascii="Times New Roman" w:hAnsi="Times New Roman" w:cs="Times New Roman"/>
          <w:lang w:val="en-US"/>
        </w:rPr>
      </w:pPr>
      <w:r w:rsidRPr="00DE2F9B">
        <w:rPr>
          <w:rFonts w:ascii="Times New Roman" w:hAnsi="Times New Roman" w:cs="Times New Roman"/>
          <w:lang w:val="en-US"/>
        </w:rPr>
        <w:t xml:space="preserve">CISS: The CISS a validated and reliable instrument developed by the Convergence Insufficiency Treatment Trial. It is recognized as the first standardized tool approved to quantify both the frequency and intensity of symptoms associated with CI and other binocular or accommodative disorder. The CISS consists of 15 items rated on a five-point Likert scale, each targeting a specific symptom. It demonstrates strong psychometric properties and allows for clear identification of symptom severity. Scores are interpreted as follows: </w:t>
      </w:r>
      <w:r w:rsidR="00FF601C" w:rsidRPr="00DE2F9B">
        <w:rPr>
          <w:rStyle w:val="s1"/>
          <w:rFonts w:ascii="Times New Roman" w:hAnsi="Times New Roman" w:cs="Times New Roman"/>
          <w:lang w:val="en-US"/>
        </w:rPr>
        <w:t>0</w:t>
      </w:r>
      <w:r w:rsidRPr="00DE2F9B">
        <w:rPr>
          <w:rStyle w:val="s1"/>
          <w:rFonts w:ascii="Times New Roman" w:hAnsi="Times New Roman" w:cs="Times New Roman"/>
          <w:lang w:val="en-US"/>
        </w:rPr>
        <w:t xml:space="preserve"> to 10 points</w:t>
      </w:r>
      <w:r w:rsidRPr="00DE2F9B">
        <w:rPr>
          <w:rStyle w:val="s1"/>
          <w:rFonts w:ascii="Times New Roman" w:eastAsiaTheme="majorEastAsia" w:hAnsi="Times New Roman" w:cs="Times New Roman"/>
          <w:lang w:val="en-US"/>
        </w:rPr>
        <w:t>:</w:t>
      </w:r>
      <w:r w:rsidRPr="00DE2F9B">
        <w:rPr>
          <w:rFonts w:ascii="Times New Roman" w:hAnsi="Times New Roman" w:cs="Times New Roman"/>
          <w:lang w:val="en-US"/>
        </w:rPr>
        <w:t xml:space="preserve"> normal binocular vision; 11 to 36 points</w:t>
      </w:r>
      <w:r w:rsidRPr="00DE2F9B">
        <w:rPr>
          <w:rStyle w:val="s1"/>
          <w:rFonts w:ascii="Times New Roman" w:hAnsi="Times New Roman" w:cs="Times New Roman"/>
          <w:lang w:val="en-US"/>
        </w:rPr>
        <w:t>: suspected CI</w:t>
      </w:r>
      <w:r w:rsidRPr="00DE2F9B">
        <w:rPr>
          <w:rFonts w:ascii="Times New Roman" w:hAnsi="Times New Roman" w:cs="Times New Roman"/>
          <w:lang w:val="en-US"/>
        </w:rPr>
        <w:t xml:space="preserve">; </w:t>
      </w:r>
      <w:r w:rsidRPr="00DE2F9B">
        <w:rPr>
          <w:rStyle w:val="s1"/>
          <w:rFonts w:ascii="Times New Roman" w:hAnsi="Times New Roman" w:cs="Times New Roman"/>
          <w:lang w:val="en-US"/>
        </w:rPr>
        <w:t>37 to 60 points</w:t>
      </w:r>
      <w:r w:rsidRPr="00DE2F9B">
        <w:rPr>
          <w:rFonts w:ascii="Times New Roman" w:hAnsi="Times New Roman" w:cs="Times New Roman"/>
          <w:lang w:val="en-US"/>
        </w:rPr>
        <w:t>: confirmed CI</w:t>
      </w:r>
      <w:r w:rsidR="004A6E9A" w:rsidRPr="00DE2F9B">
        <w:rPr>
          <w:rFonts w:ascii="Times New Roman" w:hAnsi="Times New Roman" w:cs="Times New Roman"/>
          <w:lang w:val="en-US"/>
        </w:rPr>
        <w:t xml:space="preserve"> </w:t>
      </w:r>
      <w:r w:rsidR="0067472D" w:rsidRPr="00DE2F9B">
        <w:rPr>
          <w:rFonts w:ascii="Times New Roman" w:hAnsi="Times New Roman" w:cs="Times New Roman"/>
          <w:lang w:val="en-US"/>
        </w:rPr>
        <w:t>(</w:t>
      </w:r>
      <w:proofErr w:type="spellStart"/>
      <w:r w:rsidR="0067472D" w:rsidRPr="00DE2F9B">
        <w:rPr>
          <w:rFonts w:ascii="Times New Roman" w:hAnsi="Times New Roman" w:cs="Times New Roman"/>
          <w:lang w:val="en-US"/>
        </w:rPr>
        <w:t>Menigite</w:t>
      </w:r>
      <w:proofErr w:type="spellEnd"/>
      <w:r w:rsidR="0067472D" w:rsidRPr="00DE2F9B">
        <w:rPr>
          <w:rFonts w:ascii="Times New Roman" w:hAnsi="Times New Roman" w:cs="Times New Roman"/>
          <w:lang w:val="en-US"/>
        </w:rPr>
        <w:t xml:space="preserve"> &amp; </w:t>
      </w:r>
      <w:proofErr w:type="spellStart"/>
      <w:r w:rsidR="0067472D" w:rsidRPr="00DE2F9B">
        <w:rPr>
          <w:rFonts w:ascii="Times New Roman" w:hAnsi="Times New Roman" w:cs="Times New Roman"/>
          <w:lang w:val="en-US"/>
        </w:rPr>
        <w:t>Taglietti</w:t>
      </w:r>
      <w:proofErr w:type="spellEnd"/>
      <w:r w:rsidR="0067472D" w:rsidRPr="00DE2F9B">
        <w:rPr>
          <w:rFonts w:ascii="Times New Roman" w:hAnsi="Times New Roman" w:cs="Times New Roman"/>
          <w:lang w:val="en-US"/>
        </w:rPr>
        <w:t>, 2017).</w:t>
      </w:r>
    </w:p>
    <w:p w14:paraId="32BF1730" w14:textId="7D077DC8" w:rsidR="00F61399" w:rsidRPr="00DE2F9B" w:rsidRDefault="007B1C37" w:rsidP="001E673E">
      <w:pPr>
        <w:pStyle w:val="p1"/>
        <w:numPr>
          <w:ilvl w:val="0"/>
          <w:numId w:val="11"/>
        </w:numPr>
        <w:spacing w:before="0" w:beforeAutospacing="0" w:after="0" w:afterAutospacing="0" w:line="360" w:lineRule="auto"/>
        <w:jc w:val="both"/>
        <w:rPr>
          <w:lang w:val="en-US"/>
        </w:rPr>
      </w:pPr>
      <w:r w:rsidRPr="00DE2F9B">
        <w:rPr>
          <w:lang w:val="en-US"/>
        </w:rPr>
        <w:t xml:space="preserve">Quality of Life: </w:t>
      </w:r>
      <w:r w:rsidR="00FF601C" w:rsidRPr="00DE2F9B">
        <w:rPr>
          <w:lang w:val="en-US"/>
        </w:rPr>
        <w:t>The Short Form Health Survey (SF-36) is a generic instrument used to assess health-related quality of life. It comprises 36 items across eight domains: physical functioning, bodily pain, general health, vitality, social functioning, emotional role functioning, mental health, and role limitations due to physical health. Scores range from 0 to 100, with higher values indicating better perceived health status. The SF-36 is widely used in elderly populations and in studies related to fall prevention)</w:t>
      </w:r>
      <w:r w:rsidR="004A6E9A" w:rsidRPr="00DE2F9B">
        <w:rPr>
          <w:lang w:val="en-US"/>
        </w:rPr>
        <w:t xml:space="preserve"> </w:t>
      </w:r>
      <w:r w:rsidR="0067472D" w:rsidRPr="00DE2F9B">
        <w:rPr>
          <w:lang w:val="en-US"/>
        </w:rPr>
        <w:t>(</w:t>
      </w:r>
      <w:proofErr w:type="spellStart"/>
      <w:r w:rsidR="0067472D" w:rsidRPr="00DE2F9B">
        <w:rPr>
          <w:lang w:val="en-US"/>
        </w:rPr>
        <w:t>Bjerk</w:t>
      </w:r>
      <w:proofErr w:type="spellEnd"/>
      <w:r w:rsidR="0067472D" w:rsidRPr="00DE2F9B">
        <w:rPr>
          <w:lang w:val="en-US"/>
        </w:rPr>
        <w:t xml:space="preserve"> et al., 2019).</w:t>
      </w:r>
    </w:p>
    <w:p w14:paraId="31BCC98A" w14:textId="2199B999" w:rsidR="00FF601C" w:rsidRPr="00DE2F9B" w:rsidRDefault="00FF601C" w:rsidP="001E673E">
      <w:pPr>
        <w:pStyle w:val="p1"/>
        <w:numPr>
          <w:ilvl w:val="0"/>
          <w:numId w:val="11"/>
        </w:numPr>
        <w:spacing w:before="0" w:beforeAutospacing="0" w:after="0" w:afterAutospacing="0" w:line="360" w:lineRule="auto"/>
        <w:jc w:val="both"/>
        <w:rPr>
          <w:lang w:val="en-US"/>
        </w:rPr>
      </w:pPr>
      <w:r w:rsidRPr="00DE2F9B">
        <w:rPr>
          <w:lang w:val="en-US"/>
        </w:rPr>
        <w:t>This is a commonly used static balance test to assess postural stability and predict frailty, especially in community-dwelling older adults</w:t>
      </w:r>
      <w:r w:rsidR="0067472D" w:rsidRPr="00DE2F9B">
        <w:rPr>
          <w:lang w:val="en-US"/>
        </w:rPr>
        <w:t xml:space="preserve"> (</w:t>
      </w:r>
      <w:proofErr w:type="spellStart"/>
      <w:r w:rsidR="0067472D" w:rsidRPr="00DE2F9B">
        <w:rPr>
          <w:lang w:val="en-US"/>
        </w:rPr>
        <w:t>Michikawa</w:t>
      </w:r>
      <w:proofErr w:type="spellEnd"/>
      <w:r w:rsidR="0067472D" w:rsidRPr="00DE2F9B">
        <w:rPr>
          <w:lang w:val="en-US"/>
        </w:rPr>
        <w:t xml:space="preserve"> et al., 2009)</w:t>
      </w:r>
      <w:r w:rsidRPr="00DE2F9B">
        <w:rPr>
          <w:lang w:val="en-US"/>
        </w:rPr>
        <w:t xml:space="preserve">. </w:t>
      </w:r>
      <w:r w:rsidRPr="00DE2F9B">
        <w:rPr>
          <w:lang w:val="en-US"/>
        </w:rPr>
        <w:lastRenderedPageBreak/>
        <w:t>The test consists of asking the participant to stand unassisted on one leg with eyes open, and then with eyes closed, for a maximum of 30 seconds. Three trials will be conducted for each visual condition, and the best performance (i.e., longest duration) will be recorded. Higher times indicate better balance capacity. During the test, an evaluator will remain beside the participant to ensure safety and prevent falls.</w:t>
      </w:r>
    </w:p>
    <w:p w14:paraId="4837B986" w14:textId="408D722A" w:rsidR="00E87E1A" w:rsidRPr="00DE2F9B" w:rsidRDefault="00FF601C" w:rsidP="001E673E">
      <w:pPr>
        <w:pStyle w:val="p1"/>
        <w:numPr>
          <w:ilvl w:val="0"/>
          <w:numId w:val="11"/>
        </w:numPr>
        <w:spacing w:before="0" w:beforeAutospacing="0" w:after="0" w:afterAutospacing="0" w:line="360" w:lineRule="auto"/>
        <w:jc w:val="both"/>
        <w:rPr>
          <w:lang w:val="en-US"/>
        </w:rPr>
      </w:pPr>
      <w:r w:rsidRPr="00DE2F9B">
        <w:rPr>
          <w:lang w:val="en-US"/>
        </w:rPr>
        <w:t>Postural Control (</w:t>
      </w:r>
      <w:proofErr w:type="spellStart"/>
      <w:r w:rsidRPr="00DE2F9B">
        <w:rPr>
          <w:lang w:val="en-US"/>
        </w:rPr>
        <w:t>Stabilometry</w:t>
      </w:r>
      <w:proofErr w:type="spellEnd"/>
      <w:r w:rsidRPr="00DE2F9B">
        <w:rPr>
          <w:lang w:val="en-US"/>
        </w:rPr>
        <w:t>):</w:t>
      </w:r>
      <w:r w:rsidRPr="00DE2F9B">
        <w:rPr>
          <w:b/>
          <w:bCs/>
          <w:lang w:val="en-US"/>
        </w:rPr>
        <w:t xml:space="preserve"> </w:t>
      </w:r>
      <w:r w:rsidRPr="00DE2F9B">
        <w:rPr>
          <w:lang w:val="en-US"/>
        </w:rPr>
        <w:t>Postural control will be assessed using a force platform</w:t>
      </w:r>
      <w:r w:rsidR="00121E9D" w:rsidRPr="00DE2F9B">
        <w:rPr>
          <w:lang w:val="en-US"/>
        </w:rPr>
        <w:t xml:space="preserve"> (Biomec-400, EMG System do </w:t>
      </w:r>
      <w:proofErr w:type="spellStart"/>
      <w:r w:rsidR="00121E9D" w:rsidRPr="00DE2F9B">
        <w:rPr>
          <w:lang w:val="en-US"/>
        </w:rPr>
        <w:t>Brasil</w:t>
      </w:r>
      <w:proofErr w:type="spellEnd"/>
      <w:r w:rsidR="00121E9D" w:rsidRPr="00DE2F9B">
        <w:rPr>
          <w:lang w:val="en-US"/>
        </w:rPr>
        <w:t>)</w:t>
      </w:r>
      <w:r w:rsidRPr="00DE2F9B">
        <w:rPr>
          <w:lang w:val="en-US"/>
        </w:rPr>
        <w:t xml:space="preserve">. </w:t>
      </w:r>
      <w:proofErr w:type="spellStart"/>
      <w:r w:rsidRPr="00DE2F9B">
        <w:rPr>
          <w:lang w:val="en-US"/>
        </w:rPr>
        <w:t>Stabilometric</w:t>
      </w:r>
      <w:proofErr w:type="spellEnd"/>
      <w:r w:rsidRPr="00DE2F9B">
        <w:rPr>
          <w:lang w:val="en-US"/>
        </w:rPr>
        <w:t xml:space="preserve"> data will be recorded during quiet standing for 60 seconds under two visual conditions: </w:t>
      </w:r>
      <w:r w:rsidRPr="00DE2F9B">
        <w:rPr>
          <w:rStyle w:val="s1"/>
          <w:rFonts w:eastAsiaTheme="majorEastAsia"/>
          <w:lang w:val="en-US"/>
        </w:rPr>
        <w:t>eyes open (EO)</w:t>
      </w:r>
      <w:r w:rsidRPr="00DE2F9B">
        <w:rPr>
          <w:lang w:val="en-US"/>
        </w:rPr>
        <w:t xml:space="preserve"> and </w:t>
      </w:r>
      <w:r w:rsidRPr="00DE2F9B">
        <w:rPr>
          <w:rStyle w:val="s1"/>
          <w:rFonts w:eastAsiaTheme="majorEastAsia"/>
          <w:lang w:val="en-US"/>
        </w:rPr>
        <w:t>eyes closed (EC)</w:t>
      </w:r>
      <w:r w:rsidRPr="00DE2F9B">
        <w:rPr>
          <w:lang w:val="en-US"/>
        </w:rPr>
        <w:t xml:space="preserve">, and also during </w:t>
      </w:r>
      <w:r w:rsidRPr="00DE2F9B">
        <w:rPr>
          <w:rStyle w:val="s1"/>
          <w:rFonts w:eastAsiaTheme="majorEastAsia"/>
          <w:lang w:val="en-US"/>
        </w:rPr>
        <w:t>unipedal stance</w:t>
      </w:r>
      <w:r w:rsidRPr="00DE2F9B">
        <w:rPr>
          <w:lang w:val="en-US"/>
        </w:rPr>
        <w:t xml:space="preserve"> for up to 30 seconds. Each condition will be tested in three trials, with one-minute rest intervals between them</w:t>
      </w:r>
      <w:r w:rsidR="00782B7E">
        <w:rPr>
          <w:lang w:val="en-US"/>
        </w:rPr>
        <w:t xml:space="preserve"> </w:t>
      </w:r>
      <w:r w:rsidR="0067472D" w:rsidRPr="00DE2F9B">
        <w:rPr>
          <w:lang w:val="en-US"/>
        </w:rPr>
        <w:t>(</w:t>
      </w:r>
      <w:proofErr w:type="spellStart"/>
      <w:r w:rsidR="0067472D" w:rsidRPr="00DE2F9B">
        <w:rPr>
          <w:lang w:val="en-US"/>
        </w:rPr>
        <w:t>Ruhe</w:t>
      </w:r>
      <w:proofErr w:type="spellEnd"/>
      <w:r w:rsidR="0067472D" w:rsidRPr="00DE2F9B">
        <w:rPr>
          <w:lang w:val="en-US"/>
        </w:rPr>
        <w:t xml:space="preserve"> et al., 2010)</w:t>
      </w:r>
      <w:r w:rsidRPr="00DE2F9B">
        <w:rPr>
          <w:lang w:val="en-US"/>
        </w:rPr>
        <w:t>. During the rest period, participants will be seated to avoid fatigue. Measurements will include center of pressure displacement and sway parameters to analyze postural stability under varying sensory inputs.</w:t>
      </w:r>
    </w:p>
    <w:p w14:paraId="49C2A1EE" w14:textId="77777777" w:rsidR="001E673E" w:rsidRPr="00DE2F9B" w:rsidRDefault="001E673E" w:rsidP="001E673E">
      <w:pPr>
        <w:pStyle w:val="p1"/>
        <w:spacing w:before="0" w:beforeAutospacing="0" w:after="0" w:afterAutospacing="0" w:line="360" w:lineRule="auto"/>
        <w:ind w:left="720"/>
        <w:jc w:val="both"/>
        <w:rPr>
          <w:lang w:val="en-US"/>
        </w:rPr>
      </w:pPr>
    </w:p>
    <w:p w14:paraId="5ECC215F" w14:textId="7B640D19" w:rsidR="001E673E" w:rsidRDefault="00DF3A16" w:rsidP="001E673E">
      <w:pPr>
        <w:pStyle w:val="p1"/>
        <w:spacing w:before="0" w:beforeAutospacing="0" w:after="0" w:afterAutospacing="0" w:line="360" w:lineRule="auto"/>
        <w:jc w:val="both"/>
        <w:rPr>
          <w:b/>
          <w:bCs/>
          <w:color w:val="000000"/>
          <w:lang w:val="en-US"/>
        </w:rPr>
      </w:pPr>
      <w:r w:rsidRPr="00DE2F9B">
        <w:rPr>
          <w:b/>
          <w:bCs/>
          <w:color w:val="000000"/>
          <w:lang w:val="en-US"/>
        </w:rPr>
        <w:t>2.</w:t>
      </w:r>
      <w:r w:rsidR="006C6132" w:rsidRPr="00DE2F9B">
        <w:rPr>
          <w:b/>
          <w:bCs/>
          <w:color w:val="000000"/>
          <w:lang w:val="en-US"/>
        </w:rPr>
        <w:t>7</w:t>
      </w:r>
      <w:r w:rsidRPr="00DE2F9B">
        <w:rPr>
          <w:b/>
          <w:bCs/>
          <w:color w:val="000000"/>
          <w:lang w:val="en-US"/>
        </w:rPr>
        <w:t xml:space="preserve"> Interventions</w:t>
      </w:r>
    </w:p>
    <w:p w14:paraId="56C51824" w14:textId="77777777" w:rsidR="00AD1AC6" w:rsidRPr="00DE2F9B" w:rsidRDefault="00AD1AC6" w:rsidP="001E673E">
      <w:pPr>
        <w:pStyle w:val="p1"/>
        <w:spacing w:before="0" w:beforeAutospacing="0" w:after="0" w:afterAutospacing="0" w:line="360" w:lineRule="auto"/>
        <w:jc w:val="both"/>
        <w:rPr>
          <w:b/>
          <w:bCs/>
          <w:color w:val="000000"/>
          <w:lang w:val="en-US"/>
        </w:rPr>
      </w:pPr>
    </w:p>
    <w:p w14:paraId="3AE6288E" w14:textId="503DF461" w:rsidR="00122682" w:rsidRPr="00DE2F9B" w:rsidRDefault="00122682" w:rsidP="001E673E">
      <w:pPr>
        <w:pStyle w:val="p1"/>
        <w:spacing w:before="0" w:beforeAutospacing="0" w:after="0" w:afterAutospacing="0" w:line="360" w:lineRule="auto"/>
        <w:ind w:firstLine="708"/>
        <w:jc w:val="both"/>
        <w:rPr>
          <w:lang w:val="en-US"/>
        </w:rPr>
      </w:pPr>
      <w:r w:rsidRPr="00DE2F9B">
        <w:rPr>
          <w:rStyle w:val="citation-131"/>
          <w:rFonts w:eastAsiaTheme="majorEastAsia"/>
          <w:color w:val="000000"/>
          <w:lang w:val="en-US"/>
        </w:rPr>
        <w:t>The EG will receive oculomotor therapy, while the CG will not receive any intervention</w:t>
      </w:r>
      <w:r w:rsidRPr="00DE2F9B">
        <w:rPr>
          <w:color w:val="000000"/>
          <w:lang w:val="en-US"/>
        </w:rPr>
        <w:t>. Following the study's conclusion, if significant differences are observed between the groups, demonstrating an improvement in CI for the treated group, the control group will subsequently receive the same oculomotor therapy.</w:t>
      </w:r>
    </w:p>
    <w:p w14:paraId="2908306F" w14:textId="719D4ED5" w:rsidR="006C6132" w:rsidRPr="00DE2F9B" w:rsidRDefault="00E87E1A" w:rsidP="001E673E">
      <w:pPr>
        <w:pStyle w:val="p1"/>
        <w:spacing w:before="0" w:beforeAutospacing="0" w:after="0" w:afterAutospacing="0" w:line="360" w:lineRule="auto"/>
        <w:ind w:firstLine="708"/>
        <w:jc w:val="both"/>
        <w:rPr>
          <w:color w:val="000000" w:themeColor="text1"/>
          <w:lang w:val="en-US"/>
        </w:rPr>
      </w:pPr>
      <w:r w:rsidRPr="00DE2F9B">
        <w:rPr>
          <w:lang w:val="en-US"/>
        </w:rPr>
        <w:t>Each oculomotor therapy session will follow structured protocols based on well-established binocular vision rehabilitation techniques, with progressive levels of difficulty according to each participant’s performance. The exercises are designed to stimulate convergence, ocular alignment, and binocular fusion, and are adapted to the c</w:t>
      </w:r>
      <w:r w:rsidR="006C6132" w:rsidRPr="00DE2F9B">
        <w:rPr>
          <w:lang w:val="en-US"/>
        </w:rPr>
        <w:t>linical characteristics of individuals with CI.</w:t>
      </w:r>
    </w:p>
    <w:p w14:paraId="3D75F16F" w14:textId="7F83F241" w:rsidR="006C6132" w:rsidRDefault="006C6132" w:rsidP="001E673E">
      <w:pPr>
        <w:pStyle w:val="Heading4"/>
        <w:numPr>
          <w:ilvl w:val="0"/>
          <w:numId w:val="14"/>
        </w:numPr>
        <w:spacing w:before="0" w:after="0" w:line="360" w:lineRule="auto"/>
        <w:ind w:left="284" w:hanging="284"/>
        <w:jc w:val="both"/>
        <w:rPr>
          <w:rFonts w:ascii="Times New Roman" w:hAnsi="Times New Roman" w:cs="Times New Roman"/>
          <w:i w:val="0"/>
          <w:iCs w:val="0"/>
          <w:color w:val="000000" w:themeColor="text1"/>
          <w:lang w:val="en-US"/>
        </w:rPr>
      </w:pPr>
      <w:r w:rsidRPr="00DE2F9B">
        <w:rPr>
          <w:rFonts w:ascii="Times New Roman" w:hAnsi="Times New Roman" w:cs="Times New Roman"/>
          <w:i w:val="0"/>
          <w:iCs w:val="0"/>
          <w:color w:val="000000" w:themeColor="text1"/>
          <w:lang w:val="en-US"/>
        </w:rPr>
        <w:t>Brock String Exercise</w:t>
      </w:r>
      <w:r w:rsidR="00AD563C">
        <w:rPr>
          <w:rFonts w:ascii="Times New Roman" w:hAnsi="Times New Roman" w:cs="Times New Roman"/>
          <w:i w:val="0"/>
          <w:iCs w:val="0"/>
          <w:color w:val="000000" w:themeColor="text1"/>
          <w:lang w:val="en-US"/>
        </w:rPr>
        <w:t xml:space="preserve"> (Figure 3)</w:t>
      </w:r>
      <w:r w:rsidRPr="00DE2F9B">
        <w:rPr>
          <w:rFonts w:ascii="Times New Roman" w:hAnsi="Times New Roman" w:cs="Times New Roman"/>
          <w:i w:val="0"/>
          <w:iCs w:val="0"/>
          <w:color w:val="000000" w:themeColor="text1"/>
          <w:lang w:val="en-US"/>
        </w:rPr>
        <w:t xml:space="preserve">: The Brock String is a classic tool for convergence training. The participant holds one end of a string with two colored beads placed at different distances from the nose. The task involves fixating on each bead sequentially, while observing the formation of intersecting lines or an “X” pattern. This visual feedback allows the participant to adjust ocular convergence voluntarily, promoting aligned visual axes and improving binocular fusion </w:t>
      </w:r>
      <w:r w:rsidR="0067472D" w:rsidRPr="00DE2F9B">
        <w:rPr>
          <w:rFonts w:ascii="Times New Roman" w:hAnsi="Times New Roman" w:cs="Times New Roman"/>
          <w:i w:val="0"/>
          <w:iCs w:val="0"/>
          <w:color w:val="000000" w:themeColor="text1"/>
          <w:lang w:val="en-US"/>
        </w:rPr>
        <w:t>(</w:t>
      </w:r>
      <w:proofErr w:type="spellStart"/>
      <w:r w:rsidR="0067472D" w:rsidRPr="00DE2F9B">
        <w:rPr>
          <w:rFonts w:ascii="Times New Roman" w:hAnsi="Times New Roman" w:cs="Times New Roman"/>
          <w:i w:val="0"/>
          <w:iCs w:val="0"/>
          <w:color w:val="000000" w:themeColor="text1"/>
          <w:lang w:val="en-US"/>
        </w:rPr>
        <w:t>Rovira</w:t>
      </w:r>
      <w:proofErr w:type="spellEnd"/>
      <w:r w:rsidR="0067472D" w:rsidRPr="00DE2F9B">
        <w:rPr>
          <w:rFonts w:ascii="Times New Roman" w:hAnsi="Times New Roman" w:cs="Times New Roman"/>
          <w:i w:val="0"/>
          <w:iCs w:val="0"/>
          <w:color w:val="000000" w:themeColor="text1"/>
          <w:lang w:val="en-US"/>
        </w:rPr>
        <w:t>-Gay et al., 2025).</w:t>
      </w:r>
    </w:p>
    <w:p w14:paraId="4177789D" w14:textId="77777777" w:rsidR="00F23055" w:rsidRPr="00F23055" w:rsidRDefault="00F23055" w:rsidP="00F23055">
      <w:pPr>
        <w:rPr>
          <w:lang w:val="en-US"/>
        </w:rPr>
      </w:pPr>
    </w:p>
    <w:p w14:paraId="0FD99808" w14:textId="42F7E99C" w:rsidR="00AD563C" w:rsidRDefault="005A606D" w:rsidP="00A53168">
      <w:pPr>
        <w:rPr>
          <w:lang w:val="en-US"/>
        </w:rPr>
      </w:pPr>
      <w:r>
        <w:rPr>
          <w:noProof/>
        </w:rPr>
        <w:lastRenderedPageBreak/>
        <w:drawing>
          <wp:inline distT="0" distB="0" distL="0" distR="0" wp14:anchorId="3BC9E0B6" wp14:editId="7BF3554F">
            <wp:extent cx="5400040" cy="2704465"/>
            <wp:effectExtent l="0" t="0" r="0" b="635"/>
            <wp:docPr id="17517285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728514" name=""/>
                    <pic:cNvPicPr/>
                  </pic:nvPicPr>
                  <pic:blipFill>
                    <a:blip r:embed="rId9"/>
                    <a:stretch>
                      <a:fillRect/>
                    </a:stretch>
                  </pic:blipFill>
                  <pic:spPr>
                    <a:xfrm>
                      <a:off x="0" y="0"/>
                      <a:ext cx="5400040" cy="2704465"/>
                    </a:xfrm>
                    <a:prstGeom prst="rect">
                      <a:avLst/>
                    </a:prstGeom>
                  </pic:spPr>
                </pic:pic>
              </a:graphicData>
            </a:graphic>
          </wp:inline>
        </w:drawing>
      </w:r>
    </w:p>
    <w:p w14:paraId="0B3F5112" w14:textId="62F30B54" w:rsidR="00A209BB" w:rsidRDefault="00A209BB" w:rsidP="00A53168">
      <w:pPr>
        <w:pStyle w:val="p1"/>
        <w:spacing w:before="0" w:beforeAutospacing="0" w:after="0" w:afterAutospacing="0" w:line="360" w:lineRule="auto"/>
        <w:jc w:val="both"/>
        <w:rPr>
          <w:color w:val="000000"/>
          <w:lang w:val="en-US"/>
        </w:rPr>
      </w:pPr>
      <w:r w:rsidRPr="00F23055">
        <w:rPr>
          <w:b/>
          <w:bCs/>
          <w:lang w:val="en-US"/>
        </w:rPr>
        <w:t>Figure 3.</w:t>
      </w:r>
      <w:r>
        <w:rPr>
          <w:lang w:val="en-US"/>
        </w:rPr>
        <w:t xml:space="preserve"> </w:t>
      </w:r>
      <w:r w:rsidRPr="00DE2F9B">
        <w:rPr>
          <w:color w:val="000000" w:themeColor="text1"/>
          <w:lang w:val="en-US"/>
        </w:rPr>
        <w:t>Brock String Exercise</w:t>
      </w:r>
      <w:r w:rsidR="00A53168">
        <w:rPr>
          <w:color w:val="000000" w:themeColor="text1"/>
          <w:lang w:val="en-US"/>
        </w:rPr>
        <w:t xml:space="preserve">. </w:t>
      </w:r>
      <w:r w:rsidR="00A53168" w:rsidRPr="001A0455">
        <w:rPr>
          <w:color w:val="000000"/>
          <w:lang w:val="en-US"/>
        </w:rPr>
        <w:t>(Figure source: authors)</w:t>
      </w:r>
      <w:r w:rsidR="00A53168">
        <w:rPr>
          <w:color w:val="000000"/>
          <w:lang w:val="en-US"/>
        </w:rPr>
        <w:t>.</w:t>
      </w:r>
    </w:p>
    <w:p w14:paraId="429E68B6" w14:textId="77777777" w:rsidR="00A53168" w:rsidRPr="00AD563C" w:rsidRDefault="00A53168" w:rsidP="00A53168">
      <w:pPr>
        <w:pStyle w:val="p1"/>
        <w:spacing w:before="0" w:beforeAutospacing="0" w:after="0" w:afterAutospacing="0" w:line="360" w:lineRule="auto"/>
        <w:jc w:val="both"/>
        <w:rPr>
          <w:lang w:val="en-US"/>
        </w:rPr>
      </w:pPr>
    </w:p>
    <w:p w14:paraId="503C97A3" w14:textId="777F9A62" w:rsidR="00765C64" w:rsidRDefault="006C6132" w:rsidP="00765C64">
      <w:pPr>
        <w:pStyle w:val="Heading4"/>
        <w:numPr>
          <w:ilvl w:val="0"/>
          <w:numId w:val="14"/>
        </w:numPr>
        <w:spacing w:before="0" w:after="0" w:line="360" w:lineRule="auto"/>
        <w:ind w:left="284" w:hanging="284"/>
        <w:jc w:val="both"/>
        <w:rPr>
          <w:rFonts w:ascii="Times New Roman" w:hAnsi="Times New Roman" w:cs="Times New Roman"/>
          <w:i w:val="0"/>
          <w:iCs w:val="0"/>
          <w:color w:val="000000" w:themeColor="text1"/>
          <w:lang w:val="en-US"/>
        </w:rPr>
      </w:pPr>
      <w:r w:rsidRPr="00DE2F9B">
        <w:rPr>
          <w:rFonts w:ascii="Times New Roman" w:hAnsi="Times New Roman" w:cs="Times New Roman"/>
          <w:i w:val="0"/>
          <w:iCs w:val="0"/>
          <w:color w:val="000000" w:themeColor="text1"/>
          <w:lang w:val="en-US"/>
        </w:rPr>
        <w:t>Barrel Card Exercise: Barrel cards consist of a vertical arrangement of colored circles of increasing size</w:t>
      </w:r>
      <w:r w:rsidR="00A209BB">
        <w:rPr>
          <w:rFonts w:ascii="Times New Roman" w:hAnsi="Times New Roman" w:cs="Times New Roman"/>
          <w:i w:val="0"/>
          <w:iCs w:val="0"/>
          <w:color w:val="000000" w:themeColor="text1"/>
          <w:lang w:val="en-US"/>
        </w:rPr>
        <w:t xml:space="preserve"> (Figure 4)</w:t>
      </w:r>
      <w:r w:rsidRPr="00DE2F9B">
        <w:rPr>
          <w:rFonts w:ascii="Times New Roman" w:hAnsi="Times New Roman" w:cs="Times New Roman"/>
          <w:i w:val="0"/>
          <w:iCs w:val="0"/>
          <w:color w:val="000000" w:themeColor="text1"/>
          <w:lang w:val="en-US"/>
        </w:rPr>
        <w:t>. The participant holds the card against the nose and attempts to focus on individual circles while maintaining single vision. The therapist may move the card forward or backward, stimulating both sustained convergence and divergence. This exercise helps train the ability to maintain fusion under varying demands;</w:t>
      </w:r>
    </w:p>
    <w:p w14:paraId="184E7ECD" w14:textId="77777777" w:rsidR="00AD563C" w:rsidRDefault="00AD563C" w:rsidP="00AD563C">
      <w:pPr>
        <w:rPr>
          <w:lang w:val="en-US"/>
        </w:rPr>
      </w:pPr>
    </w:p>
    <w:p w14:paraId="788E1148" w14:textId="2A4933BB" w:rsidR="00AD563C" w:rsidRDefault="005A606D" w:rsidP="001D01D7">
      <w:pPr>
        <w:ind w:firstLine="1560"/>
        <w:rPr>
          <w:lang w:val="en-US"/>
        </w:rPr>
      </w:pPr>
      <w:r>
        <w:rPr>
          <w:noProof/>
        </w:rPr>
        <w:drawing>
          <wp:inline distT="0" distB="0" distL="0" distR="0" wp14:anchorId="55525025" wp14:editId="51D972A8">
            <wp:extent cx="3914775" cy="2838450"/>
            <wp:effectExtent l="0" t="0" r="9525" b="0"/>
            <wp:docPr id="6358482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848259" name=""/>
                    <pic:cNvPicPr/>
                  </pic:nvPicPr>
                  <pic:blipFill>
                    <a:blip r:embed="rId10"/>
                    <a:stretch>
                      <a:fillRect/>
                    </a:stretch>
                  </pic:blipFill>
                  <pic:spPr>
                    <a:xfrm>
                      <a:off x="0" y="0"/>
                      <a:ext cx="3914775" cy="2838450"/>
                    </a:xfrm>
                    <a:prstGeom prst="rect">
                      <a:avLst/>
                    </a:prstGeom>
                  </pic:spPr>
                </pic:pic>
              </a:graphicData>
            </a:graphic>
          </wp:inline>
        </w:drawing>
      </w:r>
    </w:p>
    <w:p w14:paraId="370974D0" w14:textId="285ED160" w:rsidR="00A53168" w:rsidRPr="001A0455" w:rsidRDefault="00A53168" w:rsidP="00A53168">
      <w:pPr>
        <w:pStyle w:val="p1"/>
        <w:spacing w:before="0" w:beforeAutospacing="0" w:after="0" w:afterAutospacing="0" w:line="360" w:lineRule="auto"/>
        <w:jc w:val="both"/>
        <w:rPr>
          <w:lang w:val="en-US"/>
        </w:rPr>
      </w:pPr>
      <w:r>
        <w:rPr>
          <w:b/>
          <w:bCs/>
          <w:lang w:val="en-US"/>
        </w:rPr>
        <w:t xml:space="preserve">              </w:t>
      </w:r>
      <w:r w:rsidR="00A209BB" w:rsidRPr="001D01D7">
        <w:rPr>
          <w:b/>
          <w:bCs/>
          <w:lang w:val="en-US"/>
        </w:rPr>
        <w:t>Figure 4.</w:t>
      </w:r>
      <w:r w:rsidR="00A209BB">
        <w:rPr>
          <w:lang w:val="en-US"/>
        </w:rPr>
        <w:t xml:space="preserve"> </w:t>
      </w:r>
      <w:r w:rsidR="00A209BB" w:rsidRPr="00DE2F9B">
        <w:rPr>
          <w:color w:val="000000" w:themeColor="text1"/>
          <w:lang w:val="en-US"/>
        </w:rPr>
        <w:t>Barrel Card Exercise</w:t>
      </w:r>
      <w:r>
        <w:rPr>
          <w:color w:val="000000" w:themeColor="text1"/>
          <w:lang w:val="en-US"/>
        </w:rPr>
        <w:t xml:space="preserve">. </w:t>
      </w:r>
      <w:r w:rsidRPr="001A0455">
        <w:rPr>
          <w:color w:val="000000"/>
          <w:lang w:val="en-US"/>
        </w:rPr>
        <w:t>(Figure source: authors)</w:t>
      </w:r>
      <w:r>
        <w:rPr>
          <w:color w:val="000000"/>
          <w:lang w:val="en-US"/>
        </w:rPr>
        <w:t>.</w:t>
      </w:r>
    </w:p>
    <w:p w14:paraId="431BA611" w14:textId="2F2C9DC1" w:rsidR="006C6132" w:rsidRDefault="006C6132" w:rsidP="001E673E">
      <w:pPr>
        <w:pStyle w:val="Heading4"/>
        <w:numPr>
          <w:ilvl w:val="0"/>
          <w:numId w:val="14"/>
        </w:numPr>
        <w:spacing w:before="0" w:after="0" w:line="360" w:lineRule="auto"/>
        <w:ind w:left="284" w:hanging="284"/>
        <w:jc w:val="both"/>
        <w:rPr>
          <w:rFonts w:ascii="Times New Roman" w:hAnsi="Times New Roman" w:cs="Times New Roman"/>
          <w:i w:val="0"/>
          <w:iCs w:val="0"/>
          <w:color w:val="000000" w:themeColor="text1"/>
          <w:lang w:val="en-US"/>
        </w:rPr>
      </w:pPr>
      <w:r w:rsidRPr="00DE2F9B">
        <w:rPr>
          <w:rFonts w:ascii="Times New Roman" w:hAnsi="Times New Roman" w:cs="Times New Roman"/>
          <w:i w:val="0"/>
          <w:iCs w:val="0"/>
          <w:color w:val="000000" w:themeColor="text1"/>
          <w:lang w:val="en-US"/>
        </w:rPr>
        <w:lastRenderedPageBreak/>
        <w:t>Life Saver Card (Dynamic Convergence Training): This technique involves cards with concentric ring patterns resembling “life savers,” each with a central hole</w:t>
      </w:r>
      <w:r w:rsidR="00E92AEE">
        <w:rPr>
          <w:rFonts w:ascii="Times New Roman" w:hAnsi="Times New Roman" w:cs="Times New Roman"/>
          <w:i w:val="0"/>
          <w:iCs w:val="0"/>
          <w:color w:val="000000" w:themeColor="text1"/>
          <w:lang w:val="en-US"/>
        </w:rPr>
        <w:t xml:space="preserve"> (Fig</w:t>
      </w:r>
      <w:r w:rsidR="00F23055">
        <w:rPr>
          <w:rFonts w:ascii="Times New Roman" w:hAnsi="Times New Roman" w:cs="Times New Roman"/>
          <w:i w:val="0"/>
          <w:iCs w:val="0"/>
          <w:color w:val="000000" w:themeColor="text1"/>
          <w:lang w:val="en-US"/>
        </w:rPr>
        <w:t>ure</w:t>
      </w:r>
      <w:r w:rsidR="00E92AEE">
        <w:rPr>
          <w:rFonts w:ascii="Times New Roman" w:hAnsi="Times New Roman" w:cs="Times New Roman"/>
          <w:i w:val="0"/>
          <w:iCs w:val="0"/>
          <w:color w:val="000000" w:themeColor="text1"/>
          <w:lang w:val="en-US"/>
        </w:rPr>
        <w:t xml:space="preserve"> 5)</w:t>
      </w:r>
      <w:r w:rsidRPr="00DE2F9B">
        <w:rPr>
          <w:rFonts w:ascii="Times New Roman" w:hAnsi="Times New Roman" w:cs="Times New Roman"/>
          <w:i w:val="0"/>
          <w:iCs w:val="0"/>
          <w:color w:val="000000" w:themeColor="text1"/>
          <w:lang w:val="en-US"/>
        </w:rPr>
        <w:t>. The participant fixates through the hole as the card is moved slowly toward or away from the nose. This promotes dynamic convergence and enhances near point of convergence (NPC) ability by engaging the eyes in continuous alignment tasks;</w:t>
      </w:r>
    </w:p>
    <w:p w14:paraId="27B39142" w14:textId="43152AAC" w:rsidR="00A53168" w:rsidRDefault="005A606D" w:rsidP="00A53168">
      <w:pPr>
        <w:rPr>
          <w:lang w:val="en-US"/>
        </w:rPr>
      </w:pPr>
      <w:r>
        <w:rPr>
          <w:noProof/>
        </w:rPr>
        <w:drawing>
          <wp:inline distT="0" distB="0" distL="0" distR="0" wp14:anchorId="1E12D3A4" wp14:editId="40796E45">
            <wp:extent cx="3713028" cy="1763486"/>
            <wp:effectExtent l="0" t="0" r="1905" b="8255"/>
            <wp:docPr id="13548114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811455" name=""/>
                    <pic:cNvPicPr/>
                  </pic:nvPicPr>
                  <pic:blipFill>
                    <a:blip r:embed="rId11"/>
                    <a:stretch>
                      <a:fillRect/>
                    </a:stretch>
                  </pic:blipFill>
                  <pic:spPr>
                    <a:xfrm>
                      <a:off x="0" y="0"/>
                      <a:ext cx="3714371" cy="1764124"/>
                    </a:xfrm>
                    <a:prstGeom prst="rect">
                      <a:avLst/>
                    </a:prstGeom>
                  </pic:spPr>
                </pic:pic>
              </a:graphicData>
            </a:graphic>
          </wp:inline>
        </w:drawing>
      </w:r>
    </w:p>
    <w:p w14:paraId="547C53CE" w14:textId="3847095E" w:rsidR="00AD563C" w:rsidRPr="0035281D" w:rsidRDefault="00782B7E" w:rsidP="0035281D">
      <w:pPr>
        <w:rPr>
          <w:rFonts w:ascii="Times New Roman" w:hAnsi="Times New Roman" w:cs="Times New Roman"/>
          <w:lang w:val="en-US"/>
        </w:rPr>
      </w:pPr>
      <w:r w:rsidRPr="0035281D">
        <w:rPr>
          <w:rFonts w:ascii="Times New Roman" w:hAnsi="Times New Roman" w:cs="Times New Roman"/>
          <w:b/>
          <w:bCs/>
          <w:color w:val="000000" w:themeColor="text1"/>
          <w:lang w:val="en-US"/>
        </w:rPr>
        <w:t>Figure 5:</w:t>
      </w:r>
      <w:r w:rsidRPr="0035281D">
        <w:rPr>
          <w:rFonts w:ascii="Times New Roman" w:hAnsi="Times New Roman" w:cs="Times New Roman"/>
          <w:color w:val="000000" w:themeColor="text1"/>
          <w:lang w:val="en-US"/>
        </w:rPr>
        <w:t xml:space="preserve"> </w:t>
      </w:r>
      <w:r w:rsidR="0035281D" w:rsidRPr="0035281D">
        <w:rPr>
          <w:rFonts w:ascii="Times New Roman" w:hAnsi="Times New Roman" w:cs="Times New Roman"/>
          <w:b/>
          <w:bCs/>
          <w:color w:val="000000" w:themeColor="text1"/>
          <w:lang w:val="en-US"/>
        </w:rPr>
        <w:t>A)</w:t>
      </w:r>
      <w:r w:rsidR="0035281D" w:rsidRPr="0035281D">
        <w:rPr>
          <w:rFonts w:ascii="Times New Roman" w:hAnsi="Times New Roman" w:cs="Times New Roman"/>
          <w:color w:val="000000" w:themeColor="text1"/>
          <w:lang w:val="en-US"/>
        </w:rPr>
        <w:t xml:space="preserve"> </w:t>
      </w:r>
      <w:r w:rsidRPr="0035281D">
        <w:rPr>
          <w:rFonts w:ascii="Times New Roman" w:hAnsi="Times New Roman" w:cs="Times New Roman"/>
          <w:color w:val="000000" w:themeColor="text1"/>
          <w:lang w:val="en-US"/>
        </w:rPr>
        <w:t>Life Saver Card</w:t>
      </w:r>
      <w:r w:rsidR="0035281D" w:rsidRPr="0035281D">
        <w:rPr>
          <w:rFonts w:ascii="Times New Roman" w:hAnsi="Times New Roman" w:cs="Times New Roman"/>
          <w:color w:val="000000" w:themeColor="text1"/>
          <w:lang w:val="en-US"/>
        </w:rPr>
        <w:t xml:space="preserve">. </w:t>
      </w:r>
      <w:r w:rsidR="0035281D" w:rsidRPr="0035281D">
        <w:rPr>
          <w:rFonts w:ascii="Times New Roman" w:hAnsi="Times New Roman" w:cs="Times New Roman"/>
          <w:b/>
          <w:bCs/>
          <w:color w:val="000000" w:themeColor="text1"/>
          <w:lang w:val="en-US"/>
        </w:rPr>
        <w:t>B)</w:t>
      </w:r>
      <w:r w:rsidR="0035281D" w:rsidRPr="0035281D">
        <w:rPr>
          <w:rFonts w:ascii="Times New Roman" w:hAnsi="Times New Roman" w:cs="Times New Roman"/>
          <w:color w:val="000000" w:themeColor="text1"/>
          <w:lang w:val="en-US"/>
        </w:rPr>
        <w:t xml:space="preserve"> </w:t>
      </w:r>
      <w:r w:rsidR="0035281D" w:rsidRPr="0035281D">
        <w:rPr>
          <w:rFonts w:ascii="Times New Roman" w:hAnsi="Times New Roman" w:cs="Times New Roman"/>
          <w:color w:val="000000"/>
          <w:lang w:val="en-US"/>
        </w:rPr>
        <w:t>Dynamic Convergence Training.</w:t>
      </w:r>
      <w:r w:rsidR="00A53168" w:rsidRPr="0035281D">
        <w:rPr>
          <w:rFonts w:ascii="Times New Roman" w:hAnsi="Times New Roman" w:cs="Times New Roman"/>
          <w:color w:val="000000" w:themeColor="text1"/>
          <w:lang w:val="en-US"/>
        </w:rPr>
        <w:t xml:space="preserve"> </w:t>
      </w:r>
      <w:r w:rsidR="00A53168" w:rsidRPr="0035281D">
        <w:rPr>
          <w:rFonts w:ascii="Times New Roman" w:hAnsi="Times New Roman" w:cs="Times New Roman"/>
          <w:color w:val="000000"/>
          <w:lang w:val="en-US"/>
        </w:rPr>
        <w:t>(Figure source: authors).</w:t>
      </w:r>
    </w:p>
    <w:p w14:paraId="7ED3D1C0" w14:textId="42DC1A91" w:rsidR="00AD563C" w:rsidRPr="001D01D7" w:rsidRDefault="006C6132" w:rsidP="00AD563C">
      <w:pPr>
        <w:pStyle w:val="Heading4"/>
        <w:numPr>
          <w:ilvl w:val="0"/>
          <w:numId w:val="14"/>
        </w:numPr>
        <w:spacing w:before="0" w:after="0" w:line="360" w:lineRule="auto"/>
        <w:ind w:left="284" w:hanging="284"/>
        <w:jc w:val="both"/>
        <w:rPr>
          <w:rFonts w:ascii="Times New Roman" w:hAnsi="Times New Roman" w:cs="Times New Roman"/>
          <w:i w:val="0"/>
          <w:iCs w:val="0"/>
          <w:color w:val="000000" w:themeColor="text1"/>
          <w:lang w:val="en-US"/>
        </w:rPr>
      </w:pPr>
      <w:r w:rsidRPr="00DE2F9B">
        <w:rPr>
          <w:rFonts w:ascii="Times New Roman" w:hAnsi="Times New Roman" w:cs="Times New Roman"/>
          <w:i w:val="0"/>
          <w:iCs w:val="0"/>
          <w:color w:val="000000" w:themeColor="text1"/>
          <w:lang w:val="en-US"/>
        </w:rPr>
        <w:t>Saccadic and Pursuit Eye Movement Exercises: These activities focus on the accuracy and coordination of eye movements. Participants are instructed to perform horizontal, vertical, and diagonal tracking movements (pursuits), as well as rapid jumps between fixed targets (saccades). These exercises reinforce binocular coordination and visual stability;</w:t>
      </w:r>
    </w:p>
    <w:p w14:paraId="0C23AC42" w14:textId="5F2D923D" w:rsidR="006C6132" w:rsidRPr="00DE2F9B" w:rsidRDefault="006C6132" w:rsidP="001E673E">
      <w:pPr>
        <w:pStyle w:val="Heading4"/>
        <w:numPr>
          <w:ilvl w:val="0"/>
          <w:numId w:val="14"/>
        </w:numPr>
        <w:spacing w:before="0" w:after="0" w:line="360" w:lineRule="auto"/>
        <w:ind w:left="284" w:hanging="284"/>
        <w:jc w:val="both"/>
        <w:rPr>
          <w:rFonts w:ascii="Times New Roman" w:hAnsi="Times New Roman" w:cs="Times New Roman"/>
          <w:i w:val="0"/>
          <w:iCs w:val="0"/>
          <w:color w:val="000000" w:themeColor="text1"/>
          <w:lang w:val="en-US"/>
        </w:rPr>
      </w:pPr>
      <w:r w:rsidRPr="00DE2F9B">
        <w:rPr>
          <w:rFonts w:ascii="Times New Roman" w:hAnsi="Times New Roman" w:cs="Times New Roman"/>
          <w:i w:val="0"/>
          <w:iCs w:val="0"/>
          <w:color w:val="000000" w:themeColor="text1"/>
          <w:lang w:val="en-US"/>
        </w:rPr>
        <w:t>Pencil Push-Up (Modified): In this adapted version of the pencil push-up exercise, the participant alternates gaze between a near target (a pencil held close to the nose) and a fixed distant point</w:t>
      </w:r>
      <w:r w:rsidR="001D01D7">
        <w:rPr>
          <w:rFonts w:ascii="Times New Roman" w:hAnsi="Times New Roman" w:cs="Times New Roman"/>
          <w:i w:val="0"/>
          <w:iCs w:val="0"/>
          <w:color w:val="000000" w:themeColor="text1"/>
          <w:lang w:val="en-US"/>
        </w:rPr>
        <w:t xml:space="preserve"> (Figure 6)</w:t>
      </w:r>
      <w:r w:rsidRPr="00DE2F9B">
        <w:rPr>
          <w:rFonts w:ascii="Times New Roman" w:hAnsi="Times New Roman" w:cs="Times New Roman"/>
          <w:i w:val="0"/>
          <w:iCs w:val="0"/>
          <w:color w:val="000000" w:themeColor="text1"/>
          <w:lang w:val="en-US"/>
        </w:rPr>
        <w:t>. This reinforces both accommodation and convergence, strengthening the mechanisms of near fixation and promoting single binocular vision.</w:t>
      </w:r>
    </w:p>
    <w:p w14:paraId="4F94224A" w14:textId="250AC0D7" w:rsidR="006C6132" w:rsidRDefault="006C6132" w:rsidP="001E673E">
      <w:pPr>
        <w:pStyle w:val="Heading3"/>
        <w:spacing w:before="0" w:after="0" w:line="360" w:lineRule="auto"/>
        <w:jc w:val="both"/>
        <w:rPr>
          <w:rFonts w:ascii="Times New Roman" w:hAnsi="Times New Roman" w:cs="Times New Roman"/>
          <w:noProof/>
          <w:color w:val="000000" w:themeColor="text1"/>
          <w:sz w:val="24"/>
          <w:szCs w:val="24"/>
          <w:lang w:val="en-US"/>
        </w:rPr>
      </w:pPr>
    </w:p>
    <w:p w14:paraId="6DE87DDF" w14:textId="77777777" w:rsidR="003D317E" w:rsidRDefault="003D317E" w:rsidP="003D317E">
      <w:pPr>
        <w:rPr>
          <w:lang w:val="en-US"/>
        </w:rPr>
      </w:pPr>
    </w:p>
    <w:p w14:paraId="0FAA4A8C" w14:textId="2DCCB318" w:rsidR="003D317E" w:rsidRDefault="005A606D" w:rsidP="0035281D">
      <w:pPr>
        <w:ind w:firstLine="2552"/>
        <w:rPr>
          <w:lang w:val="en-US"/>
        </w:rPr>
      </w:pPr>
      <w:r>
        <w:rPr>
          <w:noProof/>
        </w:rPr>
        <w:lastRenderedPageBreak/>
        <w:drawing>
          <wp:inline distT="0" distB="0" distL="0" distR="0" wp14:anchorId="20FF63D5" wp14:editId="00A59A21">
            <wp:extent cx="2238375" cy="3257550"/>
            <wp:effectExtent l="0" t="0" r="9525" b="0"/>
            <wp:docPr id="4658018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801866" name=""/>
                    <pic:cNvPicPr/>
                  </pic:nvPicPr>
                  <pic:blipFill>
                    <a:blip r:embed="rId12"/>
                    <a:stretch>
                      <a:fillRect/>
                    </a:stretch>
                  </pic:blipFill>
                  <pic:spPr>
                    <a:xfrm>
                      <a:off x="0" y="0"/>
                      <a:ext cx="2238375" cy="3257550"/>
                    </a:xfrm>
                    <a:prstGeom prst="rect">
                      <a:avLst/>
                    </a:prstGeom>
                  </pic:spPr>
                </pic:pic>
              </a:graphicData>
            </a:graphic>
          </wp:inline>
        </w:drawing>
      </w:r>
    </w:p>
    <w:p w14:paraId="6BA6CC04" w14:textId="77777777" w:rsidR="0035281D" w:rsidRPr="0035281D" w:rsidRDefault="002947FD" w:rsidP="0035281D">
      <w:pPr>
        <w:jc w:val="center"/>
        <w:rPr>
          <w:rFonts w:ascii="Times New Roman" w:hAnsi="Times New Roman" w:cs="Times New Roman"/>
          <w:lang w:val="en-US"/>
        </w:rPr>
      </w:pPr>
      <w:r w:rsidRPr="00782B7E">
        <w:rPr>
          <w:rFonts w:ascii="Times New Roman" w:hAnsi="Times New Roman" w:cs="Times New Roman"/>
          <w:b/>
          <w:bCs/>
          <w:color w:val="000000" w:themeColor="text1"/>
          <w:lang w:val="en-US"/>
        </w:rPr>
        <w:t xml:space="preserve">Figure </w:t>
      </w:r>
      <w:r w:rsidR="001D01D7">
        <w:rPr>
          <w:rFonts w:ascii="Times New Roman" w:hAnsi="Times New Roman" w:cs="Times New Roman"/>
          <w:b/>
          <w:bCs/>
          <w:color w:val="000000" w:themeColor="text1"/>
          <w:lang w:val="en-US"/>
        </w:rPr>
        <w:t>6</w:t>
      </w:r>
      <w:r w:rsidRPr="00782B7E">
        <w:rPr>
          <w:rFonts w:ascii="Times New Roman" w:hAnsi="Times New Roman" w:cs="Times New Roman"/>
          <w:b/>
          <w:bCs/>
          <w:color w:val="000000" w:themeColor="text1"/>
          <w:lang w:val="en-US"/>
        </w:rPr>
        <w:t>:</w:t>
      </w:r>
      <w:r>
        <w:rPr>
          <w:rFonts w:ascii="Times New Roman" w:hAnsi="Times New Roman" w:cs="Times New Roman"/>
          <w:color w:val="000000" w:themeColor="text1"/>
          <w:lang w:val="en-US"/>
        </w:rPr>
        <w:t xml:space="preserve"> </w:t>
      </w:r>
      <w:r w:rsidRPr="00DE2F9B">
        <w:rPr>
          <w:rFonts w:ascii="Times New Roman" w:hAnsi="Times New Roman" w:cs="Times New Roman"/>
          <w:color w:val="000000" w:themeColor="text1"/>
          <w:lang w:val="en-US"/>
        </w:rPr>
        <w:t xml:space="preserve">Pencil </w:t>
      </w:r>
      <w:r w:rsidR="0035281D" w:rsidRPr="00DE2F9B">
        <w:rPr>
          <w:rFonts w:ascii="Times New Roman" w:hAnsi="Times New Roman" w:cs="Times New Roman"/>
          <w:color w:val="000000" w:themeColor="text1"/>
          <w:lang w:val="en-US"/>
        </w:rPr>
        <w:t>push-up exercise</w:t>
      </w:r>
      <w:proofErr w:type="gramStart"/>
      <w:r w:rsidR="0035281D">
        <w:rPr>
          <w:rFonts w:ascii="Times New Roman" w:hAnsi="Times New Roman" w:cs="Times New Roman"/>
          <w:color w:val="000000" w:themeColor="text1"/>
          <w:lang w:val="en-US"/>
        </w:rPr>
        <w:t xml:space="preserve">. </w:t>
      </w:r>
      <w:r w:rsidR="0035281D" w:rsidRPr="0035281D">
        <w:rPr>
          <w:rFonts w:ascii="Times New Roman" w:hAnsi="Times New Roman" w:cs="Times New Roman"/>
          <w:color w:val="000000"/>
          <w:lang w:val="en-US"/>
        </w:rPr>
        <w:t>.</w:t>
      </w:r>
      <w:proofErr w:type="gramEnd"/>
      <w:r w:rsidR="0035281D" w:rsidRPr="0035281D">
        <w:rPr>
          <w:rFonts w:ascii="Times New Roman" w:hAnsi="Times New Roman" w:cs="Times New Roman"/>
          <w:color w:val="000000" w:themeColor="text1"/>
          <w:lang w:val="en-US"/>
        </w:rPr>
        <w:t xml:space="preserve"> </w:t>
      </w:r>
      <w:r w:rsidR="0035281D" w:rsidRPr="0035281D">
        <w:rPr>
          <w:rFonts w:ascii="Times New Roman" w:hAnsi="Times New Roman" w:cs="Times New Roman"/>
          <w:color w:val="000000"/>
          <w:lang w:val="en-US"/>
        </w:rPr>
        <w:t>(Figure source: authors).</w:t>
      </w:r>
    </w:p>
    <w:p w14:paraId="03277B7D" w14:textId="77777777" w:rsidR="001D01D7" w:rsidRPr="003D317E" w:rsidRDefault="001D01D7" w:rsidP="0035281D">
      <w:pPr>
        <w:rPr>
          <w:lang w:val="en-US"/>
        </w:rPr>
      </w:pPr>
    </w:p>
    <w:p w14:paraId="00F44136" w14:textId="77777777" w:rsidR="006C6132" w:rsidRPr="003D317E" w:rsidRDefault="006C6132" w:rsidP="001E673E">
      <w:pPr>
        <w:pStyle w:val="Heading3"/>
        <w:spacing w:before="0" w:after="0" w:line="360" w:lineRule="auto"/>
        <w:jc w:val="both"/>
        <w:rPr>
          <w:rFonts w:ascii="Times New Roman" w:hAnsi="Times New Roman" w:cs="Times New Roman"/>
          <w:b/>
          <w:bCs/>
          <w:color w:val="000000" w:themeColor="text1"/>
          <w:sz w:val="24"/>
          <w:szCs w:val="24"/>
          <w:lang w:val="en-US"/>
        </w:rPr>
      </w:pPr>
      <w:r w:rsidRPr="003D317E">
        <w:rPr>
          <w:rFonts w:ascii="Times New Roman" w:hAnsi="Times New Roman" w:cs="Times New Roman"/>
          <w:b/>
          <w:bCs/>
          <w:color w:val="000000" w:themeColor="text1"/>
          <w:sz w:val="24"/>
          <w:szCs w:val="24"/>
          <w:lang w:val="en-US"/>
        </w:rPr>
        <w:t>Structure and Progression</w:t>
      </w:r>
    </w:p>
    <w:p w14:paraId="35765D4E" w14:textId="77777777" w:rsidR="006C6132" w:rsidRPr="00DE2F9B" w:rsidRDefault="006C6132" w:rsidP="003D317E">
      <w:pPr>
        <w:pStyle w:val="Heading3"/>
        <w:spacing w:before="0" w:after="0" w:line="360" w:lineRule="auto"/>
        <w:jc w:val="both"/>
        <w:rPr>
          <w:rFonts w:ascii="Times New Roman" w:hAnsi="Times New Roman" w:cs="Times New Roman"/>
          <w:color w:val="000000" w:themeColor="text1"/>
          <w:sz w:val="24"/>
          <w:szCs w:val="24"/>
          <w:lang w:val="en-US"/>
        </w:rPr>
      </w:pPr>
      <w:r w:rsidRPr="00DE2F9B">
        <w:rPr>
          <w:rFonts w:ascii="Times New Roman" w:hAnsi="Times New Roman" w:cs="Times New Roman"/>
          <w:color w:val="000000" w:themeColor="text1"/>
          <w:sz w:val="24"/>
          <w:szCs w:val="24"/>
          <w:lang w:val="en-US"/>
        </w:rPr>
        <w:t xml:space="preserve">Each exercise will be performed in sets lasting between 1 to 3 minutes, repeated for 5 to 10 series per session, with brief rest intervals to prevent fatigue. Progression will be individualized: participants will advance to more challenging exercises based on improvements in convergence function and subjective comfort. Performance will be documented during each session, including metrics such as the </w:t>
      </w:r>
      <w:r w:rsidRPr="00DE2F9B">
        <w:rPr>
          <w:rStyle w:val="s2"/>
          <w:rFonts w:ascii="Times New Roman" w:hAnsi="Times New Roman" w:cs="Times New Roman"/>
          <w:color w:val="000000" w:themeColor="text1"/>
          <w:sz w:val="24"/>
          <w:szCs w:val="24"/>
          <w:lang w:val="en-US"/>
        </w:rPr>
        <w:t>NPC distance</w:t>
      </w:r>
      <w:r w:rsidRPr="00DE2F9B">
        <w:rPr>
          <w:rFonts w:ascii="Times New Roman" w:hAnsi="Times New Roman" w:cs="Times New Roman"/>
          <w:color w:val="000000" w:themeColor="text1"/>
          <w:sz w:val="24"/>
          <w:szCs w:val="24"/>
          <w:lang w:val="en-US"/>
        </w:rPr>
        <w:t xml:space="preserve">, occurrence of </w:t>
      </w:r>
      <w:r w:rsidRPr="00DE2F9B">
        <w:rPr>
          <w:rStyle w:val="s2"/>
          <w:rFonts w:ascii="Times New Roman" w:hAnsi="Times New Roman" w:cs="Times New Roman"/>
          <w:color w:val="000000" w:themeColor="text1"/>
          <w:sz w:val="24"/>
          <w:szCs w:val="24"/>
          <w:lang w:val="en-US"/>
        </w:rPr>
        <w:t>diplopia (double vision)</w:t>
      </w:r>
      <w:r w:rsidRPr="00DE2F9B">
        <w:rPr>
          <w:rFonts w:ascii="Times New Roman" w:hAnsi="Times New Roman" w:cs="Times New Roman"/>
          <w:color w:val="000000" w:themeColor="text1"/>
          <w:sz w:val="24"/>
          <w:szCs w:val="24"/>
          <w:lang w:val="en-US"/>
        </w:rPr>
        <w:t>, and task tolerance.</w:t>
      </w:r>
    </w:p>
    <w:p w14:paraId="18E64504" w14:textId="77777777" w:rsidR="006C6132" w:rsidRPr="00DE2F9B" w:rsidRDefault="006C6132" w:rsidP="001E673E">
      <w:pPr>
        <w:spacing w:after="0" w:line="360" w:lineRule="auto"/>
        <w:jc w:val="both"/>
        <w:rPr>
          <w:rStyle w:val="s1"/>
          <w:rFonts w:ascii="Times New Roman" w:hAnsi="Times New Roman" w:cs="Times New Roman"/>
          <w:color w:val="000000" w:themeColor="text1"/>
          <w:lang w:val="en-US"/>
        </w:rPr>
      </w:pPr>
    </w:p>
    <w:p w14:paraId="54F27AED" w14:textId="77777777" w:rsidR="006C6132" w:rsidRPr="003D317E" w:rsidRDefault="006C6132" w:rsidP="001E673E">
      <w:pPr>
        <w:pStyle w:val="Heading3"/>
        <w:spacing w:before="0" w:after="0" w:line="360" w:lineRule="auto"/>
        <w:jc w:val="both"/>
        <w:rPr>
          <w:rFonts w:ascii="Times New Roman" w:hAnsi="Times New Roman" w:cs="Times New Roman"/>
          <w:b/>
          <w:bCs/>
          <w:color w:val="000000" w:themeColor="text1"/>
          <w:sz w:val="24"/>
          <w:szCs w:val="24"/>
          <w:lang w:val="en-US"/>
        </w:rPr>
      </w:pPr>
      <w:r w:rsidRPr="003D317E">
        <w:rPr>
          <w:rFonts w:ascii="Times New Roman" w:hAnsi="Times New Roman" w:cs="Times New Roman"/>
          <w:b/>
          <w:bCs/>
          <w:color w:val="000000" w:themeColor="text1"/>
          <w:sz w:val="24"/>
          <w:szCs w:val="24"/>
          <w:lang w:val="en-US"/>
        </w:rPr>
        <w:t>Rationale</w:t>
      </w:r>
    </w:p>
    <w:p w14:paraId="4D27AB76" w14:textId="38AF3866" w:rsidR="00FF601C" w:rsidRPr="00DE2F9B" w:rsidRDefault="006C6132" w:rsidP="003D317E">
      <w:pPr>
        <w:pStyle w:val="p3"/>
        <w:spacing w:before="0" w:beforeAutospacing="0" w:after="0" w:afterAutospacing="0" w:line="360" w:lineRule="auto"/>
        <w:jc w:val="both"/>
        <w:rPr>
          <w:color w:val="000000" w:themeColor="text1"/>
          <w:lang w:val="en-US"/>
        </w:rPr>
      </w:pPr>
      <w:r w:rsidRPr="00DE2F9B">
        <w:rPr>
          <w:color w:val="000000" w:themeColor="text1"/>
          <w:lang w:val="en-US"/>
        </w:rPr>
        <w:t>Convergence therapy is well-supported in the scientific literature as an effective intervention for improving clinical indicators in individuals with convergence insufficiency. The selected techniques are evidence-based and aim to address both the motor and sensory components of binocular vision.</w:t>
      </w:r>
    </w:p>
    <w:p w14:paraId="6540E1E5" w14:textId="77777777" w:rsidR="001E673E" w:rsidRPr="00DE2F9B" w:rsidRDefault="001E673E" w:rsidP="001E673E">
      <w:pPr>
        <w:pStyle w:val="p3"/>
        <w:spacing w:before="0" w:beforeAutospacing="0" w:after="0" w:afterAutospacing="0" w:line="360" w:lineRule="auto"/>
        <w:ind w:firstLine="708"/>
        <w:jc w:val="both"/>
        <w:rPr>
          <w:color w:val="000000" w:themeColor="text1"/>
          <w:lang w:val="en-US"/>
        </w:rPr>
      </w:pPr>
    </w:p>
    <w:p w14:paraId="419D4133" w14:textId="3EE1E6E7" w:rsidR="001E673E" w:rsidRDefault="006C6132" w:rsidP="001E673E">
      <w:pPr>
        <w:pStyle w:val="NormalWeb"/>
        <w:spacing w:before="0" w:beforeAutospacing="0" w:after="0" w:afterAutospacing="0" w:line="360" w:lineRule="auto"/>
        <w:jc w:val="both"/>
        <w:rPr>
          <w:b/>
          <w:bCs/>
          <w:lang w:val="en-US"/>
        </w:rPr>
      </w:pPr>
      <w:r w:rsidRPr="00DE2F9B">
        <w:rPr>
          <w:b/>
          <w:bCs/>
          <w:lang w:val="en-US"/>
        </w:rPr>
        <w:t xml:space="preserve">2.8 </w:t>
      </w:r>
      <w:proofErr w:type="spellStart"/>
      <w:r w:rsidR="00F61399" w:rsidRPr="00DE2F9B">
        <w:rPr>
          <w:b/>
          <w:bCs/>
          <w:lang w:val="en-US"/>
        </w:rPr>
        <w:t>Stabilometric</w:t>
      </w:r>
      <w:proofErr w:type="spellEnd"/>
      <w:r w:rsidR="00F61399" w:rsidRPr="00DE2F9B">
        <w:rPr>
          <w:b/>
          <w:bCs/>
          <w:lang w:val="en-US"/>
        </w:rPr>
        <w:t xml:space="preserve"> parameters </w:t>
      </w:r>
    </w:p>
    <w:p w14:paraId="3505DE4E" w14:textId="77777777" w:rsidR="00AD1AC6" w:rsidRPr="00DE2F9B" w:rsidRDefault="00AD1AC6" w:rsidP="001E673E">
      <w:pPr>
        <w:pStyle w:val="NormalWeb"/>
        <w:spacing w:before="0" w:beforeAutospacing="0" w:after="0" w:afterAutospacing="0" w:line="360" w:lineRule="auto"/>
        <w:jc w:val="both"/>
        <w:rPr>
          <w:b/>
          <w:bCs/>
          <w:lang w:val="en-US"/>
        </w:rPr>
      </w:pPr>
    </w:p>
    <w:p w14:paraId="2E1849D1" w14:textId="4E662B29" w:rsidR="006C6132" w:rsidRPr="00DE2F9B" w:rsidRDefault="006C6132" w:rsidP="00C77F29">
      <w:pPr>
        <w:pStyle w:val="p1"/>
        <w:spacing w:before="0" w:beforeAutospacing="0" w:after="0" w:afterAutospacing="0" w:line="360" w:lineRule="auto"/>
        <w:jc w:val="both"/>
        <w:rPr>
          <w:lang w:val="en-US"/>
        </w:rPr>
      </w:pPr>
      <w:r w:rsidRPr="00DE2F9B">
        <w:rPr>
          <w:lang w:val="en-US"/>
        </w:rPr>
        <w:t xml:space="preserve">To assess postural sway, displacement of the center of pressure (CoP) will be analyzed in both the </w:t>
      </w:r>
      <w:r w:rsidRPr="00DE2F9B">
        <w:rPr>
          <w:rStyle w:val="s1"/>
          <w:rFonts w:eastAsiaTheme="majorEastAsia"/>
          <w:lang w:val="en-US"/>
        </w:rPr>
        <w:t>anteroposterior (AP)</w:t>
      </w:r>
      <w:r w:rsidRPr="00DE2F9B">
        <w:rPr>
          <w:lang w:val="en-US"/>
        </w:rPr>
        <w:t xml:space="preserve"> and </w:t>
      </w:r>
      <w:r w:rsidRPr="00DE2F9B">
        <w:rPr>
          <w:rStyle w:val="s1"/>
          <w:rFonts w:eastAsiaTheme="majorEastAsia"/>
          <w:lang w:val="en-US"/>
        </w:rPr>
        <w:t>mediolateral (ML)</w:t>
      </w:r>
      <w:r w:rsidRPr="00DE2F9B">
        <w:rPr>
          <w:lang w:val="en-US"/>
        </w:rPr>
        <w:t xml:space="preserve"> directions. The CoP signals will </w:t>
      </w:r>
      <w:r w:rsidRPr="00DE2F9B">
        <w:rPr>
          <w:lang w:val="en-US"/>
        </w:rPr>
        <w:lastRenderedPageBreak/>
        <w:t xml:space="preserve">undergo preprocessing using a </w:t>
      </w:r>
      <w:r w:rsidRPr="00DE2F9B">
        <w:rPr>
          <w:rStyle w:val="s1"/>
          <w:rFonts w:eastAsiaTheme="majorEastAsia"/>
          <w:lang w:val="en-US"/>
        </w:rPr>
        <w:t>10 Hz low-pass Butterworth filter</w:t>
      </w:r>
      <w:r w:rsidRPr="00DE2F9B">
        <w:rPr>
          <w:lang w:val="en-US"/>
        </w:rPr>
        <w:t xml:space="preserve">, as recommended by </w:t>
      </w:r>
      <w:proofErr w:type="spellStart"/>
      <w:r w:rsidRPr="00DE2F9B">
        <w:rPr>
          <w:lang w:val="en-US"/>
        </w:rPr>
        <w:t>Ruhe</w:t>
      </w:r>
      <w:proofErr w:type="spellEnd"/>
      <w:r w:rsidRPr="00DE2F9B">
        <w:rPr>
          <w:lang w:val="en-US"/>
        </w:rPr>
        <w:t xml:space="preserve"> et al. (2010), to eliminate high-frequency noise and preserve relevant sway </w:t>
      </w:r>
      <w:proofErr w:type="spellStart"/>
      <w:proofErr w:type="gramStart"/>
      <w:r w:rsidRPr="00DE2F9B">
        <w:rPr>
          <w:lang w:val="en-US"/>
        </w:rPr>
        <w:t>information.Three</w:t>
      </w:r>
      <w:proofErr w:type="spellEnd"/>
      <w:proofErr w:type="gramEnd"/>
      <w:r w:rsidRPr="00DE2F9B">
        <w:rPr>
          <w:lang w:val="en-US"/>
        </w:rPr>
        <w:t xml:space="preserve"> commonly used </w:t>
      </w:r>
      <w:proofErr w:type="spellStart"/>
      <w:r w:rsidRPr="00DE2F9B">
        <w:rPr>
          <w:lang w:val="en-US"/>
        </w:rPr>
        <w:t>stabilometric</w:t>
      </w:r>
      <w:proofErr w:type="spellEnd"/>
      <w:r w:rsidRPr="00DE2F9B">
        <w:rPr>
          <w:lang w:val="en-US"/>
        </w:rPr>
        <w:t xml:space="preserve"> </w:t>
      </w:r>
      <w:r w:rsidR="00C77F29" w:rsidRPr="00DE2F9B">
        <w:rPr>
          <w:lang w:val="en-US"/>
        </w:rPr>
        <w:t>data</w:t>
      </w:r>
      <w:r w:rsidRPr="00DE2F9B">
        <w:rPr>
          <w:lang w:val="en-US"/>
        </w:rPr>
        <w:t xml:space="preserve"> will be computed to characterize postural control:</w:t>
      </w:r>
    </w:p>
    <w:p w14:paraId="74D4A8D2" w14:textId="5B7F33A1" w:rsidR="006C6132" w:rsidRPr="00DE2F9B" w:rsidRDefault="006C6132" w:rsidP="001E673E">
      <w:pPr>
        <w:pStyle w:val="p1"/>
        <w:numPr>
          <w:ilvl w:val="0"/>
          <w:numId w:val="16"/>
        </w:numPr>
        <w:spacing w:before="0" w:beforeAutospacing="0" w:after="0" w:afterAutospacing="0" w:line="360" w:lineRule="auto"/>
        <w:ind w:left="426" w:hanging="426"/>
        <w:jc w:val="both"/>
        <w:rPr>
          <w:lang w:val="en-US"/>
        </w:rPr>
      </w:pPr>
      <w:r w:rsidRPr="00DE2F9B">
        <w:rPr>
          <w:rStyle w:val="s1"/>
          <w:rFonts w:eastAsiaTheme="majorEastAsia"/>
          <w:lang w:val="en-US"/>
        </w:rPr>
        <w:t>Sway Area (cm²):</w:t>
      </w:r>
      <w:r w:rsidRPr="00DE2F9B">
        <w:rPr>
          <w:lang w:val="en-US"/>
        </w:rPr>
        <w:t xml:space="preserve"> The total sway area will be estimated by fitting an ellipse that encloses 95% of the CoP trajectory in the AP versus ML plane, following the method described by</w:t>
      </w:r>
      <w:r w:rsidR="002948DB" w:rsidRPr="00DE2F9B">
        <w:rPr>
          <w:lang w:val="en-US"/>
        </w:rPr>
        <w:t xml:space="preserve"> </w:t>
      </w:r>
      <w:r w:rsidR="0001022A" w:rsidRPr="00DE2F9B">
        <w:rPr>
          <w:lang w:val="en-US"/>
        </w:rPr>
        <w:fldChar w:fldCharType="begin"/>
      </w:r>
      <w:r w:rsidR="0001022A" w:rsidRPr="00DE2F9B">
        <w:rPr>
          <w:lang w:val="en-US"/>
        </w:rPr>
        <w:instrText xml:space="preserve"> ADDIN ZOTERO_ITEM CSL_CITATION {"citationID":"NP4aCZX7","properties":{"formattedCitation":"(Oliveira; Simpson; Nadal, 1996)","plainCitation":"(Oliveira; Simpson; Nadal, 1996)","noteIndex":0},"citationItems":[{"id":973,"uris":["http://zotero.org/users/9972645/items/75VFEXVV"],"itemData":{"id":973,"type":"article-journal","container-title":"Physiological Measurement","DOI":"10.1088/0967-3334/17/4/008","ISSN":"0967-3334, 1361-6579","issue":"4","journalAbbreviation":"Physiol. Meas.","page":"305-312","source":"DOI.org (Crossref)","title":"Calculation of area of stabilometric signals using principal component analysis","volume":"17","author":[{"family":"Oliveira","given":"L F"},{"family":"Simpson","given":"D M"},{"family":"Nadal","given":"J"}],"issued":{"date-parts":[["1996",11,1]]}}}],"schema":"https://github.com/citation-style-language/schema/raw/master/csl-citation.json"} </w:instrText>
      </w:r>
      <w:r w:rsidR="0001022A" w:rsidRPr="00DE2F9B">
        <w:rPr>
          <w:lang w:val="en-US"/>
        </w:rPr>
        <w:fldChar w:fldCharType="separate"/>
      </w:r>
      <w:r w:rsidR="002734EC" w:rsidRPr="00DE2F9B">
        <w:rPr>
          <w:lang w:val="en-US"/>
        </w:rPr>
        <w:t>Oliveira</w:t>
      </w:r>
      <w:r w:rsidR="002948DB" w:rsidRPr="00DE2F9B">
        <w:rPr>
          <w:lang w:val="en-US"/>
        </w:rPr>
        <w:t xml:space="preserve"> et al. </w:t>
      </w:r>
      <w:r w:rsidR="00054A03" w:rsidRPr="00DE2F9B">
        <w:rPr>
          <w:lang w:val="en-US"/>
        </w:rPr>
        <w:t>(</w:t>
      </w:r>
      <w:r w:rsidR="002734EC" w:rsidRPr="00DE2F9B">
        <w:rPr>
          <w:lang w:val="en-US"/>
        </w:rPr>
        <w:t>1996)</w:t>
      </w:r>
      <w:r w:rsidR="0001022A" w:rsidRPr="00DE2F9B">
        <w:rPr>
          <w:lang w:val="en-US"/>
        </w:rPr>
        <w:fldChar w:fldCharType="end"/>
      </w:r>
      <w:r w:rsidRPr="00DE2F9B">
        <w:rPr>
          <w:lang w:val="en-US"/>
        </w:rPr>
        <w:t>. This parameter reflects the overall magnitude of body sway.</w:t>
      </w:r>
    </w:p>
    <w:p w14:paraId="1D5D6E96" w14:textId="44A6FDAD" w:rsidR="006C6132" w:rsidRPr="00DE2F9B" w:rsidRDefault="006C6132" w:rsidP="001E673E">
      <w:pPr>
        <w:pStyle w:val="p1"/>
        <w:numPr>
          <w:ilvl w:val="0"/>
          <w:numId w:val="16"/>
        </w:numPr>
        <w:spacing w:before="0" w:beforeAutospacing="0" w:after="0" w:afterAutospacing="0" w:line="360" w:lineRule="auto"/>
        <w:ind w:left="426" w:hanging="426"/>
        <w:jc w:val="both"/>
        <w:rPr>
          <w:lang w:val="en-US"/>
        </w:rPr>
      </w:pPr>
      <w:r w:rsidRPr="00DE2F9B">
        <w:rPr>
          <w:rStyle w:val="s1"/>
          <w:rFonts w:eastAsiaTheme="majorEastAsia"/>
          <w:lang w:val="en-US"/>
        </w:rPr>
        <w:t>Mean Velocity (cm/s):</w:t>
      </w:r>
      <w:r w:rsidRPr="00DE2F9B">
        <w:rPr>
          <w:lang w:val="en-US"/>
        </w:rPr>
        <w:t xml:space="preserve"> The average speed of CoP displacement in both AP and ML directions will be calculated by dividing the total distance traveled by the duration of the trial. This measure provides insight into the control effort and responsiveness of the postural system</w:t>
      </w:r>
      <w:r w:rsidR="0067472D" w:rsidRPr="00DE2F9B">
        <w:rPr>
          <w:lang w:val="en-US"/>
        </w:rPr>
        <w:t xml:space="preserve"> (</w:t>
      </w:r>
      <w:proofErr w:type="spellStart"/>
      <w:r w:rsidR="0067472D" w:rsidRPr="00DE2F9B">
        <w:rPr>
          <w:lang w:val="en-US"/>
        </w:rPr>
        <w:t>Ruhe</w:t>
      </w:r>
      <w:proofErr w:type="spellEnd"/>
      <w:r w:rsidR="0067472D" w:rsidRPr="00DE2F9B">
        <w:rPr>
          <w:lang w:val="en-US"/>
        </w:rPr>
        <w:t xml:space="preserve"> et al., 2010).</w:t>
      </w:r>
    </w:p>
    <w:p w14:paraId="2468325B" w14:textId="27CFECDB" w:rsidR="006C6132" w:rsidRPr="00DE2F9B" w:rsidRDefault="006C6132" w:rsidP="001E673E">
      <w:pPr>
        <w:pStyle w:val="p1"/>
        <w:numPr>
          <w:ilvl w:val="0"/>
          <w:numId w:val="16"/>
        </w:numPr>
        <w:spacing w:before="0" w:beforeAutospacing="0" w:after="0" w:afterAutospacing="0" w:line="360" w:lineRule="auto"/>
        <w:ind w:left="426" w:hanging="426"/>
        <w:jc w:val="both"/>
        <w:rPr>
          <w:lang w:val="en-US"/>
        </w:rPr>
      </w:pPr>
      <w:r w:rsidRPr="00DE2F9B">
        <w:rPr>
          <w:rStyle w:val="s1"/>
          <w:rFonts w:eastAsiaTheme="majorEastAsia"/>
          <w:lang w:val="en-US"/>
        </w:rPr>
        <w:t>Frequency (Hz):</w:t>
      </w:r>
      <w:r w:rsidRPr="00DE2F9B">
        <w:rPr>
          <w:lang w:val="en-US"/>
        </w:rPr>
        <w:t xml:space="preserve"> The sway frequency will be determined by identifying the frequency threshold below which 80% of the total spectral power of CoP displacement is concentrated. This approach, based on the method proposed </w:t>
      </w:r>
      <w:r w:rsidR="0067472D" w:rsidRPr="00DE2F9B">
        <w:rPr>
          <w:lang w:val="en-US"/>
        </w:rPr>
        <w:t xml:space="preserve">by </w:t>
      </w:r>
      <w:proofErr w:type="spellStart"/>
      <w:r w:rsidR="004A6E9A" w:rsidRPr="00DE2F9B">
        <w:rPr>
          <w:lang w:val="en-US"/>
        </w:rPr>
        <w:t>Baratto</w:t>
      </w:r>
      <w:proofErr w:type="spellEnd"/>
      <w:r w:rsidR="004A6E9A" w:rsidRPr="00DE2F9B">
        <w:rPr>
          <w:lang w:val="en-US"/>
        </w:rPr>
        <w:t xml:space="preserve"> et al</w:t>
      </w:r>
      <w:r w:rsidR="0067472D" w:rsidRPr="00DE2F9B">
        <w:rPr>
          <w:lang w:val="en-US"/>
        </w:rPr>
        <w:t>. (2002)</w:t>
      </w:r>
      <w:r w:rsidRPr="00DE2F9B">
        <w:rPr>
          <w:lang w:val="en-US"/>
        </w:rPr>
        <w:t>, is considered more sensitive than conventional spectral parameters in distinguishing balance control characteristics.</w:t>
      </w:r>
    </w:p>
    <w:p w14:paraId="4D4C398C" w14:textId="77777777" w:rsidR="006C6132" w:rsidRPr="00DE2F9B" w:rsidRDefault="006C6132" w:rsidP="001E673E">
      <w:pPr>
        <w:spacing w:after="0" w:line="360" w:lineRule="auto"/>
        <w:jc w:val="both"/>
        <w:rPr>
          <w:rFonts w:ascii="Times New Roman" w:hAnsi="Times New Roman" w:cs="Times New Roman"/>
          <w:color w:val="000000"/>
          <w:kern w:val="0"/>
          <w:lang w:val="en-US"/>
        </w:rPr>
      </w:pPr>
    </w:p>
    <w:p w14:paraId="5126218C" w14:textId="6D9CDC21" w:rsidR="002A4D7E" w:rsidRDefault="006C6132" w:rsidP="002A4D7E">
      <w:pPr>
        <w:spacing w:after="0" w:line="360" w:lineRule="auto"/>
        <w:jc w:val="both"/>
        <w:rPr>
          <w:rFonts w:ascii="Times New Roman" w:hAnsi="Times New Roman" w:cs="Times New Roman"/>
          <w:b/>
          <w:bCs/>
          <w:color w:val="000000"/>
          <w:kern w:val="0"/>
          <w:lang w:val="en-US"/>
        </w:rPr>
      </w:pPr>
      <w:r w:rsidRPr="00DE2F9B">
        <w:rPr>
          <w:rFonts w:ascii="Times New Roman" w:hAnsi="Times New Roman" w:cs="Times New Roman"/>
          <w:b/>
          <w:bCs/>
          <w:color w:val="000000"/>
          <w:kern w:val="0"/>
          <w:lang w:val="en-US"/>
        </w:rPr>
        <w:t>2.9 Statistical Analysis</w:t>
      </w:r>
    </w:p>
    <w:p w14:paraId="30D85610" w14:textId="77777777" w:rsidR="00AD1AC6" w:rsidRPr="00DE2F9B" w:rsidRDefault="00AD1AC6" w:rsidP="002A4D7E">
      <w:pPr>
        <w:spacing w:after="0" w:line="360" w:lineRule="auto"/>
        <w:jc w:val="both"/>
        <w:rPr>
          <w:rFonts w:ascii="Times New Roman" w:hAnsi="Times New Roman" w:cs="Times New Roman"/>
          <w:b/>
          <w:bCs/>
          <w:color w:val="000000"/>
          <w:kern w:val="0"/>
          <w:lang w:val="en-US"/>
        </w:rPr>
      </w:pPr>
    </w:p>
    <w:p w14:paraId="16457507" w14:textId="4952A562" w:rsidR="006C6132" w:rsidRPr="00DE2F9B" w:rsidRDefault="006C6132" w:rsidP="002A4D7E">
      <w:pPr>
        <w:pStyle w:val="p1"/>
        <w:spacing w:before="0" w:beforeAutospacing="0" w:after="0" w:afterAutospacing="0" w:line="360" w:lineRule="auto"/>
        <w:jc w:val="both"/>
        <w:rPr>
          <w:lang w:val="en-US"/>
        </w:rPr>
      </w:pPr>
      <w:r w:rsidRPr="00DE2F9B">
        <w:rPr>
          <w:lang w:val="en-US"/>
        </w:rPr>
        <w:t xml:space="preserve">The data will be processed and organized using </w:t>
      </w:r>
      <w:r w:rsidRPr="00DE2F9B">
        <w:rPr>
          <w:rStyle w:val="s1"/>
          <w:rFonts w:eastAsiaTheme="majorEastAsia"/>
          <w:lang w:val="en-US"/>
        </w:rPr>
        <w:t>SPSS software (version 19.0)</w:t>
      </w:r>
      <w:r w:rsidRPr="00DE2F9B">
        <w:rPr>
          <w:lang w:val="en-US"/>
        </w:rPr>
        <w:t xml:space="preserve">, adopting a significance level of </w:t>
      </w:r>
      <w:r w:rsidRPr="00DE2F9B">
        <w:rPr>
          <w:rStyle w:val="s1"/>
          <w:rFonts w:eastAsiaTheme="majorEastAsia"/>
          <w:lang w:val="en-US"/>
        </w:rPr>
        <w:t>5% (p &lt; 0.05)</w:t>
      </w:r>
      <w:r w:rsidRPr="00DE2F9B">
        <w:rPr>
          <w:lang w:val="en-US"/>
        </w:rPr>
        <w:t xml:space="preserve">. The </w:t>
      </w:r>
      <w:r w:rsidRPr="00DE2F9B">
        <w:rPr>
          <w:rStyle w:val="s1"/>
          <w:rFonts w:eastAsiaTheme="majorEastAsia"/>
          <w:lang w:val="en-US"/>
        </w:rPr>
        <w:t>Shapiro-Wilk test</w:t>
      </w:r>
      <w:r w:rsidRPr="00DE2F9B">
        <w:rPr>
          <w:lang w:val="en-US"/>
        </w:rPr>
        <w:t xml:space="preserve"> will be applied to assess the normality of the data distribution. Descriptive statistics will be used to summarize the characteristics of the participants. Comparisons between the experimental and control groups will be conducted using either an </w:t>
      </w:r>
      <w:r w:rsidRPr="00DE2F9B">
        <w:rPr>
          <w:rStyle w:val="s1"/>
          <w:rFonts w:eastAsiaTheme="majorEastAsia"/>
          <w:lang w:val="en-US"/>
        </w:rPr>
        <w:t>independent t-test</w:t>
      </w:r>
      <w:r w:rsidRPr="00DE2F9B">
        <w:rPr>
          <w:lang w:val="en-US"/>
        </w:rPr>
        <w:t xml:space="preserve"> or the </w:t>
      </w:r>
      <w:r w:rsidRPr="00DE2F9B">
        <w:rPr>
          <w:rStyle w:val="s1"/>
          <w:rFonts w:eastAsiaTheme="majorEastAsia"/>
          <w:lang w:val="en-US"/>
        </w:rPr>
        <w:t>Mann-Whitney U test</w:t>
      </w:r>
      <w:r w:rsidRPr="00DE2F9B">
        <w:rPr>
          <w:lang w:val="en-US"/>
        </w:rPr>
        <w:t xml:space="preserve">, depending on data distribution. To evaluate the intervention effect, a </w:t>
      </w:r>
      <w:r w:rsidRPr="00DE2F9B">
        <w:rPr>
          <w:rStyle w:val="s1"/>
          <w:rFonts w:eastAsiaTheme="majorEastAsia"/>
          <w:lang w:val="en-US"/>
        </w:rPr>
        <w:t>linear mixed model</w:t>
      </w:r>
      <w:r w:rsidRPr="00DE2F9B">
        <w:rPr>
          <w:lang w:val="en-US"/>
        </w:rPr>
        <w:t xml:space="preserve"> approach will be applied, with an </w:t>
      </w:r>
      <w:r w:rsidRPr="00DE2F9B">
        <w:rPr>
          <w:rStyle w:val="s1"/>
          <w:rFonts w:eastAsiaTheme="majorEastAsia"/>
          <w:lang w:val="en-US"/>
        </w:rPr>
        <w:t>intention-to-treat</w:t>
      </w:r>
      <w:r w:rsidRPr="00DE2F9B">
        <w:rPr>
          <w:lang w:val="en-US"/>
        </w:rPr>
        <w:t xml:space="preserve"> analysis to account for potential participant </w:t>
      </w:r>
      <w:r w:rsidR="00C75293" w:rsidRPr="00DE2F9B">
        <w:rPr>
          <w:lang w:val="en-US"/>
        </w:rPr>
        <w:t>dropouts Group</w:t>
      </w:r>
      <w:r w:rsidRPr="00DE2F9B">
        <w:rPr>
          <w:lang w:val="en-US"/>
        </w:rPr>
        <w:t xml:space="preserve"> differences and their respective </w:t>
      </w:r>
      <w:r w:rsidRPr="00DE2F9B">
        <w:rPr>
          <w:rStyle w:val="s1"/>
          <w:rFonts w:eastAsiaTheme="majorEastAsia"/>
          <w:lang w:val="en-US"/>
        </w:rPr>
        <w:t>95% confidence intervals</w:t>
      </w:r>
      <w:r w:rsidRPr="00DE2F9B">
        <w:rPr>
          <w:lang w:val="en-US"/>
        </w:rPr>
        <w:t xml:space="preserve"> will be reported</w:t>
      </w:r>
      <w:r w:rsidR="0067472D" w:rsidRPr="00DE2F9B">
        <w:rPr>
          <w:lang w:val="en-US"/>
        </w:rPr>
        <w:t xml:space="preserve"> (</w:t>
      </w:r>
      <w:proofErr w:type="spellStart"/>
      <w:r w:rsidR="0067472D" w:rsidRPr="00DE2F9B">
        <w:rPr>
          <w:lang w:val="en-US"/>
        </w:rPr>
        <w:t>Twisk</w:t>
      </w:r>
      <w:proofErr w:type="spellEnd"/>
      <w:r w:rsidR="0067472D" w:rsidRPr="00DE2F9B">
        <w:rPr>
          <w:lang w:val="en-US"/>
        </w:rPr>
        <w:t xml:space="preserve">, 2003). </w:t>
      </w:r>
    </w:p>
    <w:p w14:paraId="30626E02" w14:textId="77777777" w:rsidR="002A4D7E" w:rsidRPr="00DE2F9B" w:rsidRDefault="002A4D7E" w:rsidP="00605BDF">
      <w:pPr>
        <w:pStyle w:val="p1"/>
        <w:spacing w:before="0" w:beforeAutospacing="0" w:after="0" w:afterAutospacing="0" w:line="360" w:lineRule="auto"/>
        <w:jc w:val="both"/>
        <w:rPr>
          <w:b/>
          <w:bCs/>
          <w:color w:val="000000"/>
          <w:lang w:val="en-US"/>
        </w:rPr>
      </w:pPr>
    </w:p>
    <w:p w14:paraId="4978FEF4" w14:textId="77614565" w:rsidR="002A4D7E" w:rsidRDefault="002A4D7E" w:rsidP="00605BDF">
      <w:pPr>
        <w:pStyle w:val="p1"/>
        <w:spacing w:before="0" w:beforeAutospacing="0" w:after="0" w:afterAutospacing="0" w:line="360" w:lineRule="auto"/>
        <w:jc w:val="both"/>
        <w:rPr>
          <w:b/>
          <w:bCs/>
          <w:color w:val="000000"/>
          <w:lang w:val="en-US"/>
        </w:rPr>
      </w:pPr>
      <w:r w:rsidRPr="00DE2F9B">
        <w:rPr>
          <w:b/>
          <w:bCs/>
          <w:color w:val="000000"/>
          <w:lang w:val="en-US"/>
        </w:rPr>
        <w:t>3. DISCUSSION</w:t>
      </w:r>
    </w:p>
    <w:p w14:paraId="6CC27417" w14:textId="77777777" w:rsidR="00AD1AC6" w:rsidRPr="00DE2F9B" w:rsidRDefault="00AD1AC6" w:rsidP="00605BDF">
      <w:pPr>
        <w:pStyle w:val="p1"/>
        <w:spacing w:before="0" w:beforeAutospacing="0" w:after="0" w:afterAutospacing="0" w:line="360" w:lineRule="auto"/>
        <w:jc w:val="both"/>
        <w:rPr>
          <w:b/>
          <w:bCs/>
          <w:color w:val="000000"/>
          <w:lang w:val="en-US"/>
        </w:rPr>
      </w:pPr>
    </w:p>
    <w:p w14:paraId="2BF777C8" w14:textId="0521667A" w:rsidR="00605BDF" w:rsidRPr="00DE2F9B" w:rsidRDefault="00605BDF" w:rsidP="00605BDF">
      <w:pPr>
        <w:spacing w:after="0" w:line="360" w:lineRule="auto"/>
        <w:jc w:val="both"/>
        <w:rPr>
          <w:rFonts w:ascii="Times New Roman" w:hAnsi="Times New Roman" w:cs="Times New Roman"/>
          <w:lang w:val="en-US"/>
        </w:rPr>
      </w:pPr>
      <w:r w:rsidRPr="00DE2F9B">
        <w:rPr>
          <w:rFonts w:ascii="Times New Roman" w:hAnsi="Times New Roman" w:cs="Times New Roman"/>
          <w:lang w:val="en-US"/>
        </w:rPr>
        <w:t xml:space="preserve">The present protocol outlines a randomized clinical trial designed to investigate the effects of oculomotor therapy on binocular convergence and postural control in adults </w:t>
      </w:r>
      <w:r w:rsidRPr="00DE2F9B">
        <w:rPr>
          <w:rFonts w:ascii="Times New Roman" w:hAnsi="Times New Roman" w:cs="Times New Roman"/>
          <w:lang w:val="en-US"/>
        </w:rPr>
        <w:lastRenderedPageBreak/>
        <w:t>with CI. Previous studies have demonstrated the efficacy of vergence-based therapy in improving visual symptoms)</w:t>
      </w:r>
      <w:r w:rsidR="004A6E9A" w:rsidRPr="00DE2F9B">
        <w:rPr>
          <w:rFonts w:ascii="Times New Roman" w:hAnsi="Times New Roman" w:cs="Times New Roman"/>
          <w:lang w:val="en-US"/>
        </w:rPr>
        <w:t xml:space="preserve"> </w:t>
      </w:r>
      <w:r w:rsidR="0067472D" w:rsidRPr="00DE2F9B">
        <w:rPr>
          <w:rFonts w:ascii="Times New Roman" w:hAnsi="Times New Roman" w:cs="Times New Roman"/>
          <w:lang w:val="en-US"/>
        </w:rPr>
        <w:t>(</w:t>
      </w:r>
      <w:proofErr w:type="spellStart"/>
      <w:r w:rsidR="00DE2F9B" w:rsidRPr="00DE2F9B">
        <w:rPr>
          <w:rFonts w:ascii="Times New Roman" w:hAnsi="Times New Roman" w:cs="Times New Roman"/>
          <w:lang w:val="en-US"/>
        </w:rPr>
        <w:t>Scheiman</w:t>
      </w:r>
      <w:proofErr w:type="spellEnd"/>
      <w:r w:rsidR="00DE2F9B" w:rsidRPr="00DE2F9B">
        <w:rPr>
          <w:rFonts w:ascii="Times New Roman" w:hAnsi="Times New Roman" w:cs="Times New Roman"/>
          <w:lang w:val="en-US"/>
        </w:rPr>
        <w:t xml:space="preserve"> et al., 2020, </w:t>
      </w:r>
      <w:proofErr w:type="spellStart"/>
      <w:r w:rsidR="0067472D" w:rsidRPr="00DE2F9B">
        <w:rPr>
          <w:rFonts w:ascii="Times New Roman" w:hAnsi="Times New Roman" w:cs="Times New Roman"/>
          <w:lang w:val="en-US"/>
        </w:rPr>
        <w:t>Rovira</w:t>
      </w:r>
      <w:proofErr w:type="spellEnd"/>
      <w:r w:rsidR="0067472D" w:rsidRPr="00DE2F9B">
        <w:rPr>
          <w:rFonts w:ascii="Times New Roman" w:hAnsi="Times New Roman" w:cs="Times New Roman"/>
          <w:lang w:val="en-US"/>
        </w:rPr>
        <w:t>-Gay et al</w:t>
      </w:r>
      <w:r w:rsidR="00DE2F9B" w:rsidRPr="00DE2F9B">
        <w:rPr>
          <w:rFonts w:ascii="Times New Roman" w:hAnsi="Times New Roman" w:cs="Times New Roman"/>
          <w:lang w:val="en-US"/>
        </w:rPr>
        <w:t>., 2025)</w:t>
      </w:r>
      <w:r w:rsidRPr="00DE2F9B">
        <w:rPr>
          <w:rFonts w:ascii="Times New Roman" w:hAnsi="Times New Roman" w:cs="Times New Roman"/>
          <w:lang w:val="en-US"/>
        </w:rPr>
        <w:t>, but few have addressed its potential impact on functional outcomes such as balance and mobility.</w:t>
      </w:r>
    </w:p>
    <w:p w14:paraId="4FBB0BB2" w14:textId="38304E80" w:rsidR="00605BDF" w:rsidRPr="00DE2F9B" w:rsidRDefault="00605BDF" w:rsidP="00605BDF">
      <w:pPr>
        <w:spacing w:after="0" w:line="360" w:lineRule="auto"/>
        <w:ind w:firstLine="708"/>
        <w:jc w:val="both"/>
        <w:rPr>
          <w:rFonts w:ascii="Times New Roman" w:hAnsi="Times New Roman" w:cs="Times New Roman"/>
          <w:lang w:val="en-US"/>
        </w:rPr>
      </w:pPr>
      <w:r w:rsidRPr="00DE2F9B">
        <w:rPr>
          <w:rFonts w:ascii="Times New Roman" w:hAnsi="Times New Roman" w:cs="Times New Roman"/>
          <w:lang w:val="en-US"/>
        </w:rPr>
        <w:t>Considering the close integration between the visual and postural control systems</w:t>
      </w:r>
      <w:r w:rsidR="00DE2F9B" w:rsidRPr="00DE2F9B">
        <w:rPr>
          <w:rFonts w:ascii="Times New Roman" w:hAnsi="Times New Roman" w:cs="Times New Roman"/>
          <w:lang w:val="en-US"/>
        </w:rPr>
        <w:t xml:space="preserve"> (</w:t>
      </w:r>
      <w:proofErr w:type="spellStart"/>
      <w:r w:rsidR="00DE2F9B" w:rsidRPr="00DE2F9B">
        <w:rPr>
          <w:rFonts w:ascii="Times New Roman" w:hAnsi="Times New Roman" w:cs="Times New Roman"/>
          <w:lang w:val="en-US"/>
        </w:rPr>
        <w:t>Delfosse</w:t>
      </w:r>
      <w:proofErr w:type="spellEnd"/>
      <w:r w:rsidR="00DE2F9B" w:rsidRPr="00DE2F9B">
        <w:rPr>
          <w:rFonts w:ascii="Times New Roman" w:hAnsi="Times New Roman" w:cs="Times New Roman"/>
          <w:lang w:val="en-US"/>
        </w:rPr>
        <w:t xml:space="preserve"> et al., 2018)</w:t>
      </w:r>
      <w:r w:rsidRPr="00DE2F9B">
        <w:rPr>
          <w:rFonts w:ascii="Times New Roman" w:hAnsi="Times New Roman" w:cs="Times New Roman"/>
          <w:lang w:val="en-US"/>
        </w:rPr>
        <w:t>, it is plausible that improvements in convergence function may lead to better postural stability. This may be especially relevant in older populations, where diminished sensory integration and increased fall risk are common concerns</w:t>
      </w:r>
      <w:r w:rsidR="00DF068D" w:rsidRPr="00DE2F9B">
        <w:rPr>
          <w:rFonts w:ascii="Times New Roman" w:hAnsi="Times New Roman" w:cs="Times New Roman"/>
          <w:lang w:val="en-US"/>
        </w:rPr>
        <w:t xml:space="preserve"> </w:t>
      </w:r>
      <w:r w:rsidR="00DE2F9B" w:rsidRPr="00DE2F9B">
        <w:rPr>
          <w:rFonts w:ascii="Times New Roman" w:hAnsi="Times New Roman" w:cs="Times New Roman"/>
          <w:lang w:val="en-US"/>
        </w:rPr>
        <w:t>(</w:t>
      </w:r>
      <w:proofErr w:type="spellStart"/>
      <w:r w:rsidR="00DE2F9B" w:rsidRPr="00DE2F9B">
        <w:rPr>
          <w:rFonts w:ascii="Times New Roman" w:hAnsi="Times New Roman" w:cs="Times New Roman"/>
          <w:lang w:val="en-US"/>
        </w:rPr>
        <w:t>Horak</w:t>
      </w:r>
      <w:proofErr w:type="spellEnd"/>
      <w:r w:rsidR="00DE2F9B" w:rsidRPr="00DE2F9B">
        <w:rPr>
          <w:rFonts w:ascii="Times New Roman" w:hAnsi="Times New Roman" w:cs="Times New Roman"/>
          <w:lang w:val="en-US"/>
        </w:rPr>
        <w:t xml:space="preserve"> 2006, Van </w:t>
      </w:r>
      <w:proofErr w:type="spellStart"/>
      <w:r w:rsidR="00DE2F9B" w:rsidRPr="00DE2F9B">
        <w:rPr>
          <w:rFonts w:ascii="Times New Roman" w:hAnsi="Times New Roman" w:cs="Times New Roman"/>
          <w:lang w:val="en-US"/>
        </w:rPr>
        <w:t>Humbeeck</w:t>
      </w:r>
      <w:proofErr w:type="spellEnd"/>
      <w:r w:rsidR="00DE2F9B" w:rsidRPr="00DE2F9B">
        <w:rPr>
          <w:rFonts w:ascii="Times New Roman" w:hAnsi="Times New Roman" w:cs="Times New Roman"/>
          <w:lang w:val="en-US"/>
        </w:rPr>
        <w:t xml:space="preserve"> et al., 2023)</w:t>
      </w:r>
      <w:r w:rsidR="009669CB" w:rsidRPr="00DE2F9B">
        <w:rPr>
          <w:rFonts w:ascii="Times New Roman" w:hAnsi="Times New Roman" w:cs="Times New Roman"/>
          <w:lang w:val="en-US"/>
        </w:rPr>
        <w:t xml:space="preserve">.  </w:t>
      </w:r>
    </w:p>
    <w:p w14:paraId="55BC95E9" w14:textId="136951C7" w:rsidR="00605BDF" w:rsidRPr="00DE2F9B" w:rsidRDefault="00605BDF" w:rsidP="00605BDF">
      <w:pPr>
        <w:spacing w:after="0" w:line="360" w:lineRule="auto"/>
        <w:ind w:firstLine="708"/>
        <w:jc w:val="both"/>
        <w:rPr>
          <w:rFonts w:ascii="Times New Roman" w:hAnsi="Times New Roman" w:cs="Times New Roman"/>
          <w:lang w:val="en-US"/>
        </w:rPr>
      </w:pPr>
      <w:r w:rsidRPr="00DE2F9B">
        <w:rPr>
          <w:rFonts w:ascii="Times New Roman" w:hAnsi="Times New Roman" w:cs="Times New Roman"/>
          <w:lang w:val="en-US"/>
        </w:rPr>
        <w:t>The protocol includes a combination of validated clinical and functional outcomes, such as the NPC, the TUG</w:t>
      </w:r>
      <w:r w:rsidR="00E81313" w:rsidRPr="00DE2F9B">
        <w:rPr>
          <w:rFonts w:ascii="Times New Roman" w:hAnsi="Times New Roman" w:cs="Times New Roman"/>
          <w:lang w:val="en-US"/>
        </w:rPr>
        <w:t xml:space="preserve"> </w:t>
      </w:r>
      <w:r w:rsidRPr="00DE2F9B">
        <w:rPr>
          <w:rFonts w:ascii="Times New Roman" w:hAnsi="Times New Roman" w:cs="Times New Roman"/>
          <w:lang w:val="en-US"/>
        </w:rPr>
        <w:t>test, and postural sway analysis via force platform, which enhances the ecological validity and comprehensiveness of the assessment. Furthermore, by including follow-up evaluations and structured blinding procedures, the study design aims to minimize bias and increase the reliability of findings.</w:t>
      </w:r>
    </w:p>
    <w:p w14:paraId="7E17D3BA" w14:textId="1E8AAB8E" w:rsidR="002A4D7E" w:rsidRPr="00DE2F9B" w:rsidRDefault="00605BDF" w:rsidP="00605BDF">
      <w:pPr>
        <w:spacing w:after="0" w:line="360" w:lineRule="auto"/>
        <w:ind w:firstLine="708"/>
        <w:jc w:val="both"/>
        <w:rPr>
          <w:rFonts w:ascii="Times New Roman" w:hAnsi="Times New Roman" w:cs="Times New Roman"/>
          <w:lang w:val="en-US"/>
        </w:rPr>
      </w:pPr>
      <w:r w:rsidRPr="00DE2F9B">
        <w:rPr>
          <w:rFonts w:ascii="Times New Roman" w:hAnsi="Times New Roman" w:cs="Times New Roman"/>
          <w:lang w:val="en-US"/>
        </w:rPr>
        <w:t>If successful, this study will contribute to a growing body of evidence supporting the use of vision therapy as a multimodal strategy in functional rehabilitation. It may also inform clinical guidelines by highlighting the relevance of binocular vision assessment in balance-related interventions.</w:t>
      </w:r>
    </w:p>
    <w:p w14:paraId="1067F6C9" w14:textId="77777777" w:rsidR="002A4D7E" w:rsidRPr="00DE2F9B" w:rsidRDefault="002A4D7E" w:rsidP="002A4D7E">
      <w:pPr>
        <w:pStyle w:val="p1"/>
        <w:spacing w:before="0" w:beforeAutospacing="0" w:after="0" w:afterAutospacing="0" w:line="360" w:lineRule="auto"/>
        <w:jc w:val="both"/>
        <w:rPr>
          <w:b/>
          <w:bCs/>
          <w:color w:val="000000"/>
          <w:lang w:val="en-US"/>
        </w:rPr>
      </w:pPr>
    </w:p>
    <w:p w14:paraId="55EFC064" w14:textId="65FB4F9C" w:rsidR="002A4D7E" w:rsidRDefault="002A4D7E" w:rsidP="002A4D7E">
      <w:pPr>
        <w:pStyle w:val="p1"/>
        <w:spacing w:before="0" w:beforeAutospacing="0" w:after="0" w:afterAutospacing="0" w:line="360" w:lineRule="auto"/>
        <w:jc w:val="both"/>
        <w:rPr>
          <w:b/>
          <w:bCs/>
          <w:color w:val="000000"/>
          <w:lang w:val="en-US"/>
        </w:rPr>
      </w:pPr>
      <w:r w:rsidRPr="00DE2F9B">
        <w:rPr>
          <w:b/>
          <w:bCs/>
          <w:color w:val="000000"/>
          <w:lang w:val="en-US"/>
        </w:rPr>
        <w:t>4. CONCLUSION</w:t>
      </w:r>
    </w:p>
    <w:p w14:paraId="28AF9FDC" w14:textId="77777777" w:rsidR="00AD1AC6" w:rsidRPr="00DE2F9B" w:rsidRDefault="00AD1AC6" w:rsidP="002A4D7E">
      <w:pPr>
        <w:pStyle w:val="p1"/>
        <w:spacing w:before="0" w:beforeAutospacing="0" w:after="0" w:afterAutospacing="0" w:line="360" w:lineRule="auto"/>
        <w:jc w:val="both"/>
        <w:rPr>
          <w:b/>
          <w:bCs/>
          <w:color w:val="000000"/>
          <w:lang w:val="en-US"/>
        </w:rPr>
      </w:pPr>
    </w:p>
    <w:p w14:paraId="35FAEB33" w14:textId="304056EC" w:rsidR="00E81313" w:rsidRDefault="00605BDF" w:rsidP="002A4D7E">
      <w:pPr>
        <w:pStyle w:val="p1"/>
        <w:spacing w:before="0" w:beforeAutospacing="0" w:after="0" w:afterAutospacing="0" w:line="360" w:lineRule="auto"/>
        <w:jc w:val="both"/>
        <w:rPr>
          <w:lang w:val="en-US"/>
        </w:rPr>
      </w:pPr>
      <w:r w:rsidRPr="00DE2F9B">
        <w:rPr>
          <w:lang w:val="en-US"/>
        </w:rPr>
        <w:t>This clinical trial protocol proposes an innovative, non-invasive approach to improving binocular convergence and postural control through oculomotor therapy. By integrating vergence-based exercises into a structured intervention, this study seeks to examine whether enhancing visual function can generate measurable improvements in mobility and balance, particularly in populations at increased risk for postural instability. The results may support the incorporation of oculomotor rehabilitation into broader therapeutic strategies</w:t>
      </w:r>
      <w:r w:rsidRPr="00605BDF">
        <w:rPr>
          <w:lang w:val="en-US"/>
        </w:rPr>
        <w:t xml:space="preserve"> aimed at preventing falls and improving functional autonomy.</w:t>
      </w:r>
    </w:p>
    <w:p w14:paraId="38728CDD" w14:textId="77777777" w:rsidR="00AD1AC6" w:rsidRPr="002A4D7E" w:rsidRDefault="00AD1AC6" w:rsidP="002A4D7E">
      <w:pPr>
        <w:pStyle w:val="p1"/>
        <w:spacing w:before="0" w:beforeAutospacing="0" w:after="0" w:afterAutospacing="0" w:line="360" w:lineRule="auto"/>
        <w:jc w:val="both"/>
        <w:rPr>
          <w:lang w:val="en-US"/>
        </w:rPr>
      </w:pPr>
      <w:bookmarkStart w:id="0" w:name="_GoBack"/>
      <w:bookmarkEnd w:id="0"/>
    </w:p>
    <w:p w14:paraId="594442BA" w14:textId="77777777" w:rsidR="001E673E" w:rsidRDefault="001E673E" w:rsidP="001E67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b/>
          <w:bCs/>
          <w:color w:val="000000"/>
          <w:kern w:val="0"/>
          <w:lang w:val="en-US"/>
        </w:rPr>
      </w:pPr>
      <w:r w:rsidRPr="002A4D7E">
        <w:rPr>
          <w:rFonts w:ascii="Times New Roman" w:hAnsi="Times New Roman" w:cs="Times New Roman"/>
          <w:b/>
          <w:bCs/>
          <w:color w:val="000000"/>
          <w:kern w:val="0"/>
          <w:lang w:val="en-US"/>
        </w:rPr>
        <w:t>DISCLAIMER (ARTIFICIAL INTELLIGENCE)</w:t>
      </w:r>
    </w:p>
    <w:p w14:paraId="2E049FB8" w14:textId="77777777" w:rsidR="00AD1AC6" w:rsidRPr="002A4D7E" w:rsidRDefault="00AD1AC6" w:rsidP="001E67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b/>
          <w:bCs/>
          <w:color w:val="000000"/>
          <w:kern w:val="0"/>
          <w:lang w:val="en-US"/>
        </w:rPr>
      </w:pPr>
    </w:p>
    <w:p w14:paraId="36F99DDD" w14:textId="615C1D22" w:rsidR="001E673E" w:rsidRPr="001E673E" w:rsidRDefault="001E673E" w:rsidP="001E67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b/>
          <w:bCs/>
          <w:color w:val="000000"/>
          <w:kern w:val="0"/>
          <w:lang w:val="en-US"/>
        </w:rPr>
      </w:pPr>
      <w:r w:rsidRPr="002A4D7E">
        <w:rPr>
          <w:rFonts w:ascii="Times New Roman" w:eastAsia="Times New Roman" w:hAnsi="Times New Roman" w:cs="Times New Roman"/>
          <w:kern w:val="0"/>
          <w:lang w:val="en-US" w:eastAsia="pt-BR"/>
          <w14:ligatures w14:val="none"/>
        </w:rPr>
        <w:t>T</w:t>
      </w:r>
      <w:r w:rsidRPr="001E673E">
        <w:rPr>
          <w:rFonts w:ascii="Times New Roman" w:eastAsia="Times New Roman" w:hAnsi="Times New Roman" w:cs="Times New Roman"/>
          <w:kern w:val="0"/>
          <w:lang w:val="en-US" w:eastAsia="pt-BR"/>
          <w14:ligatures w14:val="none"/>
        </w:rPr>
        <w:t>he authors affirm that no generative artificial intelligence tools</w:t>
      </w:r>
      <w:r w:rsidRPr="002A4D7E">
        <w:rPr>
          <w:rFonts w:ascii="Times New Roman" w:eastAsia="Times New Roman" w:hAnsi="Times New Roman" w:cs="Times New Roman"/>
          <w:kern w:val="0"/>
          <w:lang w:val="en-US" w:eastAsia="pt-BR"/>
          <w14:ligatures w14:val="none"/>
        </w:rPr>
        <w:t xml:space="preserve">, </w:t>
      </w:r>
      <w:r w:rsidRPr="001E673E">
        <w:rPr>
          <w:rFonts w:ascii="Times New Roman" w:eastAsia="Times New Roman" w:hAnsi="Times New Roman" w:cs="Times New Roman"/>
          <w:kern w:val="0"/>
          <w:lang w:val="en-US" w:eastAsia="pt-BR"/>
          <w14:ligatures w14:val="none"/>
        </w:rPr>
        <w:t xml:space="preserve">including large language models (e.g., </w:t>
      </w:r>
      <w:proofErr w:type="spellStart"/>
      <w:r w:rsidRPr="001E673E">
        <w:rPr>
          <w:rFonts w:ascii="Times New Roman" w:eastAsia="Times New Roman" w:hAnsi="Times New Roman" w:cs="Times New Roman"/>
          <w:kern w:val="0"/>
          <w:lang w:val="en-US" w:eastAsia="pt-BR"/>
          <w14:ligatures w14:val="none"/>
        </w:rPr>
        <w:t>ChatGPT</w:t>
      </w:r>
      <w:proofErr w:type="spellEnd"/>
      <w:r w:rsidRPr="001E673E">
        <w:rPr>
          <w:rFonts w:ascii="Times New Roman" w:eastAsia="Times New Roman" w:hAnsi="Times New Roman" w:cs="Times New Roman"/>
          <w:kern w:val="0"/>
          <w:lang w:val="en-US" w:eastAsia="pt-BR"/>
          <w14:ligatures w14:val="none"/>
        </w:rPr>
        <w:t>, Copilot) or image generation software were utilized in the preparation, writing, or editing of this manuscript.</w:t>
      </w:r>
    </w:p>
    <w:p w14:paraId="2129F729" w14:textId="2CDDCFFA" w:rsidR="001E673E" w:rsidRPr="001E673E" w:rsidRDefault="001E673E" w:rsidP="001E673E">
      <w:pPr>
        <w:spacing w:after="0" w:line="360" w:lineRule="auto"/>
        <w:rPr>
          <w:rFonts w:ascii="Times New Roman" w:eastAsia="Times New Roman" w:hAnsi="Times New Roman" w:cs="Times New Roman"/>
          <w:kern w:val="0"/>
          <w:lang w:val="en-US" w:eastAsia="pt-BR"/>
          <w14:ligatures w14:val="none"/>
        </w:rPr>
      </w:pPr>
    </w:p>
    <w:p w14:paraId="7BF4CA6E" w14:textId="77777777" w:rsidR="001E673E" w:rsidRDefault="001E673E" w:rsidP="001E67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 New Roman" w:hAnsi="Times New Roman" w:cs="Times New Roman"/>
          <w:b/>
          <w:bCs/>
          <w:color w:val="000000"/>
          <w:kern w:val="0"/>
          <w:lang w:val="en-US"/>
        </w:rPr>
      </w:pPr>
      <w:r w:rsidRPr="002A4D7E">
        <w:rPr>
          <w:rFonts w:ascii="Times New Roman" w:hAnsi="Times New Roman" w:cs="Times New Roman"/>
          <w:b/>
          <w:bCs/>
          <w:color w:val="000000"/>
          <w:kern w:val="0"/>
          <w:lang w:val="en-US"/>
        </w:rPr>
        <w:lastRenderedPageBreak/>
        <w:t>CONSENT</w:t>
      </w:r>
    </w:p>
    <w:p w14:paraId="218C64A8" w14:textId="77777777" w:rsidR="00AD1AC6" w:rsidRPr="002A4D7E" w:rsidRDefault="00AD1AC6" w:rsidP="001E67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 New Roman" w:hAnsi="Times New Roman" w:cs="Times New Roman"/>
          <w:b/>
          <w:bCs/>
          <w:color w:val="000000"/>
          <w:kern w:val="0"/>
          <w:lang w:val="en-US"/>
        </w:rPr>
      </w:pPr>
    </w:p>
    <w:p w14:paraId="243EFB34" w14:textId="46CA2B4D" w:rsidR="001E673E" w:rsidRPr="002A4D7E" w:rsidRDefault="001E673E" w:rsidP="001E67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 New Roman" w:hAnsi="Times New Roman" w:cs="Times New Roman"/>
          <w:color w:val="000000"/>
          <w:kern w:val="0"/>
          <w:lang w:val="en-US"/>
        </w:rPr>
      </w:pPr>
      <w:r w:rsidRPr="002A4D7E">
        <w:rPr>
          <w:rFonts w:ascii="Times New Roman" w:hAnsi="Times New Roman" w:cs="Times New Roman"/>
          <w:color w:val="000000"/>
          <w:kern w:val="0"/>
          <w:lang w:val="en-US"/>
        </w:rPr>
        <w:t>As per international standard or university standard, patient(s) written consent has been collected and preserved by the authors.</w:t>
      </w:r>
    </w:p>
    <w:p w14:paraId="37E43B29" w14:textId="77777777" w:rsidR="001E673E" w:rsidRPr="002A4D7E" w:rsidRDefault="001E673E" w:rsidP="001E673E">
      <w:pPr>
        <w:pStyle w:val="p1"/>
        <w:spacing w:before="0" w:beforeAutospacing="0" w:after="0" w:afterAutospacing="0" w:line="360" w:lineRule="auto"/>
        <w:ind w:firstLine="708"/>
        <w:jc w:val="both"/>
        <w:rPr>
          <w:lang w:val="en-US"/>
        </w:rPr>
      </w:pPr>
    </w:p>
    <w:p w14:paraId="3CB0158F" w14:textId="77777777" w:rsidR="001E673E" w:rsidRPr="002A4D7E" w:rsidRDefault="001E673E" w:rsidP="002A4D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 New Roman" w:hAnsi="Times New Roman" w:cs="Times New Roman"/>
          <w:b/>
          <w:bCs/>
          <w:color w:val="000000"/>
          <w:kern w:val="0"/>
          <w:lang w:val="en-US"/>
        </w:rPr>
      </w:pPr>
      <w:r w:rsidRPr="002A4D7E">
        <w:rPr>
          <w:rFonts w:ascii="Times New Roman" w:hAnsi="Times New Roman" w:cs="Times New Roman"/>
          <w:b/>
          <w:bCs/>
          <w:color w:val="000000"/>
          <w:kern w:val="0"/>
          <w:lang w:val="en-US"/>
        </w:rPr>
        <w:t>ETHICAL APPROVAL</w:t>
      </w:r>
    </w:p>
    <w:p w14:paraId="228E4917" w14:textId="6D2F7DCA" w:rsidR="002A4D7E" w:rsidRPr="002A4D7E" w:rsidRDefault="002A4D7E" w:rsidP="002A4D7E">
      <w:pPr>
        <w:pStyle w:val="p1"/>
        <w:spacing w:before="0" w:beforeAutospacing="0" w:after="0" w:afterAutospacing="0" w:line="360" w:lineRule="auto"/>
        <w:jc w:val="both"/>
        <w:rPr>
          <w:lang w:val="en-US"/>
        </w:rPr>
      </w:pPr>
      <w:r w:rsidRPr="002A4D7E">
        <w:rPr>
          <w:lang w:val="en-US"/>
        </w:rPr>
        <w:t>All eligible participants will receive detailed information regarding the study’s objectives and procedures. Those who voluntarily agree to participate will be required to sign an informed consent form, in compliance with the principles outlined in the Declaration of Helsinki (1975) and Resolution 466/12 of the Brazilian National Health Council.</w:t>
      </w:r>
    </w:p>
    <w:p w14:paraId="7A697BF2" w14:textId="62CC98B6" w:rsidR="002A4D7E" w:rsidRPr="002A4D7E" w:rsidRDefault="002A4D7E" w:rsidP="002A4D7E">
      <w:pPr>
        <w:pStyle w:val="p1"/>
        <w:spacing w:line="360" w:lineRule="auto"/>
        <w:jc w:val="both"/>
        <w:rPr>
          <w:lang w:val="en-US"/>
        </w:rPr>
      </w:pPr>
      <w:r w:rsidRPr="002A4D7E">
        <w:rPr>
          <w:lang w:val="en-US"/>
        </w:rPr>
        <w:t xml:space="preserve">This research protocol has been approved by the Ethics Committee of </w:t>
      </w:r>
      <w:proofErr w:type="spellStart"/>
      <w:r w:rsidRPr="002A4D7E">
        <w:rPr>
          <w:lang w:val="en-US"/>
        </w:rPr>
        <w:t>Nove</w:t>
      </w:r>
      <w:proofErr w:type="spellEnd"/>
      <w:r w:rsidRPr="002A4D7E">
        <w:rPr>
          <w:lang w:val="en-US"/>
        </w:rPr>
        <w:t xml:space="preserve"> de </w:t>
      </w:r>
      <w:proofErr w:type="spellStart"/>
      <w:r w:rsidRPr="002A4D7E">
        <w:rPr>
          <w:lang w:val="en-US"/>
        </w:rPr>
        <w:t>Julho</w:t>
      </w:r>
      <w:proofErr w:type="spellEnd"/>
      <w:r w:rsidRPr="002A4D7E">
        <w:rPr>
          <w:lang w:val="en-US"/>
        </w:rPr>
        <w:t xml:space="preserve"> University (approval number: </w:t>
      </w:r>
      <w:r w:rsidR="00F54F94" w:rsidRPr="00C11AE6">
        <w:rPr>
          <w:color w:val="333333"/>
          <w:shd w:val="clear" w:color="auto" w:fill="FFFFFF"/>
          <w:lang w:val="en-US"/>
        </w:rPr>
        <w:t>79397224.2.0000.5511</w:t>
      </w:r>
      <w:r w:rsidRPr="00C11AE6">
        <w:rPr>
          <w:lang w:val="en-US"/>
        </w:rPr>
        <w:t>)</w:t>
      </w:r>
      <w:r w:rsidRPr="002A4D7E">
        <w:rPr>
          <w:lang w:val="en-US"/>
        </w:rPr>
        <w:t xml:space="preserve"> and is registered in the ClinicalTrials.gov database under identifier NCT07036263.</w:t>
      </w:r>
    </w:p>
    <w:p w14:paraId="3BC4DC7D" w14:textId="77777777" w:rsidR="002A4D7E" w:rsidRPr="002A4D7E" w:rsidRDefault="002A4D7E" w:rsidP="002A4D7E">
      <w:pPr>
        <w:pStyle w:val="p1"/>
        <w:spacing w:line="360" w:lineRule="auto"/>
        <w:jc w:val="both"/>
        <w:rPr>
          <w:lang w:val="en-US"/>
        </w:rPr>
      </w:pPr>
      <w:r w:rsidRPr="002A4D7E">
        <w:rPr>
          <w:lang w:val="en-US"/>
        </w:rPr>
        <w:t>All personal data collected from potential and enrolled participants will be handled confidentially by the research team and safeguarded throughout the study, as well as after its completion.</w:t>
      </w:r>
    </w:p>
    <w:p w14:paraId="2B09C4F8" w14:textId="77777777" w:rsidR="001E673E" w:rsidRPr="002A4D7E" w:rsidRDefault="001E673E" w:rsidP="001E67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 New Roman" w:hAnsi="Times New Roman" w:cs="Times New Roman"/>
          <w:b/>
          <w:bCs/>
          <w:color w:val="000000"/>
          <w:kern w:val="0"/>
          <w:lang w:val="en-US"/>
        </w:rPr>
      </w:pPr>
    </w:p>
    <w:p w14:paraId="4EBC614D" w14:textId="77777777" w:rsidR="00547F60" w:rsidRPr="004E3601" w:rsidRDefault="00547F60" w:rsidP="004E3601">
      <w:pPr>
        <w:jc w:val="both"/>
        <w:rPr>
          <w:rFonts w:ascii="Times New Roman" w:hAnsi="Times New Roman" w:cs="Times New Roman"/>
          <w:lang w:val="en-US"/>
        </w:rPr>
      </w:pPr>
    </w:p>
    <w:p w14:paraId="73261BC0" w14:textId="367738F0" w:rsidR="00605BDF" w:rsidRPr="00A53168" w:rsidRDefault="00605BDF" w:rsidP="004E3601">
      <w:pPr>
        <w:pStyle w:val="Heading1"/>
        <w:spacing w:line="360" w:lineRule="auto"/>
        <w:jc w:val="both"/>
        <w:rPr>
          <w:rFonts w:ascii="Times New Roman" w:hAnsi="Times New Roman" w:cs="Times New Roman"/>
          <w:b/>
          <w:bCs/>
          <w:color w:val="000000" w:themeColor="text1"/>
          <w:sz w:val="24"/>
          <w:szCs w:val="24"/>
        </w:rPr>
      </w:pPr>
      <w:r w:rsidRPr="00A53168">
        <w:rPr>
          <w:rFonts w:ascii="Times New Roman" w:hAnsi="Times New Roman" w:cs="Times New Roman"/>
          <w:b/>
          <w:bCs/>
          <w:color w:val="000000" w:themeColor="text1"/>
          <w:sz w:val="24"/>
          <w:szCs w:val="24"/>
        </w:rPr>
        <w:t xml:space="preserve">References </w:t>
      </w:r>
    </w:p>
    <w:p w14:paraId="50108452" w14:textId="77777777" w:rsidR="004E3601" w:rsidRPr="004E3601" w:rsidRDefault="004E3601" w:rsidP="004E3601">
      <w:pPr>
        <w:spacing w:after="0" w:line="360" w:lineRule="auto"/>
        <w:ind w:left="709" w:hanging="709"/>
        <w:jc w:val="both"/>
        <w:rPr>
          <w:rFonts w:ascii="Times New Roman" w:hAnsi="Times New Roman" w:cs="Times New Roman"/>
          <w:lang w:val="en-US"/>
        </w:rPr>
      </w:pPr>
      <w:r w:rsidRPr="00A53168">
        <w:rPr>
          <w:rFonts w:ascii="Times New Roman" w:hAnsi="Times New Roman" w:cs="Times New Roman"/>
        </w:rPr>
        <w:t xml:space="preserve">Baratto, L., Morasso, P., Re, C., &amp; Spada, G. (2002). </w:t>
      </w:r>
      <w:r w:rsidRPr="004E3601">
        <w:rPr>
          <w:rFonts w:ascii="Times New Roman" w:hAnsi="Times New Roman" w:cs="Times New Roman"/>
          <w:lang w:val="en-US"/>
        </w:rPr>
        <w:t xml:space="preserve">A New Look at </w:t>
      </w:r>
      <w:proofErr w:type="spellStart"/>
      <w:r w:rsidRPr="004E3601">
        <w:rPr>
          <w:rFonts w:ascii="Times New Roman" w:hAnsi="Times New Roman" w:cs="Times New Roman"/>
          <w:lang w:val="en-US"/>
        </w:rPr>
        <w:t>Posturographic</w:t>
      </w:r>
      <w:proofErr w:type="spellEnd"/>
      <w:r w:rsidRPr="004E3601">
        <w:rPr>
          <w:rFonts w:ascii="Times New Roman" w:hAnsi="Times New Roman" w:cs="Times New Roman"/>
          <w:lang w:val="en-US"/>
        </w:rPr>
        <w:t xml:space="preserve"> Analysis in the Clinical Context: Sway-Density versus Other Parameterization Techniques. </w:t>
      </w:r>
      <w:r w:rsidRPr="004E3601">
        <w:rPr>
          <w:rFonts w:ascii="Times New Roman" w:hAnsi="Times New Roman" w:cs="Times New Roman"/>
          <w:i/>
          <w:iCs/>
          <w:lang w:val="en-US"/>
        </w:rPr>
        <w:t>Motor Control</w:t>
      </w:r>
      <w:r w:rsidRPr="004E3601">
        <w:rPr>
          <w:rFonts w:ascii="Times New Roman" w:hAnsi="Times New Roman" w:cs="Times New Roman"/>
          <w:lang w:val="en-US"/>
        </w:rPr>
        <w:t>, 6(3), 246–270.</w:t>
      </w:r>
    </w:p>
    <w:p w14:paraId="24B1293D" w14:textId="77777777" w:rsidR="004E3601" w:rsidRPr="004E3601" w:rsidRDefault="004E3601" w:rsidP="004E3601">
      <w:pPr>
        <w:spacing w:after="0" w:line="360" w:lineRule="auto"/>
        <w:ind w:left="709" w:hanging="709"/>
        <w:jc w:val="both"/>
        <w:rPr>
          <w:rFonts w:ascii="Times New Roman" w:hAnsi="Times New Roman" w:cs="Times New Roman"/>
          <w:lang w:val="en-US"/>
        </w:rPr>
      </w:pPr>
      <w:r w:rsidRPr="000126D5">
        <w:rPr>
          <w:rFonts w:ascii="Times New Roman" w:hAnsi="Times New Roman" w:cs="Times New Roman"/>
          <w:lang w:val="sv-SE"/>
        </w:rPr>
        <w:t xml:space="preserve">Bjerk, M., Brovold, T., Skelton, D. A., Bergland, A., &amp; Moe-Nilssen, R. (2019). </w:t>
      </w:r>
      <w:r w:rsidRPr="004E3601">
        <w:rPr>
          <w:rFonts w:ascii="Times New Roman" w:hAnsi="Times New Roman" w:cs="Times New Roman"/>
          <w:lang w:val="en-US"/>
        </w:rPr>
        <w:t xml:space="preserve">Effects of a </w:t>
      </w:r>
      <w:proofErr w:type="gramStart"/>
      <w:r w:rsidRPr="004E3601">
        <w:rPr>
          <w:rFonts w:ascii="Times New Roman" w:hAnsi="Times New Roman" w:cs="Times New Roman"/>
          <w:lang w:val="en-US"/>
        </w:rPr>
        <w:t>falls</w:t>
      </w:r>
      <w:proofErr w:type="gramEnd"/>
      <w:r w:rsidRPr="004E3601">
        <w:rPr>
          <w:rFonts w:ascii="Times New Roman" w:hAnsi="Times New Roman" w:cs="Times New Roman"/>
          <w:lang w:val="en-US"/>
        </w:rPr>
        <w:t xml:space="preserve"> prevention exercise </w:t>
      </w:r>
      <w:proofErr w:type="spellStart"/>
      <w:r w:rsidRPr="004E3601">
        <w:rPr>
          <w:rFonts w:ascii="Times New Roman" w:hAnsi="Times New Roman" w:cs="Times New Roman"/>
          <w:lang w:val="en-US"/>
        </w:rPr>
        <w:t>programme</w:t>
      </w:r>
      <w:proofErr w:type="spellEnd"/>
      <w:r w:rsidRPr="004E3601">
        <w:rPr>
          <w:rFonts w:ascii="Times New Roman" w:hAnsi="Times New Roman" w:cs="Times New Roman"/>
          <w:lang w:val="en-US"/>
        </w:rPr>
        <w:t xml:space="preserve"> on health-related quality of life in older home care recipients: a </w:t>
      </w:r>
      <w:proofErr w:type="spellStart"/>
      <w:r w:rsidRPr="004E3601">
        <w:rPr>
          <w:rFonts w:ascii="Times New Roman" w:hAnsi="Times New Roman" w:cs="Times New Roman"/>
          <w:lang w:val="en-US"/>
        </w:rPr>
        <w:t>randomised</w:t>
      </w:r>
      <w:proofErr w:type="spellEnd"/>
      <w:r w:rsidRPr="004E3601">
        <w:rPr>
          <w:rFonts w:ascii="Times New Roman" w:hAnsi="Times New Roman" w:cs="Times New Roman"/>
          <w:lang w:val="en-US"/>
        </w:rPr>
        <w:t xml:space="preserve"> controlled trial. </w:t>
      </w:r>
      <w:r w:rsidRPr="004E3601">
        <w:rPr>
          <w:rFonts w:ascii="Times New Roman" w:hAnsi="Times New Roman" w:cs="Times New Roman"/>
          <w:i/>
          <w:iCs/>
          <w:lang w:val="en-US"/>
        </w:rPr>
        <w:t>Age and Ageing</w:t>
      </w:r>
      <w:r w:rsidRPr="004E3601">
        <w:rPr>
          <w:rFonts w:ascii="Times New Roman" w:hAnsi="Times New Roman" w:cs="Times New Roman"/>
          <w:lang w:val="en-US"/>
        </w:rPr>
        <w:t>, 48(2), 213–219.</w:t>
      </w:r>
    </w:p>
    <w:p w14:paraId="3B87CEC5" w14:textId="77777777" w:rsidR="004E3601" w:rsidRPr="004E3601" w:rsidRDefault="004E3601" w:rsidP="004E3601">
      <w:pPr>
        <w:spacing w:after="0" w:line="360" w:lineRule="auto"/>
        <w:ind w:left="709" w:hanging="709"/>
        <w:jc w:val="both"/>
        <w:rPr>
          <w:rFonts w:ascii="Times New Roman" w:hAnsi="Times New Roman" w:cs="Times New Roman"/>
          <w:lang w:val="en-US"/>
        </w:rPr>
      </w:pPr>
      <w:r w:rsidRPr="004E3601">
        <w:rPr>
          <w:rFonts w:ascii="Times New Roman" w:hAnsi="Times New Roman" w:cs="Times New Roman"/>
          <w:lang w:val="en-US"/>
        </w:rPr>
        <w:t>Bucci, M. P., Wiener-</w:t>
      </w:r>
      <w:proofErr w:type="spellStart"/>
      <w:r w:rsidRPr="004E3601">
        <w:rPr>
          <w:rFonts w:ascii="Times New Roman" w:hAnsi="Times New Roman" w:cs="Times New Roman"/>
          <w:lang w:val="en-US"/>
        </w:rPr>
        <w:t>Vacher</w:t>
      </w:r>
      <w:proofErr w:type="spellEnd"/>
      <w:r w:rsidRPr="004E3601">
        <w:rPr>
          <w:rFonts w:ascii="Times New Roman" w:hAnsi="Times New Roman" w:cs="Times New Roman"/>
          <w:lang w:val="en-US"/>
        </w:rPr>
        <w:t xml:space="preserve">, S., </w:t>
      </w:r>
      <w:proofErr w:type="spellStart"/>
      <w:r w:rsidRPr="004E3601">
        <w:rPr>
          <w:rFonts w:ascii="Times New Roman" w:hAnsi="Times New Roman" w:cs="Times New Roman"/>
          <w:lang w:val="en-US"/>
        </w:rPr>
        <w:t>Légrand</w:t>
      </w:r>
      <w:proofErr w:type="spellEnd"/>
      <w:r w:rsidRPr="004E3601">
        <w:rPr>
          <w:rFonts w:ascii="Times New Roman" w:hAnsi="Times New Roman" w:cs="Times New Roman"/>
          <w:lang w:val="en-US"/>
        </w:rPr>
        <w:t>, A., &amp; Wiener-</w:t>
      </w:r>
      <w:proofErr w:type="spellStart"/>
      <w:r w:rsidRPr="004E3601">
        <w:rPr>
          <w:rFonts w:ascii="Times New Roman" w:hAnsi="Times New Roman" w:cs="Times New Roman"/>
          <w:lang w:val="en-US"/>
        </w:rPr>
        <w:t>Vacher</w:t>
      </w:r>
      <w:proofErr w:type="spellEnd"/>
      <w:r w:rsidRPr="004E3601">
        <w:rPr>
          <w:rFonts w:ascii="Times New Roman" w:hAnsi="Times New Roman" w:cs="Times New Roman"/>
          <w:lang w:val="en-US"/>
        </w:rPr>
        <w:t xml:space="preserve">, S. (2009). Poor Postural Stability in Children with Vertigo and Vergence Abnormalities. </w:t>
      </w:r>
      <w:r w:rsidRPr="004E3601">
        <w:rPr>
          <w:rFonts w:ascii="Times New Roman" w:hAnsi="Times New Roman" w:cs="Times New Roman"/>
          <w:i/>
          <w:iCs/>
          <w:lang w:val="en-US"/>
        </w:rPr>
        <w:t xml:space="preserve">Investigative Ophthalmology &amp; Visual Science, </w:t>
      </w:r>
      <w:r w:rsidRPr="004E3601">
        <w:rPr>
          <w:rFonts w:ascii="Times New Roman" w:hAnsi="Times New Roman" w:cs="Times New Roman"/>
          <w:lang w:val="en-US"/>
        </w:rPr>
        <w:t>50(10), 4678–4684.</w:t>
      </w:r>
    </w:p>
    <w:p w14:paraId="64142B97" w14:textId="77777777" w:rsidR="004E3601" w:rsidRPr="004E3601" w:rsidRDefault="004E3601" w:rsidP="004E3601">
      <w:pPr>
        <w:spacing w:after="0" w:line="360" w:lineRule="auto"/>
        <w:ind w:left="709" w:hanging="709"/>
        <w:jc w:val="both"/>
        <w:rPr>
          <w:rFonts w:ascii="Times New Roman" w:hAnsi="Times New Roman" w:cs="Times New Roman"/>
          <w:lang w:val="en-US"/>
        </w:rPr>
      </w:pPr>
      <w:r w:rsidRPr="004E3601">
        <w:rPr>
          <w:rFonts w:ascii="Times New Roman" w:hAnsi="Times New Roman" w:cs="Times New Roman"/>
          <w:lang w:val="en-US"/>
        </w:rPr>
        <w:t xml:space="preserve">Chang, M. Y., Rouse, M. W., </w:t>
      </w:r>
      <w:proofErr w:type="spellStart"/>
      <w:r w:rsidRPr="004E3601">
        <w:rPr>
          <w:rFonts w:ascii="Times New Roman" w:hAnsi="Times New Roman" w:cs="Times New Roman"/>
          <w:lang w:val="en-US"/>
        </w:rPr>
        <w:t>Scheiman</w:t>
      </w:r>
      <w:proofErr w:type="spellEnd"/>
      <w:r w:rsidRPr="004E3601">
        <w:rPr>
          <w:rFonts w:ascii="Times New Roman" w:hAnsi="Times New Roman" w:cs="Times New Roman"/>
          <w:lang w:val="en-US"/>
        </w:rPr>
        <w:t xml:space="preserve">, M., Cotter, S. A., &amp; </w:t>
      </w:r>
      <w:proofErr w:type="spellStart"/>
      <w:r w:rsidRPr="004E3601">
        <w:rPr>
          <w:rFonts w:ascii="Times New Roman" w:hAnsi="Times New Roman" w:cs="Times New Roman"/>
          <w:lang w:val="en-US"/>
        </w:rPr>
        <w:t>Kulp</w:t>
      </w:r>
      <w:proofErr w:type="spellEnd"/>
      <w:r w:rsidRPr="004E3601">
        <w:rPr>
          <w:rFonts w:ascii="Times New Roman" w:hAnsi="Times New Roman" w:cs="Times New Roman"/>
          <w:lang w:val="en-US"/>
        </w:rPr>
        <w:t xml:space="preserve">, M. T. (2021). Home- and Office-Based Vergence and Accommodative Therapies for Treatment of </w:t>
      </w:r>
      <w:r w:rsidRPr="004E3601">
        <w:rPr>
          <w:rFonts w:ascii="Times New Roman" w:hAnsi="Times New Roman" w:cs="Times New Roman"/>
          <w:lang w:val="en-US"/>
        </w:rPr>
        <w:lastRenderedPageBreak/>
        <w:t xml:space="preserve">Convergence Insufficiency in Children and Young Adults: A Report by the American Academy of Ophthalmology. </w:t>
      </w:r>
      <w:r w:rsidRPr="004E3601">
        <w:rPr>
          <w:rFonts w:ascii="Times New Roman" w:hAnsi="Times New Roman" w:cs="Times New Roman"/>
          <w:i/>
          <w:iCs/>
          <w:lang w:val="en-US"/>
        </w:rPr>
        <w:t>Ophthalmology</w:t>
      </w:r>
      <w:r w:rsidRPr="004E3601">
        <w:rPr>
          <w:rFonts w:ascii="Times New Roman" w:hAnsi="Times New Roman" w:cs="Times New Roman"/>
          <w:lang w:val="en-US"/>
        </w:rPr>
        <w:t>, 128(12), 1756–1765.</w:t>
      </w:r>
    </w:p>
    <w:p w14:paraId="74D91964" w14:textId="77777777" w:rsidR="004E3601" w:rsidRPr="004E3601" w:rsidRDefault="004E3601" w:rsidP="004E3601">
      <w:pPr>
        <w:spacing w:after="0" w:line="360" w:lineRule="auto"/>
        <w:ind w:left="709" w:hanging="709"/>
        <w:jc w:val="both"/>
        <w:rPr>
          <w:rFonts w:ascii="Times New Roman" w:hAnsi="Times New Roman" w:cs="Times New Roman"/>
          <w:lang w:val="en-US"/>
        </w:rPr>
      </w:pPr>
      <w:r w:rsidRPr="004E3601">
        <w:rPr>
          <w:rFonts w:ascii="Times New Roman" w:hAnsi="Times New Roman" w:cs="Times New Roman"/>
          <w:lang w:val="en-US"/>
        </w:rPr>
        <w:t xml:space="preserve">CITT-Convergence Insufficiency Treatment Trial Study Group. (2008). The Convergence Insufficiency Treatment Trial: Design, Methods, and Baseline Data. </w:t>
      </w:r>
      <w:r w:rsidRPr="004E3601">
        <w:rPr>
          <w:rFonts w:ascii="Times New Roman" w:hAnsi="Times New Roman" w:cs="Times New Roman"/>
          <w:i/>
          <w:iCs/>
          <w:lang w:val="en-US"/>
        </w:rPr>
        <w:t>Ophthalmic Epidemiology</w:t>
      </w:r>
      <w:r w:rsidRPr="004E3601">
        <w:rPr>
          <w:rFonts w:ascii="Times New Roman" w:hAnsi="Times New Roman" w:cs="Times New Roman"/>
          <w:lang w:val="en-US"/>
        </w:rPr>
        <w:t>, 15(1), 24–36.</w:t>
      </w:r>
    </w:p>
    <w:p w14:paraId="47B013DA" w14:textId="77777777" w:rsidR="004E3601" w:rsidRPr="004E3601" w:rsidRDefault="004E3601" w:rsidP="004E3601">
      <w:pPr>
        <w:spacing w:after="0" w:line="360" w:lineRule="auto"/>
        <w:ind w:left="709" w:hanging="709"/>
        <w:jc w:val="both"/>
        <w:rPr>
          <w:rFonts w:ascii="Times New Roman" w:hAnsi="Times New Roman" w:cs="Times New Roman"/>
          <w:lang w:val="en-US"/>
        </w:rPr>
      </w:pPr>
      <w:proofErr w:type="spellStart"/>
      <w:r w:rsidRPr="004E3601">
        <w:rPr>
          <w:rFonts w:ascii="Times New Roman" w:hAnsi="Times New Roman" w:cs="Times New Roman"/>
          <w:lang w:val="en-US"/>
        </w:rPr>
        <w:t>Creavin</w:t>
      </w:r>
      <w:proofErr w:type="spellEnd"/>
      <w:r w:rsidRPr="004E3601">
        <w:rPr>
          <w:rFonts w:ascii="Times New Roman" w:hAnsi="Times New Roman" w:cs="Times New Roman"/>
          <w:lang w:val="en-US"/>
        </w:rPr>
        <w:t>, S. T., Wisniewski, S., Noel-</w:t>
      </w:r>
      <w:proofErr w:type="spellStart"/>
      <w:r w:rsidRPr="004E3601">
        <w:rPr>
          <w:rFonts w:ascii="Times New Roman" w:hAnsi="Times New Roman" w:cs="Times New Roman"/>
          <w:lang w:val="en-US"/>
        </w:rPr>
        <w:t>Storr</w:t>
      </w:r>
      <w:proofErr w:type="spellEnd"/>
      <w:r w:rsidRPr="004E3601">
        <w:rPr>
          <w:rFonts w:ascii="Times New Roman" w:hAnsi="Times New Roman" w:cs="Times New Roman"/>
          <w:lang w:val="en-US"/>
        </w:rPr>
        <w:t xml:space="preserve">, A. H., Trevelyan, C. M., Hampton, T., Rayment, D., et al. </w:t>
      </w:r>
      <w:r w:rsidRPr="00C75293">
        <w:rPr>
          <w:rFonts w:ascii="Times New Roman" w:hAnsi="Times New Roman" w:cs="Times New Roman"/>
          <w:lang w:val="en-US"/>
        </w:rPr>
        <w:t xml:space="preserve">(2016). </w:t>
      </w:r>
      <w:r w:rsidRPr="004E3601">
        <w:rPr>
          <w:rFonts w:ascii="Times New Roman" w:hAnsi="Times New Roman" w:cs="Times New Roman"/>
          <w:lang w:val="en-US"/>
        </w:rPr>
        <w:t xml:space="preserve">Mini-Mental State Examination (MMSE) for the detection of dementia in clinically unevaluated people aged 65 and over in community and primary care populations. </w:t>
      </w:r>
      <w:r w:rsidRPr="004E3601">
        <w:rPr>
          <w:rFonts w:ascii="Times New Roman" w:hAnsi="Times New Roman" w:cs="Times New Roman"/>
          <w:i/>
          <w:iCs/>
          <w:lang w:val="en-US"/>
        </w:rPr>
        <w:t>Cochrane Database of Systematic Reviews</w:t>
      </w:r>
      <w:r w:rsidRPr="004E3601">
        <w:rPr>
          <w:rFonts w:ascii="Times New Roman" w:hAnsi="Times New Roman" w:cs="Times New Roman"/>
          <w:lang w:val="en-US"/>
        </w:rPr>
        <w:t>, 2016(4).</w:t>
      </w:r>
    </w:p>
    <w:p w14:paraId="48F67C12" w14:textId="77777777" w:rsidR="004E3601" w:rsidRPr="004E3601" w:rsidRDefault="004E3601" w:rsidP="004E3601">
      <w:pPr>
        <w:spacing w:after="0" w:line="360" w:lineRule="auto"/>
        <w:ind w:left="709" w:hanging="709"/>
        <w:jc w:val="both"/>
        <w:rPr>
          <w:rFonts w:ascii="Times New Roman" w:hAnsi="Times New Roman" w:cs="Times New Roman"/>
          <w:lang w:val="en-US"/>
        </w:rPr>
      </w:pPr>
      <w:proofErr w:type="spellStart"/>
      <w:r w:rsidRPr="004E3601">
        <w:rPr>
          <w:rFonts w:ascii="Times New Roman" w:hAnsi="Times New Roman" w:cs="Times New Roman"/>
          <w:lang w:val="en-US"/>
        </w:rPr>
        <w:t>Cuccia</w:t>
      </w:r>
      <w:proofErr w:type="spellEnd"/>
      <w:r w:rsidRPr="004E3601">
        <w:rPr>
          <w:rFonts w:ascii="Times New Roman" w:hAnsi="Times New Roman" w:cs="Times New Roman"/>
          <w:lang w:val="en-US"/>
        </w:rPr>
        <w:t xml:space="preserve">, A. M., &amp; </w:t>
      </w:r>
      <w:proofErr w:type="spellStart"/>
      <w:r w:rsidRPr="004E3601">
        <w:rPr>
          <w:rFonts w:ascii="Times New Roman" w:hAnsi="Times New Roman" w:cs="Times New Roman"/>
          <w:lang w:val="en-US"/>
        </w:rPr>
        <w:t>Caradonna</w:t>
      </w:r>
      <w:proofErr w:type="spellEnd"/>
      <w:r w:rsidRPr="004E3601">
        <w:rPr>
          <w:rFonts w:ascii="Times New Roman" w:hAnsi="Times New Roman" w:cs="Times New Roman"/>
          <w:lang w:val="en-US"/>
        </w:rPr>
        <w:t xml:space="preserve">, C. (2008). Binocular motility system and temporomandibular joint internal derangement: a study in adults. </w:t>
      </w:r>
      <w:r w:rsidRPr="004E3601">
        <w:rPr>
          <w:rFonts w:ascii="Times New Roman" w:hAnsi="Times New Roman" w:cs="Times New Roman"/>
          <w:i/>
          <w:iCs/>
          <w:lang w:val="en-US"/>
        </w:rPr>
        <w:t>American Journal of Orthodontics and Dentofacial Orthopedics</w:t>
      </w:r>
      <w:r w:rsidRPr="004E3601">
        <w:rPr>
          <w:rFonts w:ascii="Times New Roman" w:hAnsi="Times New Roman" w:cs="Times New Roman"/>
          <w:lang w:val="en-US"/>
        </w:rPr>
        <w:t>, 133(5), 640.e15–640.e20.</w:t>
      </w:r>
    </w:p>
    <w:p w14:paraId="33028B44" w14:textId="77777777" w:rsidR="004E3601" w:rsidRPr="004E3601" w:rsidRDefault="004E3601" w:rsidP="004E3601">
      <w:pPr>
        <w:spacing w:after="0" w:line="360" w:lineRule="auto"/>
        <w:ind w:left="709" w:hanging="709"/>
        <w:jc w:val="both"/>
        <w:rPr>
          <w:rFonts w:ascii="Times New Roman" w:hAnsi="Times New Roman" w:cs="Times New Roman"/>
        </w:rPr>
      </w:pPr>
      <w:proofErr w:type="spellStart"/>
      <w:r w:rsidRPr="004E3601">
        <w:rPr>
          <w:rFonts w:ascii="Times New Roman" w:hAnsi="Times New Roman" w:cs="Times New Roman"/>
          <w:lang w:val="en-US"/>
        </w:rPr>
        <w:t>Delfosse</w:t>
      </w:r>
      <w:proofErr w:type="spellEnd"/>
      <w:r w:rsidRPr="004E3601">
        <w:rPr>
          <w:rFonts w:ascii="Times New Roman" w:hAnsi="Times New Roman" w:cs="Times New Roman"/>
          <w:lang w:val="en-US"/>
        </w:rPr>
        <w:t xml:space="preserve">, G., </w:t>
      </w:r>
      <w:proofErr w:type="spellStart"/>
      <w:r w:rsidRPr="004E3601">
        <w:rPr>
          <w:rFonts w:ascii="Times New Roman" w:hAnsi="Times New Roman" w:cs="Times New Roman"/>
          <w:lang w:val="en-US"/>
        </w:rPr>
        <w:t>Brémond</w:t>
      </w:r>
      <w:proofErr w:type="spellEnd"/>
      <w:r w:rsidRPr="004E3601">
        <w:rPr>
          <w:rFonts w:ascii="Times New Roman" w:hAnsi="Times New Roman" w:cs="Times New Roman"/>
          <w:lang w:val="en-US"/>
        </w:rPr>
        <w:t xml:space="preserve">-Gignac, D., &amp; </w:t>
      </w:r>
      <w:proofErr w:type="spellStart"/>
      <w:r w:rsidRPr="004E3601">
        <w:rPr>
          <w:rFonts w:ascii="Times New Roman" w:hAnsi="Times New Roman" w:cs="Times New Roman"/>
          <w:lang w:val="en-US"/>
        </w:rPr>
        <w:t>Kapoula</w:t>
      </w:r>
      <w:proofErr w:type="spellEnd"/>
      <w:r w:rsidRPr="004E3601">
        <w:rPr>
          <w:rFonts w:ascii="Times New Roman" w:hAnsi="Times New Roman" w:cs="Times New Roman"/>
          <w:lang w:val="en-US"/>
        </w:rPr>
        <w:t xml:space="preserve">, Z. (2018). Postural Patterns of the Subjects with Vergence Disorders: Impact of Orthoptic Re-education, a Pilot Study. </w:t>
      </w:r>
      <w:r w:rsidRPr="004E3601">
        <w:rPr>
          <w:rFonts w:ascii="Times New Roman" w:hAnsi="Times New Roman" w:cs="Times New Roman"/>
          <w:i/>
          <w:iCs/>
        </w:rPr>
        <w:t>British and Irish Orthoptic Journal</w:t>
      </w:r>
      <w:r w:rsidRPr="004E3601">
        <w:rPr>
          <w:rFonts w:ascii="Times New Roman" w:hAnsi="Times New Roman" w:cs="Times New Roman"/>
        </w:rPr>
        <w:t>, 14(1), 64.</w:t>
      </w:r>
    </w:p>
    <w:p w14:paraId="03A5898C" w14:textId="77777777" w:rsidR="004E3601" w:rsidRPr="004E3601" w:rsidRDefault="004E3601" w:rsidP="004E3601">
      <w:pPr>
        <w:spacing w:after="0" w:line="360" w:lineRule="auto"/>
        <w:ind w:left="709" w:hanging="709"/>
        <w:jc w:val="both"/>
        <w:rPr>
          <w:rFonts w:ascii="Times New Roman" w:hAnsi="Times New Roman" w:cs="Times New Roman"/>
        </w:rPr>
      </w:pPr>
      <w:r w:rsidRPr="004E3601">
        <w:rPr>
          <w:rFonts w:ascii="Times New Roman" w:hAnsi="Times New Roman" w:cs="Times New Roman"/>
        </w:rPr>
        <w:t xml:space="preserve">Dos Santos, D. M., Gonçalves, D. A., Oliveira, M. M. B., Fernandes, G. J. T., &amp; Cunali, P. A. (2021). </w:t>
      </w:r>
      <w:r w:rsidRPr="004E3601">
        <w:rPr>
          <w:rFonts w:ascii="Times New Roman" w:hAnsi="Times New Roman" w:cs="Times New Roman"/>
          <w:lang w:val="en-US"/>
        </w:rPr>
        <w:t xml:space="preserve">Association between convergence insufficiency and temporomandibular disorder cross-sectional study. </w:t>
      </w:r>
      <w:r w:rsidRPr="004E3601">
        <w:rPr>
          <w:rFonts w:ascii="Times New Roman" w:hAnsi="Times New Roman" w:cs="Times New Roman"/>
          <w:i/>
          <w:iCs/>
        </w:rPr>
        <w:t>Clinical Oral Investigations</w:t>
      </w:r>
      <w:r w:rsidRPr="004E3601">
        <w:rPr>
          <w:rFonts w:ascii="Times New Roman" w:hAnsi="Times New Roman" w:cs="Times New Roman"/>
        </w:rPr>
        <w:t>, 25(3), 851–858.</w:t>
      </w:r>
    </w:p>
    <w:p w14:paraId="009A6B2C" w14:textId="77777777" w:rsidR="004E3601" w:rsidRPr="004E3601" w:rsidRDefault="004E3601" w:rsidP="004E3601">
      <w:pPr>
        <w:spacing w:after="0" w:line="360" w:lineRule="auto"/>
        <w:ind w:left="709" w:hanging="709"/>
        <w:jc w:val="both"/>
        <w:rPr>
          <w:rFonts w:ascii="Times New Roman" w:hAnsi="Times New Roman" w:cs="Times New Roman"/>
          <w:lang w:val="en-US"/>
        </w:rPr>
      </w:pPr>
      <w:r w:rsidRPr="004E3601">
        <w:rPr>
          <w:rFonts w:ascii="Times New Roman" w:hAnsi="Times New Roman" w:cs="Times New Roman"/>
        </w:rPr>
        <w:t xml:space="preserve">Figueiredo, V. F. R., Santos, A. T. C., &amp; Paz, C. C. S. C. (2022). A insuficiência de convergência e os hábitos relacionados à visão em jovens adultos. </w:t>
      </w:r>
      <w:proofErr w:type="spellStart"/>
      <w:r w:rsidRPr="004E3601">
        <w:rPr>
          <w:rFonts w:ascii="Times New Roman" w:hAnsi="Times New Roman" w:cs="Times New Roman"/>
          <w:i/>
          <w:iCs/>
          <w:lang w:val="en-US"/>
        </w:rPr>
        <w:t>Revista</w:t>
      </w:r>
      <w:proofErr w:type="spellEnd"/>
      <w:r w:rsidRPr="004E3601">
        <w:rPr>
          <w:rFonts w:ascii="Times New Roman" w:hAnsi="Times New Roman" w:cs="Times New Roman"/>
          <w:i/>
          <w:iCs/>
          <w:lang w:val="en-US"/>
        </w:rPr>
        <w:t xml:space="preserve"> </w:t>
      </w:r>
      <w:proofErr w:type="spellStart"/>
      <w:r w:rsidRPr="004E3601">
        <w:rPr>
          <w:rFonts w:ascii="Times New Roman" w:hAnsi="Times New Roman" w:cs="Times New Roman"/>
          <w:i/>
          <w:iCs/>
          <w:lang w:val="en-US"/>
        </w:rPr>
        <w:t>Neurociências</w:t>
      </w:r>
      <w:proofErr w:type="spellEnd"/>
      <w:r w:rsidRPr="004E3601">
        <w:rPr>
          <w:rFonts w:ascii="Times New Roman" w:hAnsi="Times New Roman" w:cs="Times New Roman"/>
          <w:lang w:val="en-US"/>
        </w:rPr>
        <w:t>, 30, 1–14.</w:t>
      </w:r>
    </w:p>
    <w:p w14:paraId="3F0E2A03" w14:textId="77777777" w:rsidR="004E3601" w:rsidRPr="000126D5" w:rsidRDefault="004E3601" w:rsidP="004E3601">
      <w:pPr>
        <w:spacing w:after="0" w:line="360" w:lineRule="auto"/>
        <w:ind w:left="709" w:hanging="709"/>
        <w:jc w:val="both"/>
        <w:rPr>
          <w:rFonts w:ascii="Times New Roman" w:hAnsi="Times New Roman" w:cs="Times New Roman"/>
          <w:lang w:val="it-IT"/>
        </w:rPr>
      </w:pPr>
      <w:proofErr w:type="spellStart"/>
      <w:r w:rsidRPr="004E3601">
        <w:rPr>
          <w:rFonts w:ascii="Times New Roman" w:hAnsi="Times New Roman" w:cs="Times New Roman"/>
          <w:lang w:val="en-US"/>
        </w:rPr>
        <w:t>Gerhardy</w:t>
      </w:r>
      <w:proofErr w:type="spellEnd"/>
      <w:r w:rsidRPr="004E3601">
        <w:rPr>
          <w:rFonts w:ascii="Times New Roman" w:hAnsi="Times New Roman" w:cs="Times New Roman"/>
          <w:lang w:val="en-US"/>
        </w:rPr>
        <w:t xml:space="preserve">, T., Tiedemann, A., Lord, S. R., &amp; Sherrington, C. (2019). Towards Using the Instrumented Timed up-and-Go Test for Screening of Sensory System Performance for Balance Control in Older Adults. </w:t>
      </w:r>
      <w:r w:rsidRPr="000126D5">
        <w:rPr>
          <w:rFonts w:ascii="Times New Roman" w:hAnsi="Times New Roman" w:cs="Times New Roman"/>
          <w:i/>
          <w:iCs/>
          <w:lang w:val="it-IT"/>
        </w:rPr>
        <w:t>Sensors</w:t>
      </w:r>
      <w:r w:rsidRPr="000126D5">
        <w:rPr>
          <w:rFonts w:ascii="Times New Roman" w:hAnsi="Times New Roman" w:cs="Times New Roman"/>
          <w:lang w:val="it-IT"/>
        </w:rPr>
        <w:t>, 19(3), 622.</w:t>
      </w:r>
    </w:p>
    <w:p w14:paraId="1D6E8352" w14:textId="77777777" w:rsidR="004E3601" w:rsidRPr="004E3601" w:rsidRDefault="004E3601" w:rsidP="004E3601">
      <w:pPr>
        <w:spacing w:after="0" w:line="360" w:lineRule="auto"/>
        <w:ind w:left="709" w:hanging="709"/>
        <w:jc w:val="both"/>
        <w:rPr>
          <w:rFonts w:ascii="Times New Roman" w:hAnsi="Times New Roman" w:cs="Times New Roman"/>
          <w:lang w:val="en-US"/>
        </w:rPr>
      </w:pPr>
      <w:r w:rsidRPr="000126D5">
        <w:rPr>
          <w:rFonts w:ascii="Times New Roman" w:hAnsi="Times New Roman" w:cs="Times New Roman"/>
          <w:lang w:val="it-IT"/>
        </w:rPr>
        <w:t xml:space="preserve">Hajebrahimi, F., Razzaghi, R., Ashtari, F., Yazdi-Ravandi, S., &amp; Heidari, S. (2024). </w:t>
      </w:r>
      <w:r w:rsidRPr="004E3601">
        <w:rPr>
          <w:rFonts w:ascii="Times New Roman" w:hAnsi="Times New Roman" w:cs="Times New Roman"/>
          <w:lang w:val="en-US"/>
        </w:rPr>
        <w:t xml:space="preserve">From convergence insufficiency to functional reorganization: A longitudinal randomized controlled trial of treatment‐induced connectivity plasticity. </w:t>
      </w:r>
      <w:r w:rsidRPr="004E3601">
        <w:rPr>
          <w:rFonts w:ascii="Times New Roman" w:hAnsi="Times New Roman" w:cs="Times New Roman"/>
          <w:i/>
          <w:iCs/>
          <w:lang w:val="en-US"/>
        </w:rPr>
        <w:t>CNS Neuroscience &amp; Therapeutics</w:t>
      </w:r>
      <w:r w:rsidRPr="004E3601">
        <w:rPr>
          <w:rFonts w:ascii="Times New Roman" w:hAnsi="Times New Roman" w:cs="Times New Roman"/>
          <w:lang w:val="en-US"/>
        </w:rPr>
        <w:t>, 30(8), e70007.</w:t>
      </w:r>
    </w:p>
    <w:p w14:paraId="33B091A5" w14:textId="77777777" w:rsidR="004E3601" w:rsidRPr="004E3601" w:rsidRDefault="004E3601" w:rsidP="004E3601">
      <w:pPr>
        <w:spacing w:after="0" w:line="360" w:lineRule="auto"/>
        <w:ind w:left="709" w:hanging="709"/>
        <w:jc w:val="both"/>
        <w:rPr>
          <w:rFonts w:ascii="Times New Roman" w:hAnsi="Times New Roman" w:cs="Times New Roman"/>
          <w:lang w:val="en-US"/>
        </w:rPr>
      </w:pPr>
      <w:r w:rsidRPr="004E3601">
        <w:rPr>
          <w:rFonts w:ascii="Times New Roman" w:hAnsi="Times New Roman" w:cs="Times New Roman"/>
          <w:lang w:val="en-US"/>
        </w:rPr>
        <w:t xml:space="preserve">Hashemi, H., </w:t>
      </w:r>
      <w:proofErr w:type="spellStart"/>
      <w:r w:rsidRPr="004E3601">
        <w:rPr>
          <w:rFonts w:ascii="Times New Roman" w:hAnsi="Times New Roman" w:cs="Times New Roman"/>
          <w:lang w:val="en-US"/>
        </w:rPr>
        <w:t>Fotouhi</w:t>
      </w:r>
      <w:proofErr w:type="spellEnd"/>
      <w:r w:rsidRPr="004E3601">
        <w:rPr>
          <w:rFonts w:ascii="Times New Roman" w:hAnsi="Times New Roman" w:cs="Times New Roman"/>
          <w:lang w:val="en-US"/>
        </w:rPr>
        <w:t xml:space="preserve">, A., </w:t>
      </w:r>
      <w:proofErr w:type="spellStart"/>
      <w:r w:rsidRPr="004E3601">
        <w:rPr>
          <w:rFonts w:ascii="Times New Roman" w:hAnsi="Times New Roman" w:cs="Times New Roman"/>
          <w:lang w:val="en-US"/>
        </w:rPr>
        <w:t>Emamian</w:t>
      </w:r>
      <w:proofErr w:type="spellEnd"/>
      <w:r w:rsidRPr="004E3601">
        <w:rPr>
          <w:rFonts w:ascii="Times New Roman" w:hAnsi="Times New Roman" w:cs="Times New Roman"/>
          <w:lang w:val="en-US"/>
        </w:rPr>
        <w:t xml:space="preserve">, M. H., </w:t>
      </w:r>
      <w:proofErr w:type="spellStart"/>
      <w:r w:rsidRPr="004E3601">
        <w:rPr>
          <w:rFonts w:ascii="Times New Roman" w:hAnsi="Times New Roman" w:cs="Times New Roman"/>
          <w:lang w:val="en-US"/>
        </w:rPr>
        <w:t>Khabazkhoob</w:t>
      </w:r>
      <w:proofErr w:type="spellEnd"/>
      <w:r w:rsidRPr="004E3601">
        <w:rPr>
          <w:rFonts w:ascii="Times New Roman" w:hAnsi="Times New Roman" w:cs="Times New Roman"/>
          <w:lang w:val="en-US"/>
        </w:rPr>
        <w:t xml:space="preserve">, M., </w:t>
      </w:r>
      <w:proofErr w:type="spellStart"/>
      <w:r w:rsidRPr="004E3601">
        <w:rPr>
          <w:rFonts w:ascii="Times New Roman" w:hAnsi="Times New Roman" w:cs="Times New Roman"/>
          <w:lang w:val="en-US"/>
        </w:rPr>
        <w:t>Yekta</w:t>
      </w:r>
      <w:proofErr w:type="spellEnd"/>
      <w:r w:rsidRPr="004E3601">
        <w:rPr>
          <w:rFonts w:ascii="Times New Roman" w:hAnsi="Times New Roman" w:cs="Times New Roman"/>
          <w:lang w:val="en-US"/>
        </w:rPr>
        <w:t xml:space="preserve">, A., &amp; Shariati, M. (2021). Convergence Insufficiency in the Geriatric Population. </w:t>
      </w:r>
      <w:r w:rsidRPr="004E3601">
        <w:rPr>
          <w:rFonts w:ascii="Times New Roman" w:hAnsi="Times New Roman" w:cs="Times New Roman"/>
          <w:i/>
          <w:iCs/>
          <w:lang w:val="en-US"/>
        </w:rPr>
        <w:t>Optometry and Vision Science</w:t>
      </w:r>
      <w:r w:rsidRPr="004E3601">
        <w:rPr>
          <w:rFonts w:ascii="Times New Roman" w:hAnsi="Times New Roman" w:cs="Times New Roman"/>
          <w:lang w:val="en-US"/>
        </w:rPr>
        <w:t>, 98(6), 613.</w:t>
      </w:r>
    </w:p>
    <w:p w14:paraId="17D02AE7" w14:textId="77777777" w:rsidR="004E3601" w:rsidRPr="004E3601" w:rsidRDefault="004E3601" w:rsidP="004E3601">
      <w:pPr>
        <w:spacing w:after="0" w:line="360" w:lineRule="auto"/>
        <w:ind w:left="709" w:hanging="709"/>
        <w:jc w:val="both"/>
        <w:rPr>
          <w:rFonts w:ascii="Times New Roman" w:hAnsi="Times New Roman" w:cs="Times New Roman"/>
          <w:lang w:val="en-US"/>
        </w:rPr>
      </w:pPr>
      <w:proofErr w:type="spellStart"/>
      <w:r w:rsidRPr="004E3601">
        <w:rPr>
          <w:rFonts w:ascii="Times New Roman" w:hAnsi="Times New Roman" w:cs="Times New Roman"/>
          <w:lang w:val="en-US"/>
        </w:rPr>
        <w:lastRenderedPageBreak/>
        <w:t>Horak</w:t>
      </w:r>
      <w:proofErr w:type="spellEnd"/>
      <w:r w:rsidRPr="004E3601">
        <w:rPr>
          <w:rFonts w:ascii="Times New Roman" w:hAnsi="Times New Roman" w:cs="Times New Roman"/>
          <w:lang w:val="en-US"/>
        </w:rPr>
        <w:t xml:space="preserve">, F. B. (2006). Postural orientation and equilibrium: what do we need to know about neural control of balance to prevent falls? </w:t>
      </w:r>
      <w:r w:rsidRPr="004E3601">
        <w:rPr>
          <w:rFonts w:ascii="Times New Roman" w:hAnsi="Times New Roman" w:cs="Times New Roman"/>
          <w:i/>
          <w:iCs/>
          <w:lang w:val="en-US"/>
        </w:rPr>
        <w:t>Age and Ageing</w:t>
      </w:r>
      <w:r w:rsidRPr="004E3601">
        <w:rPr>
          <w:rFonts w:ascii="Times New Roman" w:hAnsi="Times New Roman" w:cs="Times New Roman"/>
          <w:lang w:val="en-US"/>
        </w:rPr>
        <w:t>, 35(Suppl_2), ii7–ii11.</w:t>
      </w:r>
    </w:p>
    <w:p w14:paraId="280AB018" w14:textId="77777777" w:rsidR="004E3601" w:rsidRPr="004E3601" w:rsidRDefault="004E3601" w:rsidP="004E3601">
      <w:pPr>
        <w:spacing w:after="0" w:line="360" w:lineRule="auto"/>
        <w:ind w:left="709" w:hanging="709"/>
        <w:jc w:val="both"/>
        <w:rPr>
          <w:rFonts w:ascii="Times New Roman" w:hAnsi="Times New Roman" w:cs="Times New Roman"/>
          <w:lang w:val="en-US"/>
        </w:rPr>
      </w:pPr>
      <w:proofErr w:type="spellStart"/>
      <w:r w:rsidRPr="004E3601">
        <w:rPr>
          <w:rFonts w:ascii="Times New Roman" w:hAnsi="Times New Roman" w:cs="Times New Roman"/>
          <w:lang w:val="en-US"/>
        </w:rPr>
        <w:t>Jayakaran</w:t>
      </w:r>
      <w:proofErr w:type="spellEnd"/>
      <w:r w:rsidRPr="004E3601">
        <w:rPr>
          <w:rFonts w:ascii="Times New Roman" w:hAnsi="Times New Roman" w:cs="Times New Roman"/>
          <w:lang w:val="en-US"/>
        </w:rPr>
        <w:t xml:space="preserve">, P., Johnson, C. N., &amp; Sullivan, S. J. (2021). Vision and postural stability in older adults: Evidence for visual contributions to postural control. </w:t>
      </w:r>
      <w:r w:rsidRPr="004E3601">
        <w:rPr>
          <w:rFonts w:ascii="Times New Roman" w:hAnsi="Times New Roman" w:cs="Times New Roman"/>
          <w:i/>
          <w:iCs/>
          <w:lang w:val="en-US"/>
        </w:rPr>
        <w:t>Journal of Geriatric Physical Therapy</w:t>
      </w:r>
      <w:r w:rsidRPr="004E3601">
        <w:rPr>
          <w:rFonts w:ascii="Times New Roman" w:hAnsi="Times New Roman" w:cs="Times New Roman"/>
          <w:lang w:val="en-US"/>
        </w:rPr>
        <w:t>, 44(3), E112–E118.</w:t>
      </w:r>
    </w:p>
    <w:p w14:paraId="3D1249D5" w14:textId="77777777" w:rsidR="004E3601" w:rsidRPr="004E3601" w:rsidRDefault="004E3601" w:rsidP="004E3601">
      <w:pPr>
        <w:spacing w:after="0" w:line="360" w:lineRule="auto"/>
        <w:ind w:left="709" w:hanging="709"/>
        <w:jc w:val="both"/>
        <w:rPr>
          <w:rFonts w:ascii="Times New Roman" w:hAnsi="Times New Roman" w:cs="Times New Roman"/>
        </w:rPr>
      </w:pPr>
      <w:proofErr w:type="spellStart"/>
      <w:r w:rsidRPr="004E3601">
        <w:rPr>
          <w:rFonts w:ascii="Times New Roman" w:hAnsi="Times New Roman" w:cs="Times New Roman"/>
          <w:lang w:val="en-US"/>
        </w:rPr>
        <w:t>Menigite</w:t>
      </w:r>
      <w:proofErr w:type="spellEnd"/>
      <w:r w:rsidRPr="004E3601">
        <w:rPr>
          <w:rFonts w:ascii="Times New Roman" w:hAnsi="Times New Roman" w:cs="Times New Roman"/>
          <w:lang w:val="en-US"/>
        </w:rPr>
        <w:t xml:space="preserve">, N. C., &amp; </w:t>
      </w:r>
      <w:proofErr w:type="spellStart"/>
      <w:r w:rsidRPr="004E3601">
        <w:rPr>
          <w:rFonts w:ascii="Times New Roman" w:hAnsi="Times New Roman" w:cs="Times New Roman"/>
          <w:lang w:val="en-US"/>
        </w:rPr>
        <w:t>Taglietti</w:t>
      </w:r>
      <w:proofErr w:type="spellEnd"/>
      <w:r w:rsidRPr="004E3601">
        <w:rPr>
          <w:rFonts w:ascii="Times New Roman" w:hAnsi="Times New Roman" w:cs="Times New Roman"/>
          <w:lang w:val="en-US"/>
        </w:rPr>
        <w:t xml:space="preserve">, M. (2017). </w:t>
      </w:r>
      <w:r w:rsidRPr="004E3601">
        <w:rPr>
          <w:rFonts w:ascii="Times New Roman" w:hAnsi="Times New Roman" w:cs="Times New Roman"/>
        </w:rPr>
        <w:t xml:space="preserve">Sintomas visuais e insuficiência de convergência em docentes universitários. </w:t>
      </w:r>
      <w:r w:rsidRPr="004E3601">
        <w:rPr>
          <w:rFonts w:ascii="Times New Roman" w:hAnsi="Times New Roman" w:cs="Times New Roman"/>
          <w:i/>
          <w:iCs/>
        </w:rPr>
        <w:t>Revista Brasileira de Oftalmologia</w:t>
      </w:r>
      <w:r w:rsidRPr="004E3601">
        <w:rPr>
          <w:rFonts w:ascii="Times New Roman" w:hAnsi="Times New Roman" w:cs="Times New Roman"/>
        </w:rPr>
        <w:t>, 76, 242–246.</w:t>
      </w:r>
    </w:p>
    <w:p w14:paraId="01A7444D" w14:textId="77777777" w:rsidR="004E3601" w:rsidRPr="004E3601" w:rsidRDefault="004E3601" w:rsidP="004E3601">
      <w:pPr>
        <w:spacing w:after="0" w:line="360" w:lineRule="auto"/>
        <w:ind w:left="709" w:hanging="709"/>
        <w:jc w:val="both"/>
        <w:rPr>
          <w:rFonts w:ascii="Times New Roman" w:hAnsi="Times New Roman" w:cs="Times New Roman"/>
          <w:lang w:val="en-US"/>
        </w:rPr>
      </w:pPr>
      <w:r w:rsidRPr="004E3601">
        <w:rPr>
          <w:rFonts w:ascii="Times New Roman" w:hAnsi="Times New Roman" w:cs="Times New Roman"/>
        </w:rPr>
        <w:t xml:space="preserve">Michikawa, T., Nishiwaki, Y., Takebayashi, T., &amp; Toyama, Y. (2009). </w:t>
      </w:r>
      <w:r w:rsidRPr="004E3601">
        <w:rPr>
          <w:rFonts w:ascii="Times New Roman" w:hAnsi="Times New Roman" w:cs="Times New Roman"/>
          <w:lang w:val="en-US"/>
        </w:rPr>
        <w:t xml:space="preserve">One-Leg Standing Test for Elderly Populations. </w:t>
      </w:r>
      <w:r w:rsidRPr="004E3601">
        <w:rPr>
          <w:rFonts w:ascii="Times New Roman" w:hAnsi="Times New Roman" w:cs="Times New Roman"/>
          <w:i/>
          <w:iCs/>
          <w:lang w:val="en-US"/>
        </w:rPr>
        <w:t xml:space="preserve">Journal of </w:t>
      </w:r>
      <w:proofErr w:type="spellStart"/>
      <w:r w:rsidRPr="004E3601">
        <w:rPr>
          <w:rFonts w:ascii="Times New Roman" w:hAnsi="Times New Roman" w:cs="Times New Roman"/>
          <w:i/>
          <w:iCs/>
          <w:lang w:val="en-US"/>
        </w:rPr>
        <w:t>Orthopaedic</w:t>
      </w:r>
      <w:proofErr w:type="spellEnd"/>
      <w:r w:rsidRPr="004E3601">
        <w:rPr>
          <w:rFonts w:ascii="Times New Roman" w:hAnsi="Times New Roman" w:cs="Times New Roman"/>
          <w:i/>
          <w:iCs/>
          <w:lang w:val="en-US"/>
        </w:rPr>
        <w:t xml:space="preserve"> Science</w:t>
      </w:r>
      <w:r w:rsidRPr="004E3601">
        <w:rPr>
          <w:rFonts w:ascii="Times New Roman" w:hAnsi="Times New Roman" w:cs="Times New Roman"/>
          <w:lang w:val="en-US"/>
        </w:rPr>
        <w:t>, 14(5), 675–685.</w:t>
      </w:r>
    </w:p>
    <w:p w14:paraId="08F4023C" w14:textId="77777777" w:rsidR="004E3601" w:rsidRPr="00A53168" w:rsidRDefault="004E3601" w:rsidP="004E3601">
      <w:pPr>
        <w:spacing w:after="0" w:line="360" w:lineRule="auto"/>
        <w:ind w:left="709" w:hanging="709"/>
        <w:jc w:val="both"/>
        <w:rPr>
          <w:rFonts w:ascii="Times New Roman" w:hAnsi="Times New Roman" w:cs="Times New Roman"/>
        </w:rPr>
      </w:pPr>
      <w:proofErr w:type="spellStart"/>
      <w:r w:rsidRPr="004E3601">
        <w:rPr>
          <w:rFonts w:ascii="Times New Roman" w:hAnsi="Times New Roman" w:cs="Times New Roman"/>
          <w:lang w:val="en-US"/>
        </w:rPr>
        <w:t>Morize</w:t>
      </w:r>
      <w:proofErr w:type="spellEnd"/>
      <w:r w:rsidRPr="004E3601">
        <w:rPr>
          <w:rFonts w:ascii="Times New Roman" w:hAnsi="Times New Roman" w:cs="Times New Roman"/>
          <w:lang w:val="en-US"/>
        </w:rPr>
        <w:t xml:space="preserve">, A., &amp; </w:t>
      </w:r>
      <w:proofErr w:type="spellStart"/>
      <w:r w:rsidRPr="004E3601">
        <w:rPr>
          <w:rFonts w:ascii="Times New Roman" w:hAnsi="Times New Roman" w:cs="Times New Roman"/>
          <w:lang w:val="en-US"/>
        </w:rPr>
        <w:t>Kapoula</w:t>
      </w:r>
      <w:proofErr w:type="spellEnd"/>
      <w:r w:rsidRPr="004E3601">
        <w:rPr>
          <w:rFonts w:ascii="Times New Roman" w:hAnsi="Times New Roman" w:cs="Times New Roman"/>
          <w:lang w:val="en-US"/>
        </w:rPr>
        <w:t xml:space="preserve">, Z. (2017). Reeducation of vergence dynamics improves postural control. </w:t>
      </w:r>
      <w:r w:rsidRPr="00A53168">
        <w:rPr>
          <w:rFonts w:ascii="Times New Roman" w:hAnsi="Times New Roman" w:cs="Times New Roman"/>
          <w:i/>
          <w:iCs/>
        </w:rPr>
        <w:t>Neuroscience Letters</w:t>
      </w:r>
      <w:r w:rsidRPr="00A53168">
        <w:rPr>
          <w:rFonts w:ascii="Times New Roman" w:hAnsi="Times New Roman" w:cs="Times New Roman"/>
        </w:rPr>
        <w:t>, 656, 22–30.</w:t>
      </w:r>
    </w:p>
    <w:p w14:paraId="14067D7C" w14:textId="77777777" w:rsidR="004E3601" w:rsidRPr="004E3601" w:rsidRDefault="004E3601" w:rsidP="004E3601">
      <w:pPr>
        <w:spacing w:after="0" w:line="360" w:lineRule="auto"/>
        <w:ind w:left="709" w:hanging="709"/>
        <w:jc w:val="both"/>
        <w:rPr>
          <w:rFonts w:ascii="Times New Roman" w:hAnsi="Times New Roman" w:cs="Times New Roman"/>
          <w:lang w:val="en-US"/>
        </w:rPr>
      </w:pPr>
      <w:r w:rsidRPr="00A53168">
        <w:rPr>
          <w:rFonts w:ascii="Times New Roman" w:hAnsi="Times New Roman" w:cs="Times New Roman"/>
        </w:rPr>
        <w:t xml:space="preserve">Nunes, A. F., Lopes, J. P., Ventura, D. F., &amp; Costa, M. F. (2019). </w:t>
      </w:r>
      <w:r w:rsidRPr="004E3601">
        <w:rPr>
          <w:rFonts w:ascii="Times New Roman" w:hAnsi="Times New Roman" w:cs="Times New Roman"/>
          <w:lang w:val="en-US"/>
        </w:rPr>
        <w:t xml:space="preserve">Convergence insufficiency and accommodative insufficiency in children. </w:t>
      </w:r>
      <w:r w:rsidRPr="004E3601">
        <w:rPr>
          <w:rFonts w:ascii="Times New Roman" w:hAnsi="Times New Roman" w:cs="Times New Roman"/>
          <w:i/>
          <w:iCs/>
          <w:lang w:val="en-US"/>
        </w:rPr>
        <w:t>BMC Ophthalmology</w:t>
      </w:r>
      <w:r w:rsidRPr="004E3601">
        <w:rPr>
          <w:rFonts w:ascii="Times New Roman" w:hAnsi="Times New Roman" w:cs="Times New Roman"/>
          <w:lang w:val="en-US"/>
        </w:rPr>
        <w:t>, 19(1), 58.</w:t>
      </w:r>
    </w:p>
    <w:p w14:paraId="5808BA2D" w14:textId="77777777" w:rsidR="004E3601" w:rsidRPr="004E3601" w:rsidRDefault="004E3601" w:rsidP="004E3601">
      <w:pPr>
        <w:spacing w:after="0" w:line="360" w:lineRule="auto"/>
        <w:ind w:left="709" w:hanging="709"/>
        <w:jc w:val="both"/>
        <w:rPr>
          <w:rFonts w:ascii="Times New Roman" w:hAnsi="Times New Roman" w:cs="Times New Roman"/>
        </w:rPr>
      </w:pPr>
      <w:r w:rsidRPr="004E3601">
        <w:rPr>
          <w:rFonts w:ascii="Times New Roman" w:hAnsi="Times New Roman" w:cs="Times New Roman"/>
          <w:lang w:val="en-US"/>
        </w:rPr>
        <w:t xml:space="preserve">Oliveira, L. F., Simpson, D. M., &amp; Nadal, J. (1996). Calculation of area of </w:t>
      </w:r>
      <w:proofErr w:type="spellStart"/>
      <w:r w:rsidRPr="004E3601">
        <w:rPr>
          <w:rFonts w:ascii="Times New Roman" w:hAnsi="Times New Roman" w:cs="Times New Roman"/>
          <w:lang w:val="en-US"/>
        </w:rPr>
        <w:t>stabilometric</w:t>
      </w:r>
      <w:proofErr w:type="spellEnd"/>
      <w:r w:rsidRPr="004E3601">
        <w:rPr>
          <w:rFonts w:ascii="Times New Roman" w:hAnsi="Times New Roman" w:cs="Times New Roman"/>
          <w:lang w:val="en-US"/>
        </w:rPr>
        <w:t xml:space="preserve"> signals using principal component analysis. </w:t>
      </w:r>
      <w:r w:rsidRPr="004E3601">
        <w:rPr>
          <w:rFonts w:ascii="Times New Roman" w:hAnsi="Times New Roman" w:cs="Times New Roman"/>
          <w:i/>
          <w:iCs/>
        </w:rPr>
        <w:t>Physiological Measurement</w:t>
      </w:r>
      <w:r w:rsidRPr="004E3601">
        <w:rPr>
          <w:rFonts w:ascii="Times New Roman" w:hAnsi="Times New Roman" w:cs="Times New Roman"/>
        </w:rPr>
        <w:t>, 17(4), 305–312.</w:t>
      </w:r>
    </w:p>
    <w:p w14:paraId="61DB346A" w14:textId="77777777" w:rsidR="004E3601" w:rsidRPr="004E3601" w:rsidRDefault="004E3601" w:rsidP="004E3601">
      <w:pPr>
        <w:spacing w:after="0" w:line="360" w:lineRule="auto"/>
        <w:ind w:left="709" w:hanging="709"/>
        <w:jc w:val="both"/>
        <w:rPr>
          <w:rFonts w:ascii="Times New Roman" w:hAnsi="Times New Roman" w:cs="Times New Roman"/>
        </w:rPr>
      </w:pPr>
      <w:r w:rsidRPr="004E3601">
        <w:rPr>
          <w:rFonts w:ascii="Times New Roman" w:hAnsi="Times New Roman" w:cs="Times New Roman"/>
        </w:rPr>
        <w:t xml:space="preserve">Paula, V. C. G., Oliveira, G. M. M., Silva, J. A. R., &amp; Ribeiro, C. S. (2025). </w:t>
      </w:r>
      <w:r w:rsidRPr="004E3601">
        <w:rPr>
          <w:rFonts w:ascii="Times New Roman" w:hAnsi="Times New Roman" w:cs="Times New Roman"/>
          <w:lang w:val="en-US"/>
        </w:rPr>
        <w:t xml:space="preserve">Intra- and inter-rater accuracy and reliability of the ocular vergence test. </w:t>
      </w:r>
      <w:r w:rsidRPr="004E3601">
        <w:rPr>
          <w:rFonts w:ascii="Times New Roman" w:hAnsi="Times New Roman" w:cs="Times New Roman"/>
          <w:i/>
          <w:iCs/>
        </w:rPr>
        <w:t>Fisioterapia em Movimento</w:t>
      </w:r>
      <w:r w:rsidRPr="004E3601">
        <w:rPr>
          <w:rFonts w:ascii="Times New Roman" w:hAnsi="Times New Roman" w:cs="Times New Roman"/>
        </w:rPr>
        <w:t>, 38, e38116.</w:t>
      </w:r>
    </w:p>
    <w:p w14:paraId="3176A37F" w14:textId="77777777" w:rsidR="004E3601" w:rsidRPr="004E3601" w:rsidRDefault="004E3601" w:rsidP="004E3601">
      <w:pPr>
        <w:spacing w:after="0" w:line="360" w:lineRule="auto"/>
        <w:ind w:left="709" w:hanging="709"/>
        <w:jc w:val="both"/>
        <w:rPr>
          <w:rFonts w:ascii="Times New Roman" w:hAnsi="Times New Roman" w:cs="Times New Roman"/>
          <w:lang w:val="en-US"/>
        </w:rPr>
      </w:pPr>
      <w:r w:rsidRPr="004E3601">
        <w:rPr>
          <w:rFonts w:ascii="Times New Roman" w:hAnsi="Times New Roman" w:cs="Times New Roman"/>
        </w:rPr>
        <w:t xml:space="preserve">Paulus, W. M., Straube, A., &amp; Brandt, T. (1984). </w:t>
      </w:r>
      <w:r w:rsidRPr="004E3601">
        <w:rPr>
          <w:rFonts w:ascii="Times New Roman" w:hAnsi="Times New Roman" w:cs="Times New Roman"/>
          <w:lang w:val="en-US"/>
        </w:rPr>
        <w:t xml:space="preserve">Visual stabilization of posture: Physiological stimulus characteristics and clinical aspects. </w:t>
      </w:r>
      <w:r w:rsidRPr="004E3601">
        <w:rPr>
          <w:rFonts w:ascii="Times New Roman" w:hAnsi="Times New Roman" w:cs="Times New Roman"/>
          <w:i/>
          <w:iCs/>
          <w:lang w:val="en-US"/>
        </w:rPr>
        <w:t>Brain</w:t>
      </w:r>
      <w:r w:rsidRPr="004E3601">
        <w:rPr>
          <w:rFonts w:ascii="Times New Roman" w:hAnsi="Times New Roman" w:cs="Times New Roman"/>
          <w:lang w:val="en-US"/>
        </w:rPr>
        <w:t>, 107(4), 1143–1163.</w:t>
      </w:r>
    </w:p>
    <w:p w14:paraId="2F6B0293" w14:textId="77777777" w:rsidR="004E3601" w:rsidRPr="004E3601" w:rsidRDefault="004E3601" w:rsidP="004E3601">
      <w:pPr>
        <w:spacing w:after="0" w:line="360" w:lineRule="auto"/>
        <w:ind w:left="709" w:hanging="709"/>
        <w:jc w:val="both"/>
        <w:rPr>
          <w:rFonts w:ascii="Times New Roman" w:hAnsi="Times New Roman" w:cs="Times New Roman"/>
          <w:lang w:val="en-US"/>
        </w:rPr>
      </w:pPr>
      <w:r w:rsidRPr="004E3601">
        <w:rPr>
          <w:rFonts w:ascii="Times New Roman" w:hAnsi="Times New Roman" w:cs="Times New Roman"/>
          <w:lang w:val="en-US"/>
        </w:rPr>
        <w:t xml:space="preserve">Rouse, M., </w:t>
      </w:r>
      <w:proofErr w:type="spellStart"/>
      <w:r w:rsidRPr="004E3601">
        <w:rPr>
          <w:rFonts w:ascii="Times New Roman" w:hAnsi="Times New Roman" w:cs="Times New Roman"/>
          <w:lang w:val="en-US"/>
        </w:rPr>
        <w:t>Borsting</w:t>
      </w:r>
      <w:proofErr w:type="spellEnd"/>
      <w:r w:rsidRPr="004E3601">
        <w:rPr>
          <w:rFonts w:ascii="Times New Roman" w:hAnsi="Times New Roman" w:cs="Times New Roman"/>
          <w:lang w:val="en-US"/>
        </w:rPr>
        <w:t xml:space="preserve">, E., Mitchell, G. L., </w:t>
      </w:r>
      <w:proofErr w:type="spellStart"/>
      <w:r w:rsidRPr="004E3601">
        <w:rPr>
          <w:rFonts w:ascii="Times New Roman" w:hAnsi="Times New Roman" w:cs="Times New Roman"/>
          <w:lang w:val="en-US"/>
        </w:rPr>
        <w:t>Scheiman</w:t>
      </w:r>
      <w:proofErr w:type="spellEnd"/>
      <w:r w:rsidRPr="004E3601">
        <w:rPr>
          <w:rFonts w:ascii="Times New Roman" w:hAnsi="Times New Roman" w:cs="Times New Roman"/>
          <w:lang w:val="en-US"/>
        </w:rPr>
        <w:t xml:space="preserve">, M., Cotter, S., &amp; Cooper, J. (2009). Validity of the Convergence Insufficiency Symptom Survey: A Confirmatory Study. </w:t>
      </w:r>
      <w:r w:rsidRPr="004E3601">
        <w:rPr>
          <w:rFonts w:ascii="Times New Roman" w:hAnsi="Times New Roman" w:cs="Times New Roman"/>
          <w:i/>
          <w:iCs/>
          <w:lang w:val="en-US"/>
        </w:rPr>
        <w:t>Optometry and Vision Science</w:t>
      </w:r>
      <w:r w:rsidRPr="004E3601">
        <w:rPr>
          <w:rFonts w:ascii="Times New Roman" w:hAnsi="Times New Roman" w:cs="Times New Roman"/>
          <w:lang w:val="en-US"/>
        </w:rPr>
        <w:t>, 86(4), 357–363.</w:t>
      </w:r>
    </w:p>
    <w:p w14:paraId="374E8729" w14:textId="77777777" w:rsidR="004E3601" w:rsidRPr="004E3601" w:rsidRDefault="004E3601" w:rsidP="004E3601">
      <w:pPr>
        <w:spacing w:after="0" w:line="360" w:lineRule="auto"/>
        <w:ind w:left="709" w:hanging="709"/>
        <w:jc w:val="both"/>
        <w:rPr>
          <w:rFonts w:ascii="Times New Roman" w:hAnsi="Times New Roman" w:cs="Times New Roman"/>
          <w:lang w:val="en-US"/>
        </w:rPr>
      </w:pPr>
      <w:proofErr w:type="spellStart"/>
      <w:r w:rsidRPr="004E3601">
        <w:rPr>
          <w:rFonts w:ascii="Times New Roman" w:hAnsi="Times New Roman" w:cs="Times New Roman"/>
          <w:lang w:val="en-US"/>
        </w:rPr>
        <w:t>Rovira</w:t>
      </w:r>
      <w:proofErr w:type="spellEnd"/>
      <w:r w:rsidRPr="004E3601">
        <w:rPr>
          <w:rFonts w:ascii="Times New Roman" w:hAnsi="Times New Roman" w:cs="Times New Roman"/>
          <w:lang w:val="en-US"/>
        </w:rPr>
        <w:t xml:space="preserve">-Gay, C., Alba, J. M., Pujol, P., Pascual, M. R., &amp; Soler, M. (2025). Objective Evaluation of Fusional Vergence After a Vision Therapy Protocol in Typical Binocular Vision. </w:t>
      </w:r>
      <w:r w:rsidRPr="004E3601">
        <w:rPr>
          <w:rFonts w:ascii="Times New Roman" w:hAnsi="Times New Roman" w:cs="Times New Roman"/>
          <w:i/>
          <w:iCs/>
          <w:lang w:val="en-US"/>
        </w:rPr>
        <w:t>Ophthalmic and Physiological Optics</w:t>
      </w:r>
      <w:r w:rsidRPr="004E3601">
        <w:rPr>
          <w:rFonts w:ascii="Times New Roman" w:hAnsi="Times New Roman" w:cs="Times New Roman"/>
          <w:lang w:val="en-US"/>
        </w:rPr>
        <w:t>, 45(5), 1173–1185.</w:t>
      </w:r>
    </w:p>
    <w:p w14:paraId="5AA40DDA" w14:textId="77777777" w:rsidR="004E3601" w:rsidRPr="004E3601" w:rsidRDefault="004E3601" w:rsidP="004E3601">
      <w:pPr>
        <w:spacing w:after="0" w:line="360" w:lineRule="auto"/>
        <w:ind w:left="709" w:hanging="709"/>
        <w:jc w:val="both"/>
        <w:rPr>
          <w:rFonts w:ascii="Times New Roman" w:hAnsi="Times New Roman" w:cs="Times New Roman"/>
          <w:lang w:val="en-US"/>
        </w:rPr>
      </w:pPr>
      <w:proofErr w:type="spellStart"/>
      <w:r w:rsidRPr="004E3601">
        <w:rPr>
          <w:rFonts w:ascii="Times New Roman" w:hAnsi="Times New Roman" w:cs="Times New Roman"/>
          <w:lang w:val="en-US"/>
        </w:rPr>
        <w:t>Ruhe</w:t>
      </w:r>
      <w:proofErr w:type="spellEnd"/>
      <w:r w:rsidRPr="004E3601">
        <w:rPr>
          <w:rFonts w:ascii="Times New Roman" w:hAnsi="Times New Roman" w:cs="Times New Roman"/>
          <w:lang w:val="en-US"/>
        </w:rPr>
        <w:t xml:space="preserve">, A., </w:t>
      </w:r>
      <w:proofErr w:type="spellStart"/>
      <w:r w:rsidRPr="004E3601">
        <w:rPr>
          <w:rFonts w:ascii="Times New Roman" w:hAnsi="Times New Roman" w:cs="Times New Roman"/>
          <w:lang w:val="en-US"/>
        </w:rPr>
        <w:t>Fejer</w:t>
      </w:r>
      <w:proofErr w:type="spellEnd"/>
      <w:r w:rsidRPr="004E3601">
        <w:rPr>
          <w:rFonts w:ascii="Times New Roman" w:hAnsi="Times New Roman" w:cs="Times New Roman"/>
          <w:lang w:val="en-US"/>
        </w:rPr>
        <w:t xml:space="preserve">, R., &amp; Walker, B. (2010). The test–retest reliability of </w:t>
      </w:r>
      <w:proofErr w:type="spellStart"/>
      <w:r w:rsidRPr="004E3601">
        <w:rPr>
          <w:rFonts w:ascii="Times New Roman" w:hAnsi="Times New Roman" w:cs="Times New Roman"/>
          <w:lang w:val="en-US"/>
        </w:rPr>
        <w:t>centre</w:t>
      </w:r>
      <w:proofErr w:type="spellEnd"/>
      <w:r w:rsidRPr="004E3601">
        <w:rPr>
          <w:rFonts w:ascii="Times New Roman" w:hAnsi="Times New Roman" w:cs="Times New Roman"/>
          <w:lang w:val="en-US"/>
        </w:rPr>
        <w:t xml:space="preserve"> of pressure measures in bipedal static task conditions – a systematic review of the literature. </w:t>
      </w:r>
      <w:r w:rsidRPr="004E3601">
        <w:rPr>
          <w:rFonts w:ascii="Times New Roman" w:hAnsi="Times New Roman" w:cs="Times New Roman"/>
          <w:i/>
          <w:iCs/>
          <w:lang w:val="en-US"/>
        </w:rPr>
        <w:t>Gait &amp; Posture, 32(4), 436–445</w:t>
      </w:r>
      <w:r w:rsidRPr="004E3601">
        <w:rPr>
          <w:rFonts w:ascii="Times New Roman" w:hAnsi="Times New Roman" w:cs="Times New Roman"/>
          <w:lang w:val="en-US"/>
        </w:rPr>
        <w:t>.</w:t>
      </w:r>
    </w:p>
    <w:p w14:paraId="62B45BDB" w14:textId="77777777" w:rsidR="004E3601" w:rsidRPr="004E3601" w:rsidRDefault="004E3601" w:rsidP="004E3601">
      <w:pPr>
        <w:spacing w:after="0" w:line="360" w:lineRule="auto"/>
        <w:ind w:left="709" w:hanging="709"/>
        <w:jc w:val="both"/>
        <w:rPr>
          <w:rFonts w:ascii="Times New Roman" w:hAnsi="Times New Roman" w:cs="Times New Roman"/>
          <w:lang w:val="en-US"/>
        </w:rPr>
      </w:pPr>
      <w:r w:rsidRPr="004E3601">
        <w:rPr>
          <w:rFonts w:ascii="Times New Roman" w:hAnsi="Times New Roman" w:cs="Times New Roman"/>
          <w:lang w:val="en-US"/>
        </w:rPr>
        <w:lastRenderedPageBreak/>
        <w:t xml:space="preserve">Sakurai, R., Sakuma, N., Yamaguchi, K., &amp; Fujiwara, Y. (2021). Discriminates Hippocampal Atrophy: Neural Evidence for the Cutoff of 24 Points. </w:t>
      </w:r>
      <w:r w:rsidRPr="004E3601">
        <w:rPr>
          <w:rFonts w:ascii="Times New Roman" w:hAnsi="Times New Roman" w:cs="Times New Roman"/>
          <w:i/>
          <w:iCs/>
          <w:lang w:val="en-US"/>
        </w:rPr>
        <w:t>Journal of the American Geriatrics Society</w:t>
      </w:r>
      <w:r w:rsidRPr="004E3601">
        <w:rPr>
          <w:rFonts w:ascii="Times New Roman" w:hAnsi="Times New Roman" w:cs="Times New Roman"/>
          <w:lang w:val="en-US"/>
        </w:rPr>
        <w:t>, 69(3), 839–841.</w:t>
      </w:r>
    </w:p>
    <w:p w14:paraId="3C34BD78" w14:textId="77777777" w:rsidR="004E3601" w:rsidRPr="004E3601" w:rsidRDefault="004E3601" w:rsidP="004E3601">
      <w:pPr>
        <w:spacing w:after="0" w:line="360" w:lineRule="auto"/>
        <w:ind w:left="709" w:hanging="709"/>
        <w:jc w:val="both"/>
        <w:rPr>
          <w:rFonts w:ascii="Times New Roman" w:hAnsi="Times New Roman" w:cs="Times New Roman"/>
          <w:lang w:val="en-US"/>
        </w:rPr>
      </w:pPr>
      <w:proofErr w:type="spellStart"/>
      <w:r w:rsidRPr="004E3601">
        <w:rPr>
          <w:rFonts w:ascii="Times New Roman" w:hAnsi="Times New Roman" w:cs="Times New Roman"/>
          <w:lang w:val="en-US"/>
        </w:rPr>
        <w:t>Scheiman</w:t>
      </w:r>
      <w:proofErr w:type="spellEnd"/>
      <w:r w:rsidRPr="004E3601">
        <w:rPr>
          <w:rFonts w:ascii="Times New Roman" w:hAnsi="Times New Roman" w:cs="Times New Roman"/>
          <w:lang w:val="en-US"/>
        </w:rPr>
        <w:t xml:space="preserve">, M., Cotter, S. A., Rouse, M. W., Mitchell, G. L., </w:t>
      </w:r>
      <w:proofErr w:type="spellStart"/>
      <w:r w:rsidRPr="004E3601">
        <w:rPr>
          <w:rFonts w:ascii="Times New Roman" w:hAnsi="Times New Roman" w:cs="Times New Roman"/>
          <w:lang w:val="en-US"/>
        </w:rPr>
        <w:t>Kulp</w:t>
      </w:r>
      <w:proofErr w:type="spellEnd"/>
      <w:r w:rsidRPr="004E3601">
        <w:rPr>
          <w:rFonts w:ascii="Times New Roman" w:hAnsi="Times New Roman" w:cs="Times New Roman"/>
          <w:lang w:val="en-US"/>
        </w:rPr>
        <w:t xml:space="preserve">, M. T., &amp; Cooper, J. (2005). A Randomized Clinical Trial of Treatments for Convergence Insufficiency in Children. </w:t>
      </w:r>
      <w:r w:rsidRPr="004E3601">
        <w:rPr>
          <w:rFonts w:ascii="Times New Roman" w:hAnsi="Times New Roman" w:cs="Times New Roman"/>
          <w:i/>
          <w:iCs/>
          <w:lang w:val="en-US"/>
        </w:rPr>
        <w:t>Archives of Ophthalmology</w:t>
      </w:r>
      <w:r w:rsidRPr="004E3601">
        <w:rPr>
          <w:rFonts w:ascii="Times New Roman" w:hAnsi="Times New Roman" w:cs="Times New Roman"/>
          <w:lang w:val="en-US"/>
        </w:rPr>
        <w:t>, 123(1), 14.</w:t>
      </w:r>
    </w:p>
    <w:p w14:paraId="4E55876C" w14:textId="77777777" w:rsidR="004E3601" w:rsidRPr="004E3601" w:rsidRDefault="004E3601" w:rsidP="004E3601">
      <w:pPr>
        <w:spacing w:after="0" w:line="360" w:lineRule="auto"/>
        <w:ind w:left="709" w:hanging="709"/>
        <w:jc w:val="both"/>
        <w:rPr>
          <w:rFonts w:ascii="Times New Roman" w:hAnsi="Times New Roman" w:cs="Times New Roman"/>
          <w:lang w:val="en-US"/>
        </w:rPr>
      </w:pPr>
      <w:proofErr w:type="spellStart"/>
      <w:r w:rsidRPr="004E3601">
        <w:rPr>
          <w:rFonts w:ascii="Times New Roman" w:hAnsi="Times New Roman" w:cs="Times New Roman"/>
          <w:lang w:val="en-US"/>
        </w:rPr>
        <w:t>Scheiman</w:t>
      </w:r>
      <w:proofErr w:type="spellEnd"/>
      <w:r w:rsidRPr="004E3601">
        <w:rPr>
          <w:rFonts w:ascii="Times New Roman" w:hAnsi="Times New Roman" w:cs="Times New Roman"/>
          <w:lang w:val="en-US"/>
        </w:rPr>
        <w:t xml:space="preserve">, M., </w:t>
      </w:r>
      <w:proofErr w:type="spellStart"/>
      <w:r w:rsidRPr="004E3601">
        <w:rPr>
          <w:rFonts w:ascii="Times New Roman" w:hAnsi="Times New Roman" w:cs="Times New Roman"/>
          <w:lang w:val="en-US"/>
        </w:rPr>
        <w:t>Gwiazda</w:t>
      </w:r>
      <w:proofErr w:type="spellEnd"/>
      <w:r w:rsidRPr="004E3601">
        <w:rPr>
          <w:rFonts w:ascii="Times New Roman" w:hAnsi="Times New Roman" w:cs="Times New Roman"/>
          <w:lang w:val="en-US"/>
        </w:rPr>
        <w:t xml:space="preserve">, J., Li, T., Brin, T., &amp; Birnbaum, M. (2020). Interventions for convergence insufficiency: A network meta-analysis. </w:t>
      </w:r>
      <w:r w:rsidRPr="004E3601">
        <w:rPr>
          <w:rFonts w:ascii="Times New Roman" w:hAnsi="Times New Roman" w:cs="Times New Roman"/>
          <w:i/>
          <w:iCs/>
          <w:lang w:val="en-US"/>
        </w:rPr>
        <w:t>Cochrane Database of Systematic Reviews</w:t>
      </w:r>
      <w:r w:rsidRPr="004E3601">
        <w:rPr>
          <w:rFonts w:ascii="Times New Roman" w:hAnsi="Times New Roman" w:cs="Times New Roman"/>
          <w:lang w:val="en-US"/>
        </w:rPr>
        <w:t>, 2020(12).</w:t>
      </w:r>
    </w:p>
    <w:p w14:paraId="42392A7A" w14:textId="77777777" w:rsidR="004E3601" w:rsidRPr="004E3601" w:rsidRDefault="004E3601" w:rsidP="004E3601">
      <w:pPr>
        <w:spacing w:after="0" w:line="360" w:lineRule="auto"/>
        <w:ind w:left="709" w:hanging="709"/>
        <w:jc w:val="both"/>
        <w:rPr>
          <w:rFonts w:ascii="Times New Roman" w:hAnsi="Times New Roman" w:cs="Times New Roman"/>
        </w:rPr>
      </w:pPr>
      <w:r w:rsidRPr="000126D5">
        <w:rPr>
          <w:rFonts w:ascii="Times New Roman" w:hAnsi="Times New Roman" w:cs="Times New Roman"/>
          <w:lang w:val="es-419"/>
        </w:rPr>
        <w:t xml:space="preserve">Sánchez-González, M. C., Pérez-Cabezas, V., Pérez-Cabezas, M., &amp; González-Elena, M. L. (2020). </w:t>
      </w:r>
      <w:r w:rsidRPr="004E3601">
        <w:rPr>
          <w:rFonts w:ascii="Times New Roman" w:hAnsi="Times New Roman" w:cs="Times New Roman"/>
          <w:lang w:val="en-US"/>
        </w:rPr>
        <w:t xml:space="preserve">Visual Binocular Disorders and Their Relationship with Baropodometric Parameters: A Cross-Association Study. </w:t>
      </w:r>
      <w:r w:rsidRPr="004E3601">
        <w:rPr>
          <w:rFonts w:ascii="Times New Roman" w:hAnsi="Times New Roman" w:cs="Times New Roman"/>
          <w:i/>
          <w:iCs/>
        </w:rPr>
        <w:t>BioMed Research International</w:t>
      </w:r>
      <w:r w:rsidRPr="004E3601">
        <w:rPr>
          <w:rFonts w:ascii="Times New Roman" w:hAnsi="Times New Roman" w:cs="Times New Roman"/>
        </w:rPr>
        <w:t>, 2020, 6834591.</w:t>
      </w:r>
    </w:p>
    <w:p w14:paraId="261F67E8" w14:textId="77777777" w:rsidR="004E3601" w:rsidRPr="004E3601" w:rsidRDefault="004E3601" w:rsidP="004E3601">
      <w:pPr>
        <w:spacing w:after="0" w:line="360" w:lineRule="auto"/>
        <w:ind w:left="709" w:hanging="709"/>
        <w:jc w:val="both"/>
        <w:rPr>
          <w:rFonts w:ascii="Times New Roman" w:hAnsi="Times New Roman" w:cs="Times New Roman"/>
        </w:rPr>
      </w:pPr>
      <w:r w:rsidRPr="004E3601">
        <w:rPr>
          <w:rFonts w:ascii="Times New Roman" w:hAnsi="Times New Roman" w:cs="Times New Roman"/>
        </w:rPr>
        <w:t xml:space="preserve">Tavares, C., Moura, A. L., Monteiro, G. B., &amp; Figueira, J. G. (2014). Tradução e validação do CISS para a língua portuguesa - resultados psicométricos. </w:t>
      </w:r>
      <w:r w:rsidRPr="004E3601">
        <w:rPr>
          <w:rFonts w:ascii="Times New Roman" w:hAnsi="Times New Roman" w:cs="Times New Roman"/>
          <w:i/>
          <w:iCs/>
        </w:rPr>
        <w:t>Arquivos Brasileiros de Oftalmologia</w:t>
      </w:r>
      <w:r w:rsidRPr="004E3601">
        <w:rPr>
          <w:rFonts w:ascii="Times New Roman" w:hAnsi="Times New Roman" w:cs="Times New Roman"/>
        </w:rPr>
        <w:t>, 77, 21–24.</w:t>
      </w:r>
    </w:p>
    <w:p w14:paraId="1DE2041A" w14:textId="77777777" w:rsidR="004E3601" w:rsidRPr="004E3601" w:rsidRDefault="004E3601" w:rsidP="004E3601">
      <w:pPr>
        <w:spacing w:after="0" w:line="360" w:lineRule="auto"/>
        <w:ind w:left="709" w:hanging="709"/>
        <w:jc w:val="both"/>
        <w:rPr>
          <w:rFonts w:ascii="Times New Roman" w:hAnsi="Times New Roman" w:cs="Times New Roman"/>
          <w:lang w:val="en-US"/>
        </w:rPr>
      </w:pPr>
      <w:r w:rsidRPr="004E3601">
        <w:rPr>
          <w:rFonts w:ascii="Times New Roman" w:hAnsi="Times New Roman" w:cs="Times New Roman"/>
        </w:rPr>
        <w:t xml:space="preserve">Tsoi, K. K. F., Chan, J. Y. C., Hirai, H. W., Wong, S. Y. S., &amp; Kwok, T. C. Y. (2015). </w:t>
      </w:r>
      <w:r w:rsidRPr="004E3601">
        <w:rPr>
          <w:rFonts w:ascii="Times New Roman" w:hAnsi="Times New Roman" w:cs="Times New Roman"/>
          <w:lang w:val="en-US"/>
        </w:rPr>
        <w:t xml:space="preserve">Cognitive Tests to Detect Dementia: A Systematic Review and Meta-analysis. </w:t>
      </w:r>
      <w:r w:rsidRPr="004E3601">
        <w:rPr>
          <w:rFonts w:ascii="Times New Roman" w:hAnsi="Times New Roman" w:cs="Times New Roman"/>
          <w:i/>
          <w:iCs/>
          <w:lang w:val="en-US"/>
        </w:rPr>
        <w:t>JAMA Internal Medicine</w:t>
      </w:r>
      <w:r w:rsidRPr="004E3601">
        <w:rPr>
          <w:rFonts w:ascii="Times New Roman" w:hAnsi="Times New Roman" w:cs="Times New Roman"/>
          <w:lang w:val="en-US"/>
        </w:rPr>
        <w:t>, 175(9), 1450.</w:t>
      </w:r>
    </w:p>
    <w:p w14:paraId="02C4249A" w14:textId="77777777" w:rsidR="004E3601" w:rsidRPr="004E3601" w:rsidRDefault="004E3601" w:rsidP="004E3601">
      <w:pPr>
        <w:spacing w:after="0" w:line="360" w:lineRule="auto"/>
        <w:ind w:left="709" w:hanging="709"/>
        <w:jc w:val="both"/>
        <w:rPr>
          <w:rFonts w:ascii="Times New Roman" w:hAnsi="Times New Roman" w:cs="Times New Roman"/>
          <w:lang w:val="en-US"/>
        </w:rPr>
      </w:pPr>
      <w:proofErr w:type="spellStart"/>
      <w:r w:rsidRPr="004E3601">
        <w:rPr>
          <w:rFonts w:ascii="Times New Roman" w:hAnsi="Times New Roman" w:cs="Times New Roman"/>
          <w:lang w:val="en-US"/>
        </w:rPr>
        <w:t>Twisk</w:t>
      </w:r>
      <w:proofErr w:type="spellEnd"/>
      <w:r w:rsidRPr="004E3601">
        <w:rPr>
          <w:rFonts w:ascii="Times New Roman" w:hAnsi="Times New Roman" w:cs="Times New Roman"/>
          <w:lang w:val="en-US"/>
        </w:rPr>
        <w:t xml:space="preserve">, J. W. R. (2003). Commentary: The Problem of Evaluating the Magnitude of Tracking Coefficients. </w:t>
      </w:r>
      <w:r w:rsidRPr="004E3601">
        <w:rPr>
          <w:rFonts w:ascii="Times New Roman" w:hAnsi="Times New Roman" w:cs="Times New Roman"/>
          <w:i/>
          <w:iCs/>
          <w:lang w:val="en-US"/>
        </w:rPr>
        <w:t>European Journal of Epidemiology</w:t>
      </w:r>
      <w:r w:rsidRPr="004E3601">
        <w:rPr>
          <w:rFonts w:ascii="Times New Roman" w:hAnsi="Times New Roman" w:cs="Times New Roman"/>
          <w:lang w:val="en-US"/>
        </w:rPr>
        <w:t>, 18(11), 1025–1026.</w:t>
      </w:r>
    </w:p>
    <w:p w14:paraId="39BCE28A" w14:textId="77777777" w:rsidR="004E3601" w:rsidRPr="00A53168" w:rsidRDefault="004E3601" w:rsidP="004E3601">
      <w:pPr>
        <w:spacing w:after="0" w:line="360" w:lineRule="auto"/>
        <w:ind w:left="709" w:hanging="709"/>
        <w:jc w:val="both"/>
        <w:rPr>
          <w:rFonts w:ascii="Times New Roman" w:hAnsi="Times New Roman" w:cs="Times New Roman"/>
        </w:rPr>
      </w:pPr>
      <w:r w:rsidRPr="004E3601">
        <w:rPr>
          <w:rFonts w:ascii="Times New Roman" w:hAnsi="Times New Roman" w:cs="Times New Roman"/>
          <w:lang w:val="en-US"/>
        </w:rPr>
        <w:t xml:space="preserve">Van </w:t>
      </w:r>
      <w:proofErr w:type="spellStart"/>
      <w:r w:rsidRPr="004E3601">
        <w:rPr>
          <w:rFonts w:ascii="Times New Roman" w:hAnsi="Times New Roman" w:cs="Times New Roman"/>
          <w:lang w:val="en-US"/>
        </w:rPr>
        <w:t>Humbeeck</w:t>
      </w:r>
      <w:proofErr w:type="spellEnd"/>
      <w:r w:rsidRPr="004E3601">
        <w:rPr>
          <w:rFonts w:ascii="Times New Roman" w:hAnsi="Times New Roman" w:cs="Times New Roman"/>
          <w:lang w:val="en-US"/>
        </w:rPr>
        <w:t xml:space="preserve">, N., </w:t>
      </w:r>
      <w:proofErr w:type="spellStart"/>
      <w:r w:rsidRPr="004E3601">
        <w:rPr>
          <w:rFonts w:ascii="Times New Roman" w:hAnsi="Times New Roman" w:cs="Times New Roman"/>
          <w:lang w:val="en-US"/>
        </w:rPr>
        <w:t>Kliegl</w:t>
      </w:r>
      <w:proofErr w:type="spellEnd"/>
      <w:r w:rsidRPr="004E3601">
        <w:rPr>
          <w:rFonts w:ascii="Times New Roman" w:hAnsi="Times New Roman" w:cs="Times New Roman"/>
          <w:lang w:val="en-US"/>
        </w:rPr>
        <w:t xml:space="preserve">, R., &amp; </w:t>
      </w:r>
      <w:proofErr w:type="spellStart"/>
      <w:r w:rsidRPr="004E3601">
        <w:rPr>
          <w:rFonts w:ascii="Times New Roman" w:hAnsi="Times New Roman" w:cs="Times New Roman"/>
          <w:lang w:val="en-US"/>
        </w:rPr>
        <w:t>Krampe</w:t>
      </w:r>
      <w:proofErr w:type="spellEnd"/>
      <w:r w:rsidRPr="004E3601">
        <w:rPr>
          <w:rFonts w:ascii="Times New Roman" w:hAnsi="Times New Roman" w:cs="Times New Roman"/>
          <w:lang w:val="en-US"/>
        </w:rPr>
        <w:t xml:space="preserve">, R. T. (2023). Lifespan changes in postural control. </w:t>
      </w:r>
      <w:r w:rsidRPr="00A53168">
        <w:rPr>
          <w:rFonts w:ascii="Times New Roman" w:hAnsi="Times New Roman" w:cs="Times New Roman"/>
          <w:i/>
          <w:iCs/>
        </w:rPr>
        <w:t>Scientific Reports</w:t>
      </w:r>
      <w:r w:rsidRPr="00A53168">
        <w:rPr>
          <w:rFonts w:ascii="Times New Roman" w:hAnsi="Times New Roman" w:cs="Times New Roman"/>
        </w:rPr>
        <w:t>, 13(1), 541.</w:t>
      </w:r>
    </w:p>
    <w:p w14:paraId="1E4BA3A0" w14:textId="77777777" w:rsidR="004E3601" w:rsidRPr="004E3601" w:rsidRDefault="004E3601" w:rsidP="004E3601">
      <w:pPr>
        <w:spacing w:after="0" w:line="360" w:lineRule="auto"/>
        <w:ind w:left="709" w:hanging="709"/>
        <w:jc w:val="both"/>
        <w:rPr>
          <w:rFonts w:ascii="Times New Roman" w:hAnsi="Times New Roman" w:cs="Times New Roman"/>
        </w:rPr>
      </w:pPr>
      <w:r w:rsidRPr="00A53168">
        <w:rPr>
          <w:rFonts w:ascii="Times New Roman" w:hAnsi="Times New Roman" w:cs="Times New Roman"/>
        </w:rPr>
        <w:t xml:space="preserve">Verdecchia, D. H., Lago, E. A. A., Esteban, D. S., &amp; Mangabeira Albernaz, P. L. (2020). </w:t>
      </w:r>
      <w:r w:rsidRPr="004E3601">
        <w:rPr>
          <w:rFonts w:ascii="Times New Roman" w:hAnsi="Times New Roman" w:cs="Times New Roman"/>
          <w:lang w:val="en-US"/>
        </w:rPr>
        <w:t xml:space="preserve">Correlation Between Timed up and Go, Usual Gait Speed and Dizziness Handicap Inventory in Elderly with Vestibular Disorders: A Retrospective and Analytical Study. </w:t>
      </w:r>
      <w:r w:rsidRPr="004E3601">
        <w:rPr>
          <w:rFonts w:ascii="Times New Roman" w:hAnsi="Times New Roman" w:cs="Times New Roman"/>
          <w:i/>
          <w:iCs/>
        </w:rPr>
        <w:t>Archives of Physiotherapy</w:t>
      </w:r>
      <w:r w:rsidRPr="004E3601">
        <w:rPr>
          <w:rFonts w:ascii="Times New Roman" w:hAnsi="Times New Roman" w:cs="Times New Roman"/>
        </w:rPr>
        <w:t>, 10(1), 12.</w:t>
      </w:r>
    </w:p>
    <w:p w14:paraId="79A2A99C" w14:textId="277F0F60" w:rsidR="00EB3DDF" w:rsidRPr="002A4D7E" w:rsidRDefault="00EB3DDF" w:rsidP="001017B1">
      <w:pPr>
        <w:spacing w:after="0" w:line="360" w:lineRule="auto"/>
        <w:ind w:left="426" w:hanging="426"/>
        <w:rPr>
          <w:rFonts w:ascii="Times New Roman" w:hAnsi="Times New Roman" w:cs="Times New Roman"/>
        </w:rPr>
      </w:pPr>
    </w:p>
    <w:sectPr w:rsidR="00EB3DDF" w:rsidRPr="002A4D7E">
      <w:headerReference w:type="even" r:id="rId13"/>
      <w:headerReference w:type="default" r:id="rId14"/>
      <w:footerReference w:type="even" r:id="rId15"/>
      <w:footerReference w:type="default" r:id="rId16"/>
      <w:headerReference w:type="first" r:id="rId17"/>
      <w:footerReference w:type="first" r:id="rId1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9D22D0" w14:textId="77777777" w:rsidR="006D71DB" w:rsidRDefault="006D71DB" w:rsidP="000B542B">
      <w:pPr>
        <w:spacing w:after="0" w:line="240" w:lineRule="auto"/>
      </w:pPr>
      <w:r>
        <w:separator/>
      </w:r>
    </w:p>
  </w:endnote>
  <w:endnote w:type="continuationSeparator" w:id="0">
    <w:p w14:paraId="0859E140" w14:textId="77777777" w:rsidR="006D71DB" w:rsidRDefault="006D71DB" w:rsidP="000B5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BB6B9" w14:textId="77777777" w:rsidR="000B542B" w:rsidRDefault="000B54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36A75" w14:textId="77777777" w:rsidR="000B542B" w:rsidRDefault="000B54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42ADA" w14:textId="77777777" w:rsidR="000B542B" w:rsidRDefault="000B54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CB3934" w14:textId="77777777" w:rsidR="006D71DB" w:rsidRDefault="006D71DB" w:rsidP="000B542B">
      <w:pPr>
        <w:spacing w:after="0" w:line="240" w:lineRule="auto"/>
      </w:pPr>
      <w:r>
        <w:separator/>
      </w:r>
    </w:p>
  </w:footnote>
  <w:footnote w:type="continuationSeparator" w:id="0">
    <w:p w14:paraId="61ADF7BA" w14:textId="77777777" w:rsidR="006D71DB" w:rsidRDefault="006D71DB" w:rsidP="000B54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96EF3" w14:textId="37CBF65E" w:rsidR="000B542B" w:rsidRDefault="000B542B">
    <w:pPr>
      <w:pStyle w:val="Header"/>
    </w:pPr>
    <w:r>
      <w:rPr>
        <w:noProof/>
      </w:rPr>
      <w:pict w14:anchorId="304DE8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78672" o:spid="_x0000_s2050" type="#_x0000_t136" style="position:absolute;margin-left:0;margin-top:0;width:504.8pt;height:9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832EC" w14:textId="72953233" w:rsidR="000B542B" w:rsidRDefault="000B542B">
    <w:pPr>
      <w:pStyle w:val="Header"/>
    </w:pPr>
    <w:r>
      <w:rPr>
        <w:noProof/>
      </w:rPr>
      <w:pict w14:anchorId="165915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78673" o:spid="_x0000_s2051" type="#_x0000_t136" style="position:absolute;margin-left:0;margin-top:0;width:504.8pt;height:9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6EF91" w14:textId="447989FB" w:rsidR="000B542B" w:rsidRDefault="000B542B">
    <w:pPr>
      <w:pStyle w:val="Header"/>
    </w:pPr>
    <w:r>
      <w:rPr>
        <w:noProof/>
      </w:rPr>
      <w:pict w14:anchorId="3ADCD2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78671" o:spid="_x0000_s2049" type="#_x0000_t136" style="position:absolute;margin-left:0;margin-top:0;width:504.8pt;height:9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B383A"/>
    <w:multiLevelType w:val="multilevel"/>
    <w:tmpl w:val="481CEC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FC4254"/>
    <w:multiLevelType w:val="multilevel"/>
    <w:tmpl w:val="A2C62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F4433"/>
    <w:multiLevelType w:val="multilevel"/>
    <w:tmpl w:val="4D8A0C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57009F"/>
    <w:multiLevelType w:val="multilevel"/>
    <w:tmpl w:val="1D1897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8B71EE"/>
    <w:multiLevelType w:val="hybridMultilevel"/>
    <w:tmpl w:val="1DAA442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60B1B3F"/>
    <w:multiLevelType w:val="hybridMultilevel"/>
    <w:tmpl w:val="44C4914E"/>
    <w:lvl w:ilvl="0" w:tplc="E8BAEA2C">
      <w:start w:val="1"/>
      <w:numFmt w:val="decimal"/>
      <w:lvlText w:val="%1)"/>
      <w:lvlJc w:val="left"/>
      <w:pPr>
        <w:ind w:left="720" w:hanging="360"/>
      </w:pPr>
      <w:rPr>
        <w:rFonts w:eastAsiaTheme="majorEastAsia"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B964BFB"/>
    <w:multiLevelType w:val="multilevel"/>
    <w:tmpl w:val="4AF4E6E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ED6ACE"/>
    <w:multiLevelType w:val="hybridMultilevel"/>
    <w:tmpl w:val="5FE68E3C"/>
    <w:lvl w:ilvl="0" w:tplc="04160011">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15:restartNumberingAfterBreak="0">
    <w:nsid w:val="344B68FD"/>
    <w:multiLevelType w:val="multilevel"/>
    <w:tmpl w:val="E1EE24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206F9D"/>
    <w:multiLevelType w:val="hybridMultilevel"/>
    <w:tmpl w:val="552A8D7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D966B51"/>
    <w:multiLevelType w:val="multilevel"/>
    <w:tmpl w:val="83CE0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917863"/>
    <w:multiLevelType w:val="multilevel"/>
    <w:tmpl w:val="9D9A8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8C55B2"/>
    <w:multiLevelType w:val="multilevel"/>
    <w:tmpl w:val="B450F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C31CF6"/>
    <w:multiLevelType w:val="hybridMultilevel"/>
    <w:tmpl w:val="44C4914E"/>
    <w:lvl w:ilvl="0" w:tplc="FFFFFFFF">
      <w:start w:val="1"/>
      <w:numFmt w:val="decimal"/>
      <w:lvlText w:val="%1)"/>
      <w:lvlJc w:val="left"/>
      <w:pPr>
        <w:ind w:left="720" w:hanging="360"/>
      </w:pPr>
      <w:rPr>
        <w:rFonts w:eastAsiaTheme="majorEastAsi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32A0851"/>
    <w:multiLevelType w:val="multilevel"/>
    <w:tmpl w:val="66309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4368AC"/>
    <w:multiLevelType w:val="hybridMultilevel"/>
    <w:tmpl w:val="94FC32E2"/>
    <w:lvl w:ilvl="0" w:tplc="C28276BC">
      <w:start w:val="1"/>
      <w:numFmt w:val="decimal"/>
      <w:lvlText w:val="%1)"/>
      <w:lvlJc w:val="left"/>
      <w:pPr>
        <w:ind w:left="720" w:hanging="360"/>
      </w:pPr>
      <w:rPr>
        <w:rFonts w:eastAsiaTheme="minorHAnsi"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4302486"/>
    <w:multiLevelType w:val="hybridMultilevel"/>
    <w:tmpl w:val="E2D0FE02"/>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4761814"/>
    <w:multiLevelType w:val="multilevel"/>
    <w:tmpl w:val="F34A1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930CFF"/>
    <w:multiLevelType w:val="hybridMultilevel"/>
    <w:tmpl w:val="582C0A9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11"/>
  </w:num>
  <w:num w:numId="3">
    <w:abstractNumId w:val="12"/>
  </w:num>
  <w:num w:numId="4">
    <w:abstractNumId w:val="15"/>
  </w:num>
  <w:num w:numId="5">
    <w:abstractNumId w:val="10"/>
  </w:num>
  <w:num w:numId="6">
    <w:abstractNumId w:val="4"/>
  </w:num>
  <w:num w:numId="7">
    <w:abstractNumId w:val="5"/>
  </w:num>
  <w:num w:numId="8">
    <w:abstractNumId w:val="6"/>
  </w:num>
  <w:num w:numId="9">
    <w:abstractNumId w:val="13"/>
  </w:num>
  <w:num w:numId="10">
    <w:abstractNumId w:val="14"/>
  </w:num>
  <w:num w:numId="11">
    <w:abstractNumId w:val="8"/>
  </w:num>
  <w:num w:numId="12">
    <w:abstractNumId w:val="3"/>
  </w:num>
  <w:num w:numId="13">
    <w:abstractNumId w:val="2"/>
  </w:num>
  <w:num w:numId="14">
    <w:abstractNumId w:val="16"/>
  </w:num>
  <w:num w:numId="15">
    <w:abstractNumId w:val="17"/>
  </w:num>
  <w:num w:numId="16">
    <w:abstractNumId w:val="7"/>
  </w:num>
  <w:num w:numId="17">
    <w:abstractNumId w:val="9"/>
  </w:num>
  <w:num w:numId="18">
    <w:abstractNumId w:val="18"/>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B7D"/>
    <w:rsid w:val="0000241A"/>
    <w:rsid w:val="00006EBF"/>
    <w:rsid w:val="0001022A"/>
    <w:rsid w:val="000126D5"/>
    <w:rsid w:val="00022B1F"/>
    <w:rsid w:val="00026A86"/>
    <w:rsid w:val="00035092"/>
    <w:rsid w:val="00035A3B"/>
    <w:rsid w:val="00054A03"/>
    <w:rsid w:val="00055BC7"/>
    <w:rsid w:val="00075E04"/>
    <w:rsid w:val="0008635B"/>
    <w:rsid w:val="00090B64"/>
    <w:rsid w:val="000A2FD4"/>
    <w:rsid w:val="000A7CC8"/>
    <w:rsid w:val="000B542B"/>
    <w:rsid w:val="001017B1"/>
    <w:rsid w:val="00102F77"/>
    <w:rsid w:val="00121E9D"/>
    <w:rsid w:val="00122682"/>
    <w:rsid w:val="00132B7D"/>
    <w:rsid w:val="00142050"/>
    <w:rsid w:val="001427D6"/>
    <w:rsid w:val="00161533"/>
    <w:rsid w:val="001736BB"/>
    <w:rsid w:val="0017697D"/>
    <w:rsid w:val="001802B2"/>
    <w:rsid w:val="00181F1B"/>
    <w:rsid w:val="00184F13"/>
    <w:rsid w:val="001A0455"/>
    <w:rsid w:val="001B31CB"/>
    <w:rsid w:val="001C735A"/>
    <w:rsid w:val="001D01D7"/>
    <w:rsid w:val="001D2145"/>
    <w:rsid w:val="001D2CCC"/>
    <w:rsid w:val="001D53FD"/>
    <w:rsid w:val="001E673E"/>
    <w:rsid w:val="001F1C80"/>
    <w:rsid w:val="001F2835"/>
    <w:rsid w:val="001F3E3C"/>
    <w:rsid w:val="001F4C1C"/>
    <w:rsid w:val="001F6B60"/>
    <w:rsid w:val="00203DEC"/>
    <w:rsid w:val="00203E2B"/>
    <w:rsid w:val="00217D04"/>
    <w:rsid w:val="002232B2"/>
    <w:rsid w:val="00231BB3"/>
    <w:rsid w:val="0023471A"/>
    <w:rsid w:val="00252DDD"/>
    <w:rsid w:val="00255FC5"/>
    <w:rsid w:val="002734EC"/>
    <w:rsid w:val="00274CB5"/>
    <w:rsid w:val="00274DB7"/>
    <w:rsid w:val="002947FD"/>
    <w:rsid w:val="002948DB"/>
    <w:rsid w:val="0029500A"/>
    <w:rsid w:val="002A3B4C"/>
    <w:rsid w:val="002A4D7E"/>
    <w:rsid w:val="002D7849"/>
    <w:rsid w:val="002E7B27"/>
    <w:rsid w:val="002F2EC5"/>
    <w:rsid w:val="002F6961"/>
    <w:rsid w:val="00331F39"/>
    <w:rsid w:val="0035281D"/>
    <w:rsid w:val="00367C6B"/>
    <w:rsid w:val="00396030"/>
    <w:rsid w:val="00396BED"/>
    <w:rsid w:val="003A6491"/>
    <w:rsid w:val="003B239E"/>
    <w:rsid w:val="003B5012"/>
    <w:rsid w:val="003C19B1"/>
    <w:rsid w:val="003D158E"/>
    <w:rsid w:val="003D306E"/>
    <w:rsid w:val="003D317E"/>
    <w:rsid w:val="003D6D45"/>
    <w:rsid w:val="003E3A82"/>
    <w:rsid w:val="003F2E0D"/>
    <w:rsid w:val="0040169B"/>
    <w:rsid w:val="00403B65"/>
    <w:rsid w:val="00404B2C"/>
    <w:rsid w:val="00406711"/>
    <w:rsid w:val="004A0E59"/>
    <w:rsid w:val="004A192E"/>
    <w:rsid w:val="004A4C67"/>
    <w:rsid w:val="004A6E9A"/>
    <w:rsid w:val="004B6D95"/>
    <w:rsid w:val="004C64A7"/>
    <w:rsid w:val="004D06EE"/>
    <w:rsid w:val="004D2311"/>
    <w:rsid w:val="004E3601"/>
    <w:rsid w:val="004F02CE"/>
    <w:rsid w:val="004F3E85"/>
    <w:rsid w:val="00506959"/>
    <w:rsid w:val="00513D1E"/>
    <w:rsid w:val="005219AC"/>
    <w:rsid w:val="00547F60"/>
    <w:rsid w:val="00571518"/>
    <w:rsid w:val="00581B15"/>
    <w:rsid w:val="005861F8"/>
    <w:rsid w:val="005A0F16"/>
    <w:rsid w:val="005A606D"/>
    <w:rsid w:val="005B7608"/>
    <w:rsid w:val="005D3916"/>
    <w:rsid w:val="005E4D60"/>
    <w:rsid w:val="005E528A"/>
    <w:rsid w:val="005E5E55"/>
    <w:rsid w:val="005F3383"/>
    <w:rsid w:val="00605BDF"/>
    <w:rsid w:val="00613577"/>
    <w:rsid w:val="0065309E"/>
    <w:rsid w:val="00664B9B"/>
    <w:rsid w:val="00667D48"/>
    <w:rsid w:val="0067472D"/>
    <w:rsid w:val="00680C54"/>
    <w:rsid w:val="00681D9F"/>
    <w:rsid w:val="006C6132"/>
    <w:rsid w:val="006D71DB"/>
    <w:rsid w:val="006E0A0A"/>
    <w:rsid w:val="006F161C"/>
    <w:rsid w:val="00705022"/>
    <w:rsid w:val="00716C13"/>
    <w:rsid w:val="00720127"/>
    <w:rsid w:val="00723A66"/>
    <w:rsid w:val="007448A5"/>
    <w:rsid w:val="00755CC6"/>
    <w:rsid w:val="00765C64"/>
    <w:rsid w:val="00782B7E"/>
    <w:rsid w:val="0078568B"/>
    <w:rsid w:val="007B1C37"/>
    <w:rsid w:val="007B5357"/>
    <w:rsid w:val="007B5FF6"/>
    <w:rsid w:val="007B6F9D"/>
    <w:rsid w:val="007D36BD"/>
    <w:rsid w:val="007F2122"/>
    <w:rsid w:val="007F39C1"/>
    <w:rsid w:val="007F4635"/>
    <w:rsid w:val="008029FE"/>
    <w:rsid w:val="0082739E"/>
    <w:rsid w:val="0085059A"/>
    <w:rsid w:val="00882B08"/>
    <w:rsid w:val="008960B0"/>
    <w:rsid w:val="008E35B6"/>
    <w:rsid w:val="008E7171"/>
    <w:rsid w:val="008F5014"/>
    <w:rsid w:val="00912D72"/>
    <w:rsid w:val="00914940"/>
    <w:rsid w:val="0091688C"/>
    <w:rsid w:val="0092732F"/>
    <w:rsid w:val="00940720"/>
    <w:rsid w:val="009449ED"/>
    <w:rsid w:val="00944FA9"/>
    <w:rsid w:val="00947F9C"/>
    <w:rsid w:val="009669CB"/>
    <w:rsid w:val="009672EC"/>
    <w:rsid w:val="00990A38"/>
    <w:rsid w:val="009C2AEF"/>
    <w:rsid w:val="009E61F3"/>
    <w:rsid w:val="009F0CCB"/>
    <w:rsid w:val="009F1FBB"/>
    <w:rsid w:val="009F26A7"/>
    <w:rsid w:val="009F2C45"/>
    <w:rsid w:val="009F3B9B"/>
    <w:rsid w:val="00A023FB"/>
    <w:rsid w:val="00A029F1"/>
    <w:rsid w:val="00A05FB1"/>
    <w:rsid w:val="00A20528"/>
    <w:rsid w:val="00A209BB"/>
    <w:rsid w:val="00A264ED"/>
    <w:rsid w:val="00A405F2"/>
    <w:rsid w:val="00A53168"/>
    <w:rsid w:val="00A542BE"/>
    <w:rsid w:val="00A575A6"/>
    <w:rsid w:val="00A70361"/>
    <w:rsid w:val="00AB520A"/>
    <w:rsid w:val="00AB5266"/>
    <w:rsid w:val="00AB6772"/>
    <w:rsid w:val="00AD1AC6"/>
    <w:rsid w:val="00AD563C"/>
    <w:rsid w:val="00AD7B8A"/>
    <w:rsid w:val="00B00290"/>
    <w:rsid w:val="00B15288"/>
    <w:rsid w:val="00B22E45"/>
    <w:rsid w:val="00B33BD5"/>
    <w:rsid w:val="00B41F4C"/>
    <w:rsid w:val="00B54468"/>
    <w:rsid w:val="00B62433"/>
    <w:rsid w:val="00B736F7"/>
    <w:rsid w:val="00B764BF"/>
    <w:rsid w:val="00B816AC"/>
    <w:rsid w:val="00B9635E"/>
    <w:rsid w:val="00BA3D91"/>
    <w:rsid w:val="00BA79C9"/>
    <w:rsid w:val="00BB16BE"/>
    <w:rsid w:val="00BC3BA5"/>
    <w:rsid w:val="00BD2E3A"/>
    <w:rsid w:val="00BE101C"/>
    <w:rsid w:val="00C0103E"/>
    <w:rsid w:val="00C11AE6"/>
    <w:rsid w:val="00C213CA"/>
    <w:rsid w:val="00C2371F"/>
    <w:rsid w:val="00C57337"/>
    <w:rsid w:val="00C72A14"/>
    <w:rsid w:val="00C75293"/>
    <w:rsid w:val="00C77F29"/>
    <w:rsid w:val="00C83043"/>
    <w:rsid w:val="00C8692E"/>
    <w:rsid w:val="00CB51AF"/>
    <w:rsid w:val="00D13A0F"/>
    <w:rsid w:val="00D5066D"/>
    <w:rsid w:val="00D52E75"/>
    <w:rsid w:val="00D56318"/>
    <w:rsid w:val="00D5778C"/>
    <w:rsid w:val="00DB194E"/>
    <w:rsid w:val="00DE2F9B"/>
    <w:rsid w:val="00DF068D"/>
    <w:rsid w:val="00DF3A16"/>
    <w:rsid w:val="00E1017E"/>
    <w:rsid w:val="00E220F0"/>
    <w:rsid w:val="00E22AFD"/>
    <w:rsid w:val="00E433F0"/>
    <w:rsid w:val="00E50018"/>
    <w:rsid w:val="00E56D35"/>
    <w:rsid w:val="00E65A53"/>
    <w:rsid w:val="00E66328"/>
    <w:rsid w:val="00E81313"/>
    <w:rsid w:val="00E87E1A"/>
    <w:rsid w:val="00E92279"/>
    <w:rsid w:val="00E92AEE"/>
    <w:rsid w:val="00E9544E"/>
    <w:rsid w:val="00EB0DE0"/>
    <w:rsid w:val="00EB0EEC"/>
    <w:rsid w:val="00EB3A1E"/>
    <w:rsid w:val="00EB3DDF"/>
    <w:rsid w:val="00F05EB1"/>
    <w:rsid w:val="00F20B27"/>
    <w:rsid w:val="00F23055"/>
    <w:rsid w:val="00F4511F"/>
    <w:rsid w:val="00F475F8"/>
    <w:rsid w:val="00F5144C"/>
    <w:rsid w:val="00F54F94"/>
    <w:rsid w:val="00F61399"/>
    <w:rsid w:val="00F65A38"/>
    <w:rsid w:val="00F82FE5"/>
    <w:rsid w:val="00FB0BF0"/>
    <w:rsid w:val="00FC0CE6"/>
    <w:rsid w:val="00FC6D86"/>
    <w:rsid w:val="00FF403C"/>
    <w:rsid w:val="00FF60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31DE4A"/>
  <w15:chartTrackingRefBased/>
  <w15:docId w15:val="{ECA1B896-C0C7-4A46-97E9-73125E196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3168"/>
  </w:style>
  <w:style w:type="paragraph" w:styleId="Heading1">
    <w:name w:val="heading 1"/>
    <w:basedOn w:val="Normal"/>
    <w:next w:val="Normal"/>
    <w:link w:val="Heading1Char"/>
    <w:uiPriority w:val="9"/>
    <w:qFormat/>
    <w:rsid w:val="00132B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32B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32B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132B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2B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2B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2B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2B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2B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B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32B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32B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132B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2B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2B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2B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2B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2B7D"/>
    <w:rPr>
      <w:rFonts w:eastAsiaTheme="majorEastAsia" w:cstheme="majorBidi"/>
      <w:color w:val="272727" w:themeColor="text1" w:themeTint="D8"/>
    </w:rPr>
  </w:style>
  <w:style w:type="paragraph" w:styleId="Title">
    <w:name w:val="Title"/>
    <w:basedOn w:val="Normal"/>
    <w:next w:val="Normal"/>
    <w:link w:val="TitleChar"/>
    <w:uiPriority w:val="10"/>
    <w:qFormat/>
    <w:rsid w:val="00132B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2B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2B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2B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2B7D"/>
    <w:pPr>
      <w:spacing w:before="160"/>
      <w:jc w:val="center"/>
    </w:pPr>
    <w:rPr>
      <w:i/>
      <w:iCs/>
      <w:color w:val="404040" w:themeColor="text1" w:themeTint="BF"/>
    </w:rPr>
  </w:style>
  <w:style w:type="character" w:customStyle="1" w:styleId="QuoteChar">
    <w:name w:val="Quote Char"/>
    <w:basedOn w:val="DefaultParagraphFont"/>
    <w:link w:val="Quote"/>
    <w:uiPriority w:val="29"/>
    <w:rsid w:val="00132B7D"/>
    <w:rPr>
      <w:i/>
      <w:iCs/>
      <w:color w:val="404040" w:themeColor="text1" w:themeTint="BF"/>
    </w:rPr>
  </w:style>
  <w:style w:type="paragraph" w:styleId="ListParagraph">
    <w:name w:val="List Paragraph"/>
    <w:basedOn w:val="Normal"/>
    <w:uiPriority w:val="34"/>
    <w:qFormat/>
    <w:rsid w:val="00132B7D"/>
    <w:pPr>
      <w:ind w:left="720"/>
      <w:contextualSpacing/>
    </w:pPr>
  </w:style>
  <w:style w:type="character" w:styleId="IntenseEmphasis">
    <w:name w:val="Intense Emphasis"/>
    <w:basedOn w:val="DefaultParagraphFont"/>
    <w:uiPriority w:val="21"/>
    <w:qFormat/>
    <w:rsid w:val="00132B7D"/>
    <w:rPr>
      <w:i/>
      <w:iCs/>
      <w:color w:val="2F5496" w:themeColor="accent1" w:themeShade="BF"/>
    </w:rPr>
  </w:style>
  <w:style w:type="paragraph" w:styleId="IntenseQuote">
    <w:name w:val="Intense Quote"/>
    <w:basedOn w:val="Normal"/>
    <w:next w:val="Normal"/>
    <w:link w:val="IntenseQuoteChar"/>
    <w:uiPriority w:val="30"/>
    <w:qFormat/>
    <w:rsid w:val="00132B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2B7D"/>
    <w:rPr>
      <w:i/>
      <w:iCs/>
      <w:color w:val="2F5496" w:themeColor="accent1" w:themeShade="BF"/>
    </w:rPr>
  </w:style>
  <w:style w:type="character" w:styleId="IntenseReference">
    <w:name w:val="Intense Reference"/>
    <w:basedOn w:val="DefaultParagraphFont"/>
    <w:uiPriority w:val="32"/>
    <w:qFormat/>
    <w:rsid w:val="00132B7D"/>
    <w:rPr>
      <w:b/>
      <w:bCs/>
      <w:smallCaps/>
      <w:color w:val="2F5496" w:themeColor="accent1" w:themeShade="BF"/>
      <w:spacing w:val="5"/>
    </w:rPr>
  </w:style>
  <w:style w:type="character" w:styleId="Hyperlink">
    <w:name w:val="Hyperlink"/>
    <w:basedOn w:val="DefaultParagraphFont"/>
    <w:uiPriority w:val="99"/>
    <w:unhideWhenUsed/>
    <w:rsid w:val="00EB3DDF"/>
    <w:rPr>
      <w:color w:val="0563C1" w:themeColor="hyperlink"/>
      <w:u w:val="single"/>
    </w:rPr>
  </w:style>
  <w:style w:type="character" w:styleId="UnresolvedMention">
    <w:name w:val="Unresolved Mention"/>
    <w:basedOn w:val="DefaultParagraphFont"/>
    <w:uiPriority w:val="99"/>
    <w:semiHidden/>
    <w:unhideWhenUsed/>
    <w:rsid w:val="00EB3DDF"/>
    <w:rPr>
      <w:color w:val="605E5C"/>
      <w:shd w:val="clear" w:color="auto" w:fill="E1DFDD"/>
    </w:rPr>
  </w:style>
  <w:style w:type="character" w:styleId="FollowedHyperlink">
    <w:name w:val="FollowedHyperlink"/>
    <w:basedOn w:val="DefaultParagraphFont"/>
    <w:uiPriority w:val="99"/>
    <w:semiHidden/>
    <w:unhideWhenUsed/>
    <w:rsid w:val="009F2C45"/>
    <w:rPr>
      <w:color w:val="954F72" w:themeColor="followedHyperlink"/>
      <w:u w:val="single"/>
    </w:rPr>
  </w:style>
  <w:style w:type="paragraph" w:styleId="Bibliography">
    <w:name w:val="Bibliography"/>
    <w:basedOn w:val="Normal"/>
    <w:next w:val="Normal"/>
    <w:uiPriority w:val="37"/>
    <w:unhideWhenUsed/>
    <w:rsid w:val="00D5778C"/>
    <w:pPr>
      <w:spacing w:after="240" w:line="240" w:lineRule="auto"/>
    </w:pPr>
  </w:style>
  <w:style w:type="table" w:styleId="TableGrid">
    <w:name w:val="Table Grid"/>
    <w:basedOn w:val="TableNormal"/>
    <w:uiPriority w:val="39"/>
    <w:rsid w:val="00916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A542BE"/>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customStyle="1" w:styleId="s1">
    <w:name w:val="s1"/>
    <w:basedOn w:val="DefaultParagraphFont"/>
    <w:rsid w:val="00FF403C"/>
  </w:style>
  <w:style w:type="character" w:customStyle="1" w:styleId="apple-converted-space">
    <w:name w:val="apple-converted-space"/>
    <w:basedOn w:val="DefaultParagraphFont"/>
    <w:rsid w:val="005B7608"/>
  </w:style>
  <w:style w:type="paragraph" w:customStyle="1" w:styleId="p2">
    <w:name w:val="p2"/>
    <w:basedOn w:val="Normal"/>
    <w:rsid w:val="005B7608"/>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customStyle="1" w:styleId="p3">
    <w:name w:val="p3"/>
    <w:basedOn w:val="Normal"/>
    <w:rsid w:val="001736BB"/>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customStyle="1" w:styleId="s2">
    <w:name w:val="s2"/>
    <w:basedOn w:val="DefaultParagraphFont"/>
    <w:rsid w:val="00513D1E"/>
  </w:style>
  <w:style w:type="paragraph" w:styleId="NormalWeb">
    <w:name w:val="Normal (Web)"/>
    <w:basedOn w:val="Normal"/>
    <w:uiPriority w:val="99"/>
    <w:unhideWhenUsed/>
    <w:rsid w:val="00F61399"/>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styleId="CommentText">
    <w:name w:val="annotation text"/>
    <w:basedOn w:val="Normal"/>
    <w:link w:val="CommentTextChar"/>
    <w:uiPriority w:val="99"/>
    <w:semiHidden/>
    <w:unhideWhenUsed/>
    <w:rsid w:val="00F61399"/>
    <w:pPr>
      <w:spacing w:line="240" w:lineRule="auto"/>
    </w:pPr>
    <w:rPr>
      <w:sz w:val="20"/>
      <w:szCs w:val="20"/>
    </w:rPr>
  </w:style>
  <w:style w:type="character" w:customStyle="1" w:styleId="CommentTextChar">
    <w:name w:val="Comment Text Char"/>
    <w:basedOn w:val="DefaultParagraphFont"/>
    <w:link w:val="CommentText"/>
    <w:uiPriority w:val="99"/>
    <w:semiHidden/>
    <w:rsid w:val="00F61399"/>
    <w:rPr>
      <w:sz w:val="20"/>
      <w:szCs w:val="20"/>
    </w:rPr>
  </w:style>
  <w:style w:type="paragraph" w:styleId="CommentSubject">
    <w:name w:val="annotation subject"/>
    <w:basedOn w:val="CommentText"/>
    <w:next w:val="CommentText"/>
    <w:link w:val="CommentSubjectChar"/>
    <w:uiPriority w:val="99"/>
    <w:semiHidden/>
    <w:unhideWhenUsed/>
    <w:rsid w:val="00F61399"/>
    <w:rPr>
      <w:rFonts w:ascii="Calibri" w:eastAsia="Calibri" w:hAnsi="Calibri" w:cs="Calibri"/>
      <w:b/>
      <w:bCs/>
      <w:kern w:val="0"/>
      <w:lang w:eastAsia="pt-BR"/>
      <w14:ligatures w14:val="none"/>
    </w:rPr>
  </w:style>
  <w:style w:type="character" w:customStyle="1" w:styleId="CommentSubjectChar">
    <w:name w:val="Comment Subject Char"/>
    <w:basedOn w:val="CommentTextChar"/>
    <w:link w:val="CommentSubject"/>
    <w:uiPriority w:val="99"/>
    <w:semiHidden/>
    <w:rsid w:val="00F61399"/>
    <w:rPr>
      <w:rFonts w:ascii="Calibri" w:eastAsia="Calibri" w:hAnsi="Calibri" w:cs="Calibri"/>
      <w:b/>
      <w:bCs/>
      <w:kern w:val="0"/>
      <w:sz w:val="20"/>
      <w:szCs w:val="20"/>
      <w:lang w:eastAsia="pt-BR"/>
      <w14:ligatures w14:val="none"/>
    </w:rPr>
  </w:style>
  <w:style w:type="character" w:customStyle="1" w:styleId="citation-86">
    <w:name w:val="citation-86"/>
    <w:basedOn w:val="DefaultParagraphFont"/>
    <w:rsid w:val="001F1C80"/>
  </w:style>
  <w:style w:type="character" w:customStyle="1" w:styleId="citation-85">
    <w:name w:val="citation-85"/>
    <w:basedOn w:val="DefaultParagraphFont"/>
    <w:rsid w:val="001F1C80"/>
  </w:style>
  <w:style w:type="character" w:customStyle="1" w:styleId="citation-84">
    <w:name w:val="citation-84"/>
    <w:basedOn w:val="DefaultParagraphFont"/>
    <w:rsid w:val="001F1C80"/>
  </w:style>
  <w:style w:type="character" w:customStyle="1" w:styleId="citation-83">
    <w:name w:val="citation-83"/>
    <w:basedOn w:val="DefaultParagraphFont"/>
    <w:rsid w:val="001F1C80"/>
  </w:style>
  <w:style w:type="character" w:customStyle="1" w:styleId="citation-82">
    <w:name w:val="citation-82"/>
    <w:basedOn w:val="DefaultParagraphFont"/>
    <w:rsid w:val="001F1C80"/>
  </w:style>
  <w:style w:type="character" w:customStyle="1" w:styleId="citation-81">
    <w:name w:val="citation-81"/>
    <w:basedOn w:val="DefaultParagraphFont"/>
    <w:rsid w:val="001F1C80"/>
  </w:style>
  <w:style w:type="character" w:customStyle="1" w:styleId="citation-80">
    <w:name w:val="citation-80"/>
    <w:basedOn w:val="DefaultParagraphFont"/>
    <w:rsid w:val="001F1C80"/>
  </w:style>
  <w:style w:type="character" w:customStyle="1" w:styleId="citation-79">
    <w:name w:val="citation-79"/>
    <w:basedOn w:val="DefaultParagraphFont"/>
    <w:rsid w:val="001F1C80"/>
  </w:style>
  <w:style w:type="character" w:customStyle="1" w:styleId="citation-78">
    <w:name w:val="citation-78"/>
    <w:basedOn w:val="DefaultParagraphFont"/>
    <w:rsid w:val="001F1C80"/>
  </w:style>
  <w:style w:type="character" w:customStyle="1" w:styleId="citation-77">
    <w:name w:val="citation-77"/>
    <w:basedOn w:val="DefaultParagraphFont"/>
    <w:rsid w:val="001F1C80"/>
  </w:style>
  <w:style w:type="character" w:customStyle="1" w:styleId="citation-76">
    <w:name w:val="citation-76"/>
    <w:basedOn w:val="DefaultParagraphFont"/>
    <w:rsid w:val="001F1C80"/>
  </w:style>
  <w:style w:type="character" w:customStyle="1" w:styleId="citation-75">
    <w:name w:val="citation-75"/>
    <w:basedOn w:val="DefaultParagraphFont"/>
    <w:rsid w:val="001F1C80"/>
  </w:style>
  <w:style w:type="character" w:customStyle="1" w:styleId="citation-74">
    <w:name w:val="citation-74"/>
    <w:basedOn w:val="DefaultParagraphFont"/>
    <w:rsid w:val="001F1C80"/>
  </w:style>
  <w:style w:type="character" w:customStyle="1" w:styleId="citation-131">
    <w:name w:val="citation-131"/>
    <w:basedOn w:val="DefaultParagraphFont"/>
    <w:rsid w:val="00122682"/>
  </w:style>
  <w:style w:type="paragraph" w:styleId="Revision">
    <w:name w:val="Revision"/>
    <w:hidden/>
    <w:uiPriority w:val="99"/>
    <w:semiHidden/>
    <w:rsid w:val="001F2835"/>
    <w:pPr>
      <w:spacing w:after="0" w:line="240" w:lineRule="auto"/>
    </w:pPr>
  </w:style>
  <w:style w:type="character" w:styleId="CommentReference">
    <w:name w:val="annotation reference"/>
    <w:basedOn w:val="DefaultParagraphFont"/>
    <w:uiPriority w:val="99"/>
    <w:semiHidden/>
    <w:unhideWhenUsed/>
    <w:rsid w:val="001F2835"/>
    <w:rPr>
      <w:sz w:val="16"/>
      <w:szCs w:val="16"/>
    </w:rPr>
  </w:style>
  <w:style w:type="paragraph" w:styleId="Header">
    <w:name w:val="header"/>
    <w:basedOn w:val="Normal"/>
    <w:link w:val="HeaderChar"/>
    <w:uiPriority w:val="99"/>
    <w:unhideWhenUsed/>
    <w:rsid w:val="000B54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42B"/>
  </w:style>
  <w:style w:type="paragraph" w:styleId="Footer">
    <w:name w:val="footer"/>
    <w:basedOn w:val="Normal"/>
    <w:link w:val="FooterChar"/>
    <w:uiPriority w:val="99"/>
    <w:unhideWhenUsed/>
    <w:rsid w:val="000B54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2907">
      <w:bodyDiv w:val="1"/>
      <w:marLeft w:val="0"/>
      <w:marRight w:val="0"/>
      <w:marTop w:val="0"/>
      <w:marBottom w:val="0"/>
      <w:divBdr>
        <w:top w:val="none" w:sz="0" w:space="0" w:color="auto"/>
        <w:left w:val="none" w:sz="0" w:space="0" w:color="auto"/>
        <w:bottom w:val="none" w:sz="0" w:space="0" w:color="auto"/>
        <w:right w:val="none" w:sz="0" w:space="0" w:color="auto"/>
      </w:divBdr>
    </w:div>
    <w:div w:id="103886232">
      <w:bodyDiv w:val="1"/>
      <w:marLeft w:val="0"/>
      <w:marRight w:val="0"/>
      <w:marTop w:val="0"/>
      <w:marBottom w:val="0"/>
      <w:divBdr>
        <w:top w:val="none" w:sz="0" w:space="0" w:color="auto"/>
        <w:left w:val="none" w:sz="0" w:space="0" w:color="auto"/>
        <w:bottom w:val="none" w:sz="0" w:space="0" w:color="auto"/>
        <w:right w:val="none" w:sz="0" w:space="0" w:color="auto"/>
      </w:divBdr>
    </w:div>
    <w:div w:id="177087552">
      <w:bodyDiv w:val="1"/>
      <w:marLeft w:val="0"/>
      <w:marRight w:val="0"/>
      <w:marTop w:val="0"/>
      <w:marBottom w:val="0"/>
      <w:divBdr>
        <w:top w:val="none" w:sz="0" w:space="0" w:color="auto"/>
        <w:left w:val="none" w:sz="0" w:space="0" w:color="auto"/>
        <w:bottom w:val="none" w:sz="0" w:space="0" w:color="auto"/>
        <w:right w:val="none" w:sz="0" w:space="0" w:color="auto"/>
      </w:divBdr>
    </w:div>
    <w:div w:id="184102550">
      <w:bodyDiv w:val="1"/>
      <w:marLeft w:val="0"/>
      <w:marRight w:val="0"/>
      <w:marTop w:val="0"/>
      <w:marBottom w:val="0"/>
      <w:divBdr>
        <w:top w:val="none" w:sz="0" w:space="0" w:color="auto"/>
        <w:left w:val="none" w:sz="0" w:space="0" w:color="auto"/>
        <w:bottom w:val="none" w:sz="0" w:space="0" w:color="auto"/>
        <w:right w:val="none" w:sz="0" w:space="0" w:color="auto"/>
      </w:divBdr>
    </w:div>
    <w:div w:id="266083166">
      <w:bodyDiv w:val="1"/>
      <w:marLeft w:val="0"/>
      <w:marRight w:val="0"/>
      <w:marTop w:val="0"/>
      <w:marBottom w:val="0"/>
      <w:divBdr>
        <w:top w:val="none" w:sz="0" w:space="0" w:color="auto"/>
        <w:left w:val="none" w:sz="0" w:space="0" w:color="auto"/>
        <w:bottom w:val="none" w:sz="0" w:space="0" w:color="auto"/>
        <w:right w:val="none" w:sz="0" w:space="0" w:color="auto"/>
      </w:divBdr>
    </w:div>
    <w:div w:id="375129425">
      <w:bodyDiv w:val="1"/>
      <w:marLeft w:val="0"/>
      <w:marRight w:val="0"/>
      <w:marTop w:val="0"/>
      <w:marBottom w:val="0"/>
      <w:divBdr>
        <w:top w:val="none" w:sz="0" w:space="0" w:color="auto"/>
        <w:left w:val="none" w:sz="0" w:space="0" w:color="auto"/>
        <w:bottom w:val="none" w:sz="0" w:space="0" w:color="auto"/>
        <w:right w:val="none" w:sz="0" w:space="0" w:color="auto"/>
      </w:divBdr>
    </w:div>
    <w:div w:id="425468810">
      <w:bodyDiv w:val="1"/>
      <w:marLeft w:val="0"/>
      <w:marRight w:val="0"/>
      <w:marTop w:val="0"/>
      <w:marBottom w:val="0"/>
      <w:divBdr>
        <w:top w:val="none" w:sz="0" w:space="0" w:color="auto"/>
        <w:left w:val="none" w:sz="0" w:space="0" w:color="auto"/>
        <w:bottom w:val="none" w:sz="0" w:space="0" w:color="auto"/>
        <w:right w:val="none" w:sz="0" w:space="0" w:color="auto"/>
      </w:divBdr>
      <w:divsChild>
        <w:div w:id="1133446629">
          <w:marLeft w:val="0"/>
          <w:marRight w:val="0"/>
          <w:marTop w:val="0"/>
          <w:marBottom w:val="0"/>
          <w:divBdr>
            <w:top w:val="none" w:sz="0" w:space="0" w:color="auto"/>
            <w:left w:val="none" w:sz="0" w:space="0" w:color="auto"/>
            <w:bottom w:val="none" w:sz="0" w:space="0" w:color="auto"/>
            <w:right w:val="none" w:sz="0" w:space="0" w:color="auto"/>
          </w:divBdr>
          <w:divsChild>
            <w:div w:id="271015741">
              <w:marLeft w:val="0"/>
              <w:marRight w:val="0"/>
              <w:marTop w:val="0"/>
              <w:marBottom w:val="0"/>
              <w:divBdr>
                <w:top w:val="none" w:sz="0" w:space="0" w:color="auto"/>
                <w:left w:val="none" w:sz="0" w:space="0" w:color="auto"/>
                <w:bottom w:val="none" w:sz="0" w:space="0" w:color="auto"/>
                <w:right w:val="none" w:sz="0" w:space="0" w:color="auto"/>
              </w:divBdr>
              <w:divsChild>
                <w:div w:id="80250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382809">
      <w:bodyDiv w:val="1"/>
      <w:marLeft w:val="0"/>
      <w:marRight w:val="0"/>
      <w:marTop w:val="0"/>
      <w:marBottom w:val="0"/>
      <w:divBdr>
        <w:top w:val="none" w:sz="0" w:space="0" w:color="auto"/>
        <w:left w:val="none" w:sz="0" w:space="0" w:color="auto"/>
        <w:bottom w:val="none" w:sz="0" w:space="0" w:color="auto"/>
        <w:right w:val="none" w:sz="0" w:space="0" w:color="auto"/>
      </w:divBdr>
    </w:div>
    <w:div w:id="514467985">
      <w:bodyDiv w:val="1"/>
      <w:marLeft w:val="0"/>
      <w:marRight w:val="0"/>
      <w:marTop w:val="0"/>
      <w:marBottom w:val="0"/>
      <w:divBdr>
        <w:top w:val="none" w:sz="0" w:space="0" w:color="auto"/>
        <w:left w:val="none" w:sz="0" w:space="0" w:color="auto"/>
        <w:bottom w:val="none" w:sz="0" w:space="0" w:color="auto"/>
        <w:right w:val="none" w:sz="0" w:space="0" w:color="auto"/>
      </w:divBdr>
    </w:div>
    <w:div w:id="567226309">
      <w:bodyDiv w:val="1"/>
      <w:marLeft w:val="0"/>
      <w:marRight w:val="0"/>
      <w:marTop w:val="0"/>
      <w:marBottom w:val="0"/>
      <w:divBdr>
        <w:top w:val="none" w:sz="0" w:space="0" w:color="auto"/>
        <w:left w:val="none" w:sz="0" w:space="0" w:color="auto"/>
        <w:bottom w:val="none" w:sz="0" w:space="0" w:color="auto"/>
        <w:right w:val="none" w:sz="0" w:space="0" w:color="auto"/>
      </w:divBdr>
    </w:div>
    <w:div w:id="595216683">
      <w:bodyDiv w:val="1"/>
      <w:marLeft w:val="0"/>
      <w:marRight w:val="0"/>
      <w:marTop w:val="0"/>
      <w:marBottom w:val="0"/>
      <w:divBdr>
        <w:top w:val="none" w:sz="0" w:space="0" w:color="auto"/>
        <w:left w:val="none" w:sz="0" w:space="0" w:color="auto"/>
        <w:bottom w:val="none" w:sz="0" w:space="0" w:color="auto"/>
        <w:right w:val="none" w:sz="0" w:space="0" w:color="auto"/>
      </w:divBdr>
    </w:div>
    <w:div w:id="602345655">
      <w:bodyDiv w:val="1"/>
      <w:marLeft w:val="0"/>
      <w:marRight w:val="0"/>
      <w:marTop w:val="0"/>
      <w:marBottom w:val="0"/>
      <w:divBdr>
        <w:top w:val="none" w:sz="0" w:space="0" w:color="auto"/>
        <w:left w:val="none" w:sz="0" w:space="0" w:color="auto"/>
        <w:bottom w:val="none" w:sz="0" w:space="0" w:color="auto"/>
        <w:right w:val="none" w:sz="0" w:space="0" w:color="auto"/>
      </w:divBdr>
    </w:div>
    <w:div w:id="629282751">
      <w:bodyDiv w:val="1"/>
      <w:marLeft w:val="0"/>
      <w:marRight w:val="0"/>
      <w:marTop w:val="0"/>
      <w:marBottom w:val="0"/>
      <w:divBdr>
        <w:top w:val="none" w:sz="0" w:space="0" w:color="auto"/>
        <w:left w:val="none" w:sz="0" w:space="0" w:color="auto"/>
        <w:bottom w:val="none" w:sz="0" w:space="0" w:color="auto"/>
        <w:right w:val="none" w:sz="0" w:space="0" w:color="auto"/>
      </w:divBdr>
    </w:div>
    <w:div w:id="716583902">
      <w:bodyDiv w:val="1"/>
      <w:marLeft w:val="0"/>
      <w:marRight w:val="0"/>
      <w:marTop w:val="0"/>
      <w:marBottom w:val="0"/>
      <w:divBdr>
        <w:top w:val="none" w:sz="0" w:space="0" w:color="auto"/>
        <w:left w:val="none" w:sz="0" w:space="0" w:color="auto"/>
        <w:bottom w:val="none" w:sz="0" w:space="0" w:color="auto"/>
        <w:right w:val="none" w:sz="0" w:space="0" w:color="auto"/>
      </w:divBdr>
    </w:div>
    <w:div w:id="769741267">
      <w:bodyDiv w:val="1"/>
      <w:marLeft w:val="0"/>
      <w:marRight w:val="0"/>
      <w:marTop w:val="0"/>
      <w:marBottom w:val="0"/>
      <w:divBdr>
        <w:top w:val="none" w:sz="0" w:space="0" w:color="auto"/>
        <w:left w:val="none" w:sz="0" w:space="0" w:color="auto"/>
        <w:bottom w:val="none" w:sz="0" w:space="0" w:color="auto"/>
        <w:right w:val="none" w:sz="0" w:space="0" w:color="auto"/>
      </w:divBdr>
    </w:div>
    <w:div w:id="777604891">
      <w:bodyDiv w:val="1"/>
      <w:marLeft w:val="0"/>
      <w:marRight w:val="0"/>
      <w:marTop w:val="0"/>
      <w:marBottom w:val="0"/>
      <w:divBdr>
        <w:top w:val="none" w:sz="0" w:space="0" w:color="auto"/>
        <w:left w:val="none" w:sz="0" w:space="0" w:color="auto"/>
        <w:bottom w:val="none" w:sz="0" w:space="0" w:color="auto"/>
        <w:right w:val="none" w:sz="0" w:space="0" w:color="auto"/>
      </w:divBdr>
      <w:divsChild>
        <w:div w:id="44677819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81456920">
      <w:bodyDiv w:val="1"/>
      <w:marLeft w:val="0"/>
      <w:marRight w:val="0"/>
      <w:marTop w:val="0"/>
      <w:marBottom w:val="0"/>
      <w:divBdr>
        <w:top w:val="none" w:sz="0" w:space="0" w:color="auto"/>
        <w:left w:val="none" w:sz="0" w:space="0" w:color="auto"/>
        <w:bottom w:val="none" w:sz="0" w:space="0" w:color="auto"/>
        <w:right w:val="none" w:sz="0" w:space="0" w:color="auto"/>
      </w:divBdr>
    </w:div>
    <w:div w:id="789129226">
      <w:bodyDiv w:val="1"/>
      <w:marLeft w:val="0"/>
      <w:marRight w:val="0"/>
      <w:marTop w:val="0"/>
      <w:marBottom w:val="0"/>
      <w:divBdr>
        <w:top w:val="none" w:sz="0" w:space="0" w:color="auto"/>
        <w:left w:val="none" w:sz="0" w:space="0" w:color="auto"/>
        <w:bottom w:val="none" w:sz="0" w:space="0" w:color="auto"/>
        <w:right w:val="none" w:sz="0" w:space="0" w:color="auto"/>
      </w:divBdr>
    </w:div>
    <w:div w:id="956059944">
      <w:bodyDiv w:val="1"/>
      <w:marLeft w:val="0"/>
      <w:marRight w:val="0"/>
      <w:marTop w:val="0"/>
      <w:marBottom w:val="0"/>
      <w:divBdr>
        <w:top w:val="none" w:sz="0" w:space="0" w:color="auto"/>
        <w:left w:val="none" w:sz="0" w:space="0" w:color="auto"/>
        <w:bottom w:val="none" w:sz="0" w:space="0" w:color="auto"/>
        <w:right w:val="none" w:sz="0" w:space="0" w:color="auto"/>
      </w:divBdr>
    </w:div>
    <w:div w:id="1137458684">
      <w:bodyDiv w:val="1"/>
      <w:marLeft w:val="0"/>
      <w:marRight w:val="0"/>
      <w:marTop w:val="0"/>
      <w:marBottom w:val="0"/>
      <w:divBdr>
        <w:top w:val="none" w:sz="0" w:space="0" w:color="auto"/>
        <w:left w:val="none" w:sz="0" w:space="0" w:color="auto"/>
        <w:bottom w:val="none" w:sz="0" w:space="0" w:color="auto"/>
        <w:right w:val="none" w:sz="0" w:space="0" w:color="auto"/>
      </w:divBdr>
    </w:div>
    <w:div w:id="1137993810">
      <w:bodyDiv w:val="1"/>
      <w:marLeft w:val="0"/>
      <w:marRight w:val="0"/>
      <w:marTop w:val="0"/>
      <w:marBottom w:val="0"/>
      <w:divBdr>
        <w:top w:val="none" w:sz="0" w:space="0" w:color="auto"/>
        <w:left w:val="none" w:sz="0" w:space="0" w:color="auto"/>
        <w:bottom w:val="none" w:sz="0" w:space="0" w:color="auto"/>
        <w:right w:val="none" w:sz="0" w:space="0" w:color="auto"/>
      </w:divBdr>
    </w:div>
    <w:div w:id="1182091735">
      <w:bodyDiv w:val="1"/>
      <w:marLeft w:val="0"/>
      <w:marRight w:val="0"/>
      <w:marTop w:val="0"/>
      <w:marBottom w:val="0"/>
      <w:divBdr>
        <w:top w:val="none" w:sz="0" w:space="0" w:color="auto"/>
        <w:left w:val="none" w:sz="0" w:space="0" w:color="auto"/>
        <w:bottom w:val="none" w:sz="0" w:space="0" w:color="auto"/>
        <w:right w:val="none" w:sz="0" w:space="0" w:color="auto"/>
      </w:divBdr>
    </w:div>
    <w:div w:id="1214578835">
      <w:bodyDiv w:val="1"/>
      <w:marLeft w:val="0"/>
      <w:marRight w:val="0"/>
      <w:marTop w:val="0"/>
      <w:marBottom w:val="0"/>
      <w:divBdr>
        <w:top w:val="none" w:sz="0" w:space="0" w:color="auto"/>
        <w:left w:val="none" w:sz="0" w:space="0" w:color="auto"/>
        <w:bottom w:val="none" w:sz="0" w:space="0" w:color="auto"/>
        <w:right w:val="none" w:sz="0" w:space="0" w:color="auto"/>
      </w:divBdr>
    </w:div>
    <w:div w:id="1254433916">
      <w:bodyDiv w:val="1"/>
      <w:marLeft w:val="0"/>
      <w:marRight w:val="0"/>
      <w:marTop w:val="0"/>
      <w:marBottom w:val="0"/>
      <w:divBdr>
        <w:top w:val="none" w:sz="0" w:space="0" w:color="auto"/>
        <w:left w:val="none" w:sz="0" w:space="0" w:color="auto"/>
        <w:bottom w:val="none" w:sz="0" w:space="0" w:color="auto"/>
        <w:right w:val="none" w:sz="0" w:space="0" w:color="auto"/>
      </w:divBdr>
      <w:divsChild>
        <w:div w:id="789400185">
          <w:blockQuote w:val="1"/>
          <w:marLeft w:val="225"/>
          <w:marRight w:val="0"/>
          <w:marTop w:val="0"/>
          <w:marBottom w:val="0"/>
          <w:divBdr>
            <w:top w:val="none" w:sz="0" w:space="0" w:color="auto"/>
            <w:left w:val="none" w:sz="0" w:space="0" w:color="auto"/>
            <w:bottom w:val="none" w:sz="0" w:space="0" w:color="auto"/>
            <w:right w:val="none" w:sz="0" w:space="0" w:color="auto"/>
          </w:divBdr>
        </w:div>
        <w:div w:id="398132041">
          <w:blockQuote w:val="1"/>
          <w:marLeft w:val="225"/>
          <w:marRight w:val="0"/>
          <w:marTop w:val="0"/>
          <w:marBottom w:val="0"/>
          <w:divBdr>
            <w:top w:val="none" w:sz="0" w:space="0" w:color="auto"/>
            <w:left w:val="none" w:sz="0" w:space="0" w:color="auto"/>
            <w:bottom w:val="none" w:sz="0" w:space="0" w:color="auto"/>
            <w:right w:val="none" w:sz="0" w:space="0" w:color="auto"/>
          </w:divBdr>
        </w:div>
        <w:div w:id="37966737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65457660">
      <w:bodyDiv w:val="1"/>
      <w:marLeft w:val="0"/>
      <w:marRight w:val="0"/>
      <w:marTop w:val="0"/>
      <w:marBottom w:val="0"/>
      <w:divBdr>
        <w:top w:val="none" w:sz="0" w:space="0" w:color="auto"/>
        <w:left w:val="none" w:sz="0" w:space="0" w:color="auto"/>
        <w:bottom w:val="none" w:sz="0" w:space="0" w:color="auto"/>
        <w:right w:val="none" w:sz="0" w:space="0" w:color="auto"/>
      </w:divBdr>
    </w:div>
    <w:div w:id="1299921080">
      <w:bodyDiv w:val="1"/>
      <w:marLeft w:val="0"/>
      <w:marRight w:val="0"/>
      <w:marTop w:val="0"/>
      <w:marBottom w:val="0"/>
      <w:divBdr>
        <w:top w:val="none" w:sz="0" w:space="0" w:color="auto"/>
        <w:left w:val="none" w:sz="0" w:space="0" w:color="auto"/>
        <w:bottom w:val="none" w:sz="0" w:space="0" w:color="auto"/>
        <w:right w:val="none" w:sz="0" w:space="0" w:color="auto"/>
      </w:divBdr>
    </w:div>
    <w:div w:id="1353917940">
      <w:bodyDiv w:val="1"/>
      <w:marLeft w:val="0"/>
      <w:marRight w:val="0"/>
      <w:marTop w:val="0"/>
      <w:marBottom w:val="0"/>
      <w:divBdr>
        <w:top w:val="none" w:sz="0" w:space="0" w:color="auto"/>
        <w:left w:val="none" w:sz="0" w:space="0" w:color="auto"/>
        <w:bottom w:val="none" w:sz="0" w:space="0" w:color="auto"/>
        <w:right w:val="none" w:sz="0" w:space="0" w:color="auto"/>
      </w:divBdr>
    </w:div>
    <w:div w:id="1354266289">
      <w:bodyDiv w:val="1"/>
      <w:marLeft w:val="0"/>
      <w:marRight w:val="0"/>
      <w:marTop w:val="0"/>
      <w:marBottom w:val="0"/>
      <w:divBdr>
        <w:top w:val="none" w:sz="0" w:space="0" w:color="auto"/>
        <w:left w:val="none" w:sz="0" w:space="0" w:color="auto"/>
        <w:bottom w:val="none" w:sz="0" w:space="0" w:color="auto"/>
        <w:right w:val="none" w:sz="0" w:space="0" w:color="auto"/>
      </w:divBdr>
    </w:div>
    <w:div w:id="1357653143">
      <w:bodyDiv w:val="1"/>
      <w:marLeft w:val="0"/>
      <w:marRight w:val="0"/>
      <w:marTop w:val="0"/>
      <w:marBottom w:val="0"/>
      <w:divBdr>
        <w:top w:val="none" w:sz="0" w:space="0" w:color="auto"/>
        <w:left w:val="none" w:sz="0" w:space="0" w:color="auto"/>
        <w:bottom w:val="none" w:sz="0" w:space="0" w:color="auto"/>
        <w:right w:val="none" w:sz="0" w:space="0" w:color="auto"/>
      </w:divBdr>
    </w:div>
    <w:div w:id="1457063480">
      <w:bodyDiv w:val="1"/>
      <w:marLeft w:val="0"/>
      <w:marRight w:val="0"/>
      <w:marTop w:val="0"/>
      <w:marBottom w:val="0"/>
      <w:divBdr>
        <w:top w:val="none" w:sz="0" w:space="0" w:color="auto"/>
        <w:left w:val="none" w:sz="0" w:space="0" w:color="auto"/>
        <w:bottom w:val="none" w:sz="0" w:space="0" w:color="auto"/>
        <w:right w:val="none" w:sz="0" w:space="0" w:color="auto"/>
      </w:divBdr>
    </w:div>
    <w:div w:id="1477258996">
      <w:bodyDiv w:val="1"/>
      <w:marLeft w:val="0"/>
      <w:marRight w:val="0"/>
      <w:marTop w:val="0"/>
      <w:marBottom w:val="0"/>
      <w:divBdr>
        <w:top w:val="none" w:sz="0" w:space="0" w:color="auto"/>
        <w:left w:val="none" w:sz="0" w:space="0" w:color="auto"/>
        <w:bottom w:val="none" w:sz="0" w:space="0" w:color="auto"/>
        <w:right w:val="none" w:sz="0" w:space="0" w:color="auto"/>
      </w:divBdr>
      <w:divsChild>
        <w:div w:id="566767855">
          <w:marLeft w:val="0"/>
          <w:marRight w:val="0"/>
          <w:marTop w:val="0"/>
          <w:marBottom w:val="0"/>
          <w:divBdr>
            <w:top w:val="none" w:sz="0" w:space="0" w:color="auto"/>
            <w:left w:val="none" w:sz="0" w:space="0" w:color="auto"/>
            <w:bottom w:val="none" w:sz="0" w:space="0" w:color="auto"/>
            <w:right w:val="none" w:sz="0" w:space="0" w:color="auto"/>
          </w:divBdr>
          <w:divsChild>
            <w:div w:id="222254727">
              <w:marLeft w:val="0"/>
              <w:marRight w:val="0"/>
              <w:marTop w:val="0"/>
              <w:marBottom w:val="0"/>
              <w:divBdr>
                <w:top w:val="none" w:sz="0" w:space="0" w:color="auto"/>
                <w:left w:val="none" w:sz="0" w:space="0" w:color="auto"/>
                <w:bottom w:val="none" w:sz="0" w:space="0" w:color="auto"/>
                <w:right w:val="none" w:sz="0" w:space="0" w:color="auto"/>
              </w:divBdr>
              <w:divsChild>
                <w:div w:id="32447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44737">
      <w:bodyDiv w:val="1"/>
      <w:marLeft w:val="0"/>
      <w:marRight w:val="0"/>
      <w:marTop w:val="0"/>
      <w:marBottom w:val="0"/>
      <w:divBdr>
        <w:top w:val="none" w:sz="0" w:space="0" w:color="auto"/>
        <w:left w:val="none" w:sz="0" w:space="0" w:color="auto"/>
        <w:bottom w:val="none" w:sz="0" w:space="0" w:color="auto"/>
        <w:right w:val="none" w:sz="0" w:space="0" w:color="auto"/>
      </w:divBdr>
      <w:divsChild>
        <w:div w:id="2015917827">
          <w:marLeft w:val="0"/>
          <w:marRight w:val="0"/>
          <w:marTop w:val="0"/>
          <w:marBottom w:val="0"/>
          <w:divBdr>
            <w:top w:val="none" w:sz="0" w:space="0" w:color="auto"/>
            <w:left w:val="none" w:sz="0" w:space="0" w:color="auto"/>
            <w:bottom w:val="none" w:sz="0" w:space="0" w:color="auto"/>
            <w:right w:val="none" w:sz="0" w:space="0" w:color="auto"/>
          </w:divBdr>
          <w:divsChild>
            <w:div w:id="163325918">
              <w:marLeft w:val="0"/>
              <w:marRight w:val="0"/>
              <w:marTop w:val="0"/>
              <w:marBottom w:val="0"/>
              <w:divBdr>
                <w:top w:val="none" w:sz="0" w:space="0" w:color="auto"/>
                <w:left w:val="none" w:sz="0" w:space="0" w:color="auto"/>
                <w:bottom w:val="none" w:sz="0" w:space="0" w:color="auto"/>
                <w:right w:val="none" w:sz="0" w:space="0" w:color="auto"/>
              </w:divBdr>
              <w:divsChild>
                <w:div w:id="67800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679179">
      <w:bodyDiv w:val="1"/>
      <w:marLeft w:val="0"/>
      <w:marRight w:val="0"/>
      <w:marTop w:val="0"/>
      <w:marBottom w:val="0"/>
      <w:divBdr>
        <w:top w:val="none" w:sz="0" w:space="0" w:color="auto"/>
        <w:left w:val="none" w:sz="0" w:space="0" w:color="auto"/>
        <w:bottom w:val="none" w:sz="0" w:space="0" w:color="auto"/>
        <w:right w:val="none" w:sz="0" w:space="0" w:color="auto"/>
      </w:divBdr>
    </w:div>
    <w:div w:id="1714621879">
      <w:bodyDiv w:val="1"/>
      <w:marLeft w:val="0"/>
      <w:marRight w:val="0"/>
      <w:marTop w:val="0"/>
      <w:marBottom w:val="0"/>
      <w:divBdr>
        <w:top w:val="none" w:sz="0" w:space="0" w:color="auto"/>
        <w:left w:val="none" w:sz="0" w:space="0" w:color="auto"/>
        <w:bottom w:val="none" w:sz="0" w:space="0" w:color="auto"/>
        <w:right w:val="none" w:sz="0" w:space="0" w:color="auto"/>
      </w:divBdr>
    </w:div>
    <w:div w:id="1716660109">
      <w:bodyDiv w:val="1"/>
      <w:marLeft w:val="0"/>
      <w:marRight w:val="0"/>
      <w:marTop w:val="0"/>
      <w:marBottom w:val="0"/>
      <w:divBdr>
        <w:top w:val="none" w:sz="0" w:space="0" w:color="auto"/>
        <w:left w:val="none" w:sz="0" w:space="0" w:color="auto"/>
        <w:bottom w:val="none" w:sz="0" w:space="0" w:color="auto"/>
        <w:right w:val="none" w:sz="0" w:space="0" w:color="auto"/>
      </w:divBdr>
    </w:div>
    <w:div w:id="1742409840">
      <w:bodyDiv w:val="1"/>
      <w:marLeft w:val="0"/>
      <w:marRight w:val="0"/>
      <w:marTop w:val="0"/>
      <w:marBottom w:val="0"/>
      <w:divBdr>
        <w:top w:val="none" w:sz="0" w:space="0" w:color="auto"/>
        <w:left w:val="none" w:sz="0" w:space="0" w:color="auto"/>
        <w:bottom w:val="none" w:sz="0" w:space="0" w:color="auto"/>
        <w:right w:val="none" w:sz="0" w:space="0" w:color="auto"/>
      </w:divBdr>
      <w:divsChild>
        <w:div w:id="1244530484">
          <w:marLeft w:val="0"/>
          <w:marRight w:val="0"/>
          <w:marTop w:val="0"/>
          <w:marBottom w:val="0"/>
          <w:divBdr>
            <w:top w:val="none" w:sz="0" w:space="0" w:color="auto"/>
            <w:left w:val="none" w:sz="0" w:space="0" w:color="auto"/>
            <w:bottom w:val="none" w:sz="0" w:space="0" w:color="auto"/>
            <w:right w:val="none" w:sz="0" w:space="0" w:color="auto"/>
          </w:divBdr>
          <w:divsChild>
            <w:div w:id="1882522459">
              <w:marLeft w:val="0"/>
              <w:marRight w:val="0"/>
              <w:marTop w:val="0"/>
              <w:marBottom w:val="0"/>
              <w:divBdr>
                <w:top w:val="none" w:sz="0" w:space="0" w:color="auto"/>
                <w:left w:val="none" w:sz="0" w:space="0" w:color="auto"/>
                <w:bottom w:val="none" w:sz="0" w:space="0" w:color="auto"/>
                <w:right w:val="none" w:sz="0" w:space="0" w:color="auto"/>
              </w:divBdr>
              <w:divsChild>
                <w:div w:id="128269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761124">
      <w:bodyDiv w:val="1"/>
      <w:marLeft w:val="0"/>
      <w:marRight w:val="0"/>
      <w:marTop w:val="0"/>
      <w:marBottom w:val="0"/>
      <w:divBdr>
        <w:top w:val="none" w:sz="0" w:space="0" w:color="auto"/>
        <w:left w:val="none" w:sz="0" w:space="0" w:color="auto"/>
        <w:bottom w:val="none" w:sz="0" w:space="0" w:color="auto"/>
        <w:right w:val="none" w:sz="0" w:space="0" w:color="auto"/>
      </w:divBdr>
    </w:div>
    <w:div w:id="1844012257">
      <w:bodyDiv w:val="1"/>
      <w:marLeft w:val="0"/>
      <w:marRight w:val="0"/>
      <w:marTop w:val="0"/>
      <w:marBottom w:val="0"/>
      <w:divBdr>
        <w:top w:val="none" w:sz="0" w:space="0" w:color="auto"/>
        <w:left w:val="none" w:sz="0" w:space="0" w:color="auto"/>
        <w:bottom w:val="none" w:sz="0" w:space="0" w:color="auto"/>
        <w:right w:val="none" w:sz="0" w:space="0" w:color="auto"/>
      </w:divBdr>
    </w:div>
    <w:div w:id="1882090566">
      <w:bodyDiv w:val="1"/>
      <w:marLeft w:val="0"/>
      <w:marRight w:val="0"/>
      <w:marTop w:val="0"/>
      <w:marBottom w:val="0"/>
      <w:divBdr>
        <w:top w:val="none" w:sz="0" w:space="0" w:color="auto"/>
        <w:left w:val="none" w:sz="0" w:space="0" w:color="auto"/>
        <w:bottom w:val="none" w:sz="0" w:space="0" w:color="auto"/>
        <w:right w:val="none" w:sz="0" w:space="0" w:color="auto"/>
      </w:divBdr>
    </w:div>
    <w:div w:id="1897278319">
      <w:bodyDiv w:val="1"/>
      <w:marLeft w:val="0"/>
      <w:marRight w:val="0"/>
      <w:marTop w:val="0"/>
      <w:marBottom w:val="0"/>
      <w:divBdr>
        <w:top w:val="none" w:sz="0" w:space="0" w:color="auto"/>
        <w:left w:val="none" w:sz="0" w:space="0" w:color="auto"/>
        <w:bottom w:val="none" w:sz="0" w:space="0" w:color="auto"/>
        <w:right w:val="none" w:sz="0" w:space="0" w:color="auto"/>
      </w:divBdr>
    </w:div>
    <w:div w:id="1961761799">
      <w:bodyDiv w:val="1"/>
      <w:marLeft w:val="0"/>
      <w:marRight w:val="0"/>
      <w:marTop w:val="0"/>
      <w:marBottom w:val="0"/>
      <w:divBdr>
        <w:top w:val="none" w:sz="0" w:space="0" w:color="auto"/>
        <w:left w:val="none" w:sz="0" w:space="0" w:color="auto"/>
        <w:bottom w:val="none" w:sz="0" w:space="0" w:color="auto"/>
        <w:right w:val="none" w:sz="0" w:space="0" w:color="auto"/>
      </w:divBdr>
      <w:divsChild>
        <w:div w:id="668413041">
          <w:marLeft w:val="0"/>
          <w:marRight w:val="0"/>
          <w:marTop w:val="0"/>
          <w:marBottom w:val="0"/>
          <w:divBdr>
            <w:top w:val="none" w:sz="0" w:space="0" w:color="auto"/>
            <w:left w:val="none" w:sz="0" w:space="0" w:color="auto"/>
            <w:bottom w:val="none" w:sz="0" w:space="0" w:color="auto"/>
            <w:right w:val="none" w:sz="0" w:space="0" w:color="auto"/>
          </w:divBdr>
          <w:divsChild>
            <w:div w:id="423460173">
              <w:marLeft w:val="0"/>
              <w:marRight w:val="0"/>
              <w:marTop w:val="0"/>
              <w:marBottom w:val="0"/>
              <w:divBdr>
                <w:top w:val="none" w:sz="0" w:space="0" w:color="auto"/>
                <w:left w:val="none" w:sz="0" w:space="0" w:color="auto"/>
                <w:bottom w:val="none" w:sz="0" w:space="0" w:color="auto"/>
                <w:right w:val="none" w:sz="0" w:space="0" w:color="auto"/>
              </w:divBdr>
              <w:divsChild>
                <w:div w:id="137510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001892">
      <w:bodyDiv w:val="1"/>
      <w:marLeft w:val="0"/>
      <w:marRight w:val="0"/>
      <w:marTop w:val="0"/>
      <w:marBottom w:val="0"/>
      <w:divBdr>
        <w:top w:val="none" w:sz="0" w:space="0" w:color="auto"/>
        <w:left w:val="none" w:sz="0" w:space="0" w:color="auto"/>
        <w:bottom w:val="none" w:sz="0" w:space="0" w:color="auto"/>
        <w:right w:val="none" w:sz="0" w:space="0" w:color="auto"/>
      </w:divBdr>
      <w:divsChild>
        <w:div w:id="125181269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22468656">
      <w:bodyDiv w:val="1"/>
      <w:marLeft w:val="0"/>
      <w:marRight w:val="0"/>
      <w:marTop w:val="0"/>
      <w:marBottom w:val="0"/>
      <w:divBdr>
        <w:top w:val="none" w:sz="0" w:space="0" w:color="auto"/>
        <w:left w:val="none" w:sz="0" w:space="0" w:color="auto"/>
        <w:bottom w:val="none" w:sz="0" w:space="0" w:color="auto"/>
        <w:right w:val="none" w:sz="0" w:space="0" w:color="auto"/>
      </w:divBdr>
    </w:div>
    <w:div w:id="2059281841">
      <w:bodyDiv w:val="1"/>
      <w:marLeft w:val="0"/>
      <w:marRight w:val="0"/>
      <w:marTop w:val="0"/>
      <w:marBottom w:val="0"/>
      <w:divBdr>
        <w:top w:val="none" w:sz="0" w:space="0" w:color="auto"/>
        <w:left w:val="none" w:sz="0" w:space="0" w:color="auto"/>
        <w:bottom w:val="none" w:sz="0" w:space="0" w:color="auto"/>
        <w:right w:val="none" w:sz="0" w:space="0" w:color="auto"/>
      </w:divBdr>
    </w:div>
    <w:div w:id="212626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17</Pages>
  <Words>6736</Words>
  <Characters>38399</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Eduardo Dos Santos</dc:creator>
  <cp:keywords/>
  <dc:description/>
  <cp:lastModifiedBy>SDI 1084</cp:lastModifiedBy>
  <cp:revision>9</cp:revision>
  <dcterms:created xsi:type="dcterms:W3CDTF">2025-08-17T23:38:00Z</dcterms:created>
  <dcterms:modified xsi:type="dcterms:W3CDTF">2025-08-21T14:09:00Z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id="wVLEPXqx"/&gt;&lt;style id="http://www.zotero.org/styles/associacao-brasileira-de-normas-tecnicas" hasBibliography="1" bibliographyStyleHasBeenSet="1"/&gt;&lt;prefs&gt;&lt;pref name="fieldType" value="Field"/&gt;&lt;pre</vt:lpwstr>
  </property>
  <property fmtid="{D5CDD505-2E9C-101B-9397-08002B2CF9AE}" pid="3" name="ZOTERO_PREF_2">
    <vt:lpwstr>f name="automaticJournalAbbreviations" value="true"/&gt;&lt;/prefs&gt;&lt;/data&gt;</vt:lpwstr>
  </property>
</Properties>
</file>