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0B7D2" w14:textId="77777777" w:rsidR="00057A78" w:rsidRPr="00057A78" w:rsidRDefault="00057A78" w:rsidP="00057A78">
      <w:pPr>
        <w:pStyle w:val="Heading1"/>
        <w:jc w:val="right"/>
        <w:rPr>
          <w:rFonts w:ascii="Times New Roman" w:hAnsi="Times New Roman" w:cs="Times New Roman"/>
          <w:i/>
          <w:color w:val="auto"/>
          <w:sz w:val="32"/>
          <w:szCs w:val="24"/>
          <w:u w:val="single"/>
        </w:rPr>
      </w:pPr>
      <w:bookmarkStart w:id="0" w:name="_Hlk205913928"/>
      <w:r w:rsidRPr="00057A78">
        <w:rPr>
          <w:rFonts w:ascii="Times New Roman" w:hAnsi="Times New Roman" w:cs="Times New Roman"/>
          <w:i/>
          <w:color w:val="auto"/>
          <w:sz w:val="32"/>
          <w:szCs w:val="24"/>
          <w:u w:val="single"/>
        </w:rPr>
        <w:t>Original Research Article</w:t>
      </w:r>
    </w:p>
    <w:p w14:paraId="3CB179DF" w14:textId="34BA7B29" w:rsidR="00371ECE" w:rsidRDefault="00371ECE" w:rsidP="00371ECE">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 xml:space="preserve">Decentralized Screening for Hypertension, Diabetes, and </w:t>
      </w:r>
      <w:r w:rsidR="004D730D" w:rsidRPr="00E30DDA">
        <w:rPr>
          <w:rFonts w:ascii="Times New Roman" w:hAnsi="Times New Roman" w:cs="Times New Roman"/>
          <w:color w:val="auto"/>
          <w:sz w:val="24"/>
          <w:szCs w:val="24"/>
        </w:rPr>
        <w:t>Anemia</w:t>
      </w:r>
      <w:r w:rsidRPr="00E30DDA">
        <w:rPr>
          <w:rFonts w:ascii="Times New Roman" w:hAnsi="Times New Roman" w:cs="Times New Roman"/>
          <w:color w:val="auto"/>
          <w:sz w:val="24"/>
          <w:szCs w:val="24"/>
        </w:rPr>
        <w:t xml:space="preserve"> through A Scalable Model Using </w:t>
      </w:r>
      <w:r w:rsidR="00965297" w:rsidRPr="00965297">
        <w:rPr>
          <w:rFonts w:ascii="Times New Roman" w:hAnsi="Times New Roman" w:cs="Times New Roman"/>
          <w:color w:val="auto"/>
          <w:sz w:val="24"/>
          <w:szCs w:val="24"/>
        </w:rPr>
        <w:t xml:space="preserve">Community Health Workers </w:t>
      </w:r>
      <w:r w:rsidR="00965297">
        <w:rPr>
          <w:rFonts w:ascii="Times New Roman" w:hAnsi="Times New Roman" w:cs="Times New Roman"/>
          <w:color w:val="auto"/>
          <w:sz w:val="24"/>
          <w:szCs w:val="24"/>
        </w:rPr>
        <w:t>(</w:t>
      </w:r>
      <w:r w:rsidRPr="00E30DDA">
        <w:rPr>
          <w:rFonts w:ascii="Times New Roman" w:hAnsi="Times New Roman" w:cs="Times New Roman"/>
          <w:color w:val="auto"/>
          <w:sz w:val="24"/>
          <w:szCs w:val="24"/>
        </w:rPr>
        <w:t>CHWs</w:t>
      </w:r>
      <w:r w:rsidR="00965297">
        <w:rPr>
          <w:rFonts w:ascii="Times New Roman" w:hAnsi="Times New Roman" w:cs="Times New Roman"/>
          <w:color w:val="auto"/>
          <w:sz w:val="24"/>
          <w:szCs w:val="24"/>
        </w:rPr>
        <w:t xml:space="preserve">) </w:t>
      </w:r>
      <w:r w:rsidRPr="00E30DDA">
        <w:rPr>
          <w:rFonts w:ascii="Times New Roman" w:hAnsi="Times New Roman" w:cs="Times New Roman"/>
          <w:color w:val="auto"/>
          <w:sz w:val="24"/>
          <w:szCs w:val="24"/>
        </w:rPr>
        <w:t>and Telehealth Integration-An Apollo telehealth study</w:t>
      </w:r>
    </w:p>
    <w:p w14:paraId="711394DB" w14:textId="174281E8" w:rsidR="001A3726" w:rsidRDefault="001A3726" w:rsidP="001A3726"/>
    <w:bookmarkEnd w:id="0"/>
    <w:p w14:paraId="5E69EAE7" w14:textId="38695A14" w:rsidR="009F0088" w:rsidRPr="00E30DDA" w:rsidRDefault="00B43D1C">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Abstract</w:t>
      </w:r>
    </w:p>
    <w:p w14:paraId="4329848C" w14:textId="7D6A887B" w:rsidR="00757334" w:rsidRDefault="00B43D1C" w:rsidP="00D44BE2">
      <w:pPr>
        <w:rPr>
          <w:rFonts w:ascii="Times New Roman" w:hAnsi="Times New Roman" w:cs="Times New Roman"/>
          <w:sz w:val="24"/>
          <w:szCs w:val="24"/>
        </w:rPr>
      </w:pPr>
      <w:r w:rsidRPr="00E30DDA">
        <w:rPr>
          <w:rFonts w:ascii="Times New Roman" w:hAnsi="Times New Roman" w:cs="Times New Roman"/>
          <w:sz w:val="24"/>
          <w:szCs w:val="24"/>
        </w:rPr>
        <w:br/>
      </w:r>
      <w:r w:rsidR="00757334" w:rsidRPr="00757334">
        <w:rPr>
          <w:rFonts w:ascii="Times New Roman" w:hAnsi="Times New Roman" w:cs="Times New Roman"/>
          <w:b/>
          <w:bCs/>
          <w:sz w:val="24"/>
          <w:szCs w:val="24"/>
        </w:rPr>
        <w:t>Aim:</w:t>
      </w:r>
      <w:r w:rsidR="00757334">
        <w:rPr>
          <w:rFonts w:ascii="Times New Roman" w:hAnsi="Times New Roman" w:cs="Times New Roman"/>
          <w:sz w:val="24"/>
          <w:szCs w:val="24"/>
        </w:rPr>
        <w:t xml:space="preserve"> </w:t>
      </w:r>
      <w:r w:rsidRPr="00E30DDA">
        <w:rPr>
          <w:rFonts w:ascii="Times New Roman" w:hAnsi="Times New Roman" w:cs="Times New Roman"/>
          <w:sz w:val="24"/>
          <w:szCs w:val="24"/>
        </w:rPr>
        <w:t xml:space="preserve">This study aimed to evaluate the feasibility, acceptability, and outcomes of delivering home-based screening for non-communicable diseases (NCDs) such as hypertension, diabetes, and anaemia using trained Community Health Workers (CHWs) in underserved rural areas across India. </w:t>
      </w:r>
    </w:p>
    <w:p w14:paraId="5EFC15AF" w14:textId="1E8E0968" w:rsidR="00D44BE2" w:rsidRDefault="00757334" w:rsidP="00D44BE2">
      <w:pPr>
        <w:rPr>
          <w:rFonts w:ascii="Times New Roman" w:hAnsi="Times New Roman" w:cs="Times New Roman"/>
          <w:sz w:val="24"/>
          <w:szCs w:val="24"/>
        </w:rPr>
      </w:pPr>
      <w:r w:rsidRPr="00757334">
        <w:rPr>
          <w:rFonts w:ascii="Times New Roman" w:hAnsi="Times New Roman" w:cs="Times New Roman"/>
          <w:b/>
          <w:bCs/>
          <w:sz w:val="24"/>
          <w:szCs w:val="24"/>
        </w:rPr>
        <w:t xml:space="preserve">Study Design: </w:t>
      </w:r>
      <w:r w:rsidRPr="00E30DDA">
        <w:rPr>
          <w:rFonts w:ascii="Times New Roman" w:hAnsi="Times New Roman" w:cs="Times New Roman"/>
          <w:sz w:val="24"/>
          <w:szCs w:val="24"/>
        </w:rPr>
        <w:t>The study utilized a decentralized model where CHWs performed door-to-door screening using point-of-care testing (POCT) devices, with subsequent referral to nearby primary healthcare facilities.</w:t>
      </w:r>
      <w:r w:rsidRPr="00E30DDA">
        <w:rPr>
          <w:rFonts w:ascii="Times New Roman" w:hAnsi="Times New Roman" w:cs="Times New Roman"/>
          <w:sz w:val="24"/>
          <w:szCs w:val="24"/>
        </w:rPr>
        <w:br/>
      </w:r>
      <w:r w:rsidRPr="00757334">
        <w:rPr>
          <w:rFonts w:ascii="Times New Roman" w:hAnsi="Times New Roman" w:cs="Times New Roman"/>
          <w:b/>
          <w:bCs/>
          <w:sz w:val="24"/>
          <w:szCs w:val="24"/>
        </w:rPr>
        <w:t>Study plan and Duration:</w:t>
      </w:r>
      <w:r>
        <w:rPr>
          <w:rFonts w:ascii="Times New Roman" w:hAnsi="Times New Roman" w:cs="Times New Roman"/>
          <w:sz w:val="24"/>
          <w:szCs w:val="24"/>
        </w:rPr>
        <w:t xml:space="preserve"> </w:t>
      </w:r>
      <w:r w:rsidR="00B43D1C" w:rsidRPr="00E30DDA">
        <w:rPr>
          <w:rFonts w:ascii="Times New Roman" w:hAnsi="Times New Roman" w:cs="Times New Roman"/>
          <w:sz w:val="24"/>
          <w:szCs w:val="24"/>
        </w:rPr>
        <w:t xml:space="preserve">A total of 1,43,186 screenings were conducted from 2022 to January 2025 across 9 states and 17 districts. </w:t>
      </w:r>
      <w:r w:rsidR="00B43D1C" w:rsidRPr="00E30DDA">
        <w:rPr>
          <w:rFonts w:ascii="Times New Roman" w:hAnsi="Times New Roman" w:cs="Times New Roman"/>
          <w:sz w:val="24"/>
          <w:szCs w:val="24"/>
        </w:rPr>
        <w:br/>
      </w:r>
      <w:r w:rsidRPr="001026FD">
        <w:rPr>
          <w:rFonts w:ascii="Times New Roman" w:hAnsi="Times New Roman" w:cs="Times New Roman"/>
          <w:b/>
          <w:bCs/>
          <w:sz w:val="24"/>
          <w:szCs w:val="24"/>
        </w:rPr>
        <w:t xml:space="preserve">Results: </w:t>
      </w:r>
      <w:r w:rsidR="00B43D1C" w:rsidRPr="001026FD">
        <w:rPr>
          <w:rFonts w:ascii="Times New Roman" w:hAnsi="Times New Roman" w:cs="Times New Roman"/>
          <w:sz w:val="24"/>
          <w:szCs w:val="24"/>
        </w:rPr>
        <w:t>Findings revealed a significant proportion of newly diagnosed cases (</w:t>
      </w:r>
      <w:r w:rsidR="00E83980" w:rsidRPr="001026FD">
        <w:rPr>
          <w:rFonts w:ascii="Times New Roman" w:hAnsi="Times New Roman" w:cs="Times New Roman"/>
          <w:sz w:val="24"/>
          <w:szCs w:val="24"/>
        </w:rPr>
        <w:t>new</w:t>
      </w:r>
      <w:r w:rsidR="00B43D1C" w:rsidRPr="001026FD">
        <w:rPr>
          <w:rFonts w:ascii="Times New Roman" w:hAnsi="Times New Roman" w:cs="Times New Roman"/>
          <w:sz w:val="24"/>
          <w:szCs w:val="24"/>
        </w:rPr>
        <w:t>) for all three NCDs: hypertension (</w:t>
      </w:r>
      <w:r w:rsidR="001026FD" w:rsidRPr="001026FD">
        <w:rPr>
          <w:rFonts w:ascii="Times New Roman" w:hAnsi="Times New Roman" w:cs="Times New Roman"/>
          <w:sz w:val="24"/>
          <w:szCs w:val="24"/>
        </w:rPr>
        <w:t>67.5</w:t>
      </w:r>
      <w:r w:rsidR="00B43D1C" w:rsidRPr="001026FD">
        <w:rPr>
          <w:rFonts w:ascii="Times New Roman" w:hAnsi="Times New Roman" w:cs="Times New Roman"/>
          <w:sz w:val="24"/>
          <w:szCs w:val="24"/>
        </w:rPr>
        <w:t>%), diabetes (</w:t>
      </w:r>
      <w:r w:rsidR="001026FD" w:rsidRPr="001026FD">
        <w:rPr>
          <w:rFonts w:ascii="Times New Roman" w:hAnsi="Times New Roman" w:cs="Times New Roman"/>
          <w:sz w:val="24"/>
          <w:szCs w:val="24"/>
        </w:rPr>
        <w:t>50.4</w:t>
      </w:r>
      <w:r w:rsidR="00B43D1C" w:rsidRPr="001026FD">
        <w:rPr>
          <w:rFonts w:ascii="Times New Roman" w:hAnsi="Times New Roman" w:cs="Times New Roman"/>
          <w:sz w:val="24"/>
          <w:szCs w:val="24"/>
        </w:rPr>
        <w:t xml:space="preserve">%), and </w:t>
      </w:r>
      <w:r w:rsidR="00351D57" w:rsidRPr="001026FD">
        <w:rPr>
          <w:rFonts w:ascii="Times New Roman" w:hAnsi="Times New Roman" w:cs="Times New Roman"/>
          <w:sz w:val="24"/>
          <w:szCs w:val="24"/>
        </w:rPr>
        <w:t>anemia</w:t>
      </w:r>
      <w:r w:rsidR="00B43D1C" w:rsidRPr="001026FD">
        <w:rPr>
          <w:rFonts w:ascii="Times New Roman" w:hAnsi="Times New Roman" w:cs="Times New Roman"/>
          <w:sz w:val="24"/>
          <w:szCs w:val="24"/>
        </w:rPr>
        <w:t xml:space="preserve"> (76</w:t>
      </w:r>
      <w:r w:rsidR="001026FD" w:rsidRPr="001026FD">
        <w:rPr>
          <w:rFonts w:ascii="Times New Roman" w:hAnsi="Times New Roman" w:cs="Times New Roman"/>
          <w:sz w:val="24"/>
          <w:szCs w:val="24"/>
        </w:rPr>
        <w:t>.2</w:t>
      </w:r>
      <w:r w:rsidR="00B43D1C" w:rsidRPr="001026FD">
        <w:rPr>
          <w:rFonts w:ascii="Times New Roman" w:hAnsi="Times New Roman" w:cs="Times New Roman"/>
          <w:sz w:val="24"/>
          <w:szCs w:val="24"/>
        </w:rPr>
        <w:t>%). Prevalence rates among those screened showed hypertension in 27.</w:t>
      </w:r>
      <w:r w:rsidR="001026FD" w:rsidRPr="001026FD">
        <w:rPr>
          <w:rFonts w:ascii="Times New Roman" w:hAnsi="Times New Roman" w:cs="Times New Roman"/>
          <w:sz w:val="24"/>
          <w:szCs w:val="24"/>
        </w:rPr>
        <w:t>2</w:t>
      </w:r>
      <w:r w:rsidR="00B43D1C" w:rsidRPr="001026FD">
        <w:rPr>
          <w:rFonts w:ascii="Times New Roman" w:hAnsi="Times New Roman" w:cs="Times New Roman"/>
          <w:sz w:val="24"/>
          <w:szCs w:val="24"/>
        </w:rPr>
        <w:t xml:space="preserve">%, diabetes in </w:t>
      </w:r>
      <w:r w:rsidR="001026FD" w:rsidRPr="001026FD">
        <w:rPr>
          <w:rFonts w:ascii="Times New Roman" w:hAnsi="Times New Roman" w:cs="Times New Roman"/>
          <w:sz w:val="24"/>
          <w:szCs w:val="24"/>
        </w:rPr>
        <w:t>8.8</w:t>
      </w:r>
      <w:r w:rsidR="00B43D1C" w:rsidRPr="001026FD">
        <w:rPr>
          <w:rFonts w:ascii="Times New Roman" w:hAnsi="Times New Roman" w:cs="Times New Roman"/>
          <w:sz w:val="24"/>
          <w:szCs w:val="24"/>
        </w:rPr>
        <w:t xml:space="preserve">%, and </w:t>
      </w:r>
      <w:r w:rsidR="001026FD" w:rsidRPr="001026FD">
        <w:rPr>
          <w:rFonts w:ascii="Times New Roman" w:hAnsi="Times New Roman" w:cs="Times New Roman"/>
          <w:sz w:val="24"/>
          <w:szCs w:val="24"/>
        </w:rPr>
        <w:t>an</w:t>
      </w:r>
      <w:r w:rsidR="001026FD">
        <w:rPr>
          <w:rFonts w:ascii="Times New Roman" w:hAnsi="Times New Roman" w:cs="Times New Roman"/>
          <w:sz w:val="24"/>
          <w:szCs w:val="24"/>
        </w:rPr>
        <w:t>e</w:t>
      </w:r>
      <w:r w:rsidR="001026FD" w:rsidRPr="001026FD">
        <w:rPr>
          <w:rFonts w:ascii="Times New Roman" w:hAnsi="Times New Roman" w:cs="Times New Roman"/>
          <w:sz w:val="24"/>
          <w:szCs w:val="24"/>
        </w:rPr>
        <w:t>mia</w:t>
      </w:r>
      <w:r w:rsidR="00B43D1C" w:rsidRPr="001026FD">
        <w:rPr>
          <w:rFonts w:ascii="Times New Roman" w:hAnsi="Times New Roman" w:cs="Times New Roman"/>
          <w:sz w:val="24"/>
          <w:szCs w:val="24"/>
        </w:rPr>
        <w:t xml:space="preserve"> in 1</w:t>
      </w:r>
      <w:r w:rsidR="001026FD" w:rsidRPr="001026FD">
        <w:rPr>
          <w:rFonts w:ascii="Times New Roman" w:hAnsi="Times New Roman" w:cs="Times New Roman"/>
          <w:sz w:val="24"/>
          <w:szCs w:val="24"/>
        </w:rPr>
        <w:t>6.9</w:t>
      </w:r>
      <w:r w:rsidR="00B43D1C" w:rsidRPr="001026FD">
        <w:rPr>
          <w:rFonts w:ascii="Times New Roman" w:hAnsi="Times New Roman" w:cs="Times New Roman"/>
          <w:sz w:val="24"/>
          <w:szCs w:val="24"/>
        </w:rPr>
        <w:t xml:space="preserve">%. Female participants showed a higher abnormality rate in all categories, especially for </w:t>
      </w:r>
      <w:r w:rsidR="001026FD" w:rsidRPr="001026FD">
        <w:rPr>
          <w:rFonts w:ascii="Times New Roman" w:hAnsi="Times New Roman" w:cs="Times New Roman"/>
          <w:sz w:val="24"/>
          <w:szCs w:val="24"/>
        </w:rPr>
        <w:t>anemia</w:t>
      </w:r>
      <w:r w:rsidR="00B43D1C" w:rsidRPr="001026FD">
        <w:rPr>
          <w:rFonts w:ascii="Times New Roman" w:hAnsi="Times New Roman" w:cs="Times New Roman"/>
          <w:sz w:val="24"/>
          <w:szCs w:val="24"/>
        </w:rPr>
        <w:t xml:space="preserve"> (7</w:t>
      </w:r>
      <w:r w:rsidR="001026FD" w:rsidRPr="001026FD">
        <w:rPr>
          <w:rFonts w:ascii="Times New Roman" w:hAnsi="Times New Roman" w:cs="Times New Roman"/>
          <w:sz w:val="24"/>
          <w:szCs w:val="24"/>
        </w:rPr>
        <w:t>0.5</w:t>
      </w:r>
      <w:r w:rsidR="00B43D1C" w:rsidRPr="001026FD">
        <w:rPr>
          <w:rFonts w:ascii="Times New Roman" w:hAnsi="Times New Roman" w:cs="Times New Roman"/>
          <w:sz w:val="24"/>
          <w:szCs w:val="24"/>
        </w:rPr>
        <w:t>% of abnormal cases). Most participants expressed a favorable opinion about the use of POCTs, although concerns about device accuracy and follow-up care logistics were noted.</w:t>
      </w:r>
      <w:r w:rsidR="00B43D1C" w:rsidRPr="00E30DDA">
        <w:rPr>
          <w:rFonts w:ascii="Times New Roman" w:hAnsi="Times New Roman" w:cs="Times New Roman"/>
          <w:sz w:val="24"/>
          <w:szCs w:val="24"/>
        </w:rPr>
        <w:br/>
      </w:r>
      <w:r w:rsidRPr="00757334">
        <w:rPr>
          <w:rFonts w:ascii="Times New Roman" w:hAnsi="Times New Roman" w:cs="Times New Roman"/>
          <w:b/>
          <w:bCs/>
          <w:sz w:val="24"/>
          <w:szCs w:val="24"/>
        </w:rPr>
        <w:t xml:space="preserve">Conclusion: </w:t>
      </w:r>
      <w:r w:rsidR="00B43D1C" w:rsidRPr="00E30DDA">
        <w:rPr>
          <w:rFonts w:ascii="Times New Roman" w:hAnsi="Times New Roman" w:cs="Times New Roman"/>
          <w:sz w:val="24"/>
          <w:szCs w:val="24"/>
        </w:rPr>
        <w:t>This pilot demonstrates that home-based NCD screening via trained CHWs, supported by Apollo Telehealth’s speciality teleconsultation and tele-laboratory services, is not only feasible but also addresses key barriers to healthcare access in resource-limited settings. The integration of digital tools, community engagement, and structured referral systems indicates a scalable model for strengthening early detection and conti</w:t>
      </w:r>
      <w:r w:rsidR="00D44BE2" w:rsidRPr="00E30DDA">
        <w:rPr>
          <w:rFonts w:ascii="Times New Roman" w:hAnsi="Times New Roman" w:cs="Times New Roman"/>
          <w:sz w:val="24"/>
          <w:szCs w:val="24"/>
        </w:rPr>
        <w:t>nuity of care for NCDs in Indi</w:t>
      </w:r>
      <w:r w:rsidR="00E751D7" w:rsidRPr="00E30DDA">
        <w:rPr>
          <w:rFonts w:ascii="Times New Roman" w:hAnsi="Times New Roman" w:cs="Times New Roman"/>
          <w:sz w:val="24"/>
          <w:szCs w:val="24"/>
        </w:rPr>
        <w:t>a</w:t>
      </w:r>
      <w:r w:rsidR="00F76351">
        <w:rPr>
          <w:rFonts w:ascii="Times New Roman" w:hAnsi="Times New Roman" w:cs="Times New Roman"/>
          <w:sz w:val="24"/>
          <w:szCs w:val="24"/>
        </w:rPr>
        <w:t>,</w:t>
      </w:r>
    </w:p>
    <w:p w14:paraId="12DF05DF" w14:textId="3479C294" w:rsidR="00F76351" w:rsidRDefault="00F76351" w:rsidP="00D44BE2">
      <w:pPr>
        <w:rPr>
          <w:rFonts w:ascii="Times New Roman" w:hAnsi="Times New Roman" w:cs="Times New Roman"/>
          <w:sz w:val="24"/>
          <w:szCs w:val="24"/>
          <w:lang w:val="en-IN"/>
        </w:rPr>
      </w:pPr>
      <w:r w:rsidRPr="00F76351">
        <w:rPr>
          <w:rFonts w:ascii="Times New Roman" w:hAnsi="Times New Roman" w:cs="Times New Roman"/>
          <w:b/>
          <w:bCs/>
          <w:sz w:val="24"/>
          <w:szCs w:val="24"/>
        </w:rPr>
        <w:t>Keyword:</w:t>
      </w:r>
      <w:r w:rsidRPr="00F76351">
        <w:rPr>
          <w:rFonts w:ascii="Times New Roman" w:hAnsi="Times New Roman" w:cs="Times New Roman"/>
          <w:sz w:val="24"/>
          <w:szCs w:val="24"/>
        </w:rPr>
        <w:t xml:space="preserve"> </w:t>
      </w:r>
      <w:bookmarkStart w:id="1" w:name="_Hlk205914311"/>
      <w:r w:rsidR="004D730D">
        <w:rPr>
          <w:rFonts w:ascii="Times New Roman" w:hAnsi="Times New Roman" w:cs="Times New Roman"/>
          <w:sz w:val="24"/>
          <w:szCs w:val="24"/>
        </w:rPr>
        <w:t>N</w:t>
      </w:r>
      <w:r w:rsidRPr="00E30DDA">
        <w:rPr>
          <w:rFonts w:ascii="Times New Roman" w:hAnsi="Times New Roman" w:cs="Times New Roman"/>
          <w:sz w:val="24"/>
          <w:szCs w:val="24"/>
        </w:rPr>
        <w:t>on-</w:t>
      </w:r>
      <w:r w:rsidR="004D730D">
        <w:rPr>
          <w:rFonts w:ascii="Times New Roman" w:hAnsi="Times New Roman" w:cs="Times New Roman"/>
          <w:sz w:val="24"/>
          <w:szCs w:val="24"/>
        </w:rPr>
        <w:t>C</w:t>
      </w:r>
      <w:r w:rsidRPr="00E30DDA">
        <w:rPr>
          <w:rFonts w:ascii="Times New Roman" w:hAnsi="Times New Roman" w:cs="Times New Roman"/>
          <w:sz w:val="24"/>
          <w:szCs w:val="24"/>
        </w:rPr>
        <w:t xml:space="preserve">ommunicable </w:t>
      </w:r>
      <w:r w:rsidR="004D730D">
        <w:rPr>
          <w:rFonts w:ascii="Times New Roman" w:hAnsi="Times New Roman" w:cs="Times New Roman"/>
          <w:sz w:val="24"/>
          <w:szCs w:val="24"/>
        </w:rPr>
        <w:t>D</w:t>
      </w:r>
      <w:r w:rsidRPr="00E30DDA">
        <w:rPr>
          <w:rFonts w:ascii="Times New Roman" w:hAnsi="Times New Roman" w:cs="Times New Roman"/>
          <w:sz w:val="24"/>
          <w:szCs w:val="24"/>
        </w:rPr>
        <w:t>iseases (NCDs)</w:t>
      </w:r>
      <w:r>
        <w:rPr>
          <w:rFonts w:ascii="Times New Roman" w:hAnsi="Times New Roman" w:cs="Times New Roman"/>
          <w:sz w:val="24"/>
          <w:szCs w:val="24"/>
        </w:rPr>
        <w:t>,</w:t>
      </w:r>
      <w:r w:rsidRPr="00F76351">
        <w:rPr>
          <w:rFonts w:ascii="Times New Roman" w:hAnsi="Times New Roman" w:cs="Times New Roman"/>
          <w:sz w:val="24"/>
          <w:szCs w:val="24"/>
        </w:rPr>
        <w:t xml:space="preserve"> </w:t>
      </w:r>
      <w:r w:rsidRPr="00E30DDA">
        <w:rPr>
          <w:rFonts w:ascii="Times New Roman" w:hAnsi="Times New Roman" w:cs="Times New Roman"/>
          <w:sz w:val="24"/>
          <w:szCs w:val="24"/>
        </w:rPr>
        <w:t>point-of-care testing (POCT) devices</w:t>
      </w:r>
      <w:r>
        <w:rPr>
          <w:rFonts w:ascii="Times New Roman" w:hAnsi="Times New Roman" w:cs="Times New Roman"/>
          <w:sz w:val="24"/>
          <w:szCs w:val="24"/>
        </w:rPr>
        <w:t>, Telehealth, Tele Labs, Teleconsultations,</w:t>
      </w:r>
      <w:r w:rsidR="004D730D" w:rsidRPr="004D730D">
        <w:rPr>
          <w:rFonts w:ascii="Times New Roman" w:hAnsi="Times New Roman" w:cs="Times New Roman"/>
          <w:sz w:val="24"/>
          <w:szCs w:val="24"/>
          <w:lang w:val="en-IN"/>
        </w:rPr>
        <w:t xml:space="preserve"> </w:t>
      </w:r>
      <w:r w:rsidR="004D730D" w:rsidRPr="00E30DDA">
        <w:rPr>
          <w:rFonts w:ascii="Times New Roman" w:hAnsi="Times New Roman" w:cs="Times New Roman"/>
          <w:sz w:val="24"/>
          <w:szCs w:val="24"/>
          <w:lang w:val="en-IN"/>
        </w:rPr>
        <w:t>remote patient monitoring systems (RPM)</w:t>
      </w:r>
      <w:r w:rsidR="004D730D">
        <w:rPr>
          <w:rFonts w:ascii="Times New Roman" w:hAnsi="Times New Roman" w:cs="Times New Roman"/>
          <w:sz w:val="24"/>
          <w:szCs w:val="24"/>
          <w:lang w:val="en-IN"/>
        </w:rPr>
        <w:t>, Digital health, health screening</w:t>
      </w:r>
      <w:bookmarkEnd w:id="1"/>
      <w:r w:rsidR="004D730D">
        <w:rPr>
          <w:rFonts w:ascii="Times New Roman" w:hAnsi="Times New Roman" w:cs="Times New Roman"/>
          <w:sz w:val="24"/>
          <w:szCs w:val="24"/>
          <w:lang w:val="en-IN"/>
        </w:rPr>
        <w:t>.</w:t>
      </w:r>
    </w:p>
    <w:p w14:paraId="3E2A776A" w14:textId="7E9DF0ED" w:rsidR="00104C77" w:rsidRDefault="00104C77" w:rsidP="00D44BE2">
      <w:pPr>
        <w:rPr>
          <w:rFonts w:ascii="Times New Roman" w:hAnsi="Times New Roman" w:cs="Times New Roman"/>
          <w:b/>
          <w:bCs/>
          <w:sz w:val="24"/>
          <w:szCs w:val="24"/>
        </w:rPr>
      </w:pPr>
    </w:p>
    <w:p w14:paraId="0C30A41E" w14:textId="77777777" w:rsidR="00104C77" w:rsidRPr="00F76351" w:rsidRDefault="00104C77" w:rsidP="00D44BE2">
      <w:pPr>
        <w:rPr>
          <w:rFonts w:ascii="Times New Roman" w:hAnsi="Times New Roman" w:cs="Times New Roman"/>
          <w:b/>
          <w:bCs/>
          <w:sz w:val="24"/>
          <w:szCs w:val="24"/>
        </w:rPr>
      </w:pPr>
      <w:bookmarkStart w:id="2" w:name="_GoBack"/>
      <w:bookmarkEnd w:id="2"/>
    </w:p>
    <w:p w14:paraId="2F5B9163" w14:textId="77777777" w:rsidR="00303AD7" w:rsidRPr="00E30DDA" w:rsidRDefault="00B43D1C" w:rsidP="00303AD7">
      <w:pPr>
        <w:rPr>
          <w:rFonts w:ascii="Times New Roman" w:hAnsi="Times New Roman" w:cs="Times New Roman"/>
          <w:b/>
          <w:sz w:val="24"/>
          <w:szCs w:val="24"/>
        </w:rPr>
      </w:pPr>
      <w:r w:rsidRPr="00E30DDA">
        <w:rPr>
          <w:rFonts w:ascii="Times New Roman" w:hAnsi="Times New Roman" w:cs="Times New Roman"/>
          <w:b/>
          <w:sz w:val="24"/>
          <w:szCs w:val="24"/>
        </w:rPr>
        <w:t>Introduction</w:t>
      </w:r>
    </w:p>
    <w:p w14:paraId="2F7EEF31" w14:textId="440D90B8" w:rsidR="00303AD7" w:rsidRPr="00E30DDA" w:rsidRDefault="00F64C53" w:rsidP="00303AD7">
      <w:pPr>
        <w:rPr>
          <w:rFonts w:ascii="Times New Roman" w:hAnsi="Times New Roman" w:cs="Times New Roman"/>
          <w:sz w:val="24"/>
          <w:szCs w:val="24"/>
          <w:vertAlign w:val="superscript"/>
          <w:lang w:val="en-IN"/>
        </w:rPr>
      </w:pPr>
      <w:r w:rsidRPr="00E30DDA">
        <w:rPr>
          <w:rFonts w:ascii="Times New Roman" w:hAnsi="Times New Roman" w:cs="Times New Roman"/>
          <w:sz w:val="24"/>
          <w:szCs w:val="24"/>
          <w:lang w:val="en-IN"/>
        </w:rPr>
        <w:t xml:space="preserve">Global healthcare delivery has changed because of the rapid advancement in digital technologies, particularly with the advent of digital sensors, cloud computing, the Internet of Things (IoT), and big data analytics. Health remote monitoring systems (HRMS) and remote patient monitoring systems (RPM), which are increasingly being used to extend medical care to the underprivileged and rural populations, have been one of the greatest </w:t>
      </w:r>
      <w:r w:rsidR="001A46FB" w:rsidRPr="00E30DDA">
        <w:rPr>
          <w:rFonts w:ascii="Times New Roman" w:hAnsi="Times New Roman" w:cs="Times New Roman"/>
          <w:sz w:val="24"/>
          <w:szCs w:val="24"/>
          <w:lang w:val="en-IN"/>
        </w:rPr>
        <w:t>advancements.</w:t>
      </w:r>
      <w:r w:rsidR="001A46FB" w:rsidRPr="00E30DDA">
        <w:rPr>
          <w:rFonts w:ascii="Times New Roman" w:hAnsi="Times New Roman" w:cs="Times New Roman"/>
          <w:sz w:val="24"/>
          <w:szCs w:val="24"/>
          <w:vertAlign w:val="superscript"/>
          <w:lang w:val="en-IN"/>
        </w:rPr>
        <w:t xml:space="preserve"> (</w:t>
      </w:r>
      <w:r w:rsidR="00627BBA" w:rsidRPr="00E30DDA">
        <w:rPr>
          <w:rFonts w:ascii="Times New Roman" w:hAnsi="Times New Roman" w:cs="Times New Roman"/>
          <w:sz w:val="24"/>
          <w:szCs w:val="24"/>
          <w:vertAlign w:val="superscript"/>
          <w:lang w:val="en-IN"/>
        </w:rPr>
        <w:t>1)</w:t>
      </w:r>
    </w:p>
    <w:p w14:paraId="6BEE1979" w14:textId="2E5B6839" w:rsidR="00303AD7" w:rsidRPr="00E30DDA" w:rsidRDefault="00F64C53" w:rsidP="00303AD7">
      <w:pPr>
        <w:rPr>
          <w:rFonts w:ascii="Times New Roman" w:hAnsi="Times New Roman" w:cs="Times New Roman"/>
          <w:sz w:val="24"/>
          <w:szCs w:val="24"/>
          <w:vertAlign w:val="superscript"/>
          <w:lang w:val="en-IN"/>
        </w:rPr>
      </w:pPr>
      <w:r w:rsidRPr="00E30DDA">
        <w:rPr>
          <w:rFonts w:ascii="Times New Roman" w:hAnsi="Times New Roman" w:cs="Times New Roman"/>
          <w:sz w:val="24"/>
          <w:szCs w:val="24"/>
          <w:lang w:val="en-IN"/>
        </w:rPr>
        <w:t xml:space="preserve">Patient demographics, like pulse rate, BP, oxygen saturation, weight, height, and blood sugar levels, can be continuously acquired, transmitted, and </w:t>
      </w:r>
      <w:proofErr w:type="spellStart"/>
      <w:r w:rsidRPr="00E30DDA">
        <w:rPr>
          <w:rFonts w:ascii="Times New Roman" w:hAnsi="Times New Roman" w:cs="Times New Roman"/>
          <w:sz w:val="24"/>
          <w:szCs w:val="24"/>
          <w:lang w:val="en-IN"/>
        </w:rPr>
        <w:t>analyzed</w:t>
      </w:r>
      <w:proofErr w:type="spellEnd"/>
      <w:r w:rsidRPr="00E30DDA">
        <w:rPr>
          <w:rFonts w:ascii="Times New Roman" w:hAnsi="Times New Roman" w:cs="Times New Roman"/>
          <w:sz w:val="24"/>
          <w:szCs w:val="24"/>
          <w:lang w:val="en-IN"/>
        </w:rPr>
        <w:t xml:space="preserve"> through these technological devices from patients' homes. Following that, the information is securely transmitted to the medical professionals for prompt evaluation, tailored guidance, and suitable clinical actions. The system therefore mitigates the load on hospitals and healthcare centres to a significant extent while ensuring uninterrupted care for patients, especially in the case of persons living with chronic non-communicable diseases (NCDs</w:t>
      </w:r>
      <w:proofErr w:type="gramStart"/>
      <w:r w:rsidRPr="00E30DDA">
        <w:rPr>
          <w:rFonts w:ascii="Times New Roman" w:hAnsi="Times New Roman" w:cs="Times New Roman"/>
          <w:sz w:val="24"/>
          <w:szCs w:val="24"/>
          <w:lang w:val="en-IN"/>
        </w:rPr>
        <w:t>).</w:t>
      </w:r>
      <w:r w:rsidR="00627BBA" w:rsidRPr="00E30DDA">
        <w:rPr>
          <w:rFonts w:ascii="Times New Roman" w:hAnsi="Times New Roman" w:cs="Times New Roman"/>
          <w:sz w:val="24"/>
          <w:szCs w:val="24"/>
          <w:vertAlign w:val="superscript"/>
          <w:lang w:val="en-IN"/>
        </w:rPr>
        <w:t>(</w:t>
      </w:r>
      <w:proofErr w:type="gramEnd"/>
      <w:r w:rsidR="00627BBA" w:rsidRPr="00E30DDA">
        <w:rPr>
          <w:rFonts w:ascii="Times New Roman" w:hAnsi="Times New Roman" w:cs="Times New Roman"/>
          <w:sz w:val="24"/>
          <w:szCs w:val="24"/>
          <w:vertAlign w:val="superscript"/>
          <w:lang w:val="en-IN"/>
        </w:rPr>
        <w:t>2)</w:t>
      </w:r>
    </w:p>
    <w:p w14:paraId="2D3368D2" w14:textId="03AF10D2" w:rsidR="00303AD7" w:rsidRPr="00E30DDA" w:rsidRDefault="00F64C53" w:rsidP="00303AD7">
      <w:pPr>
        <w:rPr>
          <w:rFonts w:ascii="Times New Roman" w:hAnsi="Times New Roman" w:cs="Times New Roman"/>
          <w:sz w:val="24"/>
          <w:szCs w:val="24"/>
          <w:vertAlign w:val="superscript"/>
          <w:lang w:val="en-IN"/>
        </w:rPr>
      </w:pPr>
      <w:r w:rsidRPr="00E30DDA">
        <w:rPr>
          <w:rFonts w:ascii="Times New Roman" w:hAnsi="Times New Roman" w:cs="Times New Roman"/>
          <w:sz w:val="24"/>
          <w:szCs w:val="24"/>
          <w:lang w:val="en-IN"/>
        </w:rPr>
        <w:t xml:space="preserve">Nevertheless, with increasing NCDs in India, the focus of public health programs had been much on communicable diseases. (NCDs include those for hypertension, diabetes mellitus, and </w:t>
      </w:r>
      <w:r w:rsidR="00627BBA" w:rsidRPr="00E30DDA">
        <w:rPr>
          <w:rFonts w:ascii="Times New Roman" w:hAnsi="Times New Roman" w:cs="Times New Roman"/>
          <w:sz w:val="24"/>
          <w:szCs w:val="24"/>
          <w:lang w:val="en-IN"/>
        </w:rPr>
        <w:t>anaemia</w:t>
      </w:r>
      <w:r w:rsidRPr="00E30DDA">
        <w:rPr>
          <w:rFonts w:ascii="Times New Roman" w:hAnsi="Times New Roman" w:cs="Times New Roman"/>
          <w:sz w:val="24"/>
          <w:szCs w:val="24"/>
          <w:lang w:val="en-IN"/>
        </w:rPr>
        <w:t>), which now constitute over half of the morbidity and mortality in the world.</w:t>
      </w:r>
      <w:r w:rsidR="00627BBA" w:rsidRPr="00E30DDA">
        <w:rPr>
          <w:rFonts w:ascii="Times New Roman" w:hAnsi="Times New Roman" w:cs="Times New Roman"/>
          <w:sz w:val="24"/>
          <w:szCs w:val="24"/>
          <w:vertAlign w:val="superscript"/>
          <w:lang w:val="en-IN"/>
        </w:rPr>
        <w:t>(3)</w:t>
      </w:r>
      <w:r w:rsidRPr="00E30DDA">
        <w:rPr>
          <w:rFonts w:ascii="Times New Roman" w:hAnsi="Times New Roman" w:cs="Times New Roman"/>
          <w:sz w:val="24"/>
          <w:szCs w:val="24"/>
          <w:lang w:val="en-IN"/>
        </w:rPr>
        <w:t xml:space="preserve"> Yet, the challenges in the interface of health infrastructure, trained manpower, and access to diagnostic and treatment facilities that could avert so many of these deaths, remain very much a rural phenomenon in India.</w:t>
      </w:r>
      <w:r w:rsidR="00627BBA" w:rsidRPr="00E30DDA">
        <w:rPr>
          <w:rFonts w:ascii="Times New Roman" w:hAnsi="Times New Roman" w:cs="Times New Roman"/>
          <w:sz w:val="24"/>
          <w:szCs w:val="24"/>
          <w:vertAlign w:val="superscript"/>
          <w:lang w:val="en-IN"/>
        </w:rPr>
        <w:t>(4)</w:t>
      </w:r>
    </w:p>
    <w:p w14:paraId="3B1F10C6" w14:textId="77777777" w:rsidR="00303AD7" w:rsidRPr="00E30DDA" w:rsidRDefault="00303AD7" w:rsidP="00303AD7">
      <w:pPr>
        <w:rPr>
          <w:rFonts w:ascii="Times New Roman" w:hAnsi="Times New Roman" w:cs="Times New Roman"/>
          <w:sz w:val="24"/>
          <w:szCs w:val="24"/>
          <w:lang w:val="en-IN"/>
        </w:rPr>
      </w:pPr>
      <w:r w:rsidRPr="00E30DDA">
        <w:rPr>
          <w:rFonts w:ascii="Times New Roman" w:hAnsi="Times New Roman" w:cs="Times New Roman"/>
          <w:sz w:val="24"/>
          <w:szCs w:val="24"/>
          <w:lang w:val="en-IN"/>
        </w:rPr>
        <w:t>Burden is added to modern-day by traditional risk factors like tobacco, unhealthy diet, physical inactivity, and alcohol; but very acute risk is from the new ones, viz., air pollution and psychosocial stress. It is in this regard that, telemedicine has come to the rescue in almost every domain of NCD care, from health promotion, risk factor management, and early screening to diagnosis and treatment initiation, regular follow-up, and palliative.</w:t>
      </w:r>
    </w:p>
    <w:p w14:paraId="7BD3BF7E" w14:textId="77777777" w:rsidR="00303AD7" w:rsidRPr="00E30DDA" w:rsidRDefault="00303AD7" w:rsidP="00303AD7">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With this background, Apollo Telehealth seized the opportunity to integrate tele-laboratories with specialty teleconsultation services in the expansion of NCD services throughout India. These have proven especially successful in catering to areas that are deep in the hinterlands and rural space that have access limitations due to lab infrastructure and know-how. Patients identified through community screening are afforded real-time virtual consults with dermatologists, cardiologists, endocrinologists, internal medicine specialists, and the likes. This is made feasible by the digital platform of Apollo Telehealth. From here, healthcare professionals can use the tele-labs to bridge the gap between screening and actual diagnosis and treatment initiation. </w:t>
      </w:r>
    </w:p>
    <w:p w14:paraId="125DBCFA" w14:textId="1118B490" w:rsidR="00303AD7" w:rsidRPr="00E30DDA" w:rsidRDefault="00303AD7" w:rsidP="00303AD7">
      <w:pPr>
        <w:rPr>
          <w:rFonts w:ascii="Times New Roman" w:hAnsi="Times New Roman" w:cs="Times New Roman"/>
          <w:b/>
          <w:sz w:val="24"/>
          <w:szCs w:val="24"/>
        </w:rPr>
      </w:pPr>
      <w:r w:rsidRPr="00E30DDA">
        <w:rPr>
          <w:rFonts w:ascii="Times New Roman" w:hAnsi="Times New Roman" w:cs="Times New Roman"/>
          <w:sz w:val="24"/>
          <w:szCs w:val="24"/>
          <w:lang w:val="en-IN"/>
        </w:rPr>
        <w:lastRenderedPageBreak/>
        <w:t>Furthermore, such remote patient monitoring models, embedded through structured data flow, trained community health workers (CHWs), and a centralized command centre, can optimize resource utilization from primary healthcare to specialty care. Digitized patient health records integrated into EMR (Electronic Medical Record) systems would enhance disease surveillance and continuity of care while allowing predictive analytics for population health planning.</w:t>
      </w:r>
    </w:p>
    <w:p w14:paraId="2E04A461" w14:textId="31278F2C" w:rsidR="009F0088" w:rsidRPr="00E30DDA" w:rsidRDefault="00303AD7" w:rsidP="00303AD7">
      <w:pPr>
        <w:pStyle w:val="Heading1"/>
        <w:spacing w:before="0"/>
        <w:rPr>
          <w:rFonts w:ascii="Times New Roman" w:hAnsi="Times New Roman" w:cs="Times New Roman"/>
          <w:b w:val="0"/>
          <w:bCs w:val="0"/>
          <w:color w:val="auto"/>
          <w:sz w:val="24"/>
          <w:szCs w:val="24"/>
          <w:lang w:val="en-IN"/>
        </w:rPr>
      </w:pPr>
      <w:r w:rsidRPr="00E30DDA">
        <w:rPr>
          <w:rFonts w:ascii="Times New Roman" w:hAnsi="Times New Roman" w:cs="Times New Roman"/>
          <w:b w:val="0"/>
          <w:bCs w:val="0"/>
          <w:color w:val="auto"/>
          <w:sz w:val="24"/>
          <w:szCs w:val="24"/>
          <w:lang w:val="en-IN"/>
        </w:rPr>
        <w:t>This paper chronicles the outcomes and operational insights gained from a large-scale NCD screening initiative carried out in rural and semi-urban districts across India. The initiative was led by trained CHWs operating under the clinical infrastructure of Apollo Telehealth, including teleconsultations and teleport laboratory services. The study assessed the viability, effectiveness, and scalability of a technology-enabled NCD screening and referral paradigm capable of enhancing early detection in low-resource settings while ensuring smooth treatment transitions.</w:t>
      </w:r>
      <w:r w:rsidR="00F64C53" w:rsidRPr="00E30DDA">
        <w:rPr>
          <w:rFonts w:ascii="Times New Roman" w:hAnsi="Times New Roman" w:cs="Times New Roman"/>
          <w:b w:val="0"/>
          <w:bCs w:val="0"/>
          <w:color w:val="auto"/>
          <w:sz w:val="24"/>
          <w:szCs w:val="24"/>
          <w:lang w:val="en-IN"/>
        </w:rPr>
        <w:br/>
      </w:r>
      <w:r w:rsidR="00B43D1C" w:rsidRPr="00E30DDA">
        <w:rPr>
          <w:rFonts w:ascii="Times New Roman" w:hAnsi="Times New Roman" w:cs="Times New Roman"/>
          <w:color w:val="auto"/>
          <w:sz w:val="24"/>
          <w:szCs w:val="24"/>
        </w:rPr>
        <w:t>Methods</w:t>
      </w:r>
    </w:p>
    <w:p w14:paraId="0322DBCF" w14:textId="3F08E2BB" w:rsidR="009F0088" w:rsidRPr="00E30DDA" w:rsidRDefault="00B43D1C" w:rsidP="00A2027D">
      <w:pPr>
        <w:rPr>
          <w:rFonts w:ascii="Times New Roman" w:hAnsi="Times New Roman" w:cs="Times New Roman"/>
          <w:sz w:val="24"/>
          <w:szCs w:val="24"/>
        </w:rPr>
      </w:pPr>
      <w:r w:rsidRPr="00E30DDA">
        <w:rPr>
          <w:rFonts w:ascii="Times New Roman" w:hAnsi="Times New Roman" w:cs="Times New Roman"/>
          <w:sz w:val="24"/>
          <w:szCs w:val="24"/>
        </w:rPr>
        <w:t>Methods: The study</w:t>
      </w:r>
      <w:r w:rsidR="00C51058" w:rsidRPr="00E30DDA">
        <w:rPr>
          <w:rFonts w:ascii="Times New Roman" w:hAnsi="Times New Roman" w:cs="Times New Roman"/>
          <w:sz w:val="24"/>
          <w:szCs w:val="24"/>
        </w:rPr>
        <w:t xml:space="preserve"> was</w:t>
      </w:r>
      <w:r w:rsidRPr="00E30DDA">
        <w:rPr>
          <w:rFonts w:ascii="Times New Roman" w:hAnsi="Times New Roman" w:cs="Times New Roman"/>
          <w:sz w:val="24"/>
          <w:szCs w:val="24"/>
        </w:rPr>
        <w:t xml:space="preserve"> conducted between January 2022 and January 2025 spread across 9 states and 17 districts of primary health centres (PHC)</w:t>
      </w:r>
      <w:r w:rsidR="00C51058" w:rsidRPr="00E30DDA">
        <w:rPr>
          <w:rFonts w:ascii="Times New Roman" w:hAnsi="Times New Roman" w:cs="Times New Roman"/>
          <w:sz w:val="24"/>
          <w:szCs w:val="24"/>
        </w:rPr>
        <w:t xml:space="preserve"> data</w:t>
      </w:r>
      <w:r w:rsidRPr="00E30DDA">
        <w:rPr>
          <w:rFonts w:ascii="Times New Roman" w:hAnsi="Times New Roman" w:cs="Times New Roman"/>
          <w:sz w:val="24"/>
          <w:szCs w:val="24"/>
        </w:rPr>
        <w:t>.</w:t>
      </w:r>
    </w:p>
    <w:p w14:paraId="6B573B02" w14:textId="59F66EC9" w:rsidR="009F0088" w:rsidRPr="00E30DDA" w:rsidRDefault="00050B30">
      <w:pPr>
        <w:rPr>
          <w:rFonts w:ascii="Times New Roman" w:hAnsi="Times New Roman" w:cs="Times New Roman"/>
          <w:sz w:val="24"/>
          <w:szCs w:val="24"/>
        </w:rPr>
      </w:pPr>
      <w:r>
        <w:rPr>
          <w:rFonts w:ascii="Times New Roman" w:hAnsi="Times New Roman" w:cs="Times New Roman"/>
          <w:sz w:val="24"/>
          <w:szCs w:val="24"/>
        </w:rPr>
        <w:t xml:space="preserve">List 1. </w:t>
      </w:r>
      <w:r w:rsidR="00B43D1C" w:rsidRPr="00E30DDA">
        <w:rPr>
          <w:rFonts w:ascii="Times New Roman" w:hAnsi="Times New Roman" w:cs="Times New Roman"/>
          <w:sz w:val="24"/>
          <w:szCs w:val="24"/>
        </w:rPr>
        <w:t>Service Delivery Framework</w:t>
      </w:r>
    </w:p>
    <w:tbl>
      <w:tblPr>
        <w:tblStyle w:val="TableGrid"/>
        <w:tblW w:w="9351" w:type="dxa"/>
        <w:tblLook w:val="04A0" w:firstRow="1" w:lastRow="0" w:firstColumn="1" w:lastColumn="0" w:noHBand="0" w:noVBand="1"/>
      </w:tblPr>
      <w:tblGrid>
        <w:gridCol w:w="1511"/>
        <w:gridCol w:w="2372"/>
        <w:gridCol w:w="2920"/>
        <w:gridCol w:w="2548"/>
      </w:tblGrid>
      <w:tr w:rsidR="00C11B1B" w:rsidRPr="00E30DDA" w14:paraId="16826132" w14:textId="77777777" w:rsidTr="005B68DD">
        <w:tc>
          <w:tcPr>
            <w:tcW w:w="1419" w:type="dxa"/>
          </w:tcPr>
          <w:p w14:paraId="4D2CC693"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Type of NCDs</w:t>
            </w:r>
          </w:p>
        </w:tc>
        <w:tc>
          <w:tcPr>
            <w:tcW w:w="2404" w:type="dxa"/>
          </w:tcPr>
          <w:p w14:paraId="49CAE472"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Age of beneficiary</w:t>
            </w:r>
          </w:p>
        </w:tc>
        <w:tc>
          <w:tcPr>
            <w:tcW w:w="2941" w:type="dxa"/>
          </w:tcPr>
          <w:p w14:paraId="07AACA9A"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Method of Screening</w:t>
            </w:r>
          </w:p>
        </w:tc>
        <w:tc>
          <w:tcPr>
            <w:tcW w:w="2587" w:type="dxa"/>
          </w:tcPr>
          <w:p w14:paraId="3E2B199D"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Frequency of Screening</w:t>
            </w:r>
          </w:p>
        </w:tc>
      </w:tr>
      <w:tr w:rsidR="00C11B1B" w:rsidRPr="00E30DDA" w14:paraId="72B37333" w14:textId="77777777" w:rsidTr="005B68DD">
        <w:tc>
          <w:tcPr>
            <w:tcW w:w="1419" w:type="dxa"/>
          </w:tcPr>
          <w:p w14:paraId="22D787BE"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Hypertension</w:t>
            </w:r>
          </w:p>
        </w:tc>
        <w:tc>
          <w:tcPr>
            <w:tcW w:w="2404" w:type="dxa"/>
          </w:tcPr>
          <w:p w14:paraId="417F4FED"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20 years and above</w:t>
            </w:r>
          </w:p>
        </w:tc>
        <w:tc>
          <w:tcPr>
            <w:tcW w:w="2941" w:type="dxa"/>
          </w:tcPr>
          <w:p w14:paraId="4C2A1103" w14:textId="77777777" w:rsidR="00BD6127" w:rsidRPr="00E30DDA" w:rsidRDefault="00BD6127" w:rsidP="005B68DD">
            <w:pPr>
              <w:rPr>
                <w:rFonts w:ascii="Times New Roman" w:hAnsi="Times New Roman" w:cs="Times New Roman"/>
                <w:sz w:val="24"/>
                <w:szCs w:val="24"/>
              </w:rPr>
            </w:pPr>
            <w:r w:rsidRPr="00E30DDA">
              <w:rPr>
                <w:rFonts w:ascii="Times New Roman" w:hAnsi="Times New Roman" w:cs="Times New Roman"/>
                <w:sz w:val="24"/>
                <w:szCs w:val="24"/>
              </w:rPr>
              <w:t>Blood pressure apparatus-Digital or Aneroid Sphygmomanometer</w:t>
            </w:r>
          </w:p>
        </w:tc>
        <w:tc>
          <w:tcPr>
            <w:tcW w:w="2587" w:type="dxa"/>
          </w:tcPr>
          <w:p w14:paraId="04DB78BC"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Daily </w:t>
            </w:r>
          </w:p>
        </w:tc>
      </w:tr>
      <w:tr w:rsidR="00C11B1B" w:rsidRPr="00E30DDA" w14:paraId="4AF99E38" w14:textId="77777777" w:rsidTr="005B68DD">
        <w:tc>
          <w:tcPr>
            <w:tcW w:w="1419" w:type="dxa"/>
          </w:tcPr>
          <w:p w14:paraId="6957607D"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Diabetes</w:t>
            </w:r>
          </w:p>
        </w:tc>
        <w:tc>
          <w:tcPr>
            <w:tcW w:w="2404" w:type="dxa"/>
          </w:tcPr>
          <w:p w14:paraId="581D8A14"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1 year and above </w:t>
            </w:r>
          </w:p>
        </w:tc>
        <w:tc>
          <w:tcPr>
            <w:tcW w:w="2941" w:type="dxa"/>
          </w:tcPr>
          <w:p w14:paraId="004705F9"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Glucometer</w:t>
            </w:r>
          </w:p>
        </w:tc>
        <w:tc>
          <w:tcPr>
            <w:tcW w:w="2587" w:type="dxa"/>
          </w:tcPr>
          <w:p w14:paraId="3FBCD9BB"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Daily</w:t>
            </w:r>
          </w:p>
        </w:tc>
      </w:tr>
      <w:tr w:rsidR="00C11B1B" w:rsidRPr="00E30DDA" w14:paraId="24429478" w14:textId="77777777" w:rsidTr="005B68DD">
        <w:tc>
          <w:tcPr>
            <w:tcW w:w="1419" w:type="dxa"/>
          </w:tcPr>
          <w:p w14:paraId="6537B6EA" w14:textId="61810350" w:rsidR="00BD6127" w:rsidRPr="00E30DDA" w:rsidRDefault="00FF24E4" w:rsidP="005B68DD">
            <w:pPr>
              <w:jc w:val="both"/>
              <w:rPr>
                <w:rFonts w:ascii="Times New Roman" w:hAnsi="Times New Roman" w:cs="Times New Roman"/>
                <w:sz w:val="24"/>
                <w:szCs w:val="24"/>
              </w:rPr>
            </w:pPr>
            <w:r w:rsidRPr="00E30DDA">
              <w:rPr>
                <w:rFonts w:ascii="Times New Roman" w:hAnsi="Times New Roman" w:cs="Times New Roman"/>
                <w:sz w:val="24"/>
                <w:szCs w:val="24"/>
              </w:rPr>
              <w:t>Anemia</w:t>
            </w:r>
            <w:r w:rsidR="00BD6127" w:rsidRPr="00E30DDA">
              <w:rPr>
                <w:rFonts w:ascii="Times New Roman" w:hAnsi="Times New Roman" w:cs="Times New Roman"/>
                <w:sz w:val="24"/>
                <w:szCs w:val="24"/>
              </w:rPr>
              <w:t xml:space="preserve"> </w:t>
            </w:r>
          </w:p>
        </w:tc>
        <w:tc>
          <w:tcPr>
            <w:tcW w:w="2404" w:type="dxa"/>
          </w:tcPr>
          <w:p w14:paraId="2571106B"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3 years and above </w:t>
            </w:r>
          </w:p>
        </w:tc>
        <w:tc>
          <w:tcPr>
            <w:tcW w:w="2941" w:type="dxa"/>
          </w:tcPr>
          <w:p w14:paraId="7D8F9170"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True HB meter</w:t>
            </w:r>
          </w:p>
        </w:tc>
        <w:tc>
          <w:tcPr>
            <w:tcW w:w="2587" w:type="dxa"/>
          </w:tcPr>
          <w:p w14:paraId="07CB7B37"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Daily </w:t>
            </w:r>
          </w:p>
        </w:tc>
      </w:tr>
    </w:tbl>
    <w:p w14:paraId="6560C9DB" w14:textId="77777777" w:rsidR="00BD6127" w:rsidRPr="00E30DDA" w:rsidRDefault="00BD6127">
      <w:pPr>
        <w:rPr>
          <w:rFonts w:ascii="Times New Roman" w:hAnsi="Times New Roman" w:cs="Times New Roman"/>
          <w:sz w:val="24"/>
          <w:szCs w:val="24"/>
        </w:rPr>
      </w:pPr>
    </w:p>
    <w:p w14:paraId="303B2B12" w14:textId="3D68F567" w:rsidR="00946106" w:rsidRPr="00E30DDA" w:rsidRDefault="00522AB3" w:rsidP="001E3269">
      <w:pPr>
        <w:rPr>
          <w:rFonts w:ascii="Times New Roman" w:hAnsi="Times New Roman" w:cs="Times New Roman"/>
          <w:sz w:val="24"/>
          <w:szCs w:val="24"/>
        </w:rPr>
      </w:pPr>
      <w:r w:rsidRPr="00E30DDA">
        <w:rPr>
          <w:rFonts w:ascii="Times New Roman" w:hAnsi="Times New Roman" w:cs="Times New Roman"/>
          <w:sz w:val="24"/>
          <w:szCs w:val="24"/>
        </w:rPr>
        <w:t xml:space="preserve">Our study sought to assess a new service delivery strategy that would enable trained </w:t>
      </w:r>
      <w:r w:rsidR="00627BBA" w:rsidRPr="00E30DDA">
        <w:rPr>
          <w:rFonts w:ascii="Times New Roman" w:hAnsi="Times New Roman" w:cs="Times New Roman"/>
          <w:sz w:val="24"/>
          <w:szCs w:val="24"/>
        </w:rPr>
        <w:t>CHWs (</w:t>
      </w:r>
      <w:r w:rsidRPr="00E30DDA">
        <w:rPr>
          <w:rFonts w:ascii="Times New Roman" w:hAnsi="Times New Roman" w:cs="Times New Roman"/>
          <w:sz w:val="24"/>
          <w:szCs w:val="24"/>
        </w:rPr>
        <w:t xml:space="preserve">community health </w:t>
      </w:r>
      <w:r w:rsidR="00FF24E4" w:rsidRPr="00E30DDA">
        <w:rPr>
          <w:rFonts w:ascii="Times New Roman" w:hAnsi="Times New Roman" w:cs="Times New Roman"/>
          <w:sz w:val="24"/>
          <w:szCs w:val="24"/>
        </w:rPr>
        <w:t>workers)</w:t>
      </w:r>
      <w:r w:rsidRPr="00E30DDA">
        <w:rPr>
          <w:rFonts w:ascii="Times New Roman" w:hAnsi="Times New Roman" w:cs="Times New Roman"/>
          <w:sz w:val="24"/>
          <w:szCs w:val="24"/>
        </w:rPr>
        <w:t> in a rural area to provide early detection services for prevalent NCDs (diabetes, hypertension, and anemia) at home. In addition to counseling the tobacco and alcohol users to stop, the CHWs conducted home visits to inform the participants on healthy lifestyle choices and the signs and symptoms </w:t>
      </w:r>
      <w:r w:rsidR="00FF24E4" w:rsidRPr="00E30DDA">
        <w:rPr>
          <w:rFonts w:ascii="Times New Roman" w:hAnsi="Times New Roman" w:cs="Times New Roman"/>
          <w:sz w:val="24"/>
          <w:szCs w:val="24"/>
        </w:rPr>
        <w:t>of hypertension</w:t>
      </w:r>
      <w:r w:rsidRPr="00E30DDA">
        <w:rPr>
          <w:rFonts w:ascii="Times New Roman" w:hAnsi="Times New Roman" w:cs="Times New Roman"/>
          <w:sz w:val="24"/>
          <w:szCs w:val="24"/>
        </w:rPr>
        <w:t xml:space="preserve">, diabetes, and anemia. </w:t>
      </w:r>
      <w:r w:rsidR="007279AA">
        <w:rPr>
          <w:rFonts w:ascii="Times New Roman" w:hAnsi="Times New Roman" w:cs="Times New Roman"/>
          <w:sz w:val="24"/>
          <w:szCs w:val="24"/>
        </w:rPr>
        <w:t>Each</w:t>
      </w:r>
      <w:r w:rsidRPr="00E30DDA">
        <w:rPr>
          <w:rFonts w:ascii="Times New Roman" w:hAnsi="Times New Roman" w:cs="Times New Roman"/>
          <w:sz w:val="24"/>
          <w:szCs w:val="24"/>
        </w:rPr>
        <w:t xml:space="preserve"> person's height, weight, blood pressure (BP), anemia, and random blood sugar</w:t>
      </w:r>
      <w:r w:rsidR="007279AA">
        <w:rPr>
          <w:rFonts w:ascii="Times New Roman" w:hAnsi="Times New Roman" w:cs="Times New Roman"/>
          <w:sz w:val="24"/>
          <w:szCs w:val="24"/>
        </w:rPr>
        <w:t xml:space="preserve"> was assessed</w:t>
      </w:r>
      <w:r w:rsidRPr="00E30DDA">
        <w:rPr>
          <w:rFonts w:ascii="Times New Roman" w:hAnsi="Times New Roman" w:cs="Times New Roman"/>
          <w:sz w:val="24"/>
          <w:szCs w:val="24"/>
        </w:rPr>
        <w:t xml:space="preserve">. This study is non-experimental and descriptive, utilizing co-creation approaches. </w:t>
      </w:r>
      <w:r w:rsidR="00C51058" w:rsidRPr="00E30DDA">
        <w:rPr>
          <w:rFonts w:ascii="Times New Roman" w:hAnsi="Times New Roman" w:cs="Times New Roman"/>
          <w:sz w:val="24"/>
          <w:szCs w:val="24"/>
        </w:rPr>
        <w:t xml:space="preserve"> </w:t>
      </w:r>
      <w:r w:rsidRPr="00E30DDA">
        <w:rPr>
          <w:rFonts w:ascii="Times New Roman" w:hAnsi="Times New Roman" w:cs="Times New Roman"/>
          <w:sz w:val="24"/>
          <w:szCs w:val="24"/>
        </w:rPr>
        <w:t xml:space="preserve">The ability of community health workers (CHWs) to provide various preventive healthcare services at patients' homes is </w:t>
      </w:r>
      <w:r w:rsidR="00FF24E4" w:rsidRPr="00E30DDA">
        <w:rPr>
          <w:rFonts w:ascii="Times New Roman" w:hAnsi="Times New Roman" w:cs="Times New Roman"/>
          <w:sz w:val="24"/>
          <w:szCs w:val="24"/>
        </w:rPr>
        <w:t>accepted</w:t>
      </w:r>
      <w:r w:rsidRPr="00E30DDA">
        <w:rPr>
          <w:rFonts w:ascii="Times New Roman" w:hAnsi="Times New Roman" w:cs="Times New Roman"/>
          <w:sz w:val="24"/>
          <w:szCs w:val="24"/>
          <w:highlight w:val="yellow"/>
        </w:rPr>
        <w:t>.</w:t>
      </w:r>
      <w:r w:rsidRPr="00E30DDA">
        <w:rPr>
          <w:rFonts w:ascii="Times New Roman" w:hAnsi="Times New Roman" w:cs="Times New Roman"/>
          <w:sz w:val="24"/>
          <w:szCs w:val="24"/>
        </w:rPr>
        <w:t xml:space="preserve"> </w:t>
      </w:r>
      <w:r w:rsidR="00E3251B" w:rsidRPr="00E30DDA">
        <w:rPr>
          <w:rFonts w:ascii="Times New Roman" w:hAnsi="Times New Roman" w:cs="Times New Roman"/>
          <w:sz w:val="24"/>
          <w:szCs w:val="24"/>
          <w:vertAlign w:val="superscript"/>
        </w:rPr>
        <w:t>(</w:t>
      </w:r>
      <w:r w:rsidR="00E3251B" w:rsidRPr="00E30DDA">
        <w:rPr>
          <w:rFonts w:ascii="Times New Roman" w:hAnsi="Times New Roman" w:cs="Times New Roman"/>
          <w:b/>
          <w:bCs/>
          <w:sz w:val="24"/>
          <w:szCs w:val="24"/>
          <w:vertAlign w:val="superscript"/>
        </w:rPr>
        <w:t>5</w:t>
      </w:r>
      <w:r w:rsidR="00E3251B" w:rsidRPr="00E30DDA">
        <w:rPr>
          <w:rFonts w:ascii="Times New Roman" w:hAnsi="Times New Roman" w:cs="Times New Roman"/>
          <w:sz w:val="24"/>
          <w:szCs w:val="24"/>
          <w:vertAlign w:val="superscript"/>
        </w:rPr>
        <w:t>)</w:t>
      </w:r>
      <w:r w:rsidR="001E3269" w:rsidRPr="00E30DDA">
        <w:rPr>
          <w:rFonts w:ascii="Times New Roman" w:hAnsi="Times New Roman" w:cs="Times New Roman"/>
          <w:sz w:val="24"/>
          <w:szCs w:val="24"/>
        </w:rPr>
        <w:t xml:space="preserve"> .</w:t>
      </w:r>
      <w:r w:rsidR="00873211" w:rsidRPr="00E30DDA">
        <w:rPr>
          <w:rFonts w:ascii="Times New Roman" w:hAnsi="Times New Roman" w:cs="Times New Roman"/>
          <w:sz w:val="24"/>
          <w:szCs w:val="24"/>
        </w:rPr>
        <w:t>Non-communicable diseases (NCDs) can be diagnosed with point-of-care testing (POCT) devices since they are diagnostic instruments that can deliver precise and fast results in a matter of minutes.</w:t>
      </w:r>
      <w:r w:rsidR="004C3A23" w:rsidRPr="00E30DDA">
        <w:rPr>
          <w:rFonts w:ascii="Times New Roman" w:hAnsi="Times New Roman" w:cs="Times New Roman"/>
          <w:sz w:val="24"/>
          <w:szCs w:val="24"/>
          <w:vertAlign w:val="superscript"/>
        </w:rPr>
        <w:t>(</w:t>
      </w:r>
      <w:r w:rsidR="00546ED9" w:rsidRPr="00E30DDA">
        <w:rPr>
          <w:rFonts w:ascii="Times New Roman" w:hAnsi="Times New Roman" w:cs="Times New Roman"/>
          <w:b/>
          <w:bCs/>
          <w:sz w:val="24"/>
          <w:szCs w:val="24"/>
          <w:vertAlign w:val="superscript"/>
        </w:rPr>
        <w:t>6</w:t>
      </w:r>
      <w:r w:rsidR="004C3A23" w:rsidRPr="00E30DDA">
        <w:rPr>
          <w:rFonts w:ascii="Times New Roman" w:hAnsi="Times New Roman" w:cs="Times New Roman"/>
          <w:sz w:val="24"/>
          <w:szCs w:val="24"/>
          <w:vertAlign w:val="superscript"/>
        </w:rPr>
        <w:t>).</w:t>
      </w:r>
      <w:r w:rsidR="00873211" w:rsidRPr="00E30DDA">
        <w:rPr>
          <w:rFonts w:ascii="Times New Roman" w:hAnsi="Times New Roman" w:cs="Times New Roman"/>
          <w:sz w:val="24"/>
          <w:szCs w:val="24"/>
        </w:rPr>
        <w:t xml:space="preserve">It may be advantageous to involve allied healthcare providers in risk-driven early identification of specific NCDs, particularly for those who have not received </w:t>
      </w:r>
      <w:r w:rsidR="00873211" w:rsidRPr="00E30DDA">
        <w:rPr>
          <w:rFonts w:ascii="Times New Roman" w:hAnsi="Times New Roman" w:cs="Times New Roman"/>
          <w:sz w:val="24"/>
          <w:szCs w:val="24"/>
        </w:rPr>
        <w:lastRenderedPageBreak/>
        <w:t xml:space="preserve">NCD testing in the past 12 months, as different healthcare practitioners have access to diverse demographic groups. </w:t>
      </w:r>
      <w:r w:rsidR="00E3251B" w:rsidRPr="00E30DDA">
        <w:rPr>
          <w:rFonts w:ascii="Times New Roman" w:hAnsi="Times New Roman" w:cs="Times New Roman"/>
          <w:sz w:val="24"/>
          <w:szCs w:val="24"/>
          <w:vertAlign w:val="superscript"/>
        </w:rPr>
        <w:t>(</w:t>
      </w:r>
      <w:r w:rsidR="00546ED9" w:rsidRPr="00E30DDA">
        <w:rPr>
          <w:rFonts w:ascii="Times New Roman" w:hAnsi="Times New Roman" w:cs="Times New Roman"/>
          <w:b/>
          <w:bCs/>
          <w:sz w:val="24"/>
          <w:szCs w:val="24"/>
          <w:vertAlign w:val="superscript"/>
        </w:rPr>
        <w:t>7</w:t>
      </w:r>
      <w:r w:rsidR="00E3251B" w:rsidRPr="00E30DDA">
        <w:rPr>
          <w:rFonts w:ascii="Times New Roman" w:hAnsi="Times New Roman" w:cs="Times New Roman"/>
          <w:sz w:val="24"/>
          <w:szCs w:val="24"/>
          <w:vertAlign w:val="superscript"/>
        </w:rPr>
        <w:t>)</w:t>
      </w:r>
    </w:p>
    <w:p w14:paraId="5C534CBC" w14:textId="77777777" w:rsidR="00946106" w:rsidRPr="00E30DDA" w:rsidRDefault="00946106" w:rsidP="00946106">
      <w:pPr>
        <w:spacing w:after="0"/>
        <w:rPr>
          <w:rFonts w:ascii="Times New Roman" w:hAnsi="Times New Roman" w:cs="Times New Roman"/>
          <w:sz w:val="24"/>
          <w:szCs w:val="24"/>
          <w:vertAlign w:val="superscript"/>
        </w:rPr>
      </w:pPr>
    </w:p>
    <w:p w14:paraId="580FC190" w14:textId="44C76359" w:rsidR="00946106" w:rsidRPr="00E30DDA" w:rsidRDefault="00946106" w:rsidP="00946106">
      <w:pPr>
        <w:spacing w:after="0"/>
        <w:rPr>
          <w:rFonts w:ascii="Times New Roman" w:hAnsi="Times New Roman" w:cs="Times New Roman"/>
          <w:b/>
          <w:bCs/>
          <w:sz w:val="24"/>
          <w:szCs w:val="24"/>
          <w:vertAlign w:val="superscript"/>
        </w:rPr>
      </w:pPr>
      <w:r w:rsidRPr="00E30DDA">
        <w:rPr>
          <w:rFonts w:ascii="Times New Roman" w:hAnsi="Times New Roman" w:cs="Times New Roman"/>
          <w:b/>
          <w:bCs/>
          <w:sz w:val="24"/>
          <w:szCs w:val="24"/>
        </w:rPr>
        <w:t>Referral Pathways and Continuity of Care</w:t>
      </w:r>
    </w:p>
    <w:p w14:paraId="0EB25515" w14:textId="33AF2029" w:rsidR="000533D0" w:rsidRPr="00E30DDA" w:rsidRDefault="00946106" w:rsidP="000533D0">
      <w:pPr>
        <w:spacing w:after="0"/>
        <w:rPr>
          <w:rFonts w:ascii="Times New Roman" w:hAnsi="Times New Roman" w:cs="Times New Roman"/>
          <w:sz w:val="24"/>
          <w:szCs w:val="24"/>
        </w:rPr>
      </w:pPr>
      <w:r w:rsidRPr="00E30DDA">
        <w:rPr>
          <w:rFonts w:ascii="Times New Roman" w:hAnsi="Times New Roman" w:cs="Times New Roman"/>
          <w:sz w:val="24"/>
          <w:szCs w:val="24"/>
        </w:rPr>
        <w:br/>
      </w:r>
      <w:r w:rsidR="000533D0" w:rsidRPr="00E30DDA">
        <w:rPr>
          <w:rFonts w:ascii="Times New Roman" w:hAnsi="Times New Roman" w:cs="Times New Roman"/>
          <w:sz w:val="24"/>
          <w:szCs w:val="24"/>
        </w:rPr>
        <w:t xml:space="preserve">After identification of such abnormal cases through community-based screening, the affected persons diagnosed with hypertension, diabetes, or </w:t>
      </w:r>
      <w:r w:rsidR="00E751D7" w:rsidRPr="00E30DDA">
        <w:rPr>
          <w:rFonts w:ascii="Times New Roman" w:hAnsi="Times New Roman" w:cs="Times New Roman"/>
          <w:sz w:val="24"/>
          <w:szCs w:val="24"/>
        </w:rPr>
        <w:t>anemia</w:t>
      </w:r>
      <w:r w:rsidR="000533D0" w:rsidRPr="00E30DDA">
        <w:rPr>
          <w:rFonts w:ascii="Times New Roman" w:hAnsi="Times New Roman" w:cs="Times New Roman"/>
          <w:sz w:val="24"/>
          <w:szCs w:val="24"/>
        </w:rPr>
        <w:t xml:space="preserve"> were referred for further examination at the nearest government Primary Health Centre (PHC) or sub-</w:t>
      </w:r>
      <w:proofErr w:type="spellStart"/>
      <w:r w:rsidR="000533D0" w:rsidRPr="00E30DDA">
        <w:rPr>
          <w:rFonts w:ascii="Times New Roman" w:hAnsi="Times New Roman" w:cs="Times New Roman"/>
          <w:sz w:val="24"/>
          <w:szCs w:val="24"/>
        </w:rPr>
        <w:t>centre</w:t>
      </w:r>
      <w:proofErr w:type="spellEnd"/>
      <w:r w:rsidR="000533D0" w:rsidRPr="00E30DDA">
        <w:rPr>
          <w:rFonts w:ascii="Times New Roman" w:hAnsi="Times New Roman" w:cs="Times New Roman"/>
          <w:sz w:val="24"/>
          <w:szCs w:val="24"/>
        </w:rPr>
        <w:t>. Documented and communicated to both the patient and the healthcare facility were referrals by trained Community Health Workers (CHWs).</w:t>
      </w:r>
    </w:p>
    <w:p w14:paraId="6A76AF9D" w14:textId="77777777" w:rsidR="000533D0" w:rsidRPr="00E30DDA" w:rsidRDefault="000533D0" w:rsidP="000533D0">
      <w:pPr>
        <w:spacing w:after="0"/>
        <w:rPr>
          <w:rFonts w:ascii="Times New Roman" w:hAnsi="Times New Roman" w:cs="Times New Roman"/>
          <w:sz w:val="24"/>
          <w:szCs w:val="24"/>
        </w:rPr>
      </w:pPr>
    </w:p>
    <w:p w14:paraId="663C0196" w14:textId="77777777" w:rsidR="000533D0" w:rsidRPr="00E30DDA" w:rsidRDefault="000533D0" w:rsidP="000533D0">
      <w:pPr>
        <w:spacing w:after="0"/>
        <w:rPr>
          <w:rFonts w:ascii="Times New Roman" w:hAnsi="Times New Roman" w:cs="Times New Roman"/>
          <w:sz w:val="24"/>
          <w:szCs w:val="24"/>
        </w:rPr>
      </w:pPr>
      <w:r w:rsidRPr="00E30DDA">
        <w:rPr>
          <w:rFonts w:ascii="Times New Roman" w:hAnsi="Times New Roman" w:cs="Times New Roman"/>
          <w:sz w:val="24"/>
          <w:szCs w:val="24"/>
        </w:rPr>
        <w:t>At each referral center, there was a designated registered Medical Officer (MO), who would confirm the diagnosis of the patient, order further tests if need be, and initiate treatment based on national guidelines. This way, the care was kept continuous and avoided delays in accessing therapy for chronic conditions.</w:t>
      </w:r>
    </w:p>
    <w:p w14:paraId="2715B262" w14:textId="77777777" w:rsidR="000533D0" w:rsidRPr="00E30DDA" w:rsidRDefault="000533D0" w:rsidP="000533D0">
      <w:pPr>
        <w:spacing w:after="0"/>
        <w:rPr>
          <w:rFonts w:ascii="Times New Roman" w:hAnsi="Times New Roman" w:cs="Times New Roman"/>
          <w:sz w:val="24"/>
          <w:szCs w:val="24"/>
        </w:rPr>
      </w:pPr>
    </w:p>
    <w:p w14:paraId="066919BE" w14:textId="0D093564" w:rsidR="000533D0" w:rsidRPr="00E30DDA" w:rsidRDefault="000533D0" w:rsidP="000533D0">
      <w:pPr>
        <w:spacing w:after="0"/>
        <w:rPr>
          <w:rFonts w:ascii="Times New Roman" w:hAnsi="Times New Roman" w:cs="Times New Roman"/>
          <w:sz w:val="24"/>
          <w:szCs w:val="24"/>
        </w:rPr>
      </w:pPr>
      <w:r w:rsidRPr="00E30DDA">
        <w:rPr>
          <w:rFonts w:ascii="Times New Roman" w:hAnsi="Times New Roman" w:cs="Times New Roman"/>
          <w:sz w:val="24"/>
          <w:szCs w:val="24"/>
        </w:rPr>
        <w:t xml:space="preserve">Moreover, Apollo Telehealth undertakes structured specialty teleconsultations to ensure follow-up with the specialists which further details into efficient internal medicine specialists, endocrinologists, cardiologists, and other specialties, without having to travel to distant tertiary </w:t>
      </w:r>
      <w:proofErr w:type="spellStart"/>
      <w:r w:rsidRPr="00E30DDA">
        <w:rPr>
          <w:rFonts w:ascii="Times New Roman" w:hAnsi="Times New Roman" w:cs="Times New Roman"/>
          <w:sz w:val="24"/>
          <w:szCs w:val="24"/>
        </w:rPr>
        <w:t>centres</w:t>
      </w:r>
      <w:proofErr w:type="spellEnd"/>
      <w:r w:rsidRPr="00E30DDA">
        <w:rPr>
          <w:rFonts w:ascii="Times New Roman" w:hAnsi="Times New Roman" w:cs="Times New Roman"/>
          <w:sz w:val="24"/>
          <w:szCs w:val="24"/>
        </w:rPr>
        <w:t>. Necessary patients would then be referred directly to higher centers, such as district hospitals, Apollo tertiary care hospitals, based upon clinical triage and availability of services.</w:t>
      </w:r>
    </w:p>
    <w:p w14:paraId="090D5416" w14:textId="77777777" w:rsidR="000533D0" w:rsidRPr="00E30DDA" w:rsidRDefault="000533D0" w:rsidP="000533D0">
      <w:pPr>
        <w:spacing w:after="0"/>
        <w:rPr>
          <w:rFonts w:ascii="Times New Roman" w:hAnsi="Times New Roman" w:cs="Times New Roman"/>
          <w:sz w:val="24"/>
          <w:szCs w:val="24"/>
        </w:rPr>
      </w:pPr>
    </w:p>
    <w:p w14:paraId="539EE38D" w14:textId="5F5F7D19" w:rsidR="000533D0" w:rsidRPr="00E30DDA" w:rsidRDefault="000533D0" w:rsidP="000533D0">
      <w:pPr>
        <w:spacing w:after="0"/>
        <w:rPr>
          <w:rFonts w:ascii="Times New Roman" w:hAnsi="Times New Roman" w:cs="Times New Roman"/>
          <w:b/>
          <w:bCs/>
          <w:sz w:val="24"/>
          <w:szCs w:val="24"/>
        </w:rPr>
      </w:pPr>
      <w:r w:rsidRPr="00E30DDA">
        <w:rPr>
          <w:rFonts w:ascii="Times New Roman" w:hAnsi="Times New Roman" w:cs="Times New Roman"/>
          <w:sz w:val="24"/>
          <w:szCs w:val="24"/>
        </w:rPr>
        <w:t>As part of the Apollo Telehealth space, tele-laboratory services included seamless ordering of the tests with remote interpretation of diagnostic results which on time could be reviewed by specialists. All these resulted in a much lesser turnaround time from screening to diagnosis ensuring a tighter clinical feedback loop.</w:t>
      </w:r>
    </w:p>
    <w:p w14:paraId="771C8BCF" w14:textId="7D662B7A" w:rsidR="009F0088" w:rsidRPr="00E30DDA" w:rsidRDefault="00B43D1C" w:rsidP="00C11B1B">
      <w:pPr>
        <w:spacing w:after="0"/>
        <w:rPr>
          <w:rFonts w:ascii="Times New Roman" w:hAnsi="Times New Roman" w:cs="Times New Roman"/>
          <w:b/>
          <w:bCs/>
          <w:sz w:val="24"/>
          <w:szCs w:val="24"/>
        </w:rPr>
      </w:pPr>
      <w:r w:rsidRPr="00E30DDA">
        <w:rPr>
          <w:rFonts w:ascii="Times New Roman" w:hAnsi="Times New Roman" w:cs="Times New Roman"/>
          <w:b/>
          <w:bCs/>
          <w:sz w:val="24"/>
          <w:szCs w:val="24"/>
        </w:rPr>
        <w:t>Results</w:t>
      </w:r>
    </w:p>
    <w:p w14:paraId="5F5E55B5" w14:textId="118C785C" w:rsidR="00FF2775" w:rsidRPr="00E30DDA" w:rsidRDefault="00FF2775" w:rsidP="00FF2775">
      <w:pPr>
        <w:rPr>
          <w:rFonts w:ascii="Times New Roman" w:hAnsi="Times New Roman" w:cs="Times New Roman"/>
          <w:sz w:val="24"/>
          <w:szCs w:val="24"/>
          <w:lang w:val="en-IN"/>
        </w:rPr>
      </w:pPr>
      <w:bookmarkStart w:id="3" w:name="_Hlk203828314"/>
      <w:r w:rsidRPr="00E30DDA">
        <w:rPr>
          <w:rFonts w:ascii="Times New Roman" w:hAnsi="Times New Roman" w:cs="Times New Roman"/>
          <w:sz w:val="24"/>
          <w:szCs w:val="24"/>
          <w:lang w:val="en-IN"/>
        </w:rPr>
        <w:t>Between January 2022 and January 2025, a comprehensive screening initiative was conducted across 17 districts in 9 Indian states, encompassing a total of 1,43,186 individuals. This large-scale effort focused on three major non-communicable diseases (NCDs): hypertension, diabetes mellitus, and anaemia. Participants ranged in age from 1 to 99 years, with a notable predominance of female participation, particularly in the anaemia and hypertension screenings. The program employed door-to-door point-of-care testing (POCT) to enhance accessibility and early detection.</w:t>
      </w:r>
    </w:p>
    <w:tbl>
      <w:tblPr>
        <w:tblStyle w:val="TableGrid"/>
        <w:tblW w:w="0" w:type="auto"/>
        <w:tblLook w:val="04A0" w:firstRow="1" w:lastRow="0" w:firstColumn="1" w:lastColumn="0" w:noHBand="0" w:noVBand="1"/>
      </w:tblPr>
      <w:tblGrid>
        <w:gridCol w:w="1541"/>
        <w:gridCol w:w="955"/>
        <w:gridCol w:w="1108"/>
        <w:gridCol w:w="1222"/>
        <w:gridCol w:w="776"/>
        <w:gridCol w:w="1514"/>
        <w:gridCol w:w="1514"/>
      </w:tblGrid>
      <w:tr w:rsidR="003C2635" w:rsidRPr="003C2635" w14:paraId="05493BED" w14:textId="77777777" w:rsidTr="003C2635">
        <w:trPr>
          <w:trHeight w:val="1810"/>
        </w:trPr>
        <w:tc>
          <w:tcPr>
            <w:tcW w:w="1418" w:type="dxa"/>
            <w:hideMark/>
          </w:tcPr>
          <w:p w14:paraId="16B12571"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lastRenderedPageBreak/>
              <w:t>Category</w:t>
            </w:r>
          </w:p>
        </w:tc>
        <w:tc>
          <w:tcPr>
            <w:tcW w:w="804" w:type="dxa"/>
            <w:hideMark/>
          </w:tcPr>
          <w:p w14:paraId="24F620DE"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Gender</w:t>
            </w:r>
          </w:p>
        </w:tc>
        <w:tc>
          <w:tcPr>
            <w:tcW w:w="964" w:type="dxa"/>
            <w:hideMark/>
          </w:tcPr>
          <w:p w14:paraId="11579CB3"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 Screened</w:t>
            </w:r>
          </w:p>
        </w:tc>
        <w:tc>
          <w:tcPr>
            <w:tcW w:w="1084" w:type="dxa"/>
            <w:hideMark/>
          </w:tcPr>
          <w:p w14:paraId="69232D6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Abnormal BP Cases</w:t>
            </w:r>
          </w:p>
        </w:tc>
        <w:tc>
          <w:tcPr>
            <w:tcW w:w="617" w:type="dxa"/>
            <w:hideMark/>
          </w:tcPr>
          <w:p w14:paraId="0591D955"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 with Habit</w:t>
            </w:r>
          </w:p>
        </w:tc>
        <w:tc>
          <w:tcPr>
            <w:tcW w:w="1390" w:type="dxa"/>
            <w:hideMark/>
          </w:tcPr>
          <w:p w14:paraId="474B509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Hypertensive with Habit</w:t>
            </w:r>
          </w:p>
        </w:tc>
        <w:tc>
          <w:tcPr>
            <w:tcW w:w="1390" w:type="dxa"/>
            <w:hideMark/>
          </w:tcPr>
          <w:p w14:paraId="2F5FB255"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 Hypertensive within Habit Group</w:t>
            </w:r>
          </w:p>
        </w:tc>
      </w:tr>
      <w:tr w:rsidR="003C2635" w:rsidRPr="003C2635" w14:paraId="1D0318DE" w14:textId="77777777" w:rsidTr="003C2635">
        <w:trPr>
          <w:trHeight w:val="610"/>
        </w:trPr>
        <w:tc>
          <w:tcPr>
            <w:tcW w:w="1418" w:type="dxa"/>
            <w:hideMark/>
          </w:tcPr>
          <w:p w14:paraId="658CACCA"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Smoking Habit</w:t>
            </w:r>
          </w:p>
        </w:tc>
        <w:tc>
          <w:tcPr>
            <w:tcW w:w="804" w:type="dxa"/>
            <w:hideMark/>
          </w:tcPr>
          <w:p w14:paraId="60CDBC57"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Female</w:t>
            </w:r>
          </w:p>
        </w:tc>
        <w:tc>
          <w:tcPr>
            <w:tcW w:w="964" w:type="dxa"/>
            <w:hideMark/>
          </w:tcPr>
          <w:p w14:paraId="4FBF3237"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28,082</w:t>
            </w:r>
          </w:p>
        </w:tc>
        <w:tc>
          <w:tcPr>
            <w:tcW w:w="1084" w:type="dxa"/>
            <w:hideMark/>
          </w:tcPr>
          <w:p w14:paraId="74F6554C"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7,270</w:t>
            </w:r>
          </w:p>
        </w:tc>
        <w:tc>
          <w:tcPr>
            <w:tcW w:w="617" w:type="dxa"/>
            <w:hideMark/>
          </w:tcPr>
          <w:p w14:paraId="29334557"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229</w:t>
            </w:r>
          </w:p>
        </w:tc>
        <w:tc>
          <w:tcPr>
            <w:tcW w:w="1390" w:type="dxa"/>
            <w:hideMark/>
          </w:tcPr>
          <w:p w14:paraId="2EF7D07B"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84</w:t>
            </w:r>
          </w:p>
        </w:tc>
        <w:tc>
          <w:tcPr>
            <w:tcW w:w="1390" w:type="dxa"/>
            <w:hideMark/>
          </w:tcPr>
          <w:p w14:paraId="7405C92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w:t>
            </w:r>
          </w:p>
        </w:tc>
      </w:tr>
      <w:tr w:rsidR="003C2635" w:rsidRPr="003C2635" w14:paraId="69D78D91" w14:textId="77777777" w:rsidTr="003C2635">
        <w:trPr>
          <w:trHeight w:val="320"/>
        </w:trPr>
        <w:tc>
          <w:tcPr>
            <w:tcW w:w="1418" w:type="dxa"/>
            <w:hideMark/>
          </w:tcPr>
          <w:p w14:paraId="1ADDB094"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804" w:type="dxa"/>
            <w:hideMark/>
          </w:tcPr>
          <w:p w14:paraId="45CBCC85"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Male</w:t>
            </w:r>
          </w:p>
        </w:tc>
        <w:tc>
          <w:tcPr>
            <w:tcW w:w="964" w:type="dxa"/>
            <w:hideMark/>
          </w:tcPr>
          <w:p w14:paraId="3671F158"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21,607</w:t>
            </w:r>
          </w:p>
        </w:tc>
        <w:tc>
          <w:tcPr>
            <w:tcW w:w="1084" w:type="dxa"/>
            <w:hideMark/>
          </w:tcPr>
          <w:p w14:paraId="4C448D71"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6,290</w:t>
            </w:r>
          </w:p>
        </w:tc>
        <w:tc>
          <w:tcPr>
            <w:tcW w:w="617" w:type="dxa"/>
            <w:hideMark/>
          </w:tcPr>
          <w:p w14:paraId="7CF3050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1,702</w:t>
            </w:r>
          </w:p>
        </w:tc>
        <w:tc>
          <w:tcPr>
            <w:tcW w:w="1390" w:type="dxa"/>
            <w:hideMark/>
          </w:tcPr>
          <w:p w14:paraId="12151412"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600</w:t>
            </w:r>
          </w:p>
        </w:tc>
        <w:tc>
          <w:tcPr>
            <w:tcW w:w="1390" w:type="dxa"/>
            <w:hideMark/>
          </w:tcPr>
          <w:p w14:paraId="4DAFBC4C"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4.40%</w:t>
            </w:r>
          </w:p>
        </w:tc>
      </w:tr>
      <w:tr w:rsidR="003C2635" w:rsidRPr="003C2635" w14:paraId="4C819CA1" w14:textId="77777777" w:rsidTr="003C2635">
        <w:trPr>
          <w:trHeight w:val="310"/>
        </w:trPr>
        <w:tc>
          <w:tcPr>
            <w:tcW w:w="1418" w:type="dxa"/>
            <w:hideMark/>
          </w:tcPr>
          <w:p w14:paraId="0D5EEB57"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804" w:type="dxa"/>
            <w:hideMark/>
          </w:tcPr>
          <w:p w14:paraId="0D771F2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w:t>
            </w:r>
          </w:p>
        </w:tc>
        <w:tc>
          <w:tcPr>
            <w:tcW w:w="964" w:type="dxa"/>
            <w:hideMark/>
          </w:tcPr>
          <w:p w14:paraId="2DF2FE00"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49,689</w:t>
            </w:r>
          </w:p>
        </w:tc>
        <w:tc>
          <w:tcPr>
            <w:tcW w:w="1084" w:type="dxa"/>
            <w:hideMark/>
          </w:tcPr>
          <w:p w14:paraId="5E070FE1"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13,560</w:t>
            </w:r>
          </w:p>
        </w:tc>
        <w:tc>
          <w:tcPr>
            <w:tcW w:w="617" w:type="dxa"/>
            <w:hideMark/>
          </w:tcPr>
          <w:p w14:paraId="4FF90853"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1,931</w:t>
            </w:r>
          </w:p>
        </w:tc>
        <w:tc>
          <w:tcPr>
            <w:tcW w:w="1390" w:type="dxa"/>
            <w:hideMark/>
          </w:tcPr>
          <w:p w14:paraId="1FC12CF9"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684</w:t>
            </w:r>
          </w:p>
        </w:tc>
        <w:tc>
          <w:tcPr>
            <w:tcW w:w="1390" w:type="dxa"/>
            <w:hideMark/>
          </w:tcPr>
          <w:p w14:paraId="50E7179C"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5.04%</w:t>
            </w:r>
          </w:p>
        </w:tc>
      </w:tr>
      <w:tr w:rsidR="003C2635" w:rsidRPr="003C2635" w14:paraId="43B49A9B" w14:textId="77777777" w:rsidTr="003C2635">
        <w:trPr>
          <w:trHeight w:val="610"/>
        </w:trPr>
        <w:tc>
          <w:tcPr>
            <w:tcW w:w="1418" w:type="dxa"/>
            <w:hideMark/>
          </w:tcPr>
          <w:p w14:paraId="2362A7FA"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Tobacco Use</w:t>
            </w:r>
          </w:p>
        </w:tc>
        <w:tc>
          <w:tcPr>
            <w:tcW w:w="804" w:type="dxa"/>
            <w:hideMark/>
          </w:tcPr>
          <w:p w14:paraId="1AD2F358"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Female</w:t>
            </w:r>
          </w:p>
        </w:tc>
        <w:tc>
          <w:tcPr>
            <w:tcW w:w="964" w:type="dxa"/>
            <w:hideMark/>
          </w:tcPr>
          <w:p w14:paraId="29CE426C"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28,082</w:t>
            </w:r>
          </w:p>
        </w:tc>
        <w:tc>
          <w:tcPr>
            <w:tcW w:w="1084" w:type="dxa"/>
            <w:hideMark/>
          </w:tcPr>
          <w:p w14:paraId="68D6FFB3"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7,270</w:t>
            </w:r>
          </w:p>
        </w:tc>
        <w:tc>
          <w:tcPr>
            <w:tcW w:w="617" w:type="dxa"/>
            <w:hideMark/>
          </w:tcPr>
          <w:p w14:paraId="1B1C6765"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2,498</w:t>
            </w:r>
          </w:p>
        </w:tc>
        <w:tc>
          <w:tcPr>
            <w:tcW w:w="1390" w:type="dxa"/>
            <w:hideMark/>
          </w:tcPr>
          <w:p w14:paraId="2BB760B7"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916</w:t>
            </w:r>
          </w:p>
        </w:tc>
        <w:tc>
          <w:tcPr>
            <w:tcW w:w="1390" w:type="dxa"/>
            <w:hideMark/>
          </w:tcPr>
          <w:p w14:paraId="350609D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6.70%</w:t>
            </w:r>
          </w:p>
        </w:tc>
      </w:tr>
      <w:tr w:rsidR="003C2635" w:rsidRPr="003C2635" w14:paraId="16847C58" w14:textId="77777777" w:rsidTr="003C2635">
        <w:trPr>
          <w:trHeight w:val="320"/>
        </w:trPr>
        <w:tc>
          <w:tcPr>
            <w:tcW w:w="1418" w:type="dxa"/>
            <w:hideMark/>
          </w:tcPr>
          <w:p w14:paraId="029BFECF"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804" w:type="dxa"/>
            <w:hideMark/>
          </w:tcPr>
          <w:p w14:paraId="358AFE27"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Male</w:t>
            </w:r>
          </w:p>
        </w:tc>
        <w:tc>
          <w:tcPr>
            <w:tcW w:w="964" w:type="dxa"/>
            <w:hideMark/>
          </w:tcPr>
          <w:p w14:paraId="3044E56E"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21,607</w:t>
            </w:r>
          </w:p>
        </w:tc>
        <w:tc>
          <w:tcPr>
            <w:tcW w:w="1084" w:type="dxa"/>
            <w:hideMark/>
          </w:tcPr>
          <w:p w14:paraId="5E226D7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6,290</w:t>
            </w:r>
          </w:p>
        </w:tc>
        <w:tc>
          <w:tcPr>
            <w:tcW w:w="617" w:type="dxa"/>
            <w:hideMark/>
          </w:tcPr>
          <w:p w14:paraId="69CEA3DB"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3,453</w:t>
            </w:r>
          </w:p>
        </w:tc>
        <w:tc>
          <w:tcPr>
            <w:tcW w:w="1390" w:type="dxa"/>
            <w:hideMark/>
          </w:tcPr>
          <w:p w14:paraId="3770EDCA"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1,115</w:t>
            </w:r>
          </w:p>
        </w:tc>
        <w:tc>
          <w:tcPr>
            <w:tcW w:w="1390" w:type="dxa"/>
            <w:hideMark/>
          </w:tcPr>
          <w:p w14:paraId="025F2113"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8.20%</w:t>
            </w:r>
          </w:p>
        </w:tc>
      </w:tr>
      <w:tr w:rsidR="003C2635" w:rsidRPr="003C2635" w14:paraId="0892C6D7" w14:textId="77777777" w:rsidTr="003C2635">
        <w:trPr>
          <w:trHeight w:val="310"/>
        </w:trPr>
        <w:tc>
          <w:tcPr>
            <w:tcW w:w="1418" w:type="dxa"/>
            <w:hideMark/>
          </w:tcPr>
          <w:p w14:paraId="73A2F66A"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804" w:type="dxa"/>
            <w:hideMark/>
          </w:tcPr>
          <w:p w14:paraId="4DD42510"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w:t>
            </w:r>
          </w:p>
        </w:tc>
        <w:tc>
          <w:tcPr>
            <w:tcW w:w="964" w:type="dxa"/>
            <w:hideMark/>
          </w:tcPr>
          <w:p w14:paraId="5E9EA7A9"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49,689</w:t>
            </w:r>
          </w:p>
        </w:tc>
        <w:tc>
          <w:tcPr>
            <w:tcW w:w="1084" w:type="dxa"/>
            <w:hideMark/>
          </w:tcPr>
          <w:p w14:paraId="0792D7DD"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13,560</w:t>
            </w:r>
          </w:p>
        </w:tc>
        <w:tc>
          <w:tcPr>
            <w:tcW w:w="617" w:type="dxa"/>
            <w:hideMark/>
          </w:tcPr>
          <w:p w14:paraId="276FE81E"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5,951</w:t>
            </w:r>
          </w:p>
        </w:tc>
        <w:tc>
          <w:tcPr>
            <w:tcW w:w="1390" w:type="dxa"/>
            <w:hideMark/>
          </w:tcPr>
          <w:p w14:paraId="0B288E89"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2,031</w:t>
            </w:r>
          </w:p>
        </w:tc>
        <w:tc>
          <w:tcPr>
            <w:tcW w:w="1390" w:type="dxa"/>
            <w:hideMark/>
          </w:tcPr>
          <w:p w14:paraId="2DF0C3C2"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14.80%</w:t>
            </w:r>
          </w:p>
        </w:tc>
      </w:tr>
      <w:tr w:rsidR="003C2635" w:rsidRPr="003C2635" w14:paraId="493D6925" w14:textId="77777777" w:rsidTr="003C2635">
        <w:trPr>
          <w:trHeight w:val="910"/>
        </w:trPr>
        <w:tc>
          <w:tcPr>
            <w:tcW w:w="1418" w:type="dxa"/>
            <w:hideMark/>
          </w:tcPr>
          <w:p w14:paraId="01E2E606"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Alcohol Consumption</w:t>
            </w:r>
          </w:p>
        </w:tc>
        <w:tc>
          <w:tcPr>
            <w:tcW w:w="804" w:type="dxa"/>
            <w:hideMark/>
          </w:tcPr>
          <w:p w14:paraId="789F2554"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Female</w:t>
            </w:r>
          </w:p>
        </w:tc>
        <w:tc>
          <w:tcPr>
            <w:tcW w:w="964" w:type="dxa"/>
            <w:hideMark/>
          </w:tcPr>
          <w:p w14:paraId="0C680DB8"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28,082</w:t>
            </w:r>
          </w:p>
        </w:tc>
        <w:tc>
          <w:tcPr>
            <w:tcW w:w="1084" w:type="dxa"/>
            <w:hideMark/>
          </w:tcPr>
          <w:p w14:paraId="0EE2FC2D"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7,270</w:t>
            </w:r>
          </w:p>
        </w:tc>
        <w:tc>
          <w:tcPr>
            <w:tcW w:w="617" w:type="dxa"/>
            <w:hideMark/>
          </w:tcPr>
          <w:p w14:paraId="34F103E5"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370</w:t>
            </w:r>
          </w:p>
        </w:tc>
        <w:tc>
          <w:tcPr>
            <w:tcW w:w="1390" w:type="dxa"/>
            <w:hideMark/>
          </w:tcPr>
          <w:p w14:paraId="1D2F2EDA"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126</w:t>
            </w:r>
          </w:p>
        </w:tc>
        <w:tc>
          <w:tcPr>
            <w:tcW w:w="1390" w:type="dxa"/>
            <w:hideMark/>
          </w:tcPr>
          <w:p w14:paraId="36251FB0"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0.90%</w:t>
            </w:r>
          </w:p>
        </w:tc>
      </w:tr>
      <w:tr w:rsidR="003C2635" w:rsidRPr="003C2635" w14:paraId="6A19F68B" w14:textId="77777777" w:rsidTr="003C2635">
        <w:trPr>
          <w:trHeight w:val="320"/>
        </w:trPr>
        <w:tc>
          <w:tcPr>
            <w:tcW w:w="1418" w:type="dxa"/>
            <w:hideMark/>
          </w:tcPr>
          <w:p w14:paraId="53F791D9"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804" w:type="dxa"/>
            <w:hideMark/>
          </w:tcPr>
          <w:p w14:paraId="5BA310C4"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Male</w:t>
            </w:r>
          </w:p>
        </w:tc>
        <w:tc>
          <w:tcPr>
            <w:tcW w:w="964" w:type="dxa"/>
            <w:hideMark/>
          </w:tcPr>
          <w:p w14:paraId="19C70E5D"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21,607</w:t>
            </w:r>
          </w:p>
        </w:tc>
        <w:tc>
          <w:tcPr>
            <w:tcW w:w="1084" w:type="dxa"/>
            <w:hideMark/>
          </w:tcPr>
          <w:p w14:paraId="047ED37D"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6,290</w:t>
            </w:r>
          </w:p>
        </w:tc>
        <w:tc>
          <w:tcPr>
            <w:tcW w:w="617" w:type="dxa"/>
            <w:hideMark/>
          </w:tcPr>
          <w:p w14:paraId="108423C0"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1,949</w:t>
            </w:r>
          </w:p>
        </w:tc>
        <w:tc>
          <w:tcPr>
            <w:tcW w:w="1390" w:type="dxa"/>
            <w:hideMark/>
          </w:tcPr>
          <w:p w14:paraId="385C3F36"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628</w:t>
            </w:r>
          </w:p>
        </w:tc>
        <w:tc>
          <w:tcPr>
            <w:tcW w:w="1390" w:type="dxa"/>
            <w:hideMark/>
          </w:tcPr>
          <w:p w14:paraId="45F1D8E0"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4.60%</w:t>
            </w:r>
          </w:p>
        </w:tc>
      </w:tr>
      <w:tr w:rsidR="003C2635" w:rsidRPr="003C2635" w14:paraId="34FBB0FA" w14:textId="77777777" w:rsidTr="003C2635">
        <w:trPr>
          <w:trHeight w:val="310"/>
        </w:trPr>
        <w:tc>
          <w:tcPr>
            <w:tcW w:w="1418" w:type="dxa"/>
            <w:hideMark/>
          </w:tcPr>
          <w:p w14:paraId="0114254A"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804" w:type="dxa"/>
            <w:hideMark/>
          </w:tcPr>
          <w:p w14:paraId="7CE745D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w:t>
            </w:r>
          </w:p>
        </w:tc>
        <w:tc>
          <w:tcPr>
            <w:tcW w:w="964" w:type="dxa"/>
            <w:hideMark/>
          </w:tcPr>
          <w:p w14:paraId="4F6F77FD"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49,689</w:t>
            </w:r>
          </w:p>
        </w:tc>
        <w:tc>
          <w:tcPr>
            <w:tcW w:w="1084" w:type="dxa"/>
            <w:hideMark/>
          </w:tcPr>
          <w:p w14:paraId="025B0858"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13,560</w:t>
            </w:r>
          </w:p>
        </w:tc>
        <w:tc>
          <w:tcPr>
            <w:tcW w:w="617" w:type="dxa"/>
            <w:hideMark/>
          </w:tcPr>
          <w:p w14:paraId="795BCCDD"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2,319</w:t>
            </w:r>
          </w:p>
        </w:tc>
        <w:tc>
          <w:tcPr>
            <w:tcW w:w="1390" w:type="dxa"/>
            <w:hideMark/>
          </w:tcPr>
          <w:p w14:paraId="51CF43A1"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754</w:t>
            </w:r>
          </w:p>
        </w:tc>
        <w:tc>
          <w:tcPr>
            <w:tcW w:w="1390" w:type="dxa"/>
            <w:hideMark/>
          </w:tcPr>
          <w:p w14:paraId="1762664F"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5.53%</w:t>
            </w:r>
          </w:p>
        </w:tc>
      </w:tr>
    </w:tbl>
    <w:p w14:paraId="597D9901" w14:textId="77777777" w:rsidR="00C11B1B" w:rsidRPr="00E30DDA" w:rsidRDefault="00C11B1B" w:rsidP="00C11B1B">
      <w:pPr>
        <w:rPr>
          <w:rFonts w:ascii="Times New Roman" w:hAnsi="Times New Roman" w:cs="Times New Roman"/>
          <w:sz w:val="24"/>
          <w:szCs w:val="24"/>
        </w:rPr>
      </w:pPr>
    </w:p>
    <w:p w14:paraId="0C538786" w14:textId="01195BE8" w:rsidR="00C11B1B" w:rsidRPr="00E30DDA" w:rsidRDefault="00C11B1B" w:rsidP="00CB2010">
      <w:pPr>
        <w:jc w:val="center"/>
        <w:rPr>
          <w:rFonts w:ascii="Times New Roman" w:hAnsi="Times New Roman" w:cs="Times New Roman"/>
          <w:sz w:val="24"/>
          <w:szCs w:val="24"/>
        </w:rPr>
      </w:pPr>
      <w:r w:rsidRPr="00E30DDA">
        <w:rPr>
          <w:rFonts w:ascii="Times New Roman" w:hAnsi="Times New Roman" w:cs="Times New Roman"/>
          <w:sz w:val="24"/>
          <w:szCs w:val="24"/>
        </w:rPr>
        <w:t xml:space="preserve">Table 1: </w:t>
      </w:r>
      <w:r w:rsidR="0085436C" w:rsidRPr="00E30DDA">
        <w:rPr>
          <w:rFonts w:ascii="Times New Roman" w:hAnsi="Times New Roman" w:cs="Times New Roman"/>
          <w:sz w:val="24"/>
          <w:szCs w:val="24"/>
        </w:rPr>
        <w:t>A total of 49689 individuals means age of 44.8 year Male (43.4</w:t>
      </w:r>
      <w:proofErr w:type="gramStart"/>
      <w:r w:rsidR="0085436C" w:rsidRPr="00E30DDA">
        <w:rPr>
          <w:rFonts w:ascii="Times New Roman" w:hAnsi="Times New Roman" w:cs="Times New Roman"/>
          <w:sz w:val="24"/>
          <w:szCs w:val="24"/>
        </w:rPr>
        <w:t>% )</w:t>
      </w:r>
      <w:proofErr w:type="gramEnd"/>
      <w:r w:rsidR="0085436C" w:rsidRPr="00E30DDA">
        <w:rPr>
          <w:rFonts w:ascii="Times New Roman" w:hAnsi="Times New Roman" w:cs="Times New Roman"/>
          <w:sz w:val="24"/>
          <w:szCs w:val="24"/>
        </w:rPr>
        <w:t xml:space="preserve"> and female (57.2%) with age mean 43.2 underwent hypertension screening</w:t>
      </w:r>
    </w:p>
    <w:p w14:paraId="410ADDF7" w14:textId="457FAC55" w:rsidR="00FF2775" w:rsidRPr="00E30DDA" w:rsidRDefault="00FF2775" w:rsidP="00FF2775">
      <w:pPr>
        <w:rPr>
          <w:rFonts w:ascii="Times New Roman" w:hAnsi="Times New Roman" w:cs="Times New Roman"/>
          <w:sz w:val="24"/>
          <w:szCs w:val="24"/>
          <w:lang w:val="en-IN"/>
        </w:rPr>
      </w:pPr>
      <w:r w:rsidRPr="00E30DDA">
        <w:rPr>
          <w:rFonts w:ascii="Times New Roman" w:hAnsi="Times New Roman" w:cs="Times New Roman"/>
          <w:sz w:val="24"/>
          <w:szCs w:val="24"/>
          <w:lang w:val="en-IN"/>
        </w:rPr>
        <w:t>For hypertension, a total of 49,689 individuals were screened,</w:t>
      </w:r>
      <w:r w:rsidR="00172CE3" w:rsidRPr="00E30DDA">
        <w:rPr>
          <w:rFonts w:ascii="Times New Roman" w:hAnsi="Times New Roman" w:cs="Times New Roman"/>
          <w:sz w:val="24"/>
          <w:szCs w:val="24"/>
          <w:lang w:val="en-IN"/>
        </w:rPr>
        <w:t xml:space="preserve"> Male</w:t>
      </w:r>
      <w:r w:rsidRPr="00E30DDA">
        <w:rPr>
          <w:rFonts w:ascii="Times New Roman" w:hAnsi="Times New Roman" w:cs="Times New Roman"/>
          <w:sz w:val="24"/>
          <w:szCs w:val="24"/>
          <w:lang w:val="en-IN"/>
        </w:rPr>
        <w:t xml:space="preserve"> with a mean age of 44.8 years</w:t>
      </w:r>
      <w:r w:rsidR="00172CE3" w:rsidRPr="00E30DDA">
        <w:rPr>
          <w:rFonts w:ascii="Times New Roman" w:hAnsi="Times New Roman" w:cs="Times New Roman"/>
          <w:sz w:val="24"/>
          <w:szCs w:val="24"/>
          <w:lang w:val="en-IN"/>
        </w:rPr>
        <w:t xml:space="preserve"> (4</w:t>
      </w:r>
      <w:r w:rsidR="008C1E64">
        <w:rPr>
          <w:rFonts w:ascii="Times New Roman" w:hAnsi="Times New Roman" w:cs="Times New Roman"/>
          <w:sz w:val="24"/>
          <w:szCs w:val="24"/>
          <w:lang w:val="en-IN"/>
        </w:rPr>
        <w:t>6.3</w:t>
      </w:r>
      <w:r w:rsidR="00172CE3" w:rsidRPr="00E30DDA">
        <w:rPr>
          <w:rFonts w:ascii="Times New Roman" w:hAnsi="Times New Roman" w:cs="Times New Roman"/>
          <w:sz w:val="24"/>
          <w:szCs w:val="24"/>
          <w:lang w:val="en-IN"/>
        </w:rPr>
        <w:t>%)</w:t>
      </w:r>
      <w:r w:rsidRPr="00E30DDA">
        <w:rPr>
          <w:rFonts w:ascii="Times New Roman" w:hAnsi="Times New Roman" w:cs="Times New Roman"/>
          <w:sz w:val="24"/>
          <w:szCs w:val="24"/>
          <w:lang w:val="en-IN"/>
        </w:rPr>
        <w:t xml:space="preserve"> and </w:t>
      </w:r>
      <w:r w:rsidR="00172CE3" w:rsidRPr="00E30DDA">
        <w:rPr>
          <w:rFonts w:ascii="Times New Roman" w:hAnsi="Times New Roman" w:cs="Times New Roman"/>
          <w:sz w:val="24"/>
          <w:szCs w:val="24"/>
          <w:lang w:val="en-IN"/>
        </w:rPr>
        <w:t>4</w:t>
      </w:r>
      <w:r w:rsidR="0085436C" w:rsidRPr="00E30DDA">
        <w:rPr>
          <w:rFonts w:ascii="Times New Roman" w:hAnsi="Times New Roman" w:cs="Times New Roman"/>
          <w:sz w:val="24"/>
          <w:szCs w:val="24"/>
          <w:lang w:val="en-IN"/>
        </w:rPr>
        <w:t>3.2</w:t>
      </w:r>
      <w:r w:rsidR="00172CE3" w:rsidRPr="00E30DDA">
        <w:rPr>
          <w:rFonts w:ascii="Times New Roman" w:hAnsi="Times New Roman" w:cs="Times New Roman"/>
          <w:sz w:val="24"/>
          <w:szCs w:val="24"/>
          <w:lang w:val="en-IN"/>
        </w:rPr>
        <w:t xml:space="preserve"> </w:t>
      </w:r>
      <w:r w:rsidR="0085436C" w:rsidRPr="00E30DDA">
        <w:rPr>
          <w:rFonts w:ascii="Times New Roman" w:hAnsi="Times New Roman" w:cs="Times New Roman"/>
          <w:sz w:val="24"/>
          <w:szCs w:val="24"/>
          <w:lang w:val="en-IN"/>
        </w:rPr>
        <w:t>years</w:t>
      </w:r>
      <w:r w:rsidRPr="00E30DDA">
        <w:rPr>
          <w:rFonts w:ascii="Times New Roman" w:hAnsi="Times New Roman" w:cs="Times New Roman"/>
          <w:sz w:val="24"/>
          <w:szCs w:val="24"/>
          <w:lang w:val="en-IN"/>
        </w:rPr>
        <w:t xml:space="preserve"> female majority (5</w:t>
      </w:r>
      <w:r w:rsidR="008C1E64">
        <w:rPr>
          <w:rFonts w:ascii="Times New Roman" w:hAnsi="Times New Roman" w:cs="Times New Roman"/>
          <w:sz w:val="24"/>
          <w:szCs w:val="24"/>
          <w:lang w:val="en-IN"/>
        </w:rPr>
        <w:t>6.5</w:t>
      </w:r>
      <w:r w:rsidRPr="00E30DDA">
        <w:rPr>
          <w:rFonts w:ascii="Times New Roman" w:hAnsi="Times New Roman" w:cs="Times New Roman"/>
          <w:sz w:val="24"/>
          <w:szCs w:val="24"/>
          <w:lang w:val="en-IN"/>
        </w:rPr>
        <w:t>%). Abnormal blood pressure readings were identified in 13,56</w:t>
      </w:r>
      <w:r w:rsidR="00A105FD">
        <w:rPr>
          <w:rFonts w:ascii="Times New Roman" w:hAnsi="Times New Roman" w:cs="Times New Roman"/>
          <w:sz w:val="24"/>
          <w:szCs w:val="24"/>
          <w:lang w:val="en-IN"/>
        </w:rPr>
        <w:t>0</w:t>
      </w:r>
      <w:r w:rsidRPr="00E30DDA">
        <w:rPr>
          <w:rFonts w:ascii="Times New Roman" w:hAnsi="Times New Roman" w:cs="Times New Roman"/>
          <w:sz w:val="24"/>
          <w:szCs w:val="24"/>
          <w:lang w:val="en-IN"/>
        </w:rPr>
        <w:t xml:space="preserve"> individuals (27</w:t>
      </w:r>
      <w:r w:rsidR="00A105FD">
        <w:rPr>
          <w:rFonts w:ascii="Times New Roman" w:hAnsi="Times New Roman" w:cs="Times New Roman"/>
          <w:sz w:val="24"/>
          <w:szCs w:val="24"/>
          <w:lang w:val="en-IN"/>
        </w:rPr>
        <w:t>.2</w:t>
      </w:r>
      <w:r w:rsidRPr="00E30DDA">
        <w:rPr>
          <w:rFonts w:ascii="Times New Roman" w:hAnsi="Times New Roman" w:cs="Times New Roman"/>
          <w:sz w:val="24"/>
          <w:szCs w:val="24"/>
          <w:lang w:val="en-IN"/>
        </w:rPr>
        <w:t xml:space="preserve">%), of which </w:t>
      </w:r>
      <w:r w:rsidR="00A105FD">
        <w:rPr>
          <w:rFonts w:ascii="Times New Roman" w:hAnsi="Times New Roman" w:cs="Times New Roman"/>
          <w:sz w:val="24"/>
          <w:szCs w:val="24"/>
          <w:lang w:val="en-IN"/>
        </w:rPr>
        <w:t>4</w:t>
      </w:r>
      <w:r w:rsidR="008C1E64">
        <w:rPr>
          <w:rFonts w:ascii="Times New Roman" w:hAnsi="Times New Roman" w:cs="Times New Roman"/>
          <w:sz w:val="24"/>
          <w:szCs w:val="24"/>
          <w:lang w:val="en-IN"/>
        </w:rPr>
        <w:t>6</w:t>
      </w:r>
      <w:r w:rsidR="00A105FD">
        <w:rPr>
          <w:rFonts w:ascii="Times New Roman" w:hAnsi="Times New Roman" w:cs="Times New Roman"/>
          <w:sz w:val="24"/>
          <w:szCs w:val="24"/>
          <w:lang w:val="en-IN"/>
        </w:rPr>
        <w:t>.</w:t>
      </w:r>
      <w:r w:rsidR="008C1E64">
        <w:rPr>
          <w:rFonts w:ascii="Times New Roman" w:hAnsi="Times New Roman" w:cs="Times New Roman"/>
          <w:sz w:val="24"/>
          <w:szCs w:val="24"/>
          <w:lang w:val="en-IN"/>
        </w:rPr>
        <w:t>3</w:t>
      </w:r>
      <w:r w:rsidRPr="00E30DDA">
        <w:rPr>
          <w:rFonts w:ascii="Times New Roman" w:hAnsi="Times New Roman" w:cs="Times New Roman"/>
          <w:sz w:val="24"/>
          <w:szCs w:val="24"/>
          <w:lang w:val="en-IN"/>
        </w:rPr>
        <w:t xml:space="preserve">% were male and </w:t>
      </w:r>
      <w:r w:rsidR="00A105FD">
        <w:rPr>
          <w:rFonts w:ascii="Times New Roman" w:hAnsi="Times New Roman" w:cs="Times New Roman"/>
          <w:sz w:val="24"/>
          <w:szCs w:val="24"/>
          <w:lang w:val="en-IN"/>
        </w:rPr>
        <w:t>5</w:t>
      </w:r>
      <w:r w:rsidR="00AA4EA3">
        <w:rPr>
          <w:rFonts w:ascii="Times New Roman" w:hAnsi="Times New Roman" w:cs="Times New Roman"/>
          <w:sz w:val="24"/>
          <w:szCs w:val="24"/>
          <w:lang w:val="en-IN"/>
        </w:rPr>
        <w:t>3.</w:t>
      </w:r>
      <w:r w:rsidR="008C1E64">
        <w:rPr>
          <w:rFonts w:ascii="Times New Roman" w:hAnsi="Times New Roman" w:cs="Times New Roman"/>
          <w:sz w:val="24"/>
          <w:szCs w:val="24"/>
          <w:lang w:val="en-IN"/>
        </w:rPr>
        <w:t>6</w:t>
      </w:r>
      <w:r w:rsidRPr="00E30DDA">
        <w:rPr>
          <w:rFonts w:ascii="Times New Roman" w:hAnsi="Times New Roman" w:cs="Times New Roman"/>
          <w:sz w:val="24"/>
          <w:szCs w:val="24"/>
          <w:lang w:val="en-IN"/>
        </w:rPr>
        <w:t xml:space="preserve">% were female. A significant number of these were </w:t>
      </w:r>
      <w:r w:rsidR="00E83980" w:rsidRPr="00E30DDA">
        <w:rPr>
          <w:rFonts w:ascii="Times New Roman" w:hAnsi="Times New Roman" w:cs="Times New Roman"/>
          <w:sz w:val="24"/>
          <w:szCs w:val="24"/>
          <w:lang w:val="en-IN"/>
        </w:rPr>
        <w:t>new</w:t>
      </w:r>
      <w:r w:rsidRPr="00E30DDA">
        <w:rPr>
          <w:rFonts w:ascii="Times New Roman" w:hAnsi="Times New Roman" w:cs="Times New Roman"/>
          <w:sz w:val="24"/>
          <w:szCs w:val="24"/>
          <w:lang w:val="en-IN"/>
        </w:rPr>
        <w:t xml:space="preserve"> diagnoses—9,161 individuals (18</w:t>
      </w:r>
      <w:r w:rsidR="00A105FD">
        <w:rPr>
          <w:rFonts w:ascii="Times New Roman" w:hAnsi="Times New Roman" w:cs="Times New Roman"/>
          <w:sz w:val="24"/>
          <w:szCs w:val="24"/>
          <w:lang w:val="en-IN"/>
        </w:rPr>
        <w:t>.4</w:t>
      </w:r>
      <w:r w:rsidRPr="00E30DDA">
        <w:rPr>
          <w:rFonts w:ascii="Times New Roman" w:hAnsi="Times New Roman" w:cs="Times New Roman"/>
          <w:sz w:val="24"/>
          <w:szCs w:val="24"/>
          <w:lang w:val="en-IN"/>
        </w:rPr>
        <w:t xml:space="preserve">%) had not previously been diagnosed. Lifestyle factors appeared prominently among those with abnormal readings, with </w:t>
      </w:r>
      <w:r w:rsidR="003C2635">
        <w:rPr>
          <w:rFonts w:ascii="Times New Roman" w:hAnsi="Times New Roman" w:cs="Times New Roman"/>
          <w:sz w:val="24"/>
          <w:szCs w:val="24"/>
          <w:lang w:val="en-IN"/>
        </w:rPr>
        <w:t>14</w:t>
      </w:r>
      <w:r w:rsidR="0085436C" w:rsidRPr="00E30DDA">
        <w:rPr>
          <w:rFonts w:ascii="Times New Roman" w:hAnsi="Times New Roman" w:cs="Times New Roman"/>
          <w:sz w:val="24"/>
          <w:szCs w:val="24"/>
          <w:lang w:val="en-IN"/>
        </w:rPr>
        <w:t>.</w:t>
      </w:r>
      <w:r w:rsidR="006A1C26">
        <w:rPr>
          <w:rFonts w:ascii="Times New Roman" w:hAnsi="Times New Roman" w:cs="Times New Roman"/>
          <w:sz w:val="24"/>
          <w:szCs w:val="24"/>
          <w:lang w:val="en-IN"/>
        </w:rPr>
        <w:t>80</w:t>
      </w:r>
      <w:r w:rsidRPr="00E30DDA">
        <w:rPr>
          <w:rFonts w:ascii="Times New Roman" w:hAnsi="Times New Roman" w:cs="Times New Roman"/>
          <w:sz w:val="24"/>
          <w:szCs w:val="24"/>
          <w:lang w:val="en-IN"/>
        </w:rPr>
        <w:t>% reporting tobacco use, smoking</w:t>
      </w:r>
      <w:r w:rsidR="0085436C" w:rsidRPr="00E30DDA">
        <w:rPr>
          <w:rFonts w:ascii="Times New Roman" w:hAnsi="Times New Roman" w:cs="Times New Roman"/>
          <w:sz w:val="24"/>
          <w:szCs w:val="24"/>
          <w:lang w:val="en-IN"/>
        </w:rPr>
        <w:t xml:space="preserve"> </w:t>
      </w:r>
      <w:r w:rsidR="003C2635">
        <w:rPr>
          <w:rFonts w:ascii="Times New Roman" w:hAnsi="Times New Roman" w:cs="Times New Roman"/>
          <w:sz w:val="24"/>
          <w:szCs w:val="24"/>
          <w:lang w:val="en-IN"/>
        </w:rPr>
        <w:t>5</w:t>
      </w:r>
      <w:r w:rsidR="006A1C26">
        <w:rPr>
          <w:rFonts w:ascii="Times New Roman" w:hAnsi="Times New Roman" w:cs="Times New Roman"/>
          <w:sz w:val="24"/>
          <w:szCs w:val="24"/>
          <w:lang w:val="en-IN"/>
        </w:rPr>
        <w:t>.04</w:t>
      </w:r>
      <w:proofErr w:type="gramStart"/>
      <w:r w:rsidR="0085436C" w:rsidRPr="00E30DDA">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w:t>
      </w:r>
      <w:proofErr w:type="gramEnd"/>
      <w:r w:rsidRPr="00E30DDA">
        <w:rPr>
          <w:rFonts w:ascii="Times New Roman" w:hAnsi="Times New Roman" w:cs="Times New Roman"/>
          <w:sz w:val="24"/>
          <w:szCs w:val="24"/>
          <w:lang w:val="en-IN"/>
        </w:rPr>
        <w:t xml:space="preserve"> </w:t>
      </w:r>
      <w:r w:rsidR="0085436C" w:rsidRPr="00E30DDA">
        <w:rPr>
          <w:rFonts w:ascii="Times New Roman" w:hAnsi="Times New Roman" w:cs="Times New Roman"/>
          <w:sz w:val="24"/>
          <w:szCs w:val="24"/>
          <w:lang w:val="en-IN"/>
        </w:rPr>
        <w:t xml:space="preserve">and </w:t>
      </w:r>
      <w:r w:rsidR="003C2635">
        <w:rPr>
          <w:rFonts w:ascii="Times New Roman" w:hAnsi="Times New Roman" w:cs="Times New Roman"/>
          <w:sz w:val="24"/>
          <w:szCs w:val="24"/>
          <w:lang w:val="en-IN"/>
        </w:rPr>
        <w:t>5</w:t>
      </w:r>
      <w:r w:rsidR="0085436C" w:rsidRPr="00E30DDA">
        <w:rPr>
          <w:rFonts w:ascii="Times New Roman" w:hAnsi="Times New Roman" w:cs="Times New Roman"/>
          <w:sz w:val="24"/>
          <w:szCs w:val="24"/>
          <w:lang w:val="en-IN"/>
        </w:rPr>
        <w:t xml:space="preserve">.5% </w:t>
      </w:r>
      <w:r w:rsidRPr="00E30DDA">
        <w:rPr>
          <w:rFonts w:ascii="Times New Roman" w:hAnsi="Times New Roman" w:cs="Times New Roman"/>
          <w:sz w:val="24"/>
          <w:szCs w:val="24"/>
          <w:lang w:val="en-IN"/>
        </w:rPr>
        <w:t xml:space="preserve">alcohol consumption. Hypertension emerged as the most prevalent condition among the three NCDs assessed, and the high proportion of previously undiagnosed cases indicates a significant gap in routine blood pressure monitoring, particularly among women. The strong correlation with </w:t>
      </w:r>
      <w:r w:rsidR="00372409" w:rsidRPr="00E30DDA">
        <w:rPr>
          <w:rFonts w:ascii="Times New Roman" w:hAnsi="Times New Roman" w:cs="Times New Roman"/>
          <w:sz w:val="24"/>
          <w:szCs w:val="24"/>
          <w:lang w:val="en-IN"/>
        </w:rPr>
        <w:t>behavioural</w:t>
      </w:r>
      <w:r w:rsidRPr="00E30DDA">
        <w:rPr>
          <w:rFonts w:ascii="Times New Roman" w:hAnsi="Times New Roman" w:cs="Times New Roman"/>
          <w:sz w:val="24"/>
          <w:szCs w:val="24"/>
          <w:lang w:val="en-IN"/>
        </w:rPr>
        <w:t xml:space="preserve"> risk factors emphasizes the need for integrated health education and risk-reduction strategies.</w:t>
      </w:r>
    </w:p>
    <w:tbl>
      <w:tblPr>
        <w:tblStyle w:val="TableGrid"/>
        <w:tblW w:w="0" w:type="auto"/>
        <w:tblLook w:val="04A0" w:firstRow="1" w:lastRow="0" w:firstColumn="1" w:lastColumn="0" w:noHBand="0" w:noVBand="1"/>
      </w:tblPr>
      <w:tblGrid>
        <w:gridCol w:w="1604"/>
        <w:gridCol w:w="990"/>
        <w:gridCol w:w="1150"/>
        <w:gridCol w:w="1270"/>
        <w:gridCol w:w="803"/>
        <w:gridCol w:w="1070"/>
        <w:gridCol w:w="1070"/>
      </w:tblGrid>
      <w:tr w:rsidR="00875836" w:rsidRPr="00875836" w14:paraId="3DB08BF0" w14:textId="77777777" w:rsidTr="00875836">
        <w:trPr>
          <w:trHeight w:val="1510"/>
        </w:trPr>
        <w:tc>
          <w:tcPr>
            <w:tcW w:w="1419" w:type="dxa"/>
            <w:hideMark/>
          </w:tcPr>
          <w:p w14:paraId="4DB2ACA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Category</w:t>
            </w:r>
          </w:p>
        </w:tc>
        <w:tc>
          <w:tcPr>
            <w:tcW w:w="847" w:type="dxa"/>
            <w:hideMark/>
          </w:tcPr>
          <w:p w14:paraId="5A971C06"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Gender</w:t>
            </w:r>
          </w:p>
        </w:tc>
        <w:tc>
          <w:tcPr>
            <w:tcW w:w="964" w:type="dxa"/>
            <w:hideMark/>
          </w:tcPr>
          <w:p w14:paraId="721AEE5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 Screened</w:t>
            </w:r>
          </w:p>
        </w:tc>
        <w:tc>
          <w:tcPr>
            <w:tcW w:w="1084" w:type="dxa"/>
            <w:hideMark/>
          </w:tcPr>
          <w:p w14:paraId="0E36697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Abnormal Glucose Level Cases</w:t>
            </w:r>
          </w:p>
        </w:tc>
        <w:tc>
          <w:tcPr>
            <w:tcW w:w="712" w:type="dxa"/>
            <w:hideMark/>
          </w:tcPr>
          <w:p w14:paraId="5879607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 with Habit</w:t>
            </w:r>
          </w:p>
        </w:tc>
        <w:tc>
          <w:tcPr>
            <w:tcW w:w="905" w:type="dxa"/>
            <w:hideMark/>
          </w:tcPr>
          <w:p w14:paraId="437755DB"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Diabetic with Habit</w:t>
            </w:r>
          </w:p>
        </w:tc>
        <w:tc>
          <w:tcPr>
            <w:tcW w:w="949" w:type="dxa"/>
            <w:hideMark/>
          </w:tcPr>
          <w:p w14:paraId="5425801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 Diabetic within Habit Group</w:t>
            </w:r>
          </w:p>
        </w:tc>
      </w:tr>
      <w:tr w:rsidR="00875836" w:rsidRPr="00875836" w14:paraId="287C14EC" w14:textId="77777777" w:rsidTr="00875836">
        <w:trPr>
          <w:trHeight w:val="610"/>
        </w:trPr>
        <w:tc>
          <w:tcPr>
            <w:tcW w:w="1419" w:type="dxa"/>
            <w:hideMark/>
          </w:tcPr>
          <w:p w14:paraId="38F540E4"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lastRenderedPageBreak/>
              <w:t>Smoking Habit</w:t>
            </w:r>
          </w:p>
        </w:tc>
        <w:tc>
          <w:tcPr>
            <w:tcW w:w="847" w:type="dxa"/>
            <w:hideMark/>
          </w:tcPr>
          <w:p w14:paraId="33C7485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Female</w:t>
            </w:r>
          </w:p>
        </w:tc>
        <w:tc>
          <w:tcPr>
            <w:tcW w:w="964" w:type="dxa"/>
            <w:hideMark/>
          </w:tcPr>
          <w:p w14:paraId="7F2EFF74"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28082</w:t>
            </w:r>
          </w:p>
        </w:tc>
        <w:tc>
          <w:tcPr>
            <w:tcW w:w="1084" w:type="dxa"/>
            <w:hideMark/>
          </w:tcPr>
          <w:p w14:paraId="490AFAC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2463</w:t>
            </w:r>
          </w:p>
        </w:tc>
        <w:tc>
          <w:tcPr>
            <w:tcW w:w="712" w:type="dxa"/>
            <w:hideMark/>
          </w:tcPr>
          <w:p w14:paraId="4543850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218</w:t>
            </w:r>
          </w:p>
        </w:tc>
        <w:tc>
          <w:tcPr>
            <w:tcW w:w="905" w:type="dxa"/>
            <w:hideMark/>
          </w:tcPr>
          <w:p w14:paraId="4A532420"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26</w:t>
            </w:r>
          </w:p>
        </w:tc>
        <w:tc>
          <w:tcPr>
            <w:tcW w:w="949" w:type="dxa"/>
            <w:hideMark/>
          </w:tcPr>
          <w:p w14:paraId="729DBD8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0.59%</w:t>
            </w:r>
          </w:p>
        </w:tc>
      </w:tr>
      <w:tr w:rsidR="00875836" w:rsidRPr="00875836" w14:paraId="729B84F8" w14:textId="77777777" w:rsidTr="00875836">
        <w:trPr>
          <w:trHeight w:val="320"/>
        </w:trPr>
        <w:tc>
          <w:tcPr>
            <w:tcW w:w="1419" w:type="dxa"/>
            <w:hideMark/>
          </w:tcPr>
          <w:p w14:paraId="3B3B5C67"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6F54BDDF"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Male</w:t>
            </w:r>
          </w:p>
        </w:tc>
        <w:tc>
          <w:tcPr>
            <w:tcW w:w="964" w:type="dxa"/>
            <w:hideMark/>
          </w:tcPr>
          <w:p w14:paraId="210507C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21607</w:t>
            </w:r>
          </w:p>
        </w:tc>
        <w:tc>
          <w:tcPr>
            <w:tcW w:w="1084" w:type="dxa"/>
            <w:hideMark/>
          </w:tcPr>
          <w:p w14:paraId="5908293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1922</w:t>
            </w:r>
          </w:p>
        </w:tc>
        <w:tc>
          <w:tcPr>
            <w:tcW w:w="712" w:type="dxa"/>
            <w:hideMark/>
          </w:tcPr>
          <w:p w14:paraId="29213D14"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1594</w:t>
            </w:r>
          </w:p>
        </w:tc>
        <w:tc>
          <w:tcPr>
            <w:tcW w:w="905" w:type="dxa"/>
            <w:hideMark/>
          </w:tcPr>
          <w:p w14:paraId="7B3100E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207</w:t>
            </w:r>
          </w:p>
        </w:tc>
        <w:tc>
          <w:tcPr>
            <w:tcW w:w="949" w:type="dxa"/>
            <w:hideMark/>
          </w:tcPr>
          <w:p w14:paraId="21FC998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4.70%</w:t>
            </w:r>
          </w:p>
        </w:tc>
      </w:tr>
      <w:tr w:rsidR="00875836" w:rsidRPr="00875836" w14:paraId="297284B8" w14:textId="77777777" w:rsidTr="00875836">
        <w:trPr>
          <w:trHeight w:val="320"/>
        </w:trPr>
        <w:tc>
          <w:tcPr>
            <w:tcW w:w="1419" w:type="dxa"/>
            <w:hideMark/>
          </w:tcPr>
          <w:p w14:paraId="53491AA0"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368F41C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w:t>
            </w:r>
          </w:p>
        </w:tc>
        <w:tc>
          <w:tcPr>
            <w:tcW w:w="964" w:type="dxa"/>
            <w:hideMark/>
          </w:tcPr>
          <w:p w14:paraId="30DAEDA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49689</w:t>
            </w:r>
          </w:p>
        </w:tc>
        <w:tc>
          <w:tcPr>
            <w:tcW w:w="1084" w:type="dxa"/>
            <w:hideMark/>
          </w:tcPr>
          <w:p w14:paraId="59DBACEE"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4385</w:t>
            </w:r>
          </w:p>
        </w:tc>
        <w:tc>
          <w:tcPr>
            <w:tcW w:w="712" w:type="dxa"/>
            <w:hideMark/>
          </w:tcPr>
          <w:p w14:paraId="5B860611"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1812</w:t>
            </w:r>
          </w:p>
        </w:tc>
        <w:tc>
          <w:tcPr>
            <w:tcW w:w="905" w:type="dxa"/>
            <w:hideMark/>
          </w:tcPr>
          <w:p w14:paraId="3FA3B1B0"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233</w:t>
            </w:r>
          </w:p>
        </w:tc>
        <w:tc>
          <w:tcPr>
            <w:tcW w:w="949" w:type="dxa"/>
            <w:hideMark/>
          </w:tcPr>
          <w:p w14:paraId="05E47BE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5.29%</w:t>
            </w:r>
          </w:p>
        </w:tc>
      </w:tr>
      <w:tr w:rsidR="00875836" w:rsidRPr="00875836" w14:paraId="1E087AE9" w14:textId="77777777" w:rsidTr="00875836">
        <w:trPr>
          <w:trHeight w:val="610"/>
        </w:trPr>
        <w:tc>
          <w:tcPr>
            <w:tcW w:w="1419" w:type="dxa"/>
            <w:hideMark/>
          </w:tcPr>
          <w:p w14:paraId="295A4FF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Tobacco Use</w:t>
            </w:r>
          </w:p>
        </w:tc>
        <w:tc>
          <w:tcPr>
            <w:tcW w:w="847" w:type="dxa"/>
            <w:hideMark/>
          </w:tcPr>
          <w:p w14:paraId="08BAE81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Female</w:t>
            </w:r>
          </w:p>
        </w:tc>
        <w:tc>
          <w:tcPr>
            <w:tcW w:w="964" w:type="dxa"/>
            <w:hideMark/>
          </w:tcPr>
          <w:p w14:paraId="05666BAA"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28084</w:t>
            </w:r>
          </w:p>
        </w:tc>
        <w:tc>
          <w:tcPr>
            <w:tcW w:w="1084" w:type="dxa"/>
            <w:hideMark/>
          </w:tcPr>
          <w:p w14:paraId="453CF9C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2463</w:t>
            </w:r>
          </w:p>
        </w:tc>
        <w:tc>
          <w:tcPr>
            <w:tcW w:w="712" w:type="dxa"/>
            <w:hideMark/>
          </w:tcPr>
          <w:p w14:paraId="4F480B48"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2205</w:t>
            </w:r>
          </w:p>
        </w:tc>
        <w:tc>
          <w:tcPr>
            <w:tcW w:w="905" w:type="dxa"/>
            <w:hideMark/>
          </w:tcPr>
          <w:p w14:paraId="19E5B2E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301</w:t>
            </w:r>
          </w:p>
        </w:tc>
        <w:tc>
          <w:tcPr>
            <w:tcW w:w="949" w:type="dxa"/>
            <w:hideMark/>
          </w:tcPr>
          <w:p w14:paraId="1C0C46E5"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6.86%</w:t>
            </w:r>
          </w:p>
        </w:tc>
      </w:tr>
      <w:tr w:rsidR="00875836" w:rsidRPr="00875836" w14:paraId="0D06E6AC" w14:textId="77777777" w:rsidTr="00875836">
        <w:trPr>
          <w:trHeight w:val="320"/>
        </w:trPr>
        <w:tc>
          <w:tcPr>
            <w:tcW w:w="1419" w:type="dxa"/>
            <w:hideMark/>
          </w:tcPr>
          <w:p w14:paraId="46600D91"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6DF5541B"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Male</w:t>
            </w:r>
          </w:p>
        </w:tc>
        <w:tc>
          <w:tcPr>
            <w:tcW w:w="964" w:type="dxa"/>
            <w:hideMark/>
          </w:tcPr>
          <w:p w14:paraId="77A8873E"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21605</w:t>
            </w:r>
          </w:p>
        </w:tc>
        <w:tc>
          <w:tcPr>
            <w:tcW w:w="1084" w:type="dxa"/>
            <w:hideMark/>
          </w:tcPr>
          <w:p w14:paraId="1759440C"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1922</w:t>
            </w:r>
          </w:p>
        </w:tc>
        <w:tc>
          <w:tcPr>
            <w:tcW w:w="712" w:type="dxa"/>
            <w:hideMark/>
          </w:tcPr>
          <w:p w14:paraId="569430D6"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3261</w:t>
            </w:r>
          </w:p>
        </w:tc>
        <w:tc>
          <w:tcPr>
            <w:tcW w:w="905" w:type="dxa"/>
            <w:hideMark/>
          </w:tcPr>
          <w:p w14:paraId="0E226F9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429</w:t>
            </w:r>
          </w:p>
        </w:tc>
        <w:tc>
          <w:tcPr>
            <w:tcW w:w="949" w:type="dxa"/>
            <w:hideMark/>
          </w:tcPr>
          <w:p w14:paraId="5A1FB245"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9.78%</w:t>
            </w:r>
          </w:p>
        </w:tc>
      </w:tr>
      <w:tr w:rsidR="00875836" w:rsidRPr="00875836" w14:paraId="0BAF1E98" w14:textId="77777777" w:rsidTr="00875836">
        <w:trPr>
          <w:trHeight w:val="310"/>
        </w:trPr>
        <w:tc>
          <w:tcPr>
            <w:tcW w:w="1419" w:type="dxa"/>
            <w:hideMark/>
          </w:tcPr>
          <w:p w14:paraId="5CCC13A6"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1C1AA5DE"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w:t>
            </w:r>
          </w:p>
        </w:tc>
        <w:tc>
          <w:tcPr>
            <w:tcW w:w="964" w:type="dxa"/>
            <w:hideMark/>
          </w:tcPr>
          <w:p w14:paraId="4559F1F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49689</w:t>
            </w:r>
          </w:p>
        </w:tc>
        <w:tc>
          <w:tcPr>
            <w:tcW w:w="1084" w:type="dxa"/>
            <w:hideMark/>
          </w:tcPr>
          <w:p w14:paraId="26A4730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4385</w:t>
            </w:r>
          </w:p>
        </w:tc>
        <w:tc>
          <w:tcPr>
            <w:tcW w:w="712" w:type="dxa"/>
            <w:hideMark/>
          </w:tcPr>
          <w:p w14:paraId="0DDE061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5466</w:t>
            </w:r>
          </w:p>
        </w:tc>
        <w:tc>
          <w:tcPr>
            <w:tcW w:w="905" w:type="dxa"/>
            <w:hideMark/>
          </w:tcPr>
          <w:p w14:paraId="199CC12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730</w:t>
            </w:r>
          </w:p>
        </w:tc>
        <w:tc>
          <w:tcPr>
            <w:tcW w:w="949" w:type="dxa"/>
            <w:hideMark/>
          </w:tcPr>
          <w:p w14:paraId="2DAAC75E"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16.64%</w:t>
            </w:r>
          </w:p>
        </w:tc>
      </w:tr>
      <w:tr w:rsidR="00875836" w:rsidRPr="00875836" w14:paraId="22B78A0E" w14:textId="77777777" w:rsidTr="00875836">
        <w:trPr>
          <w:trHeight w:val="910"/>
        </w:trPr>
        <w:tc>
          <w:tcPr>
            <w:tcW w:w="1419" w:type="dxa"/>
            <w:hideMark/>
          </w:tcPr>
          <w:p w14:paraId="58355E98"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Alcohol Consumption</w:t>
            </w:r>
          </w:p>
        </w:tc>
        <w:tc>
          <w:tcPr>
            <w:tcW w:w="847" w:type="dxa"/>
            <w:hideMark/>
          </w:tcPr>
          <w:p w14:paraId="127AE1F6"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Female</w:t>
            </w:r>
          </w:p>
        </w:tc>
        <w:tc>
          <w:tcPr>
            <w:tcW w:w="964" w:type="dxa"/>
            <w:hideMark/>
          </w:tcPr>
          <w:p w14:paraId="0F3B4DB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28082</w:t>
            </w:r>
          </w:p>
        </w:tc>
        <w:tc>
          <w:tcPr>
            <w:tcW w:w="1084" w:type="dxa"/>
            <w:hideMark/>
          </w:tcPr>
          <w:p w14:paraId="71206966"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2463</w:t>
            </w:r>
          </w:p>
        </w:tc>
        <w:tc>
          <w:tcPr>
            <w:tcW w:w="712" w:type="dxa"/>
            <w:hideMark/>
          </w:tcPr>
          <w:p w14:paraId="03784FB1"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363</w:t>
            </w:r>
          </w:p>
        </w:tc>
        <w:tc>
          <w:tcPr>
            <w:tcW w:w="905" w:type="dxa"/>
            <w:hideMark/>
          </w:tcPr>
          <w:p w14:paraId="3995E07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43</w:t>
            </w:r>
          </w:p>
        </w:tc>
        <w:tc>
          <w:tcPr>
            <w:tcW w:w="949" w:type="dxa"/>
            <w:hideMark/>
          </w:tcPr>
          <w:p w14:paraId="45D1F52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0.40%</w:t>
            </w:r>
          </w:p>
        </w:tc>
      </w:tr>
      <w:tr w:rsidR="00875836" w:rsidRPr="00875836" w14:paraId="4D8B8B6E" w14:textId="77777777" w:rsidTr="00875836">
        <w:trPr>
          <w:trHeight w:val="320"/>
        </w:trPr>
        <w:tc>
          <w:tcPr>
            <w:tcW w:w="1419" w:type="dxa"/>
            <w:hideMark/>
          </w:tcPr>
          <w:p w14:paraId="7637F23B"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5B54B5A5"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Male</w:t>
            </w:r>
          </w:p>
        </w:tc>
        <w:tc>
          <w:tcPr>
            <w:tcW w:w="964" w:type="dxa"/>
            <w:hideMark/>
          </w:tcPr>
          <w:p w14:paraId="5BC970A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21607</w:t>
            </w:r>
          </w:p>
        </w:tc>
        <w:tc>
          <w:tcPr>
            <w:tcW w:w="1084" w:type="dxa"/>
            <w:hideMark/>
          </w:tcPr>
          <w:p w14:paraId="59F39E38"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1922</w:t>
            </w:r>
          </w:p>
        </w:tc>
        <w:tc>
          <w:tcPr>
            <w:tcW w:w="712" w:type="dxa"/>
            <w:hideMark/>
          </w:tcPr>
          <w:p w14:paraId="7209A53B"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1914</w:t>
            </w:r>
          </w:p>
        </w:tc>
        <w:tc>
          <w:tcPr>
            <w:tcW w:w="905" w:type="dxa"/>
            <w:hideMark/>
          </w:tcPr>
          <w:p w14:paraId="7714AEEF"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245</w:t>
            </w:r>
          </w:p>
        </w:tc>
        <w:tc>
          <w:tcPr>
            <w:tcW w:w="949" w:type="dxa"/>
            <w:hideMark/>
          </w:tcPr>
          <w:p w14:paraId="6F87F33E"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2.90%</w:t>
            </w:r>
          </w:p>
        </w:tc>
      </w:tr>
      <w:tr w:rsidR="00875836" w:rsidRPr="00875836" w14:paraId="65FED16B" w14:textId="77777777" w:rsidTr="00875836">
        <w:trPr>
          <w:trHeight w:val="610"/>
        </w:trPr>
        <w:tc>
          <w:tcPr>
            <w:tcW w:w="1419" w:type="dxa"/>
            <w:hideMark/>
          </w:tcPr>
          <w:p w14:paraId="7D70E92D"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Alcohol Total</w:t>
            </w:r>
          </w:p>
        </w:tc>
        <w:tc>
          <w:tcPr>
            <w:tcW w:w="847" w:type="dxa"/>
            <w:hideMark/>
          </w:tcPr>
          <w:p w14:paraId="6FAE6AF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w:t>
            </w:r>
          </w:p>
        </w:tc>
        <w:tc>
          <w:tcPr>
            <w:tcW w:w="964" w:type="dxa"/>
            <w:hideMark/>
          </w:tcPr>
          <w:p w14:paraId="114A7D3F"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49689</w:t>
            </w:r>
          </w:p>
        </w:tc>
        <w:tc>
          <w:tcPr>
            <w:tcW w:w="1084" w:type="dxa"/>
            <w:hideMark/>
          </w:tcPr>
          <w:p w14:paraId="71B38292"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4385</w:t>
            </w:r>
          </w:p>
        </w:tc>
        <w:tc>
          <w:tcPr>
            <w:tcW w:w="712" w:type="dxa"/>
            <w:hideMark/>
          </w:tcPr>
          <w:p w14:paraId="0EA50D1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2277</w:t>
            </w:r>
          </w:p>
        </w:tc>
        <w:tc>
          <w:tcPr>
            <w:tcW w:w="905" w:type="dxa"/>
            <w:hideMark/>
          </w:tcPr>
          <w:p w14:paraId="6CF3A3C9"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288</w:t>
            </w:r>
          </w:p>
        </w:tc>
        <w:tc>
          <w:tcPr>
            <w:tcW w:w="949" w:type="dxa"/>
            <w:hideMark/>
          </w:tcPr>
          <w:p w14:paraId="59DF48F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3.30%</w:t>
            </w:r>
          </w:p>
        </w:tc>
      </w:tr>
    </w:tbl>
    <w:p w14:paraId="7ADC6A37" w14:textId="77777777" w:rsidR="001A46FB" w:rsidRPr="00E30DDA" w:rsidRDefault="001A46FB" w:rsidP="00CB2010">
      <w:pPr>
        <w:jc w:val="center"/>
        <w:rPr>
          <w:rFonts w:ascii="Times New Roman" w:hAnsi="Times New Roman" w:cs="Times New Roman"/>
          <w:sz w:val="24"/>
          <w:szCs w:val="24"/>
        </w:rPr>
      </w:pPr>
    </w:p>
    <w:p w14:paraId="7B468662" w14:textId="3CF48FCB" w:rsidR="00C11B1B" w:rsidRPr="00E30DDA" w:rsidRDefault="00C11B1B" w:rsidP="0085436C">
      <w:pPr>
        <w:jc w:val="center"/>
        <w:rPr>
          <w:rFonts w:ascii="Times New Roman" w:hAnsi="Times New Roman" w:cs="Times New Roman"/>
          <w:sz w:val="24"/>
          <w:szCs w:val="24"/>
        </w:rPr>
      </w:pPr>
      <w:r w:rsidRPr="00E30DDA">
        <w:rPr>
          <w:rFonts w:ascii="Times New Roman" w:hAnsi="Times New Roman" w:cs="Times New Roman"/>
          <w:sz w:val="24"/>
          <w:szCs w:val="24"/>
        </w:rPr>
        <w:t xml:space="preserve">Table 2: </w:t>
      </w:r>
      <w:r w:rsidR="0085436C" w:rsidRPr="00E30DDA">
        <w:rPr>
          <w:rFonts w:ascii="Times New Roman" w:hAnsi="Times New Roman" w:cs="Times New Roman"/>
          <w:sz w:val="24"/>
          <w:szCs w:val="24"/>
        </w:rPr>
        <w:t>A total of 49689 individuals means age of 43.9 year Male (</w:t>
      </w:r>
      <w:r w:rsidR="008C1E64">
        <w:rPr>
          <w:rFonts w:ascii="Times New Roman" w:hAnsi="Times New Roman" w:cs="Times New Roman"/>
          <w:sz w:val="24"/>
          <w:szCs w:val="24"/>
        </w:rPr>
        <w:t>43.4</w:t>
      </w:r>
      <w:r w:rsidR="0085436C" w:rsidRPr="00E30DDA">
        <w:rPr>
          <w:rFonts w:ascii="Times New Roman" w:hAnsi="Times New Roman" w:cs="Times New Roman"/>
          <w:sz w:val="24"/>
          <w:szCs w:val="24"/>
        </w:rPr>
        <w:t>%) and female (</w:t>
      </w:r>
      <w:r w:rsidR="00C427A5">
        <w:rPr>
          <w:rFonts w:ascii="Times New Roman" w:hAnsi="Times New Roman" w:cs="Times New Roman"/>
          <w:sz w:val="24"/>
          <w:szCs w:val="24"/>
        </w:rPr>
        <w:t>56.5</w:t>
      </w:r>
      <w:proofErr w:type="gramStart"/>
      <w:r w:rsidR="0085436C" w:rsidRPr="00E30DDA">
        <w:rPr>
          <w:rFonts w:ascii="Times New Roman" w:hAnsi="Times New Roman" w:cs="Times New Roman"/>
          <w:sz w:val="24"/>
          <w:szCs w:val="24"/>
        </w:rPr>
        <w:t>% )</w:t>
      </w:r>
      <w:proofErr w:type="gramEnd"/>
      <w:r w:rsidR="0085436C" w:rsidRPr="00E30DDA">
        <w:rPr>
          <w:rFonts w:ascii="Times New Roman" w:hAnsi="Times New Roman" w:cs="Times New Roman"/>
          <w:sz w:val="24"/>
          <w:szCs w:val="24"/>
        </w:rPr>
        <w:t xml:space="preserve"> with age mean 41.4 underwent Diabetic Screening. </w:t>
      </w:r>
    </w:p>
    <w:p w14:paraId="58F22512" w14:textId="262C7D11" w:rsidR="00FF2775" w:rsidRPr="00E30DDA" w:rsidRDefault="00FF2775" w:rsidP="00FF2775">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In the diabetes screening group, </w:t>
      </w:r>
      <w:r w:rsidR="001605C1" w:rsidRPr="00E30DDA">
        <w:rPr>
          <w:rFonts w:ascii="Times New Roman" w:hAnsi="Times New Roman" w:cs="Times New Roman"/>
          <w:sz w:val="24"/>
          <w:szCs w:val="24"/>
        </w:rPr>
        <w:t xml:space="preserve">49,686 </w:t>
      </w:r>
      <w:r w:rsidRPr="00E30DDA">
        <w:rPr>
          <w:rFonts w:ascii="Times New Roman" w:hAnsi="Times New Roman" w:cs="Times New Roman"/>
          <w:sz w:val="24"/>
          <w:szCs w:val="24"/>
          <w:lang w:val="en-IN"/>
        </w:rPr>
        <w:t xml:space="preserve">individuals were tested, comprising </w:t>
      </w:r>
      <w:r w:rsidR="00C427A5">
        <w:rPr>
          <w:rFonts w:ascii="Times New Roman" w:hAnsi="Times New Roman" w:cs="Times New Roman"/>
          <w:sz w:val="24"/>
          <w:szCs w:val="24"/>
          <w:lang w:val="en-IN"/>
        </w:rPr>
        <w:t>43.4</w:t>
      </w:r>
      <w:r w:rsidRPr="00E30DDA">
        <w:rPr>
          <w:rFonts w:ascii="Times New Roman" w:hAnsi="Times New Roman" w:cs="Times New Roman"/>
          <w:sz w:val="24"/>
          <w:szCs w:val="24"/>
          <w:lang w:val="en-IN"/>
        </w:rPr>
        <w:t xml:space="preserve">% males and </w:t>
      </w:r>
      <w:r w:rsidR="00C427A5">
        <w:rPr>
          <w:rFonts w:ascii="Times New Roman" w:hAnsi="Times New Roman" w:cs="Times New Roman"/>
          <w:sz w:val="24"/>
          <w:szCs w:val="24"/>
          <w:lang w:val="en-IN"/>
        </w:rPr>
        <w:t>56.5</w:t>
      </w:r>
      <w:r w:rsidRPr="00E30DDA">
        <w:rPr>
          <w:rFonts w:ascii="Times New Roman" w:hAnsi="Times New Roman" w:cs="Times New Roman"/>
          <w:sz w:val="24"/>
          <w:szCs w:val="24"/>
          <w:lang w:val="en-IN"/>
        </w:rPr>
        <w:t>% females</w:t>
      </w:r>
      <w:r w:rsidR="00172CE3" w:rsidRPr="00E30DDA">
        <w:rPr>
          <w:rFonts w:ascii="Times New Roman" w:hAnsi="Times New Roman" w:cs="Times New Roman"/>
          <w:sz w:val="24"/>
          <w:szCs w:val="24"/>
          <w:lang w:val="en-IN"/>
        </w:rPr>
        <w:t xml:space="preserve"> with Mean age as 43.9 yr in male and 41.4 yr in female</w:t>
      </w:r>
      <w:r w:rsidRPr="00E30DDA">
        <w:rPr>
          <w:rFonts w:ascii="Times New Roman" w:hAnsi="Times New Roman" w:cs="Times New Roman"/>
          <w:sz w:val="24"/>
          <w:szCs w:val="24"/>
          <w:lang w:val="en-IN"/>
        </w:rPr>
        <w:t xml:space="preserve">. Abnormal glucose levels were found in </w:t>
      </w:r>
      <w:r w:rsidR="00AA4EA3">
        <w:rPr>
          <w:rFonts w:ascii="Times New Roman" w:hAnsi="Times New Roman" w:cs="Times New Roman"/>
          <w:sz w:val="24"/>
          <w:szCs w:val="24"/>
          <w:lang w:val="en-IN"/>
        </w:rPr>
        <w:t xml:space="preserve">4385 (8.8%) </w:t>
      </w:r>
      <w:r w:rsidRPr="00E30DDA">
        <w:rPr>
          <w:rFonts w:ascii="Times New Roman" w:hAnsi="Times New Roman" w:cs="Times New Roman"/>
          <w:sz w:val="24"/>
          <w:szCs w:val="24"/>
          <w:lang w:val="en-IN"/>
        </w:rPr>
        <w:t>individuals, with 4</w:t>
      </w:r>
      <w:r w:rsidR="00AA4EA3">
        <w:rPr>
          <w:rFonts w:ascii="Times New Roman" w:hAnsi="Times New Roman" w:cs="Times New Roman"/>
          <w:sz w:val="24"/>
          <w:szCs w:val="24"/>
          <w:lang w:val="en-IN"/>
        </w:rPr>
        <w:t>3.4</w:t>
      </w:r>
      <w:r w:rsidRPr="00E30DDA">
        <w:rPr>
          <w:rFonts w:ascii="Times New Roman" w:hAnsi="Times New Roman" w:cs="Times New Roman"/>
          <w:sz w:val="24"/>
          <w:szCs w:val="24"/>
          <w:lang w:val="en-IN"/>
        </w:rPr>
        <w:t>% of abnormal cases in males and 56</w:t>
      </w:r>
      <w:r w:rsidR="00AA4EA3">
        <w:rPr>
          <w:rFonts w:ascii="Times New Roman" w:hAnsi="Times New Roman" w:cs="Times New Roman"/>
          <w:sz w:val="24"/>
          <w:szCs w:val="24"/>
          <w:lang w:val="en-IN"/>
        </w:rPr>
        <w:t>.1</w:t>
      </w:r>
      <w:r w:rsidRPr="00E30DDA">
        <w:rPr>
          <w:rFonts w:ascii="Times New Roman" w:hAnsi="Times New Roman" w:cs="Times New Roman"/>
          <w:sz w:val="24"/>
          <w:szCs w:val="24"/>
          <w:lang w:val="en-IN"/>
        </w:rPr>
        <w:t xml:space="preserve">% in females. </w:t>
      </w:r>
      <w:r w:rsidR="00AA4EA3">
        <w:rPr>
          <w:rFonts w:ascii="Times New Roman" w:hAnsi="Times New Roman" w:cs="Times New Roman"/>
          <w:sz w:val="24"/>
          <w:szCs w:val="24"/>
          <w:lang w:val="en-IN"/>
        </w:rPr>
        <w:t xml:space="preserve">abnormal </w:t>
      </w:r>
      <w:r w:rsidR="00AA4EA3" w:rsidRPr="00E30DDA">
        <w:rPr>
          <w:rFonts w:ascii="Times New Roman" w:hAnsi="Times New Roman" w:cs="Times New Roman"/>
          <w:sz w:val="24"/>
          <w:szCs w:val="24"/>
          <w:lang w:val="en-IN"/>
        </w:rPr>
        <w:t>new</w:t>
      </w:r>
      <w:r w:rsidRPr="00E30DDA">
        <w:rPr>
          <w:rFonts w:ascii="Times New Roman" w:hAnsi="Times New Roman" w:cs="Times New Roman"/>
          <w:sz w:val="24"/>
          <w:szCs w:val="24"/>
          <w:lang w:val="en-IN"/>
        </w:rPr>
        <w:t xml:space="preserve"> cases </w:t>
      </w:r>
      <w:r w:rsidR="00CB2010" w:rsidRPr="00E30DDA">
        <w:rPr>
          <w:rFonts w:ascii="Times New Roman" w:hAnsi="Times New Roman" w:cs="Times New Roman"/>
          <w:sz w:val="24"/>
          <w:szCs w:val="24"/>
          <w:lang w:val="en-IN"/>
        </w:rPr>
        <w:t>totalled</w:t>
      </w:r>
      <w:r w:rsidRPr="00E30DDA">
        <w:rPr>
          <w:rFonts w:ascii="Times New Roman" w:hAnsi="Times New Roman" w:cs="Times New Roman"/>
          <w:sz w:val="24"/>
          <w:szCs w:val="24"/>
          <w:lang w:val="en-IN"/>
        </w:rPr>
        <w:t xml:space="preserve"> 2,21</w:t>
      </w:r>
      <w:r w:rsidR="00AA4EA3">
        <w:rPr>
          <w:rFonts w:ascii="Times New Roman" w:hAnsi="Times New Roman" w:cs="Times New Roman"/>
          <w:sz w:val="24"/>
          <w:szCs w:val="24"/>
          <w:lang w:val="en-IN"/>
        </w:rPr>
        <w:t>3</w:t>
      </w:r>
      <w:r w:rsidRPr="00E30DDA">
        <w:rPr>
          <w:rFonts w:ascii="Times New Roman" w:hAnsi="Times New Roman" w:cs="Times New Roman"/>
          <w:sz w:val="24"/>
          <w:szCs w:val="24"/>
          <w:lang w:val="en-IN"/>
        </w:rPr>
        <w:t xml:space="preserve"> (5</w:t>
      </w:r>
      <w:r w:rsidR="00AA4EA3">
        <w:rPr>
          <w:rFonts w:ascii="Times New Roman" w:hAnsi="Times New Roman" w:cs="Times New Roman"/>
          <w:sz w:val="24"/>
          <w:szCs w:val="24"/>
          <w:lang w:val="en-IN"/>
        </w:rPr>
        <w:t>0.5</w:t>
      </w:r>
      <w:r w:rsidRPr="00E30DDA">
        <w:rPr>
          <w:rFonts w:ascii="Times New Roman" w:hAnsi="Times New Roman" w:cs="Times New Roman"/>
          <w:sz w:val="24"/>
          <w:szCs w:val="24"/>
          <w:lang w:val="en-IN"/>
        </w:rPr>
        <w:t xml:space="preserve">%). Lifestyle data revealed that </w:t>
      </w:r>
      <w:r w:rsidR="00875836">
        <w:rPr>
          <w:rFonts w:ascii="Times New Roman" w:hAnsi="Times New Roman" w:cs="Times New Roman"/>
          <w:sz w:val="24"/>
          <w:szCs w:val="24"/>
          <w:lang w:val="en-IN"/>
        </w:rPr>
        <w:t>16.64</w:t>
      </w:r>
      <w:r w:rsidRPr="00E30DDA">
        <w:rPr>
          <w:rFonts w:ascii="Times New Roman" w:hAnsi="Times New Roman" w:cs="Times New Roman"/>
          <w:sz w:val="24"/>
          <w:szCs w:val="24"/>
          <w:lang w:val="en-IN"/>
        </w:rPr>
        <w:t xml:space="preserve">% of those with abnormal glucose levels reported tobacco use, </w:t>
      </w:r>
      <w:r w:rsidR="00875836">
        <w:rPr>
          <w:rFonts w:ascii="Times New Roman" w:hAnsi="Times New Roman" w:cs="Times New Roman"/>
          <w:sz w:val="24"/>
          <w:szCs w:val="24"/>
          <w:lang w:val="en-IN"/>
        </w:rPr>
        <w:t>5.29</w:t>
      </w:r>
      <w:r w:rsidRPr="00E30DDA">
        <w:rPr>
          <w:rFonts w:ascii="Times New Roman" w:hAnsi="Times New Roman" w:cs="Times New Roman"/>
          <w:sz w:val="24"/>
          <w:szCs w:val="24"/>
          <w:lang w:val="en-IN"/>
        </w:rPr>
        <w:t xml:space="preserve">% had a history of smoking, and </w:t>
      </w:r>
      <w:r w:rsidR="00875836">
        <w:rPr>
          <w:rFonts w:ascii="Times New Roman" w:hAnsi="Times New Roman" w:cs="Times New Roman"/>
          <w:sz w:val="24"/>
          <w:szCs w:val="24"/>
          <w:lang w:val="en-IN"/>
        </w:rPr>
        <w:t xml:space="preserve">3.30 </w:t>
      </w:r>
      <w:r w:rsidRPr="00E30DDA">
        <w:rPr>
          <w:rFonts w:ascii="Times New Roman" w:hAnsi="Times New Roman" w:cs="Times New Roman"/>
          <w:sz w:val="24"/>
          <w:szCs w:val="24"/>
          <w:lang w:val="en-IN"/>
        </w:rPr>
        <w:t xml:space="preserve">% consumed alcohol. Although diabetes had a lower overall prevalence compared to hypertension, it remained a significant concern, particularly given the large number of previously undiagnosed cases. The door-to-door POCT approach proved valuable in identifying undetected cases, especially in middle-aged adults, and the strong association with smoking underlines the need for targeted </w:t>
      </w:r>
      <w:r w:rsidR="0085436C" w:rsidRPr="00E30DDA">
        <w:rPr>
          <w:rFonts w:ascii="Times New Roman" w:hAnsi="Times New Roman" w:cs="Times New Roman"/>
          <w:sz w:val="24"/>
          <w:szCs w:val="24"/>
          <w:lang w:val="en-IN"/>
        </w:rPr>
        <w:t>behavioural</w:t>
      </w:r>
      <w:r w:rsidRPr="00E30DDA">
        <w:rPr>
          <w:rFonts w:ascii="Times New Roman" w:hAnsi="Times New Roman" w:cs="Times New Roman"/>
          <w:sz w:val="24"/>
          <w:szCs w:val="24"/>
          <w:lang w:val="en-IN"/>
        </w:rPr>
        <w:t xml:space="preserve"> interventions.</w:t>
      </w:r>
    </w:p>
    <w:tbl>
      <w:tblPr>
        <w:tblStyle w:val="TableGrid"/>
        <w:tblW w:w="0" w:type="auto"/>
        <w:tblLook w:val="04A0" w:firstRow="1" w:lastRow="0" w:firstColumn="1" w:lastColumn="0" w:noHBand="0" w:noVBand="1"/>
      </w:tblPr>
      <w:tblGrid>
        <w:gridCol w:w="1604"/>
        <w:gridCol w:w="990"/>
        <w:gridCol w:w="1150"/>
        <w:gridCol w:w="1470"/>
        <w:gridCol w:w="803"/>
        <w:gridCol w:w="1016"/>
        <w:gridCol w:w="1016"/>
      </w:tblGrid>
      <w:tr w:rsidR="008F6390" w:rsidRPr="008F6390" w14:paraId="1DD38F02" w14:textId="77777777" w:rsidTr="008F6390">
        <w:trPr>
          <w:trHeight w:val="1510"/>
        </w:trPr>
        <w:tc>
          <w:tcPr>
            <w:tcW w:w="1418" w:type="dxa"/>
            <w:hideMark/>
          </w:tcPr>
          <w:p w14:paraId="1CDEA0B2"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Category</w:t>
            </w:r>
          </w:p>
        </w:tc>
        <w:tc>
          <w:tcPr>
            <w:tcW w:w="804" w:type="dxa"/>
            <w:hideMark/>
          </w:tcPr>
          <w:p w14:paraId="23C781B7"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Gender</w:t>
            </w:r>
          </w:p>
        </w:tc>
        <w:tc>
          <w:tcPr>
            <w:tcW w:w="964" w:type="dxa"/>
            <w:hideMark/>
          </w:tcPr>
          <w:p w14:paraId="37C81409"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 Screened</w:t>
            </w:r>
          </w:p>
        </w:tc>
        <w:tc>
          <w:tcPr>
            <w:tcW w:w="1404" w:type="dxa"/>
            <w:hideMark/>
          </w:tcPr>
          <w:p w14:paraId="11B56CD9" w14:textId="50FC454D"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 xml:space="preserve">Abnormal </w:t>
            </w:r>
            <w:r w:rsidR="001026FD" w:rsidRPr="008F6390">
              <w:rPr>
                <w:rFonts w:ascii="Times New Roman" w:hAnsi="Times New Roman" w:cs="Times New Roman"/>
                <w:b/>
                <w:bCs/>
                <w:sz w:val="24"/>
                <w:szCs w:val="24"/>
              </w:rPr>
              <w:t>Hemoglobin</w:t>
            </w:r>
            <w:r w:rsidRPr="008F6390">
              <w:rPr>
                <w:rFonts w:ascii="Times New Roman" w:hAnsi="Times New Roman" w:cs="Times New Roman"/>
                <w:b/>
                <w:bCs/>
                <w:sz w:val="24"/>
                <w:szCs w:val="24"/>
              </w:rPr>
              <w:t xml:space="preserve"> levels</w:t>
            </w:r>
          </w:p>
        </w:tc>
        <w:tc>
          <w:tcPr>
            <w:tcW w:w="617" w:type="dxa"/>
            <w:hideMark/>
          </w:tcPr>
          <w:p w14:paraId="781D708F"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 with Habit</w:t>
            </w:r>
          </w:p>
        </w:tc>
        <w:tc>
          <w:tcPr>
            <w:tcW w:w="950" w:type="dxa"/>
            <w:hideMark/>
          </w:tcPr>
          <w:p w14:paraId="1C7412D7" w14:textId="64ED7C81" w:rsidR="008F6390" w:rsidRPr="008F6390" w:rsidRDefault="001026FD"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Anemia</w:t>
            </w:r>
            <w:r w:rsidR="008F6390" w:rsidRPr="008F6390">
              <w:rPr>
                <w:rFonts w:ascii="Times New Roman" w:hAnsi="Times New Roman" w:cs="Times New Roman"/>
                <w:b/>
                <w:bCs/>
                <w:sz w:val="24"/>
                <w:szCs w:val="24"/>
              </w:rPr>
              <w:t xml:space="preserve"> with Habit</w:t>
            </w:r>
          </w:p>
        </w:tc>
        <w:tc>
          <w:tcPr>
            <w:tcW w:w="950" w:type="dxa"/>
            <w:hideMark/>
          </w:tcPr>
          <w:p w14:paraId="2C03835F" w14:textId="5677BCFD"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 xml:space="preserve">% </w:t>
            </w:r>
            <w:r w:rsidR="001026FD" w:rsidRPr="008F6390">
              <w:rPr>
                <w:rFonts w:ascii="Times New Roman" w:hAnsi="Times New Roman" w:cs="Times New Roman"/>
                <w:b/>
                <w:bCs/>
                <w:sz w:val="24"/>
                <w:szCs w:val="24"/>
              </w:rPr>
              <w:t>Anemia</w:t>
            </w:r>
            <w:r w:rsidRPr="008F6390">
              <w:rPr>
                <w:rFonts w:ascii="Times New Roman" w:hAnsi="Times New Roman" w:cs="Times New Roman"/>
                <w:b/>
                <w:bCs/>
                <w:sz w:val="24"/>
                <w:szCs w:val="24"/>
              </w:rPr>
              <w:t xml:space="preserve"> within Habit Group</w:t>
            </w:r>
          </w:p>
        </w:tc>
      </w:tr>
      <w:tr w:rsidR="008F6390" w:rsidRPr="008F6390" w14:paraId="580797CB" w14:textId="77777777" w:rsidTr="008F6390">
        <w:trPr>
          <w:trHeight w:val="610"/>
        </w:trPr>
        <w:tc>
          <w:tcPr>
            <w:tcW w:w="1418" w:type="dxa"/>
            <w:hideMark/>
          </w:tcPr>
          <w:p w14:paraId="5821FBBE"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Smoking Habit</w:t>
            </w:r>
          </w:p>
        </w:tc>
        <w:tc>
          <w:tcPr>
            <w:tcW w:w="804" w:type="dxa"/>
            <w:hideMark/>
          </w:tcPr>
          <w:p w14:paraId="2AC394D2"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Female</w:t>
            </w:r>
          </w:p>
        </w:tc>
        <w:tc>
          <w:tcPr>
            <w:tcW w:w="964" w:type="dxa"/>
            <w:hideMark/>
          </w:tcPr>
          <w:p w14:paraId="2C310C3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25,182</w:t>
            </w:r>
          </w:p>
        </w:tc>
        <w:tc>
          <w:tcPr>
            <w:tcW w:w="1404" w:type="dxa"/>
            <w:hideMark/>
          </w:tcPr>
          <w:p w14:paraId="70AF52BA"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5,370</w:t>
            </w:r>
          </w:p>
        </w:tc>
        <w:tc>
          <w:tcPr>
            <w:tcW w:w="617" w:type="dxa"/>
            <w:hideMark/>
          </w:tcPr>
          <w:p w14:paraId="1105B038"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203</w:t>
            </w:r>
          </w:p>
        </w:tc>
        <w:tc>
          <w:tcPr>
            <w:tcW w:w="950" w:type="dxa"/>
            <w:hideMark/>
          </w:tcPr>
          <w:p w14:paraId="2246178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31</w:t>
            </w:r>
          </w:p>
        </w:tc>
        <w:tc>
          <w:tcPr>
            <w:tcW w:w="950" w:type="dxa"/>
            <w:hideMark/>
          </w:tcPr>
          <w:p w14:paraId="760279C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0.40%</w:t>
            </w:r>
          </w:p>
        </w:tc>
      </w:tr>
      <w:tr w:rsidR="008F6390" w:rsidRPr="008F6390" w14:paraId="1AA78642" w14:textId="77777777" w:rsidTr="008F6390">
        <w:trPr>
          <w:trHeight w:val="320"/>
        </w:trPr>
        <w:tc>
          <w:tcPr>
            <w:tcW w:w="1418" w:type="dxa"/>
            <w:hideMark/>
          </w:tcPr>
          <w:p w14:paraId="36573D5C"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804" w:type="dxa"/>
            <w:hideMark/>
          </w:tcPr>
          <w:p w14:paraId="4BD9BA81"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Male</w:t>
            </w:r>
          </w:p>
        </w:tc>
        <w:tc>
          <w:tcPr>
            <w:tcW w:w="964" w:type="dxa"/>
            <w:hideMark/>
          </w:tcPr>
          <w:p w14:paraId="7AD4B6A9"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19,682</w:t>
            </w:r>
          </w:p>
        </w:tc>
        <w:tc>
          <w:tcPr>
            <w:tcW w:w="1404" w:type="dxa"/>
            <w:hideMark/>
          </w:tcPr>
          <w:p w14:paraId="4D705C64"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2,245</w:t>
            </w:r>
          </w:p>
        </w:tc>
        <w:tc>
          <w:tcPr>
            <w:tcW w:w="617" w:type="dxa"/>
            <w:hideMark/>
          </w:tcPr>
          <w:p w14:paraId="6A9550DA"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1,424</w:t>
            </w:r>
          </w:p>
        </w:tc>
        <w:tc>
          <w:tcPr>
            <w:tcW w:w="950" w:type="dxa"/>
            <w:hideMark/>
          </w:tcPr>
          <w:p w14:paraId="7D4BA3F1"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202</w:t>
            </w:r>
          </w:p>
        </w:tc>
        <w:tc>
          <w:tcPr>
            <w:tcW w:w="950" w:type="dxa"/>
            <w:hideMark/>
          </w:tcPr>
          <w:p w14:paraId="59DD5234"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2.65%</w:t>
            </w:r>
          </w:p>
        </w:tc>
      </w:tr>
      <w:tr w:rsidR="008F6390" w:rsidRPr="008F6390" w14:paraId="7CBA0C8B" w14:textId="77777777" w:rsidTr="008F6390">
        <w:trPr>
          <w:trHeight w:val="310"/>
        </w:trPr>
        <w:tc>
          <w:tcPr>
            <w:tcW w:w="1418" w:type="dxa"/>
            <w:hideMark/>
          </w:tcPr>
          <w:p w14:paraId="27D6650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804" w:type="dxa"/>
            <w:hideMark/>
          </w:tcPr>
          <w:p w14:paraId="66ED6E5D"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w:t>
            </w:r>
          </w:p>
        </w:tc>
        <w:tc>
          <w:tcPr>
            <w:tcW w:w="964" w:type="dxa"/>
            <w:hideMark/>
          </w:tcPr>
          <w:p w14:paraId="3DAFDCEC"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44,864</w:t>
            </w:r>
          </w:p>
        </w:tc>
        <w:tc>
          <w:tcPr>
            <w:tcW w:w="1404" w:type="dxa"/>
            <w:hideMark/>
          </w:tcPr>
          <w:p w14:paraId="1EBB1C3C"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7,615</w:t>
            </w:r>
          </w:p>
        </w:tc>
        <w:tc>
          <w:tcPr>
            <w:tcW w:w="617" w:type="dxa"/>
            <w:hideMark/>
          </w:tcPr>
          <w:p w14:paraId="0B36DCC0"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1,627</w:t>
            </w:r>
          </w:p>
        </w:tc>
        <w:tc>
          <w:tcPr>
            <w:tcW w:w="950" w:type="dxa"/>
            <w:hideMark/>
          </w:tcPr>
          <w:p w14:paraId="52BF7902"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233</w:t>
            </w:r>
          </w:p>
        </w:tc>
        <w:tc>
          <w:tcPr>
            <w:tcW w:w="950" w:type="dxa"/>
            <w:hideMark/>
          </w:tcPr>
          <w:p w14:paraId="1692119A"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3.05%</w:t>
            </w:r>
          </w:p>
        </w:tc>
      </w:tr>
      <w:tr w:rsidR="008F6390" w:rsidRPr="008F6390" w14:paraId="779DBE3F" w14:textId="77777777" w:rsidTr="008F6390">
        <w:trPr>
          <w:trHeight w:val="610"/>
        </w:trPr>
        <w:tc>
          <w:tcPr>
            <w:tcW w:w="1418" w:type="dxa"/>
            <w:hideMark/>
          </w:tcPr>
          <w:p w14:paraId="08803B44"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Tobacco Use</w:t>
            </w:r>
          </w:p>
        </w:tc>
        <w:tc>
          <w:tcPr>
            <w:tcW w:w="804" w:type="dxa"/>
            <w:hideMark/>
          </w:tcPr>
          <w:p w14:paraId="3A6E6277"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Female</w:t>
            </w:r>
          </w:p>
        </w:tc>
        <w:tc>
          <w:tcPr>
            <w:tcW w:w="964" w:type="dxa"/>
            <w:hideMark/>
          </w:tcPr>
          <w:p w14:paraId="37C4430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25,182</w:t>
            </w:r>
          </w:p>
        </w:tc>
        <w:tc>
          <w:tcPr>
            <w:tcW w:w="1404" w:type="dxa"/>
            <w:hideMark/>
          </w:tcPr>
          <w:p w14:paraId="7F4B33AF"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5,370</w:t>
            </w:r>
          </w:p>
        </w:tc>
        <w:tc>
          <w:tcPr>
            <w:tcW w:w="617" w:type="dxa"/>
            <w:hideMark/>
          </w:tcPr>
          <w:p w14:paraId="030AB4D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2,111</w:t>
            </w:r>
          </w:p>
        </w:tc>
        <w:tc>
          <w:tcPr>
            <w:tcW w:w="950" w:type="dxa"/>
            <w:hideMark/>
          </w:tcPr>
          <w:p w14:paraId="4CC95887"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790</w:t>
            </w:r>
          </w:p>
        </w:tc>
        <w:tc>
          <w:tcPr>
            <w:tcW w:w="950" w:type="dxa"/>
            <w:hideMark/>
          </w:tcPr>
          <w:p w14:paraId="63560F81"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10.37%</w:t>
            </w:r>
          </w:p>
        </w:tc>
      </w:tr>
      <w:tr w:rsidR="008F6390" w:rsidRPr="008F6390" w14:paraId="26CD64F6" w14:textId="77777777" w:rsidTr="008F6390">
        <w:trPr>
          <w:trHeight w:val="320"/>
        </w:trPr>
        <w:tc>
          <w:tcPr>
            <w:tcW w:w="1418" w:type="dxa"/>
            <w:hideMark/>
          </w:tcPr>
          <w:p w14:paraId="799876C9"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lastRenderedPageBreak/>
              <w:t> </w:t>
            </w:r>
          </w:p>
        </w:tc>
        <w:tc>
          <w:tcPr>
            <w:tcW w:w="804" w:type="dxa"/>
            <w:hideMark/>
          </w:tcPr>
          <w:p w14:paraId="6911FF9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Male</w:t>
            </w:r>
          </w:p>
        </w:tc>
        <w:tc>
          <w:tcPr>
            <w:tcW w:w="964" w:type="dxa"/>
            <w:hideMark/>
          </w:tcPr>
          <w:p w14:paraId="7288415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19,682</w:t>
            </w:r>
          </w:p>
        </w:tc>
        <w:tc>
          <w:tcPr>
            <w:tcW w:w="1404" w:type="dxa"/>
            <w:hideMark/>
          </w:tcPr>
          <w:p w14:paraId="703E8FFF"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2,245</w:t>
            </w:r>
          </w:p>
        </w:tc>
        <w:tc>
          <w:tcPr>
            <w:tcW w:w="617" w:type="dxa"/>
            <w:hideMark/>
          </w:tcPr>
          <w:p w14:paraId="2B27263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3,137</w:t>
            </w:r>
          </w:p>
        </w:tc>
        <w:tc>
          <w:tcPr>
            <w:tcW w:w="950" w:type="dxa"/>
            <w:hideMark/>
          </w:tcPr>
          <w:p w14:paraId="17F2F51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517</w:t>
            </w:r>
          </w:p>
        </w:tc>
        <w:tc>
          <w:tcPr>
            <w:tcW w:w="950" w:type="dxa"/>
            <w:hideMark/>
          </w:tcPr>
          <w:p w14:paraId="5EB026C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6.70%</w:t>
            </w:r>
          </w:p>
        </w:tc>
      </w:tr>
      <w:tr w:rsidR="008F6390" w:rsidRPr="008F6390" w14:paraId="3413CE7B" w14:textId="77777777" w:rsidTr="008F6390">
        <w:trPr>
          <w:trHeight w:val="310"/>
        </w:trPr>
        <w:tc>
          <w:tcPr>
            <w:tcW w:w="1418" w:type="dxa"/>
            <w:hideMark/>
          </w:tcPr>
          <w:p w14:paraId="30A6E6B8"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804" w:type="dxa"/>
            <w:hideMark/>
          </w:tcPr>
          <w:p w14:paraId="0DEDE0E9"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w:t>
            </w:r>
          </w:p>
        </w:tc>
        <w:tc>
          <w:tcPr>
            <w:tcW w:w="964" w:type="dxa"/>
            <w:hideMark/>
          </w:tcPr>
          <w:p w14:paraId="79DA09BB"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44,864</w:t>
            </w:r>
          </w:p>
        </w:tc>
        <w:tc>
          <w:tcPr>
            <w:tcW w:w="1404" w:type="dxa"/>
            <w:hideMark/>
          </w:tcPr>
          <w:p w14:paraId="3CB448E3"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7,615</w:t>
            </w:r>
          </w:p>
        </w:tc>
        <w:tc>
          <w:tcPr>
            <w:tcW w:w="617" w:type="dxa"/>
            <w:hideMark/>
          </w:tcPr>
          <w:p w14:paraId="6B5D1357"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5,248</w:t>
            </w:r>
          </w:p>
        </w:tc>
        <w:tc>
          <w:tcPr>
            <w:tcW w:w="950" w:type="dxa"/>
            <w:hideMark/>
          </w:tcPr>
          <w:p w14:paraId="6CBBD981"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1,307</w:t>
            </w:r>
          </w:p>
        </w:tc>
        <w:tc>
          <w:tcPr>
            <w:tcW w:w="950" w:type="dxa"/>
            <w:hideMark/>
          </w:tcPr>
          <w:p w14:paraId="7D940F17"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17.07%</w:t>
            </w:r>
          </w:p>
        </w:tc>
      </w:tr>
      <w:tr w:rsidR="008F6390" w:rsidRPr="008F6390" w14:paraId="240D845D" w14:textId="77777777" w:rsidTr="008F6390">
        <w:trPr>
          <w:trHeight w:val="910"/>
        </w:trPr>
        <w:tc>
          <w:tcPr>
            <w:tcW w:w="1418" w:type="dxa"/>
            <w:hideMark/>
          </w:tcPr>
          <w:p w14:paraId="76E51886"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Alcohol Consumption</w:t>
            </w:r>
          </w:p>
        </w:tc>
        <w:tc>
          <w:tcPr>
            <w:tcW w:w="804" w:type="dxa"/>
            <w:hideMark/>
          </w:tcPr>
          <w:p w14:paraId="4DEAD6B2"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Female</w:t>
            </w:r>
          </w:p>
        </w:tc>
        <w:tc>
          <w:tcPr>
            <w:tcW w:w="964" w:type="dxa"/>
            <w:hideMark/>
          </w:tcPr>
          <w:p w14:paraId="453B5AFB"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25,182</w:t>
            </w:r>
          </w:p>
        </w:tc>
        <w:tc>
          <w:tcPr>
            <w:tcW w:w="1404" w:type="dxa"/>
            <w:hideMark/>
          </w:tcPr>
          <w:p w14:paraId="111E33B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5,370</w:t>
            </w:r>
          </w:p>
        </w:tc>
        <w:tc>
          <w:tcPr>
            <w:tcW w:w="617" w:type="dxa"/>
            <w:hideMark/>
          </w:tcPr>
          <w:p w14:paraId="4EB3AA5B"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331</w:t>
            </w:r>
          </w:p>
        </w:tc>
        <w:tc>
          <w:tcPr>
            <w:tcW w:w="950" w:type="dxa"/>
            <w:hideMark/>
          </w:tcPr>
          <w:p w14:paraId="5D9B56F3"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97</w:t>
            </w:r>
          </w:p>
        </w:tc>
        <w:tc>
          <w:tcPr>
            <w:tcW w:w="950" w:type="dxa"/>
            <w:hideMark/>
          </w:tcPr>
          <w:p w14:paraId="2B6385B7"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29.30%</w:t>
            </w:r>
          </w:p>
        </w:tc>
      </w:tr>
      <w:tr w:rsidR="008F6390" w:rsidRPr="008F6390" w14:paraId="0E8FA48E" w14:textId="77777777" w:rsidTr="008F6390">
        <w:trPr>
          <w:trHeight w:val="320"/>
        </w:trPr>
        <w:tc>
          <w:tcPr>
            <w:tcW w:w="1418" w:type="dxa"/>
            <w:hideMark/>
          </w:tcPr>
          <w:p w14:paraId="359BB72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804" w:type="dxa"/>
            <w:hideMark/>
          </w:tcPr>
          <w:p w14:paraId="31CF3FEC"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Male</w:t>
            </w:r>
          </w:p>
        </w:tc>
        <w:tc>
          <w:tcPr>
            <w:tcW w:w="964" w:type="dxa"/>
            <w:hideMark/>
          </w:tcPr>
          <w:p w14:paraId="76D3FCE6"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19,682</w:t>
            </w:r>
          </w:p>
        </w:tc>
        <w:tc>
          <w:tcPr>
            <w:tcW w:w="1404" w:type="dxa"/>
            <w:hideMark/>
          </w:tcPr>
          <w:p w14:paraId="3D99FE4A"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2,245</w:t>
            </w:r>
          </w:p>
        </w:tc>
        <w:tc>
          <w:tcPr>
            <w:tcW w:w="617" w:type="dxa"/>
            <w:hideMark/>
          </w:tcPr>
          <w:p w14:paraId="57BD24B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1,738</w:t>
            </w:r>
          </w:p>
        </w:tc>
        <w:tc>
          <w:tcPr>
            <w:tcW w:w="950" w:type="dxa"/>
            <w:hideMark/>
          </w:tcPr>
          <w:p w14:paraId="0E3747EC"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282</w:t>
            </w:r>
          </w:p>
        </w:tc>
        <w:tc>
          <w:tcPr>
            <w:tcW w:w="950" w:type="dxa"/>
            <w:hideMark/>
          </w:tcPr>
          <w:p w14:paraId="79CED35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16.23%</w:t>
            </w:r>
          </w:p>
        </w:tc>
      </w:tr>
      <w:tr w:rsidR="008F6390" w:rsidRPr="008F6390" w14:paraId="1861AAF3" w14:textId="77777777" w:rsidTr="008F6390">
        <w:trPr>
          <w:trHeight w:val="310"/>
        </w:trPr>
        <w:tc>
          <w:tcPr>
            <w:tcW w:w="1418" w:type="dxa"/>
            <w:hideMark/>
          </w:tcPr>
          <w:p w14:paraId="37A8822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804" w:type="dxa"/>
            <w:hideMark/>
          </w:tcPr>
          <w:p w14:paraId="5696C0BA"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w:t>
            </w:r>
          </w:p>
        </w:tc>
        <w:tc>
          <w:tcPr>
            <w:tcW w:w="964" w:type="dxa"/>
            <w:hideMark/>
          </w:tcPr>
          <w:p w14:paraId="706C8B3D"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44,864</w:t>
            </w:r>
          </w:p>
        </w:tc>
        <w:tc>
          <w:tcPr>
            <w:tcW w:w="1404" w:type="dxa"/>
            <w:hideMark/>
          </w:tcPr>
          <w:p w14:paraId="0F26A40A"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7,615</w:t>
            </w:r>
          </w:p>
        </w:tc>
        <w:tc>
          <w:tcPr>
            <w:tcW w:w="617" w:type="dxa"/>
            <w:hideMark/>
          </w:tcPr>
          <w:p w14:paraId="586FD74B"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2,069</w:t>
            </w:r>
          </w:p>
        </w:tc>
        <w:tc>
          <w:tcPr>
            <w:tcW w:w="950" w:type="dxa"/>
            <w:hideMark/>
          </w:tcPr>
          <w:p w14:paraId="55A332E9"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379</w:t>
            </w:r>
          </w:p>
        </w:tc>
        <w:tc>
          <w:tcPr>
            <w:tcW w:w="950" w:type="dxa"/>
            <w:hideMark/>
          </w:tcPr>
          <w:p w14:paraId="70E4E63D"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18.32%</w:t>
            </w:r>
          </w:p>
        </w:tc>
      </w:tr>
    </w:tbl>
    <w:p w14:paraId="2CAB0279" w14:textId="2B8E638F" w:rsidR="00C11B1B" w:rsidRPr="00E30DDA" w:rsidRDefault="00C11B1B" w:rsidP="008F6390">
      <w:pPr>
        <w:jc w:val="center"/>
        <w:rPr>
          <w:rFonts w:ascii="Times New Roman" w:hAnsi="Times New Roman" w:cs="Times New Roman"/>
          <w:sz w:val="24"/>
          <w:szCs w:val="24"/>
        </w:rPr>
      </w:pPr>
      <w:r w:rsidRPr="00E30DDA">
        <w:rPr>
          <w:rFonts w:ascii="Times New Roman" w:hAnsi="Times New Roman" w:cs="Times New Roman"/>
          <w:sz w:val="24"/>
          <w:szCs w:val="24"/>
        </w:rPr>
        <w:t>Table 3:</w:t>
      </w:r>
      <w:r w:rsidR="00E83980" w:rsidRPr="00E30DDA">
        <w:rPr>
          <w:rFonts w:ascii="Times New Roman" w:hAnsi="Times New Roman" w:cs="Times New Roman"/>
          <w:sz w:val="24"/>
          <w:szCs w:val="24"/>
        </w:rPr>
        <w:t xml:space="preserve"> A total of 44,864 individuals means age of </w:t>
      </w:r>
      <w:r w:rsidR="00A105FD" w:rsidRPr="00E30DDA">
        <w:rPr>
          <w:rFonts w:ascii="Times New Roman" w:hAnsi="Times New Roman" w:cs="Times New Roman"/>
          <w:sz w:val="24"/>
          <w:szCs w:val="24"/>
        </w:rPr>
        <w:t>43.9-year</w:t>
      </w:r>
      <w:r w:rsidR="00E83980" w:rsidRPr="00E30DDA">
        <w:rPr>
          <w:rFonts w:ascii="Times New Roman" w:hAnsi="Times New Roman" w:cs="Times New Roman"/>
          <w:sz w:val="24"/>
          <w:szCs w:val="24"/>
        </w:rPr>
        <w:t xml:space="preserve"> Male (</w:t>
      </w:r>
      <w:r w:rsidR="00C427A5">
        <w:rPr>
          <w:rFonts w:ascii="Times New Roman" w:hAnsi="Times New Roman" w:cs="Times New Roman"/>
          <w:sz w:val="24"/>
          <w:szCs w:val="24"/>
        </w:rPr>
        <w:t>43</w:t>
      </w:r>
      <w:r w:rsidR="00E83980" w:rsidRPr="00E30DDA">
        <w:rPr>
          <w:rFonts w:ascii="Times New Roman" w:hAnsi="Times New Roman" w:cs="Times New Roman"/>
          <w:sz w:val="24"/>
          <w:szCs w:val="24"/>
        </w:rPr>
        <w:t>.</w:t>
      </w:r>
      <w:r w:rsidR="00C427A5">
        <w:rPr>
          <w:rFonts w:ascii="Times New Roman" w:hAnsi="Times New Roman" w:cs="Times New Roman"/>
          <w:sz w:val="24"/>
          <w:szCs w:val="24"/>
        </w:rPr>
        <w:t>8</w:t>
      </w:r>
      <w:r w:rsidR="00E83980" w:rsidRPr="00E30DDA">
        <w:rPr>
          <w:rFonts w:ascii="Times New Roman" w:hAnsi="Times New Roman" w:cs="Times New Roman"/>
          <w:sz w:val="24"/>
          <w:szCs w:val="24"/>
        </w:rPr>
        <w:t>%) and female (</w:t>
      </w:r>
      <w:r w:rsidR="00C427A5">
        <w:rPr>
          <w:rFonts w:ascii="Times New Roman" w:hAnsi="Times New Roman" w:cs="Times New Roman"/>
          <w:sz w:val="24"/>
          <w:szCs w:val="24"/>
        </w:rPr>
        <w:t>56.1</w:t>
      </w:r>
      <w:r w:rsidR="00E83980" w:rsidRPr="00E30DDA">
        <w:rPr>
          <w:rFonts w:ascii="Times New Roman" w:hAnsi="Times New Roman" w:cs="Times New Roman"/>
          <w:sz w:val="24"/>
          <w:szCs w:val="24"/>
        </w:rPr>
        <w:t xml:space="preserve">%) with age mean 42.1year underwent </w:t>
      </w:r>
      <w:r w:rsidR="001026FD" w:rsidRPr="00E30DDA">
        <w:rPr>
          <w:rFonts w:ascii="Times New Roman" w:hAnsi="Times New Roman" w:cs="Times New Roman"/>
          <w:sz w:val="24"/>
          <w:szCs w:val="24"/>
        </w:rPr>
        <w:t>Anemic</w:t>
      </w:r>
      <w:r w:rsidR="00E83980" w:rsidRPr="00E30DDA">
        <w:rPr>
          <w:rFonts w:ascii="Times New Roman" w:hAnsi="Times New Roman" w:cs="Times New Roman"/>
          <w:sz w:val="24"/>
          <w:szCs w:val="24"/>
        </w:rPr>
        <w:t xml:space="preserve"> </w:t>
      </w:r>
      <w:r w:rsidR="001026FD" w:rsidRPr="00E30DDA">
        <w:rPr>
          <w:rFonts w:ascii="Times New Roman" w:hAnsi="Times New Roman" w:cs="Times New Roman"/>
          <w:sz w:val="24"/>
          <w:szCs w:val="24"/>
        </w:rPr>
        <w:t>Screening.</w:t>
      </w:r>
    </w:p>
    <w:p w14:paraId="4F571D2D" w14:textId="2AA58E6C" w:rsidR="005B1F7B" w:rsidRPr="00E30DDA" w:rsidRDefault="00FF2775" w:rsidP="00A03C3B">
      <w:pPr>
        <w:rPr>
          <w:rFonts w:ascii="Times New Roman" w:hAnsi="Times New Roman" w:cs="Times New Roman"/>
          <w:sz w:val="24"/>
          <w:szCs w:val="24"/>
        </w:rPr>
      </w:pPr>
      <w:r w:rsidRPr="00E30DDA">
        <w:rPr>
          <w:rFonts w:ascii="Times New Roman" w:hAnsi="Times New Roman" w:cs="Times New Roman"/>
          <w:sz w:val="24"/>
          <w:szCs w:val="24"/>
          <w:lang w:val="en-IN"/>
        </w:rPr>
        <w:t xml:space="preserve">Anaemia screening covered 44,864 individuals, with 36.2% males and 63.8% females. Abnormal </w:t>
      </w:r>
      <w:r w:rsidR="00CB2010" w:rsidRPr="00E30DDA">
        <w:rPr>
          <w:rFonts w:ascii="Times New Roman" w:hAnsi="Times New Roman" w:cs="Times New Roman"/>
          <w:sz w:val="24"/>
          <w:szCs w:val="24"/>
          <w:lang w:val="en-IN"/>
        </w:rPr>
        <w:t>haemoglobin</w:t>
      </w:r>
      <w:r w:rsidRPr="00E30DDA">
        <w:rPr>
          <w:rFonts w:ascii="Times New Roman" w:hAnsi="Times New Roman" w:cs="Times New Roman"/>
          <w:sz w:val="24"/>
          <w:szCs w:val="24"/>
          <w:lang w:val="en-IN"/>
        </w:rPr>
        <w:t xml:space="preserve"> levels were found in 7,615 participants (17%), with women accounting for a 7</w:t>
      </w:r>
      <w:r w:rsidR="001026FD">
        <w:rPr>
          <w:rFonts w:ascii="Times New Roman" w:hAnsi="Times New Roman" w:cs="Times New Roman"/>
          <w:sz w:val="24"/>
          <w:szCs w:val="24"/>
          <w:lang w:val="en-IN"/>
        </w:rPr>
        <w:t>0.5</w:t>
      </w:r>
      <w:r w:rsidRPr="00E30DDA">
        <w:rPr>
          <w:rFonts w:ascii="Times New Roman" w:hAnsi="Times New Roman" w:cs="Times New Roman"/>
          <w:sz w:val="24"/>
          <w:szCs w:val="24"/>
          <w:lang w:val="en-IN"/>
        </w:rPr>
        <w:t>% of these cases</w:t>
      </w:r>
      <w:r w:rsidR="00C427A5">
        <w:rPr>
          <w:rFonts w:ascii="Times New Roman" w:hAnsi="Times New Roman" w:cs="Times New Roman"/>
          <w:sz w:val="24"/>
          <w:szCs w:val="24"/>
          <w:lang w:val="en-IN"/>
        </w:rPr>
        <w:t xml:space="preserve"> and male 29.4%</w:t>
      </w:r>
      <w:r w:rsidRPr="00E30DDA">
        <w:rPr>
          <w:rFonts w:ascii="Times New Roman" w:hAnsi="Times New Roman" w:cs="Times New Roman"/>
          <w:sz w:val="24"/>
          <w:szCs w:val="24"/>
          <w:lang w:val="en-IN"/>
        </w:rPr>
        <w:t>. Of the abnormal cases, 5,803 (76</w:t>
      </w:r>
      <w:r w:rsidR="00AA4EA3">
        <w:rPr>
          <w:rFonts w:ascii="Times New Roman" w:hAnsi="Times New Roman" w:cs="Times New Roman"/>
          <w:sz w:val="24"/>
          <w:szCs w:val="24"/>
          <w:lang w:val="en-IN"/>
        </w:rPr>
        <w:t>.2</w:t>
      </w:r>
      <w:r w:rsidRPr="00E30DDA">
        <w:rPr>
          <w:rFonts w:ascii="Times New Roman" w:hAnsi="Times New Roman" w:cs="Times New Roman"/>
          <w:sz w:val="24"/>
          <w:szCs w:val="24"/>
          <w:lang w:val="en-IN"/>
        </w:rPr>
        <w:t>%) were newly diagnosed, suggesting that anaemia often remains unnoticed, particularly in women of reproductive age. The data suggests nutritional deficiencies and menstrual health issues may play a significant role. Tobacco</w:t>
      </w:r>
      <w:r w:rsidR="008F6390">
        <w:rPr>
          <w:rFonts w:ascii="Times New Roman" w:hAnsi="Times New Roman" w:cs="Times New Roman"/>
          <w:sz w:val="24"/>
          <w:szCs w:val="24"/>
          <w:lang w:val="en-IN"/>
        </w:rPr>
        <w:t xml:space="preserve"> and </w:t>
      </w:r>
      <w:r w:rsidR="008F6390" w:rsidRPr="00E30DDA">
        <w:rPr>
          <w:rFonts w:ascii="Times New Roman" w:hAnsi="Times New Roman" w:cs="Times New Roman"/>
          <w:sz w:val="24"/>
          <w:szCs w:val="24"/>
          <w:lang w:val="en-IN"/>
        </w:rPr>
        <w:t>alcohol consumption</w:t>
      </w:r>
      <w:r w:rsidRPr="00E30DDA">
        <w:rPr>
          <w:rFonts w:ascii="Times New Roman" w:hAnsi="Times New Roman" w:cs="Times New Roman"/>
          <w:sz w:val="24"/>
          <w:szCs w:val="24"/>
          <w:lang w:val="en-IN"/>
        </w:rPr>
        <w:t xml:space="preserve"> was reported in 17</w:t>
      </w:r>
      <w:r w:rsidR="008F6390">
        <w:rPr>
          <w:rFonts w:ascii="Times New Roman" w:hAnsi="Times New Roman" w:cs="Times New Roman"/>
          <w:sz w:val="24"/>
          <w:szCs w:val="24"/>
          <w:lang w:val="en-IN"/>
        </w:rPr>
        <w:t>.07</w:t>
      </w:r>
      <w:r w:rsidRPr="00E30DDA">
        <w:rPr>
          <w:rFonts w:ascii="Times New Roman" w:hAnsi="Times New Roman" w:cs="Times New Roman"/>
          <w:sz w:val="24"/>
          <w:szCs w:val="24"/>
          <w:lang w:val="en-IN"/>
        </w:rPr>
        <w:t xml:space="preserve">% </w:t>
      </w:r>
      <w:r w:rsidR="008F6390">
        <w:rPr>
          <w:rFonts w:ascii="Times New Roman" w:hAnsi="Times New Roman" w:cs="Times New Roman"/>
          <w:sz w:val="24"/>
          <w:szCs w:val="24"/>
          <w:lang w:val="en-IN"/>
        </w:rPr>
        <w:t xml:space="preserve">and 18.32% </w:t>
      </w:r>
      <w:r w:rsidR="008F6390" w:rsidRPr="00E30DDA">
        <w:rPr>
          <w:rFonts w:ascii="Times New Roman" w:hAnsi="Times New Roman" w:cs="Times New Roman"/>
          <w:sz w:val="24"/>
          <w:szCs w:val="24"/>
          <w:lang w:val="en-IN"/>
        </w:rPr>
        <w:t xml:space="preserve">respectively </w:t>
      </w:r>
      <w:r w:rsidRPr="00E30DDA">
        <w:rPr>
          <w:rFonts w:ascii="Times New Roman" w:hAnsi="Times New Roman" w:cs="Times New Roman"/>
          <w:sz w:val="24"/>
          <w:szCs w:val="24"/>
          <w:lang w:val="en-IN"/>
        </w:rPr>
        <w:t>of those with abnormal readings, while smoking</w:t>
      </w:r>
      <w:r w:rsidR="008F6390">
        <w:rPr>
          <w:rFonts w:ascii="Times New Roman" w:hAnsi="Times New Roman" w:cs="Times New Roman"/>
          <w:sz w:val="24"/>
          <w:szCs w:val="24"/>
          <w:lang w:val="en-IN"/>
        </w:rPr>
        <w:t xml:space="preserve"> </w:t>
      </w:r>
      <w:r w:rsidR="00AA4EA3" w:rsidRPr="00E30DDA">
        <w:rPr>
          <w:rFonts w:ascii="Times New Roman" w:hAnsi="Times New Roman" w:cs="Times New Roman"/>
          <w:sz w:val="24"/>
          <w:szCs w:val="24"/>
          <w:lang w:val="en-IN"/>
        </w:rPr>
        <w:t>was</w:t>
      </w:r>
      <w:r w:rsidRPr="00E30DDA">
        <w:rPr>
          <w:rFonts w:ascii="Times New Roman" w:hAnsi="Times New Roman" w:cs="Times New Roman"/>
          <w:sz w:val="24"/>
          <w:szCs w:val="24"/>
          <w:lang w:val="en-IN"/>
        </w:rPr>
        <w:t xml:space="preserve"> lower 3</w:t>
      </w:r>
      <w:r w:rsidR="008F6390">
        <w:rPr>
          <w:rFonts w:ascii="Times New Roman" w:hAnsi="Times New Roman" w:cs="Times New Roman"/>
          <w:sz w:val="24"/>
          <w:szCs w:val="24"/>
          <w:lang w:val="en-IN"/>
        </w:rPr>
        <w:t>.05</w:t>
      </w:r>
      <w:r w:rsidRPr="00E30DDA">
        <w:rPr>
          <w:rFonts w:ascii="Times New Roman" w:hAnsi="Times New Roman" w:cs="Times New Roman"/>
          <w:sz w:val="24"/>
          <w:szCs w:val="24"/>
          <w:lang w:val="en-IN"/>
        </w:rPr>
        <w:t>%</w:t>
      </w:r>
      <w:r w:rsidR="008F6390">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indicating weaker lifestyle correlations compared to hypertension and diabetes.</w:t>
      </w:r>
    </w:p>
    <w:p w14:paraId="591B5AF6" w14:textId="6DD3504C" w:rsidR="00381C5E" w:rsidRPr="00E30DDA" w:rsidRDefault="00831672" w:rsidP="00F31EA0">
      <w:pPr>
        <w:jc w:val="center"/>
        <w:rPr>
          <w:rFonts w:ascii="Times New Roman" w:hAnsi="Times New Roman" w:cs="Times New Roman"/>
          <w:sz w:val="24"/>
          <w:szCs w:val="24"/>
        </w:rPr>
      </w:pPr>
      <w:r>
        <w:rPr>
          <w:rFonts w:ascii="Times New Roman" w:hAnsi="Times New Roman" w:cs="Times New Roman"/>
          <w:noProof/>
          <w:sz w:val="24"/>
          <w:szCs w:val="24"/>
          <w:lang w:val="en-IN"/>
        </w:rPr>
        <w:drawing>
          <wp:inline distT="0" distB="0" distL="0" distR="0" wp14:anchorId="3FFBCA99" wp14:editId="6647A2D5">
            <wp:extent cx="5566410" cy="2859405"/>
            <wp:effectExtent l="0" t="0" r="0" b="0"/>
            <wp:docPr id="70090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6410" cy="2859405"/>
                    </a:xfrm>
                    <a:prstGeom prst="rect">
                      <a:avLst/>
                    </a:prstGeom>
                    <a:noFill/>
                  </pic:spPr>
                </pic:pic>
              </a:graphicData>
            </a:graphic>
          </wp:inline>
        </w:drawing>
      </w:r>
      <w:r w:rsidR="00B43D1C" w:rsidRPr="00E30DDA">
        <w:rPr>
          <w:rFonts w:ascii="Times New Roman" w:hAnsi="Times New Roman" w:cs="Times New Roman"/>
          <w:sz w:val="24"/>
          <w:szCs w:val="24"/>
        </w:rPr>
        <w:br/>
      </w:r>
      <w:r w:rsidR="00050B30">
        <w:rPr>
          <w:rFonts w:ascii="Times New Roman" w:hAnsi="Times New Roman" w:cs="Times New Roman"/>
          <w:sz w:val="24"/>
          <w:szCs w:val="24"/>
          <w:lang w:val="en-IN"/>
        </w:rPr>
        <w:t>Fig. 1</w:t>
      </w:r>
      <w:r w:rsidR="00CB2010" w:rsidRPr="00E30DDA">
        <w:rPr>
          <w:rFonts w:ascii="Times New Roman" w:hAnsi="Times New Roman" w:cs="Times New Roman"/>
          <w:sz w:val="24"/>
          <w:szCs w:val="24"/>
          <w:lang w:val="en-IN"/>
        </w:rPr>
        <w:t xml:space="preserve">: </w:t>
      </w:r>
      <w:r w:rsidR="00F31EA0" w:rsidRPr="00E30DDA">
        <w:rPr>
          <w:rFonts w:ascii="Times New Roman" w:hAnsi="Times New Roman" w:cs="Times New Roman"/>
          <w:sz w:val="24"/>
          <w:szCs w:val="24"/>
        </w:rPr>
        <w:t>Ac</w:t>
      </w:r>
      <w:r w:rsidR="00CB2010" w:rsidRPr="00E30DDA">
        <w:rPr>
          <w:rFonts w:ascii="Times New Roman" w:hAnsi="Times New Roman" w:cs="Times New Roman"/>
          <w:sz w:val="24"/>
          <w:szCs w:val="24"/>
        </w:rPr>
        <w:t>ross</w:t>
      </w:r>
      <w:r w:rsidR="00F31EA0" w:rsidRPr="00E30DDA">
        <w:rPr>
          <w:rFonts w:ascii="Times New Roman" w:hAnsi="Times New Roman" w:cs="Times New Roman"/>
          <w:sz w:val="24"/>
          <w:szCs w:val="24"/>
        </w:rPr>
        <w:t xml:space="preserve"> </w:t>
      </w:r>
      <w:r w:rsidR="00CB2010" w:rsidRPr="00E30DDA">
        <w:rPr>
          <w:rFonts w:ascii="Times New Roman" w:hAnsi="Times New Roman" w:cs="Times New Roman"/>
          <w:sz w:val="24"/>
          <w:szCs w:val="24"/>
        </w:rPr>
        <w:t xml:space="preserve">Disease </w:t>
      </w:r>
      <w:r w:rsidR="00F31EA0" w:rsidRPr="00E30DDA">
        <w:rPr>
          <w:rFonts w:ascii="Times New Roman" w:hAnsi="Times New Roman" w:cs="Times New Roman"/>
          <w:sz w:val="24"/>
          <w:szCs w:val="24"/>
        </w:rPr>
        <w:t>screening outcomes</w:t>
      </w:r>
    </w:p>
    <w:p w14:paraId="6E28158C" w14:textId="2FA60165" w:rsidR="00381C5E" w:rsidRPr="00E30DDA" w:rsidRDefault="00D24B7A" w:rsidP="00381C5E">
      <w:pPr>
        <w:rPr>
          <w:rFonts w:ascii="Times New Roman" w:hAnsi="Times New Roman" w:cs="Times New Roman"/>
          <w:sz w:val="24"/>
          <w:szCs w:val="24"/>
          <w:lang w:val="en-IN"/>
        </w:rPr>
      </w:pPr>
      <w:r>
        <w:rPr>
          <w:rFonts w:ascii="Times New Roman" w:hAnsi="Times New Roman" w:cs="Times New Roman"/>
          <w:sz w:val="24"/>
          <w:szCs w:val="24"/>
        </w:rPr>
        <w:t xml:space="preserve">The comparative analysis revealed </w:t>
      </w:r>
      <w:r w:rsidR="00AA4EA3" w:rsidRPr="001026FD">
        <w:rPr>
          <w:rFonts w:ascii="Times New Roman" w:hAnsi="Times New Roman" w:cs="Times New Roman"/>
          <w:sz w:val="24"/>
          <w:szCs w:val="24"/>
        </w:rPr>
        <w:t>a significant</w:t>
      </w:r>
      <w:r w:rsidRPr="001026FD">
        <w:rPr>
          <w:rFonts w:ascii="Times New Roman" w:hAnsi="Times New Roman" w:cs="Times New Roman"/>
          <w:sz w:val="24"/>
          <w:szCs w:val="24"/>
        </w:rPr>
        <w:t xml:space="preserve"> proportion of newly diagnosed cases (new) for all three NCDs: hypertension 67.5%</w:t>
      </w:r>
      <w:r w:rsidR="0053518B">
        <w:rPr>
          <w:rFonts w:ascii="Times New Roman" w:hAnsi="Times New Roman" w:cs="Times New Roman"/>
          <w:sz w:val="24"/>
          <w:szCs w:val="24"/>
        </w:rPr>
        <w:t xml:space="preserve"> (13</w:t>
      </w:r>
      <w:r w:rsidRPr="001026FD">
        <w:rPr>
          <w:rFonts w:ascii="Times New Roman" w:hAnsi="Times New Roman" w:cs="Times New Roman"/>
          <w:sz w:val="24"/>
          <w:szCs w:val="24"/>
        </w:rPr>
        <w:t>, diabetes (50.4%), and anemia (76.2%). Prevalence rates among those screened showed hypertension in 27.2%, diabetes in 8.8%, and an</w:t>
      </w:r>
      <w:r>
        <w:rPr>
          <w:rFonts w:ascii="Times New Roman" w:hAnsi="Times New Roman" w:cs="Times New Roman"/>
          <w:sz w:val="24"/>
          <w:szCs w:val="24"/>
        </w:rPr>
        <w:t>e</w:t>
      </w:r>
      <w:r w:rsidRPr="001026FD">
        <w:rPr>
          <w:rFonts w:ascii="Times New Roman" w:hAnsi="Times New Roman" w:cs="Times New Roman"/>
          <w:sz w:val="24"/>
          <w:szCs w:val="24"/>
        </w:rPr>
        <w:t xml:space="preserve">mia in 16.9%. Female participants showed a higher abnormality rate in all categories, especially for anemia (70.5% of abnormal cases). </w:t>
      </w:r>
      <w:r w:rsidR="00381C5E" w:rsidRPr="00E30DDA">
        <w:rPr>
          <w:rFonts w:ascii="Times New Roman" w:hAnsi="Times New Roman" w:cs="Times New Roman"/>
          <w:sz w:val="24"/>
          <w:szCs w:val="24"/>
          <w:lang w:val="en-IN"/>
        </w:rPr>
        <w:t xml:space="preserve">In all three NCDs, </w:t>
      </w:r>
      <w:r w:rsidR="00381C5E" w:rsidRPr="00E30DDA">
        <w:rPr>
          <w:rFonts w:ascii="Times New Roman" w:hAnsi="Times New Roman" w:cs="Times New Roman"/>
          <w:sz w:val="24"/>
          <w:szCs w:val="24"/>
          <w:lang w:val="en-IN"/>
        </w:rPr>
        <w:lastRenderedPageBreak/>
        <w:t xml:space="preserve">women consistently accounted for a greater share of the abnormal findings, suggesting both increased health-seeking </w:t>
      </w:r>
      <w:r w:rsidR="000533D0" w:rsidRPr="00E30DDA">
        <w:rPr>
          <w:rFonts w:ascii="Times New Roman" w:hAnsi="Times New Roman" w:cs="Times New Roman"/>
          <w:sz w:val="24"/>
          <w:szCs w:val="24"/>
          <w:lang w:val="en-IN"/>
        </w:rPr>
        <w:t>behaviour</w:t>
      </w:r>
      <w:r w:rsidR="00381C5E" w:rsidRPr="00E30DDA">
        <w:rPr>
          <w:rFonts w:ascii="Times New Roman" w:hAnsi="Times New Roman" w:cs="Times New Roman"/>
          <w:sz w:val="24"/>
          <w:szCs w:val="24"/>
          <w:lang w:val="en-IN"/>
        </w:rPr>
        <w:t xml:space="preserve"> and possibly a higher underlying disease burden. Tobacco and alcohol use showed stronger correlations with hypertension and diabetes than with anaemia.</w:t>
      </w:r>
    </w:p>
    <w:p w14:paraId="12CF9DB7" w14:textId="70409633" w:rsidR="00381C5E" w:rsidRPr="00E30DDA" w:rsidRDefault="00381C5E" w:rsidP="00381C5E">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Operational outcomes from the program were promising. The average time between screening and consultation was approximately one hour. Community feedback was highly </w:t>
      </w:r>
      <w:r w:rsidR="00E83980" w:rsidRPr="00E30DDA">
        <w:rPr>
          <w:rFonts w:ascii="Times New Roman" w:hAnsi="Times New Roman" w:cs="Times New Roman"/>
          <w:sz w:val="24"/>
          <w:szCs w:val="24"/>
          <w:lang w:val="en-IN"/>
        </w:rPr>
        <w:t>favourable</w:t>
      </w:r>
      <w:r w:rsidRPr="00E30DDA">
        <w:rPr>
          <w:rFonts w:ascii="Times New Roman" w:hAnsi="Times New Roman" w:cs="Times New Roman"/>
          <w:sz w:val="24"/>
          <w:szCs w:val="24"/>
          <w:lang w:val="en-IN"/>
        </w:rPr>
        <w:t>, with 86</w:t>
      </w:r>
      <w:r w:rsidR="008F6390">
        <w:rPr>
          <w:rFonts w:ascii="Times New Roman" w:hAnsi="Times New Roman" w:cs="Times New Roman"/>
          <w:sz w:val="24"/>
          <w:szCs w:val="24"/>
          <w:lang w:val="en-IN"/>
        </w:rPr>
        <w:t>.3</w:t>
      </w:r>
      <w:r w:rsidRPr="00E30DDA">
        <w:rPr>
          <w:rFonts w:ascii="Times New Roman" w:hAnsi="Times New Roman" w:cs="Times New Roman"/>
          <w:sz w:val="24"/>
          <w:szCs w:val="24"/>
          <w:lang w:val="en-IN"/>
        </w:rPr>
        <w:t xml:space="preserve">% of participants reporting that home-based POCT screening was beneficial. However, concerns were raised regarding the accuracy of handheld diagnostic devices and the need for confirmatory laboratory testing and clearer guidance on post-screening care. These were mitigated through referral pathways supported by Apollo Telehealth, which facilitated teleconsultations and seamless referrals to higher </w:t>
      </w:r>
      <w:r w:rsidR="00E83980" w:rsidRPr="00E30DDA">
        <w:rPr>
          <w:rFonts w:ascii="Times New Roman" w:hAnsi="Times New Roman" w:cs="Times New Roman"/>
          <w:sz w:val="24"/>
          <w:szCs w:val="24"/>
          <w:lang w:val="en-IN"/>
        </w:rPr>
        <w:t>centres</w:t>
      </w:r>
      <w:r w:rsidRPr="00E30DDA">
        <w:rPr>
          <w:rFonts w:ascii="Times New Roman" w:hAnsi="Times New Roman" w:cs="Times New Roman"/>
          <w:sz w:val="24"/>
          <w:szCs w:val="24"/>
          <w:lang w:val="en-IN"/>
        </w:rPr>
        <w:t>. Additionally, tele-laboratory integration helped minimize diagnostic delays and supported timely initiation of treatment when necessary.</w:t>
      </w:r>
    </w:p>
    <w:p w14:paraId="3DF1AE16" w14:textId="3E9DA352" w:rsidR="005B1F7B" w:rsidRPr="00E30DDA" w:rsidRDefault="00381C5E" w:rsidP="00A03C3B">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In summary, this multi-state, community-based screening initiative successfully identified </w:t>
      </w:r>
      <w:r w:rsidR="00E83980" w:rsidRPr="00E30DDA">
        <w:rPr>
          <w:rFonts w:ascii="Times New Roman" w:hAnsi="Times New Roman" w:cs="Times New Roman"/>
          <w:sz w:val="24"/>
          <w:szCs w:val="24"/>
          <w:lang w:val="en-IN"/>
        </w:rPr>
        <w:t>many</w:t>
      </w:r>
      <w:r w:rsidRPr="00E30DDA">
        <w:rPr>
          <w:rFonts w:ascii="Times New Roman" w:hAnsi="Times New Roman" w:cs="Times New Roman"/>
          <w:sz w:val="24"/>
          <w:szCs w:val="24"/>
          <w:lang w:val="en-IN"/>
        </w:rPr>
        <w:t xml:space="preserve"> previously undiagnosed NCD cases, particularly among women, and demonstrated the utility of home-based POCT in enhancing early detection and healthcare access in rural and underserved areas.</w:t>
      </w:r>
    </w:p>
    <w:bookmarkEnd w:id="3"/>
    <w:p w14:paraId="6F83C26F" w14:textId="5CAFC456" w:rsidR="009F0088" w:rsidRPr="00E30DDA" w:rsidRDefault="00C11B1B">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D</w:t>
      </w:r>
      <w:r w:rsidR="00B43D1C" w:rsidRPr="00E30DDA">
        <w:rPr>
          <w:rFonts w:ascii="Times New Roman" w:hAnsi="Times New Roman" w:cs="Times New Roman"/>
          <w:color w:val="auto"/>
          <w:sz w:val="24"/>
          <w:szCs w:val="24"/>
        </w:rPr>
        <w:t>iscussion</w:t>
      </w:r>
    </w:p>
    <w:p w14:paraId="2CC715C9" w14:textId="3D4353F4" w:rsidR="009F0088" w:rsidRPr="00E30DDA" w:rsidRDefault="00B43D1C">
      <w:pPr>
        <w:rPr>
          <w:rFonts w:ascii="Times New Roman" w:hAnsi="Times New Roman" w:cs="Times New Roman"/>
          <w:sz w:val="24"/>
          <w:szCs w:val="24"/>
        </w:rPr>
      </w:pPr>
      <w:r w:rsidRPr="00E30DDA">
        <w:rPr>
          <w:rFonts w:ascii="Times New Roman" w:hAnsi="Times New Roman" w:cs="Times New Roman"/>
          <w:sz w:val="24"/>
          <w:szCs w:val="24"/>
        </w:rPr>
        <w:br/>
        <w:t>This large-scale community-based screening initiative demonstrated that early detection of non-communicable diseases (NCDs) using point-of-care tools and trained Community Health Workers (CHWs) is both operationally feasible and clinically impactful in underserved rural areas of India.</w:t>
      </w:r>
      <w:r w:rsidR="00E3251B" w:rsidRPr="00E30DDA">
        <w:rPr>
          <w:rFonts w:ascii="Times New Roman" w:hAnsi="Times New Roman" w:cs="Times New Roman"/>
          <w:b/>
          <w:bCs/>
          <w:sz w:val="24"/>
          <w:szCs w:val="24"/>
          <w:vertAlign w:val="superscript"/>
        </w:rPr>
        <w:t>(5)</w:t>
      </w:r>
      <w:r w:rsidRPr="00E30DDA">
        <w:rPr>
          <w:rFonts w:ascii="Times New Roman" w:hAnsi="Times New Roman" w:cs="Times New Roman"/>
          <w:sz w:val="24"/>
          <w:szCs w:val="24"/>
        </w:rPr>
        <w:br/>
      </w:r>
      <w:r w:rsidRPr="00E30DDA">
        <w:rPr>
          <w:rFonts w:ascii="Times New Roman" w:hAnsi="Times New Roman" w:cs="Times New Roman"/>
          <w:sz w:val="24"/>
          <w:szCs w:val="24"/>
        </w:rPr>
        <w:br/>
        <w:t xml:space="preserve">The 27% prevalence of hypertension, 17% prevalence of diabetes, and 17% for anaemia, with a high proportion of </w:t>
      </w:r>
      <w:r w:rsidR="00E83980" w:rsidRPr="00E30DDA">
        <w:rPr>
          <w:rFonts w:ascii="Times New Roman" w:hAnsi="Times New Roman" w:cs="Times New Roman"/>
          <w:sz w:val="24"/>
          <w:szCs w:val="24"/>
        </w:rPr>
        <w:t>new</w:t>
      </w:r>
      <w:r w:rsidRPr="00E30DDA">
        <w:rPr>
          <w:rFonts w:ascii="Times New Roman" w:hAnsi="Times New Roman" w:cs="Times New Roman"/>
          <w:sz w:val="24"/>
          <w:szCs w:val="24"/>
        </w:rPr>
        <w:t xml:space="preserve"> diagnoses—particularly for </w:t>
      </w:r>
      <w:r w:rsidR="008F6390" w:rsidRPr="00E30DDA">
        <w:rPr>
          <w:rFonts w:ascii="Times New Roman" w:hAnsi="Times New Roman" w:cs="Times New Roman"/>
          <w:sz w:val="24"/>
          <w:szCs w:val="24"/>
        </w:rPr>
        <w:t>anemia</w:t>
      </w:r>
      <w:r w:rsidRPr="00E30DDA">
        <w:rPr>
          <w:rFonts w:ascii="Times New Roman" w:hAnsi="Times New Roman" w:cs="Times New Roman"/>
          <w:sz w:val="24"/>
          <w:szCs w:val="24"/>
        </w:rPr>
        <w:t xml:space="preserve"> (76%)—highlights the significant burden of undiagnosed NCDs in the community. </w:t>
      </w:r>
      <w:r w:rsidR="000C126B" w:rsidRPr="00E30DDA">
        <w:rPr>
          <w:rFonts w:ascii="Times New Roman" w:hAnsi="Times New Roman" w:cs="Times New Roman"/>
          <w:sz w:val="24"/>
          <w:szCs w:val="24"/>
        </w:rPr>
        <w:t xml:space="preserve">These figures are particularly concerning in light of the fact that a majority of these conditions are asymptomatic in their early stages and, if left untreated, can lead to severe complications including cardiovascular events, renal failure, and diminished quality of life. The data underscores the urgent need for proactive, community-level screening and timely intervention </w:t>
      </w:r>
      <w:r w:rsidR="00720504" w:rsidRPr="00E30DDA">
        <w:rPr>
          <w:rFonts w:ascii="Times New Roman" w:hAnsi="Times New Roman" w:cs="Times New Roman"/>
          <w:sz w:val="24"/>
          <w:szCs w:val="24"/>
        </w:rPr>
        <w:t>strategies.</w:t>
      </w:r>
      <w:r w:rsidR="00720504" w:rsidRPr="00E30DDA">
        <w:rPr>
          <w:rFonts w:ascii="Times New Roman" w:hAnsi="Times New Roman" w:cs="Times New Roman"/>
          <w:sz w:val="24"/>
          <w:szCs w:val="24"/>
          <w:vertAlign w:val="superscript"/>
        </w:rPr>
        <w:t xml:space="preserve"> (</w:t>
      </w:r>
      <w:r w:rsidR="00546ED9" w:rsidRPr="00E30DDA">
        <w:rPr>
          <w:rFonts w:ascii="Times New Roman" w:hAnsi="Times New Roman" w:cs="Times New Roman"/>
          <w:b/>
          <w:bCs/>
          <w:sz w:val="24"/>
          <w:szCs w:val="24"/>
          <w:vertAlign w:val="superscript"/>
        </w:rPr>
        <w:t>11</w:t>
      </w:r>
      <w:r w:rsidR="000C126B" w:rsidRPr="00E30DDA">
        <w:rPr>
          <w:rFonts w:ascii="Times New Roman" w:hAnsi="Times New Roman" w:cs="Times New Roman"/>
          <w:sz w:val="24"/>
          <w:szCs w:val="24"/>
          <w:vertAlign w:val="superscript"/>
        </w:rPr>
        <w:t>)</w:t>
      </w:r>
      <w:r w:rsidR="000C126B" w:rsidRPr="00E30DDA">
        <w:rPr>
          <w:rFonts w:ascii="Times New Roman" w:hAnsi="Times New Roman" w:cs="Times New Roman"/>
          <w:sz w:val="24"/>
          <w:szCs w:val="24"/>
        </w:rPr>
        <w:t>.</w:t>
      </w:r>
      <w:r w:rsidRPr="00E30DDA">
        <w:rPr>
          <w:rFonts w:ascii="Times New Roman" w:hAnsi="Times New Roman" w:cs="Times New Roman"/>
          <w:sz w:val="24"/>
          <w:szCs w:val="24"/>
        </w:rPr>
        <w:br/>
        <w:t>Gender disparities were a consistent theme across all disease categories. Female participants not only represented a larger proportion of those screened but also showed higher abnormality rates, especially for anaemia. This aligns with national data and underscores the ongoing challenges related to women’s nutrition, reproductive health, and limited access to preventive care in rural settings.</w:t>
      </w:r>
      <w:r w:rsidRPr="00E30DDA">
        <w:rPr>
          <w:rFonts w:ascii="Times New Roman" w:hAnsi="Times New Roman" w:cs="Times New Roman"/>
          <w:sz w:val="24"/>
          <w:szCs w:val="24"/>
        </w:rPr>
        <w:br/>
      </w:r>
      <w:r w:rsidRPr="00E30DDA">
        <w:rPr>
          <w:rFonts w:ascii="Times New Roman" w:hAnsi="Times New Roman" w:cs="Times New Roman"/>
          <w:sz w:val="24"/>
          <w:szCs w:val="24"/>
        </w:rPr>
        <w:br/>
      </w:r>
      <w:r w:rsidR="004C3A23" w:rsidRPr="00E30DDA">
        <w:rPr>
          <w:rFonts w:ascii="Times New Roman" w:hAnsi="Times New Roman" w:cs="Times New Roman"/>
          <w:sz w:val="24"/>
          <w:szCs w:val="24"/>
        </w:rPr>
        <w:lastRenderedPageBreak/>
        <w:t xml:space="preserve">The effectiveness of CHWs in this model cannot be overstated. Their cultural familiarity, access to households, and rapport with community members helped overcome barriers such as fear of healthcare systems, low health literacy, stigma associated with disease, and mistrust of formal medical institutions. By providing empathetic, door-to-door health education and screening, CHWs played a pivotal role in bridging the gap between the community and the healthcare delivery </w:t>
      </w:r>
      <w:r w:rsidR="00720504" w:rsidRPr="00E30DDA">
        <w:rPr>
          <w:rFonts w:ascii="Times New Roman" w:hAnsi="Times New Roman" w:cs="Times New Roman"/>
          <w:sz w:val="24"/>
          <w:szCs w:val="24"/>
        </w:rPr>
        <w:t>system.</w:t>
      </w:r>
      <w:r w:rsidR="00720504" w:rsidRPr="00E30DDA">
        <w:rPr>
          <w:rFonts w:ascii="Times New Roman" w:hAnsi="Times New Roman" w:cs="Times New Roman"/>
          <w:sz w:val="24"/>
          <w:szCs w:val="24"/>
          <w:vertAlign w:val="superscript"/>
        </w:rPr>
        <w:t xml:space="preserve"> (</w:t>
      </w:r>
      <w:r w:rsidR="00546ED9" w:rsidRPr="00E30DDA">
        <w:rPr>
          <w:rFonts w:ascii="Times New Roman" w:hAnsi="Times New Roman" w:cs="Times New Roman"/>
          <w:b/>
          <w:bCs/>
          <w:sz w:val="24"/>
          <w:szCs w:val="24"/>
          <w:vertAlign w:val="superscript"/>
        </w:rPr>
        <w:t>12</w:t>
      </w:r>
      <w:r w:rsidR="004C3A23" w:rsidRPr="00E30DDA">
        <w:rPr>
          <w:rFonts w:ascii="Times New Roman" w:hAnsi="Times New Roman" w:cs="Times New Roman"/>
          <w:sz w:val="24"/>
          <w:szCs w:val="24"/>
          <w:vertAlign w:val="superscript"/>
        </w:rPr>
        <w:t>)</w:t>
      </w:r>
      <w:r w:rsidRPr="00E30DDA">
        <w:rPr>
          <w:rFonts w:ascii="Times New Roman" w:hAnsi="Times New Roman" w:cs="Times New Roman"/>
          <w:sz w:val="24"/>
          <w:szCs w:val="24"/>
        </w:rPr>
        <w:br/>
        <w:t xml:space="preserve">A pivotal component of the initiative was the integration of Apollo Telehealth’s clinical network. The provision of real-time specialist consultations via telemedicine dramatically reduced delays in diagnosis confirmation and management. Patients benefitted from virtual access to specialists in internal medicine, cardiology, and endocrinology, many of whom were previously out of reach. </w:t>
      </w:r>
      <w:r w:rsidR="004C3A23" w:rsidRPr="00E30DDA">
        <w:rPr>
          <w:rFonts w:ascii="Times New Roman" w:hAnsi="Times New Roman" w:cs="Times New Roman"/>
          <w:sz w:val="24"/>
          <w:szCs w:val="24"/>
        </w:rPr>
        <w:t xml:space="preserve">Apollo’s tele-laboratory services further enabled remote ordering of diagnostic tests, tracking of lab results, and timely interpretation by specialists. This seamless integration of clinical decision-making and diagnostics significantly shortened the time from screening to treatment initiation. It also ensured that patients received appropriate and continuous care without the need for travel, thus reducing out-of-pocket expenses and minimizing the burden on tertiary health </w:t>
      </w:r>
      <w:proofErr w:type="gramStart"/>
      <w:r w:rsidR="004C3A23" w:rsidRPr="00E30DDA">
        <w:rPr>
          <w:rFonts w:ascii="Times New Roman" w:hAnsi="Times New Roman" w:cs="Times New Roman"/>
          <w:sz w:val="24"/>
          <w:szCs w:val="24"/>
        </w:rPr>
        <w:t>centers.</w:t>
      </w:r>
      <w:r w:rsidR="004C3A23" w:rsidRPr="00E30DDA">
        <w:rPr>
          <w:rFonts w:ascii="Times New Roman" w:hAnsi="Times New Roman" w:cs="Times New Roman"/>
          <w:sz w:val="24"/>
          <w:szCs w:val="24"/>
          <w:vertAlign w:val="superscript"/>
        </w:rPr>
        <w:t>(</w:t>
      </w:r>
      <w:proofErr w:type="gramEnd"/>
      <w:r w:rsidR="00546ED9" w:rsidRPr="00E30DDA">
        <w:rPr>
          <w:rFonts w:ascii="Times New Roman" w:hAnsi="Times New Roman" w:cs="Times New Roman"/>
          <w:b/>
          <w:bCs/>
          <w:sz w:val="24"/>
          <w:szCs w:val="24"/>
          <w:vertAlign w:val="superscript"/>
        </w:rPr>
        <w:t>13</w:t>
      </w:r>
      <w:r w:rsidR="004C3A23" w:rsidRPr="00E30DDA">
        <w:rPr>
          <w:rFonts w:ascii="Times New Roman" w:hAnsi="Times New Roman" w:cs="Times New Roman"/>
          <w:sz w:val="24"/>
          <w:szCs w:val="24"/>
          <w:vertAlign w:val="superscript"/>
        </w:rPr>
        <w:t>)</w:t>
      </w:r>
      <w:r w:rsidR="004C3A23" w:rsidRPr="00E30DDA">
        <w:rPr>
          <w:rFonts w:ascii="Times New Roman" w:hAnsi="Times New Roman" w:cs="Times New Roman"/>
          <w:sz w:val="24"/>
          <w:szCs w:val="24"/>
        </w:rPr>
        <w:t>.</w:t>
      </w:r>
      <w:r w:rsidRPr="00E30DDA">
        <w:rPr>
          <w:rFonts w:ascii="Times New Roman" w:hAnsi="Times New Roman" w:cs="Times New Roman"/>
          <w:sz w:val="24"/>
          <w:szCs w:val="24"/>
        </w:rPr>
        <w:br/>
      </w:r>
      <w:r w:rsidRPr="00E30DDA">
        <w:rPr>
          <w:rFonts w:ascii="Times New Roman" w:hAnsi="Times New Roman" w:cs="Times New Roman"/>
          <w:sz w:val="24"/>
          <w:szCs w:val="24"/>
        </w:rPr>
        <w:br/>
        <w:t>From a systems perspective, this model supports task-shifting and decentralized service delivery, which are essential strategies for addressing the dual challenge of workforce shortages and rising NCD burden. The combined use of CHWs, teleconsultation, and tele-laboratory diagnostics provided a three-tiered approach to early detection, triaging, and follow-</w:t>
      </w:r>
      <w:proofErr w:type="gramStart"/>
      <w:r w:rsidRPr="00E30DDA">
        <w:rPr>
          <w:rFonts w:ascii="Times New Roman" w:hAnsi="Times New Roman" w:cs="Times New Roman"/>
          <w:sz w:val="24"/>
          <w:szCs w:val="24"/>
        </w:rPr>
        <w:t>up.</w:t>
      </w:r>
      <w:r w:rsidR="004C3A23" w:rsidRPr="00E30DDA">
        <w:rPr>
          <w:rFonts w:ascii="Times New Roman" w:hAnsi="Times New Roman" w:cs="Times New Roman"/>
          <w:sz w:val="24"/>
          <w:szCs w:val="24"/>
          <w:vertAlign w:val="superscript"/>
        </w:rPr>
        <w:t>(</w:t>
      </w:r>
      <w:proofErr w:type="gramEnd"/>
      <w:r w:rsidR="00B849FB" w:rsidRPr="00E30DDA">
        <w:rPr>
          <w:rFonts w:ascii="Times New Roman" w:hAnsi="Times New Roman" w:cs="Times New Roman"/>
          <w:b/>
          <w:bCs/>
          <w:sz w:val="24"/>
          <w:szCs w:val="24"/>
          <w:vertAlign w:val="superscript"/>
        </w:rPr>
        <w:t>14</w:t>
      </w:r>
      <w:r w:rsidR="004C3A23" w:rsidRPr="00E30DDA">
        <w:rPr>
          <w:rFonts w:ascii="Times New Roman" w:hAnsi="Times New Roman" w:cs="Times New Roman"/>
          <w:sz w:val="24"/>
          <w:szCs w:val="24"/>
          <w:vertAlign w:val="superscript"/>
        </w:rPr>
        <w:t>)</w:t>
      </w:r>
      <w:r w:rsidR="004C3A23" w:rsidRPr="00E30DDA">
        <w:rPr>
          <w:rFonts w:ascii="Times New Roman" w:hAnsi="Times New Roman" w:cs="Times New Roman"/>
          <w:sz w:val="24"/>
          <w:szCs w:val="24"/>
        </w:rPr>
        <w:t>.</w:t>
      </w:r>
      <w:r w:rsidRPr="00E30DDA">
        <w:rPr>
          <w:rFonts w:ascii="Times New Roman" w:hAnsi="Times New Roman" w:cs="Times New Roman"/>
          <w:sz w:val="24"/>
          <w:szCs w:val="24"/>
        </w:rPr>
        <w:br/>
      </w:r>
      <w:r w:rsidRPr="00E30DDA">
        <w:rPr>
          <w:rFonts w:ascii="Times New Roman" w:hAnsi="Times New Roman" w:cs="Times New Roman"/>
          <w:sz w:val="24"/>
          <w:szCs w:val="24"/>
        </w:rPr>
        <w:br/>
        <w:t>This study reinforces that community-led, digitally-supported NCD screening is an effective public health strategy that can be scaled across other low-resource settings with similar health system constraints.</w:t>
      </w:r>
      <w:r w:rsidR="004C3A23" w:rsidRPr="00E30DDA">
        <w:rPr>
          <w:rFonts w:ascii="Times New Roman" w:hAnsi="Times New Roman" w:cs="Times New Roman"/>
          <w:sz w:val="24"/>
          <w:szCs w:val="24"/>
          <w:vertAlign w:val="superscript"/>
        </w:rPr>
        <w:t>(</w:t>
      </w:r>
      <w:r w:rsidR="000128D5" w:rsidRPr="00E30DDA">
        <w:rPr>
          <w:rFonts w:ascii="Times New Roman" w:hAnsi="Times New Roman" w:cs="Times New Roman"/>
          <w:b/>
          <w:bCs/>
          <w:sz w:val="24"/>
          <w:szCs w:val="24"/>
          <w:vertAlign w:val="superscript"/>
        </w:rPr>
        <w:t>15</w:t>
      </w:r>
      <w:r w:rsidR="004C3A23" w:rsidRPr="00E30DDA">
        <w:rPr>
          <w:rFonts w:ascii="Times New Roman" w:hAnsi="Times New Roman" w:cs="Times New Roman"/>
          <w:sz w:val="24"/>
          <w:szCs w:val="24"/>
          <w:vertAlign w:val="superscript"/>
        </w:rPr>
        <w:t>)</w:t>
      </w:r>
      <w:r w:rsidR="004C3A23" w:rsidRPr="00E30DDA">
        <w:rPr>
          <w:rFonts w:ascii="Times New Roman" w:hAnsi="Times New Roman" w:cs="Times New Roman"/>
          <w:sz w:val="24"/>
          <w:szCs w:val="24"/>
        </w:rPr>
        <w:t>.</w:t>
      </w:r>
    </w:p>
    <w:p w14:paraId="6C9B846D" w14:textId="77777777" w:rsidR="009F0088" w:rsidRPr="00E30DDA" w:rsidRDefault="00B43D1C">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Conclusion</w:t>
      </w:r>
    </w:p>
    <w:p w14:paraId="3E7CF8C8" w14:textId="4F30DFE5" w:rsidR="000467E3" w:rsidRPr="00E30DDA" w:rsidRDefault="00B43D1C" w:rsidP="000467E3">
      <w:pPr>
        <w:rPr>
          <w:rFonts w:ascii="Times New Roman" w:hAnsi="Times New Roman" w:cs="Times New Roman"/>
          <w:sz w:val="24"/>
          <w:szCs w:val="24"/>
        </w:rPr>
      </w:pPr>
      <w:r w:rsidRPr="00E30DDA">
        <w:rPr>
          <w:rFonts w:ascii="Times New Roman" w:hAnsi="Times New Roman" w:cs="Times New Roman"/>
          <w:sz w:val="24"/>
          <w:szCs w:val="24"/>
        </w:rPr>
        <w:br/>
        <w:t>This study successfully established that doorstep delivery of NCD screening services by trained Community Health Workers, supported by point-of-care diagnostics and integrated telemedicine, is both feasible and impactful in rural India.</w:t>
      </w:r>
      <w:r w:rsidRPr="00E30DDA">
        <w:rPr>
          <w:rFonts w:ascii="Times New Roman" w:hAnsi="Times New Roman" w:cs="Times New Roman"/>
          <w:sz w:val="24"/>
          <w:szCs w:val="24"/>
        </w:rPr>
        <w:br/>
      </w:r>
      <w:r w:rsidRPr="00E30DDA">
        <w:rPr>
          <w:rFonts w:ascii="Times New Roman" w:hAnsi="Times New Roman" w:cs="Times New Roman"/>
          <w:sz w:val="24"/>
          <w:szCs w:val="24"/>
        </w:rPr>
        <w:br/>
      </w:r>
      <w:r w:rsidR="000467E3" w:rsidRPr="00E30DDA">
        <w:rPr>
          <w:rFonts w:ascii="Times New Roman" w:hAnsi="Times New Roman" w:cs="Times New Roman"/>
          <w:sz w:val="24"/>
          <w:szCs w:val="24"/>
        </w:rPr>
        <w:t xml:space="preserve">Key takeaways from this study </w:t>
      </w:r>
      <w:r w:rsidR="00FF24E4" w:rsidRPr="00E30DDA">
        <w:rPr>
          <w:rFonts w:ascii="Times New Roman" w:hAnsi="Times New Roman" w:cs="Times New Roman"/>
          <w:sz w:val="24"/>
          <w:szCs w:val="24"/>
        </w:rPr>
        <w:t>include: Rural</w:t>
      </w:r>
      <w:r w:rsidR="000467E3" w:rsidRPr="00E30DDA">
        <w:rPr>
          <w:rFonts w:ascii="Times New Roman" w:hAnsi="Times New Roman" w:cs="Times New Roman"/>
          <w:sz w:val="24"/>
          <w:szCs w:val="24"/>
        </w:rPr>
        <w:t xml:space="preserve"> communities have a high percentage of undiagnosed NCDs, which suggests that they had limited access to preventive treatment in the </w:t>
      </w:r>
      <w:r w:rsidR="00FF24E4" w:rsidRPr="00E30DDA">
        <w:rPr>
          <w:rFonts w:ascii="Times New Roman" w:hAnsi="Times New Roman" w:cs="Times New Roman"/>
          <w:sz w:val="24"/>
          <w:szCs w:val="24"/>
        </w:rPr>
        <w:t>past. CHWs</w:t>
      </w:r>
      <w:r w:rsidR="000467E3" w:rsidRPr="00E30DDA">
        <w:rPr>
          <w:rFonts w:ascii="Times New Roman" w:hAnsi="Times New Roman" w:cs="Times New Roman"/>
          <w:sz w:val="24"/>
          <w:szCs w:val="24"/>
        </w:rPr>
        <w:t xml:space="preserve"> can be the cornerstone of risk education and NCD identification at the primary </w:t>
      </w:r>
      <w:r w:rsidR="00FF24E4" w:rsidRPr="00E30DDA">
        <w:rPr>
          <w:rFonts w:ascii="Times New Roman" w:hAnsi="Times New Roman" w:cs="Times New Roman"/>
          <w:sz w:val="24"/>
          <w:szCs w:val="24"/>
        </w:rPr>
        <w:t>level. Gender</w:t>
      </w:r>
      <w:r w:rsidR="000467E3" w:rsidRPr="00E30DDA">
        <w:rPr>
          <w:rFonts w:ascii="Times New Roman" w:hAnsi="Times New Roman" w:cs="Times New Roman"/>
          <w:sz w:val="24"/>
          <w:szCs w:val="24"/>
        </w:rPr>
        <w:t xml:space="preserve">-sensitive therapies are required since women are disproportionately impacted, particularly by </w:t>
      </w:r>
      <w:r w:rsidR="00FF24E4" w:rsidRPr="00E30DDA">
        <w:rPr>
          <w:rFonts w:ascii="Times New Roman" w:hAnsi="Times New Roman" w:cs="Times New Roman"/>
          <w:sz w:val="24"/>
          <w:szCs w:val="24"/>
        </w:rPr>
        <w:t>anemia. Expert</w:t>
      </w:r>
      <w:r w:rsidR="000467E3" w:rsidRPr="00E30DDA">
        <w:rPr>
          <w:rFonts w:ascii="Times New Roman" w:hAnsi="Times New Roman" w:cs="Times New Roman"/>
          <w:sz w:val="24"/>
          <w:szCs w:val="24"/>
        </w:rPr>
        <w:t xml:space="preserve"> evaluation and management were made possible even at remote locations with the integration of Apollo Telehealth's specialty teleconsultations, which closed access </w:t>
      </w:r>
      <w:r w:rsidR="00FF24E4" w:rsidRPr="00E30DDA">
        <w:rPr>
          <w:rFonts w:ascii="Times New Roman" w:hAnsi="Times New Roman" w:cs="Times New Roman"/>
          <w:sz w:val="24"/>
          <w:szCs w:val="24"/>
        </w:rPr>
        <w:t>gaps. The</w:t>
      </w:r>
      <w:r w:rsidR="000467E3" w:rsidRPr="00E30DDA">
        <w:rPr>
          <w:rFonts w:ascii="Times New Roman" w:hAnsi="Times New Roman" w:cs="Times New Roman"/>
          <w:sz w:val="24"/>
          <w:szCs w:val="24"/>
        </w:rPr>
        <w:t xml:space="preserve"> tele-laboratory system from </w:t>
      </w:r>
      <w:r w:rsidR="000467E3" w:rsidRPr="00E30DDA">
        <w:rPr>
          <w:rFonts w:ascii="Times New Roman" w:hAnsi="Times New Roman" w:cs="Times New Roman"/>
          <w:sz w:val="24"/>
          <w:szCs w:val="24"/>
        </w:rPr>
        <w:lastRenderedPageBreak/>
        <w:t xml:space="preserve">Apollo Telehealth guaranteed prompt diagnosis and effective clinical </w:t>
      </w:r>
      <w:r w:rsidR="00FF24E4" w:rsidRPr="00E30DDA">
        <w:rPr>
          <w:rFonts w:ascii="Times New Roman" w:hAnsi="Times New Roman" w:cs="Times New Roman"/>
          <w:sz w:val="24"/>
          <w:szCs w:val="24"/>
        </w:rPr>
        <w:t>judgment. The</w:t>
      </w:r>
      <w:r w:rsidR="000467E3" w:rsidRPr="00E30DDA">
        <w:rPr>
          <w:rFonts w:ascii="Times New Roman" w:hAnsi="Times New Roman" w:cs="Times New Roman"/>
          <w:sz w:val="24"/>
          <w:szCs w:val="24"/>
        </w:rPr>
        <w:t xml:space="preserve"> establishment of scalable and long-lasting referral channels from CHW to teleconsultation to tertiary care was </w:t>
      </w:r>
      <w:r w:rsidR="00FF24E4" w:rsidRPr="00E30DDA">
        <w:rPr>
          <w:rFonts w:ascii="Times New Roman" w:hAnsi="Times New Roman" w:cs="Times New Roman"/>
          <w:sz w:val="24"/>
          <w:szCs w:val="24"/>
        </w:rPr>
        <w:t>accomplished. Lifestyle</w:t>
      </w:r>
      <w:r w:rsidR="000467E3" w:rsidRPr="00E30DDA">
        <w:rPr>
          <w:rFonts w:ascii="Times New Roman" w:hAnsi="Times New Roman" w:cs="Times New Roman"/>
          <w:sz w:val="24"/>
          <w:szCs w:val="24"/>
        </w:rPr>
        <w:t xml:space="preserve"> risk factors like alcohol, tobacco, and bad eating habits are still very prevalent and need ongoing community-based treatment.</w:t>
      </w:r>
    </w:p>
    <w:p w14:paraId="25344395" w14:textId="210A3813" w:rsidR="009F0088" w:rsidRPr="00E30DDA" w:rsidRDefault="00B43D1C" w:rsidP="000467E3">
      <w:pPr>
        <w:rPr>
          <w:rFonts w:ascii="Times New Roman" w:hAnsi="Times New Roman" w:cs="Times New Roman"/>
          <w:sz w:val="24"/>
          <w:szCs w:val="24"/>
        </w:rPr>
      </w:pPr>
      <w:r w:rsidRPr="00E30DDA">
        <w:rPr>
          <w:rFonts w:ascii="Times New Roman" w:hAnsi="Times New Roman" w:cs="Times New Roman"/>
          <w:sz w:val="24"/>
          <w:szCs w:val="24"/>
        </w:rPr>
        <w:t>The study model represents a scalable framework for integrating NCD screening into national and state-level health programs, especially in alignment with the Ayushman Bharat Health and Wellness Centre (HWC) initiative. By combining digital health technologies, community ownership, and institutional medical support, this initiative provides a template for decentralized NCD care that can be replicated across other geographies.</w:t>
      </w:r>
      <w:r w:rsidRPr="00E30DDA">
        <w:rPr>
          <w:rFonts w:ascii="Times New Roman" w:hAnsi="Times New Roman" w:cs="Times New Roman"/>
          <w:sz w:val="24"/>
          <w:szCs w:val="24"/>
        </w:rPr>
        <w:br/>
      </w:r>
      <w:r w:rsidRPr="00E30DDA">
        <w:rPr>
          <w:rFonts w:ascii="Times New Roman" w:hAnsi="Times New Roman" w:cs="Times New Roman"/>
          <w:sz w:val="24"/>
          <w:szCs w:val="24"/>
        </w:rPr>
        <w:br/>
      </w:r>
      <w:r w:rsidR="000467E3" w:rsidRPr="00E30DDA">
        <w:rPr>
          <w:rFonts w:ascii="Times New Roman" w:hAnsi="Times New Roman" w:cs="Times New Roman"/>
          <w:sz w:val="24"/>
          <w:szCs w:val="24"/>
        </w:rPr>
        <w:t>The study model represents a scalable framework for integrating NCD screening into national and state-level health programs, especially in alignment with the Ayushman Bharat Health and Wellness Centre (HWC) initiative</w:t>
      </w:r>
      <w:r w:rsidR="000C126B" w:rsidRPr="00E30DDA">
        <w:rPr>
          <w:rFonts w:ascii="Times New Roman" w:hAnsi="Times New Roman" w:cs="Times New Roman"/>
          <w:sz w:val="24"/>
          <w:szCs w:val="24"/>
        </w:rPr>
        <w:t>.</w:t>
      </w:r>
      <w:r w:rsidR="000467E3" w:rsidRPr="00E30DDA">
        <w:rPr>
          <w:rFonts w:ascii="Times New Roman" w:hAnsi="Times New Roman" w:cs="Times New Roman"/>
          <w:sz w:val="24"/>
          <w:szCs w:val="24"/>
        </w:rPr>
        <w:t xml:space="preserve"> By combining ATH's innovative digital health technologies, community ownership and institutional medical support, this initiative provides a template for decentralized NCD care that can be replicated across other geographies.</w:t>
      </w:r>
    </w:p>
    <w:p w14:paraId="7DD6145B" w14:textId="2FFA8E0E" w:rsidR="00E3251B" w:rsidRPr="00E30DDA" w:rsidRDefault="00E3251B" w:rsidP="000467E3">
      <w:pPr>
        <w:rPr>
          <w:rFonts w:ascii="Times New Roman" w:hAnsi="Times New Roman" w:cs="Times New Roman"/>
          <w:sz w:val="24"/>
          <w:szCs w:val="24"/>
        </w:rPr>
      </w:pPr>
      <w:r w:rsidRPr="00E30DDA">
        <w:rPr>
          <w:rFonts w:ascii="Times New Roman" w:hAnsi="Times New Roman" w:cs="Times New Roman"/>
          <w:sz w:val="24"/>
          <w:szCs w:val="24"/>
        </w:rPr>
        <w:t>REFERENCES</w:t>
      </w:r>
    </w:p>
    <w:p w14:paraId="0DA903AF"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WHO. Telemedicine: Opportunities and developments in Member States: report on the second global survey on eHealth 2009.</w:t>
      </w:r>
    </w:p>
    <w:p w14:paraId="27FF0DCB"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WHO. Global Status Report on Noncommunicable Diseases 2014.</w:t>
      </w:r>
    </w:p>
    <w:p w14:paraId="7EC0E794"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Patel V, et al. (2011). Chronic diseases and injuries in India. The Lancet.</w:t>
      </w:r>
    </w:p>
    <w:p w14:paraId="498119DE"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International Diabetes Federation. IDF Diabetes Atlas, 10th edition, 2021.</w:t>
      </w:r>
    </w:p>
    <w:p w14:paraId="78CA3249"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WHO. Package of Essential Noncommunicable (PEN) Disease Interventions for Primary Health Care in Low-Resource Settings.</w:t>
      </w:r>
    </w:p>
    <w:p w14:paraId="7FF81626"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Shrivastava SR, et al. (2015). Point-of-care testing (POCT) in India: Need of the hour.</w:t>
      </w:r>
    </w:p>
    <w:p w14:paraId="6B76A4EA"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 xml:space="preserve">National </w:t>
      </w:r>
      <w:proofErr w:type="spellStart"/>
      <w:r w:rsidRPr="00E30DDA">
        <w:rPr>
          <w:rFonts w:ascii="Times New Roman" w:hAnsi="Times New Roman" w:cs="Times New Roman"/>
          <w:sz w:val="24"/>
          <w:szCs w:val="24"/>
        </w:rPr>
        <w:t>Programme</w:t>
      </w:r>
      <w:proofErr w:type="spellEnd"/>
      <w:r w:rsidRPr="00E30DDA">
        <w:rPr>
          <w:rFonts w:ascii="Times New Roman" w:hAnsi="Times New Roman" w:cs="Times New Roman"/>
          <w:sz w:val="24"/>
          <w:szCs w:val="24"/>
        </w:rPr>
        <w:t xml:space="preserve"> for Prevention and Control of Cancer, Diabetes, Cardiovascular Diseases and Stroke (NPCDCS), Ministry of Health and Family Welfare, Government of India.</w:t>
      </w:r>
    </w:p>
    <w:p w14:paraId="41A1A19D"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Gupta R, et al. (2017). Hypertension epidemiology in India: emerging aspects. Current Hypertension Reports.</w:t>
      </w:r>
    </w:p>
    <w:p w14:paraId="70C1E092"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International Diabetes Federation. IDF Diabetes Atlas, 10th edition, 2021.</w:t>
      </w:r>
    </w:p>
    <w:p w14:paraId="58D12764"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India: National Family Health Survey (NFHS-5), 2019–21.</w:t>
      </w:r>
    </w:p>
    <w:p w14:paraId="6AE105F6"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 xml:space="preserve"> Garg S, et al. (2021). Gender disparity in health-seeking behavior: evidence from rural India</w:t>
      </w:r>
    </w:p>
    <w:p w14:paraId="55AE9804"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Sundararaman T, et al. (2018). Role of Community Health Workers in Strengthening Health Systems in India.</w:t>
      </w:r>
    </w:p>
    <w:p w14:paraId="260AAFCA"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lastRenderedPageBreak/>
        <w:t>Kruk ME, et al. (2018). High-quality health systems in the Sustainable Development Goals era. Lancet Global Health.</w:t>
      </w:r>
    </w:p>
    <w:p w14:paraId="0306A62A"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Fischer F, et al. (2020). Telemedicine in primary health care: a systematic review.</w:t>
      </w:r>
    </w:p>
    <w:p w14:paraId="060EC8BD" w14:textId="7B3DFB47" w:rsidR="000C126B"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 xml:space="preserve"> Bharati DR, et al. (2017). Community-based interventions for NCD prevention and control in India.</w:t>
      </w:r>
    </w:p>
    <w:sectPr w:rsidR="000C126B" w:rsidRPr="00E30DDA"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C1E7A" w14:textId="77777777" w:rsidR="000F075C" w:rsidRDefault="000F075C" w:rsidP="00104C77">
      <w:pPr>
        <w:spacing w:after="0" w:line="240" w:lineRule="auto"/>
      </w:pPr>
      <w:r>
        <w:separator/>
      </w:r>
    </w:p>
  </w:endnote>
  <w:endnote w:type="continuationSeparator" w:id="0">
    <w:p w14:paraId="45E5C371" w14:textId="77777777" w:rsidR="000F075C" w:rsidRDefault="000F075C" w:rsidP="0010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61A4" w14:textId="77777777" w:rsidR="00104C77" w:rsidRDefault="00104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B70" w14:textId="77777777" w:rsidR="00104C77" w:rsidRDefault="00104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6DE47" w14:textId="77777777" w:rsidR="00104C77" w:rsidRDefault="00104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4613D" w14:textId="77777777" w:rsidR="000F075C" w:rsidRDefault="000F075C" w:rsidP="00104C77">
      <w:pPr>
        <w:spacing w:after="0" w:line="240" w:lineRule="auto"/>
      </w:pPr>
      <w:r>
        <w:separator/>
      </w:r>
    </w:p>
  </w:footnote>
  <w:footnote w:type="continuationSeparator" w:id="0">
    <w:p w14:paraId="6AA56C20" w14:textId="77777777" w:rsidR="000F075C" w:rsidRDefault="000F075C" w:rsidP="00104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563A" w14:textId="42C09F94" w:rsidR="00104C77" w:rsidRDefault="00104C77">
    <w:pPr>
      <w:pStyle w:val="Header"/>
    </w:pPr>
    <w:r>
      <w:rPr>
        <w:noProof/>
      </w:rPr>
      <w:pict w14:anchorId="6779B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001"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7DA8B" w14:textId="77B12E50" w:rsidR="00104C77" w:rsidRDefault="00104C77">
    <w:pPr>
      <w:pStyle w:val="Header"/>
    </w:pPr>
    <w:r>
      <w:rPr>
        <w:noProof/>
      </w:rPr>
      <w:pict w14:anchorId="10145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002"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177C6" w14:textId="7DA94845" w:rsidR="00104C77" w:rsidRDefault="00104C77">
    <w:pPr>
      <w:pStyle w:val="Header"/>
    </w:pPr>
    <w:r>
      <w:rPr>
        <w:noProof/>
      </w:rPr>
      <w:pict w14:anchorId="2A223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000"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126B51"/>
    <w:multiLevelType w:val="multilevel"/>
    <w:tmpl w:val="A8A8C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55C3B93"/>
    <w:multiLevelType w:val="hybridMultilevel"/>
    <w:tmpl w:val="37EA83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EEF20D1"/>
    <w:multiLevelType w:val="hybridMultilevel"/>
    <w:tmpl w:val="F8242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156910"/>
    <w:multiLevelType w:val="hybridMultilevel"/>
    <w:tmpl w:val="F8242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91AFF"/>
    <w:multiLevelType w:val="multilevel"/>
    <w:tmpl w:val="D542F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41BB1"/>
    <w:multiLevelType w:val="multilevel"/>
    <w:tmpl w:val="34CCE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2"/>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8D5"/>
    <w:rsid w:val="00034616"/>
    <w:rsid w:val="000467E3"/>
    <w:rsid w:val="00050B30"/>
    <w:rsid w:val="000533D0"/>
    <w:rsid w:val="00057A78"/>
    <w:rsid w:val="0006063C"/>
    <w:rsid w:val="000C126B"/>
    <w:rsid w:val="000F075C"/>
    <w:rsid w:val="001026FD"/>
    <w:rsid w:val="00104C77"/>
    <w:rsid w:val="0015074B"/>
    <w:rsid w:val="001605C1"/>
    <w:rsid w:val="00172CE3"/>
    <w:rsid w:val="001A3726"/>
    <w:rsid w:val="001A46FB"/>
    <w:rsid w:val="001B4F99"/>
    <w:rsid w:val="001E3269"/>
    <w:rsid w:val="00275DE1"/>
    <w:rsid w:val="0028310E"/>
    <w:rsid w:val="0029639D"/>
    <w:rsid w:val="002A408D"/>
    <w:rsid w:val="002B00C8"/>
    <w:rsid w:val="00303AD7"/>
    <w:rsid w:val="00326F90"/>
    <w:rsid w:val="00351D57"/>
    <w:rsid w:val="003619B8"/>
    <w:rsid w:val="00371ECE"/>
    <w:rsid w:val="00372409"/>
    <w:rsid w:val="003779C8"/>
    <w:rsid w:val="00381C5E"/>
    <w:rsid w:val="003C2635"/>
    <w:rsid w:val="003E1E4C"/>
    <w:rsid w:val="004333E1"/>
    <w:rsid w:val="004468AA"/>
    <w:rsid w:val="00474102"/>
    <w:rsid w:val="00484020"/>
    <w:rsid w:val="004A08CA"/>
    <w:rsid w:val="004C3A23"/>
    <w:rsid w:val="004C6D80"/>
    <w:rsid w:val="004D730D"/>
    <w:rsid w:val="00522AB3"/>
    <w:rsid w:val="0053518B"/>
    <w:rsid w:val="00536094"/>
    <w:rsid w:val="00545286"/>
    <w:rsid w:val="00546ED9"/>
    <w:rsid w:val="005556F5"/>
    <w:rsid w:val="00596A1D"/>
    <w:rsid w:val="005B1F7B"/>
    <w:rsid w:val="005D2893"/>
    <w:rsid w:val="00613930"/>
    <w:rsid w:val="00627BBA"/>
    <w:rsid w:val="006A1C26"/>
    <w:rsid w:val="00720504"/>
    <w:rsid w:val="007217B9"/>
    <w:rsid w:val="007279AA"/>
    <w:rsid w:val="00757334"/>
    <w:rsid w:val="00831672"/>
    <w:rsid w:val="0085436C"/>
    <w:rsid w:val="00873211"/>
    <w:rsid w:val="00875836"/>
    <w:rsid w:val="008C1E64"/>
    <w:rsid w:val="008F6390"/>
    <w:rsid w:val="00946106"/>
    <w:rsid w:val="00965297"/>
    <w:rsid w:val="00970F29"/>
    <w:rsid w:val="009F0088"/>
    <w:rsid w:val="00A03C3B"/>
    <w:rsid w:val="00A105FD"/>
    <w:rsid w:val="00A11DA5"/>
    <w:rsid w:val="00A2027D"/>
    <w:rsid w:val="00AA1D8D"/>
    <w:rsid w:val="00AA4EA3"/>
    <w:rsid w:val="00AE24F3"/>
    <w:rsid w:val="00B43D1C"/>
    <w:rsid w:val="00B47730"/>
    <w:rsid w:val="00B849FB"/>
    <w:rsid w:val="00BD6127"/>
    <w:rsid w:val="00C11B1B"/>
    <w:rsid w:val="00C427A5"/>
    <w:rsid w:val="00C51058"/>
    <w:rsid w:val="00CB0664"/>
    <w:rsid w:val="00CB2010"/>
    <w:rsid w:val="00D24B7A"/>
    <w:rsid w:val="00D44BE2"/>
    <w:rsid w:val="00E30DDA"/>
    <w:rsid w:val="00E3251B"/>
    <w:rsid w:val="00E751D7"/>
    <w:rsid w:val="00E83980"/>
    <w:rsid w:val="00EA4C55"/>
    <w:rsid w:val="00F31EA0"/>
    <w:rsid w:val="00F4400B"/>
    <w:rsid w:val="00F64C53"/>
    <w:rsid w:val="00F76351"/>
    <w:rsid w:val="00FA69E7"/>
    <w:rsid w:val="00FC693F"/>
    <w:rsid w:val="00FF24E4"/>
    <w:rsid w:val="00FF27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813D3C6"/>
  <w14:defaultImageDpi w14:val="300"/>
  <w15:docId w15:val="{899FC4DB-45BD-42B3-9032-D61C5EC8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F277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38587">
      <w:bodyDiv w:val="1"/>
      <w:marLeft w:val="0"/>
      <w:marRight w:val="0"/>
      <w:marTop w:val="0"/>
      <w:marBottom w:val="0"/>
      <w:divBdr>
        <w:top w:val="none" w:sz="0" w:space="0" w:color="auto"/>
        <w:left w:val="none" w:sz="0" w:space="0" w:color="auto"/>
        <w:bottom w:val="none" w:sz="0" w:space="0" w:color="auto"/>
        <w:right w:val="none" w:sz="0" w:space="0" w:color="auto"/>
      </w:divBdr>
    </w:div>
    <w:div w:id="187111017">
      <w:bodyDiv w:val="1"/>
      <w:marLeft w:val="0"/>
      <w:marRight w:val="0"/>
      <w:marTop w:val="0"/>
      <w:marBottom w:val="0"/>
      <w:divBdr>
        <w:top w:val="none" w:sz="0" w:space="0" w:color="auto"/>
        <w:left w:val="none" w:sz="0" w:space="0" w:color="auto"/>
        <w:bottom w:val="none" w:sz="0" w:space="0" w:color="auto"/>
        <w:right w:val="none" w:sz="0" w:space="0" w:color="auto"/>
      </w:divBdr>
    </w:div>
    <w:div w:id="227108375">
      <w:bodyDiv w:val="1"/>
      <w:marLeft w:val="0"/>
      <w:marRight w:val="0"/>
      <w:marTop w:val="0"/>
      <w:marBottom w:val="0"/>
      <w:divBdr>
        <w:top w:val="none" w:sz="0" w:space="0" w:color="auto"/>
        <w:left w:val="none" w:sz="0" w:space="0" w:color="auto"/>
        <w:bottom w:val="none" w:sz="0" w:space="0" w:color="auto"/>
        <w:right w:val="none" w:sz="0" w:space="0" w:color="auto"/>
      </w:divBdr>
    </w:div>
    <w:div w:id="589856371">
      <w:bodyDiv w:val="1"/>
      <w:marLeft w:val="0"/>
      <w:marRight w:val="0"/>
      <w:marTop w:val="0"/>
      <w:marBottom w:val="0"/>
      <w:divBdr>
        <w:top w:val="none" w:sz="0" w:space="0" w:color="auto"/>
        <w:left w:val="none" w:sz="0" w:space="0" w:color="auto"/>
        <w:bottom w:val="none" w:sz="0" w:space="0" w:color="auto"/>
        <w:right w:val="none" w:sz="0" w:space="0" w:color="auto"/>
      </w:divBdr>
    </w:div>
    <w:div w:id="595747277">
      <w:bodyDiv w:val="1"/>
      <w:marLeft w:val="0"/>
      <w:marRight w:val="0"/>
      <w:marTop w:val="0"/>
      <w:marBottom w:val="0"/>
      <w:divBdr>
        <w:top w:val="none" w:sz="0" w:space="0" w:color="auto"/>
        <w:left w:val="none" w:sz="0" w:space="0" w:color="auto"/>
        <w:bottom w:val="none" w:sz="0" w:space="0" w:color="auto"/>
        <w:right w:val="none" w:sz="0" w:space="0" w:color="auto"/>
      </w:divBdr>
    </w:div>
    <w:div w:id="612324063">
      <w:bodyDiv w:val="1"/>
      <w:marLeft w:val="0"/>
      <w:marRight w:val="0"/>
      <w:marTop w:val="0"/>
      <w:marBottom w:val="0"/>
      <w:divBdr>
        <w:top w:val="none" w:sz="0" w:space="0" w:color="auto"/>
        <w:left w:val="none" w:sz="0" w:space="0" w:color="auto"/>
        <w:bottom w:val="none" w:sz="0" w:space="0" w:color="auto"/>
        <w:right w:val="none" w:sz="0" w:space="0" w:color="auto"/>
      </w:divBdr>
    </w:div>
    <w:div w:id="817577538">
      <w:bodyDiv w:val="1"/>
      <w:marLeft w:val="0"/>
      <w:marRight w:val="0"/>
      <w:marTop w:val="0"/>
      <w:marBottom w:val="0"/>
      <w:divBdr>
        <w:top w:val="none" w:sz="0" w:space="0" w:color="auto"/>
        <w:left w:val="none" w:sz="0" w:space="0" w:color="auto"/>
        <w:bottom w:val="none" w:sz="0" w:space="0" w:color="auto"/>
        <w:right w:val="none" w:sz="0" w:space="0" w:color="auto"/>
      </w:divBdr>
    </w:div>
    <w:div w:id="1009604256">
      <w:bodyDiv w:val="1"/>
      <w:marLeft w:val="0"/>
      <w:marRight w:val="0"/>
      <w:marTop w:val="0"/>
      <w:marBottom w:val="0"/>
      <w:divBdr>
        <w:top w:val="none" w:sz="0" w:space="0" w:color="auto"/>
        <w:left w:val="none" w:sz="0" w:space="0" w:color="auto"/>
        <w:bottom w:val="none" w:sz="0" w:space="0" w:color="auto"/>
        <w:right w:val="none" w:sz="0" w:space="0" w:color="auto"/>
      </w:divBdr>
    </w:div>
    <w:div w:id="1203857919">
      <w:bodyDiv w:val="1"/>
      <w:marLeft w:val="0"/>
      <w:marRight w:val="0"/>
      <w:marTop w:val="0"/>
      <w:marBottom w:val="0"/>
      <w:divBdr>
        <w:top w:val="none" w:sz="0" w:space="0" w:color="auto"/>
        <w:left w:val="none" w:sz="0" w:space="0" w:color="auto"/>
        <w:bottom w:val="none" w:sz="0" w:space="0" w:color="auto"/>
        <w:right w:val="none" w:sz="0" w:space="0" w:color="auto"/>
      </w:divBdr>
    </w:div>
    <w:div w:id="1328434752">
      <w:bodyDiv w:val="1"/>
      <w:marLeft w:val="0"/>
      <w:marRight w:val="0"/>
      <w:marTop w:val="0"/>
      <w:marBottom w:val="0"/>
      <w:divBdr>
        <w:top w:val="none" w:sz="0" w:space="0" w:color="auto"/>
        <w:left w:val="none" w:sz="0" w:space="0" w:color="auto"/>
        <w:bottom w:val="none" w:sz="0" w:space="0" w:color="auto"/>
        <w:right w:val="none" w:sz="0" w:space="0" w:color="auto"/>
      </w:divBdr>
    </w:div>
    <w:div w:id="1330210508">
      <w:bodyDiv w:val="1"/>
      <w:marLeft w:val="0"/>
      <w:marRight w:val="0"/>
      <w:marTop w:val="0"/>
      <w:marBottom w:val="0"/>
      <w:divBdr>
        <w:top w:val="none" w:sz="0" w:space="0" w:color="auto"/>
        <w:left w:val="none" w:sz="0" w:space="0" w:color="auto"/>
        <w:bottom w:val="none" w:sz="0" w:space="0" w:color="auto"/>
        <w:right w:val="none" w:sz="0" w:space="0" w:color="auto"/>
      </w:divBdr>
    </w:div>
    <w:div w:id="1340620813">
      <w:bodyDiv w:val="1"/>
      <w:marLeft w:val="0"/>
      <w:marRight w:val="0"/>
      <w:marTop w:val="0"/>
      <w:marBottom w:val="0"/>
      <w:divBdr>
        <w:top w:val="none" w:sz="0" w:space="0" w:color="auto"/>
        <w:left w:val="none" w:sz="0" w:space="0" w:color="auto"/>
        <w:bottom w:val="none" w:sz="0" w:space="0" w:color="auto"/>
        <w:right w:val="none" w:sz="0" w:space="0" w:color="auto"/>
      </w:divBdr>
    </w:div>
    <w:div w:id="1387292688">
      <w:bodyDiv w:val="1"/>
      <w:marLeft w:val="0"/>
      <w:marRight w:val="0"/>
      <w:marTop w:val="0"/>
      <w:marBottom w:val="0"/>
      <w:divBdr>
        <w:top w:val="none" w:sz="0" w:space="0" w:color="auto"/>
        <w:left w:val="none" w:sz="0" w:space="0" w:color="auto"/>
        <w:bottom w:val="none" w:sz="0" w:space="0" w:color="auto"/>
        <w:right w:val="none" w:sz="0" w:space="0" w:color="auto"/>
      </w:divBdr>
    </w:div>
    <w:div w:id="1404058408">
      <w:bodyDiv w:val="1"/>
      <w:marLeft w:val="0"/>
      <w:marRight w:val="0"/>
      <w:marTop w:val="0"/>
      <w:marBottom w:val="0"/>
      <w:divBdr>
        <w:top w:val="none" w:sz="0" w:space="0" w:color="auto"/>
        <w:left w:val="none" w:sz="0" w:space="0" w:color="auto"/>
        <w:bottom w:val="none" w:sz="0" w:space="0" w:color="auto"/>
        <w:right w:val="none" w:sz="0" w:space="0" w:color="auto"/>
      </w:divBdr>
    </w:div>
    <w:div w:id="1513567132">
      <w:bodyDiv w:val="1"/>
      <w:marLeft w:val="0"/>
      <w:marRight w:val="0"/>
      <w:marTop w:val="0"/>
      <w:marBottom w:val="0"/>
      <w:divBdr>
        <w:top w:val="none" w:sz="0" w:space="0" w:color="auto"/>
        <w:left w:val="none" w:sz="0" w:space="0" w:color="auto"/>
        <w:bottom w:val="none" w:sz="0" w:space="0" w:color="auto"/>
        <w:right w:val="none" w:sz="0" w:space="0" w:color="auto"/>
      </w:divBdr>
    </w:div>
    <w:div w:id="1574508433">
      <w:bodyDiv w:val="1"/>
      <w:marLeft w:val="0"/>
      <w:marRight w:val="0"/>
      <w:marTop w:val="0"/>
      <w:marBottom w:val="0"/>
      <w:divBdr>
        <w:top w:val="none" w:sz="0" w:space="0" w:color="auto"/>
        <w:left w:val="none" w:sz="0" w:space="0" w:color="auto"/>
        <w:bottom w:val="none" w:sz="0" w:space="0" w:color="auto"/>
        <w:right w:val="none" w:sz="0" w:space="0" w:color="auto"/>
      </w:divBdr>
    </w:div>
    <w:div w:id="1580479485">
      <w:bodyDiv w:val="1"/>
      <w:marLeft w:val="0"/>
      <w:marRight w:val="0"/>
      <w:marTop w:val="0"/>
      <w:marBottom w:val="0"/>
      <w:divBdr>
        <w:top w:val="none" w:sz="0" w:space="0" w:color="auto"/>
        <w:left w:val="none" w:sz="0" w:space="0" w:color="auto"/>
        <w:bottom w:val="none" w:sz="0" w:space="0" w:color="auto"/>
        <w:right w:val="none" w:sz="0" w:space="0" w:color="auto"/>
      </w:divBdr>
    </w:div>
    <w:div w:id="1592277144">
      <w:bodyDiv w:val="1"/>
      <w:marLeft w:val="0"/>
      <w:marRight w:val="0"/>
      <w:marTop w:val="0"/>
      <w:marBottom w:val="0"/>
      <w:divBdr>
        <w:top w:val="none" w:sz="0" w:space="0" w:color="auto"/>
        <w:left w:val="none" w:sz="0" w:space="0" w:color="auto"/>
        <w:bottom w:val="none" w:sz="0" w:space="0" w:color="auto"/>
        <w:right w:val="none" w:sz="0" w:space="0" w:color="auto"/>
      </w:divBdr>
    </w:div>
    <w:div w:id="1643339984">
      <w:bodyDiv w:val="1"/>
      <w:marLeft w:val="0"/>
      <w:marRight w:val="0"/>
      <w:marTop w:val="0"/>
      <w:marBottom w:val="0"/>
      <w:divBdr>
        <w:top w:val="none" w:sz="0" w:space="0" w:color="auto"/>
        <w:left w:val="none" w:sz="0" w:space="0" w:color="auto"/>
        <w:bottom w:val="none" w:sz="0" w:space="0" w:color="auto"/>
        <w:right w:val="none" w:sz="0" w:space="0" w:color="auto"/>
      </w:divBdr>
    </w:div>
    <w:div w:id="1663852620">
      <w:bodyDiv w:val="1"/>
      <w:marLeft w:val="0"/>
      <w:marRight w:val="0"/>
      <w:marTop w:val="0"/>
      <w:marBottom w:val="0"/>
      <w:divBdr>
        <w:top w:val="none" w:sz="0" w:space="0" w:color="auto"/>
        <w:left w:val="none" w:sz="0" w:space="0" w:color="auto"/>
        <w:bottom w:val="none" w:sz="0" w:space="0" w:color="auto"/>
        <w:right w:val="none" w:sz="0" w:space="0" w:color="auto"/>
      </w:divBdr>
    </w:div>
    <w:div w:id="1704867853">
      <w:bodyDiv w:val="1"/>
      <w:marLeft w:val="0"/>
      <w:marRight w:val="0"/>
      <w:marTop w:val="0"/>
      <w:marBottom w:val="0"/>
      <w:divBdr>
        <w:top w:val="none" w:sz="0" w:space="0" w:color="auto"/>
        <w:left w:val="none" w:sz="0" w:space="0" w:color="auto"/>
        <w:bottom w:val="none" w:sz="0" w:space="0" w:color="auto"/>
        <w:right w:val="none" w:sz="0" w:space="0" w:color="auto"/>
      </w:divBdr>
    </w:div>
    <w:div w:id="1855260464">
      <w:bodyDiv w:val="1"/>
      <w:marLeft w:val="0"/>
      <w:marRight w:val="0"/>
      <w:marTop w:val="0"/>
      <w:marBottom w:val="0"/>
      <w:divBdr>
        <w:top w:val="none" w:sz="0" w:space="0" w:color="auto"/>
        <w:left w:val="none" w:sz="0" w:space="0" w:color="auto"/>
        <w:bottom w:val="none" w:sz="0" w:space="0" w:color="auto"/>
        <w:right w:val="none" w:sz="0" w:space="0" w:color="auto"/>
      </w:divBdr>
    </w:div>
    <w:div w:id="2008094736">
      <w:bodyDiv w:val="1"/>
      <w:marLeft w:val="0"/>
      <w:marRight w:val="0"/>
      <w:marTop w:val="0"/>
      <w:marBottom w:val="0"/>
      <w:divBdr>
        <w:top w:val="none" w:sz="0" w:space="0" w:color="auto"/>
        <w:left w:val="none" w:sz="0" w:space="0" w:color="auto"/>
        <w:bottom w:val="none" w:sz="0" w:space="0" w:color="auto"/>
        <w:right w:val="none" w:sz="0" w:space="0" w:color="auto"/>
      </w:divBdr>
    </w:div>
    <w:div w:id="2064253435">
      <w:bodyDiv w:val="1"/>
      <w:marLeft w:val="0"/>
      <w:marRight w:val="0"/>
      <w:marTop w:val="0"/>
      <w:marBottom w:val="0"/>
      <w:divBdr>
        <w:top w:val="none" w:sz="0" w:space="0" w:color="auto"/>
        <w:left w:val="none" w:sz="0" w:space="0" w:color="auto"/>
        <w:bottom w:val="none" w:sz="0" w:space="0" w:color="auto"/>
        <w:right w:val="none" w:sz="0" w:space="0" w:color="auto"/>
      </w:divBdr>
    </w:div>
    <w:div w:id="2066828830">
      <w:bodyDiv w:val="1"/>
      <w:marLeft w:val="0"/>
      <w:marRight w:val="0"/>
      <w:marTop w:val="0"/>
      <w:marBottom w:val="0"/>
      <w:divBdr>
        <w:top w:val="none" w:sz="0" w:space="0" w:color="auto"/>
        <w:left w:val="none" w:sz="0" w:space="0" w:color="auto"/>
        <w:bottom w:val="none" w:sz="0" w:space="0" w:color="auto"/>
        <w:right w:val="none" w:sz="0" w:space="0" w:color="auto"/>
      </w:divBdr>
    </w:div>
    <w:div w:id="2071685925">
      <w:bodyDiv w:val="1"/>
      <w:marLeft w:val="0"/>
      <w:marRight w:val="0"/>
      <w:marTop w:val="0"/>
      <w:marBottom w:val="0"/>
      <w:divBdr>
        <w:top w:val="none" w:sz="0" w:space="0" w:color="auto"/>
        <w:left w:val="none" w:sz="0" w:space="0" w:color="auto"/>
        <w:bottom w:val="none" w:sz="0" w:space="0" w:color="auto"/>
        <w:right w:val="none" w:sz="0" w:space="0" w:color="auto"/>
      </w:divBdr>
    </w:div>
    <w:div w:id="2089495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6C3AC-AD1B-4715-B789-907095F2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11752</TotalTime>
  <Pages>11</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15</cp:revision>
  <dcterms:created xsi:type="dcterms:W3CDTF">2025-07-19T05:54:00Z</dcterms:created>
  <dcterms:modified xsi:type="dcterms:W3CDTF">2025-08-13T13:52:00Z</dcterms:modified>
</cp:coreProperties>
</file>