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AEA82" w14:textId="77777777" w:rsidR="00E06F78" w:rsidRDefault="00E06F78" w:rsidP="00E06F78">
      <w:pPr>
        <w:jc w:val="center"/>
        <w:rPr>
          <w:rFonts w:ascii="Times New Roman" w:hAnsi="Times New Roman" w:cs="Times New Roman"/>
          <w:b/>
          <w:sz w:val="24"/>
          <w:szCs w:val="24"/>
        </w:rPr>
      </w:pPr>
      <w:r>
        <w:rPr>
          <w:rFonts w:ascii="Times New Roman" w:hAnsi="Times New Roman" w:cs="Times New Roman"/>
          <w:b/>
          <w:sz w:val="24"/>
          <w:szCs w:val="24"/>
        </w:rPr>
        <w:t>EVALUATION OF ONE-MONTH BODY WEIGHT IN SANGAMNERI GOAT KIDS REARED UNDER FIELD CONDITIONS</w:t>
      </w:r>
    </w:p>
    <w:p w14:paraId="07A9E906" w14:textId="77777777" w:rsidR="008E4290" w:rsidRDefault="008E4290" w:rsidP="001B28FE">
      <w:pPr>
        <w:rPr>
          <w:rFonts w:ascii="Times New Roman" w:hAnsi="Times New Roman" w:cs="Times New Roman"/>
          <w:b/>
          <w:sz w:val="24"/>
          <w:szCs w:val="24"/>
        </w:rPr>
      </w:pPr>
    </w:p>
    <w:p w14:paraId="0D721F16" w14:textId="6E5D2D90" w:rsidR="001B28FE" w:rsidRPr="001B28FE" w:rsidRDefault="00E06F78" w:rsidP="001B28FE">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6E1F4AA2" w14:textId="77777777" w:rsidR="001B28FE" w:rsidRPr="001B28FE" w:rsidRDefault="001B28FE" w:rsidP="001B28FE">
      <w:pPr>
        <w:spacing w:line="360" w:lineRule="auto"/>
        <w:jc w:val="both"/>
        <w:rPr>
          <w:rFonts w:ascii="Times New Roman" w:hAnsi="Times New Roman" w:cs="Times New Roman"/>
          <w:sz w:val="24"/>
          <w:szCs w:val="24"/>
        </w:rPr>
      </w:pPr>
      <w:r w:rsidRPr="001B28FE">
        <w:rPr>
          <w:rFonts w:ascii="Times New Roman" w:hAnsi="Times New Roman" w:cs="Times New Roman"/>
          <w:sz w:val="24"/>
          <w:szCs w:val="24"/>
        </w:rPr>
        <w:t xml:space="preserve">The present study evaluated the influence of non-genetic factors on the one-month body weight of </w:t>
      </w:r>
      <w:proofErr w:type="spellStart"/>
      <w:r w:rsidRPr="001B28FE">
        <w:rPr>
          <w:rFonts w:ascii="Times New Roman" w:hAnsi="Times New Roman" w:cs="Times New Roman"/>
          <w:sz w:val="24"/>
          <w:szCs w:val="24"/>
        </w:rPr>
        <w:t>Sangamneri</w:t>
      </w:r>
      <w:proofErr w:type="spellEnd"/>
      <w:r w:rsidRPr="001B28FE">
        <w:rPr>
          <w:rFonts w:ascii="Times New Roman" w:hAnsi="Times New Roman" w:cs="Times New Roman"/>
          <w:sz w:val="24"/>
          <w:szCs w:val="24"/>
        </w:rPr>
        <w:t xml:space="preserve"> goat kids under village flock conditions in Maharashtra, India. Data on 14,472 kids were collected under the All India Coordinated Research Project (AICRP) on Goat Improvement, spanning four clusters (</w:t>
      </w:r>
      <w:proofErr w:type="spellStart"/>
      <w:r w:rsidRPr="001B28FE">
        <w:rPr>
          <w:rFonts w:ascii="Times New Roman" w:hAnsi="Times New Roman" w:cs="Times New Roman"/>
          <w:sz w:val="24"/>
          <w:szCs w:val="24"/>
        </w:rPr>
        <w:t>Sangamner</w:t>
      </w:r>
      <w:proofErr w:type="spellEnd"/>
      <w:r w:rsidRPr="001B28FE">
        <w:rPr>
          <w:rFonts w:ascii="Times New Roman" w:hAnsi="Times New Roman" w:cs="Times New Roman"/>
          <w:sz w:val="24"/>
          <w:szCs w:val="24"/>
        </w:rPr>
        <w:t xml:space="preserve">, </w:t>
      </w:r>
      <w:proofErr w:type="spellStart"/>
      <w:r w:rsidRPr="001B28FE">
        <w:rPr>
          <w:rFonts w:ascii="Times New Roman" w:hAnsi="Times New Roman" w:cs="Times New Roman"/>
          <w:sz w:val="24"/>
          <w:szCs w:val="24"/>
        </w:rPr>
        <w:t>Shrirampur</w:t>
      </w:r>
      <w:proofErr w:type="spellEnd"/>
      <w:r w:rsidRPr="001B28FE">
        <w:rPr>
          <w:rFonts w:ascii="Times New Roman" w:hAnsi="Times New Roman" w:cs="Times New Roman"/>
          <w:sz w:val="24"/>
          <w:szCs w:val="24"/>
        </w:rPr>
        <w:t xml:space="preserve">, </w:t>
      </w:r>
      <w:proofErr w:type="spellStart"/>
      <w:r w:rsidRPr="001B28FE">
        <w:rPr>
          <w:rFonts w:ascii="Times New Roman" w:hAnsi="Times New Roman" w:cs="Times New Roman"/>
          <w:sz w:val="24"/>
          <w:szCs w:val="24"/>
        </w:rPr>
        <w:t>Belha</w:t>
      </w:r>
      <w:proofErr w:type="spellEnd"/>
      <w:r w:rsidRPr="001B28FE">
        <w:rPr>
          <w:rFonts w:ascii="Times New Roman" w:hAnsi="Times New Roman" w:cs="Times New Roman"/>
          <w:sz w:val="24"/>
          <w:szCs w:val="24"/>
        </w:rPr>
        <w:t xml:space="preserve">, and </w:t>
      </w:r>
      <w:proofErr w:type="spellStart"/>
      <w:r w:rsidRPr="001B28FE">
        <w:rPr>
          <w:rFonts w:ascii="Times New Roman" w:hAnsi="Times New Roman" w:cs="Times New Roman"/>
          <w:sz w:val="24"/>
          <w:szCs w:val="24"/>
        </w:rPr>
        <w:t>Rahuri</w:t>
      </w:r>
      <w:proofErr w:type="spellEnd"/>
      <w:r w:rsidRPr="001B28FE">
        <w:rPr>
          <w:rFonts w:ascii="Times New Roman" w:hAnsi="Times New Roman" w:cs="Times New Roman"/>
          <w:sz w:val="24"/>
          <w:szCs w:val="24"/>
        </w:rPr>
        <w:t xml:space="preserve">) over three kidding periods (2005–2010, 2011–2015, and 2016–2020) and three seasons (rainy, winter, and summer). Using least squares analysis of variance under a fixed effects model, the effects of period of kidding, season of kidding, sex of kid, type of birth, and cluster were assessed. The overall least squares mean for one-month body weight was 5.58 ± 0.017 kg. All non-genetic factors studied had highly significant effects (P &lt; 0.01) on this trait. Kids born during 2016–2020 recorded the highest weight (6.70 ± 0.019 kg), indicating improvements in management and selection practices over time. Winter-born kids exhibited superior growth (5.70 ± 0.019 kg) compared to those born in summer or rainy seasons, likely due to enhanced maternal nutrition and climatic conditions. Male kids (5.76 ± 0.020 kg) significantly outperformed females (5.40 ± 0.020 kg), reflecting physiological growth advantages. Singleton kids had higher weights (5.72 ± 0.022 kg) compared to twins (5.58 ± 0.016 kg) and triplets (5.44 ± 0.038 kg), likely due to reduced intrauterine and postnatal competition. Among clusters, </w:t>
      </w:r>
      <w:proofErr w:type="spellStart"/>
      <w:r w:rsidRPr="001B28FE">
        <w:rPr>
          <w:rFonts w:ascii="Times New Roman" w:hAnsi="Times New Roman" w:cs="Times New Roman"/>
          <w:sz w:val="24"/>
          <w:szCs w:val="24"/>
        </w:rPr>
        <w:t>Rahuri</w:t>
      </w:r>
      <w:proofErr w:type="spellEnd"/>
      <w:r w:rsidRPr="001B28FE">
        <w:rPr>
          <w:rFonts w:ascii="Times New Roman" w:hAnsi="Times New Roman" w:cs="Times New Roman"/>
          <w:sz w:val="24"/>
          <w:szCs w:val="24"/>
        </w:rPr>
        <w:t xml:space="preserve"> (Cluster 4) recorded the highest average weight (6.02 ± 0.034 kg), suggesting that institutional support and improved veterinary access positively influenced early growth. These findings underscore the critical role of environmental and managemental factors in shaping early growth performance and provide actionable insights for optimizing </w:t>
      </w:r>
      <w:proofErr w:type="spellStart"/>
      <w:r w:rsidRPr="001B28FE">
        <w:rPr>
          <w:rFonts w:ascii="Times New Roman" w:hAnsi="Times New Roman" w:cs="Times New Roman"/>
          <w:sz w:val="24"/>
          <w:szCs w:val="24"/>
        </w:rPr>
        <w:t>Sangamneri</w:t>
      </w:r>
      <w:proofErr w:type="spellEnd"/>
      <w:r w:rsidRPr="001B28FE">
        <w:rPr>
          <w:rFonts w:ascii="Times New Roman" w:hAnsi="Times New Roman" w:cs="Times New Roman"/>
          <w:sz w:val="24"/>
          <w:szCs w:val="24"/>
        </w:rPr>
        <w:t xml:space="preserve"> goat productivity through targeted, location-specific interventions.</w:t>
      </w:r>
    </w:p>
    <w:p w14:paraId="417F192B" w14:textId="77777777" w:rsidR="00E06F78" w:rsidRDefault="00E06F78" w:rsidP="00E06F78">
      <w:pPr>
        <w:rPr>
          <w:rFonts w:ascii="Times New Roman" w:hAnsi="Times New Roman" w:cs="Times New Roman"/>
          <w:b/>
          <w:sz w:val="24"/>
          <w:szCs w:val="24"/>
        </w:rPr>
      </w:pPr>
      <w:r>
        <w:rPr>
          <w:rFonts w:ascii="Times New Roman" w:hAnsi="Times New Roman" w:cs="Times New Roman"/>
          <w:b/>
          <w:sz w:val="24"/>
          <w:szCs w:val="24"/>
        </w:rPr>
        <w:t>Introduction</w:t>
      </w:r>
    </w:p>
    <w:p w14:paraId="43F56B40" w14:textId="77777777" w:rsidR="00D10170" w:rsidRPr="000C4F44" w:rsidRDefault="00E06F78" w:rsidP="000C4F44">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C115DC">
        <w:rPr>
          <w:rFonts w:ascii="Times New Roman" w:hAnsi="Times New Roman" w:cs="Times New Roman"/>
          <w:color w:val="000000" w:themeColor="text1"/>
          <w:sz w:val="24"/>
          <w:szCs w:val="24"/>
          <w:shd w:val="clear" w:color="auto" w:fill="FFFFFF"/>
        </w:rPr>
        <w:t>In India, rearing</w:t>
      </w:r>
      <w:r w:rsidRPr="00E06F78">
        <w:rPr>
          <w:rFonts w:ascii="Times New Roman" w:hAnsi="Times New Roman" w:cs="Times New Roman"/>
          <w:color w:val="000000" w:themeColor="text1"/>
          <w:sz w:val="24"/>
          <w:szCs w:val="24"/>
          <w:shd w:val="clear" w:color="auto" w:fill="FFFFFF"/>
        </w:rPr>
        <w:t xml:space="preserve"> goats is crucial for the survival of small and marginal farmers, especially in semi-arid, rain-fed, and tribal areas. The 20</w:t>
      </w:r>
      <w:r w:rsidRPr="007915E1">
        <w:rPr>
          <w:rFonts w:ascii="Times New Roman" w:hAnsi="Times New Roman" w:cs="Times New Roman"/>
          <w:color w:val="000000" w:themeColor="text1"/>
          <w:sz w:val="24"/>
          <w:szCs w:val="24"/>
          <w:shd w:val="clear" w:color="auto" w:fill="FFFFFF"/>
          <w:vertAlign w:val="superscript"/>
        </w:rPr>
        <w:t>th</w:t>
      </w:r>
      <w:r w:rsidRPr="00E06F78">
        <w:rPr>
          <w:rFonts w:ascii="Times New Roman" w:hAnsi="Times New Roman" w:cs="Times New Roman"/>
          <w:color w:val="000000" w:themeColor="text1"/>
          <w:sz w:val="24"/>
          <w:szCs w:val="24"/>
          <w:shd w:val="clear" w:color="auto" w:fill="FFFFFF"/>
        </w:rPr>
        <w:t xml:space="preserve"> Livestock Census from 2019 shows that India has about 148.88 million go</w:t>
      </w:r>
      <w:r w:rsidR="007915E1">
        <w:rPr>
          <w:rFonts w:ascii="Times New Roman" w:hAnsi="Times New Roman" w:cs="Times New Roman"/>
          <w:color w:val="000000" w:themeColor="text1"/>
          <w:sz w:val="24"/>
          <w:szCs w:val="24"/>
          <w:shd w:val="clear" w:color="auto" w:fill="FFFFFF"/>
        </w:rPr>
        <w:t xml:space="preserve">ats, </w:t>
      </w:r>
      <w:r w:rsidR="00C115DC">
        <w:rPr>
          <w:rFonts w:ascii="Times New Roman" w:hAnsi="Times New Roman" w:cs="Times New Roman"/>
          <w:color w:val="000000" w:themeColor="text1"/>
          <w:sz w:val="24"/>
          <w:szCs w:val="24"/>
          <w:shd w:val="clear" w:color="auto" w:fill="FFFFFF"/>
        </w:rPr>
        <w:t>this number comprises a significant portion</w:t>
      </w:r>
      <w:r w:rsidRPr="00E06F78">
        <w:rPr>
          <w:rFonts w:ascii="Times New Roman" w:hAnsi="Times New Roman" w:cs="Times New Roman"/>
          <w:color w:val="000000" w:themeColor="text1"/>
          <w:sz w:val="24"/>
          <w:szCs w:val="24"/>
          <w:shd w:val="clear" w:color="auto" w:fill="FFFFFF"/>
        </w:rPr>
        <w:t xml:space="preserve"> of the country’s total livestock</w:t>
      </w:r>
      <w:r w:rsidR="00C115DC">
        <w:rPr>
          <w:rFonts w:ascii="Times New Roman" w:hAnsi="Times New Roman" w:cs="Times New Roman"/>
          <w:color w:val="000000" w:themeColor="text1"/>
          <w:sz w:val="24"/>
          <w:szCs w:val="24"/>
          <w:shd w:val="clear" w:color="auto" w:fill="FFFFFF"/>
        </w:rPr>
        <w:t xml:space="preserve"> pop</w:t>
      </w:r>
      <w:r w:rsidR="007915E1">
        <w:rPr>
          <w:rFonts w:ascii="Times New Roman" w:hAnsi="Times New Roman" w:cs="Times New Roman"/>
          <w:color w:val="000000" w:themeColor="text1"/>
          <w:sz w:val="24"/>
          <w:szCs w:val="24"/>
          <w:shd w:val="clear" w:color="auto" w:fill="FFFFFF"/>
        </w:rPr>
        <w:t>u</w:t>
      </w:r>
      <w:r w:rsidR="00C115DC">
        <w:rPr>
          <w:rFonts w:ascii="Times New Roman" w:hAnsi="Times New Roman" w:cs="Times New Roman"/>
          <w:color w:val="000000" w:themeColor="text1"/>
          <w:sz w:val="24"/>
          <w:szCs w:val="24"/>
          <w:shd w:val="clear" w:color="auto" w:fill="FFFFFF"/>
        </w:rPr>
        <w:t>lation. These small ruminants</w:t>
      </w:r>
      <w:r w:rsidRPr="00E06F78">
        <w:rPr>
          <w:rFonts w:ascii="Times New Roman" w:hAnsi="Times New Roman" w:cs="Times New Roman"/>
          <w:color w:val="000000" w:themeColor="text1"/>
          <w:sz w:val="24"/>
          <w:szCs w:val="24"/>
          <w:shd w:val="clear" w:color="auto" w:fill="FFFFFF"/>
        </w:rPr>
        <w:t xml:space="preserve"> are key to the rural economy, providing meat, milk, manure, and skin. In Maharashtra, goats are woven into the fabric of mixed farming. The state is home to more than 10.58 million goats, ranking it among the top states for goat rearing in India </w:t>
      </w:r>
      <w:r w:rsidRPr="00E06F78">
        <w:rPr>
          <w:rFonts w:ascii="Times New Roman" w:hAnsi="Times New Roman" w:cs="Times New Roman"/>
          <w:color w:val="000000" w:themeColor="text1"/>
          <w:sz w:val="24"/>
          <w:szCs w:val="24"/>
          <w:shd w:val="clear" w:color="auto" w:fill="FFFFFF"/>
        </w:rPr>
        <w:lastRenderedPageBreak/>
        <w:t>(Department of Animal Husbandry and Dairying, 2020</w:t>
      </w:r>
      <w:r w:rsidRPr="00C115DC">
        <w:rPr>
          <w:rFonts w:ascii="Times New Roman" w:hAnsi="Times New Roman" w:cs="Times New Roman"/>
          <w:color w:val="000000" w:themeColor="text1"/>
          <w:sz w:val="24"/>
          <w:szCs w:val="24"/>
          <w:shd w:val="clear" w:color="auto" w:fill="FFFFFF"/>
        </w:rPr>
        <w:t>).</w:t>
      </w:r>
      <w:r w:rsidR="00C115DC" w:rsidRPr="00C115DC">
        <w:rPr>
          <w:rFonts w:ascii="Times New Roman" w:hAnsi="Times New Roman" w:cs="Times New Roman"/>
          <w:color w:val="000000" w:themeColor="text1"/>
          <w:sz w:val="24"/>
          <w:szCs w:val="24"/>
          <w:shd w:val="clear" w:color="auto" w:fill="FFFFFF"/>
        </w:rPr>
        <w:t xml:space="preserve"> </w:t>
      </w:r>
      <w:r w:rsidR="00C115DC" w:rsidRPr="00C115DC">
        <w:rPr>
          <w:rFonts w:ascii="Times New Roman" w:hAnsi="Times New Roman" w:cs="Times New Roman"/>
          <w:sz w:val="24"/>
          <w:szCs w:val="24"/>
        </w:rPr>
        <w:t xml:space="preserve">A popular native breed in Maharashtra, </w:t>
      </w:r>
      <w:proofErr w:type="spellStart"/>
      <w:r w:rsidR="00C115DC" w:rsidRPr="00C115DC">
        <w:rPr>
          <w:rFonts w:ascii="Times New Roman" w:hAnsi="Times New Roman" w:cs="Times New Roman"/>
          <w:sz w:val="24"/>
          <w:szCs w:val="24"/>
        </w:rPr>
        <w:t>Sangamneri</w:t>
      </w:r>
      <w:proofErr w:type="spellEnd"/>
      <w:r w:rsidR="00C115DC" w:rsidRPr="00C115DC">
        <w:rPr>
          <w:rFonts w:ascii="Times New Roman" w:hAnsi="Times New Roman" w:cs="Times New Roman"/>
          <w:sz w:val="24"/>
          <w:szCs w:val="24"/>
        </w:rPr>
        <w:t xml:space="preserve"> goats are primarily found in the districts of </w:t>
      </w:r>
      <w:proofErr w:type="spellStart"/>
      <w:r w:rsidR="00C115DC" w:rsidRPr="00C115DC">
        <w:rPr>
          <w:rFonts w:ascii="Times New Roman" w:hAnsi="Times New Roman" w:cs="Times New Roman"/>
          <w:sz w:val="24"/>
          <w:szCs w:val="24"/>
        </w:rPr>
        <w:t>Sangamner</w:t>
      </w:r>
      <w:proofErr w:type="spellEnd"/>
      <w:r w:rsidR="00C115DC" w:rsidRPr="00C115DC">
        <w:rPr>
          <w:rFonts w:ascii="Times New Roman" w:hAnsi="Times New Roman" w:cs="Times New Roman"/>
          <w:sz w:val="24"/>
          <w:szCs w:val="24"/>
        </w:rPr>
        <w:t>, Ahmednagar, and Nashik. The animals flourish in the local agro</w:t>
      </w:r>
      <w:r w:rsidR="007C2D8F">
        <w:rPr>
          <w:rFonts w:ascii="Times New Roman" w:hAnsi="Times New Roman" w:cs="Times New Roman"/>
          <w:sz w:val="24"/>
          <w:szCs w:val="24"/>
        </w:rPr>
        <w:t>-</w:t>
      </w:r>
      <w:r w:rsidR="00C115DC" w:rsidRPr="00C115DC">
        <w:rPr>
          <w:rFonts w:ascii="Times New Roman" w:hAnsi="Times New Roman" w:cs="Times New Roman"/>
          <w:sz w:val="24"/>
          <w:szCs w:val="24"/>
        </w:rPr>
        <w:t>climatic conditions, and farmers typically house them in exte</w:t>
      </w:r>
      <w:r w:rsidR="00C115DC">
        <w:rPr>
          <w:rFonts w:ascii="Times New Roman" w:hAnsi="Times New Roman" w:cs="Times New Roman"/>
          <w:sz w:val="24"/>
          <w:szCs w:val="24"/>
        </w:rPr>
        <w:t>nsive or semi-intensive rearing systems</w:t>
      </w:r>
      <w:r w:rsidR="00C115DC" w:rsidRPr="00C115DC">
        <w:rPr>
          <w:rFonts w:ascii="Times New Roman" w:hAnsi="Times New Roman" w:cs="Times New Roman"/>
          <w:sz w:val="24"/>
          <w:szCs w:val="24"/>
        </w:rPr>
        <w:t>. The breed, which is prized for its meat and milk, produces</w:t>
      </w:r>
      <w:r w:rsidR="007C2D8F">
        <w:rPr>
          <w:rFonts w:ascii="Times New Roman" w:hAnsi="Times New Roman" w:cs="Times New Roman"/>
          <w:sz w:val="24"/>
          <w:szCs w:val="24"/>
        </w:rPr>
        <w:t xml:space="preserve"> a respectable amount of milk</w:t>
      </w:r>
      <w:r w:rsidR="00B520CB">
        <w:rPr>
          <w:rFonts w:ascii="Times New Roman" w:hAnsi="Times New Roman" w:cs="Times New Roman"/>
          <w:sz w:val="24"/>
          <w:szCs w:val="24"/>
        </w:rPr>
        <w:t xml:space="preserve"> and</w:t>
      </w:r>
      <w:r w:rsidR="00C115DC" w:rsidRPr="00C115DC">
        <w:rPr>
          <w:rFonts w:ascii="Times New Roman" w:hAnsi="Times New Roman" w:cs="Times New Roman"/>
          <w:sz w:val="24"/>
          <w:szCs w:val="24"/>
        </w:rPr>
        <w:t xml:space="preserve"> is remarkably resilient, and grows steadily even in less regulated environments. </w:t>
      </w:r>
      <w:r w:rsidR="00C115DC">
        <w:rPr>
          <w:rFonts w:ascii="Times New Roman" w:hAnsi="Times New Roman" w:cs="Times New Roman"/>
          <w:sz w:val="24"/>
          <w:szCs w:val="24"/>
        </w:rPr>
        <w:t>T</w:t>
      </w:r>
      <w:r w:rsidR="00C115DC" w:rsidRPr="00C115DC">
        <w:rPr>
          <w:rFonts w:ascii="Times New Roman" w:hAnsi="Times New Roman" w:cs="Times New Roman"/>
          <w:sz w:val="24"/>
          <w:szCs w:val="24"/>
        </w:rPr>
        <w:t>he one-month body weight has become a crucial indicator. As a result, it is now a key component of early breeding stock culling or selection as well as herd management evaluation.</w:t>
      </w:r>
      <w:r w:rsidR="000C4F44">
        <w:rPr>
          <w:rFonts w:ascii="Times New Roman" w:hAnsi="Times New Roman" w:cs="Times New Roman"/>
          <w:sz w:val="24"/>
          <w:szCs w:val="24"/>
        </w:rPr>
        <w:t xml:space="preserve"> </w:t>
      </w:r>
      <w:r w:rsidR="00D10170" w:rsidRPr="000C4F44">
        <w:rPr>
          <w:rFonts w:ascii="Times New Roman" w:hAnsi="Times New Roman" w:cs="Times New Roman"/>
          <w:sz w:val="24"/>
          <w:szCs w:val="24"/>
        </w:rPr>
        <w:t>Body weight at one month is influenced not only by genetic factors, but also by environment or non-genetic f</w:t>
      </w:r>
      <w:r w:rsidR="001E6B16" w:rsidRPr="000C4F44">
        <w:rPr>
          <w:rFonts w:ascii="Times New Roman" w:hAnsi="Times New Roman" w:cs="Times New Roman"/>
          <w:sz w:val="24"/>
          <w:szCs w:val="24"/>
        </w:rPr>
        <w:t>actors, including period of kidding</w:t>
      </w:r>
      <w:r w:rsidR="00D10170" w:rsidRPr="000C4F44">
        <w:rPr>
          <w:rFonts w:ascii="Times New Roman" w:hAnsi="Times New Roman" w:cs="Times New Roman"/>
          <w:sz w:val="24"/>
          <w:szCs w:val="24"/>
        </w:rPr>
        <w:t>, season</w:t>
      </w:r>
      <w:r w:rsidR="001E6B16" w:rsidRPr="000C4F44">
        <w:rPr>
          <w:rFonts w:ascii="Times New Roman" w:hAnsi="Times New Roman" w:cs="Times New Roman"/>
          <w:sz w:val="24"/>
          <w:szCs w:val="24"/>
        </w:rPr>
        <w:t xml:space="preserve"> of kidding</w:t>
      </w:r>
      <w:r w:rsidR="00D10170" w:rsidRPr="000C4F44">
        <w:rPr>
          <w:rFonts w:ascii="Times New Roman" w:hAnsi="Times New Roman" w:cs="Times New Roman"/>
          <w:sz w:val="24"/>
          <w:szCs w:val="24"/>
        </w:rPr>
        <w:t>, sex</w:t>
      </w:r>
      <w:r w:rsidR="001E6B16" w:rsidRPr="000C4F44">
        <w:rPr>
          <w:rFonts w:ascii="Times New Roman" w:hAnsi="Times New Roman" w:cs="Times New Roman"/>
          <w:sz w:val="24"/>
          <w:szCs w:val="24"/>
        </w:rPr>
        <w:t xml:space="preserve"> of kid</w:t>
      </w:r>
      <w:r w:rsidR="00D10170" w:rsidRPr="000C4F44">
        <w:rPr>
          <w:rFonts w:ascii="Times New Roman" w:hAnsi="Times New Roman" w:cs="Times New Roman"/>
          <w:sz w:val="24"/>
          <w:szCs w:val="24"/>
        </w:rPr>
        <w:t>, ty</w:t>
      </w:r>
      <w:r w:rsidR="001E6B16" w:rsidRPr="000C4F44">
        <w:rPr>
          <w:rFonts w:ascii="Times New Roman" w:hAnsi="Times New Roman" w:cs="Times New Roman"/>
          <w:sz w:val="24"/>
          <w:szCs w:val="24"/>
        </w:rPr>
        <w:t>pe of birth and effect of clusters. These factors may effect</w:t>
      </w:r>
      <w:r w:rsidR="00D10170" w:rsidRPr="000C4F44">
        <w:rPr>
          <w:rFonts w:ascii="Times New Roman" w:hAnsi="Times New Roman" w:cs="Times New Roman"/>
          <w:sz w:val="24"/>
          <w:szCs w:val="24"/>
        </w:rPr>
        <w:t xml:space="preserve"> some early growth variation in a time when many of the sources of environmental variation </w:t>
      </w:r>
      <w:r w:rsidR="001E6B16" w:rsidRPr="000C4F44">
        <w:rPr>
          <w:rFonts w:ascii="Times New Roman" w:hAnsi="Times New Roman" w:cs="Times New Roman"/>
          <w:sz w:val="24"/>
          <w:szCs w:val="24"/>
        </w:rPr>
        <w:t>is minimal</w:t>
      </w:r>
      <w:r w:rsidR="00D10170" w:rsidRPr="000C4F44">
        <w:rPr>
          <w:rFonts w:ascii="Times New Roman" w:hAnsi="Times New Roman" w:cs="Times New Roman"/>
          <w:sz w:val="24"/>
          <w:szCs w:val="24"/>
        </w:rPr>
        <w:t>. To understand the variation in growth, the impact of these factors must be characterized and herd optimization using improved management and selection strategies assisted.</w:t>
      </w:r>
      <w:r w:rsidR="000C4F44" w:rsidRPr="000C4F44">
        <w:rPr>
          <w:rFonts w:ascii="Times New Roman" w:hAnsi="Times New Roman" w:cs="Times New Roman"/>
          <w:sz w:val="24"/>
          <w:szCs w:val="24"/>
        </w:rPr>
        <w:t xml:space="preserve"> </w:t>
      </w:r>
      <w:r w:rsidR="00D10170" w:rsidRPr="000C4F44">
        <w:rPr>
          <w:rFonts w:ascii="Times New Roman" w:hAnsi="Times New Roman" w:cs="Times New Roman"/>
          <w:sz w:val="24"/>
          <w:szCs w:val="24"/>
        </w:rPr>
        <w:t>Though early growth traits are vital in goat production, studies on performan</w:t>
      </w:r>
      <w:r w:rsidR="008203DE">
        <w:rPr>
          <w:rFonts w:ascii="Times New Roman" w:hAnsi="Times New Roman" w:cs="Times New Roman"/>
          <w:sz w:val="24"/>
          <w:szCs w:val="24"/>
        </w:rPr>
        <w:t xml:space="preserve">ce of </w:t>
      </w:r>
      <w:proofErr w:type="spellStart"/>
      <w:r w:rsidR="008203DE">
        <w:rPr>
          <w:rFonts w:ascii="Times New Roman" w:hAnsi="Times New Roman" w:cs="Times New Roman"/>
          <w:sz w:val="24"/>
          <w:szCs w:val="24"/>
        </w:rPr>
        <w:t>Sangamneri</w:t>
      </w:r>
      <w:proofErr w:type="spellEnd"/>
      <w:r w:rsidR="008203DE">
        <w:rPr>
          <w:rFonts w:ascii="Times New Roman" w:hAnsi="Times New Roman" w:cs="Times New Roman"/>
          <w:sz w:val="24"/>
          <w:szCs w:val="24"/>
        </w:rPr>
        <w:t xml:space="preserve"> kids under fiel</w:t>
      </w:r>
      <w:r w:rsidR="00D10170" w:rsidRPr="000C4F44">
        <w:rPr>
          <w:rFonts w:ascii="Times New Roman" w:hAnsi="Times New Roman" w:cs="Times New Roman"/>
          <w:sz w:val="24"/>
          <w:szCs w:val="24"/>
        </w:rPr>
        <w:t xml:space="preserve">d conditions are not many. Therefore, the present investigation was aimed to study the effect of non-genetic factors on one month body weight of </w:t>
      </w:r>
      <w:proofErr w:type="spellStart"/>
      <w:r w:rsidR="00D10170" w:rsidRPr="000C4F44">
        <w:rPr>
          <w:rFonts w:ascii="Times New Roman" w:hAnsi="Times New Roman" w:cs="Times New Roman"/>
          <w:sz w:val="24"/>
          <w:szCs w:val="24"/>
        </w:rPr>
        <w:t>Sangamneri</w:t>
      </w:r>
      <w:proofErr w:type="spellEnd"/>
      <w:r w:rsidR="00D10170" w:rsidRPr="000C4F44">
        <w:rPr>
          <w:rFonts w:ascii="Times New Roman" w:hAnsi="Times New Roman" w:cs="Times New Roman"/>
          <w:sz w:val="24"/>
          <w:szCs w:val="24"/>
        </w:rPr>
        <w:t xml:space="preserve"> goats under village flock condition in village clusters. Results of this study will contribute toward evidence-based interventions in breed management and productivity in low-input goat production systems.</w:t>
      </w:r>
    </w:p>
    <w:p w14:paraId="39204DEB" w14:textId="77777777" w:rsidR="007C2D8F" w:rsidRDefault="00D5777B" w:rsidP="00D10170">
      <w:pPr>
        <w:pStyle w:val="NormalWeb"/>
        <w:spacing w:line="360" w:lineRule="auto"/>
        <w:jc w:val="both"/>
        <w:rPr>
          <w:b/>
        </w:rPr>
      </w:pPr>
      <w:r>
        <w:rPr>
          <w:b/>
        </w:rPr>
        <w:t>Materials and methods</w:t>
      </w:r>
    </w:p>
    <w:p w14:paraId="2759F7C8" w14:textId="77777777" w:rsidR="007C2D8F" w:rsidRDefault="008203DE" w:rsidP="00D10170">
      <w:pPr>
        <w:pStyle w:val="NormalWeb"/>
        <w:spacing w:line="360" w:lineRule="auto"/>
        <w:jc w:val="both"/>
      </w:pPr>
      <w:r>
        <w:tab/>
      </w:r>
      <w:r w:rsidR="006C7733">
        <w:t xml:space="preserve">The present study was conducted on 14,472 </w:t>
      </w:r>
      <w:proofErr w:type="spellStart"/>
      <w:r w:rsidR="006C7733">
        <w:t>Sangamneri</w:t>
      </w:r>
      <w:proofErr w:type="spellEnd"/>
      <w:r w:rsidR="006C7733">
        <w:t xml:space="preserve"> goats under the All India Coordinated Research Project (AICRP) on Goat Improvement (</w:t>
      </w:r>
      <w:proofErr w:type="spellStart"/>
      <w:r w:rsidR="006C7733">
        <w:t>Sangamneri</w:t>
      </w:r>
      <w:proofErr w:type="spellEnd"/>
      <w:r w:rsidR="006C7733">
        <w:t xml:space="preserve"> field unit) at Mahatma Phule Krishi Vidyapeeth, </w:t>
      </w:r>
      <w:proofErr w:type="spellStart"/>
      <w:r w:rsidR="006C7733">
        <w:t>Rahuri</w:t>
      </w:r>
      <w:proofErr w:type="spellEnd"/>
      <w:r w:rsidR="006C7733">
        <w:t xml:space="preserve">, Maharashtra. The project operates in selected villages across Ahmednagar, Nashik, and Pune districts, with a primary focus on the genetic improvement of the </w:t>
      </w:r>
      <w:proofErr w:type="spellStart"/>
      <w:r w:rsidR="006C7733">
        <w:t>Sangamneri</w:t>
      </w:r>
      <w:proofErr w:type="spellEnd"/>
      <w:r w:rsidR="006C7733">
        <w:t xml:space="preserve"> breed through field-level selection. The goats were manage</w:t>
      </w:r>
      <w:r>
        <w:t>d under diverse rearing systems-</w:t>
      </w:r>
      <w:r w:rsidR="006C7733">
        <w:t>extensive</w:t>
      </w:r>
      <w:r>
        <w:t xml:space="preserve">, semi-intensive, and intensive, </w:t>
      </w:r>
      <w:r w:rsidR="006C7733">
        <w:t xml:space="preserve">depending on resource availability. Daily grazing for 6 to 8 hours was practiced across various terrains, supplemented with locally available feed resources such as dry grasses, jowar straw, groundnut leaves, </w:t>
      </w:r>
      <w:proofErr w:type="spellStart"/>
      <w:r w:rsidR="006C7733">
        <w:t>turchuni</w:t>
      </w:r>
      <w:proofErr w:type="spellEnd"/>
      <w:r w:rsidR="006C7733">
        <w:t xml:space="preserve">, husk, and </w:t>
      </w:r>
      <w:proofErr w:type="spellStart"/>
      <w:r w:rsidR="006C7733">
        <w:t>bhusa</w:t>
      </w:r>
      <w:proofErr w:type="spellEnd"/>
      <w:r w:rsidR="006C7733">
        <w:t xml:space="preserve">. Cultivated green fodder like Lucerne and maize was provided when available, while tree-based top feeds such as Acacia species, Ber, </w:t>
      </w:r>
      <w:proofErr w:type="spellStart"/>
      <w:r w:rsidR="006C7733">
        <w:t>Shevari</w:t>
      </w:r>
      <w:proofErr w:type="spellEnd"/>
      <w:r w:rsidR="006C7733">
        <w:t xml:space="preserve">, and Neem were used during the summer and fodder-scarce periods. Mineral mixtures and clean water were routinely offered. Housing systems </w:t>
      </w:r>
      <w:r w:rsidR="006C7733">
        <w:lastRenderedPageBreak/>
        <w:t xml:space="preserve">ranged from traditional semi-open sheds to permanent structures, designed to maintain hygiene, ventilation, and protection against predators. These practical, field-level management strategies provided a representative environment for evaluating growth traits in </w:t>
      </w:r>
      <w:proofErr w:type="spellStart"/>
      <w:r w:rsidR="006C7733">
        <w:t>Sangamneri</w:t>
      </w:r>
      <w:proofErr w:type="spellEnd"/>
      <w:r w:rsidR="006C7733">
        <w:t xml:space="preserve"> goats.</w:t>
      </w:r>
    </w:p>
    <w:p w14:paraId="41836B1A" w14:textId="77777777" w:rsidR="006C7733" w:rsidRDefault="00B520CB" w:rsidP="00D10170">
      <w:pPr>
        <w:pStyle w:val="NormalWeb"/>
        <w:spacing w:line="360" w:lineRule="auto"/>
        <w:jc w:val="both"/>
      </w:pPr>
      <w:r>
        <w:tab/>
        <w:t>`</w:t>
      </w:r>
      <w:r w:rsidR="006C7733">
        <w:t xml:space="preserve">The data on one-month body weight of </w:t>
      </w:r>
      <w:proofErr w:type="spellStart"/>
      <w:r w:rsidR="006C7733">
        <w:t>Sangamneri</w:t>
      </w:r>
      <w:proofErr w:type="spellEnd"/>
      <w:r w:rsidR="006C7733">
        <w:t xml:space="preserve"> goats were classified based on five non-genetic factors: period of kidding, season of kidding, sex of kid, type of birth, and cluster. The period of kidding was cate</w:t>
      </w:r>
      <w:r w:rsidR="000926C9">
        <w:t>gorized into three groups: 2005-</w:t>
      </w:r>
      <w:r w:rsidR="006C7733">
        <w:t>2010 (P</w:t>
      </w:r>
      <w:r w:rsidR="006C7733" w:rsidRPr="000926C9">
        <w:rPr>
          <w:vertAlign w:val="subscript"/>
        </w:rPr>
        <w:t>1</w:t>
      </w:r>
      <w:r w:rsidR="000926C9">
        <w:t>), 2011-</w:t>
      </w:r>
      <w:r w:rsidR="006C7733">
        <w:t>2015 (P</w:t>
      </w:r>
      <w:r w:rsidR="006C7733" w:rsidRPr="000926C9">
        <w:rPr>
          <w:vertAlign w:val="subscript"/>
        </w:rPr>
        <w:t>2</w:t>
      </w:r>
      <w:r w:rsidR="000926C9">
        <w:t>), and 2016-</w:t>
      </w:r>
      <w:r w:rsidR="006C7733">
        <w:t>2020 (P</w:t>
      </w:r>
      <w:r w:rsidR="006C7733" w:rsidRPr="000926C9">
        <w:rPr>
          <w:vertAlign w:val="subscript"/>
        </w:rPr>
        <w:t>3</w:t>
      </w:r>
      <w:r w:rsidR="006C7733">
        <w:t>). The season of kidding was divided into Rainy (June to September, S</w:t>
      </w:r>
      <w:r w:rsidR="006C7733" w:rsidRPr="000926C9">
        <w:rPr>
          <w:vertAlign w:val="subscript"/>
        </w:rPr>
        <w:t>1</w:t>
      </w:r>
      <w:r w:rsidR="006C7733">
        <w:t>), Winter (October to January, S</w:t>
      </w:r>
      <w:r w:rsidR="006C7733" w:rsidRPr="000926C9">
        <w:rPr>
          <w:vertAlign w:val="subscript"/>
        </w:rPr>
        <w:t>2</w:t>
      </w:r>
      <w:r w:rsidR="006C7733">
        <w:t>), and Summer (February to May, S</w:t>
      </w:r>
      <w:r w:rsidR="006C7733" w:rsidRPr="000926C9">
        <w:rPr>
          <w:vertAlign w:val="subscript"/>
        </w:rPr>
        <w:t>3</w:t>
      </w:r>
      <w:r w:rsidR="006C7733">
        <w:t>) seasons. The sex of the kid was grouped as male (M</w:t>
      </w:r>
      <w:r w:rsidR="006C7733" w:rsidRPr="000926C9">
        <w:rPr>
          <w:vertAlign w:val="subscript"/>
        </w:rPr>
        <w:t>1</w:t>
      </w:r>
      <w:r w:rsidR="006C7733">
        <w:t>) and female (M</w:t>
      </w:r>
      <w:r w:rsidR="006C7733" w:rsidRPr="000926C9">
        <w:rPr>
          <w:vertAlign w:val="subscript"/>
        </w:rPr>
        <w:t>2</w:t>
      </w:r>
      <w:r w:rsidR="006C7733">
        <w:t>). Type of birth was classified into single (T</w:t>
      </w:r>
      <w:r w:rsidR="006C7733" w:rsidRPr="000926C9">
        <w:rPr>
          <w:vertAlign w:val="subscript"/>
        </w:rPr>
        <w:t>1</w:t>
      </w:r>
      <w:r w:rsidR="006C7733">
        <w:t>), twins (T</w:t>
      </w:r>
      <w:r w:rsidR="006C7733" w:rsidRPr="000926C9">
        <w:rPr>
          <w:vertAlign w:val="subscript"/>
        </w:rPr>
        <w:t>2</w:t>
      </w:r>
      <w:r w:rsidR="006C7733">
        <w:t>), and triplets or above (T</w:t>
      </w:r>
      <w:r w:rsidR="006C7733" w:rsidRPr="000926C9">
        <w:rPr>
          <w:vertAlign w:val="subscript"/>
        </w:rPr>
        <w:t>3</w:t>
      </w:r>
      <w:r w:rsidR="006C7733">
        <w:t xml:space="preserve">). Data were also stratified according to the cluster or location where the animals were maintained, which included </w:t>
      </w:r>
      <w:proofErr w:type="spellStart"/>
      <w:r w:rsidR="006C7733">
        <w:t>Sangamner</w:t>
      </w:r>
      <w:proofErr w:type="spellEnd"/>
      <w:r w:rsidR="006C7733">
        <w:t xml:space="preserve"> (C</w:t>
      </w:r>
      <w:r w:rsidR="006C7733" w:rsidRPr="000926C9">
        <w:rPr>
          <w:vertAlign w:val="subscript"/>
        </w:rPr>
        <w:t>1</w:t>
      </w:r>
      <w:r w:rsidR="006C7733">
        <w:t xml:space="preserve">), </w:t>
      </w:r>
      <w:proofErr w:type="spellStart"/>
      <w:r w:rsidR="006C7733">
        <w:t>Shrirampur</w:t>
      </w:r>
      <w:proofErr w:type="spellEnd"/>
      <w:r w:rsidR="006C7733">
        <w:t xml:space="preserve"> (C</w:t>
      </w:r>
      <w:r w:rsidR="006C7733" w:rsidRPr="000926C9">
        <w:rPr>
          <w:vertAlign w:val="subscript"/>
        </w:rPr>
        <w:t>2</w:t>
      </w:r>
      <w:r w:rsidR="006C7733">
        <w:t xml:space="preserve">), </w:t>
      </w:r>
      <w:proofErr w:type="spellStart"/>
      <w:r w:rsidR="006C7733">
        <w:t>Belha</w:t>
      </w:r>
      <w:proofErr w:type="spellEnd"/>
      <w:r w:rsidR="006C7733">
        <w:t xml:space="preserve"> (C</w:t>
      </w:r>
      <w:r w:rsidR="006C7733" w:rsidRPr="000926C9">
        <w:rPr>
          <w:vertAlign w:val="subscript"/>
        </w:rPr>
        <w:t>3</w:t>
      </w:r>
      <w:r w:rsidR="006C7733">
        <w:t xml:space="preserve">), and </w:t>
      </w:r>
      <w:proofErr w:type="spellStart"/>
      <w:r w:rsidR="006C7733">
        <w:t>Rahuri</w:t>
      </w:r>
      <w:proofErr w:type="spellEnd"/>
      <w:r w:rsidR="006C7733">
        <w:t xml:space="preserve"> (C</w:t>
      </w:r>
      <w:r w:rsidR="006C7733" w:rsidRPr="000926C9">
        <w:rPr>
          <w:vertAlign w:val="subscript"/>
        </w:rPr>
        <w:t>4</w:t>
      </w:r>
      <w:r w:rsidR="006C7733">
        <w:t>). These classifications allowed for detailed analysis of environmental and management effects on early growth performance under field conditions.</w:t>
      </w:r>
    </w:p>
    <w:p w14:paraId="69B0AE2B" w14:textId="77777777" w:rsidR="00C762B1" w:rsidRPr="00C762B1" w:rsidRDefault="00C762B1" w:rsidP="00C762B1">
      <w:pPr>
        <w:spacing w:before="240"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Statistical analysis</w:t>
      </w:r>
    </w:p>
    <w:p w14:paraId="3A168CC6" w14:textId="77777777" w:rsidR="00C762B1" w:rsidRPr="00C762B1" w:rsidRDefault="00C762B1" w:rsidP="00C762B1">
      <w:pPr>
        <w:spacing w:before="240"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Fixed model analysis</w:t>
      </w:r>
    </w:p>
    <w:p w14:paraId="0E236A04" w14:textId="77777777" w:rsidR="00C762B1" w:rsidRPr="00C762B1" w:rsidRDefault="00C762B1" w:rsidP="00C762B1">
      <w:pPr>
        <w:spacing w:before="240" w:line="360" w:lineRule="auto"/>
        <w:ind w:firstLine="720"/>
        <w:jc w:val="both"/>
        <w:rPr>
          <w:rFonts w:ascii="Times New Roman" w:hAnsi="Times New Roman" w:cs="Times New Roman"/>
          <w:sz w:val="24"/>
          <w:szCs w:val="24"/>
        </w:rPr>
      </w:pPr>
      <w:r w:rsidRPr="00C762B1">
        <w:rPr>
          <w:rFonts w:ascii="Times New Roman" w:hAnsi="Times New Roman" w:cs="Times New Roman"/>
          <w:sz w:val="24"/>
          <w:szCs w:val="24"/>
        </w:rPr>
        <w:t xml:space="preserve">Data was analyzed by a least squares analysis of variance using the general linear model (GLM) procedure of the SAS (2004). The fixed effects that was considered are: period of kidding (three period), season of kidding (summer, rainy and winter), sex of kid in two classes (male and female), type of birth in three classes (single, twin and triplet) and cluster in four classes. The interaction between the fixed factor will not be considered. </w:t>
      </w:r>
    </w:p>
    <w:p w14:paraId="7FA6C602" w14:textId="77777777" w:rsidR="00C762B1" w:rsidRPr="00C762B1" w:rsidRDefault="00C762B1" w:rsidP="00C762B1">
      <w:pPr>
        <w:spacing w:after="0" w:line="360" w:lineRule="auto"/>
        <w:ind w:firstLine="720"/>
        <w:jc w:val="both"/>
        <w:rPr>
          <w:rFonts w:ascii="Times New Roman" w:hAnsi="Times New Roman" w:cs="Times New Roman"/>
          <w:sz w:val="24"/>
          <w:szCs w:val="24"/>
          <w:vertAlign w:val="subscript"/>
        </w:rPr>
      </w:pPr>
      <w:proofErr w:type="spellStart"/>
      <w:r w:rsidRPr="00C762B1">
        <w:rPr>
          <w:rFonts w:ascii="Times New Roman" w:hAnsi="Times New Roman" w:cs="Times New Roman"/>
          <w:sz w:val="24"/>
          <w:szCs w:val="24"/>
        </w:rPr>
        <w:t>Y</w:t>
      </w:r>
      <w:r w:rsidRPr="00C762B1">
        <w:rPr>
          <w:rFonts w:ascii="Times New Roman" w:hAnsi="Times New Roman" w:cs="Times New Roman"/>
          <w:sz w:val="24"/>
          <w:szCs w:val="24"/>
          <w:vertAlign w:val="subscript"/>
        </w:rPr>
        <w:t>ijklmn</w:t>
      </w:r>
      <w:proofErr w:type="spellEnd"/>
      <w:r w:rsidRPr="00C762B1">
        <w:rPr>
          <w:rFonts w:ascii="Times New Roman" w:hAnsi="Times New Roman" w:cs="Times New Roman"/>
          <w:sz w:val="24"/>
          <w:szCs w:val="24"/>
        </w:rPr>
        <w:t xml:space="preserve"> = µ + A</w:t>
      </w:r>
      <w:r w:rsidRPr="00C762B1">
        <w:rPr>
          <w:rFonts w:ascii="Times New Roman" w:hAnsi="Times New Roman" w:cs="Times New Roman"/>
          <w:sz w:val="24"/>
          <w:szCs w:val="24"/>
          <w:vertAlign w:val="subscript"/>
        </w:rPr>
        <w:t>i</w:t>
      </w:r>
      <w:r w:rsidRPr="00C762B1">
        <w:rPr>
          <w:rFonts w:ascii="Times New Roman" w:hAnsi="Times New Roman" w:cs="Times New Roman"/>
          <w:sz w:val="24"/>
          <w:szCs w:val="24"/>
        </w:rPr>
        <w:t xml:space="preserve"> + </w:t>
      </w:r>
      <w:proofErr w:type="spellStart"/>
      <w:r w:rsidRPr="00C762B1">
        <w:rPr>
          <w:rFonts w:ascii="Times New Roman" w:hAnsi="Times New Roman" w:cs="Times New Roman"/>
          <w:sz w:val="24"/>
          <w:szCs w:val="24"/>
        </w:rPr>
        <w:t>B</w:t>
      </w:r>
      <w:r w:rsidRPr="00C762B1">
        <w:rPr>
          <w:rFonts w:ascii="Times New Roman" w:hAnsi="Times New Roman" w:cs="Times New Roman"/>
          <w:sz w:val="24"/>
          <w:szCs w:val="24"/>
          <w:vertAlign w:val="subscript"/>
        </w:rPr>
        <w:t>j</w:t>
      </w:r>
      <w:proofErr w:type="spellEnd"/>
      <w:r w:rsidRPr="00C762B1">
        <w:rPr>
          <w:rFonts w:ascii="Times New Roman" w:hAnsi="Times New Roman" w:cs="Times New Roman"/>
          <w:sz w:val="24"/>
          <w:szCs w:val="24"/>
        </w:rPr>
        <w:t xml:space="preserve"> + C</w:t>
      </w:r>
      <w:r w:rsidRPr="00C762B1">
        <w:rPr>
          <w:rFonts w:ascii="Times New Roman" w:hAnsi="Times New Roman" w:cs="Times New Roman"/>
          <w:sz w:val="24"/>
          <w:szCs w:val="24"/>
          <w:vertAlign w:val="subscript"/>
        </w:rPr>
        <w:t>k</w:t>
      </w:r>
      <w:r w:rsidRPr="00C762B1">
        <w:rPr>
          <w:rFonts w:ascii="Times New Roman" w:hAnsi="Times New Roman" w:cs="Times New Roman"/>
          <w:sz w:val="24"/>
          <w:szCs w:val="24"/>
        </w:rPr>
        <w:t xml:space="preserve"> + D</w:t>
      </w:r>
      <w:r w:rsidRPr="00C762B1">
        <w:rPr>
          <w:rFonts w:ascii="Times New Roman" w:hAnsi="Times New Roman" w:cs="Times New Roman"/>
          <w:sz w:val="24"/>
          <w:szCs w:val="24"/>
          <w:vertAlign w:val="subscript"/>
        </w:rPr>
        <w:t>l</w:t>
      </w:r>
      <w:r w:rsidRPr="00C762B1">
        <w:rPr>
          <w:rFonts w:ascii="Times New Roman" w:hAnsi="Times New Roman" w:cs="Times New Roman"/>
          <w:sz w:val="24"/>
          <w:szCs w:val="24"/>
        </w:rPr>
        <w:t xml:space="preserve"> + </w:t>
      </w:r>
      <w:proofErr w:type="spellStart"/>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m</w:t>
      </w:r>
      <w:proofErr w:type="spellEnd"/>
      <w:r w:rsidRPr="00C762B1">
        <w:rPr>
          <w:rFonts w:ascii="Times New Roman" w:hAnsi="Times New Roman" w:cs="Times New Roman"/>
          <w:sz w:val="24"/>
          <w:szCs w:val="24"/>
        </w:rPr>
        <w:t xml:space="preserve"> + </w:t>
      </w:r>
      <w:proofErr w:type="spellStart"/>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ijklmn</w:t>
      </w:r>
      <w:proofErr w:type="spellEnd"/>
    </w:p>
    <w:p w14:paraId="3C074186" w14:textId="77777777" w:rsidR="00C762B1" w:rsidRPr="00C762B1" w:rsidRDefault="00C762B1" w:rsidP="00C762B1">
      <w:pPr>
        <w:spacing w:after="0" w:line="360" w:lineRule="auto"/>
        <w:jc w:val="both"/>
        <w:rPr>
          <w:rFonts w:ascii="Times New Roman" w:hAnsi="Times New Roman" w:cs="Times New Roman"/>
          <w:sz w:val="24"/>
          <w:szCs w:val="24"/>
          <w:vertAlign w:val="subscript"/>
        </w:rPr>
      </w:pPr>
      <w:r w:rsidRPr="00C762B1">
        <w:rPr>
          <w:rFonts w:ascii="Times New Roman" w:hAnsi="Times New Roman" w:cs="Times New Roman"/>
          <w:sz w:val="24"/>
          <w:szCs w:val="24"/>
        </w:rPr>
        <w:t>Where,</w:t>
      </w:r>
    </w:p>
    <w:p w14:paraId="7D6982D3" w14:textId="77777777" w:rsidR="00C762B1" w:rsidRPr="00C762B1" w:rsidRDefault="00C762B1" w:rsidP="00C762B1">
      <w:pPr>
        <w:spacing w:after="0" w:line="360" w:lineRule="auto"/>
        <w:ind w:left="1701" w:hanging="981"/>
        <w:jc w:val="both"/>
        <w:rPr>
          <w:rFonts w:ascii="Times New Roman" w:hAnsi="Times New Roman" w:cs="Times New Roman"/>
          <w:sz w:val="24"/>
          <w:szCs w:val="24"/>
        </w:rPr>
      </w:pPr>
      <w:proofErr w:type="spellStart"/>
      <w:r w:rsidRPr="00C762B1">
        <w:rPr>
          <w:rFonts w:ascii="Times New Roman" w:hAnsi="Times New Roman" w:cs="Times New Roman"/>
          <w:sz w:val="24"/>
          <w:szCs w:val="24"/>
        </w:rPr>
        <w:t>Y</w:t>
      </w:r>
      <w:r w:rsidRPr="00C762B1">
        <w:rPr>
          <w:rFonts w:ascii="Times New Roman" w:hAnsi="Times New Roman" w:cs="Times New Roman"/>
          <w:sz w:val="24"/>
          <w:szCs w:val="24"/>
          <w:vertAlign w:val="subscript"/>
        </w:rPr>
        <w:t>ijklmn</w:t>
      </w:r>
      <w:proofErr w:type="spellEnd"/>
      <w:r w:rsidRPr="00C762B1">
        <w:rPr>
          <w:rFonts w:ascii="Times New Roman" w:hAnsi="Times New Roman" w:cs="Times New Roman"/>
          <w:sz w:val="24"/>
          <w:szCs w:val="24"/>
          <w:vertAlign w:val="subscript"/>
        </w:rPr>
        <w:t xml:space="preserve"> </w:t>
      </w:r>
      <w:r w:rsidRPr="00C762B1">
        <w:rPr>
          <w:rFonts w:ascii="Times New Roman" w:hAnsi="Times New Roman" w:cs="Times New Roman"/>
          <w:sz w:val="24"/>
          <w:szCs w:val="24"/>
        </w:rPr>
        <w:t>= performance record of the n</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animal belonging to </w:t>
      </w:r>
      <w:proofErr w:type="spellStart"/>
      <w:r w:rsidRPr="00C762B1">
        <w:rPr>
          <w:rFonts w:ascii="Times New Roman" w:hAnsi="Times New Roman" w:cs="Times New Roman"/>
          <w:sz w:val="24"/>
          <w:szCs w:val="24"/>
        </w:rPr>
        <w:t>i</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period of kidding, </w:t>
      </w:r>
      <w:proofErr w:type="spellStart"/>
      <w:r w:rsidRPr="00C762B1">
        <w:rPr>
          <w:rFonts w:ascii="Times New Roman" w:hAnsi="Times New Roman" w:cs="Times New Roman"/>
          <w:sz w:val="24"/>
          <w:szCs w:val="24"/>
        </w:rPr>
        <w:t>j</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season of kidding, k</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type of birth, l</w:t>
      </w:r>
      <w:r w:rsidRPr="00C762B1">
        <w:rPr>
          <w:rFonts w:ascii="Times New Roman" w:hAnsi="Times New Roman" w:cs="Times New Roman"/>
          <w:sz w:val="24"/>
          <w:szCs w:val="24"/>
          <w:vertAlign w:val="superscript"/>
        </w:rPr>
        <w:t xml:space="preserve">th </w:t>
      </w:r>
      <w:r w:rsidRPr="00C762B1">
        <w:rPr>
          <w:rFonts w:ascii="Times New Roman" w:hAnsi="Times New Roman" w:cs="Times New Roman"/>
          <w:sz w:val="24"/>
          <w:szCs w:val="24"/>
        </w:rPr>
        <w:t xml:space="preserve">sex of kid and </w:t>
      </w:r>
      <w:proofErr w:type="spellStart"/>
      <w:r w:rsidRPr="00C762B1">
        <w:rPr>
          <w:rFonts w:ascii="Times New Roman" w:hAnsi="Times New Roman" w:cs="Times New Roman"/>
          <w:sz w:val="24"/>
          <w:szCs w:val="24"/>
        </w:rPr>
        <w:t>m</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cluster </w:t>
      </w:r>
    </w:p>
    <w:p w14:paraId="53CCCDFD" w14:textId="77777777"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A</w:t>
      </w:r>
      <w:r w:rsidRPr="00C762B1">
        <w:rPr>
          <w:rFonts w:ascii="Times New Roman" w:hAnsi="Times New Roman" w:cs="Times New Roman"/>
          <w:sz w:val="24"/>
          <w:szCs w:val="24"/>
          <w:vertAlign w:val="subscript"/>
        </w:rPr>
        <w:t xml:space="preserve">i           </w:t>
      </w:r>
      <w:r w:rsidRPr="00C762B1">
        <w:rPr>
          <w:rFonts w:ascii="Times New Roman" w:hAnsi="Times New Roman" w:cs="Times New Roman"/>
          <w:sz w:val="24"/>
          <w:szCs w:val="24"/>
        </w:rPr>
        <w:t xml:space="preserve">= fixed effect of </w:t>
      </w:r>
      <w:proofErr w:type="spellStart"/>
      <w:r w:rsidRPr="00C762B1">
        <w:rPr>
          <w:rFonts w:ascii="Times New Roman" w:hAnsi="Times New Roman" w:cs="Times New Roman"/>
          <w:sz w:val="24"/>
          <w:szCs w:val="24"/>
        </w:rPr>
        <w:t>i</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period of kidding    (j = 1, 2, 3)</w:t>
      </w:r>
    </w:p>
    <w:p w14:paraId="73074E21" w14:textId="77777777" w:rsidR="00C762B1" w:rsidRPr="00C762B1" w:rsidRDefault="00C762B1" w:rsidP="00C762B1">
      <w:pPr>
        <w:spacing w:after="0" w:line="360" w:lineRule="auto"/>
        <w:ind w:left="1701" w:hanging="981"/>
        <w:jc w:val="both"/>
        <w:rPr>
          <w:rFonts w:ascii="Times New Roman" w:hAnsi="Times New Roman" w:cs="Times New Roman"/>
          <w:b/>
          <w:bCs/>
          <w:sz w:val="24"/>
          <w:szCs w:val="24"/>
        </w:rPr>
      </w:pPr>
      <w:proofErr w:type="spellStart"/>
      <w:r w:rsidRPr="00C762B1">
        <w:rPr>
          <w:rFonts w:ascii="Times New Roman" w:hAnsi="Times New Roman" w:cs="Times New Roman"/>
          <w:sz w:val="24"/>
          <w:szCs w:val="24"/>
        </w:rPr>
        <w:t>B</w:t>
      </w:r>
      <w:r w:rsidRPr="00C762B1">
        <w:rPr>
          <w:rFonts w:ascii="Times New Roman" w:hAnsi="Times New Roman" w:cs="Times New Roman"/>
          <w:sz w:val="24"/>
          <w:szCs w:val="24"/>
          <w:vertAlign w:val="subscript"/>
        </w:rPr>
        <w:t>j</w:t>
      </w:r>
      <w:proofErr w:type="spellEnd"/>
      <w:r w:rsidRPr="00C762B1">
        <w:rPr>
          <w:rFonts w:ascii="Times New Roman" w:hAnsi="Times New Roman" w:cs="Times New Roman"/>
          <w:sz w:val="24"/>
          <w:szCs w:val="24"/>
          <w:vertAlign w:val="subscript"/>
        </w:rPr>
        <w:t xml:space="preserve">           </w:t>
      </w:r>
      <w:r w:rsidRPr="00C762B1">
        <w:rPr>
          <w:rFonts w:ascii="Times New Roman" w:hAnsi="Times New Roman" w:cs="Times New Roman"/>
          <w:sz w:val="24"/>
          <w:szCs w:val="24"/>
        </w:rPr>
        <w:t xml:space="preserve">= fixed effect of </w:t>
      </w:r>
      <w:proofErr w:type="spellStart"/>
      <w:r w:rsidRPr="00C762B1">
        <w:rPr>
          <w:rFonts w:ascii="Times New Roman" w:hAnsi="Times New Roman" w:cs="Times New Roman"/>
          <w:sz w:val="24"/>
          <w:szCs w:val="24"/>
        </w:rPr>
        <w:t>j</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season of kidding    (</w:t>
      </w:r>
      <w:proofErr w:type="spellStart"/>
      <w:r w:rsidRPr="00C762B1">
        <w:rPr>
          <w:rFonts w:ascii="Times New Roman" w:hAnsi="Times New Roman" w:cs="Times New Roman"/>
          <w:sz w:val="24"/>
          <w:szCs w:val="24"/>
        </w:rPr>
        <w:t>i</w:t>
      </w:r>
      <w:proofErr w:type="spellEnd"/>
      <w:r w:rsidRPr="00C762B1">
        <w:rPr>
          <w:rFonts w:ascii="Times New Roman" w:hAnsi="Times New Roman" w:cs="Times New Roman"/>
          <w:sz w:val="24"/>
          <w:szCs w:val="24"/>
        </w:rPr>
        <w:t xml:space="preserve"> = 1, 2, 3)</w:t>
      </w:r>
    </w:p>
    <w:p w14:paraId="7A4D456A" w14:textId="77777777"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C</w:t>
      </w:r>
      <w:r w:rsidRPr="00C762B1">
        <w:rPr>
          <w:rFonts w:ascii="Times New Roman" w:hAnsi="Times New Roman" w:cs="Times New Roman"/>
          <w:sz w:val="24"/>
          <w:szCs w:val="24"/>
          <w:vertAlign w:val="subscript"/>
        </w:rPr>
        <w:t xml:space="preserve">k           </w:t>
      </w:r>
      <w:r w:rsidRPr="00C762B1">
        <w:rPr>
          <w:rFonts w:ascii="Times New Roman" w:hAnsi="Times New Roman" w:cs="Times New Roman"/>
          <w:sz w:val="24"/>
          <w:szCs w:val="24"/>
        </w:rPr>
        <w:t>= fixed effect of k</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type of birth           (</w:t>
      </w:r>
      <w:proofErr w:type="spellStart"/>
      <w:r w:rsidRPr="00C762B1">
        <w:rPr>
          <w:rFonts w:ascii="Times New Roman" w:hAnsi="Times New Roman" w:cs="Times New Roman"/>
          <w:sz w:val="24"/>
          <w:szCs w:val="24"/>
        </w:rPr>
        <w:t>i</w:t>
      </w:r>
      <w:proofErr w:type="spellEnd"/>
      <w:r w:rsidRPr="00C762B1">
        <w:rPr>
          <w:rFonts w:ascii="Times New Roman" w:hAnsi="Times New Roman" w:cs="Times New Roman"/>
          <w:sz w:val="24"/>
          <w:szCs w:val="24"/>
        </w:rPr>
        <w:t xml:space="preserve"> = 1, 2, 3)</w:t>
      </w:r>
    </w:p>
    <w:p w14:paraId="016CF669" w14:textId="77777777"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D</w:t>
      </w:r>
      <w:r w:rsidRPr="00C762B1">
        <w:rPr>
          <w:rFonts w:ascii="Times New Roman" w:hAnsi="Times New Roman" w:cs="Times New Roman"/>
          <w:sz w:val="24"/>
          <w:szCs w:val="24"/>
          <w:vertAlign w:val="subscript"/>
        </w:rPr>
        <w:t xml:space="preserve">l          </w:t>
      </w:r>
      <w:r w:rsidRPr="00C762B1">
        <w:rPr>
          <w:rFonts w:ascii="Times New Roman" w:hAnsi="Times New Roman" w:cs="Times New Roman"/>
          <w:sz w:val="24"/>
          <w:szCs w:val="24"/>
        </w:rPr>
        <w:t>= fixed effect of l</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sex of kid                 (</w:t>
      </w:r>
      <w:proofErr w:type="spellStart"/>
      <w:r w:rsidRPr="00C762B1">
        <w:rPr>
          <w:rFonts w:ascii="Times New Roman" w:hAnsi="Times New Roman" w:cs="Times New Roman"/>
          <w:sz w:val="24"/>
          <w:szCs w:val="24"/>
        </w:rPr>
        <w:t>i</w:t>
      </w:r>
      <w:proofErr w:type="spellEnd"/>
      <w:r w:rsidRPr="00C762B1">
        <w:rPr>
          <w:rFonts w:ascii="Times New Roman" w:hAnsi="Times New Roman" w:cs="Times New Roman"/>
          <w:sz w:val="24"/>
          <w:szCs w:val="24"/>
        </w:rPr>
        <w:t xml:space="preserve"> = 1, 2)</w:t>
      </w:r>
    </w:p>
    <w:p w14:paraId="4C35DA35" w14:textId="77777777"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lastRenderedPageBreak/>
        <w:t>E</w:t>
      </w:r>
      <w:r w:rsidRPr="00C762B1">
        <w:rPr>
          <w:rFonts w:ascii="Times New Roman" w:hAnsi="Times New Roman" w:cs="Times New Roman"/>
          <w:sz w:val="24"/>
          <w:szCs w:val="24"/>
          <w:vertAlign w:val="subscript"/>
        </w:rPr>
        <w:t xml:space="preserve">m           </w:t>
      </w:r>
      <w:r w:rsidRPr="00C762B1">
        <w:rPr>
          <w:rFonts w:ascii="Times New Roman" w:hAnsi="Times New Roman" w:cs="Times New Roman"/>
          <w:sz w:val="24"/>
          <w:szCs w:val="24"/>
        </w:rPr>
        <w:t xml:space="preserve">= fixed effect of </w:t>
      </w:r>
      <w:proofErr w:type="spellStart"/>
      <w:r w:rsidRPr="00C762B1">
        <w:rPr>
          <w:rFonts w:ascii="Times New Roman" w:hAnsi="Times New Roman" w:cs="Times New Roman"/>
          <w:sz w:val="24"/>
          <w:szCs w:val="24"/>
        </w:rPr>
        <w:t>m</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cluster                  (</w:t>
      </w:r>
      <w:proofErr w:type="spellStart"/>
      <w:r w:rsidRPr="00C762B1">
        <w:rPr>
          <w:rFonts w:ascii="Times New Roman" w:hAnsi="Times New Roman" w:cs="Times New Roman"/>
          <w:sz w:val="24"/>
          <w:szCs w:val="24"/>
        </w:rPr>
        <w:t>i</w:t>
      </w:r>
      <w:proofErr w:type="spellEnd"/>
      <w:r w:rsidRPr="00C762B1">
        <w:rPr>
          <w:rFonts w:ascii="Times New Roman" w:hAnsi="Times New Roman" w:cs="Times New Roman"/>
          <w:sz w:val="24"/>
          <w:szCs w:val="24"/>
        </w:rPr>
        <w:t xml:space="preserve"> = 1, 2, 3, 4)</w:t>
      </w:r>
    </w:p>
    <w:p w14:paraId="490108B5" w14:textId="77777777" w:rsidR="00C762B1" w:rsidRPr="00C762B1" w:rsidRDefault="00C762B1" w:rsidP="00C762B1">
      <w:pPr>
        <w:spacing w:after="0" w:line="360" w:lineRule="auto"/>
        <w:ind w:left="1701" w:hanging="981"/>
        <w:jc w:val="both"/>
        <w:rPr>
          <w:rFonts w:ascii="Times New Roman" w:hAnsi="Times New Roman" w:cs="Times New Roman"/>
          <w:sz w:val="24"/>
          <w:szCs w:val="24"/>
        </w:rPr>
      </w:pPr>
      <w:proofErr w:type="spellStart"/>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ijklmn</w:t>
      </w:r>
      <w:proofErr w:type="spellEnd"/>
      <w:r w:rsidRPr="00C762B1">
        <w:rPr>
          <w:rFonts w:ascii="Times New Roman" w:hAnsi="Times New Roman" w:cs="Times New Roman"/>
          <w:sz w:val="24"/>
          <w:szCs w:val="24"/>
          <w:vertAlign w:val="subscript"/>
        </w:rPr>
        <w:t xml:space="preserve"> </w:t>
      </w:r>
      <w:r w:rsidRPr="00C762B1">
        <w:rPr>
          <w:rFonts w:ascii="Times New Roman" w:hAnsi="Times New Roman" w:cs="Times New Roman"/>
          <w:sz w:val="24"/>
          <w:szCs w:val="24"/>
        </w:rPr>
        <w:t xml:space="preserve">= residual random error associated with </w:t>
      </w:r>
      <w:proofErr w:type="spellStart"/>
      <w:r w:rsidRPr="00C762B1">
        <w:rPr>
          <w:rFonts w:ascii="Times New Roman" w:hAnsi="Times New Roman" w:cs="Times New Roman"/>
          <w:sz w:val="24"/>
          <w:szCs w:val="24"/>
        </w:rPr>
        <w:t>Y</w:t>
      </w:r>
      <w:r w:rsidRPr="00C762B1">
        <w:rPr>
          <w:rFonts w:ascii="Times New Roman" w:hAnsi="Times New Roman" w:cs="Times New Roman"/>
          <w:sz w:val="24"/>
          <w:szCs w:val="24"/>
          <w:vertAlign w:val="subscript"/>
        </w:rPr>
        <w:t>ijklmn</w:t>
      </w:r>
      <w:proofErr w:type="spellEnd"/>
      <w:r w:rsidRPr="00C762B1">
        <w:rPr>
          <w:rFonts w:ascii="Times New Roman" w:hAnsi="Times New Roman" w:cs="Times New Roman"/>
          <w:sz w:val="24"/>
          <w:szCs w:val="24"/>
        </w:rPr>
        <w:t xml:space="preserve"> and assume to be identically and independently distributed with mean zero and constant variance </w:t>
      </w:r>
    </w:p>
    <w:p w14:paraId="47B7EACF" w14:textId="77777777" w:rsidR="00C762B1" w:rsidRPr="00C762B1" w:rsidRDefault="00C762B1" w:rsidP="00C762B1">
      <w:pPr>
        <w:spacing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Duncan’s Multiple Range Test</w:t>
      </w:r>
    </w:p>
    <w:p w14:paraId="75B7E5FB" w14:textId="77777777" w:rsidR="00C762B1" w:rsidRPr="0098310E" w:rsidRDefault="00C762B1" w:rsidP="00C762B1">
      <w:pPr>
        <w:spacing w:line="360" w:lineRule="auto"/>
        <w:jc w:val="both"/>
        <w:rPr>
          <w:rFonts w:ascii="Times New Roman" w:hAnsi="Times New Roman" w:cs="Times New Roman"/>
          <w:sz w:val="24"/>
          <w:szCs w:val="24"/>
        </w:rPr>
      </w:pPr>
      <w:r w:rsidRPr="00C762B1">
        <w:rPr>
          <w:rFonts w:ascii="Times New Roman" w:hAnsi="Times New Roman" w:cs="Times New Roman"/>
          <w:sz w:val="24"/>
          <w:szCs w:val="24"/>
        </w:rPr>
        <w:t xml:space="preserve">                 </w:t>
      </w:r>
      <w:r w:rsidR="0098310E" w:rsidRPr="0098310E">
        <w:rPr>
          <w:rFonts w:ascii="Times New Roman" w:hAnsi="Times New Roman" w:cs="Times New Roman"/>
          <w:sz w:val="24"/>
          <w:szCs w:val="24"/>
        </w:rPr>
        <w:t>Duncan’s Multiple Range Test, modified by Kramer (1957), was applied to compare the least squares means of significant fixed effects. This test was used to identify significant pairwise differences between group means at 5% (P &lt; 0.05) and 1% (P &lt; 0.01) levels of significance.</w:t>
      </w:r>
    </w:p>
    <w:p w14:paraId="2AFEC5C5" w14:textId="77777777" w:rsidR="00C762B1" w:rsidRPr="00C762B1" w:rsidRDefault="00C762B1" w:rsidP="00C762B1">
      <w:pPr>
        <w:spacing w:line="360" w:lineRule="auto"/>
        <w:jc w:val="both"/>
        <w:rPr>
          <w:rFonts w:ascii="Times New Roman" w:eastAsia="Calibri" w:hAnsi="Times New Roman" w:cs="Times New Roman"/>
          <w:noProof/>
          <w:sz w:val="24"/>
          <w:szCs w:val="24"/>
          <w:vertAlign w:val="subscript"/>
          <w:lang w:bidi="en-US"/>
        </w:rPr>
      </w:pPr>
      <w:r w:rsidRPr="00C762B1">
        <w:rPr>
          <w:rFonts w:ascii="Times New Roman" w:hAnsi="Times New Roman" w:cs="Times New Roman"/>
          <w:sz w:val="24"/>
          <w:szCs w:val="24"/>
        </w:rPr>
        <w:t xml:space="preserve">                 </w:t>
      </w:r>
      <w:r w:rsidRPr="00C762B1">
        <w:rPr>
          <w:rFonts w:ascii="Times New Roman" w:eastAsia="Calibri" w:hAnsi="Times New Roman" w:cs="Times New Roman"/>
          <w:noProof/>
          <w:sz w:val="24"/>
          <w:szCs w:val="24"/>
          <w:lang w:bidi="en-US"/>
        </w:rPr>
        <w:t xml:space="preserve">              </w:t>
      </w:r>
      <w:r w:rsidRPr="00C762B1">
        <w:rPr>
          <w:rFonts w:ascii="Times New Roman" w:eastAsia="Calibri" w:hAnsi="Times New Roman" w:cs="Times New Roman"/>
          <w:noProof/>
          <w:sz w:val="24"/>
          <w:szCs w:val="24"/>
          <w:lang w:bidi="en-US"/>
        </w:rPr>
        <w:object w:dxaOrig="3320" w:dyaOrig="740" w14:anchorId="52825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05pt;height:38.95pt" o:ole="">
            <v:imagedata r:id="rId6" o:title=""/>
          </v:shape>
          <o:OLEObject Type="Embed" ProgID="Equation.DSMT4" ShapeID="_x0000_i1025" DrawAspect="Content" ObjectID="_1819205397" r:id="rId7"/>
        </w:object>
      </w:r>
      <w:r w:rsidRPr="00C762B1">
        <w:rPr>
          <w:rFonts w:ascii="Times New Roman" w:eastAsia="Calibri" w:hAnsi="Times New Roman" w:cs="Times New Roman"/>
          <w:noProof/>
          <w:sz w:val="24"/>
          <w:szCs w:val="24"/>
          <w:lang w:bidi="en-US"/>
        </w:rPr>
        <w:t xml:space="preserve">            </w:t>
      </w:r>
    </w:p>
    <w:p w14:paraId="0AF5EC83" w14:textId="77777777" w:rsidR="00C762B1" w:rsidRPr="00C762B1" w:rsidRDefault="00C762B1" w:rsidP="00C762B1">
      <w:pPr>
        <w:widowControl w:val="0"/>
        <w:autoSpaceDE w:val="0"/>
        <w:autoSpaceDN w:val="0"/>
        <w:spacing w:after="0" w:line="360" w:lineRule="auto"/>
        <w:ind w:firstLine="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     If the value was greater than </w:t>
      </w:r>
      <w:r w:rsidRPr="00C762B1">
        <w:rPr>
          <w:rFonts w:ascii="Times New Roman" w:eastAsia="Calibri" w:hAnsi="Times New Roman" w:cs="Times New Roman"/>
          <w:noProof/>
          <w:sz w:val="24"/>
          <w:szCs w:val="24"/>
          <w:lang w:bidi="en-US"/>
        </w:rPr>
        <w:object w:dxaOrig="1440" w:dyaOrig="400" w14:anchorId="6C6DFE20">
          <v:shape id="_x0000_i1026" type="#_x0000_t75" style="width:1in;height:18.5pt" o:ole="">
            <v:imagedata r:id="rId8" o:title=""/>
          </v:shape>
          <o:OLEObject Type="Embed" ProgID="Equation.DSMT4" ShapeID="_x0000_i1026" DrawAspect="Content" ObjectID="_1819205398" r:id="rId9"/>
        </w:object>
      </w:r>
      <w:r w:rsidRPr="00C762B1">
        <w:rPr>
          <w:rFonts w:ascii="Times New Roman" w:eastAsia="Calibri" w:hAnsi="Times New Roman" w:cs="Times New Roman"/>
          <w:noProof/>
          <w:sz w:val="24"/>
          <w:szCs w:val="24"/>
          <w:lang w:bidi="en-US"/>
        </w:rPr>
        <w:t>then difference was considered to be significant.</w:t>
      </w:r>
    </w:p>
    <w:p w14:paraId="177F1E2E" w14:textId="77777777" w:rsidR="00C762B1" w:rsidRPr="00C762B1" w:rsidRDefault="00C762B1" w:rsidP="00C762B1">
      <w:pPr>
        <w:widowControl w:val="0"/>
        <w:autoSpaceDE w:val="0"/>
        <w:autoSpaceDN w:val="0"/>
        <w:spacing w:after="0" w:line="360" w:lineRule="auto"/>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Where,      </w:t>
      </w:r>
    </w:p>
    <w:p w14:paraId="02B59438" w14:textId="77777777"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object w:dxaOrig="660" w:dyaOrig="360" w14:anchorId="52BB0DDB">
          <v:shape id="_x0000_i1027" type="#_x0000_t75" style="width:33.7pt;height:17.85pt" o:ole="">
            <v:imagedata r:id="rId10" o:title=""/>
          </v:shape>
          <o:OLEObject Type="Embed" ProgID="Equation.DSMT4" ShapeID="_x0000_i1027" DrawAspect="Content" ObjectID="_1819205399" r:id="rId11"/>
        </w:object>
      </w:r>
      <w:r w:rsidRPr="00C762B1">
        <w:rPr>
          <w:rFonts w:ascii="Times New Roman" w:eastAsia="Calibri" w:hAnsi="Times New Roman" w:cs="Times New Roman"/>
          <w:noProof/>
          <w:sz w:val="24"/>
          <w:szCs w:val="24"/>
          <w:lang w:bidi="en-US"/>
        </w:rPr>
        <w:t xml:space="preserve">      </w: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Mean difference between two subclasses</w:t>
      </w:r>
    </w:p>
    <w:p w14:paraId="0B03E317" w14:textId="77777777"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Cii           </w: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Corresponding diagonal element of i</w:t>
      </w:r>
      <w:r w:rsidRPr="00C762B1">
        <w:rPr>
          <w:rFonts w:ascii="Times New Roman" w:eastAsia="Calibri" w:hAnsi="Times New Roman" w:cs="Times New Roman"/>
          <w:noProof/>
          <w:sz w:val="24"/>
          <w:szCs w:val="24"/>
          <w:vertAlign w:val="superscript"/>
          <w:lang w:bidi="en-US"/>
        </w:rPr>
        <w:t xml:space="preserve">th </w:t>
      </w:r>
      <w:r w:rsidRPr="00C762B1">
        <w:rPr>
          <w:rFonts w:ascii="Times New Roman" w:eastAsia="Calibri" w:hAnsi="Times New Roman" w:cs="Times New Roman"/>
          <w:noProof/>
          <w:sz w:val="24"/>
          <w:szCs w:val="24"/>
          <w:lang w:bidi="en-US"/>
        </w:rPr>
        <w:t>subclass</w:t>
      </w:r>
    </w:p>
    <w:p w14:paraId="2F2BAC6C" w14:textId="77777777"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Cjj           </w: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Corresponding diagonal element of j</w:t>
      </w:r>
      <w:r w:rsidRPr="00C762B1">
        <w:rPr>
          <w:rFonts w:ascii="Times New Roman" w:eastAsia="Calibri" w:hAnsi="Times New Roman" w:cs="Times New Roman"/>
          <w:noProof/>
          <w:sz w:val="24"/>
          <w:szCs w:val="24"/>
          <w:vertAlign w:val="superscript"/>
          <w:lang w:bidi="en-US"/>
        </w:rPr>
        <w:t>th</w:t>
      </w:r>
      <w:r w:rsidRPr="00C762B1">
        <w:rPr>
          <w:rFonts w:ascii="Times New Roman" w:eastAsia="Calibri" w:hAnsi="Times New Roman" w:cs="Times New Roman"/>
          <w:noProof/>
          <w:sz w:val="24"/>
          <w:szCs w:val="24"/>
          <w:lang w:bidi="en-US"/>
        </w:rPr>
        <w:t xml:space="preserve"> subclass</w:t>
      </w:r>
    </w:p>
    <w:p w14:paraId="39826525" w14:textId="77777777"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Cij               </w:t>
      </w:r>
      <w:r w:rsidRPr="00C762B1">
        <w:rPr>
          <w:rFonts w:ascii="Times New Roman" w:eastAsia="Calibri" w:hAnsi="Times New Roman" w:cs="Times New Roman"/>
          <w:noProof/>
          <w:sz w:val="24"/>
          <w:szCs w:val="24"/>
          <w:lang w:bidi="en-US"/>
        </w:rPr>
        <w:tab/>
        <w:t xml:space="preserve">= </w:t>
      </w:r>
      <w:r w:rsidRPr="00C762B1">
        <w:rPr>
          <w:rFonts w:ascii="Times New Roman" w:eastAsia="Calibri" w:hAnsi="Times New Roman" w:cs="Times New Roman"/>
          <w:noProof/>
          <w:sz w:val="24"/>
          <w:szCs w:val="24"/>
          <w:lang w:bidi="en-US"/>
        </w:rPr>
        <w:tab/>
        <w:t>Corresponding off-diagonal element of ij</w:t>
      </w:r>
      <w:r w:rsidRPr="00C762B1">
        <w:rPr>
          <w:rFonts w:ascii="Times New Roman" w:eastAsia="Calibri" w:hAnsi="Times New Roman" w:cs="Times New Roman"/>
          <w:noProof/>
          <w:sz w:val="24"/>
          <w:szCs w:val="24"/>
          <w:vertAlign w:val="superscript"/>
          <w:lang w:bidi="en-US"/>
        </w:rPr>
        <w:t xml:space="preserve">th </w:t>
      </w:r>
      <w:r w:rsidRPr="00C762B1">
        <w:rPr>
          <w:rFonts w:ascii="Times New Roman" w:eastAsia="Calibri" w:hAnsi="Times New Roman" w:cs="Times New Roman"/>
          <w:noProof/>
          <w:sz w:val="24"/>
          <w:szCs w:val="24"/>
          <w:lang w:bidi="en-US"/>
        </w:rPr>
        <w:t>subclass</w:t>
      </w:r>
    </w:p>
    <w:p w14:paraId="5A6F16B1" w14:textId="77777777" w:rsidR="0098310E" w:rsidRDefault="00C762B1" w:rsidP="00C762B1">
      <w:pPr>
        <w:widowControl w:val="0"/>
        <w:autoSpaceDE w:val="0"/>
        <w:autoSpaceDN w:val="0"/>
        <w:spacing w:after="0" w:line="360" w:lineRule="auto"/>
        <w:ind w:left="2847" w:hanging="2127"/>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Z (p,ne)           = </w:t>
      </w:r>
      <w:r w:rsidRPr="00C762B1">
        <w:rPr>
          <w:rFonts w:ascii="Times New Roman" w:eastAsia="Calibri" w:hAnsi="Times New Roman" w:cs="Times New Roman"/>
          <w:noProof/>
          <w:sz w:val="24"/>
          <w:szCs w:val="24"/>
          <w:lang w:bidi="en-US"/>
        </w:rPr>
        <w:tab/>
      </w:r>
      <w:r w:rsidRPr="00C762B1">
        <w:rPr>
          <w:rFonts w:ascii="Times New Roman" w:eastAsia="Calibri" w:hAnsi="Times New Roman" w:cs="Times New Roman"/>
          <w:noProof/>
          <w:sz w:val="24"/>
          <w:szCs w:val="24"/>
          <w:lang w:bidi="en-US"/>
        </w:rPr>
        <w:tab/>
        <w:t>Significant (P &lt; 0.05 and P &gt; 0.01) Studentized Range  Value in Duncan’s Table at number of higher means in range chosen (p) a</w:t>
      </w:r>
      <w:r w:rsidR="0098310E">
        <w:rPr>
          <w:rFonts w:ascii="Times New Roman" w:eastAsia="Calibri" w:hAnsi="Times New Roman" w:cs="Times New Roman"/>
          <w:noProof/>
          <w:sz w:val="24"/>
          <w:szCs w:val="24"/>
          <w:lang w:bidi="en-US"/>
        </w:rPr>
        <w:t>nd error degree of freedom (ne)</w:t>
      </w:r>
    </w:p>
    <w:p w14:paraId="72C66927" w14:textId="18D01A5F" w:rsidR="0098310E" w:rsidRDefault="00D5777B" w:rsidP="0098310E">
      <w:pPr>
        <w:widowControl w:val="0"/>
        <w:autoSpaceDE w:val="0"/>
        <w:autoSpaceDN w:val="0"/>
        <w:spacing w:after="0" w:line="360" w:lineRule="auto"/>
        <w:ind w:left="2847" w:hanging="2937"/>
        <w:jc w:val="both"/>
        <w:rPr>
          <w:rFonts w:ascii="Times New Roman" w:eastAsia="Calibri" w:hAnsi="Times New Roman" w:cs="Times New Roman"/>
          <w:b/>
          <w:noProof/>
          <w:sz w:val="24"/>
          <w:szCs w:val="24"/>
          <w:lang w:bidi="en-US"/>
        </w:rPr>
      </w:pPr>
      <w:r>
        <w:rPr>
          <w:rFonts w:ascii="Times New Roman" w:eastAsia="Calibri" w:hAnsi="Times New Roman" w:cs="Times New Roman"/>
          <w:b/>
          <w:noProof/>
          <w:sz w:val="24"/>
          <w:szCs w:val="24"/>
          <w:lang w:bidi="en-US"/>
        </w:rPr>
        <w:t>Results</w:t>
      </w:r>
      <w:r w:rsidR="002A3E48">
        <w:rPr>
          <w:rFonts w:ascii="Times New Roman" w:eastAsia="Calibri" w:hAnsi="Times New Roman" w:cs="Times New Roman"/>
          <w:b/>
          <w:noProof/>
          <w:sz w:val="24"/>
          <w:szCs w:val="24"/>
          <w:lang w:bidi="en-US"/>
        </w:rPr>
        <w:t xml:space="preserve"> and discussion</w:t>
      </w:r>
    </w:p>
    <w:p w14:paraId="40BCE9BD" w14:textId="77777777" w:rsidR="0062369A" w:rsidRDefault="000C4F44" w:rsidP="0062369A">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62369A" w:rsidRPr="0062369A">
        <w:rPr>
          <w:rFonts w:ascii="Times New Roman" w:eastAsia="Times New Roman" w:hAnsi="Times New Roman" w:cs="Times New Roman"/>
          <w:sz w:val="24"/>
          <w:szCs w:val="24"/>
          <w:lang w:bidi="hi-IN"/>
        </w:rPr>
        <w:t>The analysis assessed the influence of various non-genetic factors on the body weight of kids at one month of age. The results rev</w:t>
      </w:r>
      <w:r w:rsidR="000926C9">
        <w:rPr>
          <w:rFonts w:ascii="Times New Roman" w:eastAsia="Times New Roman" w:hAnsi="Times New Roman" w:cs="Times New Roman"/>
          <w:sz w:val="24"/>
          <w:szCs w:val="24"/>
          <w:lang w:bidi="hi-IN"/>
        </w:rPr>
        <w:t>ealed that all examined factors-</w:t>
      </w:r>
      <w:r w:rsidR="0062369A" w:rsidRPr="0062369A">
        <w:rPr>
          <w:rFonts w:ascii="Times New Roman" w:eastAsia="Times New Roman" w:hAnsi="Times New Roman" w:cs="Times New Roman"/>
          <w:sz w:val="24"/>
          <w:szCs w:val="24"/>
          <w:lang w:bidi="hi-IN"/>
        </w:rPr>
        <w:t xml:space="preserve">period of kidding, season of kidding, sex of </w:t>
      </w:r>
      <w:r w:rsidR="000926C9">
        <w:rPr>
          <w:rFonts w:ascii="Times New Roman" w:eastAsia="Times New Roman" w:hAnsi="Times New Roman" w:cs="Times New Roman"/>
          <w:sz w:val="24"/>
          <w:szCs w:val="24"/>
          <w:lang w:bidi="hi-IN"/>
        </w:rPr>
        <w:t xml:space="preserve">kid, type of birth, and cluster </w:t>
      </w:r>
      <w:r w:rsidR="0062369A" w:rsidRPr="0062369A">
        <w:rPr>
          <w:rFonts w:ascii="Times New Roman" w:eastAsia="Times New Roman" w:hAnsi="Times New Roman" w:cs="Times New Roman"/>
          <w:sz w:val="24"/>
          <w:szCs w:val="24"/>
          <w:lang w:bidi="hi-IN"/>
        </w:rPr>
        <w:t>had a highly significant (P&lt;0.01) effect on one-month body weight, as indicated by the corresponding F-values. These findings suggest that environmental and managemental conditions associated with these factors play a critical role in early postnatal growth performance.</w:t>
      </w:r>
    </w:p>
    <w:p w14:paraId="2A5FD925" w14:textId="0AEA1B33" w:rsidR="008E4FA2" w:rsidRPr="008E4FA2" w:rsidRDefault="008E4FA2" w:rsidP="008E4FA2">
      <w:pPr>
        <w:spacing w:line="360" w:lineRule="auto"/>
        <w:ind w:left="900" w:hanging="900"/>
        <w:jc w:val="both"/>
        <w:rPr>
          <w:rFonts w:ascii="Times New Roman" w:hAnsi="Times New Roman" w:cs="Times New Roman"/>
          <w:b/>
          <w:bCs/>
        </w:rPr>
      </w:pPr>
      <w:r w:rsidRPr="008E4FA2">
        <w:rPr>
          <w:rFonts w:ascii="Times New Roman" w:hAnsi="Times New Roman" w:cs="Times New Roman"/>
          <w:b/>
          <w:bCs/>
        </w:rPr>
        <w:lastRenderedPageBreak/>
        <w:t xml:space="preserve">Table </w:t>
      </w:r>
      <w:r w:rsidR="0087117E">
        <w:rPr>
          <w:rFonts w:ascii="Times New Roman" w:hAnsi="Times New Roman" w:cs="Times New Roman"/>
          <w:b/>
          <w:bCs/>
        </w:rPr>
        <w:t>1</w:t>
      </w:r>
      <w:r w:rsidRPr="008E4FA2">
        <w:rPr>
          <w:rFonts w:ascii="Times New Roman" w:hAnsi="Times New Roman" w:cs="Times New Roman"/>
          <w:b/>
          <w:bCs/>
        </w:rPr>
        <w:t>.</w:t>
      </w:r>
      <w:r w:rsidRPr="008E4FA2">
        <w:rPr>
          <w:rFonts w:ascii="Times New Roman" w:hAnsi="Times New Roman" w:cs="Times New Roman"/>
        </w:rPr>
        <w:t xml:space="preserve"> </w:t>
      </w:r>
      <w:r w:rsidRPr="008E4FA2">
        <w:rPr>
          <w:rFonts w:ascii="Times New Roman" w:hAnsi="Times New Roman" w:cs="Times New Roman"/>
          <w:b/>
          <w:bCs/>
        </w:rPr>
        <w:t xml:space="preserve">Analysis of variance of </w:t>
      </w:r>
      <w:proofErr w:type="spellStart"/>
      <w:r w:rsidRPr="008E4FA2">
        <w:rPr>
          <w:rFonts w:ascii="Times New Roman" w:hAnsi="Times New Roman" w:cs="Times New Roman"/>
          <w:b/>
          <w:bCs/>
        </w:rPr>
        <w:t>Sangamneri</w:t>
      </w:r>
      <w:proofErr w:type="spellEnd"/>
      <w:r w:rsidRPr="008E4FA2">
        <w:rPr>
          <w:rFonts w:ascii="Times New Roman" w:hAnsi="Times New Roman" w:cs="Times New Roman"/>
          <w:b/>
          <w:bCs/>
        </w:rPr>
        <w:t xml:space="preserve"> Goat at one-month of age as affected by non-genetic    factors</w:t>
      </w:r>
    </w:p>
    <w:tbl>
      <w:tblPr>
        <w:tblStyle w:val="TableGrid"/>
        <w:tblW w:w="0" w:type="auto"/>
        <w:tblLook w:val="04A0" w:firstRow="1" w:lastRow="0" w:firstColumn="1" w:lastColumn="0" w:noHBand="0" w:noVBand="1"/>
      </w:tblPr>
      <w:tblGrid>
        <w:gridCol w:w="2425"/>
        <w:gridCol w:w="1181"/>
        <w:gridCol w:w="1803"/>
        <w:gridCol w:w="1803"/>
        <w:gridCol w:w="1804"/>
      </w:tblGrid>
      <w:tr w:rsidR="008E4FA2" w:rsidRPr="008E4FA2" w14:paraId="0B2B2482" w14:textId="77777777" w:rsidTr="00EA05B4">
        <w:tc>
          <w:tcPr>
            <w:tcW w:w="2425" w:type="dxa"/>
            <w:vAlign w:val="center"/>
          </w:tcPr>
          <w:p w14:paraId="3A1A1FFB"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Sources of variation</w:t>
            </w:r>
          </w:p>
        </w:tc>
        <w:tc>
          <w:tcPr>
            <w:tcW w:w="1181" w:type="dxa"/>
            <w:vAlign w:val="center"/>
          </w:tcPr>
          <w:p w14:paraId="1749BB39" w14:textId="77777777" w:rsidR="008E4FA2" w:rsidRPr="008E4FA2" w:rsidRDefault="008E4FA2" w:rsidP="00EA05B4">
            <w:pPr>
              <w:pStyle w:val="NoSpacing"/>
              <w:jc w:val="center"/>
              <w:rPr>
                <w:rFonts w:ascii="Times New Roman" w:hAnsi="Times New Roman" w:cs="Times New Roman"/>
                <w:b/>
                <w:bCs/>
              </w:rPr>
            </w:pPr>
            <w:proofErr w:type="spellStart"/>
            <w:r w:rsidRPr="008E4FA2">
              <w:rPr>
                <w:rFonts w:ascii="Times New Roman" w:hAnsi="Times New Roman" w:cs="Times New Roman"/>
                <w:b/>
                <w:bCs/>
              </w:rPr>
              <w:t>d.f</w:t>
            </w:r>
            <w:proofErr w:type="spellEnd"/>
          </w:p>
        </w:tc>
        <w:tc>
          <w:tcPr>
            <w:tcW w:w="1803" w:type="dxa"/>
            <w:vAlign w:val="center"/>
          </w:tcPr>
          <w:p w14:paraId="02A047C9"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 S</w:t>
            </w:r>
          </w:p>
        </w:tc>
        <w:tc>
          <w:tcPr>
            <w:tcW w:w="1803" w:type="dxa"/>
            <w:vAlign w:val="center"/>
          </w:tcPr>
          <w:p w14:paraId="59EEA7D6"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M.S. S</w:t>
            </w:r>
          </w:p>
        </w:tc>
        <w:tc>
          <w:tcPr>
            <w:tcW w:w="1804" w:type="dxa"/>
            <w:vAlign w:val="center"/>
          </w:tcPr>
          <w:p w14:paraId="33A990F7" w14:textId="77777777" w:rsidR="008E4FA2" w:rsidRPr="008E4FA2" w:rsidRDefault="008E4FA2" w:rsidP="00EA05B4">
            <w:pPr>
              <w:pStyle w:val="NoSpacing"/>
              <w:jc w:val="center"/>
              <w:rPr>
                <w:rFonts w:ascii="Times New Roman" w:hAnsi="Times New Roman" w:cs="Times New Roman"/>
                <w:b/>
                <w:bCs/>
                <w:vertAlign w:val="subscript"/>
              </w:rPr>
            </w:pPr>
            <w:r w:rsidRPr="008E4FA2">
              <w:rPr>
                <w:rFonts w:ascii="Times New Roman" w:hAnsi="Times New Roman" w:cs="Times New Roman"/>
                <w:b/>
                <w:bCs/>
              </w:rPr>
              <w:t>F</w:t>
            </w:r>
            <w:r w:rsidRPr="008E4FA2">
              <w:rPr>
                <w:rFonts w:ascii="Times New Roman" w:hAnsi="Times New Roman" w:cs="Times New Roman"/>
                <w:b/>
                <w:bCs/>
                <w:vertAlign w:val="subscript"/>
              </w:rPr>
              <w:t>(</w:t>
            </w:r>
            <w:proofErr w:type="spellStart"/>
            <w:r w:rsidRPr="008E4FA2">
              <w:rPr>
                <w:rFonts w:ascii="Times New Roman" w:hAnsi="Times New Roman" w:cs="Times New Roman"/>
                <w:b/>
                <w:bCs/>
                <w:vertAlign w:val="subscript"/>
              </w:rPr>
              <w:t>cal</w:t>
            </w:r>
            <w:proofErr w:type="spellEnd"/>
            <w:r w:rsidRPr="008E4FA2">
              <w:rPr>
                <w:rFonts w:ascii="Times New Roman" w:hAnsi="Times New Roman" w:cs="Times New Roman"/>
                <w:b/>
                <w:bCs/>
                <w:vertAlign w:val="subscript"/>
              </w:rPr>
              <w:t>)</w:t>
            </w:r>
          </w:p>
        </w:tc>
      </w:tr>
      <w:tr w:rsidR="008E4FA2" w:rsidRPr="008E4FA2" w14:paraId="301C48D1" w14:textId="77777777" w:rsidTr="00EA05B4">
        <w:tc>
          <w:tcPr>
            <w:tcW w:w="2425" w:type="dxa"/>
            <w:vAlign w:val="center"/>
          </w:tcPr>
          <w:p w14:paraId="11243B5D"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Period of Kidding</w:t>
            </w:r>
          </w:p>
        </w:tc>
        <w:tc>
          <w:tcPr>
            <w:tcW w:w="1181" w:type="dxa"/>
            <w:vAlign w:val="center"/>
          </w:tcPr>
          <w:p w14:paraId="360611BD"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14:paraId="21E346EB"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9405.33739</w:t>
            </w:r>
            <w:r w:rsidRPr="008E4FA2">
              <w:rPr>
                <w:rFonts w:ascii="Times New Roman" w:hAnsi="Times New Roman" w:cs="Times New Roman"/>
              </w:rPr>
              <w:t xml:space="preserve"> </w:t>
            </w:r>
          </w:p>
        </w:tc>
        <w:tc>
          <w:tcPr>
            <w:tcW w:w="1803" w:type="dxa"/>
            <w:vAlign w:val="center"/>
          </w:tcPr>
          <w:p w14:paraId="2724753F"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 xml:space="preserve">4702.66869 </w:t>
            </w:r>
          </w:p>
        </w:tc>
        <w:tc>
          <w:tcPr>
            <w:tcW w:w="1804" w:type="dxa"/>
            <w:vAlign w:val="center"/>
          </w:tcPr>
          <w:p w14:paraId="3CB2BD7D"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2934.460**</w:t>
            </w:r>
            <w:r w:rsidRPr="008E4FA2">
              <w:rPr>
                <w:rFonts w:ascii="Times New Roman" w:hAnsi="Times New Roman" w:cs="Times New Roman"/>
              </w:rPr>
              <w:t xml:space="preserve"> </w:t>
            </w:r>
          </w:p>
        </w:tc>
      </w:tr>
      <w:tr w:rsidR="008E4FA2" w:rsidRPr="008E4FA2" w14:paraId="72D6F245" w14:textId="77777777" w:rsidTr="00EA05B4">
        <w:tc>
          <w:tcPr>
            <w:tcW w:w="2425" w:type="dxa"/>
            <w:vAlign w:val="center"/>
          </w:tcPr>
          <w:p w14:paraId="48223CB0"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Season of Kidding</w:t>
            </w:r>
          </w:p>
        </w:tc>
        <w:tc>
          <w:tcPr>
            <w:tcW w:w="1181" w:type="dxa"/>
            <w:vAlign w:val="center"/>
          </w:tcPr>
          <w:p w14:paraId="647EFFB5"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14:paraId="77249F70"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87.58437</w:t>
            </w:r>
            <w:r w:rsidRPr="008E4FA2">
              <w:rPr>
                <w:rFonts w:ascii="Times New Roman" w:hAnsi="Times New Roman" w:cs="Times New Roman"/>
              </w:rPr>
              <w:t xml:space="preserve"> </w:t>
            </w:r>
          </w:p>
        </w:tc>
        <w:tc>
          <w:tcPr>
            <w:tcW w:w="1803" w:type="dxa"/>
            <w:vAlign w:val="center"/>
          </w:tcPr>
          <w:p w14:paraId="53057FFA"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43.79218</w:t>
            </w:r>
            <w:r w:rsidRPr="008E4FA2">
              <w:rPr>
                <w:rFonts w:ascii="Times New Roman" w:hAnsi="Times New Roman" w:cs="Times New Roman"/>
              </w:rPr>
              <w:t xml:space="preserve"> </w:t>
            </w:r>
          </w:p>
        </w:tc>
        <w:tc>
          <w:tcPr>
            <w:tcW w:w="1804" w:type="dxa"/>
            <w:vAlign w:val="center"/>
          </w:tcPr>
          <w:p w14:paraId="150B7011"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27.326</w:t>
            </w:r>
            <w:r w:rsidRPr="008E4FA2">
              <w:rPr>
                <w:rFonts w:ascii="Times New Roman" w:hAnsi="Times New Roman" w:cs="Times New Roman"/>
              </w:rPr>
              <w:t xml:space="preserve"> **</w:t>
            </w:r>
          </w:p>
        </w:tc>
      </w:tr>
      <w:tr w:rsidR="008E4FA2" w:rsidRPr="008E4FA2" w14:paraId="75C23C54" w14:textId="77777777" w:rsidTr="00EA05B4">
        <w:tc>
          <w:tcPr>
            <w:tcW w:w="2425" w:type="dxa"/>
            <w:vAlign w:val="center"/>
          </w:tcPr>
          <w:p w14:paraId="3B1946D0"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Sex of Kid</w:t>
            </w:r>
          </w:p>
        </w:tc>
        <w:tc>
          <w:tcPr>
            <w:tcW w:w="1181" w:type="dxa"/>
            <w:vAlign w:val="center"/>
          </w:tcPr>
          <w:p w14:paraId="53BE7C3E"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w:t>
            </w:r>
          </w:p>
        </w:tc>
        <w:tc>
          <w:tcPr>
            <w:tcW w:w="1803" w:type="dxa"/>
            <w:vAlign w:val="center"/>
          </w:tcPr>
          <w:p w14:paraId="4DB138D4"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446.22323</w:t>
            </w:r>
            <w:r w:rsidRPr="008E4FA2">
              <w:rPr>
                <w:rFonts w:ascii="Times New Roman" w:hAnsi="Times New Roman" w:cs="Times New Roman"/>
              </w:rPr>
              <w:t xml:space="preserve"> </w:t>
            </w:r>
          </w:p>
        </w:tc>
        <w:tc>
          <w:tcPr>
            <w:tcW w:w="1803" w:type="dxa"/>
            <w:vAlign w:val="center"/>
          </w:tcPr>
          <w:p w14:paraId="22DE02D8"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446.22323</w:t>
            </w:r>
            <w:r w:rsidRPr="008E4FA2">
              <w:rPr>
                <w:rFonts w:ascii="Times New Roman" w:hAnsi="Times New Roman" w:cs="Times New Roman"/>
              </w:rPr>
              <w:t xml:space="preserve"> </w:t>
            </w:r>
          </w:p>
        </w:tc>
        <w:tc>
          <w:tcPr>
            <w:tcW w:w="1804" w:type="dxa"/>
            <w:vAlign w:val="center"/>
          </w:tcPr>
          <w:p w14:paraId="3A1FEC8A"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278.443</w:t>
            </w:r>
            <w:r w:rsidRPr="008E4FA2">
              <w:rPr>
                <w:rFonts w:ascii="Times New Roman" w:hAnsi="Times New Roman" w:cs="Times New Roman"/>
              </w:rPr>
              <w:t>**</w:t>
            </w:r>
          </w:p>
        </w:tc>
      </w:tr>
      <w:tr w:rsidR="008E4FA2" w:rsidRPr="008E4FA2" w14:paraId="351E6BCF" w14:textId="77777777" w:rsidTr="00EA05B4">
        <w:tc>
          <w:tcPr>
            <w:tcW w:w="2425" w:type="dxa"/>
            <w:vAlign w:val="center"/>
          </w:tcPr>
          <w:p w14:paraId="37914652"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Type of Birth</w:t>
            </w:r>
          </w:p>
        </w:tc>
        <w:tc>
          <w:tcPr>
            <w:tcW w:w="1181" w:type="dxa"/>
            <w:vAlign w:val="center"/>
          </w:tcPr>
          <w:p w14:paraId="5B438F87"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14:paraId="49E622C8"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90.02710</w:t>
            </w:r>
            <w:r w:rsidRPr="008E4FA2">
              <w:rPr>
                <w:rFonts w:ascii="Times New Roman" w:hAnsi="Times New Roman" w:cs="Times New Roman"/>
              </w:rPr>
              <w:t xml:space="preserve"> </w:t>
            </w:r>
          </w:p>
        </w:tc>
        <w:tc>
          <w:tcPr>
            <w:tcW w:w="1803" w:type="dxa"/>
            <w:vAlign w:val="center"/>
          </w:tcPr>
          <w:p w14:paraId="1CD12C59"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45.01355</w:t>
            </w:r>
            <w:r w:rsidRPr="008E4FA2">
              <w:rPr>
                <w:rFonts w:ascii="Times New Roman" w:hAnsi="Times New Roman" w:cs="Times New Roman"/>
              </w:rPr>
              <w:t xml:space="preserve"> </w:t>
            </w:r>
          </w:p>
        </w:tc>
        <w:tc>
          <w:tcPr>
            <w:tcW w:w="1804" w:type="dxa"/>
            <w:vAlign w:val="center"/>
          </w:tcPr>
          <w:p w14:paraId="1F9F1612"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28.088**</w:t>
            </w:r>
            <w:r w:rsidRPr="008E4FA2">
              <w:rPr>
                <w:rFonts w:ascii="Times New Roman" w:hAnsi="Times New Roman" w:cs="Times New Roman"/>
              </w:rPr>
              <w:t xml:space="preserve"> </w:t>
            </w:r>
          </w:p>
        </w:tc>
      </w:tr>
      <w:tr w:rsidR="008E4FA2" w:rsidRPr="008E4FA2" w14:paraId="2522D6CC" w14:textId="77777777" w:rsidTr="00EA05B4">
        <w:tc>
          <w:tcPr>
            <w:tcW w:w="2425" w:type="dxa"/>
            <w:vAlign w:val="center"/>
          </w:tcPr>
          <w:p w14:paraId="6B1AB1AC"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Cluster</w:t>
            </w:r>
          </w:p>
        </w:tc>
        <w:tc>
          <w:tcPr>
            <w:tcW w:w="1181" w:type="dxa"/>
            <w:vAlign w:val="center"/>
          </w:tcPr>
          <w:p w14:paraId="7A1F0CA4"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w:t>
            </w:r>
          </w:p>
        </w:tc>
        <w:tc>
          <w:tcPr>
            <w:tcW w:w="1803" w:type="dxa"/>
            <w:vAlign w:val="center"/>
          </w:tcPr>
          <w:p w14:paraId="1434E4D8"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1146.37867</w:t>
            </w:r>
            <w:r w:rsidRPr="008E4FA2">
              <w:rPr>
                <w:rFonts w:ascii="Times New Roman" w:hAnsi="Times New Roman" w:cs="Times New Roman"/>
              </w:rPr>
              <w:t xml:space="preserve"> </w:t>
            </w:r>
          </w:p>
        </w:tc>
        <w:tc>
          <w:tcPr>
            <w:tcW w:w="1803" w:type="dxa"/>
            <w:vAlign w:val="center"/>
          </w:tcPr>
          <w:p w14:paraId="4C3BF049"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 xml:space="preserve">382.12622 </w:t>
            </w:r>
          </w:p>
        </w:tc>
        <w:tc>
          <w:tcPr>
            <w:tcW w:w="1804" w:type="dxa"/>
            <w:vAlign w:val="center"/>
          </w:tcPr>
          <w:p w14:paraId="327DF4BD"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238.446**</w:t>
            </w:r>
            <w:r w:rsidRPr="008E4FA2">
              <w:rPr>
                <w:rFonts w:ascii="Times New Roman" w:hAnsi="Times New Roman" w:cs="Times New Roman"/>
              </w:rPr>
              <w:t xml:space="preserve"> </w:t>
            </w:r>
          </w:p>
        </w:tc>
      </w:tr>
      <w:tr w:rsidR="008E4FA2" w:rsidRPr="008E4FA2" w14:paraId="4AF071DF" w14:textId="77777777" w:rsidTr="00EA05B4">
        <w:tc>
          <w:tcPr>
            <w:tcW w:w="2425" w:type="dxa"/>
            <w:vAlign w:val="center"/>
          </w:tcPr>
          <w:p w14:paraId="4497054F"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Error</w:t>
            </w:r>
          </w:p>
        </w:tc>
        <w:tc>
          <w:tcPr>
            <w:tcW w:w="1181" w:type="dxa"/>
            <w:vAlign w:val="center"/>
          </w:tcPr>
          <w:p w14:paraId="70B38030"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14461</w:t>
            </w:r>
          </w:p>
        </w:tc>
        <w:tc>
          <w:tcPr>
            <w:tcW w:w="1803" w:type="dxa"/>
            <w:vAlign w:val="center"/>
          </w:tcPr>
          <w:p w14:paraId="31499F22"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23174.72062</w:t>
            </w:r>
            <w:r w:rsidRPr="008E4FA2">
              <w:rPr>
                <w:rFonts w:ascii="Times New Roman" w:hAnsi="Times New Roman" w:cs="Times New Roman"/>
              </w:rPr>
              <w:t xml:space="preserve"> </w:t>
            </w:r>
          </w:p>
        </w:tc>
        <w:tc>
          <w:tcPr>
            <w:tcW w:w="1803" w:type="dxa"/>
            <w:vAlign w:val="center"/>
          </w:tcPr>
          <w:p w14:paraId="706AB231" w14:textId="77777777"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1.60257</w:t>
            </w:r>
            <w:r w:rsidRPr="008E4FA2">
              <w:rPr>
                <w:rFonts w:ascii="Times New Roman" w:hAnsi="Times New Roman" w:cs="Times New Roman"/>
              </w:rPr>
              <w:t xml:space="preserve"> </w:t>
            </w:r>
          </w:p>
        </w:tc>
        <w:tc>
          <w:tcPr>
            <w:tcW w:w="1804" w:type="dxa"/>
            <w:vAlign w:val="center"/>
          </w:tcPr>
          <w:p w14:paraId="4842EFA5" w14:textId="77777777" w:rsidR="008E4FA2" w:rsidRPr="008E4FA2" w:rsidRDefault="008E4FA2" w:rsidP="00EA05B4">
            <w:pPr>
              <w:pStyle w:val="NoSpacing"/>
              <w:jc w:val="center"/>
              <w:rPr>
                <w:rFonts w:ascii="Times New Roman" w:hAnsi="Times New Roman" w:cs="Times New Roman"/>
              </w:rPr>
            </w:pPr>
          </w:p>
        </w:tc>
      </w:tr>
    </w:tbl>
    <w:p w14:paraId="054D4531" w14:textId="77777777" w:rsidR="008E4FA2" w:rsidRPr="008E4FA2" w:rsidRDefault="008E4FA2" w:rsidP="008E4FA2">
      <w:pPr>
        <w:pStyle w:val="NoSpacing"/>
        <w:rPr>
          <w:rFonts w:ascii="Times New Roman" w:hAnsi="Times New Roman" w:cs="Times New Roman"/>
        </w:rPr>
      </w:pPr>
      <w:r w:rsidRPr="008E4FA2">
        <w:rPr>
          <w:rFonts w:ascii="Times New Roman" w:hAnsi="Times New Roman" w:cs="Times New Roman"/>
        </w:rPr>
        <w:t>**P&lt;0.01</w:t>
      </w:r>
    </w:p>
    <w:p w14:paraId="00641FBA" w14:textId="77777777" w:rsidR="008E4FA2" w:rsidRPr="008E4FA2" w:rsidRDefault="008E4FA2" w:rsidP="008E4FA2">
      <w:pPr>
        <w:pStyle w:val="NoSpacing"/>
        <w:spacing w:line="360" w:lineRule="auto"/>
        <w:jc w:val="both"/>
        <w:rPr>
          <w:rStyle w:val="Strong"/>
          <w:rFonts w:ascii="Times New Roman" w:hAnsi="Times New Roman" w:cs="Times New Roman"/>
        </w:rPr>
      </w:pPr>
    </w:p>
    <w:p w14:paraId="1C21DB85" w14:textId="03254434" w:rsidR="008E4FA2" w:rsidRPr="008E4FA2" w:rsidRDefault="008E4FA2" w:rsidP="008E4FA2">
      <w:pPr>
        <w:spacing w:line="360" w:lineRule="auto"/>
        <w:jc w:val="both"/>
        <w:rPr>
          <w:rFonts w:ascii="Times New Roman" w:hAnsi="Times New Roman" w:cs="Times New Roman"/>
          <w:b/>
          <w:bCs/>
        </w:rPr>
      </w:pPr>
      <w:r w:rsidRPr="008E4FA2">
        <w:rPr>
          <w:rFonts w:ascii="Times New Roman" w:hAnsi="Times New Roman" w:cs="Times New Roman"/>
          <w:b/>
          <w:bCs/>
        </w:rPr>
        <w:t xml:space="preserve">Table </w:t>
      </w:r>
      <w:r w:rsidR="0087117E">
        <w:rPr>
          <w:rFonts w:ascii="Times New Roman" w:hAnsi="Times New Roman" w:cs="Times New Roman"/>
          <w:b/>
          <w:bCs/>
        </w:rPr>
        <w:t>2</w:t>
      </w:r>
      <w:r w:rsidRPr="008E4FA2">
        <w:rPr>
          <w:rFonts w:ascii="Times New Roman" w:hAnsi="Times New Roman" w:cs="Times New Roman"/>
          <w:b/>
          <w:bCs/>
        </w:rPr>
        <w:t xml:space="preserve">. Least squares mean for body weight (kg) at one-month of age in </w:t>
      </w:r>
      <w:proofErr w:type="spellStart"/>
      <w:r w:rsidRPr="008E4FA2">
        <w:rPr>
          <w:rFonts w:ascii="Times New Roman" w:hAnsi="Times New Roman" w:cs="Times New Roman"/>
          <w:b/>
          <w:bCs/>
        </w:rPr>
        <w:t>Sangamneri</w:t>
      </w:r>
      <w:proofErr w:type="spellEnd"/>
      <w:r w:rsidRPr="008E4FA2">
        <w:rPr>
          <w:rFonts w:ascii="Times New Roman" w:hAnsi="Times New Roman" w:cs="Times New Roman"/>
          <w:b/>
          <w:bCs/>
        </w:rPr>
        <w:t xml:space="preserve"> as affected by non-genetic factors</w:t>
      </w:r>
    </w:p>
    <w:tbl>
      <w:tblPr>
        <w:tblStyle w:val="TableGrid"/>
        <w:tblW w:w="0" w:type="auto"/>
        <w:tblLook w:val="04A0" w:firstRow="1" w:lastRow="0" w:firstColumn="1" w:lastColumn="0" w:noHBand="0" w:noVBand="1"/>
      </w:tblPr>
      <w:tblGrid>
        <w:gridCol w:w="2515"/>
        <w:gridCol w:w="2004"/>
        <w:gridCol w:w="2250"/>
        <w:gridCol w:w="2247"/>
      </w:tblGrid>
      <w:tr w:rsidR="008E4FA2" w:rsidRPr="008E4FA2" w14:paraId="686D2937" w14:textId="77777777" w:rsidTr="00EA05B4">
        <w:tc>
          <w:tcPr>
            <w:tcW w:w="2515" w:type="dxa"/>
            <w:vAlign w:val="center"/>
          </w:tcPr>
          <w:p w14:paraId="59EF3297"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Source of variation</w:t>
            </w:r>
          </w:p>
        </w:tc>
        <w:tc>
          <w:tcPr>
            <w:tcW w:w="2004" w:type="dxa"/>
            <w:vAlign w:val="center"/>
          </w:tcPr>
          <w:p w14:paraId="4874B8B3"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N</w:t>
            </w:r>
          </w:p>
        </w:tc>
        <w:tc>
          <w:tcPr>
            <w:tcW w:w="2250" w:type="dxa"/>
            <w:vAlign w:val="center"/>
          </w:tcPr>
          <w:p w14:paraId="40DE8FCE"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Mean</w:t>
            </w:r>
          </w:p>
        </w:tc>
        <w:tc>
          <w:tcPr>
            <w:tcW w:w="2247" w:type="dxa"/>
            <w:vAlign w:val="center"/>
          </w:tcPr>
          <w:p w14:paraId="353FB771"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 E</w:t>
            </w:r>
          </w:p>
        </w:tc>
      </w:tr>
      <w:tr w:rsidR="008E4FA2" w:rsidRPr="008E4FA2" w14:paraId="23223464" w14:textId="77777777" w:rsidTr="00EA05B4">
        <w:tc>
          <w:tcPr>
            <w:tcW w:w="2515" w:type="dxa"/>
            <w:vAlign w:val="center"/>
          </w:tcPr>
          <w:p w14:paraId="3ED3018A"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Population Mean (µ)</w:t>
            </w:r>
          </w:p>
        </w:tc>
        <w:tc>
          <w:tcPr>
            <w:tcW w:w="2004" w:type="dxa"/>
            <w:tcBorders>
              <w:bottom w:val="single" w:sz="4" w:space="0" w:color="auto"/>
            </w:tcBorders>
            <w:vAlign w:val="center"/>
          </w:tcPr>
          <w:p w14:paraId="3FEEEDD0"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14472</w:t>
            </w:r>
          </w:p>
        </w:tc>
        <w:tc>
          <w:tcPr>
            <w:tcW w:w="2250" w:type="dxa"/>
            <w:tcBorders>
              <w:bottom w:val="single" w:sz="4" w:space="0" w:color="auto"/>
            </w:tcBorders>
            <w:vAlign w:val="center"/>
          </w:tcPr>
          <w:p w14:paraId="4C2626DE"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5.58</w:t>
            </w:r>
          </w:p>
        </w:tc>
        <w:tc>
          <w:tcPr>
            <w:tcW w:w="2247" w:type="dxa"/>
            <w:vAlign w:val="center"/>
          </w:tcPr>
          <w:p w14:paraId="6EADF879"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0.017</w:t>
            </w:r>
          </w:p>
        </w:tc>
      </w:tr>
      <w:tr w:rsidR="008E4FA2" w:rsidRPr="008E4FA2" w14:paraId="3713623A" w14:textId="77777777" w:rsidTr="00EA05B4">
        <w:tc>
          <w:tcPr>
            <w:tcW w:w="9016" w:type="dxa"/>
            <w:gridSpan w:val="4"/>
            <w:vAlign w:val="center"/>
          </w:tcPr>
          <w:p w14:paraId="7240B2AC"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Period of kidding</w:t>
            </w:r>
          </w:p>
        </w:tc>
      </w:tr>
      <w:tr w:rsidR="008E4FA2" w:rsidRPr="008E4FA2" w14:paraId="3D729985" w14:textId="77777777" w:rsidTr="00EA05B4">
        <w:tc>
          <w:tcPr>
            <w:tcW w:w="2515" w:type="dxa"/>
            <w:vAlign w:val="center"/>
          </w:tcPr>
          <w:p w14:paraId="7DAC1AB7"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2005-2010</w:t>
            </w:r>
          </w:p>
        </w:tc>
        <w:tc>
          <w:tcPr>
            <w:tcW w:w="2004" w:type="dxa"/>
            <w:vAlign w:val="center"/>
          </w:tcPr>
          <w:p w14:paraId="4E89E1E7"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2367</w:t>
            </w:r>
          </w:p>
        </w:tc>
        <w:tc>
          <w:tcPr>
            <w:tcW w:w="2250" w:type="dxa"/>
            <w:vAlign w:val="center"/>
          </w:tcPr>
          <w:p w14:paraId="1AAC4BD6"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4.95</w:t>
            </w:r>
            <w:r w:rsidRPr="008E4FA2">
              <w:rPr>
                <w:rFonts w:ascii="Times New Roman" w:hAnsi="Times New Roman" w:cs="Times New Roman"/>
                <w:vertAlign w:val="superscript"/>
              </w:rPr>
              <w:t>c</w:t>
            </w:r>
          </w:p>
        </w:tc>
        <w:tc>
          <w:tcPr>
            <w:tcW w:w="2247" w:type="dxa"/>
            <w:vAlign w:val="center"/>
          </w:tcPr>
          <w:p w14:paraId="5EE62051"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0.030</w:t>
            </w:r>
          </w:p>
        </w:tc>
      </w:tr>
      <w:tr w:rsidR="008E4FA2" w:rsidRPr="008E4FA2" w14:paraId="5E7AD586" w14:textId="77777777" w:rsidTr="00EA05B4">
        <w:tc>
          <w:tcPr>
            <w:tcW w:w="2515" w:type="dxa"/>
            <w:vAlign w:val="center"/>
          </w:tcPr>
          <w:p w14:paraId="707851D7"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2011-2015</w:t>
            </w:r>
          </w:p>
        </w:tc>
        <w:tc>
          <w:tcPr>
            <w:tcW w:w="2004" w:type="dxa"/>
            <w:vAlign w:val="center"/>
          </w:tcPr>
          <w:p w14:paraId="52E88CBB"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3551</w:t>
            </w:r>
          </w:p>
        </w:tc>
        <w:tc>
          <w:tcPr>
            <w:tcW w:w="2250" w:type="dxa"/>
            <w:vAlign w:val="center"/>
          </w:tcPr>
          <w:p w14:paraId="3E6BC3DE"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5.08</w:t>
            </w:r>
            <w:r w:rsidRPr="008E4FA2">
              <w:rPr>
                <w:rFonts w:ascii="Times New Roman" w:hAnsi="Times New Roman" w:cs="Times New Roman"/>
                <w:vertAlign w:val="superscript"/>
              </w:rPr>
              <w:t>b</w:t>
            </w:r>
          </w:p>
        </w:tc>
        <w:tc>
          <w:tcPr>
            <w:tcW w:w="2247" w:type="dxa"/>
            <w:vAlign w:val="center"/>
          </w:tcPr>
          <w:p w14:paraId="4745DEA2"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0.025</w:t>
            </w:r>
          </w:p>
        </w:tc>
      </w:tr>
      <w:tr w:rsidR="008E4FA2" w:rsidRPr="008E4FA2" w14:paraId="7B55A257" w14:textId="77777777" w:rsidTr="00EA05B4">
        <w:tc>
          <w:tcPr>
            <w:tcW w:w="2515" w:type="dxa"/>
            <w:vAlign w:val="center"/>
          </w:tcPr>
          <w:p w14:paraId="295E6C5E"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2016-2020</w:t>
            </w:r>
          </w:p>
        </w:tc>
        <w:tc>
          <w:tcPr>
            <w:tcW w:w="2004" w:type="dxa"/>
            <w:vAlign w:val="center"/>
          </w:tcPr>
          <w:p w14:paraId="26702133"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8554</w:t>
            </w:r>
          </w:p>
        </w:tc>
        <w:tc>
          <w:tcPr>
            <w:tcW w:w="2250" w:type="dxa"/>
            <w:vAlign w:val="center"/>
          </w:tcPr>
          <w:p w14:paraId="36B66D35"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6.70</w:t>
            </w:r>
            <w:r w:rsidRPr="008E4FA2">
              <w:rPr>
                <w:rFonts w:ascii="Times New Roman" w:hAnsi="Times New Roman" w:cs="Times New Roman"/>
                <w:vertAlign w:val="superscript"/>
              </w:rPr>
              <w:t>a</w:t>
            </w:r>
          </w:p>
        </w:tc>
        <w:tc>
          <w:tcPr>
            <w:tcW w:w="2247" w:type="dxa"/>
            <w:vAlign w:val="center"/>
          </w:tcPr>
          <w:p w14:paraId="0F884F44"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0.019</w:t>
            </w:r>
          </w:p>
        </w:tc>
      </w:tr>
      <w:tr w:rsidR="008E4FA2" w:rsidRPr="008E4FA2" w14:paraId="3CF2D7C6" w14:textId="77777777" w:rsidTr="00EA05B4">
        <w:tc>
          <w:tcPr>
            <w:tcW w:w="9016" w:type="dxa"/>
            <w:gridSpan w:val="4"/>
            <w:vAlign w:val="center"/>
          </w:tcPr>
          <w:p w14:paraId="1F41DE1E"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Season of kidding</w:t>
            </w:r>
          </w:p>
        </w:tc>
      </w:tr>
      <w:tr w:rsidR="008E4FA2" w:rsidRPr="008E4FA2" w14:paraId="4F22AEB4" w14:textId="77777777" w:rsidTr="00EA05B4">
        <w:tc>
          <w:tcPr>
            <w:tcW w:w="2515" w:type="dxa"/>
            <w:vAlign w:val="center"/>
          </w:tcPr>
          <w:p w14:paraId="4B4CAD95"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Rainy</w:t>
            </w:r>
          </w:p>
        </w:tc>
        <w:tc>
          <w:tcPr>
            <w:tcW w:w="2004" w:type="dxa"/>
            <w:vAlign w:val="center"/>
          </w:tcPr>
          <w:p w14:paraId="57AC011F"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3452</w:t>
            </w:r>
          </w:p>
        </w:tc>
        <w:tc>
          <w:tcPr>
            <w:tcW w:w="2250" w:type="dxa"/>
            <w:vAlign w:val="center"/>
          </w:tcPr>
          <w:p w14:paraId="7CB3F3DA"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5.54</w:t>
            </w:r>
            <w:r w:rsidRPr="008E4FA2">
              <w:rPr>
                <w:rFonts w:ascii="Times New Roman" w:hAnsi="Times New Roman" w:cs="Times New Roman"/>
                <w:vertAlign w:val="superscript"/>
              </w:rPr>
              <w:t>b</w:t>
            </w:r>
          </w:p>
        </w:tc>
        <w:tc>
          <w:tcPr>
            <w:tcW w:w="2247" w:type="dxa"/>
            <w:vAlign w:val="center"/>
          </w:tcPr>
          <w:p w14:paraId="1E9EDA20"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0.025</w:t>
            </w:r>
          </w:p>
        </w:tc>
      </w:tr>
      <w:tr w:rsidR="008E4FA2" w:rsidRPr="008E4FA2" w14:paraId="09275128" w14:textId="77777777" w:rsidTr="00EA05B4">
        <w:tc>
          <w:tcPr>
            <w:tcW w:w="2515" w:type="dxa"/>
            <w:vAlign w:val="center"/>
          </w:tcPr>
          <w:p w14:paraId="00950843"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Winter</w:t>
            </w:r>
          </w:p>
        </w:tc>
        <w:tc>
          <w:tcPr>
            <w:tcW w:w="2004" w:type="dxa"/>
            <w:vAlign w:val="center"/>
          </w:tcPr>
          <w:p w14:paraId="706A8FC9"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8014</w:t>
            </w:r>
          </w:p>
        </w:tc>
        <w:tc>
          <w:tcPr>
            <w:tcW w:w="2250" w:type="dxa"/>
            <w:vAlign w:val="center"/>
          </w:tcPr>
          <w:p w14:paraId="431AFA9F"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5.70</w:t>
            </w:r>
            <w:r w:rsidRPr="008E4FA2">
              <w:rPr>
                <w:rFonts w:ascii="Times New Roman" w:hAnsi="Times New Roman" w:cs="Times New Roman"/>
                <w:vertAlign w:val="superscript"/>
              </w:rPr>
              <w:t>a</w:t>
            </w:r>
          </w:p>
        </w:tc>
        <w:tc>
          <w:tcPr>
            <w:tcW w:w="2247" w:type="dxa"/>
            <w:vAlign w:val="center"/>
          </w:tcPr>
          <w:p w14:paraId="7D0D7AA7"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0.019</w:t>
            </w:r>
          </w:p>
        </w:tc>
      </w:tr>
      <w:tr w:rsidR="008E4FA2" w:rsidRPr="008E4FA2" w14:paraId="217A1418" w14:textId="77777777" w:rsidTr="00EA05B4">
        <w:tc>
          <w:tcPr>
            <w:tcW w:w="2515" w:type="dxa"/>
            <w:vAlign w:val="center"/>
          </w:tcPr>
          <w:p w14:paraId="44612201"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Summer</w:t>
            </w:r>
          </w:p>
        </w:tc>
        <w:tc>
          <w:tcPr>
            <w:tcW w:w="2004" w:type="dxa"/>
            <w:vAlign w:val="center"/>
          </w:tcPr>
          <w:p w14:paraId="5D625C39"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3006</w:t>
            </w:r>
          </w:p>
        </w:tc>
        <w:tc>
          <w:tcPr>
            <w:tcW w:w="2250" w:type="dxa"/>
            <w:vAlign w:val="center"/>
          </w:tcPr>
          <w:p w14:paraId="2178EB13"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5.51</w:t>
            </w:r>
            <w:r w:rsidRPr="008E4FA2">
              <w:rPr>
                <w:rFonts w:ascii="Times New Roman" w:hAnsi="Times New Roman" w:cs="Times New Roman"/>
                <w:vertAlign w:val="superscript"/>
              </w:rPr>
              <w:t>b</w:t>
            </w:r>
          </w:p>
        </w:tc>
        <w:tc>
          <w:tcPr>
            <w:tcW w:w="2247" w:type="dxa"/>
            <w:vAlign w:val="center"/>
          </w:tcPr>
          <w:p w14:paraId="36DEEEC0"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0.027</w:t>
            </w:r>
          </w:p>
        </w:tc>
      </w:tr>
      <w:tr w:rsidR="008E4FA2" w:rsidRPr="008E4FA2" w14:paraId="31C8B59F" w14:textId="77777777" w:rsidTr="00EA05B4">
        <w:tc>
          <w:tcPr>
            <w:tcW w:w="9016" w:type="dxa"/>
            <w:gridSpan w:val="4"/>
            <w:vAlign w:val="center"/>
          </w:tcPr>
          <w:p w14:paraId="6361961D"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Sex of kid</w:t>
            </w:r>
          </w:p>
        </w:tc>
      </w:tr>
      <w:tr w:rsidR="008E4FA2" w:rsidRPr="008E4FA2" w14:paraId="512A7338" w14:textId="77777777" w:rsidTr="00EA05B4">
        <w:tc>
          <w:tcPr>
            <w:tcW w:w="2515" w:type="dxa"/>
            <w:vAlign w:val="center"/>
          </w:tcPr>
          <w:p w14:paraId="7BEC5B7E"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Male</w:t>
            </w:r>
          </w:p>
        </w:tc>
        <w:tc>
          <w:tcPr>
            <w:tcW w:w="2004" w:type="dxa"/>
            <w:vAlign w:val="center"/>
          </w:tcPr>
          <w:p w14:paraId="357EDC99"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7038</w:t>
            </w:r>
          </w:p>
        </w:tc>
        <w:tc>
          <w:tcPr>
            <w:tcW w:w="2250" w:type="dxa"/>
            <w:vAlign w:val="center"/>
          </w:tcPr>
          <w:p w14:paraId="5EE19BBE"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5.76</w:t>
            </w:r>
            <w:r w:rsidRPr="008E4FA2">
              <w:rPr>
                <w:rFonts w:ascii="Times New Roman" w:hAnsi="Times New Roman" w:cs="Times New Roman"/>
                <w:vertAlign w:val="superscript"/>
              </w:rPr>
              <w:t>a</w:t>
            </w:r>
          </w:p>
        </w:tc>
        <w:tc>
          <w:tcPr>
            <w:tcW w:w="2247" w:type="dxa"/>
            <w:vAlign w:val="center"/>
          </w:tcPr>
          <w:p w14:paraId="1020B0C7"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0.020</w:t>
            </w:r>
          </w:p>
        </w:tc>
      </w:tr>
      <w:tr w:rsidR="008E4FA2" w:rsidRPr="008E4FA2" w14:paraId="237E8562" w14:textId="77777777" w:rsidTr="00EA05B4">
        <w:tc>
          <w:tcPr>
            <w:tcW w:w="2515" w:type="dxa"/>
            <w:vAlign w:val="center"/>
          </w:tcPr>
          <w:p w14:paraId="64931CA2"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Female</w:t>
            </w:r>
          </w:p>
        </w:tc>
        <w:tc>
          <w:tcPr>
            <w:tcW w:w="2004" w:type="dxa"/>
            <w:vAlign w:val="center"/>
          </w:tcPr>
          <w:p w14:paraId="7ABE6544"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7434</w:t>
            </w:r>
          </w:p>
        </w:tc>
        <w:tc>
          <w:tcPr>
            <w:tcW w:w="2250" w:type="dxa"/>
            <w:vAlign w:val="center"/>
          </w:tcPr>
          <w:p w14:paraId="753FC98D"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5.40</w:t>
            </w:r>
            <w:r w:rsidRPr="008E4FA2">
              <w:rPr>
                <w:rFonts w:ascii="Times New Roman" w:hAnsi="Times New Roman" w:cs="Times New Roman"/>
                <w:vertAlign w:val="superscript"/>
              </w:rPr>
              <w:t>b</w:t>
            </w:r>
          </w:p>
        </w:tc>
        <w:tc>
          <w:tcPr>
            <w:tcW w:w="2247" w:type="dxa"/>
            <w:vAlign w:val="center"/>
          </w:tcPr>
          <w:p w14:paraId="2B241D23"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0.020</w:t>
            </w:r>
          </w:p>
        </w:tc>
      </w:tr>
      <w:tr w:rsidR="008E4FA2" w:rsidRPr="008E4FA2" w14:paraId="090DB47B" w14:textId="77777777" w:rsidTr="00EA05B4">
        <w:tc>
          <w:tcPr>
            <w:tcW w:w="9016" w:type="dxa"/>
            <w:gridSpan w:val="4"/>
            <w:vAlign w:val="center"/>
          </w:tcPr>
          <w:p w14:paraId="47CFC6E2"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Type of birth</w:t>
            </w:r>
          </w:p>
        </w:tc>
      </w:tr>
      <w:tr w:rsidR="008E4FA2" w:rsidRPr="008E4FA2" w14:paraId="0B6EAEDD" w14:textId="77777777" w:rsidTr="00EA05B4">
        <w:tc>
          <w:tcPr>
            <w:tcW w:w="2515" w:type="dxa"/>
            <w:vAlign w:val="center"/>
          </w:tcPr>
          <w:p w14:paraId="6DD18722"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Single</w:t>
            </w:r>
          </w:p>
        </w:tc>
        <w:tc>
          <w:tcPr>
            <w:tcW w:w="2004" w:type="dxa"/>
            <w:vAlign w:val="center"/>
          </w:tcPr>
          <w:p w14:paraId="1A3A02E3"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4303</w:t>
            </w:r>
          </w:p>
        </w:tc>
        <w:tc>
          <w:tcPr>
            <w:tcW w:w="2250" w:type="dxa"/>
            <w:vAlign w:val="center"/>
          </w:tcPr>
          <w:p w14:paraId="3E8D88B8"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5.72</w:t>
            </w:r>
            <w:r w:rsidRPr="008E4FA2">
              <w:rPr>
                <w:rFonts w:ascii="Times New Roman" w:hAnsi="Times New Roman" w:cs="Times New Roman"/>
                <w:vertAlign w:val="superscript"/>
              </w:rPr>
              <w:t>a</w:t>
            </w:r>
          </w:p>
        </w:tc>
        <w:tc>
          <w:tcPr>
            <w:tcW w:w="2247" w:type="dxa"/>
            <w:vAlign w:val="center"/>
          </w:tcPr>
          <w:p w14:paraId="56C2D4E8"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0.022</w:t>
            </w:r>
          </w:p>
        </w:tc>
      </w:tr>
      <w:tr w:rsidR="008E4FA2" w:rsidRPr="008E4FA2" w14:paraId="55D13DCC" w14:textId="77777777" w:rsidTr="00EA05B4">
        <w:tc>
          <w:tcPr>
            <w:tcW w:w="2515" w:type="dxa"/>
            <w:vAlign w:val="center"/>
          </w:tcPr>
          <w:p w14:paraId="3036FAF3"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Twins</w:t>
            </w:r>
          </w:p>
        </w:tc>
        <w:tc>
          <w:tcPr>
            <w:tcW w:w="2004" w:type="dxa"/>
            <w:vAlign w:val="center"/>
          </w:tcPr>
          <w:p w14:paraId="48460BA0"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9008</w:t>
            </w:r>
          </w:p>
        </w:tc>
        <w:tc>
          <w:tcPr>
            <w:tcW w:w="2250" w:type="dxa"/>
            <w:vAlign w:val="center"/>
          </w:tcPr>
          <w:p w14:paraId="4238E0AD"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5.58</w:t>
            </w:r>
            <w:r w:rsidRPr="008E4FA2">
              <w:rPr>
                <w:rFonts w:ascii="Times New Roman" w:hAnsi="Times New Roman" w:cs="Times New Roman"/>
                <w:vertAlign w:val="superscript"/>
              </w:rPr>
              <w:t>b</w:t>
            </w:r>
          </w:p>
        </w:tc>
        <w:tc>
          <w:tcPr>
            <w:tcW w:w="2247" w:type="dxa"/>
            <w:vAlign w:val="center"/>
          </w:tcPr>
          <w:p w14:paraId="1B1027BD"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0.016</w:t>
            </w:r>
          </w:p>
        </w:tc>
      </w:tr>
      <w:tr w:rsidR="008E4FA2" w:rsidRPr="008E4FA2" w14:paraId="04685199" w14:textId="77777777" w:rsidTr="00EA05B4">
        <w:tc>
          <w:tcPr>
            <w:tcW w:w="2515" w:type="dxa"/>
            <w:vAlign w:val="center"/>
          </w:tcPr>
          <w:p w14:paraId="573CA788"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Triplets</w:t>
            </w:r>
          </w:p>
        </w:tc>
        <w:tc>
          <w:tcPr>
            <w:tcW w:w="2004" w:type="dxa"/>
            <w:vAlign w:val="center"/>
          </w:tcPr>
          <w:p w14:paraId="4CF3DFE0"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1161</w:t>
            </w:r>
          </w:p>
        </w:tc>
        <w:tc>
          <w:tcPr>
            <w:tcW w:w="2250" w:type="dxa"/>
            <w:vAlign w:val="center"/>
          </w:tcPr>
          <w:p w14:paraId="42E07B8D"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5.44</w:t>
            </w:r>
            <w:r w:rsidRPr="008E4FA2">
              <w:rPr>
                <w:rFonts w:ascii="Times New Roman" w:hAnsi="Times New Roman" w:cs="Times New Roman"/>
                <w:vertAlign w:val="superscript"/>
              </w:rPr>
              <w:t>c</w:t>
            </w:r>
          </w:p>
        </w:tc>
        <w:tc>
          <w:tcPr>
            <w:tcW w:w="2247" w:type="dxa"/>
            <w:vAlign w:val="center"/>
          </w:tcPr>
          <w:p w14:paraId="38F0AEA2"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0.038</w:t>
            </w:r>
          </w:p>
        </w:tc>
      </w:tr>
      <w:tr w:rsidR="008E4FA2" w:rsidRPr="008E4FA2" w14:paraId="2C1C2A48" w14:textId="77777777" w:rsidTr="00EA05B4">
        <w:tc>
          <w:tcPr>
            <w:tcW w:w="9016" w:type="dxa"/>
            <w:gridSpan w:val="4"/>
            <w:vAlign w:val="center"/>
          </w:tcPr>
          <w:p w14:paraId="310F1EC5"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Cluster</w:t>
            </w:r>
          </w:p>
        </w:tc>
      </w:tr>
      <w:tr w:rsidR="008E4FA2" w:rsidRPr="008E4FA2" w14:paraId="2A95FA28" w14:textId="77777777" w:rsidTr="00EA05B4">
        <w:tc>
          <w:tcPr>
            <w:tcW w:w="2515" w:type="dxa"/>
            <w:vAlign w:val="center"/>
          </w:tcPr>
          <w:p w14:paraId="4F8EE745"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1</w:t>
            </w:r>
          </w:p>
        </w:tc>
        <w:tc>
          <w:tcPr>
            <w:tcW w:w="2004" w:type="dxa"/>
            <w:vAlign w:val="center"/>
          </w:tcPr>
          <w:p w14:paraId="384B171C"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4905</w:t>
            </w:r>
          </w:p>
        </w:tc>
        <w:tc>
          <w:tcPr>
            <w:tcW w:w="2250" w:type="dxa"/>
            <w:vAlign w:val="center"/>
          </w:tcPr>
          <w:p w14:paraId="33C26D3B"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5.78</w:t>
            </w:r>
            <w:r w:rsidRPr="008E4FA2">
              <w:rPr>
                <w:rFonts w:ascii="Times New Roman" w:hAnsi="Times New Roman" w:cs="Times New Roman"/>
                <w:vertAlign w:val="superscript"/>
              </w:rPr>
              <w:t>b</w:t>
            </w:r>
          </w:p>
        </w:tc>
        <w:tc>
          <w:tcPr>
            <w:tcW w:w="2247" w:type="dxa"/>
            <w:vAlign w:val="center"/>
          </w:tcPr>
          <w:p w14:paraId="44E54507"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0.022</w:t>
            </w:r>
          </w:p>
        </w:tc>
      </w:tr>
      <w:tr w:rsidR="008E4FA2" w:rsidRPr="008E4FA2" w14:paraId="69419E44" w14:textId="77777777" w:rsidTr="00EA05B4">
        <w:tc>
          <w:tcPr>
            <w:tcW w:w="2515" w:type="dxa"/>
            <w:vAlign w:val="center"/>
          </w:tcPr>
          <w:p w14:paraId="56AA977D"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w:t>
            </w:r>
          </w:p>
        </w:tc>
        <w:tc>
          <w:tcPr>
            <w:tcW w:w="2004" w:type="dxa"/>
            <w:vAlign w:val="center"/>
          </w:tcPr>
          <w:p w14:paraId="698270C5"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2851</w:t>
            </w:r>
          </w:p>
        </w:tc>
        <w:tc>
          <w:tcPr>
            <w:tcW w:w="2250" w:type="dxa"/>
            <w:vAlign w:val="center"/>
          </w:tcPr>
          <w:p w14:paraId="4C2D3804"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5.20</w:t>
            </w:r>
            <w:r w:rsidRPr="008E4FA2">
              <w:rPr>
                <w:rFonts w:ascii="Times New Roman" w:hAnsi="Times New Roman" w:cs="Times New Roman"/>
                <w:vertAlign w:val="superscript"/>
              </w:rPr>
              <w:t>d</w:t>
            </w:r>
          </w:p>
        </w:tc>
        <w:tc>
          <w:tcPr>
            <w:tcW w:w="2247" w:type="dxa"/>
            <w:vAlign w:val="center"/>
          </w:tcPr>
          <w:p w14:paraId="7DCAD45B"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0.027</w:t>
            </w:r>
          </w:p>
        </w:tc>
      </w:tr>
      <w:tr w:rsidR="008E4FA2" w:rsidRPr="008E4FA2" w14:paraId="4F347CA1" w14:textId="77777777" w:rsidTr="00EA05B4">
        <w:tc>
          <w:tcPr>
            <w:tcW w:w="2515" w:type="dxa"/>
            <w:vAlign w:val="center"/>
          </w:tcPr>
          <w:p w14:paraId="1561969C"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3</w:t>
            </w:r>
          </w:p>
        </w:tc>
        <w:tc>
          <w:tcPr>
            <w:tcW w:w="2004" w:type="dxa"/>
            <w:vAlign w:val="center"/>
          </w:tcPr>
          <w:p w14:paraId="5BDB9478"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5034</w:t>
            </w:r>
          </w:p>
        </w:tc>
        <w:tc>
          <w:tcPr>
            <w:tcW w:w="2250" w:type="dxa"/>
            <w:vAlign w:val="center"/>
          </w:tcPr>
          <w:p w14:paraId="11DBA978"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5.31</w:t>
            </w:r>
            <w:r w:rsidRPr="008E4FA2">
              <w:rPr>
                <w:rFonts w:ascii="Times New Roman" w:hAnsi="Times New Roman" w:cs="Times New Roman"/>
                <w:vertAlign w:val="superscript"/>
              </w:rPr>
              <w:t>c</w:t>
            </w:r>
          </w:p>
        </w:tc>
        <w:tc>
          <w:tcPr>
            <w:tcW w:w="2247" w:type="dxa"/>
            <w:vAlign w:val="center"/>
          </w:tcPr>
          <w:p w14:paraId="33012D52"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0.023</w:t>
            </w:r>
          </w:p>
        </w:tc>
      </w:tr>
      <w:tr w:rsidR="008E4FA2" w:rsidRPr="008E4FA2" w14:paraId="52E7920E" w14:textId="77777777" w:rsidTr="00EA05B4">
        <w:tc>
          <w:tcPr>
            <w:tcW w:w="2515" w:type="dxa"/>
            <w:vAlign w:val="center"/>
          </w:tcPr>
          <w:p w14:paraId="2B9DFE29" w14:textId="77777777"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4</w:t>
            </w:r>
          </w:p>
        </w:tc>
        <w:tc>
          <w:tcPr>
            <w:tcW w:w="2004" w:type="dxa"/>
            <w:vAlign w:val="center"/>
          </w:tcPr>
          <w:p w14:paraId="672C4448"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1682</w:t>
            </w:r>
          </w:p>
        </w:tc>
        <w:tc>
          <w:tcPr>
            <w:tcW w:w="2250" w:type="dxa"/>
            <w:vAlign w:val="center"/>
          </w:tcPr>
          <w:p w14:paraId="284472BF" w14:textId="77777777"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6.02</w:t>
            </w:r>
            <w:r w:rsidRPr="008E4FA2">
              <w:rPr>
                <w:rFonts w:ascii="Times New Roman" w:hAnsi="Times New Roman" w:cs="Times New Roman"/>
                <w:vertAlign w:val="superscript"/>
              </w:rPr>
              <w:t>a</w:t>
            </w:r>
          </w:p>
        </w:tc>
        <w:tc>
          <w:tcPr>
            <w:tcW w:w="2247" w:type="dxa"/>
            <w:vAlign w:val="center"/>
          </w:tcPr>
          <w:p w14:paraId="64F2D523" w14:textId="77777777"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0.034</w:t>
            </w:r>
          </w:p>
        </w:tc>
      </w:tr>
    </w:tbl>
    <w:p w14:paraId="18DB03F9" w14:textId="77777777" w:rsidR="008E4FA2" w:rsidRPr="008E4FA2" w:rsidRDefault="008E4FA2" w:rsidP="008E4FA2">
      <w:pPr>
        <w:pStyle w:val="NoSpacing"/>
        <w:rPr>
          <w:rFonts w:ascii="Times New Roman" w:hAnsi="Times New Roman" w:cs="Times New Roman"/>
          <w:b/>
          <w:bCs/>
        </w:rPr>
      </w:pPr>
    </w:p>
    <w:p w14:paraId="2534159D" w14:textId="77777777" w:rsidR="008E4FA2" w:rsidRPr="008E4FA2" w:rsidRDefault="008E4FA2" w:rsidP="008E4FA2">
      <w:pPr>
        <w:pStyle w:val="NoSpacing"/>
        <w:rPr>
          <w:rFonts w:ascii="Times New Roman" w:hAnsi="Times New Roman" w:cs="Times New Roman"/>
          <w:b/>
          <w:bCs/>
        </w:rPr>
      </w:pPr>
    </w:p>
    <w:p w14:paraId="5A2DFDAD" w14:textId="77777777" w:rsidR="000C15ED" w:rsidRDefault="000C15ED" w:rsidP="008A5D47">
      <w:pPr>
        <w:pStyle w:val="NoSpacing"/>
        <w:spacing w:line="360" w:lineRule="auto"/>
        <w:jc w:val="both"/>
        <w:rPr>
          <w:rStyle w:val="Strong"/>
          <w:rFonts w:ascii="Times New Roman" w:hAnsi="Times New Roman" w:cs="Times New Roman"/>
          <w:sz w:val="24"/>
          <w:szCs w:val="24"/>
        </w:rPr>
      </w:pPr>
    </w:p>
    <w:p w14:paraId="3169C74A" w14:textId="77777777" w:rsidR="000C15ED" w:rsidRDefault="000C15ED" w:rsidP="008A5D47">
      <w:pPr>
        <w:pStyle w:val="NoSpacing"/>
        <w:spacing w:line="360" w:lineRule="auto"/>
        <w:jc w:val="both"/>
        <w:rPr>
          <w:rStyle w:val="Strong"/>
          <w:rFonts w:ascii="Times New Roman" w:hAnsi="Times New Roman" w:cs="Times New Roman"/>
          <w:sz w:val="24"/>
          <w:szCs w:val="24"/>
        </w:rPr>
      </w:pPr>
    </w:p>
    <w:p w14:paraId="420F3BDF" w14:textId="77777777"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Effect of period of Kidding</w:t>
      </w:r>
    </w:p>
    <w:p w14:paraId="5D78B99E" w14:textId="77777777" w:rsidR="008A5D47" w:rsidRPr="008A5D47" w:rsidRDefault="008A5D47" w:rsidP="008A5D47">
      <w:pPr>
        <w:pStyle w:val="NoSpacing"/>
        <w:spacing w:line="360" w:lineRule="auto"/>
        <w:jc w:val="both"/>
        <w:rPr>
          <w:rFonts w:ascii="Times New Roman" w:hAnsi="Times New Roman" w:cs="Times New Roman"/>
          <w:b/>
          <w:sz w:val="24"/>
          <w:szCs w:val="24"/>
        </w:rPr>
      </w:pPr>
      <w:r w:rsidRPr="008A5D47">
        <w:rPr>
          <w:rStyle w:val="Strong"/>
          <w:rFonts w:ascii="Times New Roman" w:hAnsi="Times New Roman" w:cs="Times New Roman"/>
          <w:sz w:val="24"/>
          <w:szCs w:val="24"/>
        </w:rPr>
        <w:tab/>
      </w:r>
      <w:r w:rsidRPr="008A5D47">
        <w:rPr>
          <w:rFonts w:ascii="Times New Roman" w:hAnsi="Times New Roman" w:cs="Times New Roman"/>
          <w:sz w:val="24"/>
          <w:szCs w:val="24"/>
        </w:rPr>
        <w:t xml:space="preserve">The period of kidding had a significant </w:t>
      </w:r>
      <w:r w:rsidRPr="008A5D47">
        <w:rPr>
          <w:rFonts w:ascii="Times New Roman" w:eastAsia="Times New Roman" w:hAnsi="Times New Roman" w:cs="Times New Roman"/>
          <w:sz w:val="24"/>
          <w:szCs w:val="24"/>
          <w:lang w:bidi="hi-IN"/>
        </w:rPr>
        <w:t>(P&lt;0.01)</w:t>
      </w:r>
      <w:r w:rsidRPr="008A5D47">
        <w:rPr>
          <w:rFonts w:ascii="Times New Roman" w:hAnsi="Times New Roman" w:cs="Times New Roman"/>
          <w:sz w:val="24"/>
          <w:szCs w:val="24"/>
        </w:rPr>
        <w:t xml:space="preserve"> effect on the one-month body weight of kids. K</w:t>
      </w:r>
      <w:r w:rsidR="000926C9">
        <w:rPr>
          <w:rFonts w:ascii="Times New Roman" w:hAnsi="Times New Roman" w:cs="Times New Roman"/>
          <w:sz w:val="24"/>
          <w:szCs w:val="24"/>
        </w:rPr>
        <w:t>ids born during the period 2016-</w:t>
      </w:r>
      <w:r w:rsidRPr="008A5D47">
        <w:rPr>
          <w:rFonts w:ascii="Times New Roman" w:hAnsi="Times New Roman" w:cs="Times New Roman"/>
          <w:sz w:val="24"/>
          <w:szCs w:val="24"/>
        </w:rPr>
        <w:t>2020 exhibited the highes</w:t>
      </w:r>
      <w:r w:rsidR="000926C9">
        <w:rPr>
          <w:rFonts w:ascii="Times New Roman" w:hAnsi="Times New Roman" w:cs="Times New Roman"/>
          <w:sz w:val="24"/>
          <w:szCs w:val="24"/>
        </w:rPr>
        <w:t>t average one-month weight (6.70</w:t>
      </w:r>
      <w:r w:rsidRPr="008A5D47">
        <w:rPr>
          <w:rFonts w:ascii="Times New Roman" w:hAnsi="Times New Roman" w:cs="Times New Roman"/>
          <w:sz w:val="24"/>
          <w:szCs w:val="24"/>
        </w:rPr>
        <w:t xml:space="preserve"> </w:t>
      </w:r>
      <w:r w:rsidRPr="008A5D47">
        <w:rPr>
          <w:rFonts w:ascii="Times New Roman" w:hAnsi="Times New Roman" w:cs="Times New Roman"/>
          <w:sz w:val="24"/>
          <w:szCs w:val="24"/>
        </w:rPr>
        <w:lastRenderedPageBreak/>
        <w:t>kg), which was significantly grea</w:t>
      </w:r>
      <w:r w:rsidR="000926C9">
        <w:rPr>
          <w:rFonts w:ascii="Times New Roman" w:hAnsi="Times New Roman" w:cs="Times New Roman"/>
          <w:sz w:val="24"/>
          <w:szCs w:val="24"/>
        </w:rPr>
        <w:t>ter than those born during 2011-2015 (5.08 kg) and 2005-</w:t>
      </w:r>
      <w:r w:rsidRPr="008A5D47">
        <w:rPr>
          <w:rFonts w:ascii="Times New Roman" w:hAnsi="Times New Roman" w:cs="Times New Roman"/>
          <w:sz w:val="24"/>
          <w:szCs w:val="24"/>
        </w:rPr>
        <w:t xml:space="preserve">2010 (4.95 kg). This upward trend in early growth performance over time may be attributed to progressive improvements in management practices, enhanced nutritional strategies, and better access to veterinary care in recent years. Additionally, the implementation of selective breeding programs aimed at improving growth traits could have contributed to this observed improvement. Environmental factors, such as more favorable climatic conditions in the later years, may also have played a role in supporting better growth. Similar findings have been reported in studies on various goat breeds, where the birth cohort or period of birth significantly influenced growth traits due to advancements in feeding regimes and disease control measures (Khan </w:t>
      </w:r>
      <w:r w:rsidRPr="008A5D47">
        <w:rPr>
          <w:rFonts w:ascii="Times New Roman" w:hAnsi="Times New Roman" w:cs="Times New Roman"/>
          <w:i/>
          <w:iCs/>
          <w:sz w:val="24"/>
          <w:szCs w:val="24"/>
        </w:rPr>
        <w:t>et al.</w:t>
      </w:r>
      <w:r w:rsidRPr="008A5D47">
        <w:rPr>
          <w:rFonts w:ascii="Times New Roman" w:hAnsi="Times New Roman" w:cs="Times New Roman"/>
          <w:sz w:val="24"/>
          <w:szCs w:val="24"/>
        </w:rPr>
        <w:t xml:space="preserve">, 2020; Sahoo </w:t>
      </w:r>
      <w:r w:rsidRPr="008A5D47">
        <w:rPr>
          <w:rFonts w:ascii="Times New Roman" w:hAnsi="Times New Roman" w:cs="Times New Roman"/>
          <w:i/>
          <w:iCs/>
          <w:sz w:val="24"/>
          <w:szCs w:val="24"/>
        </w:rPr>
        <w:t>et al.</w:t>
      </w:r>
      <w:r w:rsidRPr="008A5D47">
        <w:rPr>
          <w:rFonts w:ascii="Times New Roman" w:hAnsi="Times New Roman" w:cs="Times New Roman"/>
          <w:sz w:val="24"/>
          <w:szCs w:val="24"/>
        </w:rPr>
        <w:t>, 2019).</w:t>
      </w:r>
    </w:p>
    <w:p w14:paraId="7B75D9E8" w14:textId="77777777" w:rsidR="008A5D47" w:rsidRPr="008A5D47" w:rsidRDefault="008A5D47" w:rsidP="008A5D47">
      <w:pPr>
        <w:pStyle w:val="NormalWeb"/>
        <w:spacing w:line="360" w:lineRule="auto"/>
        <w:jc w:val="both"/>
        <w:rPr>
          <w:lang w:val="en-IN" w:eastAsia="en-IN"/>
        </w:rPr>
      </w:pPr>
      <w:r w:rsidRPr="008A5D47">
        <w:tab/>
      </w:r>
      <w:r w:rsidRPr="008A5D47">
        <w:rPr>
          <w:lang w:val="en-IN" w:eastAsia="en-IN"/>
        </w:rPr>
        <w:t xml:space="preserve">In the present study, period of kidding exhibited a significant (P &lt; 0.05) effect on one-month weight, indicating that annual variations in climatic conditions, feed availability, and management practices markedly influenced prenatal development. This observation is </w:t>
      </w:r>
      <w:r w:rsidR="00E96092">
        <w:rPr>
          <w:lang w:val="en-IN" w:eastAsia="en-IN"/>
        </w:rPr>
        <w:t xml:space="preserve">consistent with the findings of </w:t>
      </w:r>
      <w:r w:rsidRPr="008A5D47">
        <w:rPr>
          <w:lang w:val="en-IN" w:eastAsia="en-IN"/>
        </w:rPr>
        <w:t xml:space="preserve">Patil </w:t>
      </w:r>
      <w:r w:rsidRPr="008A5D47">
        <w:rPr>
          <w:i/>
          <w:iCs/>
          <w:lang w:val="en-IN" w:eastAsia="en-IN"/>
        </w:rPr>
        <w:t>et al.</w:t>
      </w:r>
      <w:r w:rsidRPr="008A5D47">
        <w:rPr>
          <w:lang w:val="en-IN" w:eastAsia="en-IN"/>
        </w:rPr>
        <w:t xml:space="preserve"> (2009) and Patil </w:t>
      </w:r>
      <w:r w:rsidRPr="008A5D47">
        <w:rPr>
          <w:i/>
          <w:iCs/>
          <w:lang w:val="en-IN" w:eastAsia="en-IN"/>
        </w:rPr>
        <w:t>et al.</w:t>
      </w:r>
      <w:r w:rsidRPr="008A5D47">
        <w:rPr>
          <w:lang w:val="en-IN" w:eastAsia="en-IN"/>
        </w:rPr>
        <w:t xml:space="preserve"> (2013) observed significant period effects in </w:t>
      </w:r>
      <w:proofErr w:type="spellStart"/>
      <w:r w:rsidRPr="008A5D47">
        <w:rPr>
          <w:lang w:val="en-IN" w:eastAsia="en-IN"/>
        </w:rPr>
        <w:t>Sangamneri</w:t>
      </w:r>
      <w:proofErr w:type="spellEnd"/>
      <w:r w:rsidRPr="008A5D47">
        <w:rPr>
          <w:lang w:val="en-IN" w:eastAsia="en-IN"/>
        </w:rPr>
        <w:t xml:space="preserve"> goats, suggesting that differences in dam condition and resource allocation during gestation impacted </w:t>
      </w:r>
      <w:proofErr w:type="spellStart"/>
      <w:r w:rsidRPr="008A5D47">
        <w:rPr>
          <w:lang w:val="en-IN" w:eastAsia="en-IN"/>
        </w:rPr>
        <w:t>fetal</w:t>
      </w:r>
      <w:proofErr w:type="spellEnd"/>
      <w:r w:rsidRPr="008A5D47">
        <w:rPr>
          <w:lang w:val="en-IN" w:eastAsia="en-IN"/>
        </w:rPr>
        <w:t xml:space="preserve"> growth. Singh (2009) also reported a significant influence of period of kidding on birth weight in Mehsana goats. </w:t>
      </w:r>
      <w:proofErr w:type="spellStart"/>
      <w:r w:rsidRPr="008A5D47">
        <w:rPr>
          <w:lang w:val="en-IN" w:eastAsia="en-IN"/>
        </w:rPr>
        <w:t>Ibnelbachyr</w:t>
      </w:r>
      <w:proofErr w:type="spellEnd"/>
      <w:r w:rsidRPr="008A5D47">
        <w:rPr>
          <w:lang w:val="en-IN" w:eastAsia="en-IN"/>
        </w:rPr>
        <w:t xml:space="preserve"> </w:t>
      </w:r>
      <w:r w:rsidRPr="008A5D47">
        <w:rPr>
          <w:i/>
          <w:iCs/>
          <w:lang w:val="en-IN" w:eastAsia="en-IN"/>
        </w:rPr>
        <w:t>et al.</w:t>
      </w:r>
      <w:r w:rsidRPr="008A5D47">
        <w:rPr>
          <w:lang w:val="en-IN" w:eastAsia="en-IN"/>
        </w:rPr>
        <w:t xml:space="preserve"> (2014) documented similar trends in Draa goats, reinforcing the role of environmental shifts across years. </w:t>
      </w:r>
      <w:proofErr w:type="spellStart"/>
      <w:r w:rsidRPr="008A5D47">
        <w:rPr>
          <w:lang w:val="en-IN" w:eastAsia="en-IN"/>
        </w:rPr>
        <w:t>Mandakmale</w:t>
      </w:r>
      <w:proofErr w:type="spellEnd"/>
      <w:r w:rsidRPr="008A5D47">
        <w:rPr>
          <w:lang w:val="en-IN" w:eastAsia="en-IN"/>
        </w:rPr>
        <w:t xml:space="preserve"> </w:t>
      </w:r>
      <w:r w:rsidRPr="008A5D47">
        <w:rPr>
          <w:i/>
          <w:iCs/>
          <w:lang w:val="en-IN" w:eastAsia="en-IN"/>
        </w:rPr>
        <w:t>et al.</w:t>
      </w:r>
      <w:r w:rsidRPr="008A5D47">
        <w:rPr>
          <w:lang w:val="en-IN" w:eastAsia="en-IN"/>
        </w:rPr>
        <w:t xml:space="preserve"> (2015) further confirmed the significance of period of kidding on birth weight in </w:t>
      </w:r>
      <w:proofErr w:type="spellStart"/>
      <w:r w:rsidRPr="008A5D47">
        <w:rPr>
          <w:lang w:val="en-IN" w:eastAsia="en-IN"/>
        </w:rPr>
        <w:t>Sangamneri</w:t>
      </w:r>
      <w:proofErr w:type="spellEnd"/>
      <w:r w:rsidRPr="008A5D47">
        <w:rPr>
          <w:lang w:val="en-IN" w:eastAsia="en-IN"/>
        </w:rPr>
        <w:t xml:space="preserve"> goats, attributing variations to seasonal changes in forage quality. Most recently, Meshram </w:t>
      </w:r>
      <w:r w:rsidRPr="008A5D47">
        <w:rPr>
          <w:i/>
          <w:iCs/>
          <w:lang w:val="en-IN" w:eastAsia="en-IN"/>
        </w:rPr>
        <w:t>et al.</w:t>
      </w:r>
      <w:r w:rsidRPr="008A5D47">
        <w:rPr>
          <w:lang w:val="en-IN" w:eastAsia="en-IN"/>
        </w:rPr>
        <w:t xml:space="preserve"> (2024) reiterated these findings in </w:t>
      </w:r>
      <w:proofErr w:type="spellStart"/>
      <w:r w:rsidRPr="008A5D47">
        <w:rPr>
          <w:lang w:val="en-IN" w:eastAsia="en-IN"/>
        </w:rPr>
        <w:t>Sangamneri</w:t>
      </w:r>
      <w:proofErr w:type="spellEnd"/>
      <w:r w:rsidRPr="008A5D47">
        <w:rPr>
          <w:lang w:val="en-IN" w:eastAsia="en-IN"/>
        </w:rPr>
        <w:t xml:space="preserve"> goats, emphasizing the continued importance of managing does during critical gestational phases in different calendar years.</w:t>
      </w:r>
    </w:p>
    <w:p w14:paraId="73358E9E" w14:textId="77777777"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Effect of season of Kidding</w:t>
      </w:r>
    </w:p>
    <w:p w14:paraId="68AD2E9E" w14:textId="77777777" w:rsidR="008A5D47" w:rsidRPr="008A5D47" w:rsidRDefault="008A5D47" w:rsidP="008A5D47">
      <w:pPr>
        <w:pStyle w:val="NoSpacing"/>
        <w:spacing w:line="360" w:lineRule="auto"/>
        <w:ind w:firstLine="720"/>
        <w:jc w:val="both"/>
        <w:rPr>
          <w:rFonts w:ascii="Times New Roman" w:eastAsia="Times New Roman" w:hAnsi="Times New Roman" w:cs="Times New Roman"/>
          <w:b/>
          <w:sz w:val="24"/>
          <w:szCs w:val="24"/>
          <w:lang w:bidi="hi-IN"/>
        </w:rPr>
      </w:pPr>
      <w:r w:rsidRPr="008A5D47">
        <w:rPr>
          <w:rFonts w:ascii="Times New Roman" w:eastAsia="Times New Roman" w:hAnsi="Times New Roman" w:cs="Times New Roman"/>
          <w:sz w:val="24"/>
          <w:szCs w:val="24"/>
          <w:lang w:bidi="hi-IN"/>
        </w:rPr>
        <w:t xml:space="preserve">Variation in the season of birth had a notable impact on the one-month body weight of kids. Kids born during the winter season achieved the highest average weight (5.70 kg), followed by those born in the rainy season (5.54 kg), while the lowest average weight was observed in kids born during the summer (5.51 kg). The improved performance of kids born in winter and rainy seasons may be due to better availability of green forage and enhanced milk production in dams, which contribute to superior early growth. Conversely, kids born in the summer are likely exposed to heat stress, which adversely affects feed intake and milk yield in lactating does, thereby </w:t>
      </w:r>
      <w:r w:rsidRPr="008A5D47">
        <w:rPr>
          <w:rFonts w:ascii="Times New Roman" w:eastAsia="Times New Roman" w:hAnsi="Times New Roman" w:cs="Times New Roman"/>
          <w:sz w:val="24"/>
          <w:szCs w:val="24"/>
          <w:lang w:bidi="hi-IN"/>
        </w:rPr>
        <w:lastRenderedPageBreak/>
        <w:t xml:space="preserve">hindering growth. These observations are consistent with the findings of Mandal </w:t>
      </w:r>
      <w:r w:rsidRPr="008A5D47">
        <w:rPr>
          <w:rFonts w:ascii="Times New Roman" w:eastAsia="Times New Roman" w:hAnsi="Times New Roman" w:cs="Times New Roman"/>
          <w:i/>
          <w:iCs/>
          <w:sz w:val="24"/>
          <w:szCs w:val="24"/>
          <w:lang w:bidi="hi-IN"/>
        </w:rPr>
        <w:t>et al.</w:t>
      </w:r>
      <w:r w:rsidRPr="008A5D47">
        <w:rPr>
          <w:rFonts w:ascii="Times New Roman" w:eastAsia="Times New Roman" w:hAnsi="Times New Roman" w:cs="Times New Roman"/>
          <w:sz w:val="24"/>
          <w:szCs w:val="24"/>
          <w:lang w:bidi="hi-IN"/>
        </w:rPr>
        <w:t xml:space="preserve"> (2015), who reported significant seasonal effects on kid growth attributed to variations in maternal nutrition, thermal stress, and forage quality.</w:t>
      </w:r>
    </w:p>
    <w:p w14:paraId="56E260E7" w14:textId="77777777" w:rsidR="008A5D47" w:rsidRPr="008A5D47" w:rsidRDefault="008A5D47" w:rsidP="008A5D47">
      <w:pPr>
        <w:pStyle w:val="NormalWeb"/>
        <w:spacing w:line="360" w:lineRule="auto"/>
        <w:jc w:val="both"/>
        <w:rPr>
          <w:lang w:val="en-IN" w:eastAsia="en-IN"/>
        </w:rPr>
      </w:pPr>
      <w:r w:rsidRPr="008A5D47">
        <w:rPr>
          <w:lang w:bidi="hi-IN"/>
        </w:rPr>
        <w:tab/>
      </w:r>
      <w:r w:rsidRPr="008A5D47">
        <w:rPr>
          <w:lang w:val="en-IN" w:eastAsia="en-IN"/>
        </w:rPr>
        <w:t xml:space="preserve">The present study revealed a significant (P &lt; 0.05) influence of season of kidding on one-month weight, suggesting that seasonal climatic conditions and fluctuations in maternal nutrition during gestation can markedly affect </w:t>
      </w:r>
      <w:proofErr w:type="spellStart"/>
      <w:r w:rsidRPr="008A5D47">
        <w:rPr>
          <w:lang w:val="en-IN" w:eastAsia="en-IN"/>
        </w:rPr>
        <w:t>fetal</w:t>
      </w:r>
      <w:proofErr w:type="spellEnd"/>
      <w:r w:rsidRPr="008A5D47">
        <w:rPr>
          <w:lang w:val="en-IN" w:eastAsia="en-IN"/>
        </w:rPr>
        <w:t xml:space="preserve"> development. Comparable findings were noted by Singh (2009) in Mehsana goats, who linked seasonal variations in birth weight to differences in ambient temperature and availability of quality feed. Significan</w:t>
      </w:r>
      <w:r w:rsidR="00E96092">
        <w:rPr>
          <w:lang w:val="en-IN" w:eastAsia="en-IN"/>
        </w:rPr>
        <w:t xml:space="preserve">t effects were also recorded </w:t>
      </w:r>
      <w:r w:rsidRPr="008A5D47">
        <w:rPr>
          <w:lang w:val="en-IN" w:eastAsia="en-IN"/>
        </w:rPr>
        <w:t xml:space="preserve">by Meshram </w:t>
      </w:r>
      <w:r w:rsidRPr="008A5D47">
        <w:rPr>
          <w:i/>
          <w:iCs/>
          <w:lang w:val="en-IN" w:eastAsia="en-IN"/>
        </w:rPr>
        <w:t>et al.</w:t>
      </w:r>
      <w:r w:rsidRPr="008A5D47">
        <w:rPr>
          <w:lang w:val="en-IN" w:eastAsia="en-IN"/>
        </w:rPr>
        <w:t xml:space="preserve"> (2024) in </w:t>
      </w:r>
      <w:proofErr w:type="spellStart"/>
      <w:r w:rsidRPr="008A5D47">
        <w:rPr>
          <w:lang w:val="en-IN" w:eastAsia="en-IN"/>
        </w:rPr>
        <w:t>Sangamneri</w:t>
      </w:r>
      <w:proofErr w:type="spellEnd"/>
      <w:r w:rsidRPr="008A5D47">
        <w:rPr>
          <w:lang w:val="en-IN" w:eastAsia="en-IN"/>
        </w:rPr>
        <w:t xml:space="preserve"> goats, both emphasizing the benefits of </w:t>
      </w:r>
      <w:proofErr w:type="spellStart"/>
      <w:r w:rsidRPr="008A5D47">
        <w:rPr>
          <w:lang w:val="en-IN" w:eastAsia="en-IN"/>
        </w:rPr>
        <w:t>favorable</w:t>
      </w:r>
      <w:proofErr w:type="spellEnd"/>
      <w:r w:rsidRPr="008A5D47">
        <w:rPr>
          <w:lang w:val="en-IN" w:eastAsia="en-IN"/>
        </w:rPr>
        <w:t xml:space="preserve"> seasons on maternal and </w:t>
      </w:r>
      <w:proofErr w:type="spellStart"/>
      <w:r w:rsidRPr="008A5D47">
        <w:rPr>
          <w:lang w:val="en-IN" w:eastAsia="en-IN"/>
        </w:rPr>
        <w:t>fetal</w:t>
      </w:r>
      <w:proofErr w:type="spellEnd"/>
      <w:r w:rsidRPr="008A5D47">
        <w:rPr>
          <w:lang w:val="en-IN" w:eastAsia="en-IN"/>
        </w:rPr>
        <w:t xml:space="preserve"> health. On the other hand, Patil </w:t>
      </w:r>
      <w:r w:rsidRPr="008A5D47">
        <w:rPr>
          <w:i/>
          <w:iCs/>
          <w:lang w:val="en-IN" w:eastAsia="en-IN"/>
        </w:rPr>
        <w:t>et al.</w:t>
      </w:r>
      <w:r w:rsidRPr="008A5D47">
        <w:rPr>
          <w:lang w:val="en-IN" w:eastAsia="en-IN"/>
        </w:rPr>
        <w:t xml:space="preserve"> (2009, 2013) in </w:t>
      </w:r>
      <w:proofErr w:type="spellStart"/>
      <w:r w:rsidRPr="008A5D47">
        <w:rPr>
          <w:lang w:val="en-IN" w:eastAsia="en-IN"/>
        </w:rPr>
        <w:t>Sangamneri</w:t>
      </w:r>
      <w:proofErr w:type="spellEnd"/>
      <w:r w:rsidRPr="008A5D47">
        <w:rPr>
          <w:lang w:val="en-IN" w:eastAsia="en-IN"/>
        </w:rPr>
        <w:t xml:space="preserve"> goats observed no significant seasonal effect, possibly due to consistent management or climatic stability. Likewise, </w:t>
      </w:r>
      <w:proofErr w:type="spellStart"/>
      <w:r w:rsidRPr="008A5D47">
        <w:rPr>
          <w:lang w:val="en-IN" w:eastAsia="en-IN"/>
        </w:rPr>
        <w:t>Ibnelbachyr</w:t>
      </w:r>
      <w:proofErr w:type="spellEnd"/>
      <w:r w:rsidRPr="008A5D47">
        <w:rPr>
          <w:lang w:val="en-IN" w:eastAsia="en-IN"/>
        </w:rPr>
        <w:t xml:space="preserve"> </w:t>
      </w:r>
      <w:r w:rsidRPr="008A5D47">
        <w:rPr>
          <w:i/>
          <w:iCs/>
          <w:lang w:val="en-IN" w:eastAsia="en-IN"/>
        </w:rPr>
        <w:t>et al.</w:t>
      </w:r>
      <w:r w:rsidRPr="008A5D47">
        <w:rPr>
          <w:lang w:val="en-IN" w:eastAsia="en-IN"/>
        </w:rPr>
        <w:t xml:space="preserve"> (2014) in </w:t>
      </w:r>
      <w:proofErr w:type="spellStart"/>
      <w:r w:rsidRPr="008A5D47">
        <w:rPr>
          <w:lang w:val="en-IN" w:eastAsia="en-IN"/>
        </w:rPr>
        <w:t>Draa</w:t>
      </w:r>
      <w:proofErr w:type="spellEnd"/>
      <w:r w:rsidRPr="008A5D47">
        <w:rPr>
          <w:lang w:val="en-IN" w:eastAsia="en-IN"/>
        </w:rPr>
        <w:t xml:space="preserve"> goats and </w:t>
      </w:r>
      <w:proofErr w:type="spellStart"/>
      <w:r w:rsidRPr="008A5D47">
        <w:rPr>
          <w:lang w:val="en-IN" w:eastAsia="en-IN"/>
        </w:rPr>
        <w:t>Mandakmale</w:t>
      </w:r>
      <w:proofErr w:type="spellEnd"/>
      <w:r w:rsidRPr="008A5D47">
        <w:rPr>
          <w:lang w:val="en-IN" w:eastAsia="en-IN"/>
        </w:rPr>
        <w:t xml:space="preserve"> </w:t>
      </w:r>
      <w:r w:rsidRPr="008A5D47">
        <w:rPr>
          <w:i/>
          <w:iCs/>
          <w:lang w:val="en-IN" w:eastAsia="en-IN"/>
        </w:rPr>
        <w:t>et al.</w:t>
      </w:r>
      <w:r w:rsidRPr="008A5D47">
        <w:rPr>
          <w:lang w:val="en-IN" w:eastAsia="en-IN"/>
        </w:rPr>
        <w:t xml:space="preserve"> (2015) in </w:t>
      </w:r>
      <w:proofErr w:type="spellStart"/>
      <w:r w:rsidRPr="008A5D47">
        <w:rPr>
          <w:lang w:val="en-IN" w:eastAsia="en-IN"/>
        </w:rPr>
        <w:t>Sangamneri</w:t>
      </w:r>
      <w:proofErr w:type="spellEnd"/>
      <w:r w:rsidRPr="008A5D47">
        <w:rPr>
          <w:lang w:val="en-IN" w:eastAsia="en-IN"/>
        </w:rPr>
        <w:t xml:space="preserve"> goats reported non-significant seasonal impacts, highlighting the role of breed-specific adaptability and uniform husbandry conditions in mitigating seasonal influences.</w:t>
      </w:r>
    </w:p>
    <w:p w14:paraId="45AC6146" w14:textId="77777777"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Effect of sex of Kid</w:t>
      </w:r>
    </w:p>
    <w:p w14:paraId="011C8EBA" w14:textId="77777777" w:rsidR="008A5D47" w:rsidRPr="008A5D47" w:rsidRDefault="008A5D47" w:rsidP="008A5D47">
      <w:pPr>
        <w:pStyle w:val="NoSpacing"/>
        <w:spacing w:line="360" w:lineRule="auto"/>
        <w:ind w:firstLine="720"/>
        <w:jc w:val="both"/>
        <w:rPr>
          <w:rFonts w:ascii="Times New Roman" w:hAnsi="Times New Roman" w:cs="Times New Roman"/>
          <w:b/>
          <w:bCs/>
          <w:sz w:val="24"/>
          <w:szCs w:val="24"/>
        </w:rPr>
      </w:pPr>
      <w:r w:rsidRPr="008A5D47">
        <w:rPr>
          <w:rFonts w:ascii="Times New Roman" w:eastAsia="Times New Roman" w:hAnsi="Times New Roman" w:cs="Times New Roman"/>
          <w:sz w:val="24"/>
          <w:szCs w:val="24"/>
          <w:lang w:bidi="hi-IN"/>
        </w:rPr>
        <w:t>The sex of kid significantly (P&lt;0.01) influenced one-month body weight, with male kids exhibiting higher average weights (5.76 kg) compared to female kids (5.40 kg). This difference may be attributed to the inherent physiological and hormonal distinctions between the sexes. Testosterone, which is more prevalent in males, plays a key role in promoting muscle development and accelerating growth rates. Additionally, there is evidence suggesting that greater energy and nutrient allocation may occur toward male fetuses during gestation, as observed in other livestock species. Hafez and Hafez (2013) also reported that male animals generally grow faster than females due to these physiological and endocrine differences.</w:t>
      </w:r>
    </w:p>
    <w:p w14:paraId="3F9C364F" w14:textId="77777777" w:rsidR="008A5D47" w:rsidRPr="008A5D47" w:rsidRDefault="008A5D47" w:rsidP="008A5D47">
      <w:pPr>
        <w:spacing w:before="100" w:beforeAutospacing="1" w:after="100" w:afterAutospacing="1"/>
        <w:rPr>
          <w:rStyle w:val="Strong"/>
          <w:rFonts w:ascii="Times New Roman" w:hAnsi="Times New Roman" w:cs="Times New Roman"/>
          <w:sz w:val="24"/>
          <w:szCs w:val="24"/>
        </w:rPr>
      </w:pPr>
      <w:r w:rsidRPr="008A5D47">
        <w:rPr>
          <w:rStyle w:val="Strong"/>
          <w:rFonts w:ascii="Times New Roman" w:hAnsi="Times New Roman" w:cs="Times New Roman"/>
          <w:sz w:val="24"/>
          <w:szCs w:val="24"/>
        </w:rPr>
        <w:t>Effect of type of Birth</w:t>
      </w:r>
    </w:p>
    <w:p w14:paraId="66DC4C24" w14:textId="77777777" w:rsidR="008A5D47" w:rsidRPr="008A5D47" w:rsidRDefault="008A5D47" w:rsidP="008A5D47">
      <w:pPr>
        <w:spacing w:before="100" w:beforeAutospacing="1" w:after="100" w:afterAutospacing="1" w:line="360" w:lineRule="auto"/>
        <w:ind w:firstLine="720"/>
        <w:jc w:val="both"/>
        <w:rPr>
          <w:rFonts w:ascii="Times New Roman" w:hAnsi="Times New Roman" w:cs="Times New Roman"/>
          <w:b/>
          <w:bCs/>
          <w:sz w:val="24"/>
          <w:szCs w:val="24"/>
        </w:rPr>
      </w:pPr>
      <w:r w:rsidRPr="008A5D47">
        <w:rPr>
          <w:rFonts w:ascii="Times New Roman" w:eastAsia="Times New Roman" w:hAnsi="Times New Roman" w:cs="Times New Roman"/>
          <w:sz w:val="24"/>
          <w:szCs w:val="24"/>
          <w:lang w:bidi="hi-IN"/>
        </w:rPr>
        <w:t xml:space="preserve">The type of birth exerted a significant (P&lt;0.01) influence on one-month body weight of kids. Single-born kids recorded the highest average weight (5.72 kg), followed by twins (5.58 kg), while triplet-born kids had the lowest weight (5.44 kg). This pattern can be attributed to differences in intrauterine nutrient availability and postnatal competition. Single-born kids benefit from exclusive access to maternal nutrients during gestation and have better access to colostrum and </w:t>
      </w:r>
      <w:r w:rsidRPr="008A5D47">
        <w:rPr>
          <w:rFonts w:ascii="Times New Roman" w:eastAsia="Times New Roman" w:hAnsi="Times New Roman" w:cs="Times New Roman"/>
          <w:sz w:val="24"/>
          <w:szCs w:val="24"/>
          <w:lang w:bidi="hi-IN"/>
        </w:rPr>
        <w:lastRenderedPageBreak/>
        <w:t xml:space="preserve">milk after birth, which supports superior early growth. In contrast, twin and triplet kids experience intrauterine competition and limited postnatal milk availability, which may constrain their growth potential. Similar observations were made by Khan </w:t>
      </w:r>
      <w:r w:rsidRPr="008A5D47">
        <w:rPr>
          <w:rFonts w:ascii="Times New Roman" w:eastAsia="Times New Roman" w:hAnsi="Times New Roman" w:cs="Times New Roman"/>
          <w:i/>
          <w:iCs/>
          <w:sz w:val="24"/>
          <w:szCs w:val="24"/>
          <w:lang w:bidi="hi-IN"/>
        </w:rPr>
        <w:t>et al.</w:t>
      </w:r>
      <w:r w:rsidRPr="008A5D47">
        <w:rPr>
          <w:rFonts w:ascii="Times New Roman" w:eastAsia="Times New Roman" w:hAnsi="Times New Roman" w:cs="Times New Roman"/>
          <w:sz w:val="24"/>
          <w:szCs w:val="24"/>
          <w:lang w:bidi="hi-IN"/>
        </w:rPr>
        <w:t xml:space="preserve"> (2020) in </w:t>
      </w:r>
      <w:proofErr w:type="spellStart"/>
      <w:r w:rsidRPr="008A5D47">
        <w:rPr>
          <w:rFonts w:ascii="Times New Roman" w:eastAsia="Times New Roman" w:hAnsi="Times New Roman" w:cs="Times New Roman"/>
          <w:sz w:val="24"/>
          <w:szCs w:val="24"/>
          <w:lang w:bidi="hi-IN"/>
        </w:rPr>
        <w:t>Beetal</w:t>
      </w:r>
      <w:proofErr w:type="spellEnd"/>
      <w:r w:rsidRPr="008A5D47">
        <w:rPr>
          <w:rFonts w:ascii="Times New Roman" w:eastAsia="Times New Roman" w:hAnsi="Times New Roman" w:cs="Times New Roman"/>
          <w:sz w:val="24"/>
          <w:szCs w:val="24"/>
          <w:lang w:bidi="hi-IN"/>
        </w:rPr>
        <w:t xml:space="preserve"> goats, where single-born kids exhibited significantly better growth performance than their multiple-born counterparts.</w:t>
      </w:r>
    </w:p>
    <w:p w14:paraId="2C61E569" w14:textId="77777777"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Effect of Cluster</w:t>
      </w:r>
    </w:p>
    <w:p w14:paraId="42AAA8F0" w14:textId="77777777" w:rsidR="008A5D47" w:rsidRPr="008A5D47" w:rsidRDefault="00944AB2" w:rsidP="008A5D47">
      <w:pPr>
        <w:pStyle w:val="NoSpacing"/>
        <w:spacing w:line="360" w:lineRule="auto"/>
        <w:ind w:firstLine="720"/>
        <w:jc w:val="both"/>
        <w:rPr>
          <w:rFonts w:ascii="Times New Roman" w:hAnsi="Times New Roman" w:cs="Times New Roman"/>
          <w:b/>
          <w:sz w:val="24"/>
          <w:szCs w:val="24"/>
        </w:rPr>
      </w:pPr>
      <w:r w:rsidRPr="00944AB2">
        <w:rPr>
          <w:rFonts w:ascii="Times New Roman" w:hAnsi="Times New Roman" w:cs="Times New Roman"/>
          <w:sz w:val="24"/>
          <w:szCs w:val="24"/>
        </w:rPr>
        <w:t xml:space="preserve">The cluster representing different geographical and management zones (C1: </w:t>
      </w:r>
      <w:proofErr w:type="spellStart"/>
      <w:r w:rsidRPr="00944AB2">
        <w:rPr>
          <w:rFonts w:ascii="Times New Roman" w:hAnsi="Times New Roman" w:cs="Times New Roman"/>
          <w:sz w:val="24"/>
          <w:szCs w:val="24"/>
        </w:rPr>
        <w:t>Sangamner</w:t>
      </w:r>
      <w:proofErr w:type="spellEnd"/>
      <w:r w:rsidRPr="00944AB2">
        <w:rPr>
          <w:rFonts w:ascii="Times New Roman" w:hAnsi="Times New Roman" w:cs="Times New Roman"/>
          <w:sz w:val="24"/>
          <w:szCs w:val="24"/>
        </w:rPr>
        <w:t xml:space="preserve">, C2: </w:t>
      </w:r>
      <w:proofErr w:type="spellStart"/>
      <w:r w:rsidRPr="00944AB2">
        <w:rPr>
          <w:rFonts w:ascii="Times New Roman" w:hAnsi="Times New Roman" w:cs="Times New Roman"/>
          <w:sz w:val="24"/>
          <w:szCs w:val="24"/>
        </w:rPr>
        <w:t>Shrirampur</w:t>
      </w:r>
      <w:proofErr w:type="spellEnd"/>
      <w:r w:rsidRPr="00944AB2">
        <w:rPr>
          <w:rFonts w:ascii="Times New Roman" w:hAnsi="Times New Roman" w:cs="Times New Roman"/>
          <w:sz w:val="24"/>
          <w:szCs w:val="24"/>
        </w:rPr>
        <w:t xml:space="preserve">, C3: </w:t>
      </w:r>
      <w:proofErr w:type="spellStart"/>
      <w:r w:rsidRPr="00944AB2">
        <w:rPr>
          <w:rFonts w:ascii="Times New Roman" w:hAnsi="Times New Roman" w:cs="Times New Roman"/>
          <w:sz w:val="24"/>
          <w:szCs w:val="24"/>
        </w:rPr>
        <w:t>Belha</w:t>
      </w:r>
      <w:proofErr w:type="spellEnd"/>
      <w:r w:rsidRPr="00944AB2">
        <w:rPr>
          <w:rFonts w:ascii="Times New Roman" w:hAnsi="Times New Roman" w:cs="Times New Roman"/>
          <w:sz w:val="24"/>
          <w:szCs w:val="24"/>
        </w:rPr>
        <w:t xml:space="preserve">, and C4: </w:t>
      </w:r>
      <w:proofErr w:type="spellStart"/>
      <w:r w:rsidRPr="00944AB2">
        <w:rPr>
          <w:rFonts w:ascii="Times New Roman" w:hAnsi="Times New Roman" w:cs="Times New Roman"/>
          <w:sz w:val="24"/>
          <w:szCs w:val="24"/>
        </w:rPr>
        <w:t>Rahuri</w:t>
      </w:r>
      <w:proofErr w:type="spellEnd"/>
      <w:r w:rsidRPr="00944AB2">
        <w:rPr>
          <w:rFonts w:ascii="Times New Roman" w:hAnsi="Times New Roman" w:cs="Times New Roman"/>
          <w:sz w:val="24"/>
          <w:szCs w:val="24"/>
        </w:rPr>
        <w:t xml:space="preserve">) had a highly significant effect (P&lt;0.01) on one-month weight. </w:t>
      </w:r>
      <w:r w:rsidR="008A5D47" w:rsidRPr="008A5D47">
        <w:rPr>
          <w:rFonts w:ascii="Times New Roman" w:hAnsi="Times New Roman" w:cs="Times New Roman"/>
          <w:sz w:val="24"/>
          <w:szCs w:val="24"/>
        </w:rPr>
        <w:t xml:space="preserve">Kids from Cluster 4 exhibited the highest average weight (6.02 kg), whereas those from Cluster 2 recorded the lowest (5.20 kg). These differences are likely due to variations in farm-level factors such as management practices, breed composition, feeding strategies, and health care protocols. </w:t>
      </w:r>
      <w:r w:rsidRPr="00944AB2">
        <w:rPr>
          <w:rFonts w:ascii="Times New Roman" w:hAnsi="Times New Roman" w:cs="Times New Roman"/>
          <w:sz w:val="24"/>
          <w:szCs w:val="24"/>
        </w:rPr>
        <w:t xml:space="preserve">The notably better performance observed in </w:t>
      </w:r>
      <w:proofErr w:type="spellStart"/>
      <w:r w:rsidRPr="00944AB2">
        <w:rPr>
          <w:rFonts w:ascii="Times New Roman" w:hAnsi="Times New Roman" w:cs="Times New Roman"/>
          <w:sz w:val="24"/>
          <w:szCs w:val="24"/>
        </w:rPr>
        <w:t>Rahuri</w:t>
      </w:r>
      <w:proofErr w:type="spellEnd"/>
      <w:r w:rsidRPr="00944AB2">
        <w:rPr>
          <w:rFonts w:ascii="Times New Roman" w:hAnsi="Times New Roman" w:cs="Times New Roman"/>
          <w:sz w:val="24"/>
          <w:szCs w:val="24"/>
        </w:rPr>
        <w:t xml:space="preserve"> can likely be attributed to greater awareness, enhanced veterinary services, and more intensive technical oversight, as this cluster includes the AICRP field unit on </w:t>
      </w:r>
      <w:proofErr w:type="spellStart"/>
      <w:r w:rsidRPr="00944AB2">
        <w:rPr>
          <w:rFonts w:ascii="Times New Roman" w:hAnsi="Times New Roman" w:cs="Times New Roman"/>
          <w:sz w:val="24"/>
          <w:szCs w:val="24"/>
        </w:rPr>
        <w:t>Sangamneri</w:t>
      </w:r>
      <w:proofErr w:type="spellEnd"/>
      <w:r w:rsidRPr="00944AB2">
        <w:rPr>
          <w:rFonts w:ascii="Times New Roman" w:hAnsi="Times New Roman" w:cs="Times New Roman"/>
          <w:sz w:val="24"/>
          <w:szCs w:val="24"/>
        </w:rPr>
        <w:t xml:space="preserve"> goats at MPKV, </w:t>
      </w:r>
      <w:proofErr w:type="spellStart"/>
      <w:r w:rsidRPr="00944AB2">
        <w:rPr>
          <w:rFonts w:ascii="Times New Roman" w:hAnsi="Times New Roman" w:cs="Times New Roman"/>
          <w:sz w:val="24"/>
          <w:szCs w:val="24"/>
        </w:rPr>
        <w:t>Rahuri</w:t>
      </w:r>
      <w:proofErr w:type="spellEnd"/>
      <w:r w:rsidRPr="00944AB2">
        <w:rPr>
          <w:rFonts w:ascii="Times New Roman" w:hAnsi="Times New Roman" w:cs="Times New Roman"/>
          <w:sz w:val="24"/>
          <w:szCs w:val="24"/>
        </w:rPr>
        <w:t>. The closeness to institutional support appears to have facilitated more effective management, timely disease control, and consistent data recording.</w:t>
      </w:r>
      <w:r>
        <w:rPr>
          <w:rFonts w:ascii="Times New Roman" w:hAnsi="Times New Roman" w:cs="Times New Roman"/>
          <w:sz w:val="24"/>
          <w:szCs w:val="24"/>
        </w:rPr>
        <w:t xml:space="preserve"> </w:t>
      </w:r>
      <w:r w:rsidR="008A5D47" w:rsidRPr="008A5D47">
        <w:rPr>
          <w:rFonts w:ascii="Times New Roman" w:hAnsi="Times New Roman" w:cs="Times New Roman"/>
          <w:sz w:val="24"/>
          <w:szCs w:val="24"/>
        </w:rPr>
        <w:t xml:space="preserve">Clusters represent diverse production environments, and the disparities in early growth performance underscore the importance of localized management conditions. Similar findings have been reported by Prakash </w:t>
      </w:r>
      <w:r w:rsidR="008A5D47" w:rsidRPr="008A5D47">
        <w:rPr>
          <w:rFonts w:ascii="Times New Roman" w:hAnsi="Times New Roman" w:cs="Times New Roman"/>
          <w:i/>
          <w:iCs/>
          <w:sz w:val="24"/>
          <w:szCs w:val="24"/>
        </w:rPr>
        <w:t>et al.</w:t>
      </w:r>
      <w:r w:rsidR="008A5D47" w:rsidRPr="008A5D47">
        <w:rPr>
          <w:rFonts w:ascii="Times New Roman" w:hAnsi="Times New Roman" w:cs="Times New Roman"/>
          <w:sz w:val="24"/>
          <w:szCs w:val="24"/>
        </w:rPr>
        <w:t xml:space="preserve"> (2018), who demonstrated that farm-specific factors-including nutrition, disease control, and overall management-have a substantial influence on the growth performance of kids in clustered livestock data.</w:t>
      </w:r>
    </w:p>
    <w:p w14:paraId="281FD715" w14:textId="77777777" w:rsidR="00944AB2" w:rsidRDefault="008A5D47" w:rsidP="00944AB2">
      <w:pPr>
        <w:pStyle w:val="NoSpacing"/>
        <w:spacing w:line="360" w:lineRule="auto"/>
        <w:ind w:firstLine="720"/>
        <w:jc w:val="both"/>
        <w:rPr>
          <w:rFonts w:ascii="Times New Roman" w:hAnsi="Times New Roman" w:cs="Times New Roman"/>
          <w:sz w:val="24"/>
          <w:szCs w:val="24"/>
        </w:rPr>
      </w:pPr>
      <w:r w:rsidRPr="008A5D47">
        <w:rPr>
          <w:rFonts w:ascii="Times New Roman" w:hAnsi="Times New Roman" w:cs="Times New Roman"/>
          <w:sz w:val="24"/>
          <w:szCs w:val="24"/>
        </w:rPr>
        <w:t xml:space="preserve">In the present study, cluster had a significant (P &lt; 0.05) effect on one-month weight, suggesting that location-specific differences in management practices, feed resources, and microclimatic conditions can substantially influence prenatal development. This result is in agreement with Patil </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(2013), who reported significant variation in birth weight across different clusters in </w:t>
      </w:r>
      <w:proofErr w:type="spellStart"/>
      <w:r w:rsidRPr="008A5D47">
        <w:rPr>
          <w:rFonts w:ascii="Times New Roman" w:hAnsi="Times New Roman" w:cs="Times New Roman"/>
          <w:sz w:val="24"/>
          <w:szCs w:val="24"/>
        </w:rPr>
        <w:t>Sangamneri</w:t>
      </w:r>
      <w:proofErr w:type="spellEnd"/>
      <w:r w:rsidRPr="008A5D47">
        <w:rPr>
          <w:rFonts w:ascii="Times New Roman" w:hAnsi="Times New Roman" w:cs="Times New Roman"/>
          <w:sz w:val="24"/>
          <w:szCs w:val="24"/>
        </w:rPr>
        <w:t xml:space="preserve"> goats, attributing it to disparities in housing, feeding regimes, and healthcare accessibility. </w:t>
      </w:r>
      <w:proofErr w:type="spellStart"/>
      <w:r w:rsidRPr="008A5D47">
        <w:rPr>
          <w:rFonts w:ascii="Times New Roman" w:hAnsi="Times New Roman" w:cs="Times New Roman"/>
          <w:sz w:val="24"/>
          <w:szCs w:val="24"/>
        </w:rPr>
        <w:t>Mandakmale</w:t>
      </w:r>
      <w:proofErr w:type="spellEnd"/>
      <w:r w:rsidRPr="008A5D47">
        <w:rPr>
          <w:rFonts w:ascii="Times New Roman" w:hAnsi="Times New Roman" w:cs="Times New Roman"/>
          <w:sz w:val="24"/>
          <w:szCs w:val="24"/>
        </w:rPr>
        <w:t xml:space="preserve"> </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(2015) also observed significant cluster effects in the same breed, emphasizing the role of localized environmental and managemental conditions. More recently, Meshram </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(2024) confirmed these findings in </w:t>
      </w:r>
      <w:proofErr w:type="spellStart"/>
      <w:r w:rsidRPr="008A5D47">
        <w:rPr>
          <w:rFonts w:ascii="Times New Roman" w:hAnsi="Times New Roman" w:cs="Times New Roman"/>
          <w:sz w:val="24"/>
          <w:szCs w:val="24"/>
        </w:rPr>
        <w:t>Sangamneri</w:t>
      </w:r>
      <w:proofErr w:type="spellEnd"/>
      <w:r w:rsidRPr="008A5D47">
        <w:rPr>
          <w:rFonts w:ascii="Times New Roman" w:hAnsi="Times New Roman" w:cs="Times New Roman"/>
          <w:sz w:val="24"/>
          <w:szCs w:val="24"/>
        </w:rPr>
        <w:t xml:space="preserve"> goats, reinforcing the notion that spatial variability among field units can contribute notably to differences in birth weight performance.</w:t>
      </w:r>
    </w:p>
    <w:p w14:paraId="688AF693" w14:textId="77777777" w:rsidR="00944AB2" w:rsidRPr="00944AB2" w:rsidRDefault="00D5777B" w:rsidP="00944AB2">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36225D37" w14:textId="77777777" w:rsidR="00944AB2" w:rsidRP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lastRenderedPageBreak/>
        <w:t>This study clearly demons</w:t>
      </w:r>
      <w:r w:rsidR="00A072E2">
        <w:rPr>
          <w:rFonts w:ascii="Times New Roman" w:hAnsi="Times New Roman" w:cs="Times New Roman"/>
          <w:sz w:val="24"/>
          <w:szCs w:val="24"/>
        </w:rPr>
        <w:t xml:space="preserve">trates that non-genetic factors </w:t>
      </w:r>
      <w:r w:rsidRPr="00944AB2">
        <w:rPr>
          <w:rFonts w:ascii="Times New Roman" w:hAnsi="Times New Roman" w:cs="Times New Roman"/>
          <w:sz w:val="24"/>
          <w:szCs w:val="24"/>
        </w:rPr>
        <w:t xml:space="preserve">including period of kidding, season of kidding, sex of the kid, type of birth, and </w:t>
      </w:r>
      <w:r w:rsidR="00A072E2">
        <w:rPr>
          <w:rFonts w:ascii="Times New Roman" w:hAnsi="Times New Roman" w:cs="Times New Roman"/>
          <w:sz w:val="24"/>
          <w:szCs w:val="24"/>
        </w:rPr>
        <w:t xml:space="preserve">clusters </w:t>
      </w:r>
      <w:r w:rsidRPr="00944AB2">
        <w:rPr>
          <w:rFonts w:ascii="Times New Roman" w:hAnsi="Times New Roman" w:cs="Times New Roman"/>
          <w:sz w:val="24"/>
          <w:szCs w:val="24"/>
        </w:rPr>
        <w:t xml:space="preserve">exert a statistically significant influence on one-month body weight in </w:t>
      </w:r>
      <w:proofErr w:type="spellStart"/>
      <w:r w:rsidRPr="00944AB2">
        <w:rPr>
          <w:rFonts w:ascii="Times New Roman" w:hAnsi="Times New Roman" w:cs="Times New Roman"/>
          <w:sz w:val="24"/>
          <w:szCs w:val="24"/>
        </w:rPr>
        <w:t>Sangamneri</w:t>
      </w:r>
      <w:proofErr w:type="spellEnd"/>
      <w:r w:rsidRPr="00944AB2">
        <w:rPr>
          <w:rFonts w:ascii="Times New Roman" w:hAnsi="Times New Roman" w:cs="Times New Roman"/>
          <w:sz w:val="24"/>
          <w:szCs w:val="24"/>
        </w:rPr>
        <w:t xml:space="preserve"> goat kids reared under village-level conditions. Notably, period of kidding and cluster location emerged as the most influential variables, suggesting substantial temporal improvements in husbandry practices and the positive impact of localized institutional support. Superior performance among male, single-born, and winter-born kids further underscores the importance of physiological and maternal environmental conditions in early growth outcomes.</w:t>
      </w:r>
    </w:p>
    <w:p w14:paraId="5F5ECB77" w14:textId="77777777" w:rsidR="00944AB2" w:rsidRP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t>The elevated growth performance observed in Cluster 4 (</w:t>
      </w:r>
      <w:proofErr w:type="spellStart"/>
      <w:r w:rsidRPr="00944AB2">
        <w:rPr>
          <w:rFonts w:ascii="Times New Roman" w:hAnsi="Times New Roman" w:cs="Times New Roman"/>
          <w:sz w:val="24"/>
          <w:szCs w:val="24"/>
        </w:rPr>
        <w:t>Rahuri</w:t>
      </w:r>
      <w:proofErr w:type="spellEnd"/>
      <w:r w:rsidRPr="00944AB2">
        <w:rPr>
          <w:rFonts w:ascii="Times New Roman" w:hAnsi="Times New Roman" w:cs="Times New Roman"/>
          <w:sz w:val="24"/>
          <w:szCs w:val="24"/>
        </w:rPr>
        <w:t>), which benefits from proximity to the AICRP field unit, highlights the critical role of decentralized technical support, access to veterinary services, and ongoing capacity-building initiatives in enhancing productivity within low-input production systems. These findings provide a strong empirical basis for refining herd management strategies and support the adoption of location-specific, evidence-based breeding and husbandry interventions tailored to the unique constraints and opportunities of smallholder systems.</w:t>
      </w:r>
    </w:p>
    <w:p w14:paraId="52B06ED1" w14:textId="77777777" w:rsid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t>Future research should prioritize the integration of these non-genetic insights into national goat improvement frameworks, facilitating more targeted selection criteria and context-appropriate management practices. Additionally, extending this work through genetic evaluation and longitudinal performance monitoring will enable a more comprehensive understanding of genotype × environment interactions, ultimately contributing to the sustainable genetic enhancement of indigenous goat populations.</w:t>
      </w:r>
    </w:p>
    <w:p w14:paraId="559838EB" w14:textId="77777777" w:rsidR="0042300E" w:rsidRPr="0042300E" w:rsidRDefault="00A072E2" w:rsidP="0042300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BCC65EA"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1. Department of Animal Husbandry &amp; Dairying, Ministry of Fisheries, Animal Husbandry &amp; Dairying, Government of India. 20th Livestock Census - 2019: All India Report. New De</w:t>
      </w:r>
      <w:r>
        <w:rPr>
          <w:rFonts w:ascii="Times New Roman" w:hAnsi="Times New Roman" w:cs="Times New Roman"/>
          <w:sz w:val="24"/>
          <w:szCs w:val="24"/>
        </w:rPr>
        <w:t>lhi: Government of India; 2019.</w:t>
      </w:r>
    </w:p>
    <w:p w14:paraId="7B6E93FA" w14:textId="77777777" w:rsid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2. Hafez ESE, Hafez B. Reproduction in farm animals. 7th ed. Hoboken: John Wiley &amp; Sons; 2013.</w:t>
      </w:r>
    </w:p>
    <w:p w14:paraId="5C2FD315"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3. </w:t>
      </w:r>
      <w:proofErr w:type="spellStart"/>
      <w:r w:rsidRPr="0042300E">
        <w:rPr>
          <w:rFonts w:ascii="Times New Roman" w:hAnsi="Times New Roman" w:cs="Times New Roman"/>
          <w:sz w:val="24"/>
          <w:szCs w:val="24"/>
        </w:rPr>
        <w:t>Ibnelbachyr</w:t>
      </w:r>
      <w:proofErr w:type="spellEnd"/>
      <w:r w:rsidRPr="0042300E">
        <w:rPr>
          <w:rFonts w:ascii="Times New Roman" w:hAnsi="Times New Roman" w:cs="Times New Roman"/>
          <w:sz w:val="24"/>
          <w:szCs w:val="24"/>
        </w:rPr>
        <w:t xml:space="preserve"> M, </w:t>
      </w:r>
      <w:proofErr w:type="spellStart"/>
      <w:r w:rsidRPr="0042300E">
        <w:rPr>
          <w:rFonts w:ascii="Times New Roman" w:hAnsi="Times New Roman" w:cs="Times New Roman"/>
          <w:sz w:val="24"/>
          <w:szCs w:val="24"/>
        </w:rPr>
        <w:t>Boujenane</w:t>
      </w:r>
      <w:proofErr w:type="spellEnd"/>
      <w:r w:rsidRPr="0042300E">
        <w:rPr>
          <w:rFonts w:ascii="Times New Roman" w:hAnsi="Times New Roman" w:cs="Times New Roman"/>
          <w:sz w:val="24"/>
          <w:szCs w:val="24"/>
        </w:rPr>
        <w:t xml:space="preserve"> I, </w:t>
      </w:r>
      <w:proofErr w:type="spellStart"/>
      <w:r w:rsidRPr="0042300E">
        <w:rPr>
          <w:rFonts w:ascii="Times New Roman" w:hAnsi="Times New Roman" w:cs="Times New Roman"/>
          <w:sz w:val="24"/>
          <w:szCs w:val="24"/>
        </w:rPr>
        <w:t>Chikli</w:t>
      </w:r>
      <w:proofErr w:type="spellEnd"/>
      <w:r w:rsidRPr="0042300E">
        <w:rPr>
          <w:rFonts w:ascii="Times New Roman" w:hAnsi="Times New Roman" w:cs="Times New Roman"/>
          <w:sz w:val="24"/>
          <w:szCs w:val="24"/>
        </w:rPr>
        <w:t xml:space="preserve"> A. Non-genetic effects on reproductive and growth traits of Draa goats. Livest Res Rural Dev. 2014;</w:t>
      </w:r>
      <w:r>
        <w:rPr>
          <w:rFonts w:ascii="Times New Roman" w:hAnsi="Times New Roman" w:cs="Times New Roman"/>
          <w:sz w:val="24"/>
          <w:szCs w:val="24"/>
        </w:rPr>
        <w:t xml:space="preserve"> </w:t>
      </w:r>
      <w:r w:rsidRPr="0042300E">
        <w:rPr>
          <w:rFonts w:ascii="Times New Roman" w:hAnsi="Times New Roman" w:cs="Times New Roman"/>
          <w:sz w:val="24"/>
          <w:szCs w:val="24"/>
        </w:rPr>
        <w:t>26(12):1-8.</w:t>
      </w:r>
    </w:p>
    <w:p w14:paraId="31C1B0CF"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4. Khan MS, Ahmad N, Khan MA. Effect of birth type and season on birth weight of </w:t>
      </w:r>
      <w:proofErr w:type="spellStart"/>
      <w:r w:rsidRPr="0042300E">
        <w:rPr>
          <w:rFonts w:ascii="Times New Roman" w:hAnsi="Times New Roman" w:cs="Times New Roman"/>
          <w:sz w:val="24"/>
          <w:szCs w:val="24"/>
        </w:rPr>
        <w:t>Beetal</w:t>
      </w:r>
      <w:proofErr w:type="spellEnd"/>
      <w:r w:rsidRPr="0042300E">
        <w:rPr>
          <w:rFonts w:ascii="Times New Roman" w:hAnsi="Times New Roman" w:cs="Times New Roman"/>
          <w:sz w:val="24"/>
          <w:szCs w:val="24"/>
        </w:rPr>
        <w:t xml:space="preserve"> goat kids. Small </w:t>
      </w:r>
      <w:proofErr w:type="spellStart"/>
      <w:r w:rsidRPr="0042300E">
        <w:rPr>
          <w:rFonts w:ascii="Times New Roman" w:hAnsi="Times New Roman" w:cs="Times New Roman"/>
          <w:sz w:val="24"/>
          <w:szCs w:val="24"/>
        </w:rPr>
        <w:t>Rumin</w:t>
      </w:r>
      <w:proofErr w:type="spellEnd"/>
      <w:r w:rsidRPr="0042300E">
        <w:rPr>
          <w:rFonts w:ascii="Times New Roman" w:hAnsi="Times New Roman" w:cs="Times New Roman"/>
          <w:sz w:val="24"/>
          <w:szCs w:val="24"/>
        </w:rPr>
        <w:t xml:space="preserve"> Res. 2020;</w:t>
      </w:r>
      <w:r>
        <w:rPr>
          <w:rFonts w:ascii="Times New Roman" w:hAnsi="Times New Roman" w:cs="Times New Roman"/>
          <w:sz w:val="24"/>
          <w:szCs w:val="24"/>
        </w:rPr>
        <w:t xml:space="preserve"> </w:t>
      </w:r>
      <w:r w:rsidRPr="0042300E">
        <w:rPr>
          <w:rFonts w:ascii="Times New Roman" w:hAnsi="Times New Roman" w:cs="Times New Roman"/>
          <w:sz w:val="24"/>
          <w:szCs w:val="24"/>
        </w:rPr>
        <w:t>182:1-6.</w:t>
      </w:r>
    </w:p>
    <w:p w14:paraId="6EA8C96B" w14:textId="77777777" w:rsid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lastRenderedPageBreak/>
        <w:t xml:space="preserve">5. </w:t>
      </w:r>
      <w:proofErr w:type="spellStart"/>
      <w:r w:rsidRPr="0042300E">
        <w:rPr>
          <w:rFonts w:ascii="Times New Roman" w:hAnsi="Times New Roman" w:cs="Times New Roman"/>
          <w:sz w:val="24"/>
          <w:szCs w:val="24"/>
        </w:rPr>
        <w:t>Mandakmale</w:t>
      </w:r>
      <w:proofErr w:type="spellEnd"/>
      <w:r w:rsidRPr="0042300E">
        <w:rPr>
          <w:rFonts w:ascii="Times New Roman" w:hAnsi="Times New Roman" w:cs="Times New Roman"/>
          <w:sz w:val="24"/>
          <w:szCs w:val="24"/>
        </w:rPr>
        <w:t xml:space="preserve"> SD, </w:t>
      </w:r>
      <w:proofErr w:type="spellStart"/>
      <w:r w:rsidRPr="0042300E">
        <w:rPr>
          <w:rFonts w:ascii="Times New Roman" w:hAnsi="Times New Roman" w:cs="Times New Roman"/>
          <w:sz w:val="24"/>
          <w:szCs w:val="24"/>
        </w:rPr>
        <w:t>Deokar</w:t>
      </w:r>
      <w:proofErr w:type="spellEnd"/>
      <w:r w:rsidRPr="0042300E">
        <w:rPr>
          <w:rFonts w:ascii="Times New Roman" w:hAnsi="Times New Roman" w:cs="Times New Roman"/>
          <w:sz w:val="24"/>
          <w:szCs w:val="24"/>
        </w:rPr>
        <w:t xml:space="preserve"> DK, Sakhare PS, Lokhande AT. Impact of AICRP on </w:t>
      </w:r>
      <w:proofErr w:type="spellStart"/>
      <w:r w:rsidRPr="0042300E">
        <w:rPr>
          <w:rFonts w:ascii="Times New Roman" w:hAnsi="Times New Roman" w:cs="Times New Roman"/>
          <w:sz w:val="24"/>
          <w:szCs w:val="24"/>
        </w:rPr>
        <w:t>Sangamneri</w:t>
      </w:r>
      <w:proofErr w:type="spellEnd"/>
      <w:r w:rsidRPr="0042300E">
        <w:rPr>
          <w:rFonts w:ascii="Times New Roman" w:hAnsi="Times New Roman" w:cs="Times New Roman"/>
          <w:sz w:val="24"/>
          <w:szCs w:val="24"/>
        </w:rPr>
        <w:t xml:space="preserve"> goat in farmers flock. 2015. </w:t>
      </w:r>
    </w:p>
    <w:p w14:paraId="5C43EE01"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6. Mandal A, Roy R, Rout PK. Influence of season and litter size on birth weight and survival of lambs in tropical conditions. Trop Anim Health Prod. 2015;</w:t>
      </w:r>
      <w:r>
        <w:rPr>
          <w:rFonts w:ascii="Times New Roman" w:hAnsi="Times New Roman" w:cs="Times New Roman"/>
          <w:sz w:val="24"/>
          <w:szCs w:val="24"/>
        </w:rPr>
        <w:t xml:space="preserve"> </w:t>
      </w:r>
      <w:r w:rsidRPr="0042300E">
        <w:rPr>
          <w:rFonts w:ascii="Times New Roman" w:hAnsi="Times New Roman" w:cs="Times New Roman"/>
          <w:sz w:val="24"/>
          <w:szCs w:val="24"/>
        </w:rPr>
        <w:t>47(5):895-902.</w:t>
      </w:r>
    </w:p>
    <w:p w14:paraId="350E7800"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7. </w:t>
      </w:r>
      <w:proofErr w:type="spellStart"/>
      <w:r w:rsidRPr="0042300E">
        <w:rPr>
          <w:rFonts w:ascii="Times New Roman" w:hAnsi="Times New Roman" w:cs="Times New Roman"/>
          <w:sz w:val="24"/>
          <w:szCs w:val="24"/>
        </w:rPr>
        <w:t>Meshra</w:t>
      </w:r>
      <w:r>
        <w:rPr>
          <w:rFonts w:ascii="Times New Roman" w:hAnsi="Times New Roman" w:cs="Times New Roman"/>
          <w:sz w:val="24"/>
          <w:szCs w:val="24"/>
        </w:rPr>
        <w:t>m</w:t>
      </w:r>
      <w:proofErr w:type="spellEnd"/>
      <w:r>
        <w:rPr>
          <w:rFonts w:ascii="Times New Roman" w:hAnsi="Times New Roman" w:cs="Times New Roman"/>
          <w:sz w:val="24"/>
          <w:szCs w:val="24"/>
        </w:rPr>
        <w:t xml:space="preserve"> PB, </w:t>
      </w:r>
      <w:proofErr w:type="spellStart"/>
      <w:r>
        <w:rPr>
          <w:rFonts w:ascii="Times New Roman" w:hAnsi="Times New Roman" w:cs="Times New Roman"/>
          <w:sz w:val="24"/>
          <w:szCs w:val="24"/>
        </w:rPr>
        <w:t>Mandakmale</w:t>
      </w:r>
      <w:proofErr w:type="spellEnd"/>
      <w:r>
        <w:rPr>
          <w:rFonts w:ascii="Times New Roman" w:hAnsi="Times New Roman" w:cs="Times New Roman"/>
          <w:sz w:val="24"/>
          <w:szCs w:val="24"/>
        </w:rPr>
        <w:t xml:space="preserve"> SD, Parade AK, </w:t>
      </w:r>
      <w:r w:rsidR="00A4056E">
        <w:rPr>
          <w:rFonts w:ascii="Times New Roman" w:hAnsi="Times New Roman" w:cs="Times New Roman"/>
          <w:sz w:val="24"/>
          <w:szCs w:val="24"/>
        </w:rPr>
        <w:t xml:space="preserve">Gaikwad </w:t>
      </w:r>
      <w:r w:rsidRPr="0042300E">
        <w:rPr>
          <w:rFonts w:ascii="Times New Roman" w:hAnsi="Times New Roman" w:cs="Times New Roman"/>
          <w:sz w:val="24"/>
          <w:szCs w:val="24"/>
        </w:rPr>
        <w:t xml:space="preserve">US, </w:t>
      </w:r>
      <w:proofErr w:type="spellStart"/>
      <w:r w:rsidRPr="0042300E">
        <w:rPr>
          <w:rFonts w:ascii="Times New Roman" w:hAnsi="Times New Roman" w:cs="Times New Roman"/>
          <w:sz w:val="24"/>
          <w:szCs w:val="24"/>
        </w:rPr>
        <w:t>Deokar</w:t>
      </w:r>
      <w:proofErr w:type="spellEnd"/>
      <w:r w:rsidRPr="0042300E">
        <w:rPr>
          <w:rFonts w:ascii="Times New Roman" w:hAnsi="Times New Roman" w:cs="Times New Roman"/>
          <w:sz w:val="24"/>
          <w:szCs w:val="24"/>
        </w:rPr>
        <w:t xml:space="preserve"> DK, </w:t>
      </w:r>
      <w:proofErr w:type="spellStart"/>
      <w:r w:rsidRPr="0042300E">
        <w:rPr>
          <w:rFonts w:ascii="Times New Roman" w:hAnsi="Times New Roman" w:cs="Times New Roman"/>
          <w:sz w:val="24"/>
          <w:szCs w:val="24"/>
        </w:rPr>
        <w:t>Kamble</w:t>
      </w:r>
      <w:proofErr w:type="spellEnd"/>
      <w:r w:rsidRPr="0042300E">
        <w:rPr>
          <w:rFonts w:ascii="Times New Roman" w:hAnsi="Times New Roman" w:cs="Times New Roman"/>
          <w:sz w:val="24"/>
          <w:szCs w:val="24"/>
        </w:rPr>
        <w:t xml:space="preserve"> DK. Genetic and non-genetic factors affecting 1 month body weight of </w:t>
      </w:r>
      <w:proofErr w:type="spellStart"/>
      <w:r w:rsidRPr="0042300E">
        <w:rPr>
          <w:rFonts w:ascii="Times New Roman" w:hAnsi="Times New Roman" w:cs="Times New Roman"/>
          <w:sz w:val="24"/>
          <w:szCs w:val="24"/>
        </w:rPr>
        <w:t>Sangamneri</w:t>
      </w:r>
      <w:proofErr w:type="spellEnd"/>
      <w:r w:rsidRPr="0042300E">
        <w:rPr>
          <w:rFonts w:ascii="Times New Roman" w:hAnsi="Times New Roman" w:cs="Times New Roman"/>
          <w:sz w:val="24"/>
          <w:szCs w:val="24"/>
        </w:rPr>
        <w:t xml:space="preserve"> goat kid at organized farm. Int J Adv </w:t>
      </w:r>
      <w:proofErr w:type="spellStart"/>
      <w:r w:rsidRPr="0042300E">
        <w:rPr>
          <w:rFonts w:ascii="Times New Roman" w:hAnsi="Times New Roman" w:cs="Times New Roman"/>
          <w:sz w:val="24"/>
          <w:szCs w:val="24"/>
        </w:rPr>
        <w:t>Biochem</w:t>
      </w:r>
      <w:proofErr w:type="spellEnd"/>
      <w:r w:rsidRPr="0042300E">
        <w:rPr>
          <w:rFonts w:ascii="Times New Roman" w:hAnsi="Times New Roman" w:cs="Times New Roman"/>
          <w:sz w:val="24"/>
          <w:szCs w:val="24"/>
        </w:rPr>
        <w:t xml:space="preserve"> Res. 2024;</w:t>
      </w:r>
      <w:r>
        <w:rPr>
          <w:rFonts w:ascii="Times New Roman" w:hAnsi="Times New Roman" w:cs="Times New Roman"/>
          <w:sz w:val="24"/>
          <w:szCs w:val="24"/>
        </w:rPr>
        <w:t xml:space="preserve"> </w:t>
      </w:r>
      <w:r w:rsidRPr="0042300E">
        <w:rPr>
          <w:rFonts w:ascii="Times New Roman" w:hAnsi="Times New Roman" w:cs="Times New Roman"/>
          <w:sz w:val="24"/>
          <w:szCs w:val="24"/>
        </w:rPr>
        <w:t>SP-8(7):344-7.</w:t>
      </w:r>
    </w:p>
    <w:p w14:paraId="071E7776"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8. Patil BS. Studies on growth performance of </w:t>
      </w:r>
      <w:proofErr w:type="spellStart"/>
      <w:r w:rsidRPr="0042300E">
        <w:rPr>
          <w:rFonts w:ascii="Times New Roman" w:hAnsi="Times New Roman" w:cs="Times New Roman"/>
          <w:sz w:val="24"/>
          <w:szCs w:val="24"/>
        </w:rPr>
        <w:t>Sangamneri</w:t>
      </w:r>
      <w:proofErr w:type="spellEnd"/>
      <w:r w:rsidRPr="0042300E">
        <w:rPr>
          <w:rFonts w:ascii="Times New Roman" w:hAnsi="Times New Roman" w:cs="Times New Roman"/>
          <w:sz w:val="24"/>
          <w:szCs w:val="24"/>
        </w:rPr>
        <w:t xml:space="preserve"> goat under field condition \[MSc thesis]. </w:t>
      </w:r>
      <w:proofErr w:type="spellStart"/>
      <w:r w:rsidRPr="0042300E">
        <w:rPr>
          <w:rFonts w:ascii="Times New Roman" w:hAnsi="Times New Roman" w:cs="Times New Roman"/>
          <w:sz w:val="24"/>
          <w:szCs w:val="24"/>
        </w:rPr>
        <w:t>Rahuri</w:t>
      </w:r>
      <w:proofErr w:type="spellEnd"/>
      <w:r w:rsidRPr="0042300E">
        <w:rPr>
          <w:rFonts w:ascii="Times New Roman" w:hAnsi="Times New Roman" w:cs="Times New Roman"/>
          <w:sz w:val="24"/>
          <w:szCs w:val="24"/>
        </w:rPr>
        <w:t>: Mahatma Phule Krishi Vidyapeeth; 2009.</w:t>
      </w:r>
    </w:p>
    <w:p w14:paraId="36D9AD14"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9. Patil BS, </w:t>
      </w:r>
      <w:proofErr w:type="spellStart"/>
      <w:r w:rsidRPr="0042300E">
        <w:rPr>
          <w:rFonts w:ascii="Times New Roman" w:hAnsi="Times New Roman" w:cs="Times New Roman"/>
          <w:sz w:val="24"/>
          <w:szCs w:val="24"/>
        </w:rPr>
        <w:t>Pachpute</w:t>
      </w:r>
      <w:proofErr w:type="spellEnd"/>
      <w:r w:rsidRPr="0042300E">
        <w:rPr>
          <w:rFonts w:ascii="Times New Roman" w:hAnsi="Times New Roman" w:cs="Times New Roman"/>
          <w:sz w:val="24"/>
          <w:szCs w:val="24"/>
        </w:rPr>
        <w:t xml:space="preserve"> ST, </w:t>
      </w:r>
      <w:proofErr w:type="spellStart"/>
      <w:r w:rsidRPr="0042300E">
        <w:rPr>
          <w:rFonts w:ascii="Times New Roman" w:hAnsi="Times New Roman" w:cs="Times New Roman"/>
          <w:sz w:val="24"/>
          <w:szCs w:val="24"/>
        </w:rPr>
        <w:t>Dhage</w:t>
      </w:r>
      <w:proofErr w:type="spellEnd"/>
      <w:r w:rsidRPr="0042300E">
        <w:rPr>
          <w:rFonts w:ascii="Times New Roman" w:hAnsi="Times New Roman" w:cs="Times New Roman"/>
          <w:sz w:val="24"/>
          <w:szCs w:val="24"/>
        </w:rPr>
        <w:t xml:space="preserve"> SA. Growth performance of </w:t>
      </w:r>
      <w:proofErr w:type="spellStart"/>
      <w:r w:rsidRPr="0042300E">
        <w:rPr>
          <w:rFonts w:ascii="Times New Roman" w:hAnsi="Times New Roman" w:cs="Times New Roman"/>
          <w:sz w:val="24"/>
          <w:szCs w:val="24"/>
        </w:rPr>
        <w:t>Sangamneri</w:t>
      </w:r>
      <w:proofErr w:type="spellEnd"/>
      <w:r w:rsidRPr="0042300E">
        <w:rPr>
          <w:rFonts w:ascii="Times New Roman" w:hAnsi="Times New Roman" w:cs="Times New Roman"/>
          <w:sz w:val="24"/>
          <w:szCs w:val="24"/>
        </w:rPr>
        <w:t xml:space="preserve"> goat under field condition. Indian J</w:t>
      </w:r>
      <w:r>
        <w:rPr>
          <w:rFonts w:ascii="Times New Roman" w:hAnsi="Times New Roman" w:cs="Times New Roman"/>
          <w:sz w:val="24"/>
          <w:szCs w:val="24"/>
        </w:rPr>
        <w:t xml:space="preserve"> Small Rumin. 2013: </w:t>
      </w:r>
      <w:r w:rsidRPr="0042300E">
        <w:rPr>
          <w:rFonts w:ascii="Times New Roman" w:hAnsi="Times New Roman" w:cs="Times New Roman"/>
          <w:sz w:val="24"/>
          <w:szCs w:val="24"/>
        </w:rPr>
        <w:t>19(2):151-5.</w:t>
      </w:r>
    </w:p>
    <w:p w14:paraId="57D1AF7B"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10. Prakash V, Singh SK, Sharma N. Seasonal influence on birth weight of kids in </w:t>
      </w:r>
      <w:proofErr w:type="spellStart"/>
      <w:r w:rsidRPr="0042300E">
        <w:rPr>
          <w:rFonts w:ascii="Times New Roman" w:hAnsi="Times New Roman" w:cs="Times New Roman"/>
          <w:sz w:val="24"/>
          <w:szCs w:val="24"/>
        </w:rPr>
        <w:t>Jamunapari</w:t>
      </w:r>
      <w:proofErr w:type="spellEnd"/>
      <w:r w:rsidRPr="0042300E">
        <w:rPr>
          <w:rFonts w:ascii="Times New Roman" w:hAnsi="Times New Roman" w:cs="Times New Roman"/>
          <w:sz w:val="24"/>
          <w:szCs w:val="24"/>
        </w:rPr>
        <w:t xml:space="preserve"> goats. India</w:t>
      </w:r>
      <w:r>
        <w:rPr>
          <w:rFonts w:ascii="Times New Roman" w:hAnsi="Times New Roman" w:cs="Times New Roman"/>
          <w:sz w:val="24"/>
          <w:szCs w:val="24"/>
        </w:rPr>
        <w:t>n J Anim Sci. 2018; 88(4):420-5.</w:t>
      </w:r>
    </w:p>
    <w:p w14:paraId="2245EC02" w14:textId="77777777"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11. Singh KP, Dixit SP, Singh PK, Pandey DP, Ahlawat SP. A note on growth and reproduction traits of Mehsana goats under farmer’s flock. Indian J Small Rumin. 2009;</w:t>
      </w:r>
      <w:r>
        <w:rPr>
          <w:rFonts w:ascii="Times New Roman" w:hAnsi="Times New Roman" w:cs="Times New Roman"/>
          <w:sz w:val="24"/>
          <w:szCs w:val="24"/>
        </w:rPr>
        <w:t xml:space="preserve"> </w:t>
      </w:r>
      <w:r w:rsidRPr="0042300E">
        <w:rPr>
          <w:rFonts w:ascii="Times New Roman" w:hAnsi="Times New Roman" w:cs="Times New Roman"/>
          <w:sz w:val="24"/>
          <w:szCs w:val="24"/>
        </w:rPr>
        <w:t>15(2):271-3.</w:t>
      </w:r>
    </w:p>
    <w:p w14:paraId="6F7BD8E6" w14:textId="77777777" w:rsidR="0042300E" w:rsidRPr="0042300E" w:rsidRDefault="0042300E" w:rsidP="0042300E">
      <w:pPr>
        <w:spacing w:line="360" w:lineRule="auto"/>
        <w:ind w:leftChars="-1" w:left="720" w:hangingChars="328" w:hanging="722"/>
        <w:jc w:val="both"/>
        <w:rPr>
          <w:rFonts w:ascii="Times New Roman" w:hAnsi="Times New Roman" w:cs="Times New Roman"/>
          <w:szCs w:val="24"/>
        </w:rPr>
      </w:pPr>
    </w:p>
    <w:p w14:paraId="7D3CD707" w14:textId="77777777" w:rsidR="0042300E" w:rsidRPr="0042300E" w:rsidRDefault="0042300E" w:rsidP="0042300E">
      <w:pPr>
        <w:spacing w:line="360" w:lineRule="auto"/>
        <w:ind w:leftChars="-1" w:left="720" w:hangingChars="328" w:hanging="722"/>
        <w:jc w:val="both"/>
        <w:rPr>
          <w:rFonts w:ascii="Times New Roman" w:hAnsi="Times New Roman" w:cs="Times New Roman"/>
          <w:szCs w:val="24"/>
        </w:rPr>
      </w:pPr>
    </w:p>
    <w:p w14:paraId="221221E7" w14:textId="77777777" w:rsidR="00A072E2" w:rsidRPr="007C4298" w:rsidRDefault="00A072E2" w:rsidP="00D5777B">
      <w:pPr>
        <w:spacing w:line="360" w:lineRule="auto"/>
        <w:ind w:left="781" w:hangingChars="355" w:hanging="781"/>
        <w:jc w:val="both"/>
        <w:rPr>
          <w:rFonts w:cs="Times New Roman"/>
          <w:szCs w:val="24"/>
        </w:rPr>
      </w:pPr>
    </w:p>
    <w:p w14:paraId="2CAB6639" w14:textId="77777777" w:rsidR="00A072E2" w:rsidRPr="00A072E2" w:rsidRDefault="00A072E2" w:rsidP="00944AB2">
      <w:pPr>
        <w:pStyle w:val="NoSpacing"/>
        <w:spacing w:line="360" w:lineRule="auto"/>
        <w:jc w:val="both"/>
        <w:rPr>
          <w:rFonts w:ascii="Times New Roman" w:hAnsi="Times New Roman" w:cs="Times New Roman"/>
          <w:b/>
          <w:sz w:val="24"/>
          <w:szCs w:val="24"/>
        </w:rPr>
      </w:pPr>
    </w:p>
    <w:p w14:paraId="467D613D" w14:textId="77777777" w:rsidR="00944AB2" w:rsidRPr="00944AB2" w:rsidRDefault="00944AB2" w:rsidP="00944AB2">
      <w:pPr>
        <w:pStyle w:val="NoSpacing"/>
        <w:spacing w:line="360" w:lineRule="auto"/>
        <w:jc w:val="both"/>
        <w:rPr>
          <w:rFonts w:ascii="Times New Roman" w:hAnsi="Times New Roman" w:cs="Times New Roman"/>
          <w:sz w:val="24"/>
          <w:szCs w:val="24"/>
        </w:rPr>
      </w:pPr>
    </w:p>
    <w:p w14:paraId="53083468" w14:textId="77777777" w:rsidR="0062369A" w:rsidRPr="00944AB2" w:rsidRDefault="0062369A" w:rsidP="00944AB2">
      <w:pPr>
        <w:spacing w:before="100" w:beforeAutospacing="1" w:after="100" w:afterAutospacing="1" w:line="360" w:lineRule="auto"/>
        <w:jc w:val="both"/>
        <w:rPr>
          <w:rFonts w:ascii="Times New Roman" w:eastAsia="Times New Roman" w:hAnsi="Times New Roman" w:cs="Times New Roman"/>
          <w:sz w:val="24"/>
          <w:szCs w:val="24"/>
          <w:lang w:bidi="hi-IN"/>
        </w:rPr>
      </w:pPr>
    </w:p>
    <w:p w14:paraId="7CCF4C0D" w14:textId="77777777" w:rsidR="0098310E" w:rsidRPr="0062369A" w:rsidRDefault="0098310E" w:rsidP="0098310E">
      <w:pPr>
        <w:widowControl w:val="0"/>
        <w:autoSpaceDE w:val="0"/>
        <w:autoSpaceDN w:val="0"/>
        <w:spacing w:after="0" w:line="360" w:lineRule="auto"/>
        <w:ind w:left="2847" w:hanging="2937"/>
        <w:jc w:val="both"/>
        <w:rPr>
          <w:rFonts w:ascii="Times New Roman" w:eastAsia="Calibri" w:hAnsi="Times New Roman" w:cs="Times New Roman"/>
          <w:noProof/>
          <w:sz w:val="24"/>
          <w:szCs w:val="24"/>
          <w:lang w:bidi="en-US"/>
        </w:rPr>
      </w:pPr>
    </w:p>
    <w:p w14:paraId="37A5797F" w14:textId="77777777" w:rsidR="00C762B1" w:rsidRPr="007C2D8F" w:rsidRDefault="00C762B1" w:rsidP="00D10170">
      <w:pPr>
        <w:pStyle w:val="NormalWeb"/>
        <w:spacing w:line="360" w:lineRule="auto"/>
        <w:jc w:val="both"/>
        <w:rPr>
          <w:b/>
        </w:rPr>
      </w:pPr>
    </w:p>
    <w:p w14:paraId="6232D0D4" w14:textId="77777777" w:rsidR="00D10170" w:rsidRPr="00C115DC" w:rsidRDefault="00D10170" w:rsidP="00E06F78">
      <w:pPr>
        <w:spacing w:line="360" w:lineRule="auto"/>
        <w:jc w:val="both"/>
        <w:rPr>
          <w:rFonts w:ascii="Times New Roman" w:hAnsi="Times New Roman" w:cs="Times New Roman"/>
          <w:color w:val="000000" w:themeColor="text1"/>
          <w:sz w:val="24"/>
          <w:szCs w:val="24"/>
        </w:rPr>
      </w:pPr>
    </w:p>
    <w:sectPr w:rsidR="00D10170" w:rsidRPr="00C115DC" w:rsidSect="009831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2F4A6" w14:textId="77777777" w:rsidR="00C160F2" w:rsidRDefault="00C160F2" w:rsidP="008E4290">
      <w:pPr>
        <w:spacing w:after="0" w:line="240" w:lineRule="auto"/>
      </w:pPr>
      <w:r>
        <w:separator/>
      </w:r>
    </w:p>
  </w:endnote>
  <w:endnote w:type="continuationSeparator" w:id="0">
    <w:p w14:paraId="1B9B5CE9" w14:textId="77777777" w:rsidR="00C160F2" w:rsidRDefault="00C160F2" w:rsidP="008E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Narrow">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3EBE" w14:textId="77777777" w:rsidR="008E4290" w:rsidRDefault="008E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4BCC" w14:textId="77777777" w:rsidR="008E4290" w:rsidRDefault="008E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8123" w14:textId="77777777" w:rsidR="008E4290" w:rsidRDefault="008E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B6D3" w14:textId="77777777" w:rsidR="00C160F2" w:rsidRDefault="00C160F2" w:rsidP="008E4290">
      <w:pPr>
        <w:spacing w:after="0" w:line="240" w:lineRule="auto"/>
      </w:pPr>
      <w:r>
        <w:separator/>
      </w:r>
    </w:p>
  </w:footnote>
  <w:footnote w:type="continuationSeparator" w:id="0">
    <w:p w14:paraId="5287CBE2" w14:textId="77777777" w:rsidR="00C160F2" w:rsidRDefault="00C160F2" w:rsidP="008E4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1F85" w14:textId="047EFF0B" w:rsidR="008E4290" w:rsidRDefault="008E4290">
    <w:pPr>
      <w:pStyle w:val="Header"/>
    </w:pPr>
    <w:r>
      <w:rPr>
        <w:noProof/>
      </w:rPr>
      <w:pict w14:anchorId="28209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48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ndar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C7F6" w14:textId="10ADC255" w:rsidR="008E4290" w:rsidRDefault="008E4290">
    <w:pPr>
      <w:pStyle w:val="Header"/>
    </w:pPr>
    <w:r>
      <w:rPr>
        <w:noProof/>
      </w:rPr>
      <w:pict w14:anchorId="2F84B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48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ndar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EF76" w14:textId="0A491716" w:rsidR="008E4290" w:rsidRDefault="008E4290">
    <w:pPr>
      <w:pStyle w:val="Header"/>
    </w:pPr>
    <w:r>
      <w:rPr>
        <w:noProof/>
      </w:rPr>
      <w:pict w14:anchorId="20EEF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48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ndar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E06F78"/>
    <w:rsid w:val="000926C9"/>
    <w:rsid w:val="000C15ED"/>
    <w:rsid w:val="000C4F44"/>
    <w:rsid w:val="00114BC8"/>
    <w:rsid w:val="001B28FE"/>
    <w:rsid w:val="001E6B16"/>
    <w:rsid w:val="002A3E48"/>
    <w:rsid w:val="003842CD"/>
    <w:rsid w:val="0042300E"/>
    <w:rsid w:val="005A73D9"/>
    <w:rsid w:val="0062369A"/>
    <w:rsid w:val="00636A43"/>
    <w:rsid w:val="006412EF"/>
    <w:rsid w:val="0065581C"/>
    <w:rsid w:val="006C7733"/>
    <w:rsid w:val="00773E52"/>
    <w:rsid w:val="007915E1"/>
    <w:rsid w:val="007C0334"/>
    <w:rsid w:val="007C2D8F"/>
    <w:rsid w:val="008203DE"/>
    <w:rsid w:val="0087117E"/>
    <w:rsid w:val="008919AA"/>
    <w:rsid w:val="008A5D47"/>
    <w:rsid w:val="008E4290"/>
    <w:rsid w:val="008E4FA2"/>
    <w:rsid w:val="00944AB2"/>
    <w:rsid w:val="0098310E"/>
    <w:rsid w:val="00A072E2"/>
    <w:rsid w:val="00A4056E"/>
    <w:rsid w:val="00B520CB"/>
    <w:rsid w:val="00B90F61"/>
    <w:rsid w:val="00C115DC"/>
    <w:rsid w:val="00C160F2"/>
    <w:rsid w:val="00C762B1"/>
    <w:rsid w:val="00D10170"/>
    <w:rsid w:val="00D5777B"/>
    <w:rsid w:val="00E06F78"/>
    <w:rsid w:val="00E41204"/>
    <w:rsid w:val="00E96092"/>
    <w:rsid w:val="00F7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BF25E"/>
  <w15:chartTrackingRefBased/>
  <w15:docId w15:val="{2191FD5A-65B0-45ED-810B-080EA648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 sub heading"/>
    <w:link w:val="NoSpacingChar"/>
    <w:uiPriority w:val="1"/>
    <w:qFormat/>
    <w:rsid w:val="006412EF"/>
    <w:pPr>
      <w:spacing w:after="0" w:line="240" w:lineRule="auto"/>
    </w:pPr>
    <w:rPr>
      <w:rFonts w:eastAsiaTheme="minorEastAsia"/>
    </w:rPr>
  </w:style>
  <w:style w:type="character" w:customStyle="1" w:styleId="NoSpacingChar">
    <w:name w:val="No Spacing Char"/>
    <w:aliases w:val="sub sub heading Char"/>
    <w:basedOn w:val="DefaultParagraphFont"/>
    <w:link w:val="NoSpacing"/>
    <w:uiPriority w:val="1"/>
    <w:rsid w:val="006412EF"/>
    <w:rPr>
      <w:rFonts w:eastAsiaTheme="minorEastAsia"/>
    </w:rPr>
  </w:style>
  <w:style w:type="paragraph" w:styleId="NormalWeb">
    <w:name w:val="Normal (Web)"/>
    <w:basedOn w:val="Normal"/>
    <w:uiPriority w:val="99"/>
    <w:unhideWhenUsed/>
    <w:rsid w:val="00D101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D47"/>
    <w:rPr>
      <w:b/>
      <w:bCs/>
    </w:rPr>
  </w:style>
  <w:style w:type="character" w:styleId="Emphasis">
    <w:name w:val="Emphasis"/>
    <w:basedOn w:val="DefaultParagraphFont"/>
    <w:uiPriority w:val="20"/>
    <w:qFormat/>
    <w:rsid w:val="008A5D47"/>
    <w:rPr>
      <w:i/>
      <w:iCs/>
    </w:rPr>
  </w:style>
  <w:style w:type="table" w:styleId="TableGrid">
    <w:name w:val="Table Grid"/>
    <w:basedOn w:val="TableNormal"/>
    <w:uiPriority w:val="59"/>
    <w:rsid w:val="008E4FA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E4FA2"/>
    <w:rPr>
      <w:rFonts w:ascii="ArialNarrow" w:hAnsi="ArialNarrow" w:hint="default"/>
      <w:b w:val="0"/>
      <w:bCs w:val="0"/>
      <w:i w:val="0"/>
      <w:iCs w:val="0"/>
      <w:color w:val="000000"/>
      <w:sz w:val="20"/>
      <w:szCs w:val="20"/>
    </w:rPr>
  </w:style>
  <w:style w:type="character" w:styleId="Hyperlink">
    <w:name w:val="Hyperlink"/>
    <w:basedOn w:val="DefaultParagraphFont"/>
    <w:uiPriority w:val="99"/>
    <w:unhideWhenUsed/>
    <w:rsid w:val="00114BC8"/>
    <w:rPr>
      <w:color w:val="0563C1" w:themeColor="hyperlink"/>
      <w:u w:val="single"/>
    </w:rPr>
  </w:style>
  <w:style w:type="character" w:styleId="UnresolvedMention">
    <w:name w:val="Unresolved Mention"/>
    <w:basedOn w:val="DefaultParagraphFont"/>
    <w:uiPriority w:val="99"/>
    <w:semiHidden/>
    <w:unhideWhenUsed/>
    <w:rsid w:val="00114BC8"/>
    <w:rPr>
      <w:color w:val="605E5C"/>
      <w:shd w:val="clear" w:color="auto" w:fill="E1DFDD"/>
    </w:rPr>
  </w:style>
  <w:style w:type="paragraph" w:styleId="Header">
    <w:name w:val="header"/>
    <w:basedOn w:val="Normal"/>
    <w:link w:val="HeaderChar"/>
    <w:uiPriority w:val="99"/>
    <w:unhideWhenUsed/>
    <w:rsid w:val="008E4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90"/>
  </w:style>
  <w:style w:type="paragraph" w:styleId="Footer">
    <w:name w:val="footer"/>
    <w:basedOn w:val="Normal"/>
    <w:link w:val="FooterChar"/>
    <w:uiPriority w:val="99"/>
    <w:unhideWhenUsed/>
    <w:rsid w:val="008E4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2621">
      <w:bodyDiv w:val="1"/>
      <w:marLeft w:val="0"/>
      <w:marRight w:val="0"/>
      <w:marTop w:val="0"/>
      <w:marBottom w:val="0"/>
      <w:divBdr>
        <w:top w:val="none" w:sz="0" w:space="0" w:color="auto"/>
        <w:left w:val="none" w:sz="0" w:space="0" w:color="auto"/>
        <w:bottom w:val="none" w:sz="0" w:space="0" w:color="auto"/>
        <w:right w:val="none" w:sz="0" w:space="0" w:color="auto"/>
      </w:divBdr>
    </w:div>
    <w:div w:id="12740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10</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SDI 1084</cp:lastModifiedBy>
  <cp:revision>23</cp:revision>
  <dcterms:created xsi:type="dcterms:W3CDTF">2025-07-22T10:42:00Z</dcterms:created>
  <dcterms:modified xsi:type="dcterms:W3CDTF">2025-09-12T12:34:00Z</dcterms:modified>
</cp:coreProperties>
</file>