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309AB" w14:textId="77777777" w:rsidR="002B47CF" w:rsidRDefault="002B47CF"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Comparative Evaluation of MAT, PCR, and LAMP Assays for the Diagnosis of Canine Leptospirosis</w:t>
      </w:r>
    </w:p>
    <w:p w14:paraId="19773F8D" w14:textId="0F7D2C7E" w:rsidR="00D84CE8" w:rsidRDefault="00D84CE8" w:rsidP="00F82139">
      <w:pPr>
        <w:spacing w:line="360" w:lineRule="auto"/>
        <w:jc w:val="both"/>
        <w:rPr>
          <w:rFonts w:ascii="Times New Roman" w:hAnsi="Times New Roman" w:cs="Times New Roman"/>
          <w:b/>
          <w:bCs/>
          <w:sz w:val="24"/>
          <w:szCs w:val="24"/>
        </w:rPr>
      </w:pPr>
    </w:p>
    <w:p w14:paraId="502096A5" w14:textId="77777777" w:rsidR="005F3CED" w:rsidRDefault="005F3CED" w:rsidP="00F82139">
      <w:pPr>
        <w:spacing w:line="360" w:lineRule="auto"/>
        <w:jc w:val="both"/>
        <w:rPr>
          <w:rFonts w:ascii="Times New Roman" w:hAnsi="Times New Roman" w:cs="Times New Roman"/>
          <w:b/>
          <w:bCs/>
          <w:sz w:val="24"/>
          <w:szCs w:val="24"/>
        </w:rPr>
      </w:pPr>
      <w:bookmarkStart w:id="0" w:name="_GoBack"/>
      <w:bookmarkEnd w:id="0"/>
    </w:p>
    <w:p w14:paraId="28C77AE5" w14:textId="007B68FC" w:rsidR="00D82EE8" w:rsidRPr="003171B1" w:rsidRDefault="00D82EE8" w:rsidP="00F82139">
      <w:pPr>
        <w:spacing w:line="360" w:lineRule="auto"/>
        <w:jc w:val="both"/>
        <w:rPr>
          <w:rFonts w:ascii="Times New Roman" w:hAnsi="Times New Roman" w:cs="Times New Roman"/>
          <w:b/>
          <w:bCs/>
          <w:sz w:val="24"/>
          <w:szCs w:val="24"/>
        </w:rPr>
      </w:pPr>
      <w:r w:rsidRPr="003171B1">
        <w:rPr>
          <w:rFonts w:ascii="Times New Roman" w:hAnsi="Times New Roman" w:cs="Times New Roman"/>
          <w:b/>
          <w:bCs/>
          <w:sz w:val="24"/>
          <w:szCs w:val="24"/>
        </w:rPr>
        <w:t>ABSTRACT</w:t>
      </w:r>
    </w:p>
    <w:p w14:paraId="1AD40372" w14:textId="77777777" w:rsidR="003171B1" w:rsidRPr="003171B1" w:rsidRDefault="003171B1" w:rsidP="003171B1">
      <w:pPr>
        <w:spacing w:line="360" w:lineRule="auto"/>
        <w:jc w:val="both"/>
        <w:rPr>
          <w:rFonts w:ascii="Times New Roman" w:hAnsi="Times New Roman" w:cs="Times New Roman"/>
          <w:sz w:val="24"/>
          <w:szCs w:val="24"/>
        </w:rPr>
      </w:pPr>
      <w:r w:rsidRPr="003171B1">
        <w:rPr>
          <w:rFonts w:ascii="Times New Roman" w:hAnsi="Times New Roman" w:cs="Times New Roman"/>
          <w:sz w:val="24"/>
          <w:szCs w:val="24"/>
        </w:rPr>
        <w:t xml:space="preserve">Leptospirosis is a globally significant zoonosis in dogs, yet its clinical diagnosis remains challenging due to the heterogeneous performance of available assays. This study evaluated the diagnostic accuracy of the microscopic agglutination test (MAT), polymerase chain reaction (PCR), and loop-mediated isothermal amplification (LAMP) in 52 dogs presenting with clinical signs suggestive of leptospirosis at the Teaching Veterinary Clinical Complex, </w:t>
      </w:r>
      <w:proofErr w:type="spellStart"/>
      <w:r w:rsidRPr="003171B1">
        <w:rPr>
          <w:rFonts w:ascii="Times New Roman" w:hAnsi="Times New Roman" w:cs="Times New Roman"/>
          <w:sz w:val="24"/>
          <w:szCs w:val="24"/>
        </w:rPr>
        <w:t>Pookode</w:t>
      </w:r>
      <w:proofErr w:type="spellEnd"/>
      <w:r w:rsidRPr="003171B1">
        <w:rPr>
          <w:rFonts w:ascii="Times New Roman" w:hAnsi="Times New Roman" w:cs="Times New Roman"/>
          <w:sz w:val="24"/>
          <w:szCs w:val="24"/>
        </w:rPr>
        <w:t xml:space="preserve">. Among the cohort, 26 (50.0%) were confirmed positive by at least one diagnostic assay. Of these, 6 (23.1%) were detected by MAT, 14 (53.9%) by PCR, and 23 (88.5%) by LAMP. MAT demonstrated 100% specificity but low sensitivity (23.1%), identifying Pomona, </w:t>
      </w:r>
      <w:proofErr w:type="spellStart"/>
      <w:r w:rsidRPr="003171B1">
        <w:rPr>
          <w:rFonts w:ascii="Times New Roman" w:hAnsi="Times New Roman" w:cs="Times New Roman"/>
          <w:sz w:val="24"/>
          <w:szCs w:val="24"/>
        </w:rPr>
        <w:t>Icterohaemorrhagiae</w:t>
      </w:r>
      <w:proofErr w:type="spellEnd"/>
      <w:r w:rsidRPr="003171B1">
        <w:rPr>
          <w:rFonts w:ascii="Times New Roman" w:hAnsi="Times New Roman" w:cs="Times New Roman"/>
          <w:sz w:val="24"/>
          <w:szCs w:val="24"/>
        </w:rPr>
        <w:t xml:space="preserve">, and </w:t>
      </w:r>
      <w:proofErr w:type="spellStart"/>
      <w:r w:rsidRPr="003171B1">
        <w:rPr>
          <w:rFonts w:ascii="Times New Roman" w:hAnsi="Times New Roman" w:cs="Times New Roman"/>
          <w:sz w:val="24"/>
          <w:szCs w:val="24"/>
        </w:rPr>
        <w:t>Pyrogenes</w:t>
      </w:r>
      <w:proofErr w:type="spellEnd"/>
      <w:r w:rsidRPr="003171B1">
        <w:rPr>
          <w:rFonts w:ascii="Times New Roman" w:hAnsi="Times New Roman" w:cs="Times New Roman"/>
          <w:sz w:val="24"/>
          <w:szCs w:val="24"/>
        </w:rPr>
        <w:t xml:space="preserve"> as predominant serovars. PCR targeting the lipL32 gene achieved moderate sensitivity (53.9%), reflecting its value during the </w:t>
      </w:r>
      <w:proofErr w:type="spellStart"/>
      <w:r w:rsidRPr="003171B1">
        <w:rPr>
          <w:rFonts w:ascii="Times New Roman" w:hAnsi="Times New Roman" w:cs="Times New Roman"/>
          <w:sz w:val="24"/>
          <w:szCs w:val="24"/>
        </w:rPr>
        <w:t>leptospiraemic</w:t>
      </w:r>
      <w:proofErr w:type="spellEnd"/>
      <w:r w:rsidRPr="003171B1">
        <w:rPr>
          <w:rFonts w:ascii="Times New Roman" w:hAnsi="Times New Roman" w:cs="Times New Roman"/>
          <w:sz w:val="24"/>
          <w:szCs w:val="24"/>
        </w:rPr>
        <w:t xml:space="preserve"> phase but diminished reliability in later infection. LAMP displayed superior diagnostic performance, with 88.5% sensitivity, substantial agreement with PCR (κ = 0.63), and the highest accuracy on ROC analysis (AUC = 0.94) compared with PCR (AUC = 0.77) and MAT (AUC = 0.62). These findings underscore the limitations of MAT in acute diagnosis, while highlighting LAMP as a rapid, robust, and highly sensitive alternative suitable for clinical and field application. Integration of molecular assays, particularly LAMP, with serology offers a comprehensive diagnostic strategy across different stages of canine leptospirosis, with implications for both veterinary care and zoonotic surveillance.</w:t>
      </w:r>
    </w:p>
    <w:p w14:paraId="5BFD49AA" w14:textId="51F180F9" w:rsidR="0016445D"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INTRODUCTION</w:t>
      </w:r>
    </w:p>
    <w:p w14:paraId="3A002BCE" w14:textId="7CAA72B7" w:rsidR="0052198E" w:rsidRPr="002B47CF" w:rsidRDefault="00A86680"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Leptospirosis is a worldwide zoonosis caused by infection with pathogenic spirochetes that belong to the genus Leptospira. Leptospira spp. colonize the proximal renal tubules of various mammals and are excreted in the urine of carrier animals. Transmission of leptospirosis in humans and animals occurs by exposure to water or soil contaminated by the urine of infected animals or by direct contact with infected animals, as reported by Faine </w:t>
      </w:r>
      <w:r w:rsidRPr="002B47CF">
        <w:rPr>
          <w:rFonts w:ascii="Times New Roman" w:hAnsi="Times New Roman" w:cs="Times New Roman"/>
          <w:i/>
          <w:iCs/>
          <w:sz w:val="24"/>
          <w:szCs w:val="24"/>
        </w:rPr>
        <w:t xml:space="preserve">et al., </w:t>
      </w:r>
      <w:r w:rsidRPr="002B47CF">
        <w:rPr>
          <w:rFonts w:ascii="Times New Roman" w:hAnsi="Times New Roman" w:cs="Times New Roman"/>
          <w:sz w:val="24"/>
          <w:szCs w:val="24"/>
        </w:rPr>
        <w:t>(1999).</w:t>
      </w:r>
      <w:r w:rsidR="0052198E" w:rsidRPr="002B47CF">
        <w:rPr>
          <w:rFonts w:ascii="Times New Roman" w:hAnsi="Times New Roman" w:cs="Times New Roman"/>
          <w:sz w:val="24"/>
          <w:szCs w:val="24"/>
        </w:rPr>
        <w:t xml:space="preserve"> </w:t>
      </w:r>
      <w:r w:rsidR="00DF0A86" w:rsidRPr="002B47CF">
        <w:rPr>
          <w:rFonts w:ascii="Times New Roman" w:hAnsi="Times New Roman" w:cs="Times New Roman"/>
          <w:sz w:val="24"/>
          <w:szCs w:val="24"/>
        </w:rPr>
        <w:t>Leptospirosis was first described as an acute infectious syndrome with spleen tumour, jaundice, and nephritis (Weil, 1886).</w:t>
      </w:r>
    </w:p>
    <w:p w14:paraId="660B9C10" w14:textId="551E7C59" w:rsidR="00AA1321" w:rsidRPr="002B47CF" w:rsidRDefault="0052198E"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The genus Leptospira belongs to the family Leptospiraceae, order Spirochaetales (Adler and De la Peña Moctezuma., 2010). As reported by Barthi et al., (2003), this genus is composed of a varied group of organisms which can live in diverse environments, habitats and life cycles. Within the genus, highly pathogenic host-specific strains can be found, as well as harmless free-living waterborne strains. The genus is divided in about 20 species based on DNA hybridization studies.</w:t>
      </w:r>
      <w:r w:rsidR="00AA1321" w:rsidRPr="002B47CF">
        <w:rPr>
          <w:rFonts w:ascii="Times New Roman" w:hAnsi="Times New Roman" w:cs="Times New Roman"/>
          <w:sz w:val="24"/>
          <w:szCs w:val="24"/>
        </w:rPr>
        <w:t xml:space="preserve"> While based on serological classification, the members belonging to the genus Leptospira are grouped into 24 antigenically related serogroups and classified into more than 250 serovars (Llanes </w:t>
      </w:r>
      <w:r w:rsidR="00AA1321" w:rsidRPr="002B47CF">
        <w:rPr>
          <w:rFonts w:ascii="Times New Roman" w:hAnsi="Times New Roman" w:cs="Times New Roman"/>
          <w:i/>
          <w:iCs/>
          <w:sz w:val="24"/>
          <w:szCs w:val="24"/>
        </w:rPr>
        <w:t>et al</w:t>
      </w:r>
      <w:r w:rsidR="00AA1321" w:rsidRPr="002B47CF">
        <w:rPr>
          <w:rFonts w:ascii="Times New Roman" w:hAnsi="Times New Roman" w:cs="Times New Roman"/>
          <w:sz w:val="24"/>
          <w:szCs w:val="24"/>
        </w:rPr>
        <w:t>., 2016).</w:t>
      </w:r>
    </w:p>
    <w:p w14:paraId="7F71FBC1" w14:textId="1EA89D84"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Direct detection approaches for Leptospira, like dark-field microscopy and histochemical staining, are seldom recommended for routine clinical diagnosis in animals due to their inherently poor sensitivity and low specificity. Microscopy reliably identifies only samples with organism loads exceeding 104104 cells/mL, and operator experience introduces further variability; culture, while definitive, may require months for organism recovery owing to slow growth rates and fastidious culture requirements, rendering it impractical for timely veterinary intervention (</w:t>
      </w:r>
      <w:proofErr w:type="spellStart"/>
      <w:r w:rsidRPr="002B47CF">
        <w:rPr>
          <w:rFonts w:ascii="Times New Roman" w:hAnsi="Times New Roman" w:cs="Times New Roman"/>
          <w:sz w:val="24"/>
          <w:szCs w:val="24"/>
        </w:rPr>
        <w:t>Ciurariu</w:t>
      </w:r>
      <w:proofErr w:type="spellEnd"/>
      <w:r w:rsidRPr="002B47CF">
        <w:rPr>
          <w:rFonts w:ascii="Times New Roman" w:hAnsi="Times New Roman" w:cs="Times New Roman"/>
          <w:sz w:val="24"/>
          <w:szCs w:val="24"/>
        </w:rPr>
        <w:t xml:space="preserve"> et al., 2025).</w:t>
      </w:r>
    </w:p>
    <w:p w14:paraId="2178AD8B" w14:textId="2DA668D7"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Serological tests such as the microscopic agglutination test (MAT) and ELISA remain the most broadly utilized laboratory methods in dogs, yet their accuracy is compromised by confounding factors including previous vaccination and repeated environmental exposure to Leptospira. These factors inflate background antibody </w:t>
      </w:r>
      <w:proofErr w:type="spellStart"/>
      <w:r w:rsidRPr="002B47CF">
        <w:rPr>
          <w:rFonts w:ascii="Times New Roman" w:hAnsi="Times New Roman" w:cs="Times New Roman"/>
          <w:sz w:val="24"/>
          <w:szCs w:val="24"/>
        </w:rPr>
        <w:t>titers</w:t>
      </w:r>
      <w:proofErr w:type="spellEnd"/>
      <w:r w:rsidRPr="002B47CF">
        <w:rPr>
          <w:rFonts w:ascii="Times New Roman" w:hAnsi="Times New Roman" w:cs="Times New Roman"/>
          <w:sz w:val="24"/>
          <w:szCs w:val="24"/>
        </w:rPr>
        <w:t xml:space="preserve">, which complicates result interpretation. Additionally, MAT is </w:t>
      </w:r>
      <w:proofErr w:type="spellStart"/>
      <w:r w:rsidRPr="002B47CF">
        <w:rPr>
          <w:rFonts w:ascii="Times New Roman" w:hAnsi="Times New Roman" w:cs="Times New Roman"/>
          <w:sz w:val="24"/>
          <w:szCs w:val="24"/>
        </w:rPr>
        <w:t>labor-intensive</w:t>
      </w:r>
      <w:proofErr w:type="spellEnd"/>
      <w:r w:rsidRPr="002B47CF">
        <w:rPr>
          <w:rFonts w:ascii="Times New Roman" w:hAnsi="Times New Roman" w:cs="Times New Roman"/>
          <w:sz w:val="24"/>
          <w:szCs w:val="24"/>
        </w:rPr>
        <w:t>, relies on the continuous maintenance of live Leptospira panel cultures, and is recommended only for use in specialized laboratories, limiting accessibility and reproducibility in general diagnostic settings (</w:t>
      </w:r>
      <w:proofErr w:type="spellStart"/>
      <w:r w:rsidRPr="002B47CF">
        <w:rPr>
          <w:rFonts w:ascii="Times New Roman" w:hAnsi="Times New Roman" w:cs="Times New Roman"/>
          <w:sz w:val="24"/>
          <w:szCs w:val="24"/>
        </w:rPr>
        <w:t>Warnasekara</w:t>
      </w:r>
      <w:proofErr w:type="spellEnd"/>
      <w:r w:rsidRPr="002B47CF">
        <w:rPr>
          <w:rFonts w:ascii="Times New Roman" w:hAnsi="Times New Roman" w:cs="Times New Roman"/>
          <w:sz w:val="24"/>
          <w:szCs w:val="24"/>
        </w:rPr>
        <w:t xml:space="preserve"> et al., 2022).</w:t>
      </w:r>
    </w:p>
    <w:p w14:paraId="0BDB3519" w14:textId="77777777"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Molecular diagnostic techniques, especially conventional and quantitative PCR targeting lipL32, lipL21, and lipL41 genes, offer substantially higher specificity and sensitivity for Leptospira detection in blood and urine. Nonetheless, these assays require sophisticated laboratory infrastructure and trained personnel, leading to limited adoption in resource-constrained regions. Furthermore, the optimal window for PCR-based diagnosis is narrow, as </w:t>
      </w:r>
      <w:proofErr w:type="spellStart"/>
      <w:r w:rsidRPr="002B47CF">
        <w:rPr>
          <w:rFonts w:ascii="Times New Roman" w:hAnsi="Times New Roman" w:cs="Times New Roman"/>
          <w:sz w:val="24"/>
          <w:szCs w:val="24"/>
        </w:rPr>
        <w:t>leptospiremia</w:t>
      </w:r>
      <w:proofErr w:type="spellEnd"/>
      <w:r w:rsidRPr="002B47CF">
        <w:rPr>
          <w:rFonts w:ascii="Times New Roman" w:hAnsi="Times New Roman" w:cs="Times New Roman"/>
          <w:sz w:val="24"/>
          <w:szCs w:val="24"/>
        </w:rPr>
        <w:t xml:space="preserve"> may rapidly wane after the acute phase due to immune clearance, resulting in reduced DNA detectability in specimens collected during later stages of illness (Wang et al., 2025).</w:t>
      </w:r>
    </w:p>
    <w:p w14:paraId="09E8B719" w14:textId="6E298B2B" w:rsidR="0052198E"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In this context, loop-mediated isothermal amplification (LAMP) has emerged as a promising alternative nucleic acid amplification method. LAMP can be performed in a simple water bath at a constant temperature, producing results within approximately 60 minutes without the need for thermal cycling. The amplification can be visualised directly by eye, making it highly amenable to resource-limited and field settings (Williams, 2024).</w:t>
      </w:r>
    </w:p>
    <w:p w14:paraId="2C85794F" w14:textId="044C3F28" w:rsidR="00A86680"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MATERIALS AND METHODS</w:t>
      </w:r>
    </w:p>
    <w:p w14:paraId="68B19893" w14:textId="77B58DF6" w:rsidR="00E61882" w:rsidRPr="002B47CF" w:rsidRDefault="00E6188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Patient selection criteria and sample collection</w:t>
      </w:r>
    </w:p>
    <w:p w14:paraId="4D205709" w14:textId="3BC0A61E" w:rsidR="00DF0A86" w:rsidRPr="002B47CF" w:rsidRDefault="00DF0A86"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The study was conducted in the Department of Veterinary Epidemiology and Preventive Medicine from November 2024 to August 2025. Clinical samples were collected from animals exhibiting signs of leptospirosis among dogs reported at the Teaching Veterinary Clinical Complex, College of Veterinary and Animal Sciences, Pookode. Clinical samples, such as blood samples for isolation of leptospiral DNA for further downstream detection techniques and serum samples for microscopic agglutination test, were collected from animals exhibiting clinical manifestations suggestive of leptospirosis, including pyrexia, anorexia, vomiting, lethargy, jaundice, oliguria/anuria/haematuria/haemoglobinuria.</w:t>
      </w:r>
    </w:p>
    <w:p w14:paraId="34C637D8" w14:textId="1C6C033B" w:rsidR="00A62D42" w:rsidRPr="002B47CF" w:rsidRDefault="00A62D4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Microscopic agglutination test</w:t>
      </w:r>
    </w:p>
    <w:p w14:paraId="73B54BF3" w14:textId="77777777" w:rsidR="00A62D42" w:rsidRPr="002B47CF" w:rsidRDefault="00A62D42" w:rsidP="00F82139">
      <w:pPr>
        <w:spacing w:line="360" w:lineRule="auto"/>
        <w:ind w:firstLine="567"/>
        <w:jc w:val="both"/>
        <w:rPr>
          <w:rFonts w:ascii="Times New Roman" w:hAnsi="Times New Roman" w:cs="Times New Roman"/>
          <w:sz w:val="24"/>
          <w:szCs w:val="24"/>
          <w:lang w:val="pt-BR"/>
        </w:rPr>
      </w:pPr>
      <w:r w:rsidRPr="002B47CF">
        <w:rPr>
          <w:rFonts w:ascii="Times New Roman" w:hAnsi="Times New Roman" w:cs="Times New Roman"/>
          <w:sz w:val="24"/>
          <w:szCs w:val="24"/>
        </w:rPr>
        <w:t xml:space="preserve">A microscopic agglutination test was carried out using live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serovars, as described by Faine (1982). The </w:t>
      </w:r>
      <w:r w:rsidRPr="002B47CF">
        <w:rPr>
          <w:rFonts w:ascii="Times New Roman" w:hAnsi="Times New Roman" w:cs="Times New Roman"/>
          <w:i/>
          <w:iCs/>
          <w:sz w:val="24"/>
          <w:szCs w:val="24"/>
        </w:rPr>
        <w:t>Leptospira interrogans</w:t>
      </w:r>
      <w:r w:rsidRPr="002B47CF">
        <w:rPr>
          <w:rFonts w:ascii="Times New Roman" w:hAnsi="Times New Roman" w:cs="Times New Roman"/>
          <w:sz w:val="24"/>
          <w:szCs w:val="24"/>
        </w:rPr>
        <w:t xml:space="preserve"> serovars used in the study were maintained by regular sub-culturing in the liquid Ellinghuasen McCullough Johnson and Harris (EMJH) culture medium at 28-30°C at a 5-day interval. The contaminated cultures were filtered through 0.4 µm membrane filters. The live leptospiral organisms in maintained culture were identified by their typical morphology and motility using a dark-field microscope. Thirteen serovars for </w:t>
      </w:r>
      <w:r w:rsidRPr="002B47CF">
        <w:rPr>
          <w:rFonts w:ascii="Times New Roman" w:hAnsi="Times New Roman" w:cs="Times New Roman"/>
          <w:i/>
          <w:iCs/>
          <w:sz w:val="24"/>
          <w:szCs w:val="24"/>
        </w:rPr>
        <w:t>Leptospira interrogans</w:t>
      </w:r>
      <w:r w:rsidRPr="002B47CF">
        <w:rPr>
          <w:rFonts w:ascii="Times New Roman" w:hAnsi="Times New Roman" w:cs="Times New Roman"/>
          <w:sz w:val="24"/>
          <w:szCs w:val="24"/>
        </w:rPr>
        <w:t xml:space="preserve"> were maintained at the Department of Veterinary Epidemiology and Preventive Medicine, College of Veterinary and Animal Sciences, Pookode, during the tenure as reference strains. The serovars used in the study were maintained by regular subculturing in liquid leptospiral culture medium at 28-30°C with a 5-day interval. </w:t>
      </w:r>
      <w:r w:rsidRPr="002B47CF">
        <w:rPr>
          <w:rFonts w:ascii="Times New Roman" w:hAnsi="Times New Roman" w:cs="Times New Roman"/>
          <w:sz w:val="24"/>
          <w:szCs w:val="24"/>
          <w:lang w:val="pt-BR"/>
        </w:rPr>
        <w:t xml:space="preserve">The reference strains were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Icterohaemorrhagiae,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Canicola,</w:t>
      </w:r>
      <w:r w:rsidRPr="002B47CF">
        <w:rPr>
          <w:rFonts w:ascii="Times New Roman" w:hAnsi="Times New Roman" w:cs="Times New Roman"/>
          <w:i/>
          <w:iCs/>
          <w:sz w:val="24"/>
          <w:szCs w:val="24"/>
          <w:lang w:val="pt-BR"/>
        </w:rPr>
        <w:t xml:space="preserve"> 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Grippotyphosa,</w:t>
      </w:r>
      <w:r w:rsidRPr="002B47CF">
        <w:rPr>
          <w:rFonts w:ascii="Times New Roman" w:hAnsi="Times New Roman" w:cs="Times New Roman"/>
          <w:i/>
          <w:iCs/>
          <w:sz w:val="24"/>
          <w:szCs w:val="24"/>
          <w:lang w:val="pt-BR"/>
        </w:rPr>
        <w:t xml:space="preserve"> 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Pomona,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Pyrogenes,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Patoc,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Australis,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Autumnalis,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Hardjo,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w:t>
      </w:r>
      <w:r w:rsidRPr="002B47CF">
        <w:rPr>
          <w:rFonts w:ascii="Times New Roman" w:hAnsi="Times New Roman" w:cs="Times New Roman"/>
          <w:sz w:val="24"/>
          <w:szCs w:val="24"/>
          <w:lang w:val="pt-BR"/>
        </w:rPr>
        <w:lastRenderedPageBreak/>
        <w:t xml:space="preserve">Hebdomadis,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Bataviae,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Javanica and </w:t>
      </w:r>
      <w:r w:rsidRPr="002B47CF">
        <w:rPr>
          <w:rFonts w:ascii="Times New Roman" w:hAnsi="Times New Roman" w:cs="Times New Roman"/>
          <w:i/>
          <w:iCs/>
          <w:sz w:val="24"/>
          <w:szCs w:val="24"/>
          <w:lang w:val="pt-BR"/>
        </w:rPr>
        <w:t>Leptospira</w:t>
      </w:r>
      <w:r w:rsidRPr="002B47CF">
        <w:rPr>
          <w:rFonts w:ascii="Times New Roman" w:hAnsi="Times New Roman" w:cs="Times New Roman"/>
          <w:sz w:val="24"/>
          <w:szCs w:val="24"/>
          <w:lang w:val="pt-BR"/>
        </w:rPr>
        <w:t xml:space="preserve"> </w:t>
      </w:r>
      <w:r w:rsidRPr="002B47CF">
        <w:rPr>
          <w:rFonts w:ascii="Times New Roman" w:hAnsi="Times New Roman" w:cs="Times New Roman"/>
          <w:i/>
          <w:iCs/>
          <w:sz w:val="24"/>
          <w:szCs w:val="24"/>
          <w:lang w:val="pt-BR"/>
        </w:rPr>
        <w:t>interrogans</w:t>
      </w:r>
      <w:r w:rsidRPr="002B47CF">
        <w:rPr>
          <w:rFonts w:ascii="Times New Roman" w:hAnsi="Times New Roman" w:cs="Times New Roman"/>
          <w:sz w:val="24"/>
          <w:szCs w:val="24"/>
          <w:lang w:val="pt-BR"/>
        </w:rPr>
        <w:t xml:space="preserve"> serovar Djasiman.</w:t>
      </w:r>
    </w:p>
    <w:p w14:paraId="710E3E9C" w14:textId="2A29EDBE" w:rsidR="00A62D42" w:rsidRPr="002B47CF" w:rsidRDefault="00A62D4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In the first step, 1:100 serum dilutions were prepared in PBS; 50 μL of each was taken and mixed with 50 μL of each of the four-to-old live leptospiral serovars separately. Antigen controls were set up with 50 μL of PBS and 50 μL of different live leptospiral serovars, and the plates were incubated at 37°C for 2 hours. After incubation, the results were read by examining a drop of the serum-antigen mixture from each well under a 10x objective of the DFM for the agglutination of leptospires. Samples positive at a 1:100 dilution were again serially diluted up to 1:1200. The dilution at which 50 per cent or more leptospiral organisms were seen agglutinated was taken as positive. In cases where samples showed agglutination against more than one serovar, the reaction at the highest titre was presumed to be the infecting serovar. Sera samples showing the same agglutination titre to more than one serovar were considered as mixed equals.</w:t>
      </w:r>
    </w:p>
    <w:p w14:paraId="46F2B4B0" w14:textId="0093CE6F" w:rsidR="006A7C5A" w:rsidRPr="002B47CF" w:rsidRDefault="003E1547" w:rsidP="00F82139">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6A7C5A" w:rsidRPr="002B47CF">
        <w:rPr>
          <w:rFonts w:ascii="Times New Roman" w:hAnsi="Times New Roman" w:cs="Times New Roman"/>
          <w:sz w:val="24"/>
          <w:szCs w:val="24"/>
        </w:rPr>
        <w:t>The results for MAT are depicted in. a. shows 1:200 dilution. b. shows 1:400 dilution. c. shows 1:600 dilution</w:t>
      </w:r>
    </w:p>
    <w:p w14:paraId="01398DA9" w14:textId="77777777" w:rsidR="006A7C5A" w:rsidRPr="002B47CF" w:rsidRDefault="006A7C5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a.</w:t>
      </w:r>
      <w:r w:rsidRPr="002B47CF">
        <w:rPr>
          <w:rFonts w:ascii="Times New Roman" w:hAnsi="Times New Roman" w:cs="Times New Roman"/>
          <w:noProof/>
          <w:sz w:val="24"/>
          <w:szCs w:val="24"/>
        </w:rPr>
        <w:drawing>
          <wp:inline distT="0" distB="0" distL="0" distR="0" wp14:anchorId="2518F007" wp14:editId="537BD5AF">
            <wp:extent cx="2361777" cy="2361777"/>
            <wp:effectExtent l="0" t="0" r="635" b="635"/>
            <wp:docPr id="22293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38052" name="Picture 2229380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8291" cy="2368291"/>
                    </a:xfrm>
                    <a:prstGeom prst="rect">
                      <a:avLst/>
                    </a:prstGeom>
                  </pic:spPr>
                </pic:pic>
              </a:graphicData>
            </a:graphic>
          </wp:inline>
        </w:drawing>
      </w:r>
      <w:r w:rsidRPr="002B47CF">
        <w:rPr>
          <w:rFonts w:ascii="Times New Roman" w:hAnsi="Times New Roman" w:cs="Times New Roman"/>
          <w:sz w:val="24"/>
          <w:szCs w:val="24"/>
        </w:rPr>
        <w:tab/>
        <w:t>b.</w:t>
      </w:r>
      <w:r w:rsidRPr="002B47CF">
        <w:rPr>
          <w:rFonts w:ascii="Times New Roman" w:hAnsi="Times New Roman" w:cs="Times New Roman"/>
          <w:noProof/>
          <w:sz w:val="24"/>
          <w:szCs w:val="24"/>
        </w:rPr>
        <w:drawing>
          <wp:inline distT="0" distB="0" distL="0" distR="0" wp14:anchorId="11CEDAF3" wp14:editId="0F087BA3">
            <wp:extent cx="2370667" cy="2370667"/>
            <wp:effectExtent l="0" t="0" r="0" b="0"/>
            <wp:docPr id="1065783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83660" name="Picture 10657836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570" cy="2381570"/>
                    </a:xfrm>
                    <a:prstGeom prst="rect">
                      <a:avLst/>
                    </a:prstGeom>
                  </pic:spPr>
                </pic:pic>
              </a:graphicData>
            </a:graphic>
          </wp:inline>
        </w:drawing>
      </w:r>
    </w:p>
    <w:p w14:paraId="1FBED50B" w14:textId="6A2DFC6B" w:rsidR="006A7C5A" w:rsidRPr="002B47CF" w:rsidRDefault="006A7C5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c.</w:t>
      </w:r>
      <w:r w:rsidRPr="002B47CF">
        <w:rPr>
          <w:rFonts w:ascii="Times New Roman" w:hAnsi="Times New Roman" w:cs="Times New Roman"/>
          <w:noProof/>
          <w:sz w:val="24"/>
          <w:szCs w:val="24"/>
        </w:rPr>
        <w:drawing>
          <wp:inline distT="0" distB="0" distL="0" distR="0" wp14:anchorId="22FC9B4D" wp14:editId="6E8C14D7">
            <wp:extent cx="2438400" cy="2438400"/>
            <wp:effectExtent l="0" t="0" r="0" b="0"/>
            <wp:docPr id="528921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21592" name="Picture 5289215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282" cy="2462282"/>
                    </a:xfrm>
                    <a:prstGeom prst="rect">
                      <a:avLst/>
                    </a:prstGeom>
                  </pic:spPr>
                </pic:pic>
              </a:graphicData>
            </a:graphic>
          </wp:inline>
        </w:drawing>
      </w:r>
    </w:p>
    <w:p w14:paraId="1A4E6C69" w14:textId="76C4A581" w:rsidR="00E61882" w:rsidRPr="002B47CF" w:rsidRDefault="00E6188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Polymerase Chain Reaction</w:t>
      </w:r>
    </w:p>
    <w:p w14:paraId="0C5EFB24" w14:textId="48C52202" w:rsidR="00DF0A86" w:rsidRPr="002B47CF" w:rsidRDefault="00B228E6"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The DNA was isolated from whole blood using a commercially available Genomic DNA extraction kit (Origin™), according to the procedure described by the manufacturer. Detection of pathogenic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 DNA was amplified using PCR for the detection of LipL32 gene, specific to pathogenic leptospira. </w:t>
      </w:r>
      <w:r w:rsidR="00C05D91" w:rsidRPr="002B47CF">
        <w:rPr>
          <w:rFonts w:ascii="Times New Roman" w:hAnsi="Times New Roman" w:cs="Times New Roman"/>
          <w:sz w:val="24"/>
          <w:szCs w:val="24"/>
        </w:rPr>
        <w:t xml:space="preserve">The details of primers used are depicted in table 1. </w:t>
      </w:r>
      <w:r w:rsidR="006028ED" w:rsidRPr="002B47CF">
        <w:rPr>
          <w:rFonts w:ascii="Times New Roman" w:hAnsi="Times New Roman" w:cs="Times New Roman"/>
          <w:sz w:val="24"/>
          <w:szCs w:val="24"/>
        </w:rPr>
        <w:t xml:space="preserve">The lyophilized primers were reconstituted in the required volume of nuclease-free water to make a stock solution with a concentration of 100 pmol/µL and stored at -20ºC. A working solution with a concentration of 10 pmol/µL was prepared. </w:t>
      </w:r>
      <w:r w:rsidRPr="002B47CF">
        <w:rPr>
          <w:rFonts w:ascii="Times New Roman" w:hAnsi="Times New Roman" w:cs="Times New Roman"/>
          <w:sz w:val="24"/>
          <w:szCs w:val="24"/>
        </w:rPr>
        <w:t>Components of PCR mixture were 5.00 µL of Template DNA, 12.50 µL Emerald Amp GT PCR Master Mix (Takara), 1.00 µL of forward and reverse primers each</w:t>
      </w:r>
      <w:r w:rsidR="005D10CC" w:rsidRPr="002B47CF">
        <w:rPr>
          <w:rFonts w:ascii="Times New Roman" w:hAnsi="Times New Roman" w:cs="Times New Roman"/>
          <w:sz w:val="24"/>
          <w:szCs w:val="24"/>
        </w:rPr>
        <w:t xml:space="preserve"> were added</w:t>
      </w:r>
      <w:r w:rsidRPr="002B47CF">
        <w:rPr>
          <w:rFonts w:ascii="Times New Roman" w:hAnsi="Times New Roman" w:cs="Times New Roman"/>
          <w:sz w:val="24"/>
          <w:szCs w:val="24"/>
        </w:rPr>
        <w:t>, and the final volume was adjusted to 25 µL using nuclease free water.</w:t>
      </w:r>
      <w:r w:rsidR="00E61882" w:rsidRPr="002B47CF">
        <w:rPr>
          <w:rFonts w:ascii="Times New Roman" w:hAnsi="Times New Roman" w:cs="Times New Roman"/>
          <w:sz w:val="24"/>
          <w:szCs w:val="24"/>
        </w:rPr>
        <w:t xml:space="preserve"> A T100 thermal cycler (</w:t>
      </w:r>
      <w:proofErr w:type="spellStart"/>
      <w:r w:rsidR="00E61882" w:rsidRPr="002B47CF">
        <w:rPr>
          <w:rFonts w:ascii="Times New Roman" w:hAnsi="Times New Roman" w:cs="Times New Roman"/>
          <w:sz w:val="24"/>
          <w:szCs w:val="24"/>
        </w:rPr>
        <w:t>Biorad</w:t>
      </w:r>
      <w:proofErr w:type="spellEnd"/>
      <w:r w:rsidR="00E61882" w:rsidRPr="002B47CF">
        <w:rPr>
          <w:rFonts w:ascii="Times New Roman" w:hAnsi="Times New Roman" w:cs="Times New Roman"/>
          <w:sz w:val="24"/>
          <w:szCs w:val="24"/>
        </w:rPr>
        <w:t>, USA), was used for the thermal cycling of polymerase chain reaction. The optimized PCR protocol is depicted in table 2.</w:t>
      </w:r>
    </w:p>
    <w:p w14:paraId="2CFCA329" w14:textId="7455F70B" w:rsidR="00497C12" w:rsidRPr="002B47CF" w:rsidRDefault="003E1547" w:rsidP="00952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6A7C5A" w:rsidRPr="002B47CF">
        <w:rPr>
          <w:rFonts w:ascii="Times New Roman" w:hAnsi="Times New Roman" w:cs="Times New Roman"/>
          <w:sz w:val="24"/>
          <w:szCs w:val="24"/>
        </w:rPr>
        <w:t xml:space="preserve">The results for PCR are depicted in. </w:t>
      </w:r>
      <w:r w:rsidR="009526B6" w:rsidRPr="002B47CF">
        <w:rPr>
          <w:rFonts w:ascii="Times New Roman" w:hAnsi="Times New Roman" w:cs="Times New Roman"/>
          <w:sz w:val="24"/>
          <w:szCs w:val="24"/>
        </w:rPr>
        <w:t>Lane 1 depicts 100 bp ladder. Lane 2 and 3 depict positive and negative control. Lane 4,5 and 6 depict positive samples</w:t>
      </w:r>
    </w:p>
    <w:p w14:paraId="6D57DD79" w14:textId="2E26C5FE" w:rsidR="006A7C5A" w:rsidRPr="002B47CF" w:rsidRDefault="006A7C5A" w:rsidP="006A7C5A">
      <w:pPr>
        <w:spacing w:after="0" w:line="360" w:lineRule="auto"/>
        <w:rPr>
          <w:rFonts w:ascii="Times New Roman" w:hAnsi="Times New Roman" w:cs="Times New Roman"/>
          <w:b/>
          <w:bCs/>
          <w:sz w:val="24"/>
          <w:szCs w:val="24"/>
        </w:rPr>
      </w:pPr>
      <w:r w:rsidRPr="002B47CF">
        <w:rPr>
          <w:rFonts w:ascii="Times New Roman" w:hAnsi="Times New Roman" w:cs="Times New Roman"/>
          <w:b/>
          <w:bCs/>
          <w:noProof/>
          <w:sz w:val="24"/>
          <w:szCs w:val="24"/>
        </w:rPr>
        <w:lastRenderedPageBreak/>
        <w:drawing>
          <wp:inline distT="0" distB="0" distL="0" distR="0" wp14:anchorId="20866CF4" wp14:editId="29F6724F">
            <wp:extent cx="3057143" cy="6942857"/>
            <wp:effectExtent l="0" t="0" r="0" b="0"/>
            <wp:docPr id="7243418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41807" name="Picture 724341807"/>
                    <pic:cNvPicPr/>
                  </pic:nvPicPr>
                  <pic:blipFill>
                    <a:blip r:embed="rId9">
                      <a:extLst>
                        <a:ext uri="{28A0092B-C50C-407E-A947-70E740481C1C}">
                          <a14:useLocalDpi xmlns:a14="http://schemas.microsoft.com/office/drawing/2010/main" val="0"/>
                        </a:ext>
                      </a:extLst>
                    </a:blip>
                    <a:stretch>
                      <a:fillRect/>
                    </a:stretch>
                  </pic:blipFill>
                  <pic:spPr>
                    <a:xfrm>
                      <a:off x="0" y="0"/>
                      <a:ext cx="3057143" cy="6942857"/>
                    </a:xfrm>
                    <a:prstGeom prst="rect">
                      <a:avLst/>
                    </a:prstGeom>
                  </pic:spPr>
                </pic:pic>
              </a:graphicData>
            </a:graphic>
          </wp:inline>
        </w:drawing>
      </w:r>
    </w:p>
    <w:p w14:paraId="62A3F775" w14:textId="702DED7C" w:rsidR="006028ED" w:rsidRPr="002B47CF" w:rsidRDefault="006028ED" w:rsidP="00F82139">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sz w:val="24"/>
          <w:szCs w:val="24"/>
        </w:rPr>
        <w:t xml:space="preserve">Table 1. PCR primers used for the detection of </w:t>
      </w:r>
      <w:r w:rsidRPr="002B47CF">
        <w:rPr>
          <w:rFonts w:ascii="Times New Roman" w:hAnsi="Times New Roman" w:cs="Times New Roman"/>
          <w:b/>
          <w:bCs/>
          <w:i/>
          <w:iCs/>
          <w:sz w:val="24"/>
          <w:szCs w:val="24"/>
        </w:rPr>
        <w:t>Leptospira</w:t>
      </w:r>
      <w:r w:rsidRPr="002B47CF">
        <w:rPr>
          <w:rFonts w:ascii="Times New Roman" w:hAnsi="Times New Roman" w:cs="Times New Roman"/>
          <w:b/>
          <w:bCs/>
          <w:sz w:val="24"/>
          <w:szCs w:val="24"/>
        </w:rPr>
        <w:t xml:space="preserve"> spp.</w:t>
      </w:r>
    </w:p>
    <w:tbl>
      <w:tblPr>
        <w:tblStyle w:val="TableGrid"/>
        <w:tblW w:w="0" w:type="auto"/>
        <w:jc w:val="center"/>
        <w:tblLook w:val="04A0" w:firstRow="1" w:lastRow="0" w:firstColumn="1" w:lastColumn="0" w:noHBand="0" w:noVBand="1"/>
      </w:tblPr>
      <w:tblGrid>
        <w:gridCol w:w="816"/>
        <w:gridCol w:w="1005"/>
        <w:gridCol w:w="3986"/>
        <w:gridCol w:w="1043"/>
        <w:gridCol w:w="1242"/>
      </w:tblGrid>
      <w:tr w:rsidR="00C05D91" w:rsidRPr="002B47CF" w14:paraId="2B87E122" w14:textId="77777777" w:rsidTr="00C05D91">
        <w:trPr>
          <w:jc w:val="center"/>
        </w:trPr>
        <w:tc>
          <w:tcPr>
            <w:tcW w:w="816" w:type="dxa"/>
          </w:tcPr>
          <w:p w14:paraId="4CA55E2E"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Serial no:</w:t>
            </w:r>
          </w:p>
        </w:tc>
        <w:tc>
          <w:tcPr>
            <w:tcW w:w="1005" w:type="dxa"/>
          </w:tcPr>
          <w:p w14:paraId="7F1AD736"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Target gene</w:t>
            </w:r>
          </w:p>
        </w:tc>
        <w:tc>
          <w:tcPr>
            <w:tcW w:w="3986" w:type="dxa"/>
          </w:tcPr>
          <w:p w14:paraId="43BF1DEA"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 sequence 5’-3’</w:t>
            </w:r>
          </w:p>
        </w:tc>
        <w:tc>
          <w:tcPr>
            <w:tcW w:w="881" w:type="dxa"/>
          </w:tcPr>
          <w:p w14:paraId="15EB780C"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Product size</w:t>
            </w:r>
          </w:p>
        </w:tc>
        <w:tc>
          <w:tcPr>
            <w:tcW w:w="1238" w:type="dxa"/>
          </w:tcPr>
          <w:p w14:paraId="05691644"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Reference</w:t>
            </w:r>
          </w:p>
        </w:tc>
      </w:tr>
      <w:tr w:rsidR="00C05D91" w:rsidRPr="002B47CF" w14:paraId="6181F0EC" w14:textId="77777777" w:rsidTr="00C05D91">
        <w:trPr>
          <w:jc w:val="center"/>
        </w:trPr>
        <w:tc>
          <w:tcPr>
            <w:tcW w:w="816" w:type="dxa"/>
            <w:vAlign w:val="center"/>
          </w:tcPr>
          <w:p w14:paraId="16D49232"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w:t>
            </w:r>
          </w:p>
        </w:tc>
        <w:tc>
          <w:tcPr>
            <w:tcW w:w="1005" w:type="dxa"/>
            <w:vAlign w:val="center"/>
          </w:tcPr>
          <w:p w14:paraId="73F94E85" w14:textId="77777777" w:rsidR="00C05D91" w:rsidRPr="002B47CF" w:rsidRDefault="00C05D91" w:rsidP="00F82139">
            <w:pPr>
              <w:spacing w:line="360" w:lineRule="auto"/>
              <w:jc w:val="both"/>
              <w:rPr>
                <w:rFonts w:ascii="Times New Roman" w:hAnsi="Times New Roman" w:cs="Times New Roman"/>
                <w:i/>
                <w:iCs/>
                <w:sz w:val="24"/>
                <w:szCs w:val="24"/>
              </w:rPr>
            </w:pPr>
            <w:r w:rsidRPr="002B47CF">
              <w:rPr>
                <w:rFonts w:ascii="Times New Roman" w:hAnsi="Times New Roman" w:cs="Times New Roman"/>
                <w:i/>
                <w:iCs/>
                <w:sz w:val="24"/>
                <w:szCs w:val="24"/>
              </w:rPr>
              <w:t>lipL 32</w:t>
            </w:r>
          </w:p>
        </w:tc>
        <w:tc>
          <w:tcPr>
            <w:tcW w:w="3986" w:type="dxa"/>
            <w:vAlign w:val="center"/>
          </w:tcPr>
          <w:p w14:paraId="3E4633A9"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Forward- 5’-CGC GCT GCA GTT ACT TAG TCG CGT CAG AAG-3’</w:t>
            </w:r>
          </w:p>
          <w:p w14:paraId="2638B13D" w14:textId="77777777" w:rsidR="00C05D91" w:rsidRPr="002B47CF" w:rsidRDefault="00C05D91" w:rsidP="00F82139">
            <w:pPr>
              <w:spacing w:line="360" w:lineRule="auto"/>
              <w:jc w:val="both"/>
              <w:rPr>
                <w:rFonts w:ascii="Times New Roman" w:hAnsi="Times New Roman" w:cs="Times New Roman"/>
                <w:sz w:val="24"/>
                <w:szCs w:val="24"/>
              </w:rPr>
            </w:pPr>
          </w:p>
          <w:p w14:paraId="67F438A4"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Reverse – 5’-CGC GGT CGA CGC TTT CGG TGG TCT CTG CCA AGC-3’</w:t>
            </w:r>
          </w:p>
        </w:tc>
        <w:tc>
          <w:tcPr>
            <w:tcW w:w="881" w:type="dxa"/>
            <w:vAlign w:val="center"/>
          </w:tcPr>
          <w:p w14:paraId="1F2DD05C"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790 bp</w:t>
            </w:r>
          </w:p>
        </w:tc>
        <w:tc>
          <w:tcPr>
            <w:tcW w:w="1238" w:type="dxa"/>
            <w:vAlign w:val="center"/>
          </w:tcPr>
          <w:p w14:paraId="3B9F18A9"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Krishna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(2013)</w:t>
            </w:r>
          </w:p>
        </w:tc>
      </w:tr>
    </w:tbl>
    <w:p w14:paraId="24D08A48" w14:textId="77777777" w:rsidR="00E61882" w:rsidRPr="002B47CF" w:rsidRDefault="00E61882" w:rsidP="00F82139">
      <w:pPr>
        <w:spacing w:line="360" w:lineRule="auto"/>
        <w:jc w:val="both"/>
        <w:rPr>
          <w:rFonts w:ascii="Times New Roman" w:hAnsi="Times New Roman" w:cs="Times New Roman"/>
          <w:sz w:val="24"/>
          <w:szCs w:val="24"/>
        </w:rPr>
      </w:pPr>
    </w:p>
    <w:p w14:paraId="0AD2F295" w14:textId="00ADB452" w:rsidR="00E61882" w:rsidRPr="002B47CF" w:rsidRDefault="00E61882" w:rsidP="00F82139">
      <w:pPr>
        <w:spacing w:after="0" w:line="360" w:lineRule="auto"/>
        <w:jc w:val="center"/>
        <w:rPr>
          <w:rFonts w:ascii="Times New Roman" w:hAnsi="Times New Roman" w:cs="Times New Roman"/>
          <w:b/>
          <w:bCs/>
          <w:i/>
          <w:iCs/>
          <w:sz w:val="24"/>
          <w:szCs w:val="24"/>
        </w:rPr>
      </w:pPr>
      <w:r w:rsidRPr="002B47CF">
        <w:rPr>
          <w:rFonts w:ascii="Times New Roman" w:hAnsi="Times New Roman" w:cs="Times New Roman"/>
          <w:b/>
          <w:bCs/>
          <w:sz w:val="24"/>
          <w:szCs w:val="24"/>
        </w:rPr>
        <w:t xml:space="preserve">Table </w:t>
      </w:r>
      <w:r w:rsidR="003E1547">
        <w:rPr>
          <w:rFonts w:ascii="Times New Roman" w:hAnsi="Times New Roman" w:cs="Times New Roman"/>
          <w:b/>
          <w:bCs/>
          <w:sz w:val="24"/>
          <w:szCs w:val="24"/>
        </w:rPr>
        <w:t>2</w:t>
      </w:r>
      <w:r w:rsidRPr="002B47CF">
        <w:rPr>
          <w:rFonts w:ascii="Times New Roman" w:hAnsi="Times New Roman" w:cs="Times New Roman"/>
          <w:b/>
          <w:bCs/>
          <w:sz w:val="24"/>
          <w:szCs w:val="24"/>
        </w:rPr>
        <w:t xml:space="preserve">. Optimised conditions for PCR for </w:t>
      </w:r>
      <w:r w:rsidRPr="002B47CF">
        <w:rPr>
          <w:rFonts w:ascii="Times New Roman" w:hAnsi="Times New Roman" w:cs="Times New Roman"/>
          <w:b/>
          <w:bCs/>
          <w:i/>
          <w:iCs/>
          <w:sz w:val="24"/>
          <w:szCs w:val="24"/>
        </w:rPr>
        <w:t>L. interrogans</w:t>
      </w:r>
    </w:p>
    <w:tbl>
      <w:tblPr>
        <w:tblStyle w:val="TableGrid"/>
        <w:tblW w:w="0" w:type="auto"/>
        <w:jc w:val="center"/>
        <w:tblLook w:val="04A0" w:firstRow="1" w:lastRow="0" w:firstColumn="1" w:lastColumn="0" w:noHBand="0" w:noVBand="1"/>
      </w:tblPr>
      <w:tblGrid>
        <w:gridCol w:w="988"/>
        <w:gridCol w:w="4296"/>
        <w:gridCol w:w="2642"/>
      </w:tblGrid>
      <w:tr w:rsidR="00E61882" w:rsidRPr="002B47CF" w14:paraId="6E768B78" w14:textId="77777777" w:rsidTr="00E61882">
        <w:trPr>
          <w:jc w:val="center"/>
        </w:trPr>
        <w:tc>
          <w:tcPr>
            <w:tcW w:w="988" w:type="dxa"/>
          </w:tcPr>
          <w:p w14:paraId="15620B19"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Sr. No.</w:t>
            </w:r>
          </w:p>
        </w:tc>
        <w:tc>
          <w:tcPr>
            <w:tcW w:w="4296" w:type="dxa"/>
          </w:tcPr>
          <w:p w14:paraId="6D508A0F"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Reagents</w:t>
            </w:r>
          </w:p>
        </w:tc>
        <w:tc>
          <w:tcPr>
            <w:tcW w:w="2642" w:type="dxa"/>
          </w:tcPr>
          <w:p w14:paraId="45CD4255"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Quantity</w:t>
            </w:r>
          </w:p>
        </w:tc>
      </w:tr>
      <w:tr w:rsidR="00E61882" w:rsidRPr="002B47CF" w14:paraId="665F9916" w14:textId="77777777" w:rsidTr="00E61882">
        <w:trPr>
          <w:jc w:val="center"/>
        </w:trPr>
        <w:tc>
          <w:tcPr>
            <w:tcW w:w="988" w:type="dxa"/>
          </w:tcPr>
          <w:p w14:paraId="54D17D91"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w:t>
            </w:r>
          </w:p>
        </w:tc>
        <w:tc>
          <w:tcPr>
            <w:tcW w:w="4296" w:type="dxa"/>
          </w:tcPr>
          <w:p w14:paraId="03CB1100"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Template DNA</w:t>
            </w:r>
          </w:p>
        </w:tc>
        <w:tc>
          <w:tcPr>
            <w:tcW w:w="2642" w:type="dxa"/>
          </w:tcPr>
          <w:p w14:paraId="2057E101"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5.00 µL</w:t>
            </w:r>
          </w:p>
        </w:tc>
      </w:tr>
      <w:tr w:rsidR="00E61882" w:rsidRPr="002B47CF" w14:paraId="5F4B123D" w14:textId="77777777" w:rsidTr="00E61882">
        <w:trPr>
          <w:jc w:val="center"/>
        </w:trPr>
        <w:tc>
          <w:tcPr>
            <w:tcW w:w="988" w:type="dxa"/>
          </w:tcPr>
          <w:p w14:paraId="7C80C3E5"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2.</w:t>
            </w:r>
          </w:p>
        </w:tc>
        <w:tc>
          <w:tcPr>
            <w:tcW w:w="4296" w:type="dxa"/>
          </w:tcPr>
          <w:p w14:paraId="72E81F66"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Emerald Amp GT PCR Master Mix</w:t>
            </w:r>
          </w:p>
        </w:tc>
        <w:tc>
          <w:tcPr>
            <w:tcW w:w="2642" w:type="dxa"/>
          </w:tcPr>
          <w:p w14:paraId="4E098BF5"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12.50 µL</w:t>
            </w:r>
          </w:p>
        </w:tc>
      </w:tr>
      <w:tr w:rsidR="00E61882" w:rsidRPr="002B47CF" w14:paraId="1B1711DA" w14:textId="77777777" w:rsidTr="00E61882">
        <w:trPr>
          <w:jc w:val="center"/>
        </w:trPr>
        <w:tc>
          <w:tcPr>
            <w:tcW w:w="988" w:type="dxa"/>
          </w:tcPr>
          <w:p w14:paraId="5E079F00"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3.</w:t>
            </w:r>
          </w:p>
        </w:tc>
        <w:tc>
          <w:tcPr>
            <w:tcW w:w="4296" w:type="dxa"/>
          </w:tcPr>
          <w:p w14:paraId="656BB1F8"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primer</w:t>
            </w:r>
          </w:p>
        </w:tc>
        <w:tc>
          <w:tcPr>
            <w:tcW w:w="2642" w:type="dxa"/>
          </w:tcPr>
          <w:p w14:paraId="6F97514E"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1.00 µL</w:t>
            </w:r>
          </w:p>
        </w:tc>
      </w:tr>
      <w:tr w:rsidR="00E61882" w:rsidRPr="002B47CF" w14:paraId="6A9F0500" w14:textId="77777777" w:rsidTr="00E61882">
        <w:trPr>
          <w:jc w:val="center"/>
        </w:trPr>
        <w:tc>
          <w:tcPr>
            <w:tcW w:w="988" w:type="dxa"/>
          </w:tcPr>
          <w:p w14:paraId="5F149D0E"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4.</w:t>
            </w:r>
          </w:p>
        </w:tc>
        <w:tc>
          <w:tcPr>
            <w:tcW w:w="4296" w:type="dxa"/>
          </w:tcPr>
          <w:p w14:paraId="34D9F927"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Reverse primer</w:t>
            </w:r>
          </w:p>
        </w:tc>
        <w:tc>
          <w:tcPr>
            <w:tcW w:w="2642" w:type="dxa"/>
          </w:tcPr>
          <w:p w14:paraId="2938298E"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1.00 µL</w:t>
            </w:r>
          </w:p>
        </w:tc>
      </w:tr>
      <w:tr w:rsidR="00E61882" w:rsidRPr="002B47CF" w14:paraId="65F42C6A" w14:textId="77777777" w:rsidTr="00E61882">
        <w:trPr>
          <w:jc w:val="center"/>
        </w:trPr>
        <w:tc>
          <w:tcPr>
            <w:tcW w:w="988" w:type="dxa"/>
          </w:tcPr>
          <w:p w14:paraId="718FB7B9"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w:t>
            </w:r>
          </w:p>
        </w:tc>
        <w:tc>
          <w:tcPr>
            <w:tcW w:w="4296" w:type="dxa"/>
          </w:tcPr>
          <w:p w14:paraId="31883589"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Nuclease-free water</w:t>
            </w:r>
          </w:p>
        </w:tc>
        <w:tc>
          <w:tcPr>
            <w:tcW w:w="2642" w:type="dxa"/>
          </w:tcPr>
          <w:p w14:paraId="517A9007" w14:textId="77777777" w:rsidR="00E61882" w:rsidRPr="002B47CF" w:rsidRDefault="00E61882"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5.50 µL</w:t>
            </w:r>
          </w:p>
        </w:tc>
      </w:tr>
      <w:tr w:rsidR="00E61882" w:rsidRPr="002B47CF" w14:paraId="528F308C" w14:textId="77777777" w:rsidTr="00E61882">
        <w:trPr>
          <w:jc w:val="center"/>
        </w:trPr>
        <w:tc>
          <w:tcPr>
            <w:tcW w:w="5284" w:type="dxa"/>
            <w:gridSpan w:val="2"/>
          </w:tcPr>
          <w:p w14:paraId="6358D079"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Total</w:t>
            </w:r>
          </w:p>
        </w:tc>
        <w:tc>
          <w:tcPr>
            <w:tcW w:w="2642" w:type="dxa"/>
          </w:tcPr>
          <w:p w14:paraId="6142965C" w14:textId="77777777" w:rsidR="00E61882" w:rsidRPr="002B47CF" w:rsidRDefault="00E61882"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25.00 µL</w:t>
            </w:r>
          </w:p>
        </w:tc>
      </w:tr>
    </w:tbl>
    <w:p w14:paraId="47044B8B" w14:textId="77777777" w:rsidR="00E61882" w:rsidRPr="002B47CF" w:rsidRDefault="00E61882" w:rsidP="00F82139">
      <w:pPr>
        <w:tabs>
          <w:tab w:val="left" w:pos="3960"/>
        </w:tabs>
        <w:spacing w:line="360" w:lineRule="auto"/>
        <w:jc w:val="both"/>
        <w:rPr>
          <w:rFonts w:ascii="Times New Roman" w:hAnsi="Times New Roman" w:cs="Times New Roman"/>
          <w:sz w:val="24"/>
          <w:szCs w:val="24"/>
        </w:rPr>
      </w:pPr>
    </w:p>
    <w:p w14:paraId="7003DE2E" w14:textId="08BE5AF1" w:rsidR="00E61882" w:rsidRPr="002B47CF" w:rsidRDefault="00E61882"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The PCR amplicons were visualised by gel electrophoresis. Gel loading dye (6X) (Thermo-scientific Cat. No. R0611) was used for gel electrophoresis. The results were visualized using electrophoresis system and gel documentation system (</w:t>
      </w:r>
      <w:proofErr w:type="spellStart"/>
      <w:r w:rsidRPr="002B47CF">
        <w:rPr>
          <w:rFonts w:ascii="Times New Roman" w:hAnsi="Times New Roman" w:cs="Times New Roman"/>
          <w:sz w:val="24"/>
          <w:szCs w:val="24"/>
        </w:rPr>
        <w:t>Biorad</w:t>
      </w:r>
      <w:proofErr w:type="spellEnd"/>
      <w:r w:rsidRPr="002B47CF">
        <w:rPr>
          <w:rFonts w:ascii="Times New Roman" w:hAnsi="Times New Roman" w:cs="Times New Roman"/>
          <w:sz w:val="24"/>
          <w:szCs w:val="24"/>
        </w:rPr>
        <w:t xml:space="preserve">, USA). </w:t>
      </w:r>
    </w:p>
    <w:p w14:paraId="541D112B" w14:textId="2FD31388" w:rsidR="00E61882" w:rsidRPr="002B47CF" w:rsidRDefault="00A62D42" w:rsidP="00F82139">
      <w:pPr>
        <w:tabs>
          <w:tab w:val="left" w:pos="3960"/>
        </w:tabs>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Loop-mediated isothermal amplification</w:t>
      </w:r>
    </w:p>
    <w:p w14:paraId="30F25AFD" w14:textId="70BBC273" w:rsidR="00DF0A86" w:rsidRPr="002B47CF" w:rsidRDefault="006028ED"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Details of the primers for the Loop-Mediated Isothermal Amplification (LAMP) Assay, purchased from Vision Scientific Solutions, Angamali, Kerala, are presented in Table </w:t>
      </w:r>
      <w:r w:rsidR="005D10CC" w:rsidRPr="002B47CF">
        <w:rPr>
          <w:rFonts w:ascii="Times New Roman" w:hAnsi="Times New Roman" w:cs="Times New Roman"/>
          <w:sz w:val="24"/>
          <w:szCs w:val="24"/>
        </w:rPr>
        <w:t>3</w:t>
      </w:r>
      <w:r w:rsidRPr="002B47CF">
        <w:rPr>
          <w:rFonts w:ascii="Times New Roman" w:hAnsi="Times New Roman" w:cs="Times New Roman"/>
          <w:sz w:val="24"/>
          <w:szCs w:val="24"/>
        </w:rPr>
        <w:t xml:space="preserve">. A set of two inner (FIP, BIP), two outer primers (F3, B3), and two loop (LF, LB) primers targeting the conserved sequence of the </w:t>
      </w:r>
      <w:r w:rsidRPr="002B47CF">
        <w:rPr>
          <w:rFonts w:ascii="Times New Roman" w:hAnsi="Times New Roman" w:cs="Times New Roman"/>
          <w:i/>
          <w:iCs/>
          <w:sz w:val="24"/>
          <w:szCs w:val="24"/>
        </w:rPr>
        <w:t>lipl32 gene</w:t>
      </w:r>
      <w:r w:rsidRPr="002B47CF">
        <w:rPr>
          <w:rFonts w:ascii="Times New Roman" w:hAnsi="Times New Roman" w:cs="Times New Roman"/>
          <w:sz w:val="24"/>
          <w:szCs w:val="24"/>
        </w:rPr>
        <w:t xml:space="preserve"> of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 as reported by Suwanchareon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(2016). The lyophilized primers were reconstituted in the required volume of nuclease-free water to make a stock solution with a concentration of 100 </w:t>
      </w:r>
      <w:proofErr w:type="spellStart"/>
      <w:r w:rsidRPr="002B47CF">
        <w:rPr>
          <w:rFonts w:ascii="Times New Roman" w:hAnsi="Times New Roman" w:cs="Times New Roman"/>
          <w:sz w:val="24"/>
          <w:szCs w:val="24"/>
        </w:rPr>
        <w:t>μmol</w:t>
      </w:r>
      <w:proofErr w:type="spellEnd"/>
      <w:r w:rsidRPr="002B47CF">
        <w:rPr>
          <w:rFonts w:ascii="Times New Roman" w:hAnsi="Times New Roman" w:cs="Times New Roman"/>
          <w:sz w:val="24"/>
          <w:szCs w:val="24"/>
        </w:rPr>
        <w:t>/</w:t>
      </w:r>
      <w:proofErr w:type="spellStart"/>
      <w:r w:rsidRPr="002B47CF">
        <w:rPr>
          <w:rFonts w:ascii="Times New Roman" w:hAnsi="Times New Roman" w:cs="Times New Roman"/>
          <w:sz w:val="24"/>
          <w:szCs w:val="24"/>
        </w:rPr>
        <w:t>μL</w:t>
      </w:r>
      <w:proofErr w:type="spellEnd"/>
      <w:r w:rsidRPr="002B47CF">
        <w:rPr>
          <w:rFonts w:ascii="Times New Roman" w:hAnsi="Times New Roman" w:cs="Times New Roman"/>
          <w:sz w:val="24"/>
          <w:szCs w:val="24"/>
        </w:rPr>
        <w:t xml:space="preserve"> and stored at -20ᵒC. A working solution at a concentration of 40 µM for the inner primer, 10 µM for the outer primer, and 10 µM for the loop primer was prepared using sterile, nuclease-free water.</w:t>
      </w:r>
    </w:p>
    <w:p w14:paraId="10F53ED3" w14:textId="1D16F6FE" w:rsidR="009526B6" w:rsidRPr="002B47CF" w:rsidRDefault="003E1547" w:rsidP="00F8213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9526B6" w:rsidRPr="002B47CF">
        <w:rPr>
          <w:rFonts w:ascii="Times New Roman" w:hAnsi="Times New Roman" w:cs="Times New Roman"/>
          <w:sz w:val="24"/>
          <w:szCs w:val="24"/>
        </w:rPr>
        <w:t>The results for LAMP assay are depicted Lane 1-5 depicts positive results. Lane 6 and 7 depict positive and n</w:t>
      </w:r>
      <w:r w:rsidR="00ED3E71" w:rsidRPr="002B47CF">
        <w:rPr>
          <w:rFonts w:ascii="Times New Roman" w:hAnsi="Times New Roman" w:cs="Times New Roman"/>
          <w:sz w:val="24"/>
          <w:szCs w:val="24"/>
        </w:rPr>
        <w:t>e</w:t>
      </w:r>
      <w:r w:rsidR="009526B6" w:rsidRPr="002B47CF">
        <w:rPr>
          <w:rFonts w:ascii="Times New Roman" w:hAnsi="Times New Roman" w:cs="Times New Roman"/>
          <w:sz w:val="24"/>
          <w:szCs w:val="24"/>
        </w:rPr>
        <w:t>g</w:t>
      </w:r>
      <w:r w:rsidR="00ED3E71" w:rsidRPr="002B47CF">
        <w:rPr>
          <w:rFonts w:ascii="Times New Roman" w:hAnsi="Times New Roman" w:cs="Times New Roman"/>
          <w:sz w:val="24"/>
          <w:szCs w:val="24"/>
        </w:rPr>
        <w:t>a</w:t>
      </w:r>
      <w:r w:rsidR="009526B6" w:rsidRPr="002B47CF">
        <w:rPr>
          <w:rFonts w:ascii="Times New Roman" w:hAnsi="Times New Roman" w:cs="Times New Roman"/>
          <w:sz w:val="24"/>
          <w:szCs w:val="24"/>
        </w:rPr>
        <w:t>tive controls.</w:t>
      </w:r>
    </w:p>
    <w:p w14:paraId="57873051" w14:textId="7F4AE703" w:rsidR="009526B6" w:rsidRPr="002B47CF" w:rsidRDefault="009526B6" w:rsidP="009526B6">
      <w:pPr>
        <w:spacing w:line="360" w:lineRule="auto"/>
        <w:jc w:val="both"/>
        <w:rPr>
          <w:rFonts w:ascii="Times New Roman" w:hAnsi="Times New Roman" w:cs="Times New Roman"/>
          <w:sz w:val="24"/>
          <w:szCs w:val="24"/>
        </w:rPr>
      </w:pPr>
      <w:r w:rsidRPr="002B47CF">
        <w:rPr>
          <w:rFonts w:ascii="Times New Roman" w:hAnsi="Times New Roman" w:cs="Times New Roman"/>
          <w:noProof/>
          <w:sz w:val="24"/>
          <w:szCs w:val="24"/>
        </w:rPr>
        <w:lastRenderedPageBreak/>
        <w:drawing>
          <wp:inline distT="0" distB="0" distL="0" distR="0" wp14:anchorId="778D511A" wp14:editId="033DD125">
            <wp:extent cx="3257143" cy="8257143"/>
            <wp:effectExtent l="0" t="0" r="635" b="0"/>
            <wp:docPr id="17729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041" name="Picture 17729041"/>
                    <pic:cNvPicPr/>
                  </pic:nvPicPr>
                  <pic:blipFill>
                    <a:blip r:embed="rId10">
                      <a:extLst>
                        <a:ext uri="{28A0092B-C50C-407E-A947-70E740481C1C}">
                          <a14:useLocalDpi xmlns:a14="http://schemas.microsoft.com/office/drawing/2010/main" val="0"/>
                        </a:ext>
                      </a:extLst>
                    </a:blip>
                    <a:stretch>
                      <a:fillRect/>
                    </a:stretch>
                  </pic:blipFill>
                  <pic:spPr>
                    <a:xfrm>
                      <a:off x="0" y="0"/>
                      <a:ext cx="3257143" cy="8257143"/>
                    </a:xfrm>
                    <a:prstGeom prst="rect">
                      <a:avLst/>
                    </a:prstGeom>
                  </pic:spPr>
                </pic:pic>
              </a:graphicData>
            </a:graphic>
          </wp:inline>
        </w:drawing>
      </w:r>
    </w:p>
    <w:p w14:paraId="61F0AC68" w14:textId="6D358EEF" w:rsidR="006028ED" w:rsidRPr="002B47CF" w:rsidRDefault="006028ED" w:rsidP="00F82139">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sz w:val="24"/>
          <w:szCs w:val="24"/>
        </w:rPr>
        <w:t xml:space="preserve">Table </w:t>
      </w:r>
      <w:r w:rsidR="005D10CC" w:rsidRPr="002B47CF">
        <w:rPr>
          <w:rFonts w:ascii="Times New Roman" w:hAnsi="Times New Roman" w:cs="Times New Roman"/>
          <w:b/>
          <w:bCs/>
          <w:sz w:val="24"/>
          <w:szCs w:val="24"/>
        </w:rPr>
        <w:t>3</w:t>
      </w:r>
      <w:r w:rsidRPr="002B47CF">
        <w:rPr>
          <w:rFonts w:ascii="Times New Roman" w:hAnsi="Times New Roman" w:cs="Times New Roman"/>
          <w:b/>
          <w:bCs/>
          <w:sz w:val="24"/>
          <w:szCs w:val="24"/>
        </w:rPr>
        <w:t xml:space="preserve">. LAMP primers used for the detection of </w:t>
      </w:r>
      <w:r w:rsidRPr="002B47CF">
        <w:rPr>
          <w:rFonts w:ascii="Times New Roman" w:hAnsi="Times New Roman" w:cs="Times New Roman"/>
          <w:b/>
          <w:bCs/>
          <w:i/>
          <w:iCs/>
          <w:sz w:val="24"/>
          <w:szCs w:val="24"/>
        </w:rPr>
        <w:t>Leptospira</w:t>
      </w:r>
      <w:r w:rsidRPr="002B47CF">
        <w:rPr>
          <w:rFonts w:ascii="Times New Roman" w:hAnsi="Times New Roman" w:cs="Times New Roman"/>
          <w:b/>
          <w:bCs/>
          <w:sz w:val="24"/>
          <w:szCs w:val="24"/>
        </w:rPr>
        <w:t xml:space="preserve"> spp.</w:t>
      </w:r>
    </w:p>
    <w:tbl>
      <w:tblPr>
        <w:tblStyle w:val="TableGrid"/>
        <w:tblW w:w="0" w:type="auto"/>
        <w:tblLook w:val="04A0" w:firstRow="1" w:lastRow="0" w:firstColumn="1" w:lastColumn="0" w:noHBand="0" w:noVBand="1"/>
      </w:tblPr>
      <w:tblGrid>
        <w:gridCol w:w="3253"/>
        <w:gridCol w:w="5763"/>
      </w:tblGrid>
      <w:tr w:rsidR="006028ED" w:rsidRPr="002B47CF" w14:paraId="6CC7D5EC" w14:textId="77777777" w:rsidTr="00CA59E9">
        <w:tc>
          <w:tcPr>
            <w:tcW w:w="3963" w:type="dxa"/>
          </w:tcPr>
          <w:p w14:paraId="18E0FEC6" w14:textId="77777777" w:rsidR="006028ED" w:rsidRPr="002B47CF" w:rsidRDefault="006028ED"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lastRenderedPageBreak/>
              <w:t>Primers</w:t>
            </w:r>
          </w:p>
        </w:tc>
        <w:tc>
          <w:tcPr>
            <w:tcW w:w="3963" w:type="dxa"/>
          </w:tcPr>
          <w:p w14:paraId="0A9AB96A" w14:textId="77777777" w:rsidR="006028ED" w:rsidRPr="002B47CF" w:rsidRDefault="006028ED" w:rsidP="00F82139">
            <w:pPr>
              <w:tabs>
                <w:tab w:val="left" w:pos="907"/>
              </w:tabs>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 sequence 5’ – 3’</w:t>
            </w:r>
          </w:p>
        </w:tc>
      </w:tr>
      <w:tr w:rsidR="006028ED" w:rsidRPr="002B47CF" w14:paraId="0BE2D021" w14:textId="77777777" w:rsidTr="00CA59E9">
        <w:tc>
          <w:tcPr>
            <w:tcW w:w="3963" w:type="dxa"/>
          </w:tcPr>
          <w:p w14:paraId="4966A45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Inner Primer (FIP)</w:t>
            </w:r>
          </w:p>
        </w:tc>
        <w:tc>
          <w:tcPr>
            <w:tcW w:w="3963" w:type="dxa"/>
          </w:tcPr>
          <w:p w14:paraId="01BB5CC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5’CGCTTACTAAGTCTCCGTCGCGTAATCGCTGAA ATGGGAGT-3’</w:t>
            </w:r>
          </w:p>
        </w:tc>
      </w:tr>
      <w:tr w:rsidR="006028ED" w:rsidRPr="002B47CF" w14:paraId="1A764DBB" w14:textId="77777777" w:rsidTr="00CA59E9">
        <w:tc>
          <w:tcPr>
            <w:tcW w:w="3963" w:type="dxa"/>
          </w:tcPr>
          <w:p w14:paraId="17573E50"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Backward Inner Primer (BIP)</w:t>
            </w:r>
          </w:p>
        </w:tc>
        <w:tc>
          <w:tcPr>
            <w:tcW w:w="3963" w:type="dxa"/>
          </w:tcPr>
          <w:p w14:paraId="08FE2FA4"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5’GCGGCTACCCCAGAAGAAAAGCATAATCGCCG ACATTCT-3’</w:t>
            </w:r>
          </w:p>
        </w:tc>
      </w:tr>
      <w:tr w:rsidR="006028ED" w:rsidRPr="002B47CF" w14:paraId="53D8648E" w14:textId="77777777" w:rsidTr="00CA59E9">
        <w:tc>
          <w:tcPr>
            <w:tcW w:w="3963" w:type="dxa"/>
          </w:tcPr>
          <w:p w14:paraId="4790C208"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Outer primer (F3)</w:t>
            </w:r>
          </w:p>
        </w:tc>
        <w:tc>
          <w:tcPr>
            <w:tcW w:w="3963" w:type="dxa"/>
          </w:tcPr>
          <w:p w14:paraId="17708CDB"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5’-TCTATGTTTGGATTCCTGCC-3’</w:t>
            </w:r>
          </w:p>
        </w:tc>
      </w:tr>
      <w:tr w:rsidR="006028ED" w:rsidRPr="002B47CF" w14:paraId="06A3E24F" w14:textId="77777777" w:rsidTr="00CA59E9">
        <w:tc>
          <w:tcPr>
            <w:tcW w:w="3963" w:type="dxa"/>
          </w:tcPr>
          <w:p w14:paraId="2F9681DD"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Backward Outer Primer (B3)</w:t>
            </w:r>
          </w:p>
        </w:tc>
        <w:tc>
          <w:tcPr>
            <w:tcW w:w="3963" w:type="dxa"/>
          </w:tcPr>
          <w:p w14:paraId="3C00D2CD"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5’-TGCCACATTGGTTTGATACTTG-3’</w:t>
            </w:r>
          </w:p>
        </w:tc>
      </w:tr>
      <w:tr w:rsidR="006028ED" w:rsidRPr="002B47CF" w14:paraId="59481962" w14:textId="77777777" w:rsidTr="00CA59E9">
        <w:tc>
          <w:tcPr>
            <w:tcW w:w="3963" w:type="dxa"/>
          </w:tcPr>
          <w:p w14:paraId="582DB063"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loop primer (LF)</w:t>
            </w:r>
          </w:p>
        </w:tc>
        <w:tc>
          <w:tcPr>
            <w:tcW w:w="3963" w:type="dxa"/>
          </w:tcPr>
          <w:p w14:paraId="6BD4AEF0"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5’-CTCACCGATTTCGCCTGT-3’</w:t>
            </w:r>
          </w:p>
        </w:tc>
      </w:tr>
      <w:tr w:rsidR="006028ED" w:rsidRPr="002B47CF" w14:paraId="20E0986B" w14:textId="77777777" w:rsidTr="00CA59E9">
        <w:tc>
          <w:tcPr>
            <w:tcW w:w="3963" w:type="dxa"/>
          </w:tcPr>
          <w:p w14:paraId="3E02A988"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Reverse loop primer (LB)</w:t>
            </w:r>
          </w:p>
        </w:tc>
        <w:tc>
          <w:tcPr>
            <w:tcW w:w="3963" w:type="dxa"/>
          </w:tcPr>
          <w:p w14:paraId="072E939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 TGCCACATTGGTTTGATACTTG-3’</w:t>
            </w:r>
          </w:p>
        </w:tc>
      </w:tr>
    </w:tbl>
    <w:p w14:paraId="1D51B099" w14:textId="77777777" w:rsidR="006028ED" w:rsidRPr="002B47CF" w:rsidRDefault="006028ED" w:rsidP="00F82139">
      <w:pPr>
        <w:tabs>
          <w:tab w:val="left" w:pos="3960"/>
        </w:tabs>
        <w:spacing w:line="360" w:lineRule="auto"/>
        <w:jc w:val="both"/>
        <w:rPr>
          <w:rFonts w:ascii="Times New Roman" w:hAnsi="Times New Roman" w:cs="Times New Roman"/>
          <w:sz w:val="24"/>
          <w:szCs w:val="24"/>
        </w:rPr>
      </w:pPr>
    </w:p>
    <w:p w14:paraId="620524C1" w14:textId="16E71BF5" w:rsidR="005D10CC" w:rsidRPr="002B47CF" w:rsidRDefault="005D10CC"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For LAMP assay 5.00 µL of Template DNA, 8.50 µL Bst Mix (OriginTM, cat. No. OBD01), 1.00 µL of each primer were added, and the final volume was adjusted to 25 µL using nuclease free water Reagents 1 to 5 (as detailed in Table </w:t>
      </w:r>
      <w:r w:rsidR="003E1547">
        <w:rPr>
          <w:rFonts w:ascii="Times New Roman" w:hAnsi="Times New Roman" w:cs="Times New Roman"/>
          <w:sz w:val="24"/>
          <w:szCs w:val="24"/>
        </w:rPr>
        <w:t>5</w:t>
      </w:r>
      <w:r w:rsidRPr="002B47CF">
        <w:rPr>
          <w:rFonts w:ascii="Times New Roman" w:hAnsi="Times New Roman" w:cs="Times New Roman"/>
          <w:sz w:val="24"/>
          <w:szCs w:val="24"/>
        </w:rPr>
        <w:t>) were combined and incubated at 95 °C for five minutes to achieve denaturation. Following this, Bst Mix was introduced to the reaction mixture, and incubation was performed at 60°C for 60 minutes. The reaction was subsequently inactivated by cooling to room temperature. All incubation steps were conducted using a programmable heat block (Equitron Medica Private Limited, Mumbai, India).</w:t>
      </w:r>
      <w:r w:rsidR="00F82139" w:rsidRPr="002B47CF">
        <w:rPr>
          <w:rFonts w:ascii="Times New Roman" w:hAnsi="Times New Roman" w:cs="Times New Roman"/>
          <w:sz w:val="24"/>
          <w:szCs w:val="24"/>
        </w:rPr>
        <w:t xml:space="preserve"> The results of the reaction were visualised based on a colour change in the reaction mix from deep pink to salmon pink and yellow. Further confirmation of amplification was achieved through visualisation of DNA by agarose gel electrophoresis, as described above.</w:t>
      </w:r>
    </w:p>
    <w:p w14:paraId="4141F8E7" w14:textId="0173A3CB" w:rsidR="00F82139" w:rsidRPr="002B47CF" w:rsidRDefault="00F82139"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Statistical analysis</w:t>
      </w:r>
    </w:p>
    <w:p w14:paraId="0ED6D063" w14:textId="4051D4ED" w:rsidR="005D10CC" w:rsidRPr="002B47CF" w:rsidRDefault="00F82139"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Statistical analysis was performed to evaluate and compare the diagnostic performance of MAT, PCR, and LAMP assays. Inter-test agreement was assessed using Cohen’s Kappa statistics, with values interpreted according to standard benchmarks. Additionally, Receiver Operating Characteristic (ROC) curve analysis was carried out to determine the overall diagnostic accuracy of each assay, expressed as the area under the curve (AUC).</w:t>
      </w:r>
    </w:p>
    <w:p w14:paraId="64C946B2" w14:textId="3F89A9C8" w:rsidR="00A86680"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RESULT AND DISCUSSION</w:t>
      </w:r>
    </w:p>
    <w:p w14:paraId="7BE3400B" w14:textId="4CFE65BA" w:rsidR="00DA3897" w:rsidRPr="002B47CF" w:rsidRDefault="00DA3897"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A total of 52 dogs presenting to the Teaching Veterinary Clinical Complex, Pookode, with clinical signs suggestive of leptospirosis were enrolled in the study. Among these, 6 (11.5%) tested positive by MAT, 14 (26.9%) by PCR, and 23 (44.2%) by LAMP. Overall, 26 dogs (50.0%) were confirmed positive for leptospirosis by</w:t>
      </w:r>
      <w:r w:rsidR="002A280E" w:rsidRPr="002B47CF">
        <w:rPr>
          <w:rFonts w:ascii="Times New Roman" w:hAnsi="Times New Roman" w:cs="Times New Roman"/>
          <w:sz w:val="24"/>
          <w:szCs w:val="24"/>
        </w:rPr>
        <w:t xml:space="preserve"> </w:t>
      </w:r>
      <w:r w:rsidRPr="002B47CF">
        <w:rPr>
          <w:rFonts w:ascii="Times New Roman" w:hAnsi="Times New Roman" w:cs="Times New Roman"/>
          <w:sz w:val="24"/>
          <w:szCs w:val="24"/>
        </w:rPr>
        <w:t>at least one of the diagnostic assays.</w:t>
      </w:r>
    </w:p>
    <w:p w14:paraId="4D3A5206" w14:textId="77777777" w:rsidR="00DA3897" w:rsidRPr="002B47CF" w:rsidRDefault="00DA3897" w:rsidP="00DA3897">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lastRenderedPageBreak/>
        <w:t>Microscopic agglutination test</w:t>
      </w:r>
    </w:p>
    <w:p w14:paraId="292A62A4"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Among the 26 confirmed leptospirosis cases, six (23.1%) tested positive by the microscopic agglutination test (MAT). Canine serum samples suspected of leptospirosis were screened against 13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serovars, with titres of ≥1:200 considered positive. The sensitivity of MAT was 23.07 per cent, whereas the specificity was 100 per cent. </w:t>
      </w:r>
    </w:p>
    <w:p w14:paraId="5A16EB18"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Antibodies were detected in six samples, with Pomona identified as the predominant serovar (2/6; 33.3%), followed by Icterohaemorrhagiae (1/6; 16.7%) and Pyrogenes (1/6; 16.7%). </w:t>
      </w:r>
    </w:p>
    <w:p w14:paraId="3C45D66E"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Two samples exhibited agglutination with more than one serovar. In such cases, the serovar showing agglutination at the highest dilution was considered the infecting serovar. Mixed infections were detected in two samples: Canicola with Pomona (1/6; 16.7%) and Icterohaemorrhagiae with Pyrogenes (1/6; 16.7%).</w:t>
      </w:r>
    </w:p>
    <w:p w14:paraId="69F8C0FE" w14:textId="0E8C1C5D" w:rsidR="00E432D8" w:rsidRPr="002B47CF" w:rsidRDefault="00E432D8" w:rsidP="00E432D8">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microscopic agglutination test (MAT) identified only 23.1 per </w:t>
      </w:r>
      <w:proofErr w:type="gramStart"/>
      <w:r w:rsidRPr="002B47CF">
        <w:rPr>
          <w:rFonts w:ascii="Times New Roman" w:hAnsi="Times New Roman" w:cs="Times New Roman"/>
          <w:sz w:val="24"/>
          <w:szCs w:val="24"/>
        </w:rPr>
        <w:t>cent  of</w:t>
      </w:r>
      <w:proofErr w:type="gramEnd"/>
      <w:r w:rsidRPr="002B47CF">
        <w:rPr>
          <w:rFonts w:ascii="Times New Roman" w:hAnsi="Times New Roman" w:cs="Times New Roman"/>
          <w:sz w:val="24"/>
          <w:szCs w:val="24"/>
        </w:rPr>
        <w:t xml:space="preserve"> confirmed cases in this study, despite demonstrating 100 per cent  specificity. This result highlights a recognised limitation of MAT: its poor sensitivity in acute infections, when detectable antibody levels have not yet developed (</w:t>
      </w:r>
      <w:proofErr w:type="spellStart"/>
      <w:r w:rsidRPr="002B47CF">
        <w:rPr>
          <w:rFonts w:ascii="Times New Roman" w:hAnsi="Times New Roman" w:cs="Times New Roman"/>
          <w:sz w:val="24"/>
          <w:szCs w:val="24"/>
        </w:rPr>
        <w:t>Levett</w:t>
      </w:r>
      <w:proofErr w:type="spellEnd"/>
      <w:r w:rsidRPr="002B47CF">
        <w:rPr>
          <w:rFonts w:ascii="Times New Roman" w:hAnsi="Times New Roman" w:cs="Times New Roman"/>
          <w:sz w:val="24"/>
          <w:szCs w:val="24"/>
        </w:rPr>
        <w:t xml:space="preserve">, 2001; </w:t>
      </w:r>
      <w:proofErr w:type="spellStart"/>
      <w:r w:rsidRPr="002B47CF">
        <w:rPr>
          <w:rFonts w:ascii="Times New Roman" w:hAnsi="Times New Roman" w:cs="Times New Roman"/>
          <w:sz w:val="24"/>
          <w:szCs w:val="24"/>
        </w:rPr>
        <w:t>Samrot</w:t>
      </w:r>
      <w:proofErr w:type="spellEnd"/>
      <w:r w:rsidRPr="002B47CF">
        <w:rPr>
          <w:rFonts w:ascii="Times New Roman" w:hAnsi="Times New Roman" w:cs="Times New Roman"/>
          <w:sz w:val="24"/>
          <w:szCs w:val="24"/>
        </w:rPr>
        <w:t xml:space="preserve">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2021). Although MAT remains the reference standard for serological confirmation, its primary value lies in epidemiological surveillance and serovar distribution studies rather than in acute clinical diagnosis. In the present investigation, the predominant serovars detected were Pomona (33.3%), Icterohaemorrhagiae (16.7%), and Pyrogenes (16.7%), consistent with reports from canine leptospirosis in India and globally (Ambily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2013; Raj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2021). These findings reaffirm the epidemiological importance of these serovars and support their inclusion in surveillance and vaccine strategies.</w:t>
      </w:r>
    </w:p>
    <w:p w14:paraId="7CDB9C6D" w14:textId="77777777" w:rsidR="00DA3897" w:rsidRPr="002B47CF" w:rsidRDefault="00DA3897" w:rsidP="00DA3897">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Polymerase Chain Reaction</w:t>
      </w:r>
    </w:p>
    <w:p w14:paraId="3408B5FC" w14:textId="28CED4CC" w:rsidR="00DA3897" w:rsidRPr="002B47CF" w:rsidRDefault="001C5891" w:rsidP="001C5891">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Blood samples from suspected leptospirosis cases were analysed by polymerase chain reaction (PCR) targeting the</w:t>
      </w:r>
      <w:r w:rsidRPr="002B47CF">
        <w:rPr>
          <w:rFonts w:ascii="Times New Roman" w:hAnsi="Times New Roman" w:cs="Times New Roman"/>
          <w:i/>
          <w:iCs/>
          <w:sz w:val="24"/>
          <w:szCs w:val="24"/>
        </w:rPr>
        <w:t xml:space="preserve"> lipL32</w:t>
      </w:r>
      <w:r w:rsidRPr="002B47CF">
        <w:rPr>
          <w:rFonts w:ascii="Times New Roman" w:hAnsi="Times New Roman" w:cs="Times New Roman"/>
          <w:sz w:val="24"/>
          <w:szCs w:val="24"/>
        </w:rPr>
        <w:t xml:space="preserve"> gene. Fourteen of the 26 confirmed cases (53.9%) yielded a 790 bp amplicon specific to pathogenic Leptospira.</w:t>
      </w:r>
    </w:p>
    <w:p w14:paraId="3416963B" w14:textId="77777777" w:rsidR="00D27053" w:rsidRPr="002B47CF" w:rsidRDefault="00D27053" w:rsidP="00D27053">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assay targeted the </w:t>
      </w:r>
      <w:r w:rsidRPr="002B47CF">
        <w:rPr>
          <w:rFonts w:ascii="Times New Roman" w:hAnsi="Times New Roman" w:cs="Times New Roman"/>
          <w:i/>
          <w:iCs/>
          <w:sz w:val="24"/>
          <w:szCs w:val="24"/>
        </w:rPr>
        <w:t>lipL32 gene</w:t>
      </w:r>
      <w:r w:rsidRPr="002B47CF">
        <w:rPr>
          <w:rFonts w:ascii="Times New Roman" w:hAnsi="Times New Roman" w:cs="Times New Roman"/>
          <w:sz w:val="24"/>
          <w:szCs w:val="24"/>
        </w:rPr>
        <w:t xml:space="preserve">, a well-established pathogenic marker of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 (Sykes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2011). Despite its recognised diagnostic value, the sensitivity of PCR is influenced by several factors, including bacterial load, the stage of infection at the time of sampling, and the presence of inhibitors in clinical specimens. These limitations may account </w:t>
      </w:r>
      <w:r w:rsidRPr="002B47CF">
        <w:rPr>
          <w:rFonts w:ascii="Times New Roman" w:hAnsi="Times New Roman" w:cs="Times New Roman"/>
          <w:sz w:val="24"/>
          <w:szCs w:val="24"/>
        </w:rPr>
        <w:lastRenderedPageBreak/>
        <w:t xml:space="preserve">for the moderate performance observed. Our findings corroborate earlier reports indicating that PCR is particularly valuable during the early </w:t>
      </w:r>
      <w:proofErr w:type="spellStart"/>
      <w:r w:rsidRPr="002B47CF">
        <w:rPr>
          <w:rFonts w:ascii="Times New Roman" w:hAnsi="Times New Roman" w:cs="Times New Roman"/>
          <w:sz w:val="24"/>
          <w:szCs w:val="24"/>
        </w:rPr>
        <w:t>leptospiraemic</w:t>
      </w:r>
      <w:proofErr w:type="spellEnd"/>
      <w:r w:rsidRPr="002B47CF">
        <w:rPr>
          <w:rFonts w:ascii="Times New Roman" w:hAnsi="Times New Roman" w:cs="Times New Roman"/>
          <w:sz w:val="24"/>
          <w:szCs w:val="24"/>
        </w:rPr>
        <w:t xml:space="preserve"> phase, when circulating organisms are detectable, but its diagnostic reliability diminishes in later stages due to bacterial clearance (Levett, 2001; Sykes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2011).</w:t>
      </w:r>
    </w:p>
    <w:p w14:paraId="6BF1BE18" w14:textId="77777777" w:rsidR="00D27053" w:rsidRPr="002B47CF" w:rsidRDefault="00D27053" w:rsidP="001C5891">
      <w:pPr>
        <w:spacing w:line="360" w:lineRule="auto"/>
        <w:ind w:firstLine="567"/>
        <w:jc w:val="both"/>
        <w:rPr>
          <w:rFonts w:ascii="Times New Roman" w:hAnsi="Times New Roman" w:cs="Times New Roman"/>
          <w:sz w:val="24"/>
          <w:szCs w:val="24"/>
        </w:rPr>
      </w:pPr>
    </w:p>
    <w:p w14:paraId="5816C411" w14:textId="77777777" w:rsidR="001C5891" w:rsidRPr="002B47CF" w:rsidRDefault="001C5891" w:rsidP="001C5891">
      <w:pPr>
        <w:tabs>
          <w:tab w:val="left" w:pos="3960"/>
        </w:tabs>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Loop-mediated isothermal amplification</w:t>
      </w:r>
    </w:p>
    <w:p w14:paraId="466D7585" w14:textId="6DBE090E" w:rsidR="001C5891" w:rsidRPr="002B47CF" w:rsidRDefault="001C5891" w:rsidP="001C5891">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Twenty-three of the 26 confirmed samples (88.5%) tested positive by the LAMP assay. Positive reactions were characterised by a distinct colour change from deep pink to salmon pink or yellow, and the amplification products displayed the typical ladder-like pattern on agarose gel electrophoresis</w:t>
      </w:r>
      <w:r w:rsidR="002A280E" w:rsidRPr="002B47CF">
        <w:rPr>
          <w:rFonts w:ascii="Times New Roman" w:hAnsi="Times New Roman" w:cs="Times New Roman"/>
          <w:sz w:val="24"/>
          <w:szCs w:val="24"/>
        </w:rPr>
        <w:t>.</w:t>
      </w:r>
    </w:p>
    <w:p w14:paraId="69F27ACF" w14:textId="16F895B3" w:rsidR="00D27053" w:rsidRPr="002B47CF" w:rsidRDefault="00D27053" w:rsidP="00353049">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loop-mediated isothermal amplification (LAMP) assay demonstrated superior diagnostic performance compared with both MAT and PCR. The rapid amplification process, straightforward visualisation of results, and methodological robustness highlight its potential as a practical tool for field-level diagnosis of leptospirosis. Comparable findings have been reported by Chen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(2015) and Suwanchareon </w:t>
      </w:r>
      <w:r w:rsidRPr="002B47CF">
        <w:rPr>
          <w:rFonts w:ascii="Times New Roman" w:hAnsi="Times New Roman" w:cs="Times New Roman"/>
          <w:i/>
          <w:iCs/>
          <w:sz w:val="24"/>
          <w:szCs w:val="24"/>
        </w:rPr>
        <w:t>et al.</w:t>
      </w:r>
      <w:r w:rsidRPr="002B47CF">
        <w:rPr>
          <w:rFonts w:ascii="Times New Roman" w:hAnsi="Times New Roman" w:cs="Times New Roman"/>
          <w:sz w:val="24"/>
          <w:szCs w:val="24"/>
        </w:rPr>
        <w:t xml:space="preserve"> (2016), who similarly observed enhanced sensitivity of LAMP relative to conventional diagnostic assays, thereby reaffirming its diagnostic value.</w:t>
      </w:r>
    </w:p>
    <w:p w14:paraId="7A9F57A6" w14:textId="2FE79203" w:rsidR="00A2581B" w:rsidRPr="002B47CF" w:rsidRDefault="00A2581B" w:rsidP="0040202D">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Cohen’s kappa statistics</w:t>
      </w:r>
    </w:p>
    <w:p w14:paraId="66CF5DD3" w14:textId="566EC29E" w:rsidR="00A2581B" w:rsidRPr="002B47CF" w:rsidRDefault="00A2581B" w:rsidP="0040202D">
      <w:pPr>
        <w:spacing w:line="360" w:lineRule="auto"/>
        <w:jc w:val="both"/>
        <w:rPr>
          <w:rFonts w:ascii="Times New Roman" w:hAnsi="Times New Roman" w:cs="Times New Roman"/>
          <w:color w:val="000000" w:themeColor="text1"/>
          <w:sz w:val="24"/>
          <w:szCs w:val="24"/>
        </w:rPr>
      </w:pPr>
      <w:r w:rsidRPr="002B47CF">
        <w:rPr>
          <w:rFonts w:ascii="Times New Roman" w:hAnsi="Times New Roman" w:cs="Times New Roman"/>
          <w:sz w:val="24"/>
          <w:szCs w:val="24"/>
        </w:rPr>
        <w:t>A summary of the performance of various diagnostic tests is depicted in table 4.</w:t>
      </w:r>
      <w:r w:rsidR="005E2E1D" w:rsidRPr="002B47CF">
        <w:rPr>
          <w:rFonts w:ascii="Times New Roman" w:hAnsi="Times New Roman" w:cs="Times New Roman"/>
          <w:sz w:val="24"/>
          <w:szCs w:val="24"/>
        </w:rPr>
        <w:t xml:space="preserve"> On </w:t>
      </w:r>
      <w:r w:rsidR="005E2E1D" w:rsidRPr="002B47CF">
        <w:rPr>
          <w:rFonts w:ascii="Times New Roman" w:hAnsi="Times New Roman" w:cs="Times New Roman"/>
          <w:color w:val="000000" w:themeColor="text1"/>
          <w:sz w:val="24"/>
          <w:szCs w:val="24"/>
        </w:rPr>
        <w:t>comparison of PCR with MAT kappa statistics revealed a score of 0.52, indicative of moderate agreement between the tests, while the comparison of LAMP with MAT revealed a score of 0.28, indicative of fair agreement between the tests.</w:t>
      </w:r>
      <w:r w:rsidR="005E2E1D" w:rsidRPr="002B47CF">
        <w:rPr>
          <w:rFonts w:ascii="Times New Roman" w:hAnsi="Times New Roman" w:cs="Times New Roman"/>
          <w:i/>
          <w:iCs/>
          <w:color w:val="000000" w:themeColor="text1"/>
          <w:sz w:val="24"/>
          <w:szCs w:val="24"/>
        </w:rPr>
        <w:t xml:space="preserve"> </w:t>
      </w:r>
      <w:r w:rsidR="005E2E1D" w:rsidRPr="002B47CF">
        <w:rPr>
          <w:rFonts w:ascii="Times New Roman" w:hAnsi="Times New Roman" w:cs="Times New Roman"/>
          <w:color w:val="000000" w:themeColor="text1"/>
          <w:sz w:val="24"/>
          <w:szCs w:val="24"/>
        </w:rPr>
        <w:t>The comparison of LAMP with PCR revealed a score of 0.63, indicative of substantial agreement between the tests.</w:t>
      </w:r>
    </w:p>
    <w:p w14:paraId="5C714B46" w14:textId="01619AC5" w:rsidR="002B69DB" w:rsidRPr="002B47CF" w:rsidRDefault="002B69DB" w:rsidP="0040202D">
      <w:pPr>
        <w:spacing w:line="360" w:lineRule="auto"/>
        <w:jc w:val="both"/>
        <w:rPr>
          <w:rFonts w:ascii="Times New Roman" w:hAnsi="Times New Roman" w:cs="Times New Roman"/>
          <w:color w:val="000000" w:themeColor="text1"/>
          <w:sz w:val="24"/>
          <w:szCs w:val="24"/>
        </w:rPr>
      </w:pPr>
      <w:r w:rsidRPr="002B47CF">
        <w:rPr>
          <w:rFonts w:ascii="Times New Roman" w:hAnsi="Times New Roman" w:cs="Times New Roman"/>
          <w:sz w:val="24"/>
          <w:szCs w:val="24"/>
        </w:rPr>
        <w:t>PCR and MAT exhibited moderate agreement (κ = 0.52), while LAMP and MAT showed only fair agreement (κ = 0.28), underscoring the limitations of MAT in acute infections. In contrast, the substantial agreement observed between LAMP and PCR (κ = 0.63) highlights the consistency of molecular methods and confirms that LAMP can reliably complement PCR.</w:t>
      </w:r>
    </w:p>
    <w:p w14:paraId="31909357" w14:textId="3FB25C7B" w:rsidR="00A2581B" w:rsidRPr="002B47CF" w:rsidRDefault="00A2581B" w:rsidP="00A2581B">
      <w:pPr>
        <w:spacing w:after="0"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 xml:space="preserve">Table 4. Performance of MAT, PCR, and LAMP in the diagnosis of Leptospirosis </w:t>
      </w:r>
    </w:p>
    <w:tbl>
      <w:tblPr>
        <w:tblStyle w:val="TableGrid"/>
        <w:tblW w:w="0" w:type="auto"/>
        <w:jc w:val="center"/>
        <w:tblLook w:val="04A0" w:firstRow="1" w:lastRow="0" w:firstColumn="1" w:lastColumn="0" w:noHBand="0" w:noVBand="1"/>
      </w:tblPr>
      <w:tblGrid>
        <w:gridCol w:w="1321"/>
        <w:gridCol w:w="1321"/>
        <w:gridCol w:w="1321"/>
        <w:gridCol w:w="1321"/>
        <w:gridCol w:w="1321"/>
        <w:gridCol w:w="1321"/>
      </w:tblGrid>
      <w:tr w:rsidR="00A2581B" w:rsidRPr="002B47CF" w14:paraId="2E52B335" w14:textId="77777777" w:rsidTr="00A2581B">
        <w:trPr>
          <w:jc w:val="center"/>
        </w:trPr>
        <w:tc>
          <w:tcPr>
            <w:tcW w:w="1321" w:type="dxa"/>
          </w:tcPr>
          <w:p w14:paraId="12712E46"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1B08F9B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4260A37E"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106CF39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3EC9A10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583353B9"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441FB34D"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0F2E7BAD"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054B4224"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33350B96"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150A4F4A"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47907C89"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tcPr>
          <w:p w14:paraId="0D066585"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MAT (-)</w:t>
            </w:r>
          </w:p>
          <w:p w14:paraId="49715950"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1C7C1C2B"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LAMP (-)</w:t>
            </w:r>
          </w:p>
        </w:tc>
        <w:tc>
          <w:tcPr>
            <w:tcW w:w="1321" w:type="dxa"/>
            <w:vAlign w:val="center"/>
          </w:tcPr>
          <w:p w14:paraId="605169BF"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lastRenderedPageBreak/>
              <w:t>TOTAL</w:t>
            </w:r>
          </w:p>
        </w:tc>
      </w:tr>
      <w:tr w:rsidR="00A2581B" w:rsidRPr="002B47CF" w14:paraId="25B030A2" w14:textId="77777777" w:rsidTr="00A2581B">
        <w:trPr>
          <w:jc w:val="center"/>
        </w:trPr>
        <w:tc>
          <w:tcPr>
            <w:tcW w:w="1321" w:type="dxa"/>
          </w:tcPr>
          <w:p w14:paraId="35B1C488"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3</w:t>
            </w:r>
          </w:p>
        </w:tc>
        <w:tc>
          <w:tcPr>
            <w:tcW w:w="1321" w:type="dxa"/>
          </w:tcPr>
          <w:p w14:paraId="7FCD6BCC"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3</w:t>
            </w:r>
          </w:p>
        </w:tc>
        <w:tc>
          <w:tcPr>
            <w:tcW w:w="1321" w:type="dxa"/>
          </w:tcPr>
          <w:p w14:paraId="06AD5B83"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11</w:t>
            </w:r>
          </w:p>
        </w:tc>
        <w:tc>
          <w:tcPr>
            <w:tcW w:w="1321" w:type="dxa"/>
          </w:tcPr>
          <w:p w14:paraId="439C615E"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9</w:t>
            </w:r>
          </w:p>
        </w:tc>
        <w:tc>
          <w:tcPr>
            <w:tcW w:w="1321" w:type="dxa"/>
          </w:tcPr>
          <w:p w14:paraId="61503680"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26</w:t>
            </w:r>
          </w:p>
        </w:tc>
        <w:tc>
          <w:tcPr>
            <w:tcW w:w="1321" w:type="dxa"/>
          </w:tcPr>
          <w:p w14:paraId="5D47C728"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52</w:t>
            </w:r>
          </w:p>
        </w:tc>
      </w:tr>
    </w:tbl>
    <w:p w14:paraId="7CCBCD51" w14:textId="77777777" w:rsidR="00A2581B" w:rsidRPr="002B47CF" w:rsidRDefault="00A2581B" w:rsidP="0040202D">
      <w:pPr>
        <w:spacing w:line="360" w:lineRule="auto"/>
        <w:jc w:val="both"/>
        <w:rPr>
          <w:rFonts w:ascii="Times New Roman" w:hAnsi="Times New Roman" w:cs="Times New Roman"/>
          <w:sz w:val="24"/>
          <w:szCs w:val="24"/>
        </w:rPr>
      </w:pPr>
    </w:p>
    <w:p w14:paraId="165531F5" w14:textId="5F166EA3" w:rsidR="0040202D" w:rsidRPr="002B47CF" w:rsidRDefault="0040202D" w:rsidP="0040202D">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ROC analysis</w:t>
      </w:r>
    </w:p>
    <w:p w14:paraId="447A64C7" w14:textId="7E2B16CE" w:rsidR="0040202D" w:rsidRPr="002B47CF" w:rsidRDefault="0040202D" w:rsidP="0040202D">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ROC analysis showed the highest accuracy for LAMP (AUC = 0.94), followed by PCR (AUC = 0.77), while MAT had lower accuracy (AUC = 0.62). The results are depicted in Figure 1. </w:t>
      </w:r>
    </w:p>
    <w:p w14:paraId="6FD80224" w14:textId="6DA3ED05" w:rsidR="002B69DB" w:rsidRPr="002B47CF" w:rsidRDefault="002B69DB" w:rsidP="002B69DB">
      <w:pPr>
        <w:spacing w:line="360" w:lineRule="auto"/>
        <w:ind w:firstLine="709"/>
        <w:jc w:val="both"/>
        <w:rPr>
          <w:rFonts w:ascii="Times New Roman" w:hAnsi="Times New Roman" w:cs="Times New Roman"/>
          <w:sz w:val="24"/>
          <w:szCs w:val="24"/>
        </w:rPr>
      </w:pPr>
      <w:r w:rsidRPr="002B47CF">
        <w:rPr>
          <w:rFonts w:ascii="Times New Roman" w:hAnsi="Times New Roman" w:cs="Times New Roman"/>
          <w:sz w:val="24"/>
          <w:szCs w:val="24"/>
        </w:rPr>
        <w:t>Receiver operating characteristic (ROC) analysis reinforced the observations of kappa statistics. LAMP achieved the highest diagnostic accuracy (AUC = 0.94), followed by PCR (AUC = 0.77), whereas MAT exhibited lower accuracy (AUC = 0.62). Collectively, these findings demonstrate that molecular assays, particularly LAMP, provide superior diagnostic performance over serology and are more dependable for early detection of leptospirosis in dogs.</w:t>
      </w:r>
    </w:p>
    <w:p w14:paraId="024D7040" w14:textId="77777777" w:rsidR="002B69DB" w:rsidRPr="002B47CF" w:rsidRDefault="002B69DB" w:rsidP="0040202D">
      <w:pPr>
        <w:spacing w:line="360" w:lineRule="auto"/>
        <w:ind w:firstLine="567"/>
        <w:jc w:val="both"/>
        <w:rPr>
          <w:rFonts w:ascii="Times New Roman" w:hAnsi="Times New Roman" w:cs="Times New Roman"/>
          <w:sz w:val="24"/>
          <w:szCs w:val="24"/>
        </w:rPr>
      </w:pPr>
    </w:p>
    <w:p w14:paraId="583D877F" w14:textId="6B365DF5" w:rsidR="0040202D" w:rsidRPr="002B47CF" w:rsidRDefault="0040202D" w:rsidP="0040202D">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Figure 1. ROC curve for different diagnostic tests for leptospirosis</w:t>
      </w:r>
    </w:p>
    <w:p w14:paraId="4B83F55E" w14:textId="77777777" w:rsidR="0040202D" w:rsidRPr="002B47CF" w:rsidRDefault="0040202D" w:rsidP="0040202D">
      <w:pPr>
        <w:spacing w:line="360" w:lineRule="auto"/>
        <w:jc w:val="both"/>
        <w:rPr>
          <w:rFonts w:ascii="Times New Roman" w:hAnsi="Times New Roman" w:cs="Times New Roman"/>
          <w:b/>
          <w:bCs/>
          <w:i/>
          <w:iCs/>
          <w:color w:val="000000" w:themeColor="text1"/>
          <w:sz w:val="24"/>
          <w:szCs w:val="24"/>
        </w:rPr>
      </w:pPr>
      <w:r w:rsidRPr="002B47CF">
        <w:rPr>
          <w:rFonts w:ascii="Times New Roman" w:hAnsi="Times New Roman" w:cs="Times New Roman"/>
          <w:b/>
          <w:bCs/>
          <w:i/>
          <w:iCs/>
          <w:noProof/>
          <w:color w:val="000000" w:themeColor="text1"/>
          <w:sz w:val="24"/>
          <w:szCs w:val="24"/>
        </w:rPr>
        <w:drawing>
          <wp:inline distT="0" distB="0" distL="0" distR="0" wp14:anchorId="2068F603" wp14:editId="150E1F48">
            <wp:extent cx="5039360" cy="3926840"/>
            <wp:effectExtent l="0" t="0" r="8890" b="0"/>
            <wp:docPr id="1367705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05511" name="Picture 13677055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9360" cy="3926840"/>
                    </a:xfrm>
                    <a:prstGeom prst="rect">
                      <a:avLst/>
                    </a:prstGeom>
                  </pic:spPr>
                </pic:pic>
              </a:graphicData>
            </a:graphic>
          </wp:inline>
        </w:drawing>
      </w:r>
    </w:p>
    <w:p w14:paraId="4117ADFC" w14:textId="77777777" w:rsidR="0040202D" w:rsidRPr="002B47CF" w:rsidRDefault="0040202D" w:rsidP="002A280E">
      <w:pPr>
        <w:spacing w:line="360" w:lineRule="auto"/>
        <w:jc w:val="both"/>
        <w:rPr>
          <w:rFonts w:ascii="Times New Roman" w:hAnsi="Times New Roman" w:cs="Times New Roman"/>
          <w:sz w:val="24"/>
          <w:szCs w:val="24"/>
          <w:u w:val="single"/>
        </w:rPr>
      </w:pPr>
    </w:p>
    <w:p w14:paraId="09967888" w14:textId="666162C9" w:rsidR="002A280E" w:rsidRPr="002B47CF" w:rsidRDefault="002A280E" w:rsidP="002A280E">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lastRenderedPageBreak/>
        <w:t>Interpretation of Diagnostic Discordance</w:t>
      </w:r>
    </w:p>
    <w:p w14:paraId="7086A8DF" w14:textId="77777777" w:rsidR="002A280E" w:rsidRPr="002B47CF" w:rsidRDefault="002A280E" w:rsidP="002A280E">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The observed discordance underscores the strengths and limitations of each assay type. Molecular assays (PCR and LAMP) target leptospiral DNA, identifying infection at early or acute stages, whereas MAT detects antibodies produced in later stages of infection. LAMP had higher sensitivity than PCR, likely due to its amplification efficiency and tolerance to inhibitors, agreeing with previous reports that </w:t>
      </w:r>
      <w:proofErr w:type="spellStart"/>
      <w:r w:rsidRPr="002B47CF">
        <w:rPr>
          <w:rFonts w:ascii="Times New Roman" w:hAnsi="Times New Roman" w:cs="Times New Roman"/>
          <w:sz w:val="24"/>
          <w:szCs w:val="24"/>
        </w:rPr>
        <w:t>favor</w:t>
      </w:r>
      <w:proofErr w:type="spellEnd"/>
      <w:r w:rsidRPr="002B47CF">
        <w:rPr>
          <w:rFonts w:ascii="Times New Roman" w:hAnsi="Times New Roman" w:cs="Times New Roman"/>
          <w:sz w:val="24"/>
          <w:szCs w:val="24"/>
        </w:rPr>
        <w:t xml:space="preserve"> LAMP for field diagnostics. The presence of MAT-positive but molecular-negative cases reflects the natural decline of leptospiral DNA as immune clearance progresses, with antibodies persisting longer.</w:t>
      </w:r>
    </w:p>
    <w:p w14:paraId="7412F8BB" w14:textId="6B18AEA9" w:rsidR="002A280E" w:rsidRPr="002B47CF" w:rsidRDefault="002A280E" w:rsidP="002A280E">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Implications for Clinical Diagnostics</w:t>
      </w:r>
    </w:p>
    <w:p w14:paraId="4570EA7F" w14:textId="26F03BDC" w:rsidR="002A280E" w:rsidRPr="002B47CF" w:rsidRDefault="002A280E" w:rsidP="002A280E">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The findings advocate combined use of molecular and serological tests to improve case detection throughout the infection timeline. While LAMP offers rapid molecular screening with superior sensitivity, MAT remains essential for </w:t>
      </w:r>
      <w:proofErr w:type="spellStart"/>
      <w:r w:rsidRPr="002B47CF">
        <w:rPr>
          <w:rFonts w:ascii="Times New Roman" w:hAnsi="Times New Roman" w:cs="Times New Roman"/>
          <w:sz w:val="24"/>
          <w:szCs w:val="24"/>
        </w:rPr>
        <w:t>sero</w:t>
      </w:r>
      <w:proofErr w:type="spellEnd"/>
      <w:r w:rsidRPr="002B47CF">
        <w:rPr>
          <w:rFonts w:ascii="Times New Roman" w:hAnsi="Times New Roman" w:cs="Times New Roman"/>
          <w:sz w:val="24"/>
          <w:szCs w:val="24"/>
        </w:rPr>
        <w:t>-epidemiological context and confirmation of exposure especially in convalescent phases. Efforts should focus on integrating test platforms in diagnostic algorithms tailored to clinical presentation and infection stage.</w:t>
      </w:r>
    </w:p>
    <w:p w14:paraId="2A9B3341" w14:textId="14CECBEA" w:rsidR="002A280E" w:rsidRPr="002B47CF" w:rsidRDefault="002A280E"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CONCLUSION</w:t>
      </w:r>
    </w:p>
    <w:p w14:paraId="0CCD7B31" w14:textId="147A072F" w:rsidR="002A280E" w:rsidRPr="002B47CF" w:rsidRDefault="002A280E" w:rsidP="002A280E">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This study demonstrates that among dogs suspected of leptospirosis, LAMP assay provides higher detection rates compared to PCR and MAT, but concordant results across all modalities remain limited. The diagnostic discordance highlights distinct infection phases and assay capabilities. Combined molecular and serological testing enhances diagnostic accuracy, guiding timely and appropriate management in veterinary settings.</w:t>
      </w:r>
    </w:p>
    <w:p w14:paraId="6F61A411" w14:textId="23FC8C33" w:rsidR="00A86680" w:rsidRPr="002B47CF" w:rsidRDefault="00A86680" w:rsidP="00F82139">
      <w:pPr>
        <w:spacing w:line="360" w:lineRule="auto"/>
        <w:jc w:val="both"/>
        <w:rPr>
          <w:rFonts w:ascii="Times New Roman" w:hAnsi="Times New Roman" w:cs="Times New Roman"/>
          <w:b/>
          <w:bCs/>
          <w:sz w:val="24"/>
          <w:szCs w:val="24"/>
          <w:lang w:val="pt-BR"/>
        </w:rPr>
      </w:pPr>
      <w:r w:rsidRPr="002B47CF">
        <w:rPr>
          <w:rFonts w:ascii="Times New Roman" w:hAnsi="Times New Roman" w:cs="Times New Roman"/>
          <w:b/>
          <w:bCs/>
          <w:sz w:val="24"/>
          <w:szCs w:val="24"/>
          <w:lang w:val="pt-BR"/>
        </w:rPr>
        <w:t>REFERENCES</w:t>
      </w:r>
    </w:p>
    <w:p w14:paraId="2D351A30" w14:textId="29A3686B" w:rsidR="0052198E" w:rsidRPr="002B47CF" w:rsidRDefault="0052198E" w:rsidP="00F82139">
      <w:pPr>
        <w:spacing w:line="360" w:lineRule="auto"/>
        <w:jc w:val="both"/>
        <w:rPr>
          <w:rFonts w:ascii="Times New Roman" w:hAnsi="Times New Roman" w:cs="Times New Roman"/>
          <w:sz w:val="24"/>
          <w:szCs w:val="24"/>
          <w:lang w:val="pt-BR"/>
        </w:rPr>
      </w:pPr>
      <w:r w:rsidRPr="002B47CF">
        <w:rPr>
          <w:rFonts w:ascii="Times New Roman" w:hAnsi="Times New Roman" w:cs="Times New Roman"/>
          <w:sz w:val="24"/>
          <w:szCs w:val="24"/>
          <w:lang w:val="pt-BR"/>
        </w:rPr>
        <w:t>Adler B, A De la Peña Moctezuma. 2010. Leptospira and leptospirosis. Vet Microbiol 140, 287-296.</w:t>
      </w:r>
    </w:p>
    <w:p w14:paraId="5CDE0554" w14:textId="641041BE" w:rsidR="0052198E" w:rsidRPr="002B47CF" w:rsidRDefault="0052198E"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lang w:val="pt-BR"/>
        </w:rPr>
        <w:t xml:space="preserve">Bharti A, J Nally, J Ricaldi, M Mathias, M Lovett, P Levett, R Gilman, M Willing, E Gotuzzo, J Vinetz. </w:t>
      </w:r>
      <w:r w:rsidRPr="002B47CF">
        <w:rPr>
          <w:rFonts w:ascii="Times New Roman" w:hAnsi="Times New Roman" w:cs="Times New Roman"/>
          <w:sz w:val="24"/>
          <w:szCs w:val="24"/>
        </w:rPr>
        <w:t>2003. Leptospirosis: a zoonotic disease of global importance. Lancet Infect Dis 3, 757-772.</w:t>
      </w:r>
    </w:p>
    <w:p w14:paraId="7D74E555" w14:textId="2990BE18" w:rsidR="001330AA" w:rsidRPr="002B47CF" w:rsidRDefault="001330AA" w:rsidP="00F82139">
      <w:pPr>
        <w:spacing w:line="360" w:lineRule="auto"/>
        <w:jc w:val="both"/>
        <w:rPr>
          <w:rFonts w:ascii="Times New Roman" w:hAnsi="Times New Roman" w:cs="Times New Roman"/>
          <w:sz w:val="24"/>
          <w:szCs w:val="24"/>
        </w:rPr>
      </w:pPr>
      <w:proofErr w:type="spellStart"/>
      <w:r w:rsidRPr="002B47CF">
        <w:rPr>
          <w:rFonts w:ascii="Times New Roman" w:hAnsi="Times New Roman" w:cs="Times New Roman"/>
          <w:sz w:val="24"/>
          <w:szCs w:val="24"/>
        </w:rPr>
        <w:t>Ciurariu</w:t>
      </w:r>
      <w:proofErr w:type="spellEnd"/>
      <w:r w:rsidRPr="002B47CF">
        <w:rPr>
          <w:rFonts w:ascii="Times New Roman" w:hAnsi="Times New Roman" w:cs="Times New Roman"/>
          <w:sz w:val="24"/>
          <w:szCs w:val="24"/>
        </w:rPr>
        <w:t xml:space="preserve">, E., Prodan-Barbulescu, C., Mateescu, D. M., </w:t>
      </w:r>
      <w:proofErr w:type="spellStart"/>
      <w:r w:rsidRPr="002B47CF">
        <w:rPr>
          <w:rFonts w:ascii="Times New Roman" w:hAnsi="Times New Roman" w:cs="Times New Roman"/>
          <w:sz w:val="24"/>
          <w:szCs w:val="24"/>
        </w:rPr>
        <w:t>Tutac</w:t>
      </w:r>
      <w:proofErr w:type="spellEnd"/>
      <w:r w:rsidRPr="002B47CF">
        <w:rPr>
          <w:rFonts w:ascii="Times New Roman" w:hAnsi="Times New Roman" w:cs="Times New Roman"/>
          <w:sz w:val="24"/>
          <w:szCs w:val="24"/>
        </w:rPr>
        <w:t xml:space="preserve">, P., </w:t>
      </w:r>
      <w:proofErr w:type="spellStart"/>
      <w:r w:rsidRPr="002B47CF">
        <w:rPr>
          <w:rFonts w:ascii="Times New Roman" w:hAnsi="Times New Roman" w:cs="Times New Roman"/>
          <w:sz w:val="24"/>
          <w:szCs w:val="24"/>
        </w:rPr>
        <w:t>Sorop</w:t>
      </w:r>
      <w:proofErr w:type="spellEnd"/>
      <w:r w:rsidRPr="002B47CF">
        <w:rPr>
          <w:rFonts w:ascii="Times New Roman" w:hAnsi="Times New Roman" w:cs="Times New Roman"/>
          <w:sz w:val="24"/>
          <w:szCs w:val="24"/>
        </w:rPr>
        <w:t>, V. B., Susan, M., &amp; Varga, N. I. (2025). Diagnostic Advances in Leptospirosis: A Comparative Analysis of Paraclinical Tests with a Focus on PCR. Microorganisms, 13(3), 667. https://doi.org/10.3390/microorganisms13030667</w:t>
      </w:r>
    </w:p>
    <w:p w14:paraId="452FE910" w14:textId="77777777" w:rsidR="00AA1321" w:rsidRPr="002B47CF" w:rsidRDefault="00A86680"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 xml:space="preserve">Faine, S., Adler, B., Bolin, C. and </w:t>
      </w:r>
      <w:proofErr w:type="spellStart"/>
      <w:r w:rsidRPr="002B47CF">
        <w:rPr>
          <w:rFonts w:ascii="Times New Roman" w:hAnsi="Times New Roman" w:cs="Times New Roman"/>
          <w:sz w:val="24"/>
          <w:szCs w:val="24"/>
        </w:rPr>
        <w:t>Perolat</w:t>
      </w:r>
      <w:proofErr w:type="spellEnd"/>
      <w:r w:rsidRPr="002B47CF">
        <w:rPr>
          <w:rFonts w:ascii="Times New Roman" w:hAnsi="Times New Roman" w:cs="Times New Roman"/>
          <w:sz w:val="24"/>
          <w:szCs w:val="24"/>
        </w:rPr>
        <w:t xml:space="preserve">, P. 1999. Leptospira and Leptospirosis, 2nd ed., </w:t>
      </w:r>
      <w:proofErr w:type="spellStart"/>
      <w:r w:rsidRPr="002B47CF">
        <w:rPr>
          <w:rFonts w:ascii="Times New Roman" w:hAnsi="Times New Roman" w:cs="Times New Roman"/>
          <w:sz w:val="24"/>
          <w:szCs w:val="24"/>
        </w:rPr>
        <w:t>MediSci</w:t>
      </w:r>
      <w:proofErr w:type="spellEnd"/>
      <w:r w:rsidRPr="002B47CF">
        <w:rPr>
          <w:rFonts w:ascii="Times New Roman" w:hAnsi="Times New Roman" w:cs="Times New Roman"/>
          <w:sz w:val="24"/>
          <w:szCs w:val="24"/>
        </w:rPr>
        <w:t>, Melbourne.</w:t>
      </w:r>
    </w:p>
    <w:p w14:paraId="5299EF64" w14:textId="728721FD" w:rsidR="00AA1321" w:rsidRPr="002B47CF" w:rsidRDefault="00AA132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Llanes, A, Carlos M. R. and Sreekumari R. 2016. "Whole genome sequencing allows better understanding of the evolutionary history of Leptospira interrogans serovar </w:t>
      </w:r>
      <w:proofErr w:type="spellStart"/>
      <w:r w:rsidRPr="002B47CF">
        <w:rPr>
          <w:rFonts w:ascii="Times New Roman" w:hAnsi="Times New Roman" w:cs="Times New Roman"/>
          <w:sz w:val="24"/>
          <w:szCs w:val="24"/>
        </w:rPr>
        <w:t>Hardjo</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PloS</w:t>
      </w:r>
      <w:proofErr w:type="spellEnd"/>
      <w:r w:rsidRPr="002B47CF">
        <w:rPr>
          <w:rFonts w:ascii="Times New Roman" w:hAnsi="Times New Roman" w:cs="Times New Roman"/>
          <w:sz w:val="24"/>
          <w:szCs w:val="24"/>
        </w:rPr>
        <w:t xml:space="preserve"> one 11: 0159387.</w:t>
      </w:r>
    </w:p>
    <w:p w14:paraId="174642B6" w14:textId="502DD0E4" w:rsidR="001330AA" w:rsidRPr="002B47CF" w:rsidRDefault="001330AA" w:rsidP="00F82139">
      <w:pPr>
        <w:spacing w:line="360" w:lineRule="auto"/>
        <w:jc w:val="both"/>
        <w:rPr>
          <w:rFonts w:ascii="Times New Roman" w:hAnsi="Times New Roman" w:cs="Times New Roman"/>
          <w:sz w:val="24"/>
          <w:szCs w:val="24"/>
        </w:rPr>
      </w:pPr>
      <w:proofErr w:type="spellStart"/>
      <w:r w:rsidRPr="002B47CF">
        <w:rPr>
          <w:rFonts w:ascii="Times New Roman" w:hAnsi="Times New Roman" w:cs="Times New Roman"/>
          <w:sz w:val="24"/>
          <w:szCs w:val="24"/>
        </w:rPr>
        <w:t>Warnasekara</w:t>
      </w:r>
      <w:proofErr w:type="spellEnd"/>
      <w:r w:rsidRPr="002B47CF">
        <w:rPr>
          <w:rFonts w:ascii="Times New Roman" w:hAnsi="Times New Roman" w:cs="Times New Roman"/>
          <w:sz w:val="24"/>
          <w:szCs w:val="24"/>
        </w:rPr>
        <w:t xml:space="preserve">, J., </w:t>
      </w:r>
      <w:proofErr w:type="spellStart"/>
      <w:r w:rsidRPr="002B47CF">
        <w:rPr>
          <w:rFonts w:ascii="Times New Roman" w:hAnsi="Times New Roman" w:cs="Times New Roman"/>
          <w:sz w:val="24"/>
          <w:szCs w:val="24"/>
        </w:rPr>
        <w:t>Srimantha</w:t>
      </w:r>
      <w:proofErr w:type="spellEnd"/>
      <w:r w:rsidRPr="002B47CF">
        <w:rPr>
          <w:rFonts w:ascii="Times New Roman" w:hAnsi="Times New Roman" w:cs="Times New Roman"/>
          <w:sz w:val="24"/>
          <w:szCs w:val="24"/>
        </w:rPr>
        <w:t xml:space="preserve">, S., </w:t>
      </w:r>
      <w:proofErr w:type="spellStart"/>
      <w:r w:rsidRPr="002B47CF">
        <w:rPr>
          <w:rFonts w:ascii="Times New Roman" w:hAnsi="Times New Roman" w:cs="Times New Roman"/>
          <w:sz w:val="24"/>
          <w:szCs w:val="24"/>
        </w:rPr>
        <w:t>Kappagoda</w:t>
      </w:r>
      <w:proofErr w:type="spellEnd"/>
      <w:r w:rsidRPr="002B47CF">
        <w:rPr>
          <w:rFonts w:ascii="Times New Roman" w:hAnsi="Times New Roman" w:cs="Times New Roman"/>
          <w:sz w:val="24"/>
          <w:szCs w:val="24"/>
        </w:rPr>
        <w:t>, C., Jayasundara, D., Senevirathna, I., Matthias, M., Agampodi, S., &amp; Vinetz, J. M. (2022). Diagnostic method-based underestimation of leptospirosis in clinical and research settings; an experience from a large prospective study in a high endemic setting. </w:t>
      </w:r>
      <w:r w:rsidRPr="002B47CF">
        <w:rPr>
          <w:rFonts w:ascii="Times New Roman" w:hAnsi="Times New Roman" w:cs="Times New Roman"/>
          <w:i/>
          <w:iCs/>
          <w:sz w:val="24"/>
          <w:szCs w:val="24"/>
        </w:rPr>
        <w:t>PLoS neglected tropical diseases</w:t>
      </w:r>
      <w:r w:rsidRPr="002B47CF">
        <w:rPr>
          <w:rFonts w:ascii="Times New Roman" w:hAnsi="Times New Roman" w:cs="Times New Roman"/>
          <w:sz w:val="24"/>
          <w:szCs w:val="24"/>
        </w:rPr>
        <w:t>, </w:t>
      </w:r>
      <w:r w:rsidRPr="002B47CF">
        <w:rPr>
          <w:rFonts w:ascii="Times New Roman" w:hAnsi="Times New Roman" w:cs="Times New Roman"/>
          <w:i/>
          <w:iCs/>
          <w:sz w:val="24"/>
          <w:szCs w:val="24"/>
        </w:rPr>
        <w:t>16</w:t>
      </w:r>
      <w:r w:rsidRPr="002B47CF">
        <w:rPr>
          <w:rFonts w:ascii="Times New Roman" w:hAnsi="Times New Roman" w:cs="Times New Roman"/>
          <w:sz w:val="24"/>
          <w:szCs w:val="24"/>
        </w:rPr>
        <w:t xml:space="preserve">(4), e0010331. </w:t>
      </w:r>
      <w:hyperlink r:id="rId12" w:history="1">
        <w:r w:rsidRPr="002B47CF">
          <w:rPr>
            <w:rStyle w:val="Hyperlink"/>
            <w:rFonts w:ascii="Times New Roman" w:hAnsi="Times New Roman" w:cs="Times New Roman"/>
            <w:sz w:val="24"/>
            <w:szCs w:val="24"/>
          </w:rPr>
          <w:t>https://doi.org/10.1371/journal.pntd.0010331</w:t>
        </w:r>
      </w:hyperlink>
    </w:p>
    <w:p w14:paraId="1094EE88" w14:textId="5F0A1355" w:rsidR="001330AA" w:rsidRPr="002B47CF" w:rsidRDefault="001330A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Wang, W., Gao, Y., Ji, J., Huang, Z., Xiong, B., &amp; Xiang, S. (2025). Trends and advances in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a bibliometric analysis. </w:t>
      </w:r>
      <w:r w:rsidRPr="002B47CF">
        <w:rPr>
          <w:rFonts w:ascii="Times New Roman" w:hAnsi="Times New Roman" w:cs="Times New Roman"/>
          <w:i/>
          <w:iCs/>
          <w:sz w:val="24"/>
          <w:szCs w:val="24"/>
        </w:rPr>
        <w:t>Frontiers in microbiology</w:t>
      </w:r>
      <w:r w:rsidRPr="002B47CF">
        <w:rPr>
          <w:rFonts w:ascii="Times New Roman" w:hAnsi="Times New Roman" w:cs="Times New Roman"/>
          <w:sz w:val="24"/>
          <w:szCs w:val="24"/>
        </w:rPr>
        <w:t>, </w:t>
      </w:r>
      <w:r w:rsidRPr="002B47CF">
        <w:rPr>
          <w:rFonts w:ascii="Times New Roman" w:hAnsi="Times New Roman" w:cs="Times New Roman"/>
          <w:i/>
          <w:iCs/>
          <w:sz w:val="24"/>
          <w:szCs w:val="24"/>
        </w:rPr>
        <w:t>15</w:t>
      </w:r>
      <w:r w:rsidRPr="002B47CF">
        <w:rPr>
          <w:rFonts w:ascii="Times New Roman" w:hAnsi="Times New Roman" w:cs="Times New Roman"/>
          <w:sz w:val="24"/>
          <w:szCs w:val="24"/>
        </w:rPr>
        <w:t xml:space="preserve">, 1514738. </w:t>
      </w:r>
      <w:hyperlink r:id="rId13" w:history="1">
        <w:r w:rsidRPr="002B47CF">
          <w:rPr>
            <w:rStyle w:val="Hyperlink"/>
            <w:rFonts w:ascii="Times New Roman" w:hAnsi="Times New Roman" w:cs="Times New Roman"/>
            <w:sz w:val="24"/>
            <w:szCs w:val="24"/>
          </w:rPr>
          <w:t>https://doi.org/10.3389/fmicb.2024.1514738</w:t>
        </w:r>
      </w:hyperlink>
    </w:p>
    <w:p w14:paraId="10408277" w14:textId="7A9DBD9A" w:rsidR="001330AA" w:rsidRPr="002B47CF" w:rsidRDefault="001330AA"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Williams C (2025). A Novel Loop-Mediated Isothermal Amplification (LAMP) Assay for the Detection of Leptospira in Febrile Patients. J Infect Dis Diagn. 10:332.</w:t>
      </w:r>
    </w:p>
    <w:p w14:paraId="558657D4" w14:textId="77777777" w:rsidR="00DF0A86" w:rsidRPr="002B47CF" w:rsidRDefault="00DF0A86" w:rsidP="00F82139">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 xml:space="preserve">Weil, A. (1886). </w:t>
      </w:r>
      <w:proofErr w:type="spellStart"/>
      <w:r w:rsidRPr="002B47CF">
        <w:rPr>
          <w:rFonts w:ascii="Times New Roman" w:hAnsi="Times New Roman" w:cs="Times New Roman"/>
          <w:sz w:val="24"/>
          <w:szCs w:val="24"/>
        </w:rPr>
        <w:t>Ueber</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eine</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eigentümliche</w:t>
      </w:r>
      <w:proofErr w:type="spellEnd"/>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mit</w:t>
      </w:r>
      <w:proofErr w:type="spellEnd"/>
      <w:r w:rsidRPr="002B47CF">
        <w:rPr>
          <w:rFonts w:ascii="Times New Roman" w:hAnsi="Times New Roman" w:cs="Times New Roman"/>
          <w:sz w:val="24"/>
          <w:szCs w:val="24"/>
        </w:rPr>
        <w:t xml:space="preserve"> Milztumor, Icterus und Nephritis </w:t>
      </w:r>
      <w:proofErr w:type="spellStart"/>
      <w:r w:rsidRPr="002B47CF">
        <w:rPr>
          <w:rFonts w:ascii="Times New Roman" w:hAnsi="Times New Roman" w:cs="Times New Roman"/>
          <w:sz w:val="24"/>
          <w:szCs w:val="24"/>
        </w:rPr>
        <w:t>einhergehende</w:t>
      </w:r>
      <w:proofErr w:type="spellEnd"/>
      <w:r w:rsidRPr="002B47CF">
        <w:rPr>
          <w:rFonts w:ascii="Times New Roman" w:hAnsi="Times New Roman" w:cs="Times New Roman"/>
          <w:sz w:val="24"/>
          <w:szCs w:val="24"/>
        </w:rPr>
        <w:t xml:space="preserve"> acute </w:t>
      </w:r>
      <w:proofErr w:type="spellStart"/>
      <w:r w:rsidRPr="002B47CF">
        <w:rPr>
          <w:rFonts w:ascii="Times New Roman" w:hAnsi="Times New Roman" w:cs="Times New Roman"/>
          <w:sz w:val="24"/>
          <w:szCs w:val="24"/>
        </w:rPr>
        <w:t>Infektionskrankheit</w:t>
      </w:r>
      <w:proofErr w:type="spellEnd"/>
      <w:r w:rsidRPr="002B47CF">
        <w:rPr>
          <w:rFonts w:ascii="Times New Roman" w:hAnsi="Times New Roman" w:cs="Times New Roman"/>
          <w:sz w:val="24"/>
          <w:szCs w:val="24"/>
        </w:rPr>
        <w:t>. </w:t>
      </w:r>
      <w:proofErr w:type="spellStart"/>
      <w:r w:rsidRPr="002B47CF">
        <w:rPr>
          <w:rFonts w:ascii="Times New Roman" w:hAnsi="Times New Roman" w:cs="Times New Roman"/>
          <w:i/>
          <w:iCs/>
          <w:sz w:val="24"/>
          <w:szCs w:val="24"/>
        </w:rPr>
        <w:t>Deutsches</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Archiv</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für</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klinische</w:t>
      </w:r>
      <w:proofErr w:type="spellEnd"/>
      <w:r w:rsidRPr="002B47CF">
        <w:rPr>
          <w:rFonts w:ascii="Times New Roman" w:hAnsi="Times New Roman" w:cs="Times New Roman"/>
          <w:i/>
          <w:iCs/>
          <w:sz w:val="24"/>
          <w:szCs w:val="24"/>
        </w:rPr>
        <w:t xml:space="preserve"> </w:t>
      </w:r>
      <w:proofErr w:type="spellStart"/>
      <w:r w:rsidRPr="002B47CF">
        <w:rPr>
          <w:rFonts w:ascii="Times New Roman" w:hAnsi="Times New Roman" w:cs="Times New Roman"/>
          <w:i/>
          <w:iCs/>
          <w:sz w:val="24"/>
          <w:szCs w:val="24"/>
        </w:rPr>
        <w:t>Medizin</w:t>
      </w:r>
      <w:proofErr w:type="spellEnd"/>
      <w:r w:rsidRPr="002B47CF">
        <w:rPr>
          <w:rFonts w:ascii="Times New Roman" w:hAnsi="Times New Roman" w:cs="Times New Roman"/>
          <w:sz w:val="24"/>
          <w:szCs w:val="24"/>
        </w:rPr>
        <w:t>, 39, 209–232.</w:t>
      </w:r>
    </w:p>
    <w:p w14:paraId="7C6AF171" w14:textId="0DCA1964" w:rsidR="006028ED" w:rsidRPr="002B47CF" w:rsidRDefault="006028ED" w:rsidP="00F82139">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Suwancharoen, D., Sittiwicheanwong, B., and Wiratsudakul, A. (2016). Evaluation of loop-mediated isothermal amplification method (LAMP) for pathogenic Leptospira spp. detection with leptospires isolation and real-time PCR. </w:t>
      </w:r>
      <w:r w:rsidRPr="002B47CF">
        <w:rPr>
          <w:rFonts w:ascii="Times New Roman" w:hAnsi="Times New Roman" w:cs="Times New Roman"/>
          <w:i/>
          <w:iCs/>
          <w:sz w:val="24"/>
          <w:szCs w:val="24"/>
        </w:rPr>
        <w:t>The Journal of veterinary medical science</w:t>
      </w:r>
      <w:r w:rsidRPr="002B47CF">
        <w:rPr>
          <w:rFonts w:ascii="Times New Roman" w:hAnsi="Times New Roman" w:cs="Times New Roman"/>
          <w:sz w:val="24"/>
          <w:szCs w:val="24"/>
        </w:rPr>
        <w:t>, </w:t>
      </w:r>
      <w:r w:rsidRPr="002B47CF">
        <w:rPr>
          <w:rFonts w:ascii="Times New Roman" w:hAnsi="Times New Roman" w:cs="Times New Roman"/>
          <w:i/>
          <w:iCs/>
          <w:sz w:val="24"/>
          <w:szCs w:val="24"/>
        </w:rPr>
        <w:t>78</w:t>
      </w:r>
      <w:r w:rsidRPr="002B47CF">
        <w:rPr>
          <w:rFonts w:ascii="Times New Roman" w:hAnsi="Times New Roman" w:cs="Times New Roman"/>
          <w:sz w:val="24"/>
          <w:szCs w:val="24"/>
        </w:rPr>
        <w:t xml:space="preserve">(8), 1299–1302. </w:t>
      </w:r>
      <w:hyperlink r:id="rId14" w:history="1">
        <w:r w:rsidR="00E432D8" w:rsidRPr="002B47CF">
          <w:rPr>
            <w:rStyle w:val="Hyperlink"/>
            <w:rFonts w:ascii="Times New Roman" w:hAnsi="Times New Roman" w:cs="Times New Roman"/>
            <w:sz w:val="24"/>
            <w:szCs w:val="24"/>
          </w:rPr>
          <w:t>https://doi.org/10.1292/jvms.15-0702</w:t>
        </w:r>
      </w:hyperlink>
    </w:p>
    <w:p w14:paraId="6C63D894" w14:textId="77777777" w:rsidR="00E432D8" w:rsidRPr="002B47CF" w:rsidRDefault="00E432D8" w:rsidP="00E432D8">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Levett P. N. (2001). Leptospirosis. </w:t>
      </w:r>
      <w:r w:rsidRPr="002B47CF">
        <w:rPr>
          <w:rFonts w:ascii="Times New Roman" w:hAnsi="Times New Roman" w:cs="Times New Roman"/>
          <w:i/>
          <w:iCs/>
          <w:sz w:val="24"/>
          <w:szCs w:val="24"/>
        </w:rPr>
        <w:t>Clinical microbiology reviews</w:t>
      </w:r>
      <w:r w:rsidRPr="002B47CF">
        <w:rPr>
          <w:rFonts w:ascii="Times New Roman" w:hAnsi="Times New Roman" w:cs="Times New Roman"/>
          <w:sz w:val="24"/>
          <w:szCs w:val="24"/>
        </w:rPr>
        <w:t>, </w:t>
      </w:r>
      <w:r w:rsidRPr="002B47CF">
        <w:rPr>
          <w:rFonts w:ascii="Times New Roman" w:hAnsi="Times New Roman" w:cs="Times New Roman"/>
          <w:i/>
          <w:iCs/>
          <w:sz w:val="24"/>
          <w:szCs w:val="24"/>
        </w:rPr>
        <w:t>14</w:t>
      </w:r>
      <w:r w:rsidRPr="002B47CF">
        <w:rPr>
          <w:rFonts w:ascii="Times New Roman" w:hAnsi="Times New Roman" w:cs="Times New Roman"/>
          <w:sz w:val="24"/>
          <w:szCs w:val="24"/>
        </w:rPr>
        <w:t>(2), 296–326. https://doi.org/10.1128/CMR.14.2.296-326.2001</w:t>
      </w:r>
    </w:p>
    <w:p w14:paraId="1C9F9E6F" w14:textId="77777777" w:rsidR="00E432D8" w:rsidRPr="002B47CF" w:rsidRDefault="00E432D8" w:rsidP="00E432D8">
      <w:pPr>
        <w:spacing w:line="360" w:lineRule="auto"/>
        <w:ind w:left="851" w:hanging="851"/>
        <w:jc w:val="both"/>
        <w:rPr>
          <w:rFonts w:ascii="Times New Roman" w:hAnsi="Times New Roman" w:cs="Times New Roman"/>
          <w:sz w:val="24"/>
          <w:szCs w:val="24"/>
        </w:rPr>
      </w:pPr>
      <w:proofErr w:type="spellStart"/>
      <w:r w:rsidRPr="002B47CF">
        <w:rPr>
          <w:rFonts w:ascii="Times New Roman" w:hAnsi="Times New Roman" w:cs="Times New Roman"/>
          <w:sz w:val="24"/>
          <w:szCs w:val="24"/>
        </w:rPr>
        <w:t>Samrot</w:t>
      </w:r>
      <w:proofErr w:type="spellEnd"/>
      <w:r w:rsidRPr="002B47CF">
        <w:rPr>
          <w:rFonts w:ascii="Times New Roman" w:hAnsi="Times New Roman" w:cs="Times New Roman"/>
          <w:sz w:val="24"/>
          <w:szCs w:val="24"/>
        </w:rPr>
        <w:t>, A. V., Sean, T. C., Bhavya, K. S., Sahithya, C. S., Chan-Drasekaran, S., Palanisamy, R., Robinson, E. R., Subbiah, S. K., and Mok, P. L. (2021). Leptospiral Infection, Pathogenesis and Its Diagnosis-A Review. </w:t>
      </w:r>
      <w:r w:rsidRPr="002B47CF">
        <w:rPr>
          <w:rFonts w:ascii="Times New Roman" w:hAnsi="Times New Roman" w:cs="Times New Roman"/>
          <w:i/>
          <w:iCs/>
          <w:sz w:val="24"/>
          <w:szCs w:val="24"/>
        </w:rPr>
        <w:t>Pathogens (Basel, Switzerland)</w:t>
      </w:r>
      <w:r w:rsidRPr="002B47CF">
        <w:rPr>
          <w:rFonts w:ascii="Times New Roman" w:hAnsi="Times New Roman" w:cs="Times New Roman"/>
          <w:sz w:val="24"/>
          <w:szCs w:val="24"/>
        </w:rPr>
        <w:t>, </w:t>
      </w:r>
      <w:r w:rsidRPr="002B47CF">
        <w:rPr>
          <w:rFonts w:ascii="Times New Roman" w:hAnsi="Times New Roman" w:cs="Times New Roman"/>
          <w:i/>
          <w:iCs/>
          <w:sz w:val="24"/>
          <w:szCs w:val="24"/>
        </w:rPr>
        <w:t>10</w:t>
      </w:r>
      <w:r w:rsidRPr="002B47CF">
        <w:rPr>
          <w:rFonts w:ascii="Times New Roman" w:hAnsi="Times New Roman" w:cs="Times New Roman"/>
          <w:sz w:val="24"/>
          <w:szCs w:val="24"/>
        </w:rPr>
        <w:t>(2), 145. https://doi.org/10.3390/pathogens10020145</w:t>
      </w:r>
    </w:p>
    <w:p w14:paraId="006E1F56" w14:textId="77777777" w:rsidR="00E432D8" w:rsidRPr="002B47CF" w:rsidRDefault="00E432D8" w:rsidP="00E432D8">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lastRenderedPageBreak/>
        <w:t xml:space="preserve">Ambily, R., Mini, M., Joseph, S., Abhinay, G., and </w:t>
      </w:r>
      <w:proofErr w:type="spellStart"/>
      <w:r w:rsidRPr="002B47CF">
        <w:rPr>
          <w:rFonts w:ascii="Times New Roman" w:hAnsi="Times New Roman" w:cs="Times New Roman"/>
          <w:sz w:val="24"/>
          <w:szCs w:val="24"/>
        </w:rPr>
        <w:t>Saseendranath</w:t>
      </w:r>
      <w:proofErr w:type="spellEnd"/>
      <w:r w:rsidRPr="002B47CF">
        <w:rPr>
          <w:rFonts w:ascii="Times New Roman" w:hAnsi="Times New Roman" w:cs="Times New Roman"/>
          <w:sz w:val="24"/>
          <w:szCs w:val="24"/>
        </w:rPr>
        <w:t xml:space="preserve">, M. R. (2013). Seroprevalence of leptospirosis among dogs in Kerala. </w:t>
      </w:r>
      <w:r w:rsidRPr="002B47CF">
        <w:rPr>
          <w:rFonts w:ascii="Times New Roman" w:hAnsi="Times New Roman" w:cs="Times New Roman"/>
          <w:i/>
          <w:iCs/>
          <w:sz w:val="24"/>
          <w:szCs w:val="24"/>
        </w:rPr>
        <w:t>Journal of Veterinary and Animal Sciences, 44</w:t>
      </w:r>
      <w:r w:rsidRPr="002B47CF">
        <w:rPr>
          <w:rFonts w:ascii="Times New Roman" w:hAnsi="Times New Roman" w:cs="Times New Roman"/>
          <w:sz w:val="24"/>
          <w:szCs w:val="24"/>
        </w:rPr>
        <w:t>(1), 47–49.</w:t>
      </w:r>
    </w:p>
    <w:p w14:paraId="0F966D07" w14:textId="77777777" w:rsidR="00E432D8" w:rsidRPr="002B47CF" w:rsidRDefault="00E432D8" w:rsidP="00E432D8">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Raj, J., Campbell, R., and Tappin, S. (2021). Clinical findings in dogs diagnosed with leptospirosis in England. </w:t>
      </w:r>
      <w:r w:rsidRPr="002B47CF">
        <w:rPr>
          <w:rFonts w:ascii="Times New Roman" w:hAnsi="Times New Roman" w:cs="Times New Roman"/>
          <w:i/>
          <w:iCs/>
          <w:sz w:val="24"/>
          <w:szCs w:val="24"/>
        </w:rPr>
        <w:t>The Veterinary record</w:t>
      </w:r>
      <w:r w:rsidRPr="002B47CF">
        <w:rPr>
          <w:rFonts w:ascii="Times New Roman" w:hAnsi="Times New Roman" w:cs="Times New Roman"/>
          <w:sz w:val="24"/>
          <w:szCs w:val="24"/>
        </w:rPr>
        <w:t>, </w:t>
      </w:r>
      <w:r w:rsidRPr="002B47CF">
        <w:rPr>
          <w:rFonts w:ascii="Times New Roman" w:hAnsi="Times New Roman" w:cs="Times New Roman"/>
          <w:i/>
          <w:iCs/>
          <w:sz w:val="24"/>
          <w:szCs w:val="24"/>
        </w:rPr>
        <w:t>189</w:t>
      </w:r>
      <w:r w:rsidRPr="002B47CF">
        <w:rPr>
          <w:rFonts w:ascii="Times New Roman" w:hAnsi="Times New Roman" w:cs="Times New Roman"/>
          <w:sz w:val="24"/>
          <w:szCs w:val="24"/>
        </w:rPr>
        <w:t>(7), e452. https://doi.org/10.1002/vetr.452</w:t>
      </w:r>
    </w:p>
    <w:p w14:paraId="36A7BAC5" w14:textId="77777777" w:rsidR="00D27053" w:rsidRPr="008B237E" w:rsidRDefault="00D27053" w:rsidP="00D27053">
      <w:pPr>
        <w:spacing w:line="360" w:lineRule="auto"/>
        <w:ind w:left="851" w:hanging="851"/>
        <w:jc w:val="both"/>
        <w:rPr>
          <w:rFonts w:ascii="Arial" w:hAnsi="Arial" w:cs="Arial"/>
        </w:rPr>
      </w:pPr>
      <w:r w:rsidRPr="002B47CF">
        <w:rPr>
          <w:rFonts w:ascii="Times New Roman" w:hAnsi="Times New Roman" w:cs="Times New Roman"/>
          <w:sz w:val="24"/>
          <w:szCs w:val="24"/>
        </w:rPr>
        <w:t>Sykes, J. E., Hartmann, K., Lunn, K. F., Moore, G. E., Stoddard, R. A., and Goldstein, R. E. (2011). 2010 ACVIM small animal consensus statement on leptospirosis: diagnosis, epidemiology, treatment, and prevention. </w:t>
      </w:r>
      <w:r w:rsidRPr="002B47CF">
        <w:rPr>
          <w:rFonts w:ascii="Times New Roman" w:hAnsi="Times New Roman" w:cs="Times New Roman"/>
          <w:i/>
          <w:iCs/>
          <w:sz w:val="24"/>
          <w:szCs w:val="24"/>
        </w:rPr>
        <w:t>Journal of veterinary internal medicine</w:t>
      </w:r>
      <w:r w:rsidRPr="002B47CF">
        <w:rPr>
          <w:rFonts w:ascii="Times New Roman" w:hAnsi="Times New Roman" w:cs="Times New Roman"/>
          <w:sz w:val="24"/>
          <w:szCs w:val="24"/>
        </w:rPr>
        <w:t>, </w:t>
      </w:r>
      <w:r w:rsidRPr="002B47CF">
        <w:rPr>
          <w:rFonts w:ascii="Times New Roman" w:hAnsi="Times New Roman" w:cs="Times New Roman"/>
          <w:i/>
          <w:iCs/>
          <w:sz w:val="24"/>
          <w:szCs w:val="24"/>
        </w:rPr>
        <w:t>25</w:t>
      </w:r>
      <w:r w:rsidRPr="002B47CF">
        <w:rPr>
          <w:rFonts w:ascii="Times New Roman" w:hAnsi="Times New Roman" w:cs="Times New Roman"/>
          <w:sz w:val="24"/>
          <w:szCs w:val="24"/>
        </w:rPr>
        <w:t>(1), 1–13. https://doi.org/10.1111/j.1939-1676.</w:t>
      </w:r>
      <w:r w:rsidRPr="008B237E">
        <w:rPr>
          <w:rFonts w:ascii="Arial" w:hAnsi="Arial" w:cs="Arial"/>
        </w:rPr>
        <w:t>2010.0654.x</w:t>
      </w:r>
    </w:p>
    <w:p w14:paraId="495021B6" w14:textId="77777777" w:rsidR="003E7E83" w:rsidRPr="002B47CF" w:rsidRDefault="003E7E83" w:rsidP="003E7E83">
      <w:pPr>
        <w:spacing w:line="360" w:lineRule="auto"/>
        <w:ind w:left="851" w:hanging="851"/>
        <w:jc w:val="both"/>
        <w:rPr>
          <w:rFonts w:ascii="Times New Roman" w:hAnsi="Times New Roman" w:cs="Times New Roman"/>
          <w:sz w:val="24"/>
          <w:szCs w:val="24"/>
        </w:rPr>
      </w:pPr>
      <w:r w:rsidRPr="002B47CF">
        <w:rPr>
          <w:rFonts w:ascii="Times New Roman" w:hAnsi="Times New Roman" w:cs="Times New Roman"/>
          <w:sz w:val="24"/>
          <w:szCs w:val="24"/>
        </w:rPr>
        <w:t>Chen, H.-W., Weissenberger, G., and Ching, W.-M. (2015). Development of lyophilized loop-mediated isothermal amplification reagents for the detection of Leptospira. </w:t>
      </w:r>
      <w:r w:rsidRPr="002B47CF">
        <w:rPr>
          <w:rFonts w:ascii="Times New Roman" w:hAnsi="Times New Roman" w:cs="Times New Roman"/>
          <w:i/>
          <w:iCs/>
          <w:sz w:val="24"/>
          <w:szCs w:val="24"/>
        </w:rPr>
        <w:t>Military Medicine</w:t>
      </w:r>
      <w:r w:rsidRPr="002B47CF">
        <w:rPr>
          <w:rFonts w:ascii="Times New Roman" w:hAnsi="Times New Roman" w:cs="Times New Roman"/>
          <w:sz w:val="24"/>
          <w:szCs w:val="24"/>
        </w:rPr>
        <w:t xml:space="preserve">, 181(5 </w:t>
      </w:r>
      <w:proofErr w:type="spellStart"/>
      <w:r w:rsidRPr="002B47CF">
        <w:rPr>
          <w:rFonts w:ascii="Times New Roman" w:hAnsi="Times New Roman" w:cs="Times New Roman"/>
          <w:sz w:val="24"/>
          <w:szCs w:val="24"/>
        </w:rPr>
        <w:t>Suppl</w:t>
      </w:r>
      <w:proofErr w:type="spellEnd"/>
      <w:r w:rsidRPr="002B47CF">
        <w:rPr>
          <w:rFonts w:ascii="Times New Roman" w:hAnsi="Times New Roman" w:cs="Times New Roman"/>
          <w:sz w:val="24"/>
          <w:szCs w:val="24"/>
        </w:rPr>
        <w:t>), 227–231. https://doi.org/10.7205/MILMED-D-15-00149</w:t>
      </w:r>
    </w:p>
    <w:p w14:paraId="570B3AAD" w14:textId="77777777" w:rsidR="00A86680" w:rsidRPr="008B237E" w:rsidRDefault="00A86680" w:rsidP="00F82139">
      <w:pPr>
        <w:spacing w:line="360" w:lineRule="auto"/>
        <w:jc w:val="both"/>
        <w:rPr>
          <w:rFonts w:ascii="Arial" w:hAnsi="Arial" w:cs="Arial"/>
        </w:rPr>
      </w:pPr>
    </w:p>
    <w:sectPr w:rsidR="00A86680" w:rsidRPr="008B237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040C9" w14:textId="77777777" w:rsidR="00D22E59" w:rsidRDefault="00D22E59" w:rsidP="005F3CED">
      <w:pPr>
        <w:spacing w:after="0" w:line="240" w:lineRule="auto"/>
      </w:pPr>
      <w:r>
        <w:separator/>
      </w:r>
    </w:p>
  </w:endnote>
  <w:endnote w:type="continuationSeparator" w:id="0">
    <w:p w14:paraId="77B0F921" w14:textId="77777777" w:rsidR="00D22E59" w:rsidRDefault="00D22E59" w:rsidP="005F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4F3D" w14:textId="77777777" w:rsidR="005F3CED" w:rsidRDefault="005F3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2C1F" w14:textId="77777777" w:rsidR="005F3CED" w:rsidRDefault="005F3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4424" w14:textId="77777777" w:rsidR="005F3CED" w:rsidRDefault="005F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D12F" w14:textId="77777777" w:rsidR="00D22E59" w:rsidRDefault="00D22E59" w:rsidP="005F3CED">
      <w:pPr>
        <w:spacing w:after="0" w:line="240" w:lineRule="auto"/>
      </w:pPr>
      <w:r>
        <w:separator/>
      </w:r>
    </w:p>
  </w:footnote>
  <w:footnote w:type="continuationSeparator" w:id="0">
    <w:p w14:paraId="5B5CE9A8" w14:textId="77777777" w:rsidR="00D22E59" w:rsidRDefault="00D22E59" w:rsidP="005F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AC2" w14:textId="281202A3" w:rsidR="005F3CED" w:rsidRDefault="005F3CED">
    <w:pPr>
      <w:pStyle w:val="Header"/>
    </w:pPr>
    <w:r>
      <w:rPr>
        <w:noProof/>
      </w:rPr>
      <w:pict w14:anchorId="7BE5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C883" w14:textId="08C541DC" w:rsidR="005F3CED" w:rsidRDefault="005F3CED">
    <w:pPr>
      <w:pStyle w:val="Header"/>
    </w:pPr>
    <w:r>
      <w:rPr>
        <w:noProof/>
      </w:rPr>
      <w:pict w14:anchorId="192A5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DB41" w14:textId="267B9AC3" w:rsidR="005F3CED" w:rsidRDefault="005F3CED">
    <w:pPr>
      <w:pStyle w:val="Header"/>
    </w:pPr>
    <w:r>
      <w:rPr>
        <w:noProof/>
      </w:rPr>
      <w:pict w14:anchorId="4026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E7"/>
    <w:rsid w:val="001330AA"/>
    <w:rsid w:val="0016445D"/>
    <w:rsid w:val="00176999"/>
    <w:rsid w:val="001C5891"/>
    <w:rsid w:val="002A280E"/>
    <w:rsid w:val="002B47CF"/>
    <w:rsid w:val="002B69DB"/>
    <w:rsid w:val="003171B1"/>
    <w:rsid w:val="00353049"/>
    <w:rsid w:val="00371C58"/>
    <w:rsid w:val="00386FE6"/>
    <w:rsid w:val="003E1547"/>
    <w:rsid w:val="003E7E83"/>
    <w:rsid w:val="0040202D"/>
    <w:rsid w:val="00497C12"/>
    <w:rsid w:val="004C1691"/>
    <w:rsid w:val="00506E3E"/>
    <w:rsid w:val="0052198E"/>
    <w:rsid w:val="005547D4"/>
    <w:rsid w:val="005C7CBE"/>
    <w:rsid w:val="005D10CC"/>
    <w:rsid w:val="005D7123"/>
    <w:rsid w:val="005E2E1D"/>
    <w:rsid w:val="005F3CED"/>
    <w:rsid w:val="006028ED"/>
    <w:rsid w:val="00636A43"/>
    <w:rsid w:val="0065383B"/>
    <w:rsid w:val="006A7C5A"/>
    <w:rsid w:val="008B237E"/>
    <w:rsid w:val="009526B6"/>
    <w:rsid w:val="00A2581B"/>
    <w:rsid w:val="00A62D42"/>
    <w:rsid w:val="00A86680"/>
    <w:rsid w:val="00AA1321"/>
    <w:rsid w:val="00AA76A6"/>
    <w:rsid w:val="00B15C21"/>
    <w:rsid w:val="00B228E6"/>
    <w:rsid w:val="00B7620E"/>
    <w:rsid w:val="00C01A23"/>
    <w:rsid w:val="00C05D91"/>
    <w:rsid w:val="00C836E5"/>
    <w:rsid w:val="00CE7343"/>
    <w:rsid w:val="00D22E59"/>
    <w:rsid w:val="00D27053"/>
    <w:rsid w:val="00D82EE8"/>
    <w:rsid w:val="00D84CE8"/>
    <w:rsid w:val="00DA3897"/>
    <w:rsid w:val="00DF0A86"/>
    <w:rsid w:val="00E0503E"/>
    <w:rsid w:val="00E432D8"/>
    <w:rsid w:val="00E61882"/>
    <w:rsid w:val="00ED28CC"/>
    <w:rsid w:val="00ED3E71"/>
    <w:rsid w:val="00F82139"/>
    <w:rsid w:val="00F91E58"/>
    <w:rsid w:val="00F95D75"/>
    <w:rsid w:val="00FF5CE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B0B9AB"/>
  <w15:chartTrackingRefBased/>
  <w15:docId w15:val="{6DDE290C-B59A-4912-9547-A50FB27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5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5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E7"/>
    <w:rPr>
      <w:rFonts w:eastAsiaTheme="majorEastAsia" w:cstheme="majorBidi"/>
      <w:color w:val="272727" w:themeColor="text1" w:themeTint="D8"/>
    </w:rPr>
  </w:style>
  <w:style w:type="paragraph" w:styleId="Title">
    <w:name w:val="Title"/>
    <w:basedOn w:val="Normal"/>
    <w:next w:val="Normal"/>
    <w:link w:val="TitleChar"/>
    <w:uiPriority w:val="10"/>
    <w:qFormat/>
    <w:rsid w:val="00FF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E7"/>
    <w:pPr>
      <w:spacing w:before="160"/>
      <w:jc w:val="center"/>
    </w:pPr>
    <w:rPr>
      <w:i/>
      <w:iCs/>
      <w:color w:val="404040" w:themeColor="text1" w:themeTint="BF"/>
    </w:rPr>
  </w:style>
  <w:style w:type="character" w:customStyle="1" w:styleId="QuoteChar">
    <w:name w:val="Quote Char"/>
    <w:basedOn w:val="DefaultParagraphFont"/>
    <w:link w:val="Quote"/>
    <w:uiPriority w:val="29"/>
    <w:rsid w:val="00FF5CE7"/>
    <w:rPr>
      <w:i/>
      <w:iCs/>
      <w:color w:val="404040" w:themeColor="text1" w:themeTint="BF"/>
    </w:rPr>
  </w:style>
  <w:style w:type="paragraph" w:styleId="ListParagraph">
    <w:name w:val="List Paragraph"/>
    <w:basedOn w:val="Normal"/>
    <w:uiPriority w:val="34"/>
    <w:qFormat/>
    <w:rsid w:val="00FF5CE7"/>
    <w:pPr>
      <w:ind w:left="720"/>
      <w:contextualSpacing/>
    </w:pPr>
  </w:style>
  <w:style w:type="character" w:styleId="IntenseEmphasis">
    <w:name w:val="Intense Emphasis"/>
    <w:basedOn w:val="DefaultParagraphFont"/>
    <w:uiPriority w:val="21"/>
    <w:qFormat/>
    <w:rsid w:val="00FF5CE7"/>
    <w:rPr>
      <w:i/>
      <w:iCs/>
      <w:color w:val="2F5496" w:themeColor="accent1" w:themeShade="BF"/>
    </w:rPr>
  </w:style>
  <w:style w:type="paragraph" w:styleId="IntenseQuote">
    <w:name w:val="Intense Quote"/>
    <w:basedOn w:val="Normal"/>
    <w:next w:val="Normal"/>
    <w:link w:val="IntenseQuoteChar"/>
    <w:uiPriority w:val="30"/>
    <w:qFormat/>
    <w:rsid w:val="00FF5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CE7"/>
    <w:rPr>
      <w:i/>
      <w:iCs/>
      <w:color w:val="2F5496" w:themeColor="accent1" w:themeShade="BF"/>
    </w:rPr>
  </w:style>
  <w:style w:type="character" w:styleId="IntenseReference">
    <w:name w:val="Intense Reference"/>
    <w:basedOn w:val="DefaultParagraphFont"/>
    <w:uiPriority w:val="32"/>
    <w:qFormat/>
    <w:rsid w:val="00FF5CE7"/>
    <w:rPr>
      <w:b/>
      <w:bCs/>
      <w:smallCaps/>
      <w:color w:val="2F5496" w:themeColor="accent1" w:themeShade="BF"/>
      <w:spacing w:val="5"/>
    </w:rPr>
  </w:style>
  <w:style w:type="character" w:styleId="Hyperlink">
    <w:name w:val="Hyperlink"/>
    <w:basedOn w:val="DefaultParagraphFont"/>
    <w:uiPriority w:val="99"/>
    <w:unhideWhenUsed/>
    <w:rsid w:val="001330AA"/>
    <w:rPr>
      <w:color w:val="0563C1" w:themeColor="hyperlink"/>
      <w:u w:val="single"/>
    </w:rPr>
  </w:style>
  <w:style w:type="character" w:styleId="UnresolvedMention">
    <w:name w:val="Unresolved Mention"/>
    <w:basedOn w:val="DefaultParagraphFont"/>
    <w:uiPriority w:val="99"/>
    <w:semiHidden/>
    <w:unhideWhenUsed/>
    <w:rsid w:val="001330AA"/>
    <w:rPr>
      <w:color w:val="605E5C"/>
      <w:shd w:val="clear" w:color="auto" w:fill="E1DFDD"/>
    </w:rPr>
  </w:style>
  <w:style w:type="table" w:styleId="TableGrid">
    <w:name w:val="Table Grid"/>
    <w:basedOn w:val="TableNormal"/>
    <w:uiPriority w:val="39"/>
    <w:rsid w:val="00B228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ED"/>
  </w:style>
  <w:style w:type="paragraph" w:styleId="Footer">
    <w:name w:val="footer"/>
    <w:basedOn w:val="Normal"/>
    <w:link w:val="FooterChar"/>
    <w:uiPriority w:val="99"/>
    <w:unhideWhenUsed/>
    <w:rsid w:val="005F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3389/fmicb.2024.1514738"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doi.org/10.1371/journal.pntd.0010331"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292/jvms.15-07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dc:creator>
  <cp:keywords/>
  <dc:description/>
  <cp:lastModifiedBy>SDI 1084</cp:lastModifiedBy>
  <cp:revision>4</cp:revision>
  <dcterms:created xsi:type="dcterms:W3CDTF">2025-09-11T15:45:00Z</dcterms:created>
  <dcterms:modified xsi:type="dcterms:W3CDTF">2025-09-12T11:41:00Z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c73f9b94-ba5c-492c-9d92-ef57e24970b2</vt:lpwstr>
  </property>
</Properties>
</file>