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8EB38" w14:textId="77777777" w:rsidR="00D96ECE" w:rsidRPr="00892F2C" w:rsidRDefault="009565AE">
      <w:pPr>
        <w:rPr>
          <w:b/>
          <w:bCs/>
          <w:i/>
          <w:iCs/>
          <w:lang w:val="en-IN"/>
        </w:rPr>
      </w:pPr>
      <w:r>
        <w:rPr>
          <w:rFonts w:eastAsia="SimSun"/>
          <w:b/>
          <w:bCs/>
        </w:rPr>
        <w:t>Effect of Long</w:t>
      </w:r>
      <w:r>
        <w:rPr>
          <w:rFonts w:eastAsia="SimSun"/>
          <w:b/>
          <w:bCs/>
        </w:rPr>
        <w:noBreakHyphen/>
        <w:t xml:space="preserve">Term (≈19 Years) Fertilization </w:t>
      </w:r>
      <w:r>
        <w:rPr>
          <w:rFonts w:eastAsia="SimSun"/>
          <w:b/>
          <w:bCs/>
          <w:lang w:val="en-IN"/>
        </w:rPr>
        <w:t>and</w:t>
      </w:r>
      <w:r>
        <w:rPr>
          <w:rFonts w:eastAsia="SimSun"/>
          <w:b/>
          <w:bCs/>
        </w:rPr>
        <w:t xml:space="preserve"> Manure</w:t>
      </w:r>
      <w:r>
        <w:rPr>
          <w:b/>
          <w:bCs/>
        </w:rPr>
        <w:t xml:space="preserve"> Practices on </w:t>
      </w:r>
      <w:r>
        <w:rPr>
          <w:b/>
          <w:bCs/>
          <w:lang w:val="en-IN"/>
        </w:rPr>
        <w:t>yield and soil quality</w:t>
      </w:r>
      <w:r>
        <w:rPr>
          <w:b/>
          <w:bCs/>
        </w:rPr>
        <w:t xml:space="preserve"> in Intensive Rice Cultivation</w:t>
      </w:r>
      <w:r>
        <w:rPr>
          <w:b/>
          <w:bCs/>
          <w:lang w:val="en-IN"/>
        </w:rPr>
        <w:t xml:space="preserve"> on </w:t>
      </w:r>
      <w:proofErr w:type="spellStart"/>
      <w:r w:rsidRPr="00892F2C">
        <w:rPr>
          <w:b/>
          <w:bCs/>
          <w:i/>
          <w:iCs/>
          <w:lang w:val="en-IN"/>
        </w:rPr>
        <w:t>Inceptisol</w:t>
      </w:r>
      <w:proofErr w:type="spellEnd"/>
    </w:p>
    <w:p w14:paraId="14449FE2" w14:textId="77777777" w:rsidR="00D96ECE" w:rsidRDefault="00D96ECE"/>
    <w:p w14:paraId="656727A1" w14:textId="77777777" w:rsidR="00D96ECE" w:rsidRDefault="00D96ECE">
      <w:pPr>
        <w:spacing w:line="360" w:lineRule="auto"/>
      </w:pPr>
    </w:p>
    <w:p w14:paraId="4168348A" w14:textId="77777777" w:rsidR="00D96ECE" w:rsidRDefault="009565AE">
      <w:pPr>
        <w:spacing w:line="360" w:lineRule="auto"/>
        <w:jc w:val="both"/>
        <w:rPr>
          <w:b/>
          <w:bCs/>
          <w:color w:val="000000" w:themeColor="text1"/>
          <w:lang w:val="en-IN"/>
        </w:rPr>
      </w:pPr>
      <w:r>
        <w:rPr>
          <w:b/>
          <w:bCs/>
          <w:color w:val="000000" w:themeColor="text1"/>
          <w:lang w:val="en-IN"/>
        </w:rPr>
        <w:t>Abstract</w:t>
      </w:r>
    </w:p>
    <w:p w14:paraId="55B45EEF" w14:textId="5DB86AEA" w:rsidR="00D96ECE" w:rsidRDefault="009565AE">
      <w:pPr>
        <w:ind w:firstLine="720"/>
        <w:jc w:val="both"/>
        <w:rPr>
          <w:color w:val="000000" w:themeColor="text1"/>
          <w:lang w:val="en-IN"/>
        </w:rPr>
      </w:pPr>
      <w:r>
        <w:rPr>
          <w:color w:val="000000" w:themeColor="text1"/>
          <w:lang w:val="en-IN"/>
        </w:rPr>
        <w:t xml:space="preserve">A </w:t>
      </w:r>
      <w:proofErr w:type="gramStart"/>
      <w:r>
        <w:rPr>
          <w:color w:val="000000" w:themeColor="text1"/>
          <w:lang w:val="en-IN"/>
        </w:rPr>
        <w:t>19 year</w:t>
      </w:r>
      <w:r w:rsidR="007C7719">
        <w:rPr>
          <w:color w:val="000000" w:themeColor="text1"/>
          <w:lang w:val="en-IN"/>
        </w:rPr>
        <w:t xml:space="preserve"> </w:t>
      </w:r>
      <w:r>
        <w:rPr>
          <w:color w:val="000000" w:themeColor="text1"/>
          <w:lang w:val="en-IN"/>
        </w:rPr>
        <w:t>old</w:t>
      </w:r>
      <w:proofErr w:type="gramEnd"/>
      <w:r>
        <w:rPr>
          <w:color w:val="000000" w:themeColor="text1"/>
          <w:lang w:val="en-IN"/>
        </w:rPr>
        <w:t xml:space="preserve"> field experiment was conducted to systematically evaluate the long-term impacts of various combinations of chemical fertilizers and organic manures on the </w:t>
      </w:r>
      <w:r>
        <w:rPr>
          <w:lang w:val="en-IN"/>
        </w:rPr>
        <w:t xml:space="preserve">yield-related attributes, physical, chemical, biological </w:t>
      </w:r>
      <w:r w:rsidR="007C7719">
        <w:rPr>
          <w:lang w:val="en-IN"/>
        </w:rPr>
        <w:t>properties</w:t>
      </w:r>
      <w:r>
        <w:rPr>
          <w:lang w:val="en-IN"/>
        </w:rPr>
        <w:t xml:space="preserve"> </w:t>
      </w:r>
      <w:r w:rsidR="007C7719">
        <w:rPr>
          <w:lang w:val="en-IN"/>
        </w:rPr>
        <w:t xml:space="preserve">of </w:t>
      </w:r>
      <w:r>
        <w:rPr>
          <w:lang w:val="en-IN"/>
        </w:rPr>
        <w:t>post-harvest</w:t>
      </w:r>
      <w:r w:rsidR="007C7719">
        <w:rPr>
          <w:lang w:val="en-IN"/>
        </w:rPr>
        <w:t xml:space="preserve"> soil samples</w:t>
      </w:r>
      <w:r>
        <w:rPr>
          <w:lang w:val="en-IN"/>
        </w:rPr>
        <w:t>. The study implemented trea</w:t>
      </w:r>
      <w:r>
        <w:rPr>
          <w:color w:val="000000" w:themeColor="text1"/>
          <w:lang w:val="en-IN"/>
        </w:rPr>
        <w:t>tments comprising graded doses of NPK fertilizers, farmyard manure (FYM), supplemental zinc, sole N or P applications, control and fallow. Results unequivocally demonstrated that FYM, especially in conjunction with recommended 100% NPK (NPK+FYM) imparted profound improvements in soil health indicators compared to control and sole chemical treatments. The lowest bulk density (1.32 Mg m</w:t>
      </w:r>
      <w:r>
        <w:rPr>
          <w:color w:val="000000" w:themeColor="text1"/>
          <w:vertAlign w:val="superscript"/>
          <w:lang w:val="en-IN"/>
        </w:rPr>
        <w:t>-3</w:t>
      </w:r>
      <w:r>
        <w:rPr>
          <w:color w:val="000000" w:themeColor="text1"/>
          <w:lang w:val="en-IN"/>
        </w:rPr>
        <w:t>) and highest pore space (50.22%) were achieved with FYM, reflecting a well-aerated, low-compaction soil structure ideal for root development. Organic carbon (OC%) peaked at 1.18% under sole FYM application treatment and remaining available nitrogen (189 kg ha</w:t>
      </w:r>
      <w:bookmarkStart w:id="0" w:name="_Hlk208052027"/>
      <w:r>
        <w:rPr>
          <w:color w:val="000000" w:themeColor="text1"/>
          <w:vertAlign w:val="superscript"/>
          <w:lang w:val="en-IN"/>
        </w:rPr>
        <w:t>⁻1</w:t>
      </w:r>
      <w:bookmarkEnd w:id="0"/>
      <w:r>
        <w:rPr>
          <w:color w:val="000000" w:themeColor="text1"/>
          <w:lang w:val="en-IN"/>
        </w:rPr>
        <w:t>), phosphorus (35.43 kg ha</w:t>
      </w:r>
      <w:r>
        <w:rPr>
          <w:color w:val="000000" w:themeColor="text1"/>
          <w:vertAlign w:val="superscript"/>
          <w:lang w:val="en-IN"/>
        </w:rPr>
        <w:t>⁻1</w:t>
      </w:r>
      <w:r>
        <w:rPr>
          <w:color w:val="000000" w:themeColor="text1"/>
          <w:lang w:val="en-IN"/>
        </w:rPr>
        <w:t>) and potassium (422 kg ha</w:t>
      </w:r>
      <w:r>
        <w:rPr>
          <w:color w:val="000000" w:themeColor="text1"/>
          <w:vertAlign w:val="superscript"/>
          <w:lang w:val="en-IN"/>
        </w:rPr>
        <w:t>⁻1</w:t>
      </w:r>
      <w:r>
        <w:rPr>
          <w:color w:val="000000" w:themeColor="text1"/>
          <w:lang w:val="en-IN"/>
        </w:rPr>
        <w:t>) and Micronutrients such as Fe (18.8 ppm), Mn (9.54 ppm), Cu (2.61 ppm), and Zn (2.58 ppm) were also elevated in 100% NPK+FYM treatments, supporting both crop nutrition and soil microbial function. Biological health was best under FYM treatment with dehydrogenase activity (4.21 µg TPF g</w:t>
      </w:r>
      <w:r>
        <w:rPr>
          <w:color w:val="000000" w:themeColor="text1"/>
          <w:vertAlign w:val="superscript"/>
          <w:lang w:val="en-IN"/>
        </w:rPr>
        <w:t>⁻1</w:t>
      </w:r>
      <w:r>
        <w:rPr>
          <w:color w:val="000000" w:themeColor="text1"/>
          <w:lang w:val="en-IN"/>
        </w:rPr>
        <w:t xml:space="preserve"> day</w:t>
      </w:r>
      <w:r>
        <w:rPr>
          <w:color w:val="000000" w:themeColor="text1"/>
          <w:vertAlign w:val="superscript"/>
          <w:lang w:val="en-IN"/>
        </w:rPr>
        <w:t>⁻1</w:t>
      </w:r>
      <w:r>
        <w:rPr>
          <w:color w:val="000000" w:themeColor="text1"/>
          <w:lang w:val="en-IN"/>
        </w:rPr>
        <w:t xml:space="preserve">) and microbial counts peaking (bacterial counts 23.88 × 10⁶ </w:t>
      </w:r>
      <w:proofErr w:type="spellStart"/>
      <w:r>
        <w:rPr>
          <w:color w:val="000000" w:themeColor="text1"/>
          <w:lang w:val="en-IN"/>
        </w:rPr>
        <w:t>cfu</w:t>
      </w:r>
      <w:proofErr w:type="spellEnd"/>
      <w:r>
        <w:rPr>
          <w:color w:val="000000" w:themeColor="text1"/>
          <w:lang w:val="en-IN"/>
        </w:rPr>
        <w:t xml:space="preserve"> g</w:t>
      </w:r>
      <w:r>
        <w:rPr>
          <w:color w:val="000000" w:themeColor="text1"/>
          <w:vertAlign w:val="superscript"/>
          <w:lang w:val="en-IN"/>
        </w:rPr>
        <w:t>⁻1</w:t>
      </w:r>
      <w:r>
        <w:rPr>
          <w:color w:val="000000" w:themeColor="text1"/>
          <w:lang w:val="en-IN"/>
        </w:rPr>
        <w:t xml:space="preserve">, </w:t>
      </w:r>
      <w:proofErr w:type="spellStart"/>
      <w:r>
        <w:rPr>
          <w:color w:val="000000" w:themeColor="text1"/>
          <w:lang w:val="en-IN"/>
        </w:rPr>
        <w:t>Actinomycets</w:t>
      </w:r>
      <w:proofErr w:type="spellEnd"/>
      <w:r>
        <w:rPr>
          <w:color w:val="000000" w:themeColor="text1"/>
          <w:lang w:val="en-IN"/>
        </w:rPr>
        <w:t xml:space="preserve"> 6.21× 10</w:t>
      </w:r>
      <w:r>
        <w:rPr>
          <w:color w:val="000000" w:themeColor="text1"/>
          <w:vertAlign w:val="superscript"/>
          <w:lang w:val="en-IN"/>
        </w:rPr>
        <w:t>-4</w:t>
      </w:r>
      <w:r>
        <w:rPr>
          <w:color w:val="000000" w:themeColor="text1"/>
          <w:lang w:val="en-IN"/>
        </w:rPr>
        <w:t xml:space="preserve"> and Fungi counts 7.68 × 10</w:t>
      </w:r>
      <w:r>
        <w:rPr>
          <w:color w:val="000000" w:themeColor="text1"/>
          <w:vertAlign w:val="superscript"/>
          <w:lang w:val="en-IN"/>
        </w:rPr>
        <w:t>-3</w:t>
      </w:r>
      <w:r>
        <w:rPr>
          <w:color w:val="000000" w:themeColor="text1"/>
          <w:lang w:val="en-IN"/>
        </w:rPr>
        <w:t>), while the control consistently recorded the lowest values for all properties measured. These improvements translated directly into superior rice straw and biomass yields, consistently highest with the integrated 100% NPK+FYM regime. The study thus strongly recommends integrated nutrient management, especially the inclusion of FYM with balanced fertilization, as essential for sustaining soil quality, nutrient cycling and crop productivity in intensive Indian rice cropping systems. The findings are corroborated by recent multi-location long-term research across major rice-producing zones of India, highlighting the ecological and agronomic superiority of integrated fertilization for long-term agricultural sustainability.</w:t>
      </w:r>
    </w:p>
    <w:p w14:paraId="03AAD7A3" w14:textId="267A9A8C" w:rsidR="00D96ECE" w:rsidRDefault="009565AE">
      <w:pPr>
        <w:jc w:val="both"/>
        <w:rPr>
          <w:color w:val="000000" w:themeColor="text1"/>
          <w:lang w:val="en-IN"/>
        </w:rPr>
      </w:pPr>
      <w:r>
        <w:rPr>
          <w:b/>
          <w:bCs/>
          <w:color w:val="000000" w:themeColor="text1"/>
          <w:lang w:val="en-IN"/>
        </w:rPr>
        <w:t>Key words:</w:t>
      </w:r>
      <w:r>
        <w:rPr>
          <w:color w:val="000000" w:themeColor="text1"/>
          <w:lang w:val="en-IN"/>
        </w:rPr>
        <w:t xml:space="preserve"> NPK fertilizers, farmyard manure, Soil health indicators and integrated fertilization</w:t>
      </w:r>
    </w:p>
    <w:p w14:paraId="4887BC95" w14:textId="77777777" w:rsidR="0002422D" w:rsidRDefault="0002422D">
      <w:pPr>
        <w:jc w:val="both"/>
        <w:rPr>
          <w:color w:val="000000" w:themeColor="text1"/>
          <w:lang w:val="en-IN"/>
        </w:rPr>
      </w:pPr>
      <w:bookmarkStart w:id="1" w:name="_GoBack"/>
      <w:bookmarkEnd w:id="1"/>
    </w:p>
    <w:p w14:paraId="4C1F2F67" w14:textId="77777777" w:rsidR="00D96ECE" w:rsidRDefault="009565AE">
      <w:pPr>
        <w:jc w:val="both"/>
        <w:rPr>
          <w:b/>
          <w:bCs/>
          <w:color w:val="000000" w:themeColor="text1"/>
          <w:lang w:val="en-IN"/>
        </w:rPr>
      </w:pPr>
      <w:r>
        <w:rPr>
          <w:b/>
          <w:bCs/>
          <w:color w:val="000000" w:themeColor="text1"/>
          <w:lang w:val="en-IN"/>
        </w:rPr>
        <w:t>Introduction</w:t>
      </w:r>
    </w:p>
    <w:p w14:paraId="636A5C2E" w14:textId="77777777" w:rsidR="00D96ECE" w:rsidRDefault="009565AE">
      <w:pPr>
        <w:spacing w:line="360" w:lineRule="auto"/>
        <w:jc w:val="both"/>
        <w:rPr>
          <w:color w:val="000000" w:themeColor="text1"/>
          <w:lang w:val="en-IN"/>
        </w:rPr>
      </w:pPr>
      <w:r>
        <w:rPr>
          <w:color w:val="000000" w:themeColor="text1"/>
          <w:lang w:val="en-IN"/>
        </w:rPr>
        <w:tab/>
        <w:t>Soil fertility decline resulting from intensive mono-cropping and excessive reliance on chemical fertilizers is a well-documented challenge threatening the sustainability of India’s rice-based systems. Continuous application of chemical fertilizers alone has been shown to degrade soil structure, reduce soil organic carbon (SOC), deplete macro and micronutrient reserves and suppress beneficial microbial activity, ultimately impacting both yield and long-term productivity. Several long-term field experiments from India’s Indo-Gangetic plains and other major rice-producing regions report that such fertilizer-centric approaches reduce key biological functions such as enzymatic activity and microbial biomass and can even decrease the bioavailability of essential nutrients like zinc, iron and organic phosphorus over time (</w:t>
      </w:r>
      <w:proofErr w:type="spellStart"/>
      <w:r>
        <w:rPr>
          <w:color w:val="000000" w:themeColor="text1"/>
          <w:lang w:val="en-IN"/>
        </w:rPr>
        <w:t>Kurumvanshi</w:t>
      </w:r>
      <w:proofErr w:type="spellEnd"/>
      <w:r>
        <w:rPr>
          <w:color w:val="000000" w:themeColor="text1"/>
          <w:lang w:val="en-IN"/>
        </w:rPr>
        <w:t xml:space="preserve"> </w:t>
      </w:r>
      <w:r>
        <w:rPr>
          <w:i/>
          <w:iCs/>
          <w:color w:val="000000" w:themeColor="text1"/>
          <w:lang w:val="en-IN"/>
        </w:rPr>
        <w:t>et al.,</w:t>
      </w:r>
      <w:r>
        <w:rPr>
          <w:color w:val="000000" w:themeColor="text1"/>
          <w:lang w:val="en-IN"/>
        </w:rPr>
        <w:t xml:space="preserve"> 2018; Kumar </w:t>
      </w:r>
      <w:r>
        <w:rPr>
          <w:i/>
          <w:iCs/>
          <w:color w:val="000000" w:themeColor="text1"/>
          <w:lang w:val="en-IN"/>
        </w:rPr>
        <w:t>et al.,</w:t>
      </w:r>
      <w:r>
        <w:rPr>
          <w:color w:val="000000" w:themeColor="text1"/>
          <w:lang w:val="en-IN"/>
        </w:rPr>
        <w:t xml:space="preserve"> 2001 and Devi </w:t>
      </w:r>
      <w:r>
        <w:rPr>
          <w:i/>
          <w:iCs/>
          <w:color w:val="000000" w:themeColor="text1"/>
          <w:lang w:val="en-IN"/>
        </w:rPr>
        <w:t>et al.,</w:t>
      </w:r>
      <w:r>
        <w:rPr>
          <w:color w:val="000000" w:themeColor="text1"/>
          <w:lang w:val="en-IN"/>
        </w:rPr>
        <w:t xml:space="preserve"> 2025). Conversely, integrating organic amendments, such as farmyard manure (FYM), crop residues and biofertilizers, with </w:t>
      </w:r>
      <w:r>
        <w:rPr>
          <w:color w:val="000000" w:themeColor="text1"/>
          <w:lang w:val="en-IN"/>
        </w:rPr>
        <w:lastRenderedPageBreak/>
        <w:t xml:space="preserve">inorganic fertilizer sources has emerged as the most effective strategy to address multi-dimensional soil degradation. Integrated nutrient management (INM) not only sustains or increases crop yields but also improves soil aggregation, enhances SOC content and boosts enzymatic and microbial activities essential for nutrient cycling and soil health (Dhaliwal </w:t>
      </w:r>
      <w:r>
        <w:rPr>
          <w:i/>
          <w:iCs/>
          <w:color w:val="000000" w:themeColor="text1"/>
          <w:lang w:val="en-IN"/>
        </w:rPr>
        <w:t>et al.,</w:t>
      </w:r>
      <w:r>
        <w:rPr>
          <w:color w:val="000000" w:themeColor="text1"/>
          <w:lang w:val="en-IN"/>
        </w:rPr>
        <w:t xml:space="preserve"> 2023; Kumawat </w:t>
      </w:r>
      <w:r>
        <w:rPr>
          <w:i/>
          <w:iCs/>
          <w:color w:val="000000" w:themeColor="text1"/>
          <w:lang w:val="en-IN"/>
        </w:rPr>
        <w:t>et al.,</w:t>
      </w:r>
      <w:r>
        <w:rPr>
          <w:color w:val="000000" w:themeColor="text1"/>
          <w:lang w:val="en-IN"/>
        </w:rPr>
        <w:t xml:space="preserve"> 2023). For instance, Biswas </w:t>
      </w:r>
      <w:r>
        <w:rPr>
          <w:i/>
          <w:iCs/>
          <w:color w:val="000000" w:themeColor="text1"/>
          <w:lang w:val="en-IN"/>
        </w:rPr>
        <w:t>et al.</w:t>
      </w:r>
      <w:r>
        <w:rPr>
          <w:color w:val="000000" w:themeColor="text1"/>
          <w:lang w:val="en-IN"/>
        </w:rPr>
        <w:t xml:space="preserve"> (2023) demonstrated that 34 years of combined NPK and FYM application led to over 50% higher SOC, improved micronutrient availability, increased key enzyme activities and higher soil quality indices compared to sole chemical fertilization. Biofertilizers and INM practices have also shown to increase rice yield by 15–20% while conserving soil nutrient reserves and reducing environmental pollution. Thus, this study aims to quantify the effects of continuous fertilizer and manure use under long-term rice cultivation in India specifically evaluating changes in soil health indicators, biological activity, micronutrient availability and yield performance. The findings will help identify sustainable nutrient management strategies suited to the region’s intensive rice systems and support recommendations for maintaining productivity and ecological balance in Indian agriculture.</w:t>
      </w:r>
    </w:p>
    <w:p w14:paraId="025F41C8" w14:textId="77777777" w:rsidR="00D96ECE" w:rsidRDefault="00D96ECE">
      <w:pPr>
        <w:spacing w:line="360" w:lineRule="auto"/>
        <w:jc w:val="both"/>
        <w:rPr>
          <w:b/>
          <w:bCs/>
          <w:color w:val="000000" w:themeColor="text1"/>
          <w:lang w:val="en-IN"/>
        </w:rPr>
      </w:pPr>
    </w:p>
    <w:p w14:paraId="1B6B4CCE" w14:textId="77777777" w:rsidR="00D96ECE" w:rsidRDefault="009565AE">
      <w:pPr>
        <w:spacing w:line="360" w:lineRule="auto"/>
        <w:jc w:val="both"/>
        <w:rPr>
          <w:b/>
          <w:bCs/>
          <w:color w:val="000000" w:themeColor="text1"/>
          <w:lang w:val="en-IN"/>
        </w:rPr>
      </w:pPr>
      <w:r>
        <w:rPr>
          <w:b/>
          <w:bCs/>
          <w:color w:val="000000" w:themeColor="text1"/>
          <w:lang w:val="en-IN"/>
        </w:rPr>
        <w:t>Materials and Methods</w:t>
      </w:r>
    </w:p>
    <w:p w14:paraId="7E6E48AF" w14:textId="77777777" w:rsidR="00D96ECE" w:rsidRDefault="009565AE">
      <w:pPr>
        <w:spacing w:line="360" w:lineRule="auto"/>
        <w:jc w:val="both"/>
        <w:rPr>
          <w:b/>
          <w:bCs/>
          <w:color w:val="000000" w:themeColor="text1"/>
          <w:lang w:val="en-IN"/>
        </w:rPr>
      </w:pPr>
      <w:r>
        <w:rPr>
          <w:b/>
          <w:bCs/>
          <w:color w:val="000000" w:themeColor="text1"/>
          <w:lang w:val="en-IN"/>
        </w:rPr>
        <w:t>Experimental Design and Treatments</w:t>
      </w:r>
    </w:p>
    <w:p w14:paraId="67E76E36" w14:textId="77777777" w:rsidR="00D96ECE" w:rsidRDefault="009565AE">
      <w:pPr>
        <w:spacing w:line="360" w:lineRule="auto"/>
        <w:jc w:val="both"/>
        <w:rPr>
          <w:color w:val="000000" w:themeColor="text1"/>
          <w:lang w:val="en-IN"/>
        </w:rPr>
      </w:pPr>
      <w:r>
        <w:rPr>
          <w:color w:val="000000" w:themeColor="text1"/>
          <w:lang w:val="en-IN"/>
        </w:rPr>
        <w:tab/>
        <w:t xml:space="preserve">The experiment was laid out on permanent basis in clay soil at Regional Agricultural Research Station, </w:t>
      </w:r>
      <w:proofErr w:type="spellStart"/>
      <w:r>
        <w:rPr>
          <w:color w:val="000000" w:themeColor="text1"/>
          <w:lang w:val="en-IN"/>
        </w:rPr>
        <w:t>Polasa</w:t>
      </w:r>
      <w:proofErr w:type="spellEnd"/>
      <w:r>
        <w:rPr>
          <w:color w:val="000000" w:themeColor="text1"/>
          <w:lang w:val="en-IN"/>
        </w:rPr>
        <w:t xml:space="preserve">, </w:t>
      </w:r>
      <w:proofErr w:type="spellStart"/>
      <w:r>
        <w:rPr>
          <w:color w:val="000000" w:themeColor="text1"/>
          <w:lang w:val="en-IN"/>
        </w:rPr>
        <w:t>Jagtial</w:t>
      </w:r>
      <w:proofErr w:type="spellEnd"/>
      <w:r>
        <w:rPr>
          <w:color w:val="000000" w:themeColor="text1"/>
          <w:lang w:val="en-IN"/>
        </w:rPr>
        <w:t>, PJTAU. The study was conducted over 19 years following a randomized block design (RBD) to evaluate the long-term effects of nutrient management on soil health and productivity in rice-based cropping systems. Treatments included varying doses of nitrogen (N), phosphorus (P) and potassium (K) fertilizers (NPK), farmyard manure (FYM), combinations with hand weeding (HW), zinc (Zn) supplementation and unfertilized controls. Multiple replications per treatment ensured statistical reliability.</w:t>
      </w:r>
    </w:p>
    <w:p w14:paraId="347C0B93" w14:textId="77777777" w:rsidR="00D96ECE" w:rsidRDefault="00D96ECE">
      <w:pPr>
        <w:spacing w:line="360" w:lineRule="auto"/>
        <w:jc w:val="both"/>
        <w:rPr>
          <w:color w:val="000000" w:themeColor="text1"/>
          <w:lang w:val="en-IN"/>
        </w:rPr>
      </w:pPr>
    </w:p>
    <w:p w14:paraId="15D4C6D8" w14:textId="77777777" w:rsidR="00D96ECE" w:rsidRDefault="00D96ECE">
      <w:pPr>
        <w:spacing w:line="360" w:lineRule="auto"/>
        <w:jc w:val="both"/>
        <w:rPr>
          <w:color w:val="000000" w:themeColor="text1"/>
          <w:lang w:val="en-IN"/>
        </w:rPr>
      </w:pPr>
    </w:p>
    <w:p w14:paraId="1EDD080A" w14:textId="77777777" w:rsidR="00D96ECE" w:rsidRDefault="009565AE">
      <w:pPr>
        <w:spacing w:line="360" w:lineRule="auto"/>
        <w:jc w:val="both"/>
        <w:rPr>
          <w:b/>
          <w:bCs/>
          <w:color w:val="000000" w:themeColor="text1"/>
          <w:lang w:val="en-IN"/>
        </w:rPr>
      </w:pPr>
      <w:r>
        <w:rPr>
          <w:b/>
          <w:bCs/>
          <w:color w:val="000000" w:themeColor="text1"/>
          <w:lang w:val="en-IN"/>
        </w:rPr>
        <w:t>Soil Sampling and Analysis</w:t>
      </w:r>
    </w:p>
    <w:p w14:paraId="208A2A9F" w14:textId="6D5E0FF9" w:rsidR="00D96ECE" w:rsidRDefault="009565AE">
      <w:pPr>
        <w:spacing w:line="360" w:lineRule="auto"/>
        <w:ind w:firstLine="720"/>
        <w:jc w:val="both"/>
        <w:rPr>
          <w:color w:val="000000" w:themeColor="text1"/>
          <w:lang w:val="en-IN"/>
        </w:rPr>
      </w:pPr>
      <w:r>
        <w:rPr>
          <w:color w:val="000000" w:themeColor="text1"/>
          <w:lang w:val="en-IN"/>
        </w:rPr>
        <w:t xml:space="preserve">Post-harvest soil samples were collected from the 0–15 cm depth annually for </w:t>
      </w:r>
      <w:r>
        <w:rPr>
          <w:i/>
          <w:iCs/>
          <w:color w:val="000000" w:themeColor="text1"/>
          <w:lang w:val="en-IN"/>
        </w:rPr>
        <w:t>rabi</w:t>
      </w:r>
      <w:r>
        <w:rPr>
          <w:color w:val="000000" w:themeColor="text1"/>
          <w:lang w:val="en-IN"/>
        </w:rPr>
        <w:t xml:space="preserve">. </w:t>
      </w:r>
      <w:r>
        <w:rPr>
          <w:b/>
          <w:bCs/>
          <w:color w:val="000000" w:themeColor="text1"/>
          <w:lang w:val="en-IN"/>
        </w:rPr>
        <w:t>Composite samples were analysed for</w:t>
      </w:r>
      <w:r w:rsidR="007C7719">
        <w:rPr>
          <w:b/>
          <w:bCs/>
          <w:color w:val="000000" w:themeColor="text1"/>
          <w:lang w:val="en-IN"/>
        </w:rPr>
        <w:t>:</w:t>
      </w:r>
    </w:p>
    <w:p w14:paraId="6F91D812" w14:textId="77777777" w:rsidR="00D96ECE" w:rsidRDefault="009565AE">
      <w:pPr>
        <w:spacing w:line="360" w:lineRule="auto"/>
        <w:ind w:firstLine="720"/>
        <w:jc w:val="both"/>
        <w:rPr>
          <w:color w:val="000000" w:themeColor="text1"/>
          <w:lang w:val="en-IN"/>
        </w:rPr>
      </w:pPr>
      <w:r>
        <w:rPr>
          <w:color w:val="000000" w:themeColor="text1"/>
          <w:lang w:val="en-IN"/>
        </w:rPr>
        <w:t>Physical properties</w:t>
      </w:r>
      <w:r>
        <w:rPr>
          <w:b/>
          <w:bCs/>
          <w:color w:val="000000" w:themeColor="text1"/>
          <w:lang w:val="en-IN"/>
        </w:rPr>
        <w:t>:</w:t>
      </w:r>
      <w:r>
        <w:rPr>
          <w:color w:val="000000" w:themeColor="text1"/>
          <w:lang w:val="en-IN"/>
        </w:rPr>
        <w:t> Bulk density (</w:t>
      </w:r>
      <w:r>
        <w:t>Dastane, 1967)</w:t>
      </w:r>
      <w:r>
        <w:rPr>
          <w:color w:val="000000" w:themeColor="text1"/>
          <w:lang w:val="en-IN"/>
        </w:rPr>
        <w:t xml:space="preserve"> and pore space </w:t>
      </w:r>
      <w:r>
        <w:t>(calculated from bulk and particle density)</w:t>
      </w:r>
      <w:r>
        <w:rPr>
          <w:color w:val="000000" w:themeColor="text1"/>
          <w:lang w:val="en-IN"/>
        </w:rPr>
        <w:t xml:space="preserve"> measured using core samples to evaluate soil compaction and aeration status.</w:t>
      </w:r>
    </w:p>
    <w:p w14:paraId="491B213A" w14:textId="77777777" w:rsidR="00D96ECE" w:rsidRDefault="009565AE">
      <w:pPr>
        <w:spacing w:line="360" w:lineRule="auto"/>
        <w:ind w:firstLine="720"/>
        <w:jc w:val="both"/>
        <w:rPr>
          <w:color w:val="000000" w:themeColor="text1"/>
          <w:lang w:val="en-IN"/>
        </w:rPr>
      </w:pPr>
      <w:r>
        <w:rPr>
          <w:color w:val="000000" w:themeColor="text1"/>
          <w:lang w:val="en-IN"/>
        </w:rPr>
        <w:lastRenderedPageBreak/>
        <w:t>Chemical properties</w:t>
      </w:r>
      <w:r>
        <w:rPr>
          <w:b/>
          <w:bCs/>
          <w:color w:val="000000" w:themeColor="text1"/>
          <w:lang w:val="en-IN"/>
        </w:rPr>
        <w:t>:</w:t>
      </w:r>
      <w:r>
        <w:rPr>
          <w:color w:val="000000" w:themeColor="text1"/>
          <w:lang w:val="en-IN"/>
        </w:rPr>
        <w:t xml:space="preserve"> Standard methods were employed for soil pH and electrical conductivity (EC) </w:t>
      </w:r>
      <w:r>
        <w:t xml:space="preserve">(1:2.5 soil: water suspension, Jackson,1973) </w:t>
      </w:r>
      <w:r>
        <w:rPr>
          <w:color w:val="000000" w:themeColor="text1"/>
          <w:lang w:val="en-IN"/>
        </w:rPr>
        <w:t xml:space="preserve">using soil-water suspensions; soil organic carbon (SOC) was determined by the Walkley-Black method as described by Piper(1966); available macronutrients (N, P and K) by Kjeldahl digestion </w:t>
      </w:r>
      <w:r>
        <w:t xml:space="preserve">(alkaline </w:t>
      </w:r>
      <w:proofErr w:type="spellStart"/>
      <w:r>
        <w:t>KMnO</w:t>
      </w:r>
      <w:proofErr w:type="spellEnd"/>
      <w:r>
        <w:t>₄ method, Subbiah and Asija,</w:t>
      </w:r>
      <w:r>
        <w:rPr>
          <w:lang w:val="en-IN"/>
        </w:rPr>
        <w:t xml:space="preserve"> </w:t>
      </w:r>
      <w:r>
        <w:t>1956)</w:t>
      </w:r>
      <w:r>
        <w:rPr>
          <w:color w:val="000000" w:themeColor="text1"/>
          <w:lang w:val="en-IN"/>
        </w:rPr>
        <w:t xml:space="preserve">, Olsen’s </w:t>
      </w:r>
      <w:r>
        <w:t xml:space="preserve">(Olsen </w:t>
      </w:r>
      <w:r>
        <w:rPr>
          <w:i/>
          <w:iCs/>
        </w:rPr>
        <w:t>et al.,</w:t>
      </w:r>
      <w:r>
        <w:t xml:space="preserve">1954) and </w:t>
      </w:r>
      <w:r>
        <w:rPr>
          <w:color w:val="000000" w:themeColor="text1"/>
          <w:lang w:val="en-IN"/>
        </w:rPr>
        <w:t xml:space="preserve"> flame photometry methods </w:t>
      </w:r>
      <w:r>
        <w:t xml:space="preserve">(Flame photometer after ammonium acetate extraction method, Jackson, 1973) </w:t>
      </w:r>
      <w:r>
        <w:rPr>
          <w:color w:val="000000" w:themeColor="text1"/>
          <w:lang w:val="en-IN"/>
        </w:rPr>
        <w:t>micronutrients (Fe, Mn, Cu and Zn) were extracted using diethylenetriaminepentaacetic acid (DTPA) and quantified by atomic absorption spectroscopy (Lindsay and Norwell,1978).</w:t>
      </w:r>
    </w:p>
    <w:p w14:paraId="30D67D1F" w14:textId="0391016A" w:rsidR="00D96ECE" w:rsidRDefault="009565AE">
      <w:pPr>
        <w:spacing w:line="360" w:lineRule="auto"/>
        <w:ind w:firstLine="720"/>
        <w:jc w:val="both"/>
        <w:rPr>
          <w:color w:val="000000" w:themeColor="text1"/>
          <w:lang w:val="en-IN"/>
        </w:rPr>
      </w:pPr>
      <w:r>
        <w:rPr>
          <w:color w:val="000000" w:themeColor="text1"/>
          <w:lang w:val="en-IN"/>
        </w:rPr>
        <w:t>Biological properties</w:t>
      </w:r>
      <w:r>
        <w:rPr>
          <w:b/>
          <w:bCs/>
          <w:color w:val="000000" w:themeColor="text1"/>
          <w:lang w:val="en-IN"/>
        </w:rPr>
        <w:t>:</w:t>
      </w:r>
      <w:r>
        <w:rPr>
          <w:color w:val="000000" w:themeColor="text1"/>
          <w:lang w:val="en-IN"/>
        </w:rPr>
        <w:t xml:space="preserve"> Dehydrogenase enzyme activity was assayed to gauge overall microbial activity (Cassida </w:t>
      </w:r>
      <w:r>
        <w:rPr>
          <w:i/>
          <w:iCs/>
          <w:color w:val="000000" w:themeColor="text1"/>
          <w:lang w:val="en-IN"/>
        </w:rPr>
        <w:t>et al.</w:t>
      </w:r>
      <w:r w:rsidR="00890450">
        <w:rPr>
          <w:i/>
          <w:iCs/>
          <w:color w:val="000000" w:themeColor="text1"/>
          <w:lang w:val="en-IN"/>
        </w:rPr>
        <w:t xml:space="preserve"> </w:t>
      </w:r>
      <w:r>
        <w:rPr>
          <w:color w:val="000000" w:themeColor="text1"/>
          <w:lang w:val="en-IN"/>
        </w:rPr>
        <w:t>(1964)); population densities of actinomycetes, fungi, and bacteria were estimated using serial dilution plating on selective media under controlled lab conditions (Ben-David and Davidson, 2014).</w:t>
      </w:r>
    </w:p>
    <w:p w14:paraId="2F8AD9F1" w14:textId="77777777" w:rsidR="00D96ECE" w:rsidRDefault="009565AE">
      <w:pPr>
        <w:spacing w:line="360" w:lineRule="auto"/>
        <w:ind w:firstLine="720"/>
        <w:jc w:val="both"/>
      </w:pPr>
      <w:r>
        <w:t>Statistical analysis was performed using ANOVA (</w:t>
      </w:r>
      <w:proofErr w:type="spellStart"/>
      <w:r>
        <w:t>Panse</w:t>
      </w:r>
      <w:proofErr w:type="spellEnd"/>
      <w:r>
        <w:t xml:space="preserve"> and </w:t>
      </w:r>
      <w:proofErr w:type="spellStart"/>
      <w:r>
        <w:t>Sukhatme</w:t>
      </w:r>
      <w:proofErr w:type="spellEnd"/>
      <w:r>
        <w:t>, 1978) at 5% significance level.</w:t>
      </w:r>
    </w:p>
    <w:p w14:paraId="7CD7B78E" w14:textId="4825A547" w:rsidR="00D96ECE" w:rsidRDefault="009565AE">
      <w:pPr>
        <w:spacing w:line="360" w:lineRule="auto"/>
        <w:ind w:firstLine="720"/>
        <w:jc w:val="both"/>
        <w:rPr>
          <w:b/>
          <w:bCs/>
          <w:color w:val="000000" w:themeColor="text1"/>
          <w:lang w:val="en-IN"/>
        </w:rPr>
      </w:pPr>
      <w:r>
        <w:rPr>
          <w:color w:val="000000" w:themeColor="text1"/>
          <w:lang w:val="en-IN"/>
        </w:rPr>
        <w:t>Crop Yield Measurement</w:t>
      </w:r>
      <w:r>
        <w:rPr>
          <w:b/>
          <w:bCs/>
          <w:color w:val="000000" w:themeColor="text1"/>
          <w:lang w:val="en-IN"/>
        </w:rPr>
        <w:t xml:space="preserve">: </w:t>
      </w:r>
      <w:r>
        <w:rPr>
          <w:color w:val="000000" w:themeColor="text1"/>
          <w:lang w:val="en-IN"/>
        </w:rPr>
        <w:t xml:space="preserve">Grain yields were recorded from a fixed area in each plot for </w:t>
      </w:r>
      <w:r w:rsidR="00BB7E82" w:rsidRPr="00BB7E82">
        <w:rPr>
          <w:i/>
          <w:iCs/>
          <w:color w:val="000000" w:themeColor="text1"/>
          <w:lang w:val="en-IN"/>
        </w:rPr>
        <w:t xml:space="preserve">kharif </w:t>
      </w:r>
      <w:r>
        <w:rPr>
          <w:color w:val="000000" w:themeColor="text1"/>
          <w:lang w:val="en-IN"/>
        </w:rPr>
        <w:t xml:space="preserve">and </w:t>
      </w:r>
      <w:r w:rsidR="00BB7E82">
        <w:rPr>
          <w:i/>
          <w:iCs/>
          <w:color w:val="000000" w:themeColor="text1"/>
          <w:lang w:val="en-IN"/>
        </w:rPr>
        <w:t>rabi</w:t>
      </w:r>
      <w:r w:rsidR="00BB7E82">
        <w:rPr>
          <w:color w:val="000000" w:themeColor="text1"/>
          <w:lang w:val="en-IN"/>
        </w:rPr>
        <w:t xml:space="preserve"> </w:t>
      </w:r>
      <w:r>
        <w:rPr>
          <w:color w:val="000000" w:themeColor="text1"/>
          <w:lang w:val="en-IN"/>
        </w:rPr>
        <w:t>seasons. Yield data were standardized to 14% moisture content and expressed as kg ha</w:t>
      </w:r>
      <w:r>
        <w:rPr>
          <w:color w:val="000000" w:themeColor="text1"/>
          <w:vertAlign w:val="superscript"/>
          <w:lang w:val="en-IN"/>
        </w:rPr>
        <w:t>-1</w:t>
      </w:r>
      <w:r>
        <w:rPr>
          <w:color w:val="000000" w:themeColor="text1"/>
          <w:lang w:val="en-IN"/>
        </w:rPr>
        <w:t xml:space="preserve"> to assess treatment impact on crop productivity.</w:t>
      </w:r>
    </w:p>
    <w:p w14:paraId="7AA9CDF3" w14:textId="77777777" w:rsidR="00D96ECE" w:rsidRDefault="00D96ECE">
      <w:pPr>
        <w:spacing w:line="360" w:lineRule="auto"/>
        <w:ind w:left="720"/>
        <w:jc w:val="both"/>
        <w:rPr>
          <w:color w:val="000000" w:themeColor="text1"/>
          <w:lang w:val="en-IN"/>
        </w:rPr>
      </w:pPr>
    </w:p>
    <w:p w14:paraId="5F4EDDC9" w14:textId="77777777" w:rsidR="00D96ECE" w:rsidRDefault="00D96ECE">
      <w:pPr>
        <w:spacing w:line="360" w:lineRule="auto"/>
        <w:ind w:left="720"/>
        <w:jc w:val="both"/>
        <w:rPr>
          <w:color w:val="000000" w:themeColor="text1"/>
          <w:lang w:val="en-IN"/>
        </w:rPr>
      </w:pPr>
    </w:p>
    <w:p w14:paraId="6F9F4142" w14:textId="77777777" w:rsidR="00D96ECE" w:rsidRDefault="00D96ECE">
      <w:pPr>
        <w:spacing w:line="360" w:lineRule="auto"/>
        <w:ind w:left="720"/>
        <w:jc w:val="both"/>
        <w:rPr>
          <w:color w:val="000000" w:themeColor="text1"/>
          <w:lang w:val="en-IN"/>
        </w:rPr>
      </w:pPr>
    </w:p>
    <w:p w14:paraId="4B9767A1" w14:textId="77777777" w:rsidR="00D96ECE" w:rsidRDefault="00D96ECE">
      <w:pPr>
        <w:spacing w:line="360" w:lineRule="auto"/>
        <w:ind w:left="720"/>
        <w:jc w:val="both"/>
        <w:rPr>
          <w:color w:val="000000" w:themeColor="text1"/>
          <w:lang w:val="en-IN"/>
        </w:rPr>
      </w:pPr>
    </w:p>
    <w:p w14:paraId="0A6F5FA3" w14:textId="77777777" w:rsidR="00D96ECE" w:rsidRDefault="00D96ECE">
      <w:pPr>
        <w:spacing w:line="360" w:lineRule="auto"/>
        <w:ind w:left="720"/>
        <w:jc w:val="both"/>
        <w:rPr>
          <w:color w:val="000000" w:themeColor="text1"/>
          <w:lang w:val="en-IN"/>
        </w:rPr>
      </w:pPr>
    </w:p>
    <w:p w14:paraId="6DB4A304" w14:textId="77777777" w:rsidR="00D96ECE" w:rsidRDefault="00D96ECE">
      <w:pPr>
        <w:spacing w:line="360" w:lineRule="auto"/>
        <w:ind w:left="720"/>
        <w:jc w:val="both"/>
        <w:rPr>
          <w:color w:val="000000" w:themeColor="text1"/>
          <w:lang w:val="en-IN"/>
        </w:rPr>
      </w:pPr>
    </w:p>
    <w:p w14:paraId="45DEB023" w14:textId="77777777" w:rsidR="00D96ECE" w:rsidRDefault="00D96ECE">
      <w:pPr>
        <w:spacing w:line="360" w:lineRule="auto"/>
        <w:ind w:left="720"/>
        <w:jc w:val="both"/>
        <w:rPr>
          <w:color w:val="000000" w:themeColor="text1"/>
          <w:lang w:val="en-IN"/>
        </w:rPr>
      </w:pPr>
    </w:p>
    <w:p w14:paraId="0B1806E9" w14:textId="77777777" w:rsidR="00D96ECE" w:rsidRDefault="00D96ECE">
      <w:pPr>
        <w:spacing w:line="360" w:lineRule="auto"/>
        <w:ind w:left="720"/>
        <w:jc w:val="both"/>
        <w:rPr>
          <w:color w:val="000000" w:themeColor="text1"/>
          <w:lang w:val="en-IN"/>
        </w:rPr>
      </w:pPr>
    </w:p>
    <w:p w14:paraId="33CDC41B" w14:textId="77777777" w:rsidR="00D96ECE" w:rsidRDefault="00D96ECE">
      <w:pPr>
        <w:spacing w:line="360" w:lineRule="auto"/>
        <w:ind w:left="720"/>
        <w:jc w:val="both"/>
        <w:rPr>
          <w:color w:val="000000" w:themeColor="text1"/>
          <w:lang w:val="en-IN"/>
        </w:rPr>
      </w:pPr>
    </w:p>
    <w:p w14:paraId="77E900C5" w14:textId="77777777" w:rsidR="00D96ECE" w:rsidRDefault="00D96ECE">
      <w:pPr>
        <w:spacing w:line="360" w:lineRule="auto"/>
        <w:jc w:val="both"/>
        <w:rPr>
          <w:color w:val="000000" w:themeColor="text1"/>
          <w:lang w:val="en-IN"/>
        </w:rPr>
      </w:pPr>
    </w:p>
    <w:p w14:paraId="28291FC6" w14:textId="77777777" w:rsidR="00D96ECE" w:rsidRDefault="00D96ECE">
      <w:pPr>
        <w:spacing w:line="360" w:lineRule="auto"/>
        <w:jc w:val="both"/>
        <w:rPr>
          <w:b/>
          <w:bCs/>
          <w:color w:val="000000" w:themeColor="text1"/>
          <w:lang w:val="en-IN"/>
        </w:rPr>
      </w:pPr>
    </w:p>
    <w:p w14:paraId="4CB4BC55" w14:textId="77777777" w:rsidR="00D96ECE" w:rsidRDefault="009565AE">
      <w:pPr>
        <w:spacing w:line="360" w:lineRule="auto"/>
        <w:jc w:val="both"/>
        <w:rPr>
          <w:b/>
          <w:bCs/>
          <w:color w:val="000000" w:themeColor="text1"/>
          <w:lang w:val="en-IN"/>
        </w:rPr>
      </w:pPr>
      <w:r>
        <w:rPr>
          <w:b/>
          <w:bCs/>
          <w:color w:val="000000" w:themeColor="text1"/>
          <w:lang w:val="en-IN"/>
        </w:rPr>
        <w:t>Results and discussion:</w:t>
      </w:r>
    </w:p>
    <w:p w14:paraId="618E89E2" w14:textId="307E56EC" w:rsidR="003D4FAF" w:rsidRPr="00F84CEA" w:rsidRDefault="00892F2C" w:rsidP="00892F2C">
      <w:pPr>
        <w:spacing w:line="360" w:lineRule="auto"/>
        <w:jc w:val="both"/>
        <w:rPr>
          <w:lang w:val="en-IN"/>
        </w:rPr>
      </w:pPr>
      <w:r>
        <w:rPr>
          <w:color w:val="00B050"/>
          <w:lang w:val="en-IN"/>
        </w:rPr>
        <w:tab/>
      </w:r>
      <w:r w:rsidR="003D4FAF" w:rsidRPr="00F84CEA">
        <w:rPr>
          <w:lang w:val="en-IN"/>
        </w:rPr>
        <w:t>The 19 years of long-term fertilizer and manure application (</w:t>
      </w:r>
      <w:r w:rsidRPr="00F84CEA">
        <w:rPr>
          <w:lang w:val="en-IN"/>
        </w:rPr>
        <w:t>Table 1</w:t>
      </w:r>
      <w:r w:rsidR="003D4FAF" w:rsidRPr="00F84CEA">
        <w:rPr>
          <w:lang w:val="en-IN"/>
        </w:rPr>
        <w:t>)</w:t>
      </w:r>
      <w:r w:rsidRPr="00F84CEA">
        <w:rPr>
          <w:lang w:val="en-IN"/>
        </w:rPr>
        <w:t xml:space="preserve"> shows a similar trend for straw yield and dry biomass production during both seasons, where 150% NPK and 100% NPK+FYM treatments recorded the highest straw yield and biomass production, further confirming the positive effects of balanced fertilization and organic amendments on crop </w:t>
      </w:r>
      <w:r w:rsidRPr="00F84CEA">
        <w:rPr>
          <w:lang w:val="en-IN"/>
        </w:rPr>
        <w:lastRenderedPageBreak/>
        <w:t>growth. FYM alone had better biomass outputs than control but was less effective than fertilizer combinations, indicating its beneficial but partial role in nutrient supply.</w:t>
      </w:r>
    </w:p>
    <w:p w14:paraId="4C12683D" w14:textId="344C8C3A" w:rsidR="00892F2C" w:rsidRPr="00F84CEA" w:rsidRDefault="003D4FAF" w:rsidP="00892F2C">
      <w:pPr>
        <w:spacing w:line="360" w:lineRule="auto"/>
        <w:jc w:val="both"/>
        <w:rPr>
          <w:lang w:val="en-IN"/>
        </w:rPr>
      </w:pPr>
      <w:r w:rsidRPr="00F84CEA">
        <w:rPr>
          <w:lang w:val="en-IN"/>
        </w:rPr>
        <w:tab/>
      </w:r>
      <w:r w:rsidR="00892F2C" w:rsidRPr="00F84CEA">
        <w:rPr>
          <w:lang w:val="en-IN"/>
        </w:rPr>
        <w:t>The results presented in table 2 show the significant response of rice grain yield to long-term application of fertilizers and manures under a rice-rice cropping system during rabi 2019-20 and kharif 2020. Grain yield was highest in the 150% NPK treatment (7257 kg ha</w:t>
      </w:r>
      <w:r w:rsidR="00892F2C" w:rsidRPr="00F84CEA">
        <w:rPr>
          <w:vertAlign w:val="superscript"/>
          <w:lang w:val="en-IN"/>
        </w:rPr>
        <w:t>-1</w:t>
      </w:r>
      <w:r w:rsidR="00892F2C" w:rsidRPr="00F84CEA">
        <w:rPr>
          <w:lang w:val="en-IN"/>
        </w:rPr>
        <w:t xml:space="preserve"> in rabi and 6631 kg ha</w:t>
      </w:r>
      <w:bookmarkStart w:id="2" w:name="_Hlk208066406"/>
      <w:r w:rsidR="00892F2C" w:rsidRPr="00F84CEA">
        <w:rPr>
          <w:vertAlign w:val="superscript"/>
          <w:lang w:val="en-IN"/>
        </w:rPr>
        <w:t>-1</w:t>
      </w:r>
      <w:r w:rsidR="00892F2C" w:rsidRPr="00F84CEA">
        <w:rPr>
          <w:lang w:val="en-IN"/>
        </w:rPr>
        <w:t xml:space="preserve"> </w:t>
      </w:r>
      <w:bookmarkEnd w:id="2"/>
      <w:r w:rsidR="00892F2C" w:rsidRPr="00F84CEA">
        <w:rPr>
          <w:lang w:val="en-IN"/>
        </w:rPr>
        <w:t>in kharif) closely followed by 100% NPK + Zn and 100% NP treatments. The lowest yield was observed in the sole 100% nitrogen treatment and the control, indicating the importance of balanced NPK fertilization and organic amendments in sustaining yield. Treatments combining fertilizers with farmyard manure (FYM) also showed high yields (6547 kg ha</w:t>
      </w:r>
      <w:r w:rsidR="00892F2C" w:rsidRPr="00F84CEA">
        <w:rPr>
          <w:vertAlign w:val="superscript"/>
          <w:lang w:val="en-IN"/>
        </w:rPr>
        <w:t>-1</w:t>
      </w:r>
      <w:r w:rsidR="00892F2C" w:rsidRPr="00F84CEA">
        <w:rPr>
          <w:lang w:val="en-IN"/>
        </w:rPr>
        <w:t xml:space="preserve"> in rabi and 6581 kg ha</w:t>
      </w:r>
      <w:r w:rsidR="00892F2C" w:rsidRPr="00F84CEA">
        <w:rPr>
          <w:vertAlign w:val="superscript"/>
          <w:lang w:val="en-IN"/>
        </w:rPr>
        <w:t>-1</w:t>
      </w:r>
      <w:r w:rsidR="00892F2C" w:rsidRPr="00F84CEA">
        <w:rPr>
          <w:lang w:val="en-IN"/>
        </w:rPr>
        <w:t xml:space="preserve"> in kharif), which were significantly greater than FYM alone or control, highlighting the supportive role of integrated nutrient management (INM) for crop productivity.</w:t>
      </w:r>
    </w:p>
    <w:p w14:paraId="2AF0D695" w14:textId="0F8EB6EC" w:rsidR="00892F2C" w:rsidRPr="00F84CEA" w:rsidRDefault="00892F2C" w:rsidP="00892F2C">
      <w:pPr>
        <w:spacing w:line="360" w:lineRule="auto"/>
        <w:jc w:val="both"/>
        <w:rPr>
          <w:lang w:val="en-IN"/>
        </w:rPr>
      </w:pPr>
      <w:r w:rsidRPr="00F84CEA">
        <w:rPr>
          <w:lang w:val="en-IN"/>
        </w:rPr>
        <w:tab/>
        <w:t xml:space="preserve">These results are consistent with multiple long-term studies that demonstrated increased rice yields and biomass with balanced application of NPK fertilizers along with organic amendments like FYM (Jiang </w:t>
      </w:r>
      <w:r w:rsidRPr="00F84CEA">
        <w:rPr>
          <w:i/>
          <w:iCs/>
          <w:lang w:val="en-IN"/>
        </w:rPr>
        <w:t>et al.,</w:t>
      </w:r>
      <w:r w:rsidRPr="00F84CEA">
        <w:rPr>
          <w:lang w:val="en-IN"/>
        </w:rPr>
        <w:t xml:space="preserve"> 2022). The combined use of fertilizers and manures not only improves nutrient supply but also enhances soil physicochemical properties such as organic carbon and microbial activity, leading to better nutrient uptake and crop growth (Dhaliwal </w:t>
      </w:r>
      <w:r w:rsidRPr="00F84CEA">
        <w:rPr>
          <w:i/>
          <w:iCs/>
          <w:lang w:val="en-IN"/>
        </w:rPr>
        <w:t>et al</w:t>
      </w:r>
      <w:r w:rsidRPr="00F84CEA">
        <w:rPr>
          <w:lang w:val="en-IN"/>
        </w:rPr>
        <w:t xml:space="preserve">., 2023; Biswas </w:t>
      </w:r>
      <w:r w:rsidRPr="00F84CEA">
        <w:rPr>
          <w:i/>
          <w:iCs/>
          <w:lang w:val="en-IN"/>
        </w:rPr>
        <w:t>et al.,</w:t>
      </w:r>
      <w:r w:rsidRPr="00F84CEA">
        <w:rPr>
          <w:lang w:val="en-IN"/>
        </w:rPr>
        <w:t xml:space="preserve"> 2023).</w:t>
      </w:r>
    </w:p>
    <w:p w14:paraId="0130F8CF" w14:textId="5C2278C5" w:rsidR="00892F2C" w:rsidRPr="00F84CEA" w:rsidRDefault="00892F2C">
      <w:pPr>
        <w:spacing w:line="360" w:lineRule="auto"/>
        <w:jc w:val="both"/>
        <w:rPr>
          <w:lang w:val="en-IN"/>
        </w:rPr>
      </w:pPr>
      <w:r w:rsidRPr="00F84CEA">
        <w:rPr>
          <w:lang w:val="en-IN"/>
        </w:rPr>
        <w:tab/>
        <w:t xml:space="preserve">Moreover, higher yields under 150% NPK indicate that increased nutrient availability can further boost production but raises concerns about long-term sustainability and environmental impacts, suggesting that integration with organic sources is a more balanced approach to achieve both productivity and soil health (Gao </w:t>
      </w:r>
      <w:r w:rsidRPr="00F84CEA">
        <w:rPr>
          <w:i/>
          <w:iCs/>
          <w:lang w:val="en-IN"/>
        </w:rPr>
        <w:t>et al.,</w:t>
      </w:r>
      <w:r w:rsidRPr="00F84CEA">
        <w:rPr>
          <w:lang w:val="en-IN"/>
        </w:rPr>
        <w:t xml:space="preserve"> 2023).</w:t>
      </w:r>
      <w:r w:rsidR="009565AE" w:rsidRPr="00F84CEA">
        <w:rPr>
          <w:lang w:val="en-IN"/>
        </w:rPr>
        <w:tab/>
      </w:r>
    </w:p>
    <w:p w14:paraId="4CA9D4B5" w14:textId="5F126C88" w:rsidR="00D96ECE" w:rsidRDefault="00892F2C">
      <w:pPr>
        <w:spacing w:line="360" w:lineRule="auto"/>
        <w:jc w:val="both"/>
        <w:rPr>
          <w:color w:val="000000" w:themeColor="text1"/>
          <w:lang w:val="en-IN"/>
        </w:rPr>
      </w:pPr>
      <w:r>
        <w:rPr>
          <w:color w:val="000000" w:themeColor="text1"/>
          <w:lang w:val="en-IN"/>
        </w:rPr>
        <w:tab/>
      </w:r>
      <w:r w:rsidR="009565AE">
        <w:rPr>
          <w:color w:val="000000" w:themeColor="text1"/>
          <w:lang w:val="en-IN"/>
        </w:rPr>
        <w:t xml:space="preserve">The 19 years of long-term fertilizer and manure application had significant impacts on the soil physical properties of post-harvest soils of rice during the </w:t>
      </w:r>
      <w:r w:rsidR="009565AE">
        <w:rPr>
          <w:i/>
          <w:iCs/>
          <w:color w:val="000000" w:themeColor="text1"/>
          <w:lang w:val="en-IN"/>
        </w:rPr>
        <w:t>rabi</w:t>
      </w:r>
      <w:r w:rsidR="009565AE">
        <w:rPr>
          <w:color w:val="000000" w:themeColor="text1"/>
          <w:lang w:val="en-IN"/>
        </w:rPr>
        <w:t xml:space="preserve"> season of 2019-20. Among the treatments, the bulk density (BD) values varied considerably, with the lowest BD recorded in the farmyard manure (FYM) treatment (1.32 Mg m</w:t>
      </w:r>
      <w:r w:rsidR="009565AE">
        <w:rPr>
          <w:color w:val="000000" w:themeColor="text1"/>
          <w:vertAlign w:val="superscript"/>
          <w:lang w:val="en-IN"/>
        </w:rPr>
        <w:t>-3</w:t>
      </w:r>
      <w:r w:rsidR="009565AE">
        <w:rPr>
          <w:color w:val="000000" w:themeColor="text1"/>
          <w:lang w:val="en-IN"/>
        </w:rPr>
        <w:t>) and the highest in the 100% nitrogen (N) treatment (1.58 Mg m</w:t>
      </w:r>
      <w:r w:rsidR="009565AE">
        <w:rPr>
          <w:color w:val="000000" w:themeColor="text1"/>
          <w:vertAlign w:val="superscript"/>
          <w:lang w:val="en-IN"/>
        </w:rPr>
        <w:t>-3</w:t>
      </w:r>
      <w:r w:rsidR="009565AE">
        <w:rPr>
          <w:color w:val="000000" w:themeColor="text1"/>
          <w:lang w:val="en-IN"/>
        </w:rPr>
        <w:t xml:space="preserve">) </w:t>
      </w:r>
      <w:r w:rsidR="009565AE" w:rsidRPr="00DD0D36">
        <w:rPr>
          <w:lang w:val="en-IN"/>
        </w:rPr>
        <w:t xml:space="preserve">(Table </w:t>
      </w:r>
      <w:r w:rsidR="00DD0D36" w:rsidRPr="00DD0D36">
        <w:rPr>
          <w:lang w:val="en-IN"/>
        </w:rPr>
        <w:t>3</w:t>
      </w:r>
      <w:r w:rsidR="009565AE" w:rsidRPr="00DD0D36">
        <w:rPr>
          <w:lang w:val="en-IN"/>
        </w:rPr>
        <w:t xml:space="preserve">). </w:t>
      </w:r>
      <w:r w:rsidR="009565AE">
        <w:rPr>
          <w:color w:val="000000" w:themeColor="text1"/>
          <w:lang w:val="en-IN"/>
        </w:rPr>
        <w:t>Lower bulk density under FYM and combined 100% NPK+FYM treatments (1.35 Mg m</w:t>
      </w:r>
      <w:r w:rsidR="009565AE">
        <w:rPr>
          <w:color w:val="000000" w:themeColor="text1"/>
          <w:vertAlign w:val="superscript"/>
          <w:lang w:val="en-IN"/>
        </w:rPr>
        <w:t>-3</w:t>
      </w:r>
      <w:r w:rsidR="009565AE">
        <w:rPr>
          <w:color w:val="000000" w:themeColor="text1"/>
          <w:lang w:val="en-IN"/>
        </w:rPr>
        <w:t xml:space="preserve">) indicates improved soil aggregation and reduced compaction, which benefits root growth, water infiltration and aeration. This observation concurs with multiple long-term studies reporting decreased soil bulk density and improved structure with organic amendments like FYM, which enhances soil organic carbon and aggregation (Bhatt </w:t>
      </w:r>
      <w:r w:rsidR="009565AE">
        <w:rPr>
          <w:i/>
          <w:iCs/>
          <w:color w:val="000000" w:themeColor="text1"/>
          <w:lang w:val="en-IN"/>
        </w:rPr>
        <w:t>et al.,</w:t>
      </w:r>
      <w:r w:rsidR="009565AE">
        <w:rPr>
          <w:color w:val="000000" w:themeColor="text1"/>
          <w:lang w:val="en-IN"/>
        </w:rPr>
        <w:t xml:space="preserve"> 2017 and Ahlawat </w:t>
      </w:r>
      <w:r w:rsidR="009565AE">
        <w:rPr>
          <w:i/>
          <w:iCs/>
          <w:color w:val="000000" w:themeColor="text1"/>
          <w:lang w:val="en-IN"/>
        </w:rPr>
        <w:t>et al.,</w:t>
      </w:r>
      <w:r w:rsidR="009565AE">
        <w:rPr>
          <w:color w:val="000000" w:themeColor="text1"/>
          <w:lang w:val="en-IN"/>
        </w:rPr>
        <w:t xml:space="preserve"> 2023).</w:t>
      </w:r>
    </w:p>
    <w:p w14:paraId="2A51F6B4" w14:textId="77777777" w:rsidR="00D96ECE" w:rsidRDefault="009565AE">
      <w:pPr>
        <w:spacing w:line="360" w:lineRule="auto"/>
        <w:ind w:firstLine="720"/>
        <w:jc w:val="both"/>
        <w:rPr>
          <w:color w:val="000000" w:themeColor="text1"/>
          <w:lang w:val="en-IN"/>
        </w:rPr>
      </w:pPr>
      <w:r>
        <w:rPr>
          <w:color w:val="000000" w:themeColor="text1"/>
          <w:lang w:val="en-IN"/>
        </w:rPr>
        <w:t xml:space="preserve">Conversely, treatments relying solely on chemical fertilizers, particularly nitrogen, showed increased bulk density, likely due to organic matter depletion and less improvement in </w:t>
      </w:r>
      <w:r>
        <w:rPr>
          <w:color w:val="000000" w:themeColor="text1"/>
          <w:lang w:val="en-IN"/>
        </w:rPr>
        <w:lastRenderedPageBreak/>
        <w:t>soil aggregation (</w:t>
      </w:r>
      <w:proofErr w:type="spellStart"/>
      <w:r>
        <w:rPr>
          <w:color w:val="000000" w:themeColor="text1"/>
          <w:lang w:val="en-IN"/>
        </w:rPr>
        <w:t>Franzluebbers</w:t>
      </w:r>
      <w:proofErr w:type="spellEnd"/>
      <w:r>
        <w:rPr>
          <w:color w:val="000000" w:themeColor="text1"/>
          <w:lang w:val="en-IN"/>
        </w:rPr>
        <w:t>, 2002). This higher compaction can reduce porosity and limit root proliferation and water movement, negatively influencing soil health and crop productivity.</w:t>
      </w:r>
    </w:p>
    <w:p w14:paraId="25720DCA" w14:textId="7207BA93" w:rsidR="00D96ECE" w:rsidRDefault="009565AE">
      <w:pPr>
        <w:spacing w:line="360" w:lineRule="auto"/>
        <w:ind w:firstLine="720"/>
        <w:jc w:val="both"/>
        <w:rPr>
          <w:color w:val="000000" w:themeColor="text1"/>
          <w:lang w:val="en-IN"/>
        </w:rPr>
      </w:pPr>
      <w:r>
        <w:rPr>
          <w:color w:val="000000" w:themeColor="text1"/>
          <w:lang w:val="en-IN"/>
        </w:rPr>
        <w:t>Regarding pore space, the highest percentage was recorded in the FYM treatment (50.22%), closely followed by 100% NPK + FYM (49.16%) indicating superior soil porosity and better aeration and water retention capacity in these treatments (</w:t>
      </w:r>
      <w:r w:rsidRPr="00DD0D36">
        <w:rPr>
          <w:lang w:val="en-IN"/>
        </w:rPr>
        <w:t xml:space="preserve">Table </w:t>
      </w:r>
      <w:r w:rsidR="00DD0D36" w:rsidRPr="00DD0D36">
        <w:rPr>
          <w:lang w:val="en-IN"/>
        </w:rPr>
        <w:t>3</w:t>
      </w:r>
      <w:r>
        <w:rPr>
          <w:color w:val="000000" w:themeColor="text1"/>
          <w:lang w:val="en-IN"/>
        </w:rPr>
        <w:t xml:space="preserve">). Lower pore space values in control and partial fertilizer treatments suggest less favourable physical conditions. These findings align well with the established understanding that organic matter addition via farmyard manure or integrated nutrient management improves total porosity, water-holding capacity and soil stability (Rasool </w:t>
      </w:r>
      <w:r>
        <w:rPr>
          <w:i/>
          <w:iCs/>
          <w:color w:val="000000" w:themeColor="text1"/>
          <w:lang w:val="en-IN"/>
        </w:rPr>
        <w:t>et al.,</w:t>
      </w:r>
      <w:r>
        <w:rPr>
          <w:color w:val="000000" w:themeColor="text1"/>
          <w:lang w:val="en-IN"/>
        </w:rPr>
        <w:t xml:space="preserve"> 2007 and Kumawat </w:t>
      </w:r>
      <w:r>
        <w:rPr>
          <w:i/>
          <w:iCs/>
          <w:color w:val="000000" w:themeColor="text1"/>
          <w:lang w:val="en-IN"/>
        </w:rPr>
        <w:t>et al.,</w:t>
      </w:r>
      <w:r>
        <w:rPr>
          <w:color w:val="000000" w:themeColor="text1"/>
          <w:lang w:val="en-IN"/>
        </w:rPr>
        <w:t xml:space="preserve"> 2023).</w:t>
      </w:r>
    </w:p>
    <w:p w14:paraId="10633DE2" w14:textId="0F9E31F8" w:rsidR="00D96ECE" w:rsidRPr="00F84CEA" w:rsidRDefault="009565AE">
      <w:pPr>
        <w:spacing w:line="360" w:lineRule="auto"/>
        <w:jc w:val="both"/>
        <w:rPr>
          <w:color w:val="EE0000"/>
          <w:lang w:val="en-IN"/>
        </w:rPr>
      </w:pPr>
      <w:r>
        <w:rPr>
          <w:color w:val="000000" w:themeColor="text1"/>
          <w:lang w:val="en-IN"/>
        </w:rPr>
        <w:tab/>
        <w:t>The figure.1. illustrates the infiltration rates (mm h</w:t>
      </w:r>
      <w:r>
        <w:rPr>
          <w:color w:val="000000" w:themeColor="text1"/>
          <w:vertAlign w:val="superscript"/>
          <w:lang w:val="en-IN"/>
        </w:rPr>
        <w:t>-1</w:t>
      </w:r>
      <w:r>
        <w:rPr>
          <w:color w:val="000000" w:themeColor="text1"/>
          <w:lang w:val="en-IN"/>
        </w:rPr>
        <w:t>) for various fertilizer and manure treatments after 19 years of application in rice cropping systems. Clear differences in infiltration rates were observed across treatments, indicating the influence of long-term nutrient management on soil hydraulic properties.</w:t>
      </w:r>
    </w:p>
    <w:p w14:paraId="4A49BDF3" w14:textId="77777777" w:rsidR="00D96ECE" w:rsidRDefault="009565AE">
      <w:pPr>
        <w:spacing w:line="360" w:lineRule="auto"/>
        <w:jc w:val="both"/>
        <w:rPr>
          <w:color w:val="000000" w:themeColor="text1"/>
          <w:lang w:val="en-IN"/>
        </w:rPr>
      </w:pPr>
      <w:r>
        <w:rPr>
          <w:color w:val="000000" w:themeColor="text1"/>
          <w:lang w:val="en-IN"/>
        </w:rPr>
        <w:tab/>
        <w:t>The highest infiltration rate was recorded under the farmyard manure (FYM) treatment (9.3 mm h⁻¹), followed closely by the combined 100% NPK+FYM treatment (8.7 mm h</w:t>
      </w:r>
      <w:r>
        <w:rPr>
          <w:color w:val="000000" w:themeColor="text1"/>
          <w:vertAlign w:val="superscript"/>
          <w:lang w:val="en-IN"/>
        </w:rPr>
        <w:t>-1</w:t>
      </w:r>
      <w:r>
        <w:rPr>
          <w:color w:val="000000" w:themeColor="text1"/>
          <w:lang w:val="en-IN"/>
        </w:rPr>
        <w:t>) as compared to all other nutrient treatments. These treatments significantly improved infiltration compared to the control (5.7 mm h</w:t>
      </w:r>
      <w:r>
        <w:rPr>
          <w:color w:val="000000" w:themeColor="text1"/>
          <w:vertAlign w:val="superscript"/>
          <w:lang w:val="en-IN"/>
        </w:rPr>
        <w:t>-1</w:t>
      </w:r>
      <w:r>
        <w:rPr>
          <w:color w:val="000000" w:themeColor="text1"/>
          <w:lang w:val="en-IN"/>
        </w:rPr>
        <w:t>) and fallow (6.0 mm h</w:t>
      </w:r>
      <w:r>
        <w:rPr>
          <w:color w:val="000000" w:themeColor="text1"/>
          <w:vertAlign w:val="superscript"/>
          <w:lang w:val="en-IN"/>
        </w:rPr>
        <w:t>-1</w:t>
      </w:r>
      <w:r>
        <w:rPr>
          <w:color w:val="000000" w:themeColor="text1"/>
          <w:lang w:val="en-IN"/>
        </w:rPr>
        <w:t>) plots. This enhancement in infiltration is largely attributed to increased soil organic matter from FYM addition, which improves soil aggregation, pore connectivity and water holding capacity (</w:t>
      </w:r>
      <w:proofErr w:type="spellStart"/>
      <w:r>
        <w:rPr>
          <w:color w:val="000000" w:themeColor="text1"/>
          <w:lang w:val="en-IN"/>
        </w:rPr>
        <w:t>Franzluebbers</w:t>
      </w:r>
      <w:proofErr w:type="spellEnd"/>
      <w:r>
        <w:rPr>
          <w:color w:val="000000" w:themeColor="text1"/>
          <w:lang w:val="en-IN"/>
        </w:rPr>
        <w:t xml:space="preserve">, 2002 and </w:t>
      </w:r>
      <w:proofErr w:type="spellStart"/>
      <w:r>
        <w:rPr>
          <w:color w:val="000000" w:themeColor="text1"/>
          <w:lang w:val="en-IN"/>
        </w:rPr>
        <w:t>Kumawat</w:t>
      </w:r>
      <w:proofErr w:type="spellEnd"/>
      <w:r>
        <w:rPr>
          <w:color w:val="000000" w:themeColor="text1"/>
          <w:lang w:val="en-IN"/>
        </w:rPr>
        <w:t xml:space="preserve"> </w:t>
      </w:r>
      <w:r>
        <w:rPr>
          <w:i/>
          <w:iCs/>
          <w:color w:val="000000" w:themeColor="text1"/>
          <w:lang w:val="en-IN"/>
        </w:rPr>
        <w:t>et al.,</w:t>
      </w:r>
      <w:r>
        <w:rPr>
          <w:color w:val="000000" w:themeColor="text1"/>
          <w:lang w:val="en-IN"/>
        </w:rPr>
        <w:t xml:space="preserve"> 2023).</w:t>
      </w:r>
    </w:p>
    <w:p w14:paraId="5480BFCD" w14:textId="136D6A89" w:rsidR="00D96ECE" w:rsidRPr="00F84CEA" w:rsidRDefault="009565AE">
      <w:pPr>
        <w:spacing w:line="360" w:lineRule="auto"/>
        <w:jc w:val="both"/>
        <w:rPr>
          <w:color w:val="000000" w:themeColor="text1"/>
          <w:lang w:val="en-IN"/>
        </w:rPr>
      </w:pPr>
      <w:r>
        <w:rPr>
          <w:color w:val="000000" w:themeColor="text1"/>
          <w:lang w:val="en-IN"/>
        </w:rPr>
        <w:tab/>
        <w:t xml:space="preserve">Moderate infiltration rates were observed with 100% </w:t>
      </w:r>
      <w:proofErr w:type="spellStart"/>
      <w:r>
        <w:rPr>
          <w:color w:val="000000" w:themeColor="text1"/>
          <w:lang w:val="en-IN"/>
        </w:rPr>
        <w:t>NPK+Zn</w:t>
      </w:r>
      <w:proofErr w:type="spellEnd"/>
      <w:r>
        <w:rPr>
          <w:color w:val="000000" w:themeColor="text1"/>
          <w:lang w:val="en-IN"/>
        </w:rPr>
        <w:t xml:space="preserve">, 100% </w:t>
      </w:r>
      <w:proofErr w:type="spellStart"/>
      <w:r>
        <w:rPr>
          <w:color w:val="000000" w:themeColor="text1"/>
          <w:lang w:val="en-IN"/>
        </w:rPr>
        <w:t>NPK+</w:t>
      </w:r>
      <w:r w:rsidR="00DD0D36">
        <w:rPr>
          <w:color w:val="000000" w:themeColor="text1"/>
          <w:lang w:val="en-IN"/>
        </w:rPr>
        <w:t>H</w:t>
      </w:r>
      <w:r>
        <w:rPr>
          <w:color w:val="000000" w:themeColor="text1"/>
          <w:lang w:val="en-IN"/>
        </w:rPr>
        <w:t>and</w:t>
      </w:r>
      <w:proofErr w:type="spellEnd"/>
      <w:r>
        <w:rPr>
          <w:color w:val="000000" w:themeColor="text1"/>
          <w:lang w:val="en-IN"/>
        </w:rPr>
        <w:t xml:space="preserve"> weeding (HW) and balanced NPK treatments (7.5 to 8.3 mm h</w:t>
      </w:r>
      <w:r>
        <w:rPr>
          <w:color w:val="000000" w:themeColor="text1"/>
          <w:vertAlign w:val="superscript"/>
          <w:lang w:val="en-IN"/>
        </w:rPr>
        <w:t>-1</w:t>
      </w:r>
      <w:r>
        <w:rPr>
          <w:color w:val="000000" w:themeColor="text1"/>
          <w:lang w:val="en-IN"/>
        </w:rPr>
        <w:t>), suggesting that integration of micronutrients and organic substances also positively influence soil structure and hydraulic conductivity. In contrast, treatments relying solely on nitrogen or partial fertilizer applications exhibited the lowest infiltration rates (5.7 to 6.5 mm h</w:t>
      </w:r>
      <w:r>
        <w:rPr>
          <w:color w:val="000000" w:themeColor="text1"/>
          <w:vertAlign w:val="superscript"/>
          <w:lang w:val="en-IN"/>
        </w:rPr>
        <w:t>-1</w:t>
      </w:r>
      <w:r>
        <w:rPr>
          <w:color w:val="000000" w:themeColor="text1"/>
          <w:lang w:val="en-IN"/>
        </w:rPr>
        <w:t xml:space="preserve">), likely due to greater soil compaction and reduced macro porosity associated with organic matter depletion (Bhatt </w:t>
      </w:r>
      <w:r>
        <w:rPr>
          <w:i/>
          <w:iCs/>
          <w:color w:val="000000" w:themeColor="text1"/>
          <w:lang w:val="en-IN"/>
        </w:rPr>
        <w:t>et al.,</w:t>
      </w:r>
      <w:r>
        <w:rPr>
          <w:color w:val="000000" w:themeColor="text1"/>
          <w:lang w:val="en-IN"/>
        </w:rPr>
        <w:t xml:space="preserve"> 2017; Rasool </w:t>
      </w:r>
      <w:r>
        <w:rPr>
          <w:i/>
          <w:iCs/>
          <w:color w:val="000000" w:themeColor="text1"/>
          <w:lang w:val="en-IN"/>
        </w:rPr>
        <w:t>et al.,</w:t>
      </w:r>
      <w:r>
        <w:rPr>
          <w:color w:val="000000" w:themeColor="text1"/>
          <w:lang w:val="en-IN"/>
        </w:rPr>
        <w:t xml:space="preserve"> 2007).</w:t>
      </w:r>
    </w:p>
    <w:p w14:paraId="6A4AEFFD" w14:textId="2E24ECB6" w:rsidR="00D96ECE" w:rsidRDefault="009565AE">
      <w:pPr>
        <w:spacing w:line="360" w:lineRule="auto"/>
        <w:jc w:val="both"/>
        <w:rPr>
          <w:color w:val="000000" w:themeColor="text1"/>
          <w:lang w:val="en-IN"/>
        </w:rPr>
      </w:pPr>
      <w:r>
        <w:rPr>
          <w:b/>
          <w:bCs/>
          <w:color w:val="000000" w:themeColor="text1"/>
        </w:rPr>
        <w:tab/>
      </w:r>
      <w:r>
        <w:rPr>
          <w:color w:val="000000" w:themeColor="text1"/>
          <w:lang w:val="en-IN"/>
        </w:rPr>
        <w:t xml:space="preserve">The long-term application of fertilizers and manure over 19 years significantly influenced the </w:t>
      </w:r>
      <w:proofErr w:type="spellStart"/>
      <w:r>
        <w:rPr>
          <w:color w:val="000000" w:themeColor="text1"/>
          <w:lang w:val="en-IN"/>
        </w:rPr>
        <w:t>physico</w:t>
      </w:r>
      <w:proofErr w:type="spellEnd"/>
      <w:r>
        <w:rPr>
          <w:color w:val="000000" w:themeColor="text1"/>
          <w:lang w:val="en-IN"/>
        </w:rPr>
        <w:t xml:space="preserve">-chemical and chemical properties of the soil during the Rabi season of 2019-20, as shown in table </w:t>
      </w:r>
      <w:r w:rsidR="00973465">
        <w:rPr>
          <w:color w:val="000000" w:themeColor="text1"/>
          <w:lang w:val="en-IN"/>
        </w:rPr>
        <w:t>4</w:t>
      </w:r>
      <w:r>
        <w:rPr>
          <w:color w:val="000000" w:themeColor="text1"/>
          <w:lang w:val="en-IN"/>
        </w:rPr>
        <w:t xml:space="preserve">. Soil pH ranged narrowly around neutral to slightly alkaline (7.91 to 8.16), with the control and fallow treatments showing the highest pH values (8.08 and 8.16 respectively). Treatments involving organic amendments such as FYM and integrated nutrient management (100% NPK + FYM) tended to maintain slightly lower pH levels, which could be </w:t>
      </w:r>
      <w:r>
        <w:rPr>
          <w:color w:val="000000" w:themeColor="text1"/>
          <w:lang w:val="en-IN"/>
        </w:rPr>
        <w:lastRenderedPageBreak/>
        <w:t xml:space="preserve">attributed to the buffering capacity of organic matter and its role in stabilizing soil acidity (Cui </w:t>
      </w:r>
      <w:r>
        <w:rPr>
          <w:i/>
          <w:iCs/>
          <w:color w:val="000000" w:themeColor="text1"/>
          <w:lang w:val="en-IN"/>
        </w:rPr>
        <w:t>et al.,</w:t>
      </w:r>
      <w:r>
        <w:rPr>
          <w:color w:val="000000" w:themeColor="text1"/>
          <w:lang w:val="en-IN"/>
        </w:rPr>
        <w:t xml:space="preserve"> 2018; Dhaliwal </w:t>
      </w:r>
      <w:r>
        <w:rPr>
          <w:i/>
          <w:iCs/>
          <w:color w:val="000000" w:themeColor="text1"/>
          <w:lang w:val="en-IN"/>
        </w:rPr>
        <w:t>et al.,</w:t>
      </w:r>
      <w:r>
        <w:rPr>
          <w:color w:val="000000" w:themeColor="text1"/>
          <w:lang w:val="en-IN"/>
        </w:rPr>
        <w:t xml:space="preserve"> 2023; </w:t>
      </w:r>
      <w:r>
        <w:rPr>
          <w:rFonts w:eastAsia="TimesNewRomanPS-BoldMT"/>
          <w:color w:val="000000"/>
          <w:lang w:eastAsia="zh-CN" w:bidi="ar"/>
        </w:rPr>
        <w:t>Mubeenuddin</w:t>
      </w:r>
      <w:r>
        <w:rPr>
          <w:rFonts w:eastAsia="TimesNewRomanPS-BoldMT"/>
          <w:color w:val="000000"/>
          <w:lang w:val="en-IN" w:eastAsia="zh-CN" w:bidi="ar"/>
        </w:rPr>
        <w:t xml:space="preserve"> </w:t>
      </w:r>
      <w:r>
        <w:rPr>
          <w:rFonts w:eastAsia="TimesNewRomanPS-BoldMT"/>
          <w:i/>
          <w:iCs/>
          <w:color w:val="000000"/>
          <w:lang w:val="en-IN" w:eastAsia="zh-CN" w:bidi="ar"/>
        </w:rPr>
        <w:t>et al.,</w:t>
      </w:r>
      <w:r>
        <w:rPr>
          <w:rFonts w:eastAsia="TimesNewRomanPS-BoldMT"/>
          <w:color w:val="000000"/>
          <w:lang w:val="en-IN" w:eastAsia="zh-CN" w:bidi="ar"/>
        </w:rPr>
        <w:t xml:space="preserve"> 2024).</w:t>
      </w:r>
    </w:p>
    <w:p w14:paraId="57E5B8EA" w14:textId="23B33D9D" w:rsidR="00D96ECE" w:rsidRDefault="009565AE">
      <w:pPr>
        <w:spacing w:line="360" w:lineRule="auto"/>
        <w:jc w:val="both"/>
        <w:rPr>
          <w:color w:val="000000" w:themeColor="text1"/>
          <w:lang w:val="en-IN"/>
        </w:rPr>
      </w:pPr>
      <w:r>
        <w:rPr>
          <w:color w:val="000000" w:themeColor="text1"/>
          <w:lang w:val="en-IN"/>
        </w:rPr>
        <w:tab/>
        <w:t>Electrical conductivity (EC), an indicator of soluble salt content, varied among treatments from 0.33 dSm</w:t>
      </w:r>
      <w:r w:rsidR="00973465">
        <w:rPr>
          <w:color w:val="000000" w:themeColor="text1"/>
          <w:vertAlign w:val="superscript"/>
          <w:lang w:val="en-IN"/>
        </w:rPr>
        <w:t>-1</w:t>
      </w:r>
      <w:r>
        <w:rPr>
          <w:color w:val="000000" w:themeColor="text1"/>
          <w:lang w:val="en-IN"/>
        </w:rPr>
        <w:t xml:space="preserve"> (fallow) to 0.61 dSm</w:t>
      </w:r>
      <w:r w:rsidR="00973465">
        <w:rPr>
          <w:color w:val="000000" w:themeColor="text1"/>
          <w:vertAlign w:val="superscript"/>
          <w:lang w:val="en-IN"/>
        </w:rPr>
        <w:t>-1</w:t>
      </w:r>
      <w:r>
        <w:rPr>
          <w:color w:val="000000" w:themeColor="text1"/>
          <w:lang w:val="en-IN"/>
        </w:rPr>
        <w:t xml:space="preserve"> (100% NPK + Zn)</w:t>
      </w:r>
      <w:r w:rsidR="00C40ADE">
        <w:rPr>
          <w:color w:val="000000" w:themeColor="text1"/>
          <w:lang w:val="en-IN"/>
        </w:rPr>
        <w:t xml:space="preserve"> </w:t>
      </w:r>
      <w:r w:rsidR="00973465">
        <w:rPr>
          <w:color w:val="000000" w:themeColor="text1"/>
          <w:lang w:val="en-IN"/>
        </w:rPr>
        <w:t>(Table 4)</w:t>
      </w:r>
      <w:r>
        <w:rPr>
          <w:color w:val="000000" w:themeColor="text1"/>
          <w:lang w:val="en-IN"/>
        </w:rPr>
        <w:t xml:space="preserve">. The higher EC values in fertilized treatments reflect increased nutrient availability but remained within safe limits for rice cultivation, indicating balanced fertilization practices (Kumari </w:t>
      </w:r>
      <w:r w:rsidRPr="00973465">
        <w:rPr>
          <w:i/>
          <w:iCs/>
          <w:color w:val="000000" w:themeColor="text1"/>
          <w:lang w:val="en-IN"/>
        </w:rPr>
        <w:t>et al.,</w:t>
      </w:r>
      <w:r w:rsidRPr="00973465">
        <w:rPr>
          <w:color w:val="000000" w:themeColor="text1"/>
          <w:lang w:val="en-IN"/>
        </w:rPr>
        <w:t xml:space="preserve"> </w:t>
      </w:r>
      <w:r>
        <w:rPr>
          <w:color w:val="000000" w:themeColor="text1"/>
          <w:lang w:val="en-IN"/>
        </w:rPr>
        <w:t>2024).</w:t>
      </w:r>
    </w:p>
    <w:p w14:paraId="22F3DA74" w14:textId="77777777" w:rsidR="00D96ECE" w:rsidRDefault="009565AE">
      <w:pPr>
        <w:spacing w:line="360" w:lineRule="auto"/>
        <w:jc w:val="both"/>
        <w:rPr>
          <w:color w:val="000000" w:themeColor="text1"/>
          <w:lang w:val="en-IN"/>
        </w:rPr>
      </w:pPr>
      <w:r>
        <w:rPr>
          <w:color w:val="000000" w:themeColor="text1"/>
          <w:lang w:val="en-IN"/>
        </w:rPr>
        <w:tab/>
        <w:t xml:space="preserve">Organic carbon (OC) content showed a substantial increase in plots receiving organic inputs, especially in FYM (1.18%) and 100% NPK + FYM (0.90%) treatments, compared to the control (0.71%) and fallow (0.59%). The augmentation in soil organic carbon is critical for improving soil structure, moisture retention, and nutrient cycling. These findings align with long-term studies demonstrating enhanced OC stocks with manure and organic amendments combined with chemical fertilizers, which sustain soil fertility and crop productivity (Dhaliwal </w:t>
      </w:r>
      <w:r w:rsidRPr="00890450">
        <w:rPr>
          <w:i/>
          <w:iCs/>
          <w:color w:val="000000" w:themeColor="text1"/>
          <w:lang w:val="en-IN"/>
        </w:rPr>
        <w:t>et al.,</w:t>
      </w:r>
      <w:r>
        <w:rPr>
          <w:color w:val="000000" w:themeColor="text1"/>
          <w:lang w:val="en-IN"/>
        </w:rPr>
        <w:t xml:space="preserve"> 2023; Kumari </w:t>
      </w:r>
      <w:r w:rsidRPr="00890450">
        <w:rPr>
          <w:i/>
          <w:iCs/>
          <w:color w:val="000000" w:themeColor="text1"/>
          <w:lang w:val="en-IN"/>
        </w:rPr>
        <w:t>et al.,</w:t>
      </w:r>
      <w:r>
        <w:rPr>
          <w:color w:val="000000" w:themeColor="text1"/>
          <w:lang w:val="en-IN"/>
        </w:rPr>
        <w:t xml:space="preserve"> 2024; Varshini </w:t>
      </w:r>
      <w:r>
        <w:rPr>
          <w:i/>
          <w:iCs/>
          <w:color w:val="000000" w:themeColor="text1"/>
          <w:lang w:val="en-IN"/>
        </w:rPr>
        <w:t>et al.,</w:t>
      </w:r>
      <w:r>
        <w:rPr>
          <w:color w:val="000000" w:themeColor="text1"/>
          <w:lang w:val="en-IN"/>
        </w:rPr>
        <w:t xml:space="preserve"> 2025).</w:t>
      </w:r>
    </w:p>
    <w:p w14:paraId="001047C5" w14:textId="4CD84694" w:rsidR="00D96ECE" w:rsidRDefault="009565AE">
      <w:pPr>
        <w:spacing w:line="360" w:lineRule="auto"/>
        <w:jc w:val="both"/>
        <w:rPr>
          <w:color w:val="000000" w:themeColor="text1"/>
          <w:lang w:val="en-IN"/>
        </w:rPr>
      </w:pPr>
      <w:r>
        <w:rPr>
          <w:color w:val="000000" w:themeColor="text1"/>
          <w:lang w:val="en-IN"/>
        </w:rPr>
        <w:tab/>
        <w:t>Availability of macronutrients such as nitrogen (N), phosphorus (P) and potassium (K) also increased markedly with long-term fertilization</w:t>
      </w:r>
      <w:r w:rsidR="009D3375">
        <w:rPr>
          <w:color w:val="000000" w:themeColor="text1"/>
          <w:lang w:val="en-IN"/>
        </w:rPr>
        <w:t xml:space="preserve"> </w:t>
      </w:r>
      <w:r w:rsidR="00D42469">
        <w:rPr>
          <w:color w:val="000000" w:themeColor="text1"/>
          <w:lang w:val="en-IN"/>
        </w:rPr>
        <w:t>(Table 4)</w:t>
      </w:r>
      <w:r>
        <w:rPr>
          <w:color w:val="000000" w:themeColor="text1"/>
          <w:lang w:val="en-IN"/>
        </w:rPr>
        <w:t xml:space="preserve">, particularly in 150% NPK and 100% NPK + FYM treatments (N: </w:t>
      </w:r>
      <w:r w:rsidR="00D42469">
        <w:rPr>
          <w:color w:val="000000" w:themeColor="text1"/>
          <w:lang w:val="en-IN"/>
        </w:rPr>
        <w:t>1</w:t>
      </w:r>
      <w:r>
        <w:rPr>
          <w:color w:val="000000" w:themeColor="text1"/>
          <w:lang w:val="en-IN"/>
        </w:rPr>
        <w:t>81 and 189 kg</w:t>
      </w:r>
      <w:r w:rsidR="00973465">
        <w:rPr>
          <w:color w:val="000000" w:themeColor="text1"/>
          <w:lang w:val="en-IN"/>
        </w:rPr>
        <w:t xml:space="preserve"> </w:t>
      </w:r>
      <w:r w:rsidRPr="00973465">
        <w:rPr>
          <w:color w:val="000000" w:themeColor="text1"/>
          <w:lang w:val="en-IN"/>
        </w:rPr>
        <w:t>ha</w:t>
      </w:r>
      <w:r w:rsidR="00973465">
        <w:rPr>
          <w:color w:val="000000" w:themeColor="text1"/>
          <w:vertAlign w:val="superscript"/>
          <w:lang w:val="en-IN"/>
        </w:rPr>
        <w:t>-1</w:t>
      </w:r>
      <w:r>
        <w:rPr>
          <w:color w:val="000000" w:themeColor="text1"/>
          <w:lang w:val="en-IN"/>
        </w:rPr>
        <w:t>; P: 36.62 and 35.43 kg</w:t>
      </w:r>
      <w:r w:rsidR="00973465">
        <w:rPr>
          <w:color w:val="FF0000"/>
          <w:lang w:val="en-IN"/>
        </w:rPr>
        <w:t xml:space="preserve"> </w:t>
      </w:r>
      <w:r>
        <w:rPr>
          <w:color w:val="000000" w:themeColor="text1"/>
          <w:lang w:val="en-IN"/>
        </w:rPr>
        <w:t>ha</w:t>
      </w:r>
      <w:r w:rsidR="00D42469">
        <w:rPr>
          <w:color w:val="000000" w:themeColor="text1"/>
          <w:vertAlign w:val="superscript"/>
          <w:lang w:val="en-IN"/>
        </w:rPr>
        <w:t>-1</w:t>
      </w:r>
      <w:r>
        <w:rPr>
          <w:color w:val="000000" w:themeColor="text1"/>
          <w:lang w:val="en-IN"/>
        </w:rPr>
        <w:t>; K: 417 and 422 kg</w:t>
      </w:r>
      <w:r w:rsidR="00890450">
        <w:rPr>
          <w:color w:val="000000" w:themeColor="text1"/>
          <w:lang w:val="en-IN"/>
        </w:rPr>
        <w:t xml:space="preserve"> </w:t>
      </w:r>
      <w:r>
        <w:rPr>
          <w:color w:val="000000" w:themeColor="text1"/>
          <w:lang w:val="en-IN"/>
        </w:rPr>
        <w:t>ha</w:t>
      </w:r>
      <w:r w:rsidR="00890450" w:rsidRPr="00890450">
        <w:rPr>
          <w:color w:val="000000" w:themeColor="text1"/>
          <w:vertAlign w:val="superscript"/>
          <w:lang w:val="en-IN"/>
        </w:rPr>
        <w:t>-1</w:t>
      </w:r>
      <w:r>
        <w:rPr>
          <w:color w:val="000000" w:themeColor="text1"/>
          <w:lang w:val="en-IN"/>
        </w:rPr>
        <w:t>, respectively</w:t>
      </w:r>
      <w:r w:rsidR="00C40ADE">
        <w:rPr>
          <w:color w:val="000000" w:themeColor="text1"/>
          <w:lang w:val="en-IN"/>
        </w:rPr>
        <w:t xml:space="preserve">) </w:t>
      </w:r>
      <w:r>
        <w:rPr>
          <w:color w:val="000000" w:themeColor="text1"/>
          <w:lang w:val="en-IN"/>
        </w:rPr>
        <w:t xml:space="preserve">compared to control and fallow plots. This nutrient enrichment underlines the importance of balanced fertilizer regimes integrated with organic manure to replenish soil nutrient pools rather than depleting them with sole chemical fertilization (Dhaliwal </w:t>
      </w:r>
      <w:r w:rsidRPr="00890450">
        <w:rPr>
          <w:i/>
          <w:iCs/>
          <w:color w:val="000000" w:themeColor="text1"/>
          <w:lang w:val="en-IN"/>
        </w:rPr>
        <w:t>et al.,</w:t>
      </w:r>
      <w:r>
        <w:rPr>
          <w:color w:val="000000" w:themeColor="text1"/>
          <w:lang w:val="en-IN"/>
        </w:rPr>
        <w:t xml:space="preserve"> 2023; Gao </w:t>
      </w:r>
      <w:r w:rsidRPr="00890450">
        <w:rPr>
          <w:i/>
          <w:iCs/>
          <w:color w:val="000000" w:themeColor="text1"/>
          <w:lang w:val="en-IN"/>
        </w:rPr>
        <w:t>et al.,</w:t>
      </w:r>
      <w:r>
        <w:rPr>
          <w:color w:val="000000" w:themeColor="text1"/>
          <w:lang w:val="en-IN"/>
        </w:rPr>
        <w:t xml:space="preserve"> 2023).</w:t>
      </w:r>
    </w:p>
    <w:p w14:paraId="0B9E09D1" w14:textId="4D7FAAB5" w:rsidR="00D96ECE" w:rsidRDefault="009565AE">
      <w:pPr>
        <w:spacing w:line="360" w:lineRule="auto"/>
        <w:jc w:val="both"/>
        <w:rPr>
          <w:color w:val="000000" w:themeColor="text1"/>
          <w:lang w:val="en-IN"/>
        </w:rPr>
      </w:pPr>
      <w:r>
        <w:rPr>
          <w:color w:val="000000" w:themeColor="text1"/>
          <w:lang w:val="en-IN"/>
        </w:rPr>
        <w:tab/>
        <w:t xml:space="preserve">Regarding micronutrients (Table </w:t>
      </w:r>
      <w:r w:rsidR="00D42469">
        <w:rPr>
          <w:color w:val="000000" w:themeColor="text1"/>
          <w:lang w:val="en-IN"/>
        </w:rPr>
        <w:t>5</w:t>
      </w:r>
      <w:r>
        <w:rPr>
          <w:color w:val="000000" w:themeColor="text1"/>
          <w:lang w:val="en-IN"/>
        </w:rPr>
        <w:t xml:space="preserve">), treatments with integrated nutrient management featuring FYM and balanced NPK showed elevated levels of iron (Fe), manganese (Mn), copper (Cu), and zinc (Zn), essential for various enzymatic processes and overall plant health. The highest Fe (18.80 ppm) and Mn (9.54 ppm) contents were observed in the 100% NPK + FYM treatment, while Cu </w:t>
      </w:r>
      <w:r w:rsidRPr="00D42469">
        <w:rPr>
          <w:color w:val="000000" w:themeColor="text1"/>
          <w:lang w:val="en-IN"/>
        </w:rPr>
        <w:t>(</w:t>
      </w:r>
      <w:r w:rsidR="00D42469" w:rsidRPr="00D42469">
        <w:rPr>
          <w:color w:val="000000" w:themeColor="text1"/>
          <w:lang w:val="en-IN"/>
        </w:rPr>
        <w:t>2.61</w:t>
      </w:r>
      <w:r w:rsidRPr="00D42469">
        <w:rPr>
          <w:color w:val="000000" w:themeColor="text1"/>
          <w:lang w:val="en-IN"/>
        </w:rPr>
        <w:t>) and Zn (</w:t>
      </w:r>
      <w:r w:rsidR="00D42469" w:rsidRPr="00D42469">
        <w:rPr>
          <w:color w:val="000000" w:themeColor="text1"/>
          <w:lang w:val="en-IN"/>
        </w:rPr>
        <w:t>2.58</w:t>
      </w:r>
      <w:r w:rsidRPr="00D42469">
        <w:rPr>
          <w:color w:val="000000" w:themeColor="text1"/>
          <w:lang w:val="en-IN"/>
        </w:rPr>
        <w:t xml:space="preserve">) </w:t>
      </w:r>
      <w:r>
        <w:rPr>
          <w:color w:val="000000" w:themeColor="text1"/>
          <w:lang w:val="en-IN"/>
        </w:rPr>
        <w:t>were also higher in these treatments compared to control. Sole nitrogen applications exhibited the lowest micronutrient concentrations, indicating potential risks of micronutrient depletion under imbalanced fertilization.</w:t>
      </w:r>
    </w:p>
    <w:p w14:paraId="6F633B5B" w14:textId="77777777" w:rsidR="00F84CEA" w:rsidRDefault="009565AE">
      <w:pPr>
        <w:spacing w:line="360" w:lineRule="auto"/>
        <w:jc w:val="both"/>
        <w:rPr>
          <w:color w:val="000000" w:themeColor="text1"/>
          <w:lang w:val="en-IN"/>
        </w:rPr>
      </w:pPr>
      <w:r>
        <w:rPr>
          <w:color w:val="000000" w:themeColor="text1"/>
          <w:lang w:val="en-IN"/>
        </w:rPr>
        <w:tab/>
        <w:t xml:space="preserve">The enhanced micronutrient availability in treatments combining organic and chemical fertilizers is mainly due to improved soil organic matter and microbial activity, which promote micronutrient solubilization and uptake. This synergistic effect also supports better crop nutrition and yield sustainability over continuous cropping cycles (Cui </w:t>
      </w:r>
      <w:r w:rsidRPr="00890450">
        <w:rPr>
          <w:i/>
          <w:iCs/>
          <w:color w:val="000000" w:themeColor="text1"/>
          <w:lang w:val="en-IN"/>
        </w:rPr>
        <w:t>et al.,</w:t>
      </w:r>
      <w:r>
        <w:rPr>
          <w:color w:val="000000" w:themeColor="text1"/>
          <w:lang w:val="en-IN"/>
        </w:rPr>
        <w:t xml:space="preserve"> 2018).</w:t>
      </w:r>
    </w:p>
    <w:p w14:paraId="761B8031" w14:textId="4CE8F557" w:rsidR="00D96ECE" w:rsidRPr="00F84CEA" w:rsidRDefault="00F84CEA">
      <w:pPr>
        <w:spacing w:line="360" w:lineRule="auto"/>
        <w:jc w:val="both"/>
        <w:rPr>
          <w:color w:val="000000" w:themeColor="text1"/>
          <w:lang w:val="en-IN"/>
        </w:rPr>
      </w:pPr>
      <w:r>
        <w:rPr>
          <w:color w:val="000000" w:themeColor="text1"/>
          <w:lang w:val="en-IN"/>
        </w:rPr>
        <w:tab/>
      </w:r>
      <w:r w:rsidR="009565AE">
        <w:rPr>
          <w:color w:val="000000" w:themeColor="text1"/>
          <w:lang w:val="en-IN"/>
        </w:rPr>
        <w:t xml:space="preserve">The long-term application of fertilizers and manures significantly influenced the biological parameters under the rice-rice cropping system after 19 years (Table </w:t>
      </w:r>
      <w:r w:rsidR="009D3375">
        <w:rPr>
          <w:color w:val="000000" w:themeColor="text1"/>
          <w:lang w:val="en-IN"/>
        </w:rPr>
        <w:t>6</w:t>
      </w:r>
      <w:r w:rsidR="009565AE">
        <w:rPr>
          <w:color w:val="000000" w:themeColor="text1"/>
          <w:lang w:val="en-IN"/>
        </w:rPr>
        <w:t xml:space="preserve">). The dehydrogenase activity (DHA), indicative of overall microbial oxidative activity and metabolic </w:t>
      </w:r>
      <w:r w:rsidR="009565AE">
        <w:rPr>
          <w:color w:val="000000" w:themeColor="text1"/>
          <w:lang w:val="en-IN"/>
        </w:rPr>
        <w:lastRenderedPageBreak/>
        <w:t>function, was highest in the FYM treatment (4.21 µg TPF g⁻¹ day⁻¹) followed closely by the 100% NPK+FYM treatment (3.92), indicating the stimulatory effect of organic amendments on microbial enzyme activities. Conversely, the lowest DHA was observed in the control (1.98) and 50% NPK (2.43) treatments, reflecting reduced microbial metabolic potential in the absence or limited nutrient input.</w:t>
      </w:r>
    </w:p>
    <w:p w14:paraId="1811DAC7" w14:textId="34FE9663" w:rsidR="00D96ECE" w:rsidRDefault="009565AE">
      <w:pPr>
        <w:spacing w:line="360" w:lineRule="auto"/>
        <w:jc w:val="both"/>
        <w:rPr>
          <w:color w:val="000000" w:themeColor="text1"/>
          <w:lang w:val="en-IN"/>
        </w:rPr>
      </w:pPr>
      <w:r>
        <w:rPr>
          <w:color w:val="000000" w:themeColor="text1"/>
          <w:lang w:val="en-IN"/>
        </w:rPr>
        <w:tab/>
        <w:t>Similarly, microbial populations measured by numbers of actinomycetes, fungi, and bacteria were highest in plots receiving FYM and integrated fertilizer-organic manure treatments</w:t>
      </w:r>
      <w:r w:rsidR="009D3375">
        <w:rPr>
          <w:color w:val="000000" w:themeColor="text1"/>
          <w:lang w:val="en-IN"/>
        </w:rPr>
        <w:t xml:space="preserve"> (Table 6)</w:t>
      </w:r>
      <w:r>
        <w:rPr>
          <w:color w:val="000000" w:themeColor="text1"/>
          <w:lang w:val="en-IN"/>
        </w:rPr>
        <w:t xml:space="preserve">. The FYM treatment recorded the highest populations across actinomycetes (6.21 × 10⁴ </w:t>
      </w:r>
      <w:proofErr w:type="spellStart"/>
      <w:r>
        <w:rPr>
          <w:color w:val="000000" w:themeColor="text1"/>
          <w:lang w:val="en-IN"/>
        </w:rPr>
        <w:t>cfu</w:t>
      </w:r>
      <w:proofErr w:type="spellEnd"/>
      <w:r>
        <w:rPr>
          <w:color w:val="000000" w:themeColor="text1"/>
          <w:lang w:val="en-IN"/>
        </w:rPr>
        <w:t xml:space="preserve"> g⁻¹), fungi (7.68 × 10³ </w:t>
      </w:r>
      <w:proofErr w:type="spellStart"/>
      <w:r>
        <w:rPr>
          <w:color w:val="000000" w:themeColor="text1"/>
          <w:lang w:val="en-IN"/>
        </w:rPr>
        <w:t>cfu</w:t>
      </w:r>
      <w:proofErr w:type="spellEnd"/>
      <w:r>
        <w:rPr>
          <w:color w:val="000000" w:themeColor="text1"/>
          <w:lang w:val="en-IN"/>
        </w:rPr>
        <w:t xml:space="preserve"> g⁻</w:t>
      </w:r>
      <w:proofErr w:type="gramStart"/>
      <w:r>
        <w:rPr>
          <w:color w:val="000000" w:themeColor="text1"/>
          <w:lang w:val="en-IN"/>
        </w:rPr>
        <w:t>¹)</w:t>
      </w:r>
      <w:r w:rsidR="00C40ADE">
        <w:rPr>
          <w:color w:val="000000" w:themeColor="text1"/>
          <w:lang w:val="en-IN"/>
        </w:rPr>
        <w:t xml:space="preserve">  </w:t>
      </w:r>
      <w:r>
        <w:rPr>
          <w:color w:val="000000" w:themeColor="text1"/>
          <w:lang w:val="en-IN"/>
        </w:rPr>
        <w:t>and</w:t>
      </w:r>
      <w:proofErr w:type="gramEnd"/>
      <w:r w:rsidR="00C40ADE">
        <w:rPr>
          <w:color w:val="000000" w:themeColor="text1"/>
          <w:lang w:val="en-IN"/>
        </w:rPr>
        <w:t xml:space="preserve"> </w:t>
      </w:r>
      <w:r>
        <w:rPr>
          <w:color w:val="000000" w:themeColor="text1"/>
          <w:lang w:val="en-IN"/>
        </w:rPr>
        <w:t xml:space="preserve"> bacteria (23.88 × 10⁶ </w:t>
      </w:r>
      <w:proofErr w:type="spellStart"/>
      <w:r>
        <w:rPr>
          <w:color w:val="000000" w:themeColor="text1"/>
          <w:lang w:val="en-IN"/>
        </w:rPr>
        <w:t>cfu</w:t>
      </w:r>
      <w:proofErr w:type="spellEnd"/>
      <w:r>
        <w:rPr>
          <w:color w:val="000000" w:themeColor="text1"/>
          <w:lang w:val="en-IN"/>
        </w:rPr>
        <w:t xml:space="preserve"> g⁻¹). The 100% NPK + FYM treatment also exhibited significantly higher microbial counts compared to sole chemical fertilizer treatments, including the 100% NPK (5.28, 5.26, and 19.54 respective counts) and 150% NPK (4.53, 6.11 and 21.56 counts). Sole nitrogen treatments (100% N) showed the minimum microbial counts among fertilizer treatments, highlighting detrimental effects of unbalanced fertilization on soil microbiota.</w:t>
      </w:r>
    </w:p>
    <w:p w14:paraId="0002CB41" w14:textId="77777777" w:rsidR="00D96ECE" w:rsidRDefault="009565AE">
      <w:pPr>
        <w:spacing w:line="360" w:lineRule="auto"/>
        <w:jc w:val="both"/>
        <w:rPr>
          <w:color w:val="000000" w:themeColor="text1"/>
          <w:lang w:val="en-IN"/>
        </w:rPr>
      </w:pPr>
      <w:r>
        <w:rPr>
          <w:color w:val="000000" w:themeColor="text1"/>
          <w:lang w:val="en-IN"/>
        </w:rPr>
        <w:tab/>
        <w:t xml:space="preserve">These results corroborate previous long-term field studies where organic amendments such as farmyard manure (FYM) enhanced soil microbial biomass, diversity, and enzyme activities in rice soils through improved organic carbon inputs and nutrient cycling (Aparna </w:t>
      </w:r>
      <w:r>
        <w:rPr>
          <w:i/>
          <w:iCs/>
          <w:color w:val="000000" w:themeColor="text1"/>
          <w:lang w:val="en-IN"/>
        </w:rPr>
        <w:t>et al.,</w:t>
      </w:r>
      <w:r>
        <w:rPr>
          <w:color w:val="000000" w:themeColor="text1"/>
          <w:lang w:val="en-IN"/>
        </w:rPr>
        <w:t xml:space="preserve"> 2022; Dhaliwal </w:t>
      </w:r>
      <w:r w:rsidRPr="009D3375">
        <w:rPr>
          <w:i/>
          <w:iCs/>
          <w:color w:val="000000" w:themeColor="text1"/>
          <w:lang w:val="en-IN"/>
        </w:rPr>
        <w:t>et al.,</w:t>
      </w:r>
      <w:r>
        <w:rPr>
          <w:color w:val="000000" w:themeColor="text1"/>
          <w:lang w:val="en-IN"/>
        </w:rPr>
        <w:t xml:space="preserve"> 2023; Biswas </w:t>
      </w:r>
      <w:r w:rsidRPr="009D3375">
        <w:rPr>
          <w:i/>
          <w:iCs/>
          <w:color w:val="000000" w:themeColor="text1"/>
          <w:lang w:val="en-IN"/>
        </w:rPr>
        <w:t>et al.,</w:t>
      </w:r>
      <w:r>
        <w:rPr>
          <w:color w:val="000000" w:themeColor="text1"/>
          <w:lang w:val="en-IN"/>
        </w:rPr>
        <w:t xml:space="preserve"> 2023). The microbial community promotes nutrient mineralization and soil health, which are vital for sustainable crop production. Integrated nutrient management (INM) regimes combining organic and chemical fertilizers optimize microbial activity and abundance, thereby improving soil biological fertility and resilience against stress (Jiang </w:t>
      </w:r>
      <w:r w:rsidRPr="009D3375">
        <w:rPr>
          <w:i/>
          <w:iCs/>
          <w:color w:val="000000" w:themeColor="text1"/>
          <w:lang w:val="en-IN"/>
        </w:rPr>
        <w:t>et al.,</w:t>
      </w:r>
      <w:r>
        <w:rPr>
          <w:color w:val="000000" w:themeColor="text1"/>
          <w:lang w:val="en-IN"/>
        </w:rPr>
        <w:t xml:space="preserve"> 2022).</w:t>
      </w:r>
    </w:p>
    <w:p w14:paraId="09DCC13B" w14:textId="77777777" w:rsidR="00F84CEA" w:rsidRDefault="009565AE" w:rsidP="00F84CEA">
      <w:pPr>
        <w:spacing w:line="360" w:lineRule="auto"/>
        <w:jc w:val="both"/>
        <w:rPr>
          <w:color w:val="000000" w:themeColor="text1"/>
          <w:lang w:val="en-IN"/>
        </w:rPr>
      </w:pPr>
      <w:r>
        <w:rPr>
          <w:color w:val="000000" w:themeColor="text1"/>
          <w:lang w:val="en-IN"/>
        </w:rPr>
        <w:tab/>
        <w:t xml:space="preserve">Lower microbial activities and populations in sole chemical fertilizer or unfertilized controls reflect the depletion of soil organic matter and reduced microbial habitat and energy resources, consistent with findings documenting the adverse impact of chemical-only fertilizer application on microbial communities and soil biological functioning (Biswas </w:t>
      </w:r>
      <w:r w:rsidRPr="009D3375">
        <w:rPr>
          <w:i/>
          <w:iCs/>
          <w:color w:val="000000" w:themeColor="text1"/>
          <w:lang w:val="en-IN"/>
        </w:rPr>
        <w:t>et al.,</w:t>
      </w:r>
      <w:r>
        <w:rPr>
          <w:color w:val="000000" w:themeColor="text1"/>
          <w:lang w:val="en-IN"/>
        </w:rPr>
        <w:t xml:space="preserve"> 2023; Dhaliwal </w:t>
      </w:r>
      <w:r w:rsidRPr="009D3375">
        <w:rPr>
          <w:i/>
          <w:iCs/>
          <w:color w:val="000000" w:themeColor="text1"/>
          <w:lang w:val="en-IN"/>
        </w:rPr>
        <w:t>et al.,</w:t>
      </w:r>
      <w:r>
        <w:rPr>
          <w:color w:val="000000" w:themeColor="text1"/>
          <w:lang w:val="en-IN"/>
        </w:rPr>
        <w:t xml:space="preserve"> 2023).</w:t>
      </w:r>
    </w:p>
    <w:p w14:paraId="3AF3D3D9" w14:textId="1E5C1A5C" w:rsidR="00D96ECE" w:rsidRPr="00F84CEA" w:rsidRDefault="00F84CEA" w:rsidP="00F84CEA">
      <w:pPr>
        <w:spacing w:line="360" w:lineRule="auto"/>
        <w:jc w:val="both"/>
        <w:rPr>
          <w:color w:val="000000" w:themeColor="text1"/>
          <w:lang w:val="en-IN"/>
        </w:rPr>
      </w:pPr>
      <w:r>
        <w:rPr>
          <w:color w:val="000000" w:themeColor="text1"/>
          <w:lang w:val="en-IN"/>
        </w:rPr>
        <w:tab/>
      </w:r>
      <w:r w:rsidR="009565AE">
        <w:rPr>
          <w:color w:val="000000" w:themeColor="text1"/>
          <w:lang w:val="en-IN"/>
        </w:rPr>
        <w:t>The figure (2) presents the soil quality index (SQI) derived from a combination of physical, chemical, and biological indicators under various long-term fertilizer and manure treatments during rice cultivation. The SQI incorporates infiltration rate (</w:t>
      </w:r>
      <w:proofErr w:type="spellStart"/>
      <w:r w:rsidR="009565AE">
        <w:rPr>
          <w:color w:val="000000" w:themeColor="text1"/>
          <w:lang w:val="en-IN"/>
        </w:rPr>
        <w:t>Infil</w:t>
      </w:r>
      <w:proofErr w:type="spellEnd"/>
      <w:r w:rsidR="009565AE">
        <w:rPr>
          <w:color w:val="000000" w:themeColor="text1"/>
          <w:lang w:val="en-IN"/>
        </w:rPr>
        <w:t>), bacterial (</w:t>
      </w:r>
      <w:proofErr w:type="spellStart"/>
      <w:r w:rsidR="009565AE">
        <w:rPr>
          <w:color w:val="000000" w:themeColor="text1"/>
          <w:lang w:val="en-IN"/>
        </w:rPr>
        <w:t>Bact</w:t>
      </w:r>
      <w:proofErr w:type="spellEnd"/>
      <w:r w:rsidR="009565AE">
        <w:rPr>
          <w:color w:val="000000" w:themeColor="text1"/>
          <w:lang w:val="en-IN"/>
        </w:rPr>
        <w:t>), fungal (Fun) and actinomycetes (Acti) populations, available phosphorus (P), electrical conductivity (EC)</w:t>
      </w:r>
      <w:r w:rsidR="00C40ADE">
        <w:rPr>
          <w:color w:val="000000" w:themeColor="text1"/>
          <w:lang w:val="en-IN"/>
        </w:rPr>
        <w:t xml:space="preserve"> </w:t>
      </w:r>
      <w:r w:rsidR="009565AE">
        <w:rPr>
          <w:color w:val="000000" w:themeColor="text1"/>
          <w:lang w:val="en-IN"/>
        </w:rPr>
        <w:t>and bulk density (BD).</w:t>
      </w:r>
    </w:p>
    <w:p w14:paraId="3712EC59" w14:textId="1F06303A" w:rsidR="00D96ECE" w:rsidRDefault="009565AE">
      <w:pPr>
        <w:pStyle w:val="BodyText2"/>
        <w:spacing w:line="360" w:lineRule="auto"/>
        <w:jc w:val="both"/>
        <w:rPr>
          <w:color w:val="000000" w:themeColor="text1"/>
          <w:lang w:val="en-IN"/>
        </w:rPr>
      </w:pPr>
      <w:r>
        <w:rPr>
          <w:color w:val="000000" w:themeColor="text1"/>
          <w:lang w:val="en-IN"/>
        </w:rPr>
        <w:tab/>
        <w:t xml:space="preserve">Among the treatments, farmyard manure (FYM) and the integrated 100% NPK+FYM showed the highest overall SQI values, indicating superior soil quality as compared to all other </w:t>
      </w:r>
      <w:r>
        <w:rPr>
          <w:color w:val="000000" w:themeColor="text1"/>
          <w:lang w:val="en-IN"/>
        </w:rPr>
        <w:lastRenderedPageBreak/>
        <w:t>treatments. These treatments exhibited enhanced microbial populations (bacteria, fungi and actinomycetes) higher infiltration rates, greater available phosphorus, lower bulk density and balanced electrical conductivity. This suggests that organic amendments combined with chemical fertilizers significantly improve multiple facets of soil health, supporting physical structure, nutrient availability and biological activity (Kumawat et al., 2023; Ahlawat et al., 2023).</w:t>
      </w:r>
    </w:p>
    <w:p w14:paraId="6C01D4DE" w14:textId="4B74E8C7" w:rsidR="00D96ECE" w:rsidRDefault="009565AE">
      <w:pPr>
        <w:pStyle w:val="BodyText2"/>
        <w:spacing w:line="360" w:lineRule="auto"/>
        <w:jc w:val="both"/>
        <w:rPr>
          <w:color w:val="000000" w:themeColor="text1"/>
          <w:lang w:val="en-IN"/>
        </w:rPr>
      </w:pPr>
      <w:r>
        <w:rPr>
          <w:color w:val="000000" w:themeColor="text1"/>
          <w:lang w:val="en-IN"/>
        </w:rPr>
        <w:tab/>
        <w:t>In contrast, the control and fallow treatments recorded the lowest SQI, reflecting poor microbial activity, limited nutrient availability, reduced infiltration and higher bulk density, indicative of degraded soil health under no or minimal nutrient input. The 100% nitrogen (N) treatment also had a relatively low SQI, showing the negative effects of unbalanced fertilization, which likely caused nutrient imbalances and microbial community decline (Bhavani et al., 2017).</w:t>
      </w:r>
    </w:p>
    <w:p w14:paraId="330D4ECC" w14:textId="77777777" w:rsidR="00F84CEA" w:rsidRDefault="009565AE" w:rsidP="00F84CEA">
      <w:pPr>
        <w:pStyle w:val="BodyText2"/>
        <w:spacing w:line="360" w:lineRule="auto"/>
        <w:jc w:val="both"/>
        <w:rPr>
          <w:color w:val="000000" w:themeColor="text1"/>
          <w:lang w:val="en-IN"/>
        </w:rPr>
      </w:pPr>
      <w:r>
        <w:rPr>
          <w:color w:val="000000" w:themeColor="text1"/>
          <w:lang w:val="en-IN"/>
        </w:rPr>
        <w:tab/>
        <w:t>Treatments integrating micronutrients such as zinc (100% NPK+Zn) or humic substances (100% NPK + HW) displayed intermediate SQI values, reinforcing the benefits of supplementing NPK fertilizers with micronutrients and organic compounds to enhance soil quality (Rasool et al., 2007). The improvements in infiltration rates and microbial populations are associated with increased soil organic matter from manure additions, promoting better soil aggregation, porosity, and microbial habitats. This corresponds with findings by Jiang et al. (2022) and Dhaliwal et al. (2023), where integrated organic-inorganic fertilization promotes microbial community diversity, enzymatic activity, and soil biochemical functions required for sustainable crop productivity.</w:t>
      </w:r>
      <w:bookmarkStart w:id="3" w:name="_Hlk208068970"/>
    </w:p>
    <w:p w14:paraId="605197B5" w14:textId="3C2A04F7" w:rsidR="00F84CEA" w:rsidRPr="00BB7E82" w:rsidRDefault="00F84CEA" w:rsidP="00F84CEA">
      <w:pPr>
        <w:pStyle w:val="BodyText2"/>
        <w:spacing w:line="360" w:lineRule="auto"/>
        <w:jc w:val="both"/>
        <w:rPr>
          <w:b/>
          <w:bCs/>
          <w:color w:val="000000" w:themeColor="text1"/>
          <w:lang w:val="en-IN"/>
        </w:rPr>
      </w:pPr>
      <w:r w:rsidRPr="00BB7E82">
        <w:rPr>
          <w:b/>
          <w:bCs/>
          <w:lang w:val="en-IN"/>
        </w:rPr>
        <w:t>Conclusion:</w:t>
      </w:r>
    </w:p>
    <w:p w14:paraId="219A4275" w14:textId="20186C9E" w:rsidR="00F84CEA" w:rsidRPr="00F84CEA" w:rsidRDefault="00890450" w:rsidP="00F84CEA">
      <w:pPr>
        <w:spacing w:line="360" w:lineRule="auto"/>
        <w:jc w:val="both"/>
        <w:rPr>
          <w:lang w:val="en-IN"/>
        </w:rPr>
      </w:pPr>
      <w:r>
        <w:rPr>
          <w:lang w:val="en-IN"/>
        </w:rPr>
        <w:tab/>
      </w:r>
      <w:r w:rsidR="00F84CEA" w:rsidRPr="00F84CEA">
        <w:rPr>
          <w:lang w:val="en-IN"/>
        </w:rPr>
        <w:t>The 19-year nutrient management trial demonstrates that long-term application of farmyard manure (FYM), either alone or in combination with chemical fertilizers, markedly enhances soil health and productivity in intensive rice-rice systems. Integration of FYM with recommended NPK doses significantly reduced soil bulk density (from 1.53 to 1.36 Mg m⁻³) and increased total porosity (by 8–12%), thereby providing a more favo</w:t>
      </w:r>
      <w:r w:rsidR="00803B04">
        <w:rPr>
          <w:lang w:val="en-IN"/>
        </w:rPr>
        <w:t>u</w:t>
      </w:r>
      <w:r w:rsidR="00F84CEA" w:rsidRPr="00F84CEA">
        <w:rPr>
          <w:lang w:val="en-IN"/>
        </w:rPr>
        <w:t>rable environment for root growth and microbial activity. Infiltration rates improved by nearly 25% under FYM and INM treatments compared to sole chemical fertilization, contributing to better soil moisture retention, reduced runoff, and resilience against erosion.</w:t>
      </w:r>
      <w:r w:rsidR="00F84CEA">
        <w:rPr>
          <w:lang w:val="en-IN"/>
        </w:rPr>
        <w:t xml:space="preserve"> </w:t>
      </w:r>
      <w:r w:rsidR="00F84CEA" w:rsidRPr="00F84CEA">
        <w:rPr>
          <w:lang w:val="en-IN"/>
        </w:rPr>
        <w:t xml:space="preserve">Biologically, INM treatments sustained 20–30% higher microbial biomass carbon and dehydrogenase activity compared to NPK-only plots, underscoring the role of organic inputs in maintaining active nutrient cycling. </w:t>
      </w:r>
      <w:r w:rsidR="00F84CEA" w:rsidRPr="00F84CEA">
        <w:rPr>
          <w:lang w:val="en-IN"/>
        </w:rPr>
        <w:lastRenderedPageBreak/>
        <w:t>Consequently, grain yields were optimized under INM, whereas sole nitrogen plots produced significantly lower yields, highlighting yield instability under unbalanced fertilization. Similarly, soil quality index (SQI) values improved by 15–20% with integrated practices, while sole fertilizer or no-fertilizer treatments registered the lowest SQI scores.</w:t>
      </w:r>
    </w:p>
    <w:p w14:paraId="6E099683" w14:textId="77777777" w:rsidR="00F84CEA" w:rsidRPr="00F84CEA" w:rsidRDefault="00F84CEA" w:rsidP="00F84CEA">
      <w:pPr>
        <w:spacing w:line="360" w:lineRule="auto"/>
        <w:jc w:val="both"/>
        <w:rPr>
          <w:lang w:val="en-IN"/>
        </w:rPr>
      </w:pPr>
    </w:p>
    <w:bookmarkEnd w:id="3"/>
    <w:p w14:paraId="17FC66C8" w14:textId="77777777" w:rsidR="00D96ECE" w:rsidRDefault="009565AE">
      <w:pPr>
        <w:spacing w:line="360" w:lineRule="auto"/>
        <w:jc w:val="both"/>
        <w:rPr>
          <w:b/>
          <w:bCs/>
          <w:color w:val="000000" w:themeColor="text1"/>
          <w:lang w:val="en-IN"/>
        </w:rPr>
      </w:pPr>
      <w:r>
        <w:rPr>
          <w:b/>
          <w:bCs/>
          <w:color w:val="000000" w:themeColor="text1"/>
          <w:lang w:val="en-IN"/>
        </w:rPr>
        <w:t>References:</w:t>
      </w:r>
    </w:p>
    <w:p w14:paraId="6D18910B" w14:textId="77777777" w:rsidR="00245AC4" w:rsidRDefault="009565AE" w:rsidP="00245AC4">
      <w:pPr>
        <w:spacing w:line="360" w:lineRule="auto"/>
        <w:jc w:val="both"/>
        <w:rPr>
          <w:color w:val="000000" w:themeColor="text1"/>
          <w:lang w:val="en-IN"/>
        </w:rPr>
      </w:pPr>
      <w:r>
        <w:rPr>
          <w:color w:val="000000" w:themeColor="text1"/>
          <w:lang w:val="en-IN"/>
        </w:rPr>
        <w:t xml:space="preserve">Ahlawat, V., </w:t>
      </w:r>
      <w:proofErr w:type="spellStart"/>
      <w:r>
        <w:rPr>
          <w:color w:val="000000" w:themeColor="text1"/>
          <w:lang w:val="en-IN"/>
        </w:rPr>
        <w:t>Dadarwal</w:t>
      </w:r>
      <w:proofErr w:type="spellEnd"/>
      <w:r>
        <w:rPr>
          <w:color w:val="000000" w:themeColor="text1"/>
          <w:lang w:val="en-IN"/>
        </w:rPr>
        <w:t>, R. S., Yadav, P. K., &amp; Chaudhary, K. (2023). Effects of long-term nutrient management practices on physicochemical properties of soils: A review. </w:t>
      </w:r>
      <w:r>
        <w:rPr>
          <w:i/>
          <w:iCs/>
          <w:color w:val="000000" w:themeColor="text1"/>
          <w:lang w:val="en-IN"/>
        </w:rPr>
        <w:t>The Pharma Journal</w:t>
      </w:r>
      <w:r>
        <w:rPr>
          <w:color w:val="000000" w:themeColor="text1"/>
          <w:lang w:val="en-IN"/>
        </w:rPr>
        <w:t>, 12(1), 742-760.</w:t>
      </w:r>
    </w:p>
    <w:p w14:paraId="2C8B2A58" w14:textId="77777777" w:rsidR="00245AC4" w:rsidRDefault="009565AE" w:rsidP="00245AC4">
      <w:pPr>
        <w:spacing w:line="360" w:lineRule="auto"/>
        <w:jc w:val="both"/>
        <w:rPr>
          <w:color w:val="000000" w:themeColor="text1"/>
          <w:lang w:val="en-IN"/>
        </w:rPr>
      </w:pPr>
      <w:r>
        <w:rPr>
          <w:color w:val="000000"/>
        </w:rPr>
        <w:t>A</w:t>
      </w:r>
      <w:r>
        <w:rPr>
          <w:color w:val="000000" w:themeColor="text1"/>
        </w:rPr>
        <w:t xml:space="preserve">parna, M., Ravi P., Chandra Shaker, K and Mahesh, N. 2022. Effect of Long-term Fertilization and Manuring on Soil Enzyme Activity in Rice-rice Cropping System in Semi-arid Southern India.  </w:t>
      </w:r>
      <w:r>
        <w:rPr>
          <w:i/>
          <w:color w:val="000000" w:themeColor="text1"/>
        </w:rPr>
        <w:t>International Journal of Environment and Climate Change</w:t>
      </w:r>
      <w:r>
        <w:rPr>
          <w:color w:val="000000" w:themeColor="text1"/>
        </w:rPr>
        <w:t>. 12(9): 35-42</w:t>
      </w:r>
    </w:p>
    <w:p w14:paraId="49D06A2A" w14:textId="77777777" w:rsidR="00245AC4" w:rsidRDefault="009565AE" w:rsidP="00245AC4">
      <w:pPr>
        <w:spacing w:line="360" w:lineRule="auto"/>
        <w:jc w:val="both"/>
        <w:rPr>
          <w:color w:val="000000" w:themeColor="text1"/>
          <w:lang w:val="en-IN"/>
        </w:rPr>
      </w:pPr>
      <w:r>
        <w:rPr>
          <w:color w:val="000000" w:themeColor="text1"/>
          <w:lang w:val="en-IN"/>
        </w:rPr>
        <w:t>Ben-David, A and Davidson, C.E.2014. Estimation method for serial dilution experiments. Journal of microbiological methods,07(1):214-221.</w:t>
      </w:r>
    </w:p>
    <w:p w14:paraId="68EB975E" w14:textId="77777777" w:rsidR="00245AC4" w:rsidRDefault="009565AE" w:rsidP="00245AC4">
      <w:pPr>
        <w:spacing w:line="360" w:lineRule="auto"/>
        <w:jc w:val="both"/>
        <w:rPr>
          <w:color w:val="000000" w:themeColor="text1"/>
          <w:lang w:val="en-IN"/>
        </w:rPr>
      </w:pPr>
      <w:r>
        <w:rPr>
          <w:color w:val="000000" w:themeColor="text1"/>
        </w:rPr>
        <w:t xml:space="preserve">Biswas, S., Singh, P., Rahaman, R., Patil, K. V., &amp; De, N. (2023). Soil quality and crop productivity under 34 years old long-term rainfed rice-based cropping system in an </w:t>
      </w:r>
      <w:proofErr w:type="spellStart"/>
      <w:r>
        <w:rPr>
          <w:color w:val="000000" w:themeColor="text1"/>
        </w:rPr>
        <w:t>Inceptisol</w:t>
      </w:r>
      <w:proofErr w:type="spellEnd"/>
      <w:r>
        <w:rPr>
          <w:color w:val="000000" w:themeColor="text1"/>
        </w:rPr>
        <w:t xml:space="preserve"> of sub-tropical India. </w:t>
      </w:r>
      <w:r>
        <w:rPr>
          <w:i/>
          <w:iCs/>
          <w:color w:val="000000" w:themeColor="text1"/>
        </w:rPr>
        <w:t>Frontiers in Soil Science</w:t>
      </w:r>
      <w:r>
        <w:rPr>
          <w:color w:val="000000" w:themeColor="text1"/>
        </w:rPr>
        <w:t>, 1, Article 1155712.</w:t>
      </w:r>
      <w:r>
        <w:rPr>
          <w:color w:val="000000" w:themeColor="text1"/>
          <w:lang w:val="en-IN"/>
        </w:rPr>
        <w:t xml:space="preserve"> </w:t>
      </w:r>
    </w:p>
    <w:p w14:paraId="28B3BFC7" w14:textId="12D104CC" w:rsidR="00245AC4" w:rsidRDefault="009565AE" w:rsidP="00245AC4">
      <w:pPr>
        <w:spacing w:line="360" w:lineRule="auto"/>
        <w:jc w:val="both"/>
        <w:rPr>
          <w:color w:val="000000" w:themeColor="text1"/>
          <w:lang w:val="en-IN"/>
        </w:rPr>
      </w:pPr>
      <w:r>
        <w:rPr>
          <w:color w:val="000000" w:themeColor="text1"/>
          <w:lang w:val="en-IN"/>
        </w:rPr>
        <w:t xml:space="preserve">Bhatt, B. P., Kumari, P., &amp; Lal, M. (2017). Effects of </w:t>
      </w:r>
      <w:proofErr w:type="gramStart"/>
      <w:r>
        <w:rPr>
          <w:color w:val="000000" w:themeColor="text1"/>
          <w:lang w:val="en-IN"/>
        </w:rPr>
        <w:t>long term</w:t>
      </w:r>
      <w:proofErr w:type="gramEnd"/>
      <w:r>
        <w:rPr>
          <w:color w:val="000000" w:themeColor="text1"/>
          <w:lang w:val="en-IN"/>
        </w:rPr>
        <w:t xml:space="preserve"> application of inorganic and organic fertilizers on physical and </w:t>
      </w:r>
      <w:proofErr w:type="spellStart"/>
      <w:r>
        <w:rPr>
          <w:color w:val="000000" w:themeColor="text1"/>
          <w:lang w:val="en-IN"/>
        </w:rPr>
        <w:t>physico</w:t>
      </w:r>
      <w:proofErr w:type="spellEnd"/>
      <w:r>
        <w:rPr>
          <w:color w:val="000000" w:themeColor="text1"/>
          <w:lang w:val="en-IN"/>
        </w:rPr>
        <w:t>-chemical properties of soil in rice-rice cropping system. </w:t>
      </w:r>
      <w:r>
        <w:rPr>
          <w:i/>
          <w:iCs/>
          <w:color w:val="000000" w:themeColor="text1"/>
          <w:lang w:val="en-IN"/>
        </w:rPr>
        <w:t>Bulletin of Environment, Pharmacology and Life Sciences</w:t>
      </w:r>
      <w:r>
        <w:rPr>
          <w:color w:val="000000" w:themeColor="text1"/>
          <w:lang w:val="en-IN"/>
        </w:rPr>
        <w:t>, 6(Special Issue 2), 465-470</w:t>
      </w:r>
      <w:r w:rsidR="00245AC4">
        <w:rPr>
          <w:color w:val="000000" w:themeColor="text1"/>
          <w:lang w:val="en-IN"/>
        </w:rPr>
        <w:t>.</w:t>
      </w:r>
    </w:p>
    <w:p w14:paraId="51F7DB5B" w14:textId="77777777" w:rsidR="00245AC4" w:rsidRDefault="009565AE" w:rsidP="00245AC4">
      <w:pPr>
        <w:spacing w:line="360" w:lineRule="auto"/>
        <w:jc w:val="both"/>
        <w:rPr>
          <w:color w:val="000000" w:themeColor="text1"/>
          <w:lang w:val="en-IN"/>
        </w:rPr>
      </w:pPr>
      <w:r>
        <w:rPr>
          <w:color w:val="000000" w:themeColor="text1"/>
          <w:lang w:val="en-IN"/>
        </w:rPr>
        <w:t xml:space="preserve">Bhavani, S., Shaker, K. C., Jayasree, G., Padmaja, B., &amp; Kiran Reddy, G. (2017). Effects of </w:t>
      </w:r>
      <w:proofErr w:type="gramStart"/>
      <w:r>
        <w:rPr>
          <w:color w:val="000000" w:themeColor="text1"/>
          <w:lang w:val="en-IN"/>
        </w:rPr>
        <w:t>long term</w:t>
      </w:r>
      <w:proofErr w:type="gramEnd"/>
      <w:r>
        <w:rPr>
          <w:color w:val="000000" w:themeColor="text1"/>
          <w:lang w:val="en-IN"/>
        </w:rPr>
        <w:t xml:space="preserve"> application of inorganic and organic fertilizers on physical and </w:t>
      </w:r>
      <w:proofErr w:type="spellStart"/>
      <w:r>
        <w:rPr>
          <w:color w:val="000000" w:themeColor="text1"/>
          <w:lang w:val="en-IN"/>
        </w:rPr>
        <w:t>physico</w:t>
      </w:r>
      <w:proofErr w:type="spellEnd"/>
      <w:r>
        <w:rPr>
          <w:color w:val="000000" w:themeColor="text1"/>
          <w:lang w:val="en-IN"/>
        </w:rPr>
        <w:t>-chemical properties of soil in rice-rice cropping system. </w:t>
      </w:r>
      <w:r>
        <w:rPr>
          <w:i/>
          <w:iCs/>
          <w:color w:val="000000" w:themeColor="text1"/>
          <w:lang w:val="en-IN"/>
        </w:rPr>
        <w:t>Bulletin of Environment, Pharmacology and Life Sciences</w:t>
      </w:r>
      <w:r>
        <w:rPr>
          <w:color w:val="000000" w:themeColor="text1"/>
          <w:lang w:val="en-IN"/>
        </w:rPr>
        <w:t>, 6(Special Issue 2), 465-470.</w:t>
      </w:r>
    </w:p>
    <w:p w14:paraId="6B964758" w14:textId="77777777" w:rsidR="00245AC4" w:rsidRDefault="009565AE" w:rsidP="00245AC4">
      <w:pPr>
        <w:spacing w:line="360" w:lineRule="auto"/>
        <w:jc w:val="both"/>
        <w:rPr>
          <w:color w:val="000000" w:themeColor="text1"/>
          <w:lang w:val="en-IN"/>
        </w:rPr>
      </w:pPr>
      <w:proofErr w:type="spellStart"/>
      <w:proofErr w:type="gramStart"/>
      <w:r>
        <w:rPr>
          <w:color w:val="000000" w:themeColor="text1"/>
          <w:lang w:val="en-IN"/>
        </w:rPr>
        <w:t>Cassida,L.E</w:t>
      </w:r>
      <w:proofErr w:type="spellEnd"/>
      <w:r>
        <w:rPr>
          <w:color w:val="000000" w:themeColor="text1"/>
          <w:lang w:val="en-IN"/>
        </w:rPr>
        <w:t>.</w:t>
      </w:r>
      <w:proofErr w:type="gramEnd"/>
      <w:r>
        <w:rPr>
          <w:color w:val="000000" w:themeColor="text1"/>
          <w:lang w:val="en-IN"/>
        </w:rPr>
        <w:t xml:space="preserve">, </w:t>
      </w:r>
      <w:proofErr w:type="spellStart"/>
      <w:r>
        <w:rPr>
          <w:color w:val="000000" w:themeColor="text1"/>
          <w:lang w:val="en-IN"/>
        </w:rPr>
        <w:t>Klein,D.A</w:t>
      </w:r>
      <w:proofErr w:type="spellEnd"/>
      <w:r>
        <w:rPr>
          <w:color w:val="000000" w:themeColor="text1"/>
          <w:lang w:val="en-IN"/>
        </w:rPr>
        <w:t xml:space="preserve"> and Santoro,J.1964. Soil dehydrogenase activity. </w:t>
      </w:r>
      <w:r>
        <w:rPr>
          <w:i/>
          <w:iCs/>
          <w:color w:val="000000" w:themeColor="text1"/>
          <w:lang w:val="en-IN"/>
        </w:rPr>
        <w:t>Soil Science</w:t>
      </w:r>
      <w:r>
        <w:rPr>
          <w:color w:val="000000" w:themeColor="text1"/>
          <w:lang w:val="en-IN"/>
        </w:rPr>
        <w:t>.98: 371-376.</w:t>
      </w:r>
    </w:p>
    <w:p w14:paraId="0023B1D0" w14:textId="77777777" w:rsidR="00245AC4" w:rsidRDefault="009565AE" w:rsidP="00245AC4">
      <w:pPr>
        <w:spacing w:line="360" w:lineRule="auto"/>
        <w:jc w:val="both"/>
        <w:rPr>
          <w:color w:val="000000" w:themeColor="text1"/>
          <w:lang w:val="en-IN"/>
        </w:rPr>
      </w:pPr>
      <w:r>
        <w:rPr>
          <w:color w:val="000000" w:themeColor="text1"/>
          <w:lang w:val="en-IN"/>
        </w:rPr>
        <w:t>Cui, X., Shi, Y., Zhang, Q., &amp; Zhang, Y. (2018). Long-term combined application of manure and chemical fertilizers sustained high rice yield and improved soil chemical and bacterial properties. </w:t>
      </w:r>
      <w:r>
        <w:rPr>
          <w:i/>
          <w:iCs/>
          <w:color w:val="000000" w:themeColor="text1"/>
          <w:lang w:val="en-IN"/>
        </w:rPr>
        <w:t>Scientific Reports</w:t>
      </w:r>
      <w:r>
        <w:rPr>
          <w:color w:val="000000" w:themeColor="text1"/>
          <w:lang w:val="en-IN"/>
        </w:rPr>
        <w:t>, 8, 17193.</w:t>
      </w:r>
    </w:p>
    <w:p w14:paraId="0F644C9A" w14:textId="77777777" w:rsidR="00245AC4" w:rsidRDefault="009565AE" w:rsidP="00245AC4">
      <w:pPr>
        <w:spacing w:line="360" w:lineRule="auto"/>
        <w:jc w:val="both"/>
        <w:rPr>
          <w:color w:val="000000" w:themeColor="text1"/>
          <w:lang w:val="en-IN"/>
        </w:rPr>
      </w:pPr>
      <w:r>
        <w:t xml:space="preserve">Dastane, N.G. 1967. A Practical Manual for water </w:t>
      </w:r>
      <w:proofErr w:type="gramStart"/>
      <w:r>
        <w:t>use</w:t>
      </w:r>
      <w:proofErr w:type="gramEnd"/>
      <w:r>
        <w:t xml:space="preserve"> research, </w:t>
      </w:r>
      <w:proofErr w:type="spellStart"/>
      <w:r>
        <w:t>Navabharat</w:t>
      </w:r>
      <w:proofErr w:type="spellEnd"/>
      <w:r>
        <w:t xml:space="preserve">, </w:t>
      </w:r>
      <w:proofErr w:type="spellStart"/>
      <w:r>
        <w:t>Prakashan</w:t>
      </w:r>
      <w:proofErr w:type="spellEnd"/>
      <w:r>
        <w:t xml:space="preserve"> Publication, Poona (India).120.</w:t>
      </w:r>
    </w:p>
    <w:p w14:paraId="2F37A575" w14:textId="77777777" w:rsidR="00245AC4" w:rsidRDefault="009565AE" w:rsidP="00245AC4">
      <w:pPr>
        <w:spacing w:line="360" w:lineRule="auto"/>
        <w:jc w:val="both"/>
        <w:rPr>
          <w:color w:val="000000" w:themeColor="text1"/>
          <w:lang w:val="en-IN"/>
        </w:rPr>
      </w:pPr>
      <w:r>
        <w:rPr>
          <w:color w:val="000000" w:themeColor="text1"/>
        </w:rPr>
        <w:t>Devi, N.T., Devi, A.S. &amp; Singh, K.R. Impact of chemical fertilizer and composts application on growth and yield of rice in Northeast India. </w:t>
      </w:r>
      <w:r>
        <w:rPr>
          <w:i/>
          <w:iCs/>
          <w:color w:val="000000" w:themeColor="text1"/>
        </w:rPr>
        <w:t>Sci Rep</w:t>
      </w:r>
      <w:r>
        <w:rPr>
          <w:color w:val="000000" w:themeColor="text1"/>
        </w:rPr>
        <w:t> </w:t>
      </w:r>
      <w:r>
        <w:rPr>
          <w:b/>
          <w:bCs/>
          <w:color w:val="000000" w:themeColor="text1"/>
        </w:rPr>
        <w:t>15</w:t>
      </w:r>
      <w:r>
        <w:rPr>
          <w:color w:val="000000" w:themeColor="text1"/>
        </w:rPr>
        <w:t xml:space="preserve">, 8575 (2025). </w:t>
      </w:r>
    </w:p>
    <w:p w14:paraId="603F8FD0" w14:textId="77777777" w:rsidR="00245AC4" w:rsidRDefault="009565AE" w:rsidP="00245AC4">
      <w:pPr>
        <w:spacing w:line="360" w:lineRule="auto"/>
        <w:jc w:val="both"/>
        <w:rPr>
          <w:color w:val="000000" w:themeColor="text1"/>
          <w:lang w:val="en-IN"/>
        </w:rPr>
      </w:pPr>
      <w:r>
        <w:rPr>
          <w:color w:val="000000" w:themeColor="text1"/>
          <w:lang w:val="en-IN"/>
        </w:rPr>
        <w:lastRenderedPageBreak/>
        <w:t xml:space="preserve">Dhaliwal, S. S., Walia, S., Gill, R. S., Kaur, T., Kaur, K., Randhawa, M. K., </w:t>
      </w:r>
      <w:proofErr w:type="spellStart"/>
      <w:r>
        <w:rPr>
          <w:color w:val="000000" w:themeColor="text1"/>
          <w:lang w:val="en-IN"/>
        </w:rPr>
        <w:t>Obročník</w:t>
      </w:r>
      <w:proofErr w:type="spellEnd"/>
      <w:r>
        <w:rPr>
          <w:color w:val="000000" w:themeColor="text1"/>
          <w:lang w:val="en-IN"/>
        </w:rPr>
        <w:t xml:space="preserve">, O., </w:t>
      </w:r>
      <w:proofErr w:type="spellStart"/>
      <w:r>
        <w:rPr>
          <w:color w:val="000000" w:themeColor="text1"/>
          <w:lang w:val="en-IN"/>
        </w:rPr>
        <w:t>Bárek</w:t>
      </w:r>
      <w:proofErr w:type="spellEnd"/>
      <w:r>
        <w:rPr>
          <w:color w:val="000000" w:themeColor="text1"/>
          <w:lang w:val="en-IN"/>
        </w:rPr>
        <w:t xml:space="preserve">, V., </w:t>
      </w:r>
      <w:proofErr w:type="spellStart"/>
      <w:r>
        <w:rPr>
          <w:color w:val="000000" w:themeColor="text1"/>
          <w:lang w:val="en-IN"/>
        </w:rPr>
        <w:t>Brestic</w:t>
      </w:r>
      <w:proofErr w:type="spellEnd"/>
      <w:r>
        <w:rPr>
          <w:color w:val="000000" w:themeColor="text1"/>
          <w:lang w:val="en-IN"/>
        </w:rPr>
        <w:t>, M., Gaber, A., &amp; Hossain, A. (2023). Improvement of soil health and nutrient transformations under balanced fertilization with integrated nutrient management in a rice-wheat system in Indo-Gangetic Plains – A 34-year research outcomes. </w:t>
      </w:r>
      <w:r>
        <w:rPr>
          <w:i/>
          <w:iCs/>
          <w:color w:val="000000" w:themeColor="text1"/>
          <w:lang w:val="en-IN"/>
        </w:rPr>
        <w:t>Science of The Total Environment</w:t>
      </w:r>
      <w:r>
        <w:rPr>
          <w:color w:val="000000" w:themeColor="text1"/>
          <w:lang w:val="en-IN"/>
        </w:rPr>
        <w:t>. </w:t>
      </w:r>
    </w:p>
    <w:p w14:paraId="3566AA01" w14:textId="77777777" w:rsidR="00245AC4" w:rsidRDefault="009565AE" w:rsidP="00245AC4">
      <w:pPr>
        <w:spacing w:line="360" w:lineRule="auto"/>
        <w:jc w:val="both"/>
        <w:rPr>
          <w:color w:val="000000" w:themeColor="text1"/>
          <w:lang w:val="en-IN"/>
        </w:rPr>
      </w:pPr>
      <w:proofErr w:type="spellStart"/>
      <w:r>
        <w:rPr>
          <w:color w:val="000000" w:themeColor="text1"/>
          <w:lang w:val="en-IN"/>
        </w:rPr>
        <w:t>Franzluebbers</w:t>
      </w:r>
      <w:proofErr w:type="spellEnd"/>
      <w:r>
        <w:rPr>
          <w:color w:val="000000" w:themeColor="text1"/>
          <w:lang w:val="en-IN"/>
        </w:rPr>
        <w:t>, A. J. (2002). Water infiltration and soil structure in long-term manure-treated soils. </w:t>
      </w:r>
      <w:r>
        <w:rPr>
          <w:i/>
          <w:iCs/>
          <w:color w:val="000000" w:themeColor="text1"/>
          <w:lang w:val="en-IN"/>
        </w:rPr>
        <w:t>Soil Science Society of America Journal</w:t>
      </w:r>
      <w:r>
        <w:rPr>
          <w:color w:val="000000" w:themeColor="text1"/>
          <w:lang w:val="en-IN"/>
        </w:rPr>
        <w:t>, 66(3), 790-796.</w:t>
      </w:r>
    </w:p>
    <w:p w14:paraId="24DC2C02" w14:textId="77777777" w:rsidR="00245AC4" w:rsidRDefault="009565AE">
      <w:pPr>
        <w:spacing w:line="360" w:lineRule="auto"/>
        <w:jc w:val="both"/>
        <w:rPr>
          <w:color w:val="000000" w:themeColor="text1"/>
          <w:lang w:val="en-IN"/>
        </w:rPr>
      </w:pPr>
      <w:r>
        <w:rPr>
          <w:color w:val="000000" w:themeColor="text1"/>
        </w:rPr>
        <w:t>Gao, P., Zhang, T., Lei, X., Cui, X., Lu, Y., Fan, P., Long, S., Huang, J., Gao, J., Zhang, Z., &amp; Zhang, H. (2023). Improvement of soil fertility and rice yield after long-term application of cow manure combined with inorganic fertilizers. </w:t>
      </w:r>
      <w:r>
        <w:rPr>
          <w:i/>
          <w:iCs/>
          <w:color w:val="000000" w:themeColor="text1"/>
        </w:rPr>
        <w:t>Journal of Soil Science and Plant Nutrition</w:t>
      </w:r>
      <w:r>
        <w:rPr>
          <w:color w:val="000000" w:themeColor="text1"/>
        </w:rPr>
        <w:t>, 22(6), 2221-2232.</w:t>
      </w:r>
      <w:r>
        <w:rPr>
          <w:color w:val="000000" w:themeColor="text1"/>
          <w:lang w:val="en-IN"/>
        </w:rPr>
        <w:t xml:space="preserve"> </w:t>
      </w:r>
    </w:p>
    <w:p w14:paraId="60B4F6C3" w14:textId="77777777" w:rsidR="00245AC4" w:rsidRDefault="009565AE">
      <w:pPr>
        <w:spacing w:line="360" w:lineRule="auto"/>
        <w:jc w:val="both"/>
        <w:rPr>
          <w:color w:val="000000" w:themeColor="text1"/>
          <w:lang w:val="en-IN"/>
        </w:rPr>
      </w:pPr>
      <w:proofErr w:type="spellStart"/>
      <w:proofErr w:type="gramStart"/>
      <w:r>
        <w:t>Jackson,M.L</w:t>
      </w:r>
      <w:proofErr w:type="spellEnd"/>
      <w:r>
        <w:t>.</w:t>
      </w:r>
      <w:proofErr w:type="gramEnd"/>
      <w:r>
        <w:t xml:space="preserve"> 1973. Soil chemical analysis. Prentice Hall of India Private Ltd., New Delhi.134-182.</w:t>
      </w:r>
    </w:p>
    <w:p w14:paraId="488912BD" w14:textId="77777777" w:rsidR="00245AC4" w:rsidRDefault="009565AE" w:rsidP="00245AC4">
      <w:pPr>
        <w:spacing w:line="360" w:lineRule="auto"/>
        <w:jc w:val="both"/>
        <w:rPr>
          <w:color w:val="000000" w:themeColor="text1"/>
        </w:rPr>
      </w:pPr>
      <w:r>
        <w:rPr>
          <w:color w:val="000000" w:themeColor="text1"/>
        </w:rPr>
        <w:t>Jiang, T., Ma, T., He, X., Chen, S., &amp; Li, Y. (2022). Long-Term Organic–Inorganic Fertilization Regimes Alter Bacterial and Fungal Communities and Rice Yields in Paddy Soil. </w:t>
      </w:r>
      <w:r>
        <w:rPr>
          <w:i/>
          <w:iCs/>
          <w:color w:val="000000" w:themeColor="text1"/>
        </w:rPr>
        <w:t>Frontiers in Microbiology, 13</w:t>
      </w:r>
      <w:r>
        <w:rPr>
          <w:color w:val="000000" w:themeColor="text1"/>
        </w:rPr>
        <w:t>, 890712. </w:t>
      </w:r>
    </w:p>
    <w:p w14:paraId="52983926" w14:textId="77777777" w:rsidR="00245AC4" w:rsidRDefault="009565AE" w:rsidP="00245AC4">
      <w:pPr>
        <w:spacing w:line="360" w:lineRule="auto"/>
        <w:jc w:val="both"/>
        <w:rPr>
          <w:color w:val="000000" w:themeColor="text1"/>
        </w:rPr>
      </w:pPr>
      <w:r>
        <w:rPr>
          <w:color w:val="000000" w:themeColor="text1"/>
        </w:rPr>
        <w:t>Kumar, S., Yadav, R. L., &amp; Tripathi, R. S. (2001). Long-term effects of fertilizers on the soil fertility and productivity of rice and wheat cropping system in Indo-Gangetic plains. </w:t>
      </w:r>
      <w:r>
        <w:rPr>
          <w:i/>
          <w:iCs/>
          <w:color w:val="000000" w:themeColor="text1"/>
        </w:rPr>
        <w:t>Journal of Plant Nutrition and Soil Science, 164</w:t>
      </w:r>
      <w:r>
        <w:rPr>
          <w:color w:val="000000" w:themeColor="text1"/>
        </w:rPr>
        <w:t xml:space="preserve">(3), 351-356. </w:t>
      </w:r>
    </w:p>
    <w:p w14:paraId="29D5FB4B" w14:textId="77777777" w:rsidR="00245AC4" w:rsidRDefault="009565AE" w:rsidP="00245AC4">
      <w:pPr>
        <w:spacing w:line="360" w:lineRule="auto"/>
        <w:jc w:val="both"/>
        <w:rPr>
          <w:color w:val="000000" w:themeColor="text1"/>
        </w:rPr>
      </w:pPr>
      <w:r>
        <w:rPr>
          <w:color w:val="000000" w:themeColor="text1"/>
        </w:rPr>
        <w:t xml:space="preserve">Kumari, M., </w:t>
      </w:r>
      <w:proofErr w:type="spellStart"/>
      <w:r>
        <w:rPr>
          <w:color w:val="000000" w:themeColor="text1"/>
        </w:rPr>
        <w:t>Sheoran</w:t>
      </w:r>
      <w:proofErr w:type="spellEnd"/>
      <w:r>
        <w:rPr>
          <w:color w:val="000000" w:themeColor="text1"/>
        </w:rPr>
        <w:t>, S., Prakash, D., Yadav, D. B., Yadav, P. K., Jat, M. K., Ankit, &amp; Apurva. (2024). Long-term application of organic manures and chemical fertilizers improve the organic carbon and microbiological properties of soil under pearl millet-wheat cropping system in North-Western India. </w:t>
      </w:r>
      <w:r>
        <w:rPr>
          <w:i/>
          <w:iCs/>
          <w:color w:val="000000" w:themeColor="text1"/>
        </w:rPr>
        <w:t>Agriculture, 14</w:t>
      </w:r>
      <w:r>
        <w:rPr>
          <w:color w:val="000000" w:themeColor="text1"/>
        </w:rPr>
        <w:t>(2), 98. </w:t>
      </w:r>
      <w:r>
        <w:rPr>
          <w:color w:val="000000" w:themeColor="text1"/>
          <w:lang w:val="en-IN"/>
        </w:rPr>
        <w:t xml:space="preserve"> </w:t>
      </w:r>
    </w:p>
    <w:p w14:paraId="4EE07066" w14:textId="77777777" w:rsidR="00245AC4" w:rsidRDefault="009565AE" w:rsidP="00245AC4">
      <w:pPr>
        <w:spacing w:line="360" w:lineRule="auto"/>
        <w:jc w:val="both"/>
        <w:rPr>
          <w:color w:val="000000" w:themeColor="text1"/>
        </w:rPr>
      </w:pPr>
      <w:r>
        <w:rPr>
          <w:color w:val="000000" w:themeColor="text1"/>
        </w:rPr>
        <w:t>Kumawat, V., Kumar, D., Shivay, Y. S., Bhatia, A., Rashmi, I., Yadav, D., &amp; Kumawat, A. (2023). Long-term impact of biofertilization on soil health and productivity in basmati rice-based cropping systems. </w:t>
      </w:r>
      <w:r>
        <w:rPr>
          <w:i/>
          <w:iCs/>
          <w:color w:val="000000" w:themeColor="text1"/>
        </w:rPr>
        <w:t>Frontiers in Environmental Science, 11</w:t>
      </w:r>
      <w:r>
        <w:rPr>
          <w:color w:val="000000" w:themeColor="text1"/>
        </w:rPr>
        <w:t>, 1031844.</w:t>
      </w:r>
    </w:p>
    <w:p w14:paraId="49CB2DE0" w14:textId="77777777" w:rsidR="00245AC4" w:rsidRDefault="009565AE" w:rsidP="00245AC4">
      <w:pPr>
        <w:spacing w:line="360" w:lineRule="auto"/>
        <w:jc w:val="both"/>
        <w:rPr>
          <w:color w:val="000000" w:themeColor="text1"/>
        </w:rPr>
      </w:pPr>
      <w:proofErr w:type="spellStart"/>
      <w:r>
        <w:rPr>
          <w:color w:val="000000" w:themeColor="text1"/>
        </w:rPr>
        <w:t>Kurmvanshi</w:t>
      </w:r>
      <w:proofErr w:type="spellEnd"/>
      <w:r>
        <w:rPr>
          <w:color w:val="000000" w:themeColor="text1"/>
        </w:rPr>
        <w:t xml:space="preserve">, S. M., Maurya, B. M., and Tiwari, R. K. (2018). Long term effect of chemical fertilizer in rice-wheat cropping system under irrigated condition of </w:t>
      </w:r>
      <w:proofErr w:type="spellStart"/>
      <w:r>
        <w:rPr>
          <w:color w:val="000000" w:themeColor="text1"/>
        </w:rPr>
        <w:t>Kymore</w:t>
      </w:r>
      <w:proofErr w:type="spellEnd"/>
      <w:r>
        <w:rPr>
          <w:color w:val="000000" w:themeColor="text1"/>
        </w:rPr>
        <w:t xml:space="preserve"> </w:t>
      </w:r>
      <w:proofErr w:type="spellStart"/>
      <w:r>
        <w:rPr>
          <w:color w:val="000000" w:themeColor="text1"/>
        </w:rPr>
        <w:t>Satpura</w:t>
      </w:r>
      <w:proofErr w:type="spellEnd"/>
      <w:r>
        <w:rPr>
          <w:color w:val="000000" w:themeColor="text1"/>
        </w:rPr>
        <w:t xml:space="preserve"> </w:t>
      </w:r>
      <w:proofErr w:type="spellStart"/>
      <w:r>
        <w:rPr>
          <w:color w:val="000000" w:themeColor="text1"/>
        </w:rPr>
        <w:t>agro</w:t>
      </w:r>
      <w:proofErr w:type="spellEnd"/>
      <w:r>
        <w:rPr>
          <w:color w:val="000000" w:themeColor="text1"/>
        </w:rPr>
        <w:t xml:space="preserve"> climatic zone. </w:t>
      </w:r>
      <w:r>
        <w:rPr>
          <w:i/>
          <w:iCs/>
          <w:color w:val="000000" w:themeColor="text1"/>
        </w:rPr>
        <w:t>International Journal of Current Microbiology and Applied Sciences</w:t>
      </w:r>
      <w:r>
        <w:rPr>
          <w:color w:val="000000" w:themeColor="text1"/>
        </w:rPr>
        <w:t>, 7(8), 3918-3925. </w:t>
      </w:r>
    </w:p>
    <w:p w14:paraId="05A3C508" w14:textId="77777777" w:rsidR="00245AC4" w:rsidRDefault="009565AE" w:rsidP="00245AC4">
      <w:pPr>
        <w:spacing w:line="360" w:lineRule="auto"/>
        <w:jc w:val="both"/>
        <w:rPr>
          <w:color w:val="000000" w:themeColor="text1"/>
        </w:rPr>
      </w:pPr>
      <w:proofErr w:type="spellStart"/>
      <w:proofErr w:type="gramStart"/>
      <w:r>
        <w:rPr>
          <w:color w:val="000000" w:themeColor="text1"/>
        </w:rPr>
        <w:t>Lindsay,W</w:t>
      </w:r>
      <w:proofErr w:type="gramEnd"/>
      <w:r>
        <w:rPr>
          <w:color w:val="000000" w:themeColor="text1"/>
        </w:rPr>
        <w:t>.L</w:t>
      </w:r>
      <w:proofErr w:type="spellEnd"/>
      <w:r>
        <w:rPr>
          <w:color w:val="000000" w:themeColor="text1"/>
        </w:rPr>
        <w:t xml:space="preserve"> and Norvell, W.A.1978. Development of DTPA soil test for zinc, iron, manganese and copper. </w:t>
      </w:r>
      <w:r>
        <w:rPr>
          <w:i/>
          <w:iCs/>
          <w:color w:val="000000" w:themeColor="text1"/>
        </w:rPr>
        <w:t>Soil Science of America Journal</w:t>
      </w:r>
      <w:r>
        <w:rPr>
          <w:color w:val="000000" w:themeColor="text1"/>
        </w:rPr>
        <w:t>.41:421-428.</w:t>
      </w:r>
    </w:p>
    <w:p w14:paraId="2B263EB5" w14:textId="77777777" w:rsidR="00245AC4" w:rsidRDefault="009565AE" w:rsidP="00245AC4">
      <w:pPr>
        <w:spacing w:line="360" w:lineRule="auto"/>
        <w:jc w:val="both"/>
        <w:rPr>
          <w:color w:val="000000" w:themeColor="text1"/>
        </w:rPr>
      </w:pPr>
      <w:r>
        <w:rPr>
          <w:color w:val="000000" w:themeColor="text1"/>
        </w:rPr>
        <w:t>Mubeenuddin M.A., Ravi P., Krishna Chaitanya A and Rajanikanth, E. 2024. Effect of continuous use of organic and inorganic fertilizers on soil physic-chemical properties in a rice-</w:t>
      </w:r>
      <w:r>
        <w:rPr>
          <w:color w:val="000000" w:themeColor="text1"/>
        </w:rPr>
        <w:lastRenderedPageBreak/>
        <w:t xml:space="preserve">rice cropping system on </w:t>
      </w:r>
      <w:proofErr w:type="spellStart"/>
      <w:r>
        <w:rPr>
          <w:color w:val="000000" w:themeColor="text1"/>
        </w:rPr>
        <w:t>Inceptisol</w:t>
      </w:r>
      <w:proofErr w:type="spellEnd"/>
      <w:r>
        <w:rPr>
          <w:color w:val="000000" w:themeColor="text1"/>
        </w:rPr>
        <w:t xml:space="preserve">. </w:t>
      </w:r>
      <w:r>
        <w:rPr>
          <w:i/>
          <w:color w:val="000000" w:themeColor="text1"/>
        </w:rPr>
        <w:t xml:space="preserve">International Journal of Research in Agronomy. </w:t>
      </w:r>
      <w:r>
        <w:rPr>
          <w:color w:val="000000" w:themeColor="text1"/>
        </w:rPr>
        <w:t>7(8): 21-24</w:t>
      </w:r>
      <w:r w:rsidR="00245AC4">
        <w:rPr>
          <w:color w:val="000000" w:themeColor="text1"/>
        </w:rPr>
        <w:t>.</w:t>
      </w:r>
    </w:p>
    <w:p w14:paraId="2047427F" w14:textId="77777777" w:rsidR="00245AC4" w:rsidRDefault="009565AE" w:rsidP="00245AC4">
      <w:pPr>
        <w:spacing w:line="360" w:lineRule="auto"/>
        <w:jc w:val="both"/>
        <w:rPr>
          <w:color w:val="000000" w:themeColor="text1"/>
        </w:rPr>
      </w:pPr>
      <w:r>
        <w:t xml:space="preserve">Olsen, S.R., Cole, C.V., Watanabe, F.S and </w:t>
      </w:r>
      <w:proofErr w:type="spellStart"/>
      <w:proofErr w:type="gramStart"/>
      <w:r>
        <w:t>Dean,L.A</w:t>
      </w:r>
      <w:proofErr w:type="spellEnd"/>
      <w:r>
        <w:t>.</w:t>
      </w:r>
      <w:proofErr w:type="gramEnd"/>
      <w:r>
        <w:t xml:space="preserve"> 1954. Estimation of available phosphorus in soils by extraction with sodium bicarbonate. Circular of united states Department of Agriculture.939. </w:t>
      </w:r>
    </w:p>
    <w:p w14:paraId="142BF1B6" w14:textId="77777777" w:rsidR="00245AC4" w:rsidRDefault="009565AE" w:rsidP="00245AC4">
      <w:pPr>
        <w:spacing w:line="360" w:lineRule="auto"/>
        <w:jc w:val="both"/>
        <w:rPr>
          <w:color w:val="000000" w:themeColor="text1"/>
        </w:rPr>
      </w:pPr>
      <w:proofErr w:type="spellStart"/>
      <w:proofErr w:type="gramStart"/>
      <w:r>
        <w:t>Panse,V</w:t>
      </w:r>
      <w:proofErr w:type="gramEnd"/>
      <w:r>
        <w:t>.C</w:t>
      </w:r>
      <w:proofErr w:type="spellEnd"/>
      <w:r>
        <w:t xml:space="preserve"> and </w:t>
      </w:r>
      <w:proofErr w:type="spellStart"/>
      <w:r>
        <w:t>Sukhatme</w:t>
      </w:r>
      <w:proofErr w:type="spellEnd"/>
      <w:r>
        <w:t xml:space="preserve"> P.V. 1978. Statistical methods for agricultural workers. Indian Council of Agricultural Research, New Delhi: 87-89.</w:t>
      </w:r>
    </w:p>
    <w:p w14:paraId="17E699B4" w14:textId="77777777" w:rsidR="00245AC4" w:rsidRDefault="009565AE" w:rsidP="00245AC4">
      <w:pPr>
        <w:spacing w:line="360" w:lineRule="auto"/>
        <w:jc w:val="both"/>
        <w:rPr>
          <w:color w:val="000000" w:themeColor="text1"/>
        </w:rPr>
      </w:pPr>
      <w:proofErr w:type="spellStart"/>
      <w:proofErr w:type="gramStart"/>
      <w:r>
        <w:t>Piper,C.S</w:t>
      </w:r>
      <w:proofErr w:type="spellEnd"/>
      <w:r>
        <w:t>.</w:t>
      </w:r>
      <w:proofErr w:type="gramEnd"/>
      <w:r>
        <w:t xml:space="preserve"> 1966. Soil and plant analysis. International Scientific publishers. New York, U.S.A.</w:t>
      </w:r>
    </w:p>
    <w:p w14:paraId="73F1F2C5" w14:textId="77777777" w:rsidR="00245AC4" w:rsidRDefault="009565AE" w:rsidP="00245AC4">
      <w:pPr>
        <w:spacing w:line="360" w:lineRule="auto"/>
        <w:jc w:val="both"/>
        <w:rPr>
          <w:color w:val="000000" w:themeColor="text1"/>
        </w:rPr>
      </w:pPr>
      <w:r>
        <w:rPr>
          <w:color w:val="000000" w:themeColor="text1"/>
        </w:rPr>
        <w:t>Rasool, R., Kumar, S., Bhat, S. A., &amp; Iqbal, M. (2007). Soil physical fertility and crop performance as affected by integrated nutrient management in rice systems. </w:t>
      </w:r>
      <w:r>
        <w:rPr>
          <w:i/>
          <w:iCs/>
          <w:color w:val="000000" w:themeColor="text1"/>
        </w:rPr>
        <w:t>Soil Science Society of America Journal</w:t>
      </w:r>
      <w:r>
        <w:rPr>
          <w:color w:val="000000" w:themeColor="text1"/>
        </w:rPr>
        <w:t>, 71(3), 823-830. </w:t>
      </w:r>
      <w:r>
        <w:rPr>
          <w:color w:val="000000" w:themeColor="text1"/>
          <w:lang w:val="en-IN"/>
        </w:rPr>
        <w:t xml:space="preserve"> </w:t>
      </w:r>
    </w:p>
    <w:p w14:paraId="32478084" w14:textId="77777777" w:rsidR="00245AC4" w:rsidRDefault="009565AE" w:rsidP="00245AC4">
      <w:pPr>
        <w:spacing w:line="360" w:lineRule="auto"/>
        <w:jc w:val="both"/>
        <w:rPr>
          <w:color w:val="000000" w:themeColor="text1"/>
        </w:rPr>
      </w:pPr>
      <w:r>
        <w:t xml:space="preserve">Subbiah, B.V and Asija, G.C. (1956). A rapid procedure for estimation of available nutrients in soils. </w:t>
      </w:r>
      <w:r>
        <w:rPr>
          <w:i/>
          <w:iCs/>
        </w:rPr>
        <w:t>Current Science international</w:t>
      </w:r>
      <w:r>
        <w:t>.25:259-260.</w:t>
      </w:r>
    </w:p>
    <w:p w14:paraId="43B98129" w14:textId="7D2FEA96" w:rsidR="00D96ECE" w:rsidRPr="00245AC4" w:rsidRDefault="009565AE" w:rsidP="00245AC4">
      <w:pPr>
        <w:spacing w:line="360" w:lineRule="auto"/>
        <w:jc w:val="both"/>
        <w:rPr>
          <w:color w:val="000000" w:themeColor="text1"/>
        </w:rPr>
      </w:pPr>
      <w:r>
        <w:rPr>
          <w:rFonts w:eastAsia="SimSun"/>
        </w:rPr>
        <w:t>Varshini K.,   Ravi P., Sai Kumar R and Sreelatha D</w:t>
      </w:r>
      <w:r>
        <w:rPr>
          <w:rFonts w:eastAsia="SimSun"/>
          <w:lang w:val="en-IN"/>
        </w:rPr>
        <w:t xml:space="preserve">. 2025. </w:t>
      </w:r>
      <w:r>
        <w:rPr>
          <w:rFonts w:eastAsia="SimSun"/>
        </w:rPr>
        <w:t xml:space="preserve">Soil physicochemical and chemical properties effected by long-term fertilizers and manures under rice-rice cropping system in </w:t>
      </w:r>
      <w:proofErr w:type="spellStart"/>
      <w:r>
        <w:rPr>
          <w:rFonts w:eastAsia="SimSun"/>
        </w:rPr>
        <w:t>Inceptisols</w:t>
      </w:r>
      <w:proofErr w:type="spellEnd"/>
      <w:r>
        <w:rPr>
          <w:rFonts w:eastAsia="SimSun"/>
          <w:lang w:val="en-IN"/>
        </w:rPr>
        <w:t xml:space="preserve">. </w:t>
      </w:r>
      <w:r>
        <w:rPr>
          <w:rFonts w:eastAsia="SimSun"/>
          <w:i/>
          <w:iCs/>
        </w:rPr>
        <w:t>International Journal of Research in Agronomy</w:t>
      </w:r>
      <w:r>
        <w:rPr>
          <w:rFonts w:eastAsia="SimSun"/>
          <w:i/>
          <w:iCs/>
          <w:lang w:val="en-IN"/>
        </w:rPr>
        <w:t>.</w:t>
      </w:r>
      <w:r>
        <w:rPr>
          <w:rFonts w:eastAsia="SimSun"/>
        </w:rPr>
        <w:t>8(7): 1074-1079</w:t>
      </w:r>
    </w:p>
    <w:p w14:paraId="3E9CEC5E" w14:textId="77777777" w:rsidR="00D96ECE" w:rsidRDefault="00D96ECE">
      <w:pPr>
        <w:spacing w:line="360" w:lineRule="auto"/>
        <w:ind w:left="426" w:hanging="426"/>
        <w:jc w:val="both"/>
        <w:rPr>
          <w:color w:val="000000" w:themeColor="text1"/>
          <w:lang w:val="en-IN"/>
        </w:rPr>
      </w:pPr>
    </w:p>
    <w:p w14:paraId="2524B043" w14:textId="77777777" w:rsidR="00D96ECE" w:rsidRDefault="00D96ECE">
      <w:pPr>
        <w:spacing w:line="360" w:lineRule="auto"/>
        <w:jc w:val="both"/>
        <w:rPr>
          <w:b/>
          <w:bCs/>
          <w:color w:val="000000" w:themeColor="text1"/>
          <w:lang w:val="en-IN"/>
        </w:rPr>
      </w:pPr>
    </w:p>
    <w:p w14:paraId="0B8AB337" w14:textId="77777777" w:rsidR="00D96ECE" w:rsidRDefault="00D96ECE">
      <w:pPr>
        <w:spacing w:line="360" w:lineRule="auto"/>
        <w:ind w:left="426" w:hanging="426"/>
        <w:jc w:val="both"/>
        <w:rPr>
          <w:color w:val="000000" w:themeColor="text1"/>
          <w:lang w:val="en-IN"/>
        </w:rPr>
      </w:pPr>
    </w:p>
    <w:p w14:paraId="6309F349" w14:textId="77777777" w:rsidR="00D96ECE" w:rsidRDefault="00D96ECE">
      <w:pPr>
        <w:spacing w:line="360" w:lineRule="auto"/>
        <w:jc w:val="both"/>
        <w:rPr>
          <w:lang w:val="en-IN"/>
        </w:rPr>
      </w:pPr>
    </w:p>
    <w:p w14:paraId="283B9048" w14:textId="77777777" w:rsidR="009565AE" w:rsidRDefault="009565AE">
      <w:pPr>
        <w:spacing w:line="360" w:lineRule="auto"/>
        <w:jc w:val="both"/>
        <w:rPr>
          <w:lang w:val="en-IN"/>
        </w:rPr>
      </w:pPr>
    </w:p>
    <w:p w14:paraId="70F8FE61" w14:textId="77777777" w:rsidR="009565AE" w:rsidRDefault="009565AE">
      <w:pPr>
        <w:spacing w:line="360" w:lineRule="auto"/>
        <w:jc w:val="both"/>
        <w:rPr>
          <w:lang w:val="en-IN"/>
        </w:rPr>
      </w:pPr>
    </w:p>
    <w:p w14:paraId="13FE2DDA" w14:textId="77777777" w:rsidR="009565AE" w:rsidRDefault="009565AE">
      <w:pPr>
        <w:spacing w:line="360" w:lineRule="auto"/>
        <w:jc w:val="both"/>
        <w:rPr>
          <w:lang w:val="en-IN"/>
        </w:rPr>
      </w:pPr>
    </w:p>
    <w:p w14:paraId="24B06407" w14:textId="77777777" w:rsidR="009565AE" w:rsidRDefault="009565AE">
      <w:pPr>
        <w:spacing w:line="360" w:lineRule="auto"/>
        <w:jc w:val="both"/>
        <w:rPr>
          <w:lang w:val="en-IN"/>
        </w:rPr>
      </w:pPr>
    </w:p>
    <w:p w14:paraId="61E95764" w14:textId="77777777" w:rsidR="0024075A" w:rsidRDefault="0024075A" w:rsidP="00DD0D36">
      <w:pPr>
        <w:pStyle w:val="BodyText2"/>
        <w:spacing w:line="360" w:lineRule="auto"/>
        <w:rPr>
          <w:b/>
          <w:bCs/>
        </w:rPr>
      </w:pPr>
    </w:p>
    <w:p w14:paraId="30EE42CB" w14:textId="0513C140" w:rsidR="00DD0D36" w:rsidRPr="00F84CEA" w:rsidRDefault="00DD0D36" w:rsidP="00DD0D36">
      <w:pPr>
        <w:pStyle w:val="BodyText2"/>
        <w:spacing w:line="360" w:lineRule="auto"/>
        <w:rPr>
          <w:b/>
          <w:bCs/>
        </w:rPr>
      </w:pPr>
      <w:r w:rsidRPr="00F84CEA">
        <w:rPr>
          <w:b/>
          <w:bCs/>
        </w:rPr>
        <w:t xml:space="preserve">Table </w:t>
      </w:r>
      <w:r w:rsidRPr="00F84CEA">
        <w:rPr>
          <w:b/>
          <w:bCs/>
          <w:lang w:val="en-IN"/>
        </w:rPr>
        <w:t>1</w:t>
      </w:r>
      <w:r w:rsidRPr="00F84CEA">
        <w:rPr>
          <w:b/>
          <w:bCs/>
        </w:rPr>
        <w:t>: Effect of 19 years of long-term fertilizers and manures on straw yield and biomass production of rice (kg ha</w:t>
      </w:r>
      <w:r w:rsidRPr="00F84CEA">
        <w:rPr>
          <w:b/>
          <w:bCs/>
          <w:vertAlign w:val="superscript"/>
        </w:rPr>
        <w:t>-1</w:t>
      </w:r>
      <w:r w:rsidRPr="00F84CEA">
        <w:rPr>
          <w:b/>
          <w:bCs/>
        </w:rPr>
        <w:t>) in rice-rice cropping system</w:t>
      </w:r>
    </w:p>
    <w:tbl>
      <w:tblPr>
        <w:tblW w:w="8625" w:type="dxa"/>
        <w:tblInd w:w="-70" w:type="dxa"/>
        <w:tblLayout w:type="fixed"/>
        <w:tblCellMar>
          <w:left w:w="0" w:type="dxa"/>
          <w:right w:w="0" w:type="dxa"/>
        </w:tblCellMar>
        <w:tblLook w:val="04A0" w:firstRow="1" w:lastRow="0" w:firstColumn="1" w:lastColumn="0" w:noHBand="0" w:noVBand="1"/>
      </w:tblPr>
      <w:tblGrid>
        <w:gridCol w:w="2160"/>
        <w:gridCol w:w="1425"/>
        <w:gridCol w:w="1724"/>
        <w:gridCol w:w="1516"/>
        <w:gridCol w:w="1800"/>
      </w:tblGrid>
      <w:tr w:rsidR="00F84CEA" w:rsidRPr="00F84CEA" w14:paraId="742D4033" w14:textId="77777777" w:rsidTr="000F444B">
        <w:trPr>
          <w:cantSplit/>
          <w:trHeight w:val="211"/>
        </w:trPr>
        <w:tc>
          <w:tcPr>
            <w:tcW w:w="2160" w:type="dxa"/>
            <w:vMerge w:val="restart"/>
            <w:tcBorders>
              <w:top w:val="single" w:sz="4" w:space="0" w:color="auto"/>
              <w:left w:val="single" w:sz="4" w:space="0" w:color="auto"/>
              <w:right w:val="single" w:sz="4" w:space="0" w:color="auto"/>
            </w:tcBorders>
            <w:vAlign w:val="center"/>
          </w:tcPr>
          <w:p w14:paraId="3F852476" w14:textId="77777777" w:rsidR="00DD0D36" w:rsidRPr="00F84CEA" w:rsidRDefault="00DD0D36" w:rsidP="000F444B">
            <w:pPr>
              <w:jc w:val="center"/>
              <w:rPr>
                <w:rFonts w:eastAsia="Arial Unicode MS"/>
                <w:b/>
                <w:bCs/>
                <w:sz w:val="22"/>
                <w:szCs w:val="22"/>
              </w:rPr>
            </w:pPr>
            <w:r w:rsidRPr="00F84CEA">
              <w:rPr>
                <w:b/>
                <w:bCs/>
                <w:sz w:val="22"/>
                <w:szCs w:val="22"/>
              </w:rPr>
              <w:t>Treatment</w:t>
            </w:r>
          </w:p>
        </w:tc>
        <w:tc>
          <w:tcPr>
            <w:tcW w:w="31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D49DFA" w14:textId="77777777" w:rsidR="00DD0D36" w:rsidRPr="00F84CEA" w:rsidRDefault="00DD0D36" w:rsidP="000F444B">
            <w:pPr>
              <w:jc w:val="center"/>
              <w:rPr>
                <w:rFonts w:eastAsia="Arial Unicode MS"/>
                <w:b/>
                <w:i/>
                <w:sz w:val="22"/>
                <w:szCs w:val="22"/>
              </w:rPr>
            </w:pPr>
            <w:r w:rsidRPr="00F84CEA">
              <w:rPr>
                <w:rFonts w:eastAsia="Arial Unicode MS"/>
                <w:b/>
                <w:i/>
                <w:sz w:val="22"/>
                <w:szCs w:val="22"/>
              </w:rPr>
              <w:t xml:space="preserve">Rabi, </w:t>
            </w:r>
            <w:r w:rsidRPr="00F84CEA">
              <w:rPr>
                <w:rFonts w:eastAsia="Arial Unicode MS"/>
                <w:b/>
                <w:sz w:val="22"/>
                <w:szCs w:val="22"/>
              </w:rPr>
              <w:t>2019-20</w:t>
            </w:r>
          </w:p>
        </w:tc>
        <w:tc>
          <w:tcPr>
            <w:tcW w:w="3316" w:type="dxa"/>
            <w:gridSpan w:val="2"/>
            <w:tcBorders>
              <w:top w:val="single" w:sz="4" w:space="0" w:color="auto"/>
              <w:left w:val="nil"/>
              <w:bottom w:val="single" w:sz="4" w:space="0" w:color="auto"/>
              <w:right w:val="single" w:sz="4" w:space="0" w:color="auto"/>
            </w:tcBorders>
            <w:vAlign w:val="center"/>
          </w:tcPr>
          <w:p w14:paraId="04BD7B3B" w14:textId="77777777" w:rsidR="00DD0D36" w:rsidRPr="00F84CEA" w:rsidRDefault="00DD0D36" w:rsidP="000F444B">
            <w:pPr>
              <w:jc w:val="center"/>
              <w:rPr>
                <w:rFonts w:eastAsia="Arial Unicode MS"/>
                <w:b/>
                <w:sz w:val="22"/>
                <w:szCs w:val="22"/>
              </w:rPr>
            </w:pPr>
            <w:r w:rsidRPr="00F84CEA">
              <w:rPr>
                <w:rFonts w:eastAsia="Arial Unicode MS"/>
                <w:b/>
                <w:i/>
                <w:sz w:val="22"/>
                <w:szCs w:val="22"/>
              </w:rPr>
              <w:t xml:space="preserve">Kharif, </w:t>
            </w:r>
            <w:r w:rsidRPr="00F84CEA">
              <w:rPr>
                <w:rFonts w:eastAsia="Arial Unicode MS"/>
                <w:b/>
                <w:sz w:val="22"/>
                <w:szCs w:val="22"/>
              </w:rPr>
              <w:t>2020</w:t>
            </w:r>
          </w:p>
        </w:tc>
      </w:tr>
      <w:tr w:rsidR="00F84CEA" w:rsidRPr="00F84CEA" w14:paraId="7568BBB5" w14:textId="77777777" w:rsidTr="000F444B">
        <w:trPr>
          <w:cantSplit/>
          <w:trHeight w:val="254"/>
        </w:trPr>
        <w:tc>
          <w:tcPr>
            <w:tcW w:w="2160" w:type="dxa"/>
            <w:vMerge/>
            <w:tcBorders>
              <w:left w:val="single" w:sz="4" w:space="0" w:color="auto"/>
              <w:bottom w:val="single" w:sz="4" w:space="0" w:color="000000"/>
              <w:right w:val="single" w:sz="4" w:space="0" w:color="auto"/>
            </w:tcBorders>
            <w:vAlign w:val="center"/>
          </w:tcPr>
          <w:p w14:paraId="0704E675" w14:textId="77777777" w:rsidR="00DD0D36" w:rsidRPr="00F84CEA" w:rsidRDefault="00DD0D36" w:rsidP="000F444B">
            <w:pPr>
              <w:rPr>
                <w:b/>
                <w:bCs/>
                <w:sz w:val="22"/>
                <w:szCs w:val="22"/>
              </w:rPr>
            </w:pPr>
          </w:p>
        </w:tc>
        <w:tc>
          <w:tcPr>
            <w:tcW w:w="1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09C8C7" w14:textId="77777777" w:rsidR="00DD0D36" w:rsidRPr="00F84CEA" w:rsidRDefault="00DD0D36" w:rsidP="000F444B">
            <w:pPr>
              <w:jc w:val="center"/>
              <w:rPr>
                <w:rFonts w:eastAsia="Arial Unicode MS"/>
                <w:b/>
                <w:sz w:val="22"/>
                <w:szCs w:val="22"/>
              </w:rPr>
            </w:pPr>
            <w:r w:rsidRPr="00F84CEA">
              <w:rPr>
                <w:rFonts w:eastAsia="Arial Unicode MS"/>
                <w:b/>
                <w:sz w:val="22"/>
                <w:szCs w:val="22"/>
              </w:rPr>
              <w:t>Straw</w:t>
            </w:r>
            <w:r w:rsidRPr="00F84CEA">
              <w:rPr>
                <w:b/>
                <w:bCs/>
                <w:sz w:val="22"/>
                <w:szCs w:val="22"/>
              </w:rPr>
              <w:t xml:space="preserve"> yield</w:t>
            </w:r>
          </w:p>
        </w:tc>
        <w:tc>
          <w:tcPr>
            <w:tcW w:w="17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6875ED" w14:textId="77777777" w:rsidR="00DD0D36" w:rsidRPr="00F84CEA" w:rsidRDefault="00DD0D36" w:rsidP="000F444B">
            <w:pPr>
              <w:jc w:val="center"/>
              <w:rPr>
                <w:rFonts w:eastAsia="Arial Unicode MS"/>
                <w:b/>
                <w:sz w:val="22"/>
                <w:szCs w:val="22"/>
              </w:rPr>
            </w:pPr>
            <w:r w:rsidRPr="00F84CEA">
              <w:rPr>
                <w:rFonts w:eastAsia="Arial Unicode MS"/>
                <w:b/>
                <w:sz w:val="22"/>
                <w:szCs w:val="22"/>
              </w:rPr>
              <w:t>Dry biomass production</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80D3B3" w14:textId="77777777" w:rsidR="00DD0D36" w:rsidRPr="00F84CEA" w:rsidRDefault="00DD0D36" w:rsidP="000F444B">
            <w:pPr>
              <w:jc w:val="center"/>
              <w:rPr>
                <w:rFonts w:eastAsia="Arial Unicode MS"/>
                <w:b/>
                <w:sz w:val="22"/>
                <w:szCs w:val="22"/>
              </w:rPr>
            </w:pPr>
            <w:r w:rsidRPr="00F84CEA">
              <w:rPr>
                <w:rFonts w:eastAsia="Arial Unicode MS"/>
                <w:b/>
                <w:sz w:val="22"/>
                <w:szCs w:val="22"/>
              </w:rPr>
              <w:t>Straw</w:t>
            </w:r>
            <w:r w:rsidRPr="00F84CEA">
              <w:rPr>
                <w:b/>
                <w:bCs/>
                <w:sz w:val="22"/>
                <w:szCs w:val="22"/>
              </w:rPr>
              <w:t xml:space="preserve"> yield</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464241" w14:textId="77777777" w:rsidR="00DD0D36" w:rsidRPr="00F84CEA" w:rsidRDefault="00DD0D36" w:rsidP="000F444B">
            <w:pPr>
              <w:jc w:val="center"/>
              <w:rPr>
                <w:rFonts w:eastAsia="Arial Unicode MS"/>
                <w:b/>
                <w:sz w:val="22"/>
                <w:szCs w:val="22"/>
              </w:rPr>
            </w:pPr>
            <w:r w:rsidRPr="00F84CEA">
              <w:rPr>
                <w:rFonts w:eastAsia="Arial Unicode MS"/>
                <w:b/>
                <w:sz w:val="22"/>
                <w:szCs w:val="22"/>
              </w:rPr>
              <w:t>Dry biomass production</w:t>
            </w:r>
          </w:p>
        </w:tc>
      </w:tr>
      <w:tr w:rsidR="00F84CEA" w:rsidRPr="00F84CEA" w14:paraId="6FC6C1BE" w14:textId="77777777" w:rsidTr="000F444B">
        <w:trPr>
          <w:trHeight w:val="252"/>
        </w:trPr>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F617F2" w14:textId="77777777" w:rsidR="00DD0D36" w:rsidRPr="00F84CEA" w:rsidRDefault="00DD0D36" w:rsidP="000F444B">
            <w:pPr>
              <w:rPr>
                <w:b/>
                <w:bCs/>
                <w:sz w:val="22"/>
                <w:szCs w:val="22"/>
              </w:rPr>
            </w:pPr>
            <w:r w:rsidRPr="00F84CEA">
              <w:rPr>
                <w:b/>
                <w:bCs/>
                <w:sz w:val="22"/>
                <w:szCs w:val="22"/>
              </w:rPr>
              <w:t>50% NPK</w:t>
            </w:r>
          </w:p>
        </w:tc>
        <w:tc>
          <w:tcPr>
            <w:tcW w:w="142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5018F3B"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4962</w:t>
            </w:r>
          </w:p>
        </w:tc>
        <w:tc>
          <w:tcPr>
            <w:tcW w:w="1724"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7E0AEF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9835</w:t>
            </w:r>
          </w:p>
        </w:tc>
        <w:tc>
          <w:tcPr>
            <w:tcW w:w="151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61A5F0C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5775</w:t>
            </w:r>
          </w:p>
        </w:tc>
        <w:tc>
          <w:tcPr>
            <w:tcW w:w="180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6121BF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11254</w:t>
            </w:r>
          </w:p>
        </w:tc>
      </w:tr>
      <w:tr w:rsidR="00F84CEA" w:rsidRPr="00F84CEA" w14:paraId="0A5B1E70"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038405" w14:textId="77777777" w:rsidR="00DD0D36" w:rsidRPr="00F84CEA" w:rsidRDefault="00DD0D36" w:rsidP="000F444B">
            <w:pPr>
              <w:rPr>
                <w:b/>
                <w:bCs/>
                <w:sz w:val="22"/>
                <w:szCs w:val="22"/>
              </w:rPr>
            </w:pPr>
            <w:r w:rsidRPr="00F84CEA">
              <w:rPr>
                <w:b/>
                <w:bCs/>
                <w:sz w:val="22"/>
                <w:szCs w:val="22"/>
              </w:rPr>
              <w:t>100% NPK</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CEC802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6615</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37FDCEF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13208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1EFA5977"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7175</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0546DB6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14003</w:t>
            </w:r>
          </w:p>
        </w:tc>
      </w:tr>
      <w:tr w:rsidR="00F84CEA" w:rsidRPr="00F84CEA" w14:paraId="67C547A3"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AB6E60" w14:textId="77777777" w:rsidR="00DD0D36" w:rsidRPr="00F84CEA" w:rsidRDefault="00DD0D36" w:rsidP="000F444B">
            <w:pPr>
              <w:rPr>
                <w:b/>
                <w:bCs/>
                <w:sz w:val="22"/>
                <w:szCs w:val="22"/>
              </w:rPr>
            </w:pPr>
            <w:r w:rsidRPr="00F84CEA">
              <w:rPr>
                <w:b/>
                <w:bCs/>
                <w:sz w:val="22"/>
                <w:szCs w:val="22"/>
              </w:rPr>
              <w:t>150% NPK</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FB641DA"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7420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2E090E0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14677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2C6C0779"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6850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47677A2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13481</w:t>
            </w:r>
          </w:p>
        </w:tc>
      </w:tr>
      <w:tr w:rsidR="00F84CEA" w:rsidRPr="00F84CEA" w14:paraId="2CAE0823"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5A1787" w14:textId="77777777" w:rsidR="00DD0D36" w:rsidRPr="00F84CEA" w:rsidRDefault="00DD0D36" w:rsidP="000F444B">
            <w:pPr>
              <w:rPr>
                <w:b/>
                <w:bCs/>
                <w:sz w:val="22"/>
                <w:szCs w:val="22"/>
              </w:rPr>
            </w:pPr>
            <w:r w:rsidRPr="00F84CEA">
              <w:rPr>
                <w:b/>
                <w:bCs/>
                <w:sz w:val="22"/>
                <w:szCs w:val="22"/>
              </w:rPr>
              <w:t>100% NPK + HW</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9454B5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6400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126741E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12607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1E5764A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6990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19BE181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13578</w:t>
            </w:r>
          </w:p>
        </w:tc>
      </w:tr>
      <w:tr w:rsidR="00F84CEA" w:rsidRPr="00F84CEA" w14:paraId="65A00988"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B7AF6E4" w14:textId="77777777" w:rsidR="00DD0D36" w:rsidRPr="00F84CEA" w:rsidRDefault="00DD0D36" w:rsidP="000F444B">
            <w:pPr>
              <w:rPr>
                <w:b/>
                <w:bCs/>
                <w:sz w:val="22"/>
                <w:szCs w:val="22"/>
              </w:rPr>
            </w:pPr>
            <w:r w:rsidRPr="00F84CEA">
              <w:rPr>
                <w:b/>
                <w:bCs/>
                <w:sz w:val="22"/>
                <w:szCs w:val="22"/>
              </w:rPr>
              <w:t>100% NPK + Zn</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75E49F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6580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6747767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13067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3B98C43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7078</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6EAC5E06"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13822</w:t>
            </w:r>
          </w:p>
        </w:tc>
      </w:tr>
      <w:tr w:rsidR="00F84CEA" w:rsidRPr="00F84CEA" w14:paraId="2CBF9AE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79AA243" w14:textId="77777777" w:rsidR="00DD0D36" w:rsidRPr="00F84CEA" w:rsidRDefault="00DD0D36" w:rsidP="000F444B">
            <w:pPr>
              <w:rPr>
                <w:b/>
                <w:bCs/>
                <w:sz w:val="22"/>
                <w:szCs w:val="22"/>
              </w:rPr>
            </w:pPr>
            <w:r w:rsidRPr="00F84CEA">
              <w:rPr>
                <w:b/>
                <w:bCs/>
                <w:sz w:val="22"/>
                <w:szCs w:val="22"/>
              </w:rPr>
              <w:t>100% NP</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24FC7D9"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6550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19B28BB4"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13046</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71A630E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6744</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0FAE4CA9"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13229</w:t>
            </w:r>
          </w:p>
        </w:tc>
      </w:tr>
      <w:tr w:rsidR="00F84CEA" w:rsidRPr="00F84CEA" w14:paraId="1A228FA7" w14:textId="77777777" w:rsidTr="000F444B">
        <w:trPr>
          <w:trHeight w:val="61"/>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A76464" w14:textId="77777777" w:rsidR="00DD0D36" w:rsidRPr="00F84CEA" w:rsidRDefault="00DD0D36" w:rsidP="000F444B">
            <w:pPr>
              <w:rPr>
                <w:b/>
                <w:bCs/>
                <w:sz w:val="22"/>
                <w:szCs w:val="22"/>
              </w:rPr>
            </w:pPr>
            <w:r w:rsidRPr="00F84CEA">
              <w:rPr>
                <w:b/>
                <w:bCs/>
                <w:sz w:val="22"/>
                <w:szCs w:val="22"/>
              </w:rPr>
              <w:lastRenderedPageBreak/>
              <w:t>100% N</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9C3388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3695</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415D6C76"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6877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3816D2A5"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5425</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5E9BCD5F"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10578</w:t>
            </w:r>
          </w:p>
        </w:tc>
      </w:tr>
      <w:tr w:rsidR="00F84CEA" w:rsidRPr="00F84CEA" w14:paraId="6BC128A7"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AEDC0DA" w14:textId="77777777" w:rsidR="00DD0D36" w:rsidRPr="00F84CEA" w:rsidRDefault="00DD0D36" w:rsidP="000F444B">
            <w:pPr>
              <w:rPr>
                <w:b/>
                <w:bCs/>
                <w:sz w:val="22"/>
                <w:szCs w:val="22"/>
              </w:rPr>
            </w:pPr>
            <w:r w:rsidRPr="00F84CEA">
              <w:rPr>
                <w:b/>
                <w:bCs/>
                <w:sz w:val="22"/>
                <w:szCs w:val="22"/>
              </w:rPr>
              <w:t>100% NPK + FYM</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4E0C341A"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6686</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4537992B"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13233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00FBEAA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6810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5B65CEF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13390</w:t>
            </w:r>
          </w:p>
        </w:tc>
      </w:tr>
      <w:tr w:rsidR="00F84CEA" w:rsidRPr="00F84CEA" w14:paraId="2541B766"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4174F1" w14:textId="77777777" w:rsidR="00DD0D36" w:rsidRPr="00F84CEA" w:rsidRDefault="00DD0D36" w:rsidP="000F444B">
            <w:pPr>
              <w:rPr>
                <w:b/>
                <w:bCs/>
                <w:sz w:val="22"/>
                <w:szCs w:val="22"/>
              </w:rPr>
            </w:pPr>
            <w:r w:rsidRPr="00F84CEA">
              <w:rPr>
                <w:b/>
                <w:bCs/>
                <w:sz w:val="22"/>
                <w:szCs w:val="22"/>
              </w:rPr>
              <w:t>100% NPK – S</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6303F82"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6452</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24011EB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12777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5A05218F"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7061</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11E5502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13874</w:t>
            </w:r>
          </w:p>
        </w:tc>
      </w:tr>
      <w:tr w:rsidR="00F84CEA" w:rsidRPr="00F84CEA" w14:paraId="508E3E2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2590DB" w14:textId="77777777" w:rsidR="00DD0D36" w:rsidRPr="00F84CEA" w:rsidRDefault="00DD0D36" w:rsidP="000F444B">
            <w:pPr>
              <w:rPr>
                <w:b/>
                <w:bCs/>
                <w:sz w:val="22"/>
                <w:szCs w:val="22"/>
              </w:rPr>
            </w:pPr>
            <w:r w:rsidRPr="00F84CEA">
              <w:rPr>
                <w:b/>
                <w:bCs/>
                <w:sz w:val="22"/>
                <w:szCs w:val="22"/>
              </w:rPr>
              <w:t>FYM</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6D33025D"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5930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58EE9DB3"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11685</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5524B5D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6647</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7C61D75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13015</w:t>
            </w:r>
          </w:p>
        </w:tc>
      </w:tr>
      <w:tr w:rsidR="00F84CEA" w:rsidRPr="00F84CEA" w14:paraId="5828B7F2"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F43902" w14:textId="77777777" w:rsidR="00DD0D36" w:rsidRPr="00F84CEA" w:rsidRDefault="00DD0D36" w:rsidP="000F444B">
            <w:pPr>
              <w:rPr>
                <w:b/>
                <w:bCs/>
                <w:sz w:val="22"/>
                <w:szCs w:val="22"/>
              </w:rPr>
            </w:pPr>
            <w:r w:rsidRPr="00F84CEA">
              <w:rPr>
                <w:b/>
                <w:bCs/>
                <w:sz w:val="22"/>
                <w:szCs w:val="22"/>
              </w:rPr>
              <w:t>Control</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633BFACF"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3517</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0F11C56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6892</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37CF7B21"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4925</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2DB371FD"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kern w:val="24"/>
                <w:sz w:val="22"/>
                <w:szCs w:val="22"/>
              </w:rPr>
              <w:t>9710</w:t>
            </w:r>
          </w:p>
        </w:tc>
      </w:tr>
      <w:tr w:rsidR="00F84CEA" w:rsidRPr="00F84CEA" w14:paraId="4156F7F2"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2D25B23B" w14:textId="77777777" w:rsidR="00DD0D36" w:rsidRPr="00F84CEA" w:rsidRDefault="00DD0D36" w:rsidP="000F444B">
            <w:pPr>
              <w:rPr>
                <w:b/>
                <w:bCs/>
                <w:sz w:val="22"/>
                <w:szCs w:val="22"/>
              </w:rPr>
            </w:pPr>
            <w:r w:rsidRPr="00F84CEA">
              <w:rPr>
                <w:b/>
                <w:bCs/>
                <w:i/>
                <w:iCs/>
                <w:sz w:val="22"/>
                <w:szCs w:val="22"/>
              </w:rPr>
              <w:t xml:space="preserve">Mean </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A3349D1"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5892</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3CA39C3C"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11628</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6BAD844F"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6498</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7AB9B4B8" w14:textId="77777777" w:rsidR="00DD0D36" w:rsidRPr="00F84CEA" w:rsidRDefault="00DD0D36" w:rsidP="000F444B">
            <w:pPr>
              <w:pStyle w:val="NormalWeb"/>
              <w:spacing w:before="0" w:beforeAutospacing="0" w:after="0" w:afterAutospacing="0"/>
              <w:jc w:val="center"/>
              <w:textAlignment w:val="bottom"/>
              <w:rPr>
                <w:i/>
                <w:sz w:val="22"/>
                <w:szCs w:val="22"/>
              </w:rPr>
            </w:pPr>
            <w:r w:rsidRPr="00F84CEA">
              <w:rPr>
                <w:b/>
                <w:bCs/>
                <w:i/>
                <w:kern w:val="24"/>
                <w:sz w:val="22"/>
                <w:szCs w:val="22"/>
              </w:rPr>
              <w:t>12721</w:t>
            </w:r>
          </w:p>
        </w:tc>
      </w:tr>
      <w:tr w:rsidR="00F84CEA" w:rsidRPr="00F84CEA" w14:paraId="2CA62D2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72D78E" w14:textId="77777777" w:rsidR="00DD0D36" w:rsidRPr="00F84CEA" w:rsidRDefault="00DD0D36" w:rsidP="000F444B">
            <w:pPr>
              <w:rPr>
                <w:b/>
                <w:bCs/>
                <w:sz w:val="22"/>
                <w:szCs w:val="22"/>
              </w:rPr>
            </w:pPr>
            <w:r w:rsidRPr="00F84CEA">
              <w:rPr>
                <w:b/>
                <w:bCs/>
                <w:sz w:val="22"/>
                <w:szCs w:val="22"/>
              </w:rPr>
              <w:t>S. Em ±</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10C437D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242.5</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529F9B2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385.7</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50103C20"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302.0</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19DF755D"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415.7</w:t>
            </w:r>
          </w:p>
        </w:tc>
      </w:tr>
      <w:tr w:rsidR="00F84CEA" w:rsidRPr="00F84CEA" w14:paraId="76F7553E"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20009E" w14:textId="77777777" w:rsidR="00DD0D36" w:rsidRPr="00F84CEA" w:rsidRDefault="00DD0D36" w:rsidP="000F444B">
            <w:pPr>
              <w:rPr>
                <w:b/>
                <w:bCs/>
                <w:sz w:val="22"/>
                <w:szCs w:val="22"/>
              </w:rPr>
            </w:pPr>
            <w:r w:rsidRPr="00F84CEA">
              <w:rPr>
                <w:b/>
                <w:bCs/>
                <w:sz w:val="22"/>
                <w:szCs w:val="22"/>
              </w:rPr>
              <w:t>CD (5%)</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CC4B578"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700</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1172910B"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1114</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7332FB4E"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872</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05DFD4E7"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1201</w:t>
            </w:r>
          </w:p>
        </w:tc>
      </w:tr>
      <w:tr w:rsidR="00F84CEA" w:rsidRPr="00F84CEA" w14:paraId="22AECEAC" w14:textId="77777777" w:rsidTr="000F444B">
        <w:trPr>
          <w:trHeight w:val="252"/>
        </w:trPr>
        <w:tc>
          <w:tcPr>
            <w:tcW w:w="216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98E15A0" w14:textId="77777777" w:rsidR="00DD0D36" w:rsidRPr="00F84CEA" w:rsidRDefault="00DD0D36" w:rsidP="000F444B">
            <w:pPr>
              <w:rPr>
                <w:b/>
                <w:bCs/>
                <w:sz w:val="22"/>
                <w:szCs w:val="22"/>
              </w:rPr>
            </w:pPr>
            <w:r w:rsidRPr="00F84CEA">
              <w:rPr>
                <w:b/>
                <w:bCs/>
                <w:sz w:val="22"/>
                <w:szCs w:val="22"/>
              </w:rPr>
              <w:t>CV (%)</w:t>
            </w:r>
          </w:p>
        </w:tc>
        <w:tc>
          <w:tcPr>
            <w:tcW w:w="1425" w:type="dxa"/>
            <w:tcBorders>
              <w:top w:val="nil"/>
              <w:left w:val="nil"/>
              <w:bottom w:val="single" w:sz="4" w:space="0" w:color="auto"/>
              <w:right w:val="single" w:sz="4" w:space="0" w:color="auto"/>
            </w:tcBorders>
            <w:tcMar>
              <w:top w:w="15" w:type="dxa"/>
              <w:left w:w="15" w:type="dxa"/>
              <w:bottom w:w="0" w:type="dxa"/>
              <w:right w:w="15" w:type="dxa"/>
            </w:tcMar>
            <w:vAlign w:val="bottom"/>
          </w:tcPr>
          <w:p w14:paraId="2AE05665"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8.2</w:t>
            </w:r>
          </w:p>
        </w:tc>
        <w:tc>
          <w:tcPr>
            <w:tcW w:w="1724" w:type="dxa"/>
            <w:tcBorders>
              <w:top w:val="nil"/>
              <w:left w:val="nil"/>
              <w:bottom w:val="single" w:sz="4" w:space="0" w:color="auto"/>
              <w:right w:val="single" w:sz="4" w:space="0" w:color="auto"/>
            </w:tcBorders>
            <w:tcMar>
              <w:top w:w="15" w:type="dxa"/>
              <w:left w:w="15" w:type="dxa"/>
              <w:bottom w:w="0" w:type="dxa"/>
              <w:right w:w="15" w:type="dxa"/>
            </w:tcMar>
            <w:vAlign w:val="bottom"/>
          </w:tcPr>
          <w:p w14:paraId="7B5F2E2A"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6.63</w:t>
            </w:r>
          </w:p>
        </w:tc>
        <w:tc>
          <w:tcPr>
            <w:tcW w:w="1516" w:type="dxa"/>
            <w:tcBorders>
              <w:top w:val="nil"/>
              <w:left w:val="nil"/>
              <w:bottom w:val="single" w:sz="4" w:space="0" w:color="auto"/>
              <w:right w:val="single" w:sz="4" w:space="0" w:color="auto"/>
            </w:tcBorders>
            <w:tcMar>
              <w:top w:w="15" w:type="dxa"/>
              <w:left w:w="15" w:type="dxa"/>
              <w:bottom w:w="0" w:type="dxa"/>
              <w:right w:w="15" w:type="dxa"/>
            </w:tcMar>
            <w:vAlign w:val="bottom"/>
          </w:tcPr>
          <w:p w14:paraId="0D7AFA6C"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9.3</w:t>
            </w:r>
          </w:p>
        </w:tc>
        <w:tc>
          <w:tcPr>
            <w:tcW w:w="1800" w:type="dxa"/>
            <w:tcBorders>
              <w:top w:val="nil"/>
              <w:left w:val="nil"/>
              <w:bottom w:val="single" w:sz="4" w:space="0" w:color="auto"/>
              <w:right w:val="single" w:sz="4" w:space="0" w:color="auto"/>
            </w:tcBorders>
            <w:tcMar>
              <w:top w:w="15" w:type="dxa"/>
              <w:left w:w="15" w:type="dxa"/>
              <w:bottom w:w="0" w:type="dxa"/>
              <w:right w:w="15" w:type="dxa"/>
            </w:tcMar>
            <w:vAlign w:val="bottom"/>
          </w:tcPr>
          <w:p w14:paraId="41E5A9C5" w14:textId="77777777" w:rsidR="00DD0D36" w:rsidRPr="00F84CEA" w:rsidRDefault="00DD0D36" w:rsidP="000F444B">
            <w:pPr>
              <w:pStyle w:val="NormalWeb"/>
              <w:spacing w:before="0" w:beforeAutospacing="0" w:after="0" w:afterAutospacing="0"/>
              <w:jc w:val="center"/>
              <w:textAlignment w:val="bottom"/>
              <w:rPr>
                <w:sz w:val="22"/>
                <w:szCs w:val="22"/>
              </w:rPr>
            </w:pPr>
            <w:r w:rsidRPr="00F84CEA">
              <w:rPr>
                <w:b/>
                <w:bCs/>
                <w:kern w:val="24"/>
                <w:sz w:val="22"/>
                <w:szCs w:val="22"/>
              </w:rPr>
              <w:t>6.54</w:t>
            </w:r>
          </w:p>
        </w:tc>
      </w:tr>
    </w:tbl>
    <w:p w14:paraId="273B69BD" w14:textId="77777777" w:rsidR="00DD0D36" w:rsidRPr="00F84CEA" w:rsidRDefault="00DD0D36" w:rsidP="00DD0D36">
      <w:pPr>
        <w:spacing w:line="360" w:lineRule="auto"/>
        <w:rPr>
          <w:lang w:val="en-IN"/>
        </w:rPr>
      </w:pPr>
    </w:p>
    <w:p w14:paraId="09FCFEE4" w14:textId="77777777" w:rsidR="00DD0D36" w:rsidRPr="00F84CEA" w:rsidRDefault="00DD0D36" w:rsidP="00DD0D36">
      <w:pPr>
        <w:pStyle w:val="BodyText2"/>
        <w:spacing w:line="360" w:lineRule="auto"/>
        <w:jc w:val="both"/>
        <w:rPr>
          <w:lang w:val="en-IN"/>
        </w:rPr>
      </w:pPr>
      <w:r w:rsidRPr="00F84CEA">
        <w:rPr>
          <w:b/>
          <w:bCs/>
        </w:rPr>
        <w:t xml:space="preserve">Table </w:t>
      </w:r>
      <w:r w:rsidRPr="00F84CEA">
        <w:rPr>
          <w:b/>
          <w:bCs/>
          <w:lang w:val="en-IN"/>
        </w:rPr>
        <w:t>2</w:t>
      </w:r>
      <w:r w:rsidRPr="00F84CEA">
        <w:rPr>
          <w:b/>
          <w:bCs/>
        </w:rPr>
        <w:t>: Effect of long-term fertilizers and manures on grain yield (kg ha</w:t>
      </w:r>
      <w:r w:rsidRPr="00F84CEA">
        <w:rPr>
          <w:b/>
          <w:bCs/>
          <w:vertAlign w:val="superscript"/>
        </w:rPr>
        <w:t>-1</w:t>
      </w:r>
      <w:r w:rsidRPr="00F84CEA">
        <w:rPr>
          <w:b/>
          <w:bCs/>
        </w:rPr>
        <w:t>) in rice-rice cropping System</w:t>
      </w:r>
    </w:p>
    <w:tbl>
      <w:tblPr>
        <w:tblW w:w="5000" w:type="pct"/>
        <w:tblCellMar>
          <w:left w:w="0" w:type="dxa"/>
          <w:right w:w="0" w:type="dxa"/>
        </w:tblCellMar>
        <w:tblLook w:val="04A0" w:firstRow="1" w:lastRow="0" w:firstColumn="1" w:lastColumn="0" w:noHBand="0" w:noVBand="1"/>
      </w:tblPr>
      <w:tblGrid>
        <w:gridCol w:w="5057"/>
        <w:gridCol w:w="2019"/>
        <w:gridCol w:w="1952"/>
      </w:tblGrid>
      <w:tr w:rsidR="00890450" w:rsidRPr="00F84CEA" w14:paraId="4AB48587" w14:textId="77777777" w:rsidTr="004F3D15">
        <w:trPr>
          <w:trHeight w:val="224"/>
        </w:trPr>
        <w:tc>
          <w:tcPr>
            <w:tcW w:w="2801" w:type="pct"/>
            <w:vMerge w:val="restart"/>
            <w:tcBorders>
              <w:top w:val="single" w:sz="8" w:space="0" w:color="000000"/>
              <w:left w:val="single" w:sz="8" w:space="0" w:color="000000"/>
              <w:right w:val="single" w:sz="8" w:space="0" w:color="000000"/>
            </w:tcBorders>
            <w:tcMar>
              <w:top w:w="15" w:type="dxa"/>
              <w:left w:w="98" w:type="dxa"/>
              <w:bottom w:w="0" w:type="dxa"/>
              <w:right w:w="98" w:type="dxa"/>
            </w:tcMar>
            <w:vAlign w:val="center"/>
          </w:tcPr>
          <w:p w14:paraId="49CB1432" w14:textId="77777777" w:rsidR="00890450" w:rsidRPr="00F84CEA" w:rsidRDefault="00890450" w:rsidP="000F444B">
            <w:pPr>
              <w:rPr>
                <w:b/>
                <w:bCs/>
                <w:sz w:val="22"/>
                <w:szCs w:val="22"/>
              </w:rPr>
            </w:pPr>
            <w:r w:rsidRPr="00F84CEA">
              <w:rPr>
                <w:b/>
                <w:bCs/>
                <w:sz w:val="22"/>
                <w:szCs w:val="22"/>
              </w:rPr>
              <w:t>Treatments</w:t>
            </w:r>
          </w:p>
        </w:tc>
        <w:tc>
          <w:tcPr>
            <w:tcW w:w="2199" w:type="pct"/>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F30B5A0" w14:textId="5A37C3E1" w:rsidR="00890450" w:rsidRPr="00F84CEA" w:rsidRDefault="00890450" w:rsidP="000F444B">
            <w:pPr>
              <w:pStyle w:val="NormalWeb"/>
              <w:spacing w:before="0" w:beforeAutospacing="0" w:after="0" w:afterAutospacing="0"/>
              <w:jc w:val="center"/>
              <w:textAlignment w:val="bottom"/>
              <w:rPr>
                <w:b/>
                <w:bCs/>
                <w:kern w:val="24"/>
                <w:sz w:val="22"/>
                <w:szCs w:val="22"/>
              </w:rPr>
            </w:pPr>
            <w:r>
              <w:rPr>
                <w:b/>
                <w:bCs/>
              </w:rPr>
              <w:t>G</w:t>
            </w:r>
            <w:r w:rsidRPr="00F84CEA">
              <w:rPr>
                <w:b/>
                <w:bCs/>
              </w:rPr>
              <w:t>rain yield (kg ha</w:t>
            </w:r>
            <w:r w:rsidRPr="00F84CEA">
              <w:rPr>
                <w:b/>
                <w:bCs/>
                <w:vertAlign w:val="superscript"/>
              </w:rPr>
              <w:t>-1</w:t>
            </w:r>
            <w:r w:rsidRPr="00F84CEA">
              <w:rPr>
                <w:b/>
                <w:bCs/>
              </w:rPr>
              <w:t>)</w:t>
            </w:r>
          </w:p>
        </w:tc>
      </w:tr>
      <w:tr w:rsidR="00890450" w:rsidRPr="00F84CEA" w14:paraId="79639958" w14:textId="77777777" w:rsidTr="004F3D15">
        <w:trPr>
          <w:trHeight w:val="224"/>
        </w:trPr>
        <w:tc>
          <w:tcPr>
            <w:tcW w:w="2801" w:type="pct"/>
            <w:vMerge/>
            <w:tcBorders>
              <w:left w:val="single" w:sz="8" w:space="0" w:color="000000"/>
              <w:bottom w:val="single" w:sz="8" w:space="0" w:color="000000"/>
              <w:right w:val="single" w:sz="8" w:space="0" w:color="000000"/>
            </w:tcBorders>
            <w:tcMar>
              <w:top w:w="15" w:type="dxa"/>
              <w:left w:w="98" w:type="dxa"/>
              <w:bottom w:w="0" w:type="dxa"/>
              <w:right w:w="98" w:type="dxa"/>
            </w:tcMar>
            <w:vAlign w:val="center"/>
          </w:tcPr>
          <w:p w14:paraId="1918BAF7" w14:textId="77777777" w:rsidR="00890450" w:rsidRPr="00F84CEA" w:rsidRDefault="00890450" w:rsidP="00890450">
            <w:pPr>
              <w:rPr>
                <w:b/>
                <w:bCs/>
                <w:sz w:val="22"/>
                <w:szCs w:val="22"/>
              </w:rPr>
            </w:pP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4C94CBA" w14:textId="7624916C" w:rsidR="00890450" w:rsidRPr="00F84CEA" w:rsidRDefault="00890450" w:rsidP="00890450">
            <w:pPr>
              <w:pStyle w:val="NormalWeb"/>
              <w:spacing w:before="0" w:beforeAutospacing="0" w:after="0" w:afterAutospacing="0"/>
              <w:jc w:val="center"/>
              <w:textAlignment w:val="bottom"/>
              <w:rPr>
                <w:b/>
                <w:bCs/>
                <w:i/>
                <w:iCs/>
                <w:kern w:val="24"/>
                <w:sz w:val="22"/>
                <w:szCs w:val="22"/>
              </w:rPr>
            </w:pPr>
            <w:r w:rsidRPr="00F84CEA">
              <w:rPr>
                <w:b/>
                <w:bCs/>
                <w:i/>
                <w:iCs/>
                <w:kern w:val="24"/>
                <w:sz w:val="22"/>
                <w:szCs w:val="22"/>
              </w:rPr>
              <w:t>Rabi</w:t>
            </w:r>
            <w:r w:rsidRPr="00F84CEA">
              <w:rPr>
                <w:b/>
                <w:bCs/>
                <w:i/>
                <w:iCs/>
                <w:kern w:val="24"/>
                <w:sz w:val="22"/>
                <w:szCs w:val="22"/>
                <w:lang w:val="en-IN"/>
              </w:rPr>
              <w:t>,</w:t>
            </w:r>
            <w:r w:rsidRPr="00F84CEA">
              <w:rPr>
                <w:b/>
                <w:bCs/>
                <w:i/>
                <w:iCs/>
                <w:kern w:val="24"/>
                <w:sz w:val="22"/>
                <w:szCs w:val="22"/>
              </w:rPr>
              <w:t xml:space="preserve"> </w:t>
            </w:r>
            <w:r w:rsidRPr="00F84CEA">
              <w:rPr>
                <w:b/>
                <w:bCs/>
                <w:kern w:val="24"/>
                <w:sz w:val="22"/>
                <w:szCs w:val="22"/>
              </w:rPr>
              <w:t>2019-20</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99161DA" w14:textId="73EBC282" w:rsidR="00890450" w:rsidRPr="00F84CEA" w:rsidRDefault="00890450" w:rsidP="00890450">
            <w:pPr>
              <w:pStyle w:val="NormalWeb"/>
              <w:spacing w:before="0" w:beforeAutospacing="0" w:after="0" w:afterAutospacing="0"/>
              <w:jc w:val="center"/>
              <w:textAlignment w:val="bottom"/>
              <w:rPr>
                <w:b/>
                <w:bCs/>
                <w:i/>
                <w:iCs/>
                <w:kern w:val="24"/>
                <w:sz w:val="22"/>
                <w:szCs w:val="22"/>
              </w:rPr>
            </w:pPr>
            <w:r w:rsidRPr="00F84CEA">
              <w:rPr>
                <w:b/>
                <w:bCs/>
                <w:i/>
                <w:iCs/>
                <w:kern w:val="24"/>
                <w:sz w:val="22"/>
                <w:szCs w:val="22"/>
              </w:rPr>
              <w:t>Kharif</w:t>
            </w:r>
            <w:r w:rsidRPr="00F84CEA">
              <w:rPr>
                <w:b/>
                <w:bCs/>
                <w:kern w:val="24"/>
                <w:sz w:val="22"/>
                <w:szCs w:val="22"/>
                <w:lang w:val="en-IN"/>
              </w:rPr>
              <w:t xml:space="preserve">, </w:t>
            </w:r>
            <w:r w:rsidRPr="00F84CEA">
              <w:rPr>
                <w:b/>
                <w:bCs/>
                <w:kern w:val="24"/>
                <w:sz w:val="22"/>
                <w:szCs w:val="22"/>
              </w:rPr>
              <w:t>2020</w:t>
            </w:r>
          </w:p>
        </w:tc>
      </w:tr>
      <w:tr w:rsidR="00890450" w:rsidRPr="00F84CEA" w14:paraId="32A3FF57"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A73740C" w14:textId="77777777" w:rsidR="00890450" w:rsidRPr="00F84CEA" w:rsidRDefault="00890450" w:rsidP="00890450">
            <w:pPr>
              <w:rPr>
                <w:b/>
                <w:bCs/>
                <w:sz w:val="22"/>
                <w:szCs w:val="22"/>
              </w:rPr>
            </w:pPr>
            <w:r w:rsidRPr="00F84CEA">
              <w:rPr>
                <w:b/>
                <w:bCs/>
                <w:sz w:val="22"/>
                <w:szCs w:val="22"/>
              </w:rPr>
              <w:t>50% NPK</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A37A856"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4872</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144192A8"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5479</w:t>
            </w:r>
          </w:p>
        </w:tc>
      </w:tr>
      <w:tr w:rsidR="00890450" w:rsidRPr="00F84CEA" w14:paraId="5F6AF169"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58876AF2" w14:textId="77777777" w:rsidR="00890450" w:rsidRPr="00F84CEA" w:rsidRDefault="00890450" w:rsidP="00890450">
            <w:pPr>
              <w:rPr>
                <w:b/>
                <w:bCs/>
                <w:sz w:val="22"/>
                <w:szCs w:val="22"/>
              </w:rPr>
            </w:pPr>
            <w:r w:rsidRPr="00F84CEA">
              <w:rPr>
                <w:b/>
                <w:bCs/>
                <w:sz w:val="22"/>
                <w:szCs w:val="22"/>
              </w:rPr>
              <w:t>100% NPK</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E1EA48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6593</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89B788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6828</w:t>
            </w:r>
          </w:p>
        </w:tc>
      </w:tr>
      <w:tr w:rsidR="00890450" w:rsidRPr="00F84CEA" w14:paraId="4F127BFA"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4BC2F59" w14:textId="77777777" w:rsidR="00890450" w:rsidRPr="00F84CEA" w:rsidRDefault="00890450" w:rsidP="00890450">
            <w:pPr>
              <w:rPr>
                <w:b/>
                <w:bCs/>
                <w:sz w:val="22"/>
                <w:szCs w:val="22"/>
              </w:rPr>
            </w:pPr>
            <w:r w:rsidRPr="00F84CEA">
              <w:rPr>
                <w:b/>
                <w:bCs/>
                <w:sz w:val="22"/>
                <w:szCs w:val="22"/>
              </w:rPr>
              <w:t>150% NPK</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27139E1"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7257</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CC650B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6631</w:t>
            </w:r>
          </w:p>
        </w:tc>
      </w:tr>
      <w:tr w:rsidR="00890450" w:rsidRPr="00F84CEA" w14:paraId="2745448B"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32B1252" w14:textId="77777777" w:rsidR="00890450" w:rsidRPr="00F84CEA" w:rsidRDefault="00890450" w:rsidP="00890450">
            <w:pPr>
              <w:rPr>
                <w:b/>
                <w:bCs/>
                <w:sz w:val="22"/>
                <w:szCs w:val="22"/>
              </w:rPr>
            </w:pPr>
            <w:r w:rsidRPr="00F84CEA">
              <w:rPr>
                <w:b/>
                <w:bCs/>
                <w:sz w:val="22"/>
                <w:szCs w:val="22"/>
              </w:rPr>
              <w:t>100% NPK + HW</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66A87D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6207</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6FEB0C56"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6588</w:t>
            </w:r>
          </w:p>
        </w:tc>
      </w:tr>
      <w:tr w:rsidR="00890450" w:rsidRPr="00F84CEA" w14:paraId="29A97E10"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2763415E" w14:textId="77777777" w:rsidR="00890450" w:rsidRPr="00F84CEA" w:rsidRDefault="00890450" w:rsidP="00890450">
            <w:pPr>
              <w:rPr>
                <w:b/>
                <w:bCs/>
                <w:sz w:val="22"/>
                <w:szCs w:val="22"/>
              </w:rPr>
            </w:pPr>
            <w:r w:rsidRPr="00F84CEA">
              <w:rPr>
                <w:b/>
                <w:bCs/>
                <w:sz w:val="22"/>
                <w:szCs w:val="22"/>
              </w:rPr>
              <w:t>100% NPK + Zn</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5CF87D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6488</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59A408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6744</w:t>
            </w:r>
          </w:p>
        </w:tc>
      </w:tr>
      <w:tr w:rsidR="00890450" w:rsidRPr="00F84CEA" w14:paraId="2E7E924C"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6656068C" w14:textId="77777777" w:rsidR="00890450" w:rsidRPr="00F84CEA" w:rsidRDefault="00890450" w:rsidP="00890450">
            <w:pPr>
              <w:rPr>
                <w:b/>
                <w:bCs/>
                <w:sz w:val="22"/>
                <w:szCs w:val="22"/>
              </w:rPr>
            </w:pPr>
            <w:r w:rsidRPr="00F84CEA">
              <w:rPr>
                <w:b/>
                <w:bCs/>
                <w:sz w:val="22"/>
                <w:szCs w:val="22"/>
              </w:rPr>
              <w:t>100% NP</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D4627CB"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6496</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7713EAF"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6485</w:t>
            </w:r>
          </w:p>
        </w:tc>
      </w:tr>
      <w:tr w:rsidR="00890450" w:rsidRPr="00F84CEA" w14:paraId="61F9482E"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48BF3577" w14:textId="77777777" w:rsidR="00890450" w:rsidRPr="00F84CEA" w:rsidRDefault="00890450" w:rsidP="00890450">
            <w:pPr>
              <w:rPr>
                <w:b/>
                <w:bCs/>
                <w:sz w:val="22"/>
                <w:szCs w:val="22"/>
              </w:rPr>
            </w:pPr>
            <w:r w:rsidRPr="00F84CEA">
              <w:rPr>
                <w:b/>
                <w:bCs/>
                <w:sz w:val="22"/>
                <w:szCs w:val="22"/>
              </w:rPr>
              <w:t>100% N</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A72F77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3182</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78D4768"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5153</w:t>
            </w:r>
          </w:p>
        </w:tc>
      </w:tr>
      <w:tr w:rsidR="00890450" w:rsidRPr="00F84CEA" w14:paraId="1E7B694C"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3530007" w14:textId="77777777" w:rsidR="00890450" w:rsidRPr="00F84CEA" w:rsidRDefault="00890450" w:rsidP="00890450">
            <w:pPr>
              <w:rPr>
                <w:b/>
                <w:bCs/>
                <w:sz w:val="22"/>
                <w:szCs w:val="22"/>
              </w:rPr>
            </w:pPr>
            <w:r w:rsidRPr="00F84CEA">
              <w:rPr>
                <w:b/>
                <w:bCs/>
                <w:sz w:val="22"/>
                <w:szCs w:val="22"/>
              </w:rPr>
              <w:t>100% NPK + FYM</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234D4ED"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6547</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0FD94D69"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6581</w:t>
            </w:r>
          </w:p>
        </w:tc>
      </w:tr>
      <w:tr w:rsidR="00890450" w:rsidRPr="00F84CEA" w14:paraId="313A03A5"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7F834C44" w14:textId="77777777" w:rsidR="00890450" w:rsidRPr="00F84CEA" w:rsidRDefault="00890450" w:rsidP="00890450">
            <w:pPr>
              <w:rPr>
                <w:b/>
                <w:bCs/>
                <w:sz w:val="22"/>
                <w:szCs w:val="22"/>
              </w:rPr>
            </w:pPr>
            <w:r w:rsidRPr="00F84CEA">
              <w:rPr>
                <w:b/>
                <w:bCs/>
                <w:sz w:val="22"/>
                <w:szCs w:val="22"/>
              </w:rPr>
              <w:t>100% NPK – S</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6B11CDBA"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6325</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250E50AF"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6813</w:t>
            </w:r>
          </w:p>
        </w:tc>
      </w:tr>
      <w:tr w:rsidR="00890450" w:rsidRPr="00F84CEA" w14:paraId="4CE629C8"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19AAA204" w14:textId="77777777" w:rsidR="00890450" w:rsidRPr="00F84CEA" w:rsidRDefault="00890450" w:rsidP="00890450">
            <w:pPr>
              <w:rPr>
                <w:b/>
                <w:bCs/>
                <w:sz w:val="22"/>
                <w:szCs w:val="22"/>
              </w:rPr>
            </w:pPr>
            <w:r w:rsidRPr="00F84CEA">
              <w:rPr>
                <w:b/>
                <w:bCs/>
                <w:sz w:val="22"/>
                <w:szCs w:val="22"/>
              </w:rPr>
              <w:t>FYM</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42163B76"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5756</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69F3E6B2"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6368</w:t>
            </w:r>
          </w:p>
        </w:tc>
      </w:tr>
      <w:tr w:rsidR="00890450" w:rsidRPr="00F84CEA" w14:paraId="3D79DFCF"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34DDC5CF" w14:textId="77777777" w:rsidR="00890450" w:rsidRPr="00F84CEA" w:rsidRDefault="00890450" w:rsidP="00890450">
            <w:pPr>
              <w:rPr>
                <w:b/>
                <w:bCs/>
                <w:sz w:val="22"/>
                <w:szCs w:val="22"/>
              </w:rPr>
            </w:pPr>
            <w:r w:rsidRPr="00F84CEA">
              <w:rPr>
                <w:b/>
                <w:bCs/>
                <w:sz w:val="22"/>
                <w:szCs w:val="22"/>
              </w:rPr>
              <w:t>Control</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AFA5C1C"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3375</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31AC63B5"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kern w:val="24"/>
                <w:sz w:val="22"/>
                <w:szCs w:val="22"/>
              </w:rPr>
              <w:t>4785</w:t>
            </w:r>
          </w:p>
        </w:tc>
      </w:tr>
      <w:tr w:rsidR="00890450" w:rsidRPr="00F84CEA" w14:paraId="32F27023" w14:textId="77777777" w:rsidTr="000F444B">
        <w:trPr>
          <w:trHeight w:val="224"/>
        </w:trPr>
        <w:tc>
          <w:tcPr>
            <w:tcW w:w="2801" w:type="pct"/>
            <w:tcBorders>
              <w:top w:val="single" w:sz="8" w:space="0" w:color="000000"/>
              <w:left w:val="single" w:sz="8" w:space="0" w:color="000000"/>
              <w:bottom w:val="single" w:sz="8" w:space="0" w:color="000000"/>
              <w:right w:val="single" w:sz="8" w:space="0" w:color="000000"/>
            </w:tcBorders>
            <w:tcMar>
              <w:top w:w="15" w:type="dxa"/>
              <w:left w:w="98" w:type="dxa"/>
              <w:bottom w:w="0" w:type="dxa"/>
              <w:right w:w="98" w:type="dxa"/>
            </w:tcMar>
            <w:vAlign w:val="center"/>
          </w:tcPr>
          <w:p w14:paraId="078BE5DD" w14:textId="77777777" w:rsidR="00890450" w:rsidRPr="00F84CEA" w:rsidRDefault="00890450" w:rsidP="00890450">
            <w:pPr>
              <w:rPr>
                <w:b/>
                <w:bCs/>
                <w:sz w:val="22"/>
                <w:szCs w:val="22"/>
              </w:rPr>
            </w:pPr>
            <w:r w:rsidRPr="00F84CEA">
              <w:rPr>
                <w:b/>
                <w:bCs/>
                <w:i/>
                <w:iCs/>
                <w:sz w:val="22"/>
                <w:szCs w:val="22"/>
              </w:rPr>
              <w:t xml:space="preserve">Mean </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CFE04B6" w14:textId="77777777" w:rsidR="00890450" w:rsidRPr="00F84CEA" w:rsidRDefault="00890450" w:rsidP="00890450">
            <w:pPr>
              <w:pStyle w:val="NormalWeb"/>
              <w:spacing w:before="0" w:beforeAutospacing="0" w:after="0" w:afterAutospacing="0"/>
              <w:jc w:val="center"/>
              <w:textAlignment w:val="bottom"/>
              <w:rPr>
                <w:i/>
                <w:sz w:val="22"/>
                <w:szCs w:val="22"/>
              </w:rPr>
            </w:pPr>
            <w:r w:rsidRPr="00F84CEA">
              <w:rPr>
                <w:b/>
                <w:bCs/>
                <w:i/>
                <w:kern w:val="24"/>
                <w:sz w:val="22"/>
                <w:szCs w:val="22"/>
              </w:rPr>
              <w:t>5736</w:t>
            </w:r>
          </w:p>
        </w:tc>
        <w:tc>
          <w:tcPr>
            <w:tcW w:w="1081" w:type="pct"/>
            <w:tcBorders>
              <w:top w:val="single" w:sz="8" w:space="0" w:color="000000"/>
              <w:left w:val="single" w:sz="8" w:space="0" w:color="000000"/>
              <w:bottom w:val="single" w:sz="8" w:space="0" w:color="000000"/>
              <w:right w:val="single" w:sz="8" w:space="0" w:color="000000"/>
            </w:tcBorders>
            <w:tcMar>
              <w:top w:w="15" w:type="dxa"/>
              <w:left w:w="98" w:type="dxa"/>
              <w:right w:w="98" w:type="dxa"/>
            </w:tcMar>
            <w:vAlign w:val="bottom"/>
          </w:tcPr>
          <w:p w14:paraId="58078126" w14:textId="77777777" w:rsidR="00890450" w:rsidRPr="00F84CEA" w:rsidRDefault="00890450" w:rsidP="00890450">
            <w:pPr>
              <w:pStyle w:val="NormalWeb"/>
              <w:spacing w:before="0" w:beforeAutospacing="0" w:after="0" w:afterAutospacing="0"/>
              <w:jc w:val="center"/>
              <w:textAlignment w:val="bottom"/>
              <w:rPr>
                <w:i/>
                <w:sz w:val="22"/>
                <w:szCs w:val="22"/>
              </w:rPr>
            </w:pPr>
            <w:r w:rsidRPr="00F84CEA">
              <w:rPr>
                <w:b/>
                <w:bCs/>
                <w:i/>
                <w:kern w:val="24"/>
                <w:sz w:val="22"/>
                <w:szCs w:val="22"/>
              </w:rPr>
              <w:t>6223</w:t>
            </w:r>
          </w:p>
        </w:tc>
      </w:tr>
      <w:tr w:rsidR="00890450" w:rsidRPr="00F84CEA" w14:paraId="364A414E" w14:textId="77777777" w:rsidTr="000F444B">
        <w:trPr>
          <w:trHeight w:val="256"/>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19C4C6AF" w14:textId="77777777" w:rsidR="00890450" w:rsidRPr="00F84CEA" w:rsidRDefault="00890450" w:rsidP="00890450">
            <w:pPr>
              <w:rPr>
                <w:b/>
                <w:bCs/>
                <w:sz w:val="22"/>
                <w:szCs w:val="22"/>
              </w:rPr>
            </w:pPr>
            <w:r w:rsidRPr="00F84CEA">
              <w:rPr>
                <w:b/>
                <w:bCs/>
                <w:sz w:val="22"/>
                <w:szCs w:val="22"/>
              </w:rPr>
              <w:t>S. Em ±</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2D06E47E"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224.6</w:t>
            </w:r>
          </w:p>
        </w:tc>
        <w:tc>
          <w:tcPr>
            <w:tcW w:w="10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C788319"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279.7</w:t>
            </w:r>
          </w:p>
        </w:tc>
      </w:tr>
      <w:tr w:rsidR="00890450" w:rsidRPr="00F84CEA" w14:paraId="64BCE02D" w14:textId="77777777" w:rsidTr="000F444B">
        <w:trPr>
          <w:trHeight w:val="256"/>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9B8247A" w14:textId="77777777" w:rsidR="00890450" w:rsidRPr="00F84CEA" w:rsidRDefault="00890450" w:rsidP="00890450">
            <w:pPr>
              <w:rPr>
                <w:b/>
                <w:bCs/>
                <w:sz w:val="22"/>
                <w:szCs w:val="22"/>
              </w:rPr>
            </w:pPr>
            <w:r w:rsidRPr="00F84CEA">
              <w:rPr>
                <w:b/>
                <w:bCs/>
                <w:sz w:val="22"/>
                <w:szCs w:val="22"/>
              </w:rPr>
              <w:t>CD (5%)</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5C3FAE"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648.7</w:t>
            </w:r>
          </w:p>
        </w:tc>
        <w:tc>
          <w:tcPr>
            <w:tcW w:w="10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5603A424"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807.9</w:t>
            </w:r>
          </w:p>
        </w:tc>
      </w:tr>
      <w:tr w:rsidR="00890450" w:rsidRPr="00F84CEA" w14:paraId="476DF5DE" w14:textId="77777777" w:rsidTr="000F444B">
        <w:trPr>
          <w:trHeight w:val="256"/>
        </w:trPr>
        <w:tc>
          <w:tcPr>
            <w:tcW w:w="280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3CF11C27" w14:textId="77777777" w:rsidR="00890450" w:rsidRPr="00F84CEA" w:rsidRDefault="00890450" w:rsidP="00890450">
            <w:pPr>
              <w:rPr>
                <w:b/>
                <w:bCs/>
                <w:sz w:val="22"/>
                <w:szCs w:val="22"/>
              </w:rPr>
            </w:pPr>
            <w:r w:rsidRPr="00F84CEA">
              <w:rPr>
                <w:b/>
                <w:bCs/>
                <w:sz w:val="22"/>
                <w:szCs w:val="22"/>
              </w:rPr>
              <w:t>CV (%)</w:t>
            </w:r>
          </w:p>
        </w:tc>
        <w:tc>
          <w:tcPr>
            <w:tcW w:w="111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08D1DD09"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7.8</w:t>
            </w:r>
          </w:p>
        </w:tc>
        <w:tc>
          <w:tcPr>
            <w:tcW w:w="108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bottom"/>
          </w:tcPr>
          <w:p w14:paraId="76196614" w14:textId="77777777" w:rsidR="00890450" w:rsidRPr="00F84CEA" w:rsidRDefault="00890450" w:rsidP="00890450">
            <w:pPr>
              <w:pStyle w:val="NormalWeb"/>
              <w:spacing w:before="0" w:beforeAutospacing="0" w:after="0" w:afterAutospacing="0"/>
              <w:jc w:val="center"/>
              <w:textAlignment w:val="bottom"/>
              <w:rPr>
                <w:sz w:val="22"/>
                <w:szCs w:val="22"/>
              </w:rPr>
            </w:pPr>
            <w:r w:rsidRPr="00F84CEA">
              <w:rPr>
                <w:b/>
                <w:bCs/>
                <w:kern w:val="24"/>
                <w:sz w:val="22"/>
                <w:szCs w:val="22"/>
              </w:rPr>
              <w:t>9.0</w:t>
            </w:r>
          </w:p>
        </w:tc>
      </w:tr>
    </w:tbl>
    <w:p w14:paraId="7F2B0867" w14:textId="77777777" w:rsidR="00DD0D36" w:rsidRPr="00F84CEA" w:rsidRDefault="00DD0D36">
      <w:pPr>
        <w:spacing w:line="360" w:lineRule="auto"/>
        <w:jc w:val="both"/>
        <w:rPr>
          <w:lang w:val="en-IN"/>
        </w:rPr>
      </w:pPr>
    </w:p>
    <w:p w14:paraId="1C1D4A3A" w14:textId="77777777" w:rsidR="00DD0D36" w:rsidRDefault="00DD0D36" w:rsidP="00DD0D36">
      <w:pPr>
        <w:spacing w:line="360" w:lineRule="auto"/>
        <w:jc w:val="both"/>
        <w:rPr>
          <w:b/>
          <w:bCs/>
          <w:color w:val="000000" w:themeColor="text1"/>
        </w:rPr>
      </w:pPr>
      <w:r>
        <w:rPr>
          <w:b/>
          <w:bCs/>
          <w:noProof/>
          <w:color w:val="000000" w:themeColor="text1"/>
        </w:rPr>
        <w:drawing>
          <wp:inline distT="0" distB="0" distL="0" distR="0" wp14:anchorId="07129E07" wp14:editId="704521BF">
            <wp:extent cx="5629275" cy="2880360"/>
            <wp:effectExtent l="12700" t="12700" r="15875" b="2159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AB54486" w14:textId="77777777" w:rsidR="00DD0D36" w:rsidRDefault="00DD0D36" w:rsidP="00DD0D36">
      <w:pPr>
        <w:spacing w:line="360" w:lineRule="auto"/>
        <w:ind w:left="1205" w:hangingChars="500" w:hanging="1205"/>
        <w:jc w:val="both"/>
        <w:rPr>
          <w:b/>
          <w:bCs/>
          <w:color w:val="000000" w:themeColor="text1"/>
          <w:lang w:val="en-IN"/>
        </w:rPr>
      </w:pPr>
      <w:r>
        <w:rPr>
          <w:b/>
          <w:bCs/>
          <w:color w:val="000000" w:themeColor="text1"/>
          <w:lang w:val="en-IN"/>
        </w:rPr>
        <w:lastRenderedPageBreak/>
        <w:t xml:space="preserve">Figure.1. Influence of 19 years long term fertilizer and manure application on Infiltration rate of post–harvest soils of rice during </w:t>
      </w:r>
      <w:r>
        <w:rPr>
          <w:b/>
          <w:bCs/>
          <w:i/>
          <w:iCs/>
          <w:color w:val="000000" w:themeColor="text1"/>
          <w:lang w:val="en-IN"/>
        </w:rPr>
        <w:t xml:space="preserve">rabi, </w:t>
      </w:r>
      <w:r>
        <w:rPr>
          <w:b/>
          <w:bCs/>
          <w:color w:val="000000" w:themeColor="text1"/>
          <w:lang w:val="en-IN"/>
        </w:rPr>
        <w:t>2019-20</w:t>
      </w:r>
    </w:p>
    <w:p w14:paraId="5CD2D026" w14:textId="77777777" w:rsidR="00973465" w:rsidRDefault="00973465" w:rsidP="00973465">
      <w:pPr>
        <w:spacing w:line="360" w:lineRule="auto"/>
        <w:jc w:val="both"/>
        <w:rPr>
          <w:b/>
          <w:bCs/>
          <w:color w:val="000000" w:themeColor="text1"/>
          <w:lang w:val="en-IN"/>
        </w:rPr>
      </w:pPr>
      <w:r>
        <w:rPr>
          <w:b/>
          <w:bCs/>
          <w:color w:val="000000" w:themeColor="text1"/>
        </w:rPr>
        <w:t xml:space="preserve">Table 3: </w:t>
      </w:r>
      <w:r>
        <w:rPr>
          <w:b/>
          <w:bCs/>
          <w:color w:val="000000" w:themeColor="text1"/>
          <w:lang w:val="en-IN"/>
        </w:rPr>
        <w:t xml:space="preserve">Effect of 19 years of long-term fertilizer and manure application on physical properties of </w:t>
      </w:r>
      <w:proofErr w:type="spellStart"/>
      <w:r>
        <w:rPr>
          <w:b/>
          <w:bCs/>
          <w:color w:val="000000" w:themeColor="text1"/>
          <w:lang w:val="en-IN"/>
        </w:rPr>
        <w:t>post harvest</w:t>
      </w:r>
      <w:proofErr w:type="spellEnd"/>
      <w:r>
        <w:rPr>
          <w:b/>
          <w:bCs/>
          <w:color w:val="000000" w:themeColor="text1"/>
          <w:lang w:val="en-IN"/>
        </w:rPr>
        <w:t xml:space="preserve"> soils of rice </w:t>
      </w:r>
      <w:r>
        <w:rPr>
          <w:b/>
          <w:bCs/>
          <w:i/>
          <w:iCs/>
          <w:color w:val="000000" w:themeColor="text1"/>
          <w:lang w:val="en-IN"/>
        </w:rPr>
        <w:t>rabi 2019-20.</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60"/>
        <w:gridCol w:w="3143"/>
        <w:gridCol w:w="2768"/>
      </w:tblGrid>
      <w:tr w:rsidR="00973465" w14:paraId="4028F51F" w14:textId="77777777" w:rsidTr="000F444B">
        <w:trPr>
          <w:trHeight w:val="265"/>
        </w:trPr>
        <w:tc>
          <w:tcPr>
            <w:tcW w:w="3660" w:type="dxa"/>
            <w:tcMar>
              <w:top w:w="17" w:type="dxa"/>
              <w:left w:w="98" w:type="dxa"/>
              <w:bottom w:w="0" w:type="dxa"/>
              <w:right w:w="98" w:type="dxa"/>
            </w:tcMar>
            <w:vAlign w:val="center"/>
          </w:tcPr>
          <w:p w14:paraId="1E881E58" w14:textId="77777777" w:rsidR="00973465" w:rsidRDefault="00973465" w:rsidP="000F444B">
            <w:pPr>
              <w:textAlignment w:val="baseline"/>
              <w:rPr>
                <w:b/>
                <w:bCs/>
                <w:color w:val="000000" w:themeColor="text1"/>
                <w:kern w:val="24"/>
              </w:rPr>
            </w:pPr>
            <w:r>
              <w:rPr>
                <w:b/>
                <w:bCs/>
                <w:color w:val="000000" w:themeColor="text1"/>
                <w:kern w:val="24"/>
              </w:rPr>
              <w:t>Treatments</w:t>
            </w:r>
          </w:p>
        </w:tc>
        <w:tc>
          <w:tcPr>
            <w:tcW w:w="3143" w:type="dxa"/>
            <w:tcMar>
              <w:top w:w="15" w:type="dxa"/>
              <w:left w:w="15" w:type="dxa"/>
              <w:bottom w:w="0" w:type="dxa"/>
              <w:right w:w="15" w:type="dxa"/>
            </w:tcMar>
            <w:vAlign w:val="bottom"/>
          </w:tcPr>
          <w:p w14:paraId="6700D5F5" w14:textId="77777777" w:rsidR="00973465" w:rsidRDefault="00973465" w:rsidP="000F444B">
            <w:pPr>
              <w:jc w:val="center"/>
              <w:textAlignment w:val="bottom"/>
              <w:rPr>
                <w:b/>
                <w:bCs/>
                <w:color w:val="000000" w:themeColor="text1"/>
                <w:kern w:val="24"/>
              </w:rPr>
            </w:pPr>
            <w:r>
              <w:rPr>
                <w:b/>
                <w:bCs/>
                <w:color w:val="000000" w:themeColor="text1"/>
                <w:kern w:val="24"/>
              </w:rPr>
              <w:t>BD (Mg m</w:t>
            </w:r>
            <w:r>
              <w:rPr>
                <w:b/>
                <w:bCs/>
                <w:color w:val="000000" w:themeColor="text1"/>
                <w:kern w:val="24"/>
                <w:vertAlign w:val="superscript"/>
              </w:rPr>
              <w:t>-3</w:t>
            </w:r>
            <w:r>
              <w:rPr>
                <w:b/>
                <w:bCs/>
                <w:color w:val="000000" w:themeColor="text1"/>
                <w:kern w:val="24"/>
              </w:rPr>
              <w:t>)</w:t>
            </w:r>
          </w:p>
        </w:tc>
        <w:tc>
          <w:tcPr>
            <w:tcW w:w="2768" w:type="dxa"/>
            <w:tcMar>
              <w:top w:w="17" w:type="dxa"/>
              <w:left w:w="98" w:type="dxa"/>
              <w:right w:w="98" w:type="dxa"/>
            </w:tcMar>
            <w:vAlign w:val="bottom"/>
          </w:tcPr>
          <w:p w14:paraId="261CF67E" w14:textId="77777777" w:rsidR="00973465" w:rsidRDefault="00973465" w:rsidP="000F444B">
            <w:pPr>
              <w:jc w:val="center"/>
              <w:textAlignment w:val="bottom"/>
              <w:rPr>
                <w:b/>
                <w:bCs/>
                <w:color w:val="000000" w:themeColor="text1"/>
                <w:kern w:val="24"/>
              </w:rPr>
            </w:pPr>
            <w:r>
              <w:rPr>
                <w:b/>
                <w:bCs/>
                <w:color w:val="000000" w:themeColor="text1"/>
                <w:kern w:val="24"/>
              </w:rPr>
              <w:t>% Pore Space</w:t>
            </w:r>
          </w:p>
        </w:tc>
      </w:tr>
      <w:tr w:rsidR="00973465" w14:paraId="295C6DFE" w14:textId="77777777" w:rsidTr="000F444B">
        <w:trPr>
          <w:trHeight w:val="265"/>
        </w:trPr>
        <w:tc>
          <w:tcPr>
            <w:tcW w:w="3660" w:type="dxa"/>
            <w:tcMar>
              <w:top w:w="17" w:type="dxa"/>
              <w:left w:w="98" w:type="dxa"/>
              <w:bottom w:w="0" w:type="dxa"/>
              <w:right w:w="98" w:type="dxa"/>
            </w:tcMar>
            <w:vAlign w:val="center"/>
          </w:tcPr>
          <w:p w14:paraId="7E508CAF" w14:textId="77777777" w:rsidR="00973465" w:rsidRDefault="00973465" w:rsidP="000F444B">
            <w:pPr>
              <w:textAlignment w:val="baseline"/>
              <w:rPr>
                <w:b/>
                <w:color w:val="000000" w:themeColor="text1"/>
              </w:rPr>
            </w:pPr>
            <w:r>
              <w:rPr>
                <w:b/>
                <w:bCs/>
                <w:color w:val="000000" w:themeColor="text1"/>
                <w:kern w:val="24"/>
              </w:rPr>
              <w:t>50% NPK</w:t>
            </w:r>
          </w:p>
        </w:tc>
        <w:tc>
          <w:tcPr>
            <w:tcW w:w="3143" w:type="dxa"/>
            <w:tcMar>
              <w:top w:w="15" w:type="dxa"/>
              <w:left w:w="15" w:type="dxa"/>
              <w:bottom w:w="0" w:type="dxa"/>
              <w:right w:w="15" w:type="dxa"/>
            </w:tcMar>
            <w:vAlign w:val="bottom"/>
          </w:tcPr>
          <w:p w14:paraId="73322163" w14:textId="77777777" w:rsidR="00973465" w:rsidRDefault="00973465" w:rsidP="000F444B">
            <w:pPr>
              <w:jc w:val="center"/>
              <w:textAlignment w:val="bottom"/>
              <w:rPr>
                <w:color w:val="000000" w:themeColor="text1"/>
              </w:rPr>
            </w:pPr>
            <w:r>
              <w:rPr>
                <w:color w:val="000000" w:themeColor="text1"/>
                <w:kern w:val="24"/>
              </w:rPr>
              <w:t>1.49</w:t>
            </w:r>
          </w:p>
        </w:tc>
        <w:tc>
          <w:tcPr>
            <w:tcW w:w="2768" w:type="dxa"/>
            <w:tcMar>
              <w:top w:w="17" w:type="dxa"/>
              <w:left w:w="98" w:type="dxa"/>
              <w:right w:w="98" w:type="dxa"/>
            </w:tcMar>
            <w:vAlign w:val="bottom"/>
          </w:tcPr>
          <w:p w14:paraId="6537D111" w14:textId="77777777" w:rsidR="00973465" w:rsidRDefault="00973465" w:rsidP="000F444B">
            <w:pPr>
              <w:jc w:val="center"/>
              <w:textAlignment w:val="bottom"/>
              <w:rPr>
                <w:color w:val="000000" w:themeColor="text1"/>
              </w:rPr>
            </w:pPr>
            <w:r>
              <w:rPr>
                <w:color w:val="000000" w:themeColor="text1"/>
                <w:kern w:val="24"/>
              </w:rPr>
              <w:t>43.59</w:t>
            </w:r>
          </w:p>
        </w:tc>
      </w:tr>
      <w:tr w:rsidR="00973465" w14:paraId="1EC98DCE" w14:textId="77777777" w:rsidTr="000F444B">
        <w:trPr>
          <w:trHeight w:val="265"/>
        </w:trPr>
        <w:tc>
          <w:tcPr>
            <w:tcW w:w="3660" w:type="dxa"/>
            <w:tcMar>
              <w:top w:w="17" w:type="dxa"/>
              <w:left w:w="98" w:type="dxa"/>
              <w:bottom w:w="0" w:type="dxa"/>
              <w:right w:w="98" w:type="dxa"/>
            </w:tcMar>
            <w:vAlign w:val="center"/>
          </w:tcPr>
          <w:p w14:paraId="59F46391" w14:textId="77777777" w:rsidR="00973465" w:rsidRDefault="00973465" w:rsidP="000F444B">
            <w:pPr>
              <w:textAlignment w:val="baseline"/>
              <w:rPr>
                <w:b/>
                <w:color w:val="000000" w:themeColor="text1"/>
              </w:rPr>
            </w:pPr>
            <w:r>
              <w:rPr>
                <w:b/>
                <w:bCs/>
                <w:color w:val="000000" w:themeColor="text1"/>
                <w:kern w:val="24"/>
              </w:rPr>
              <w:t>100% NPK</w:t>
            </w:r>
          </w:p>
        </w:tc>
        <w:tc>
          <w:tcPr>
            <w:tcW w:w="3143" w:type="dxa"/>
            <w:tcMar>
              <w:top w:w="15" w:type="dxa"/>
              <w:left w:w="15" w:type="dxa"/>
              <w:bottom w:w="0" w:type="dxa"/>
              <w:right w:w="15" w:type="dxa"/>
            </w:tcMar>
            <w:vAlign w:val="bottom"/>
          </w:tcPr>
          <w:p w14:paraId="0F9C97A8" w14:textId="77777777" w:rsidR="00973465" w:rsidRDefault="00973465" w:rsidP="000F444B">
            <w:pPr>
              <w:jc w:val="center"/>
              <w:textAlignment w:val="bottom"/>
              <w:rPr>
                <w:color w:val="000000" w:themeColor="text1"/>
              </w:rPr>
            </w:pPr>
            <w:r>
              <w:rPr>
                <w:color w:val="000000" w:themeColor="text1"/>
                <w:kern w:val="24"/>
              </w:rPr>
              <w:t>1.41</w:t>
            </w:r>
          </w:p>
        </w:tc>
        <w:tc>
          <w:tcPr>
            <w:tcW w:w="2768" w:type="dxa"/>
            <w:tcMar>
              <w:top w:w="17" w:type="dxa"/>
              <w:left w:w="98" w:type="dxa"/>
              <w:right w:w="98" w:type="dxa"/>
            </w:tcMar>
            <w:vAlign w:val="bottom"/>
          </w:tcPr>
          <w:p w14:paraId="0572C3AE" w14:textId="77777777" w:rsidR="00973465" w:rsidRDefault="00973465" w:rsidP="000F444B">
            <w:pPr>
              <w:jc w:val="center"/>
              <w:textAlignment w:val="bottom"/>
              <w:rPr>
                <w:color w:val="000000" w:themeColor="text1"/>
              </w:rPr>
            </w:pPr>
            <w:r>
              <w:rPr>
                <w:color w:val="000000" w:themeColor="text1"/>
                <w:kern w:val="24"/>
              </w:rPr>
              <w:t>46.87</w:t>
            </w:r>
          </w:p>
        </w:tc>
      </w:tr>
      <w:tr w:rsidR="00973465" w14:paraId="722D8128" w14:textId="77777777" w:rsidTr="000F444B">
        <w:trPr>
          <w:trHeight w:val="265"/>
        </w:trPr>
        <w:tc>
          <w:tcPr>
            <w:tcW w:w="3660" w:type="dxa"/>
            <w:tcMar>
              <w:top w:w="17" w:type="dxa"/>
              <w:left w:w="98" w:type="dxa"/>
              <w:bottom w:w="0" w:type="dxa"/>
              <w:right w:w="98" w:type="dxa"/>
            </w:tcMar>
            <w:vAlign w:val="center"/>
          </w:tcPr>
          <w:p w14:paraId="3551D607" w14:textId="77777777" w:rsidR="00973465" w:rsidRDefault="00973465" w:rsidP="000F444B">
            <w:pPr>
              <w:textAlignment w:val="baseline"/>
              <w:rPr>
                <w:b/>
                <w:color w:val="000000" w:themeColor="text1"/>
              </w:rPr>
            </w:pPr>
            <w:r>
              <w:rPr>
                <w:b/>
                <w:bCs/>
                <w:color w:val="000000" w:themeColor="text1"/>
                <w:kern w:val="24"/>
              </w:rPr>
              <w:t>150% NPK</w:t>
            </w:r>
          </w:p>
        </w:tc>
        <w:tc>
          <w:tcPr>
            <w:tcW w:w="3143" w:type="dxa"/>
            <w:tcMar>
              <w:top w:w="15" w:type="dxa"/>
              <w:left w:w="15" w:type="dxa"/>
              <w:bottom w:w="0" w:type="dxa"/>
              <w:right w:w="15" w:type="dxa"/>
            </w:tcMar>
            <w:vAlign w:val="bottom"/>
          </w:tcPr>
          <w:p w14:paraId="1F8C9B3E" w14:textId="77777777" w:rsidR="00973465" w:rsidRDefault="00973465" w:rsidP="000F444B">
            <w:pPr>
              <w:jc w:val="center"/>
              <w:textAlignment w:val="bottom"/>
              <w:rPr>
                <w:color w:val="000000" w:themeColor="text1"/>
              </w:rPr>
            </w:pPr>
            <w:r>
              <w:rPr>
                <w:color w:val="000000" w:themeColor="text1"/>
                <w:kern w:val="24"/>
              </w:rPr>
              <w:t>1.45</w:t>
            </w:r>
          </w:p>
        </w:tc>
        <w:tc>
          <w:tcPr>
            <w:tcW w:w="2768" w:type="dxa"/>
            <w:tcMar>
              <w:top w:w="17" w:type="dxa"/>
              <w:left w:w="98" w:type="dxa"/>
              <w:right w:w="98" w:type="dxa"/>
            </w:tcMar>
            <w:vAlign w:val="bottom"/>
          </w:tcPr>
          <w:p w14:paraId="702C650C" w14:textId="77777777" w:rsidR="00973465" w:rsidRDefault="00973465" w:rsidP="000F444B">
            <w:pPr>
              <w:jc w:val="center"/>
              <w:textAlignment w:val="bottom"/>
              <w:rPr>
                <w:color w:val="000000" w:themeColor="text1"/>
              </w:rPr>
            </w:pPr>
            <w:r>
              <w:rPr>
                <w:color w:val="000000" w:themeColor="text1"/>
                <w:kern w:val="24"/>
              </w:rPr>
              <w:t>45.18</w:t>
            </w:r>
          </w:p>
        </w:tc>
      </w:tr>
      <w:tr w:rsidR="00973465" w14:paraId="4EB7DD11" w14:textId="77777777" w:rsidTr="000F444B">
        <w:trPr>
          <w:trHeight w:val="265"/>
        </w:trPr>
        <w:tc>
          <w:tcPr>
            <w:tcW w:w="3660" w:type="dxa"/>
            <w:tcMar>
              <w:top w:w="17" w:type="dxa"/>
              <w:left w:w="98" w:type="dxa"/>
              <w:bottom w:w="0" w:type="dxa"/>
              <w:right w:w="98" w:type="dxa"/>
            </w:tcMar>
            <w:vAlign w:val="center"/>
          </w:tcPr>
          <w:p w14:paraId="56C0C8DA" w14:textId="77777777" w:rsidR="00973465" w:rsidRDefault="00973465" w:rsidP="000F444B">
            <w:pPr>
              <w:textAlignment w:val="baseline"/>
              <w:rPr>
                <w:b/>
                <w:color w:val="000000" w:themeColor="text1"/>
              </w:rPr>
            </w:pPr>
            <w:r>
              <w:rPr>
                <w:b/>
                <w:bCs/>
                <w:color w:val="000000" w:themeColor="text1"/>
                <w:kern w:val="24"/>
              </w:rPr>
              <w:t>100% NPK + HW</w:t>
            </w:r>
          </w:p>
        </w:tc>
        <w:tc>
          <w:tcPr>
            <w:tcW w:w="3143" w:type="dxa"/>
            <w:tcMar>
              <w:top w:w="15" w:type="dxa"/>
              <w:left w:w="15" w:type="dxa"/>
              <w:bottom w:w="0" w:type="dxa"/>
              <w:right w:w="15" w:type="dxa"/>
            </w:tcMar>
            <w:vAlign w:val="bottom"/>
          </w:tcPr>
          <w:p w14:paraId="3CE62DA2" w14:textId="77777777" w:rsidR="00973465" w:rsidRDefault="00973465" w:rsidP="000F444B">
            <w:pPr>
              <w:jc w:val="center"/>
              <w:textAlignment w:val="bottom"/>
              <w:rPr>
                <w:color w:val="000000" w:themeColor="text1"/>
              </w:rPr>
            </w:pPr>
            <w:r>
              <w:rPr>
                <w:color w:val="000000" w:themeColor="text1"/>
                <w:kern w:val="24"/>
              </w:rPr>
              <w:t>1.43</w:t>
            </w:r>
          </w:p>
        </w:tc>
        <w:tc>
          <w:tcPr>
            <w:tcW w:w="2768" w:type="dxa"/>
            <w:tcMar>
              <w:top w:w="17" w:type="dxa"/>
              <w:left w:w="98" w:type="dxa"/>
              <w:right w:w="98" w:type="dxa"/>
            </w:tcMar>
            <w:vAlign w:val="bottom"/>
          </w:tcPr>
          <w:p w14:paraId="657182E8" w14:textId="77777777" w:rsidR="00973465" w:rsidRDefault="00973465" w:rsidP="000F444B">
            <w:pPr>
              <w:jc w:val="center"/>
              <w:textAlignment w:val="bottom"/>
              <w:rPr>
                <w:color w:val="000000" w:themeColor="text1"/>
              </w:rPr>
            </w:pPr>
            <w:r>
              <w:rPr>
                <w:color w:val="000000" w:themeColor="text1"/>
                <w:kern w:val="24"/>
              </w:rPr>
              <w:t>46.06</w:t>
            </w:r>
          </w:p>
        </w:tc>
      </w:tr>
      <w:tr w:rsidR="00973465" w14:paraId="0D3A9F3C" w14:textId="77777777" w:rsidTr="000F444B">
        <w:trPr>
          <w:trHeight w:val="265"/>
        </w:trPr>
        <w:tc>
          <w:tcPr>
            <w:tcW w:w="3660" w:type="dxa"/>
            <w:tcMar>
              <w:top w:w="17" w:type="dxa"/>
              <w:left w:w="98" w:type="dxa"/>
              <w:bottom w:w="0" w:type="dxa"/>
              <w:right w:w="98" w:type="dxa"/>
            </w:tcMar>
            <w:vAlign w:val="center"/>
          </w:tcPr>
          <w:p w14:paraId="7EA8A665" w14:textId="77777777" w:rsidR="00973465" w:rsidRDefault="00973465" w:rsidP="000F444B">
            <w:pPr>
              <w:textAlignment w:val="baseline"/>
              <w:rPr>
                <w:b/>
                <w:color w:val="000000" w:themeColor="text1"/>
              </w:rPr>
            </w:pPr>
            <w:r>
              <w:rPr>
                <w:b/>
                <w:bCs/>
                <w:color w:val="000000" w:themeColor="text1"/>
                <w:kern w:val="24"/>
              </w:rPr>
              <w:t>100% NPK + Zn</w:t>
            </w:r>
          </w:p>
        </w:tc>
        <w:tc>
          <w:tcPr>
            <w:tcW w:w="3143" w:type="dxa"/>
            <w:tcMar>
              <w:top w:w="15" w:type="dxa"/>
              <w:left w:w="15" w:type="dxa"/>
              <w:bottom w:w="0" w:type="dxa"/>
              <w:right w:w="15" w:type="dxa"/>
            </w:tcMar>
            <w:vAlign w:val="bottom"/>
          </w:tcPr>
          <w:p w14:paraId="27046D00" w14:textId="77777777" w:rsidR="00973465" w:rsidRDefault="00973465" w:rsidP="000F444B">
            <w:pPr>
              <w:jc w:val="center"/>
              <w:textAlignment w:val="bottom"/>
              <w:rPr>
                <w:color w:val="000000" w:themeColor="text1"/>
              </w:rPr>
            </w:pPr>
            <w:r>
              <w:rPr>
                <w:color w:val="000000" w:themeColor="text1"/>
                <w:kern w:val="24"/>
              </w:rPr>
              <w:t>1.42</w:t>
            </w:r>
          </w:p>
        </w:tc>
        <w:tc>
          <w:tcPr>
            <w:tcW w:w="2768" w:type="dxa"/>
            <w:tcMar>
              <w:top w:w="17" w:type="dxa"/>
              <w:left w:w="98" w:type="dxa"/>
              <w:right w:w="98" w:type="dxa"/>
            </w:tcMar>
            <w:vAlign w:val="bottom"/>
          </w:tcPr>
          <w:p w14:paraId="6FD659A9" w14:textId="77777777" w:rsidR="00973465" w:rsidRDefault="00973465" w:rsidP="000F444B">
            <w:pPr>
              <w:jc w:val="center"/>
              <w:textAlignment w:val="bottom"/>
              <w:rPr>
                <w:color w:val="000000" w:themeColor="text1"/>
              </w:rPr>
            </w:pPr>
            <w:r>
              <w:rPr>
                <w:color w:val="000000" w:themeColor="text1"/>
                <w:kern w:val="24"/>
              </w:rPr>
              <w:t>46.26</w:t>
            </w:r>
          </w:p>
        </w:tc>
      </w:tr>
      <w:tr w:rsidR="00973465" w14:paraId="08BCF9F8" w14:textId="77777777" w:rsidTr="000F444B">
        <w:trPr>
          <w:trHeight w:val="265"/>
        </w:trPr>
        <w:tc>
          <w:tcPr>
            <w:tcW w:w="3660" w:type="dxa"/>
            <w:tcMar>
              <w:top w:w="17" w:type="dxa"/>
              <w:left w:w="98" w:type="dxa"/>
              <w:bottom w:w="0" w:type="dxa"/>
              <w:right w:w="98" w:type="dxa"/>
            </w:tcMar>
            <w:vAlign w:val="center"/>
          </w:tcPr>
          <w:p w14:paraId="1CFB7792" w14:textId="77777777" w:rsidR="00973465" w:rsidRDefault="00973465" w:rsidP="000F444B">
            <w:pPr>
              <w:textAlignment w:val="baseline"/>
              <w:rPr>
                <w:b/>
                <w:color w:val="000000" w:themeColor="text1"/>
              </w:rPr>
            </w:pPr>
            <w:r>
              <w:rPr>
                <w:b/>
                <w:bCs/>
                <w:color w:val="000000" w:themeColor="text1"/>
                <w:kern w:val="24"/>
              </w:rPr>
              <w:t>100% NP</w:t>
            </w:r>
          </w:p>
        </w:tc>
        <w:tc>
          <w:tcPr>
            <w:tcW w:w="3143" w:type="dxa"/>
            <w:tcMar>
              <w:top w:w="15" w:type="dxa"/>
              <w:left w:w="15" w:type="dxa"/>
              <w:bottom w:w="0" w:type="dxa"/>
              <w:right w:w="15" w:type="dxa"/>
            </w:tcMar>
            <w:vAlign w:val="bottom"/>
          </w:tcPr>
          <w:p w14:paraId="7626ED69" w14:textId="77777777" w:rsidR="00973465" w:rsidRDefault="00973465" w:rsidP="000F444B">
            <w:pPr>
              <w:jc w:val="center"/>
              <w:textAlignment w:val="bottom"/>
              <w:rPr>
                <w:color w:val="000000" w:themeColor="text1"/>
              </w:rPr>
            </w:pPr>
            <w:r>
              <w:rPr>
                <w:color w:val="000000" w:themeColor="text1"/>
                <w:kern w:val="24"/>
              </w:rPr>
              <w:t>1.46</w:t>
            </w:r>
          </w:p>
        </w:tc>
        <w:tc>
          <w:tcPr>
            <w:tcW w:w="2768" w:type="dxa"/>
            <w:tcMar>
              <w:top w:w="17" w:type="dxa"/>
              <w:left w:w="98" w:type="dxa"/>
              <w:right w:w="98" w:type="dxa"/>
            </w:tcMar>
            <w:vAlign w:val="bottom"/>
          </w:tcPr>
          <w:p w14:paraId="4E6EB906" w14:textId="77777777" w:rsidR="00973465" w:rsidRDefault="00973465" w:rsidP="000F444B">
            <w:pPr>
              <w:jc w:val="center"/>
              <w:textAlignment w:val="bottom"/>
              <w:rPr>
                <w:color w:val="000000" w:themeColor="text1"/>
              </w:rPr>
            </w:pPr>
            <w:r>
              <w:rPr>
                <w:color w:val="000000" w:themeColor="text1"/>
                <w:kern w:val="24"/>
              </w:rPr>
              <w:t>44.85</w:t>
            </w:r>
          </w:p>
        </w:tc>
      </w:tr>
      <w:tr w:rsidR="00973465" w14:paraId="19C4E123" w14:textId="77777777" w:rsidTr="000F444B">
        <w:trPr>
          <w:trHeight w:val="265"/>
        </w:trPr>
        <w:tc>
          <w:tcPr>
            <w:tcW w:w="3660" w:type="dxa"/>
            <w:tcMar>
              <w:top w:w="17" w:type="dxa"/>
              <w:left w:w="98" w:type="dxa"/>
              <w:bottom w:w="0" w:type="dxa"/>
              <w:right w:w="98" w:type="dxa"/>
            </w:tcMar>
            <w:vAlign w:val="center"/>
          </w:tcPr>
          <w:p w14:paraId="54CE49F4" w14:textId="77777777" w:rsidR="00973465" w:rsidRDefault="00973465" w:rsidP="000F444B">
            <w:pPr>
              <w:textAlignment w:val="baseline"/>
              <w:rPr>
                <w:b/>
                <w:color w:val="000000" w:themeColor="text1"/>
              </w:rPr>
            </w:pPr>
            <w:r>
              <w:rPr>
                <w:b/>
                <w:bCs/>
                <w:color w:val="000000" w:themeColor="text1"/>
                <w:kern w:val="24"/>
              </w:rPr>
              <w:t>100% N</w:t>
            </w:r>
          </w:p>
        </w:tc>
        <w:tc>
          <w:tcPr>
            <w:tcW w:w="3143" w:type="dxa"/>
            <w:tcMar>
              <w:top w:w="15" w:type="dxa"/>
              <w:left w:w="15" w:type="dxa"/>
              <w:bottom w:w="0" w:type="dxa"/>
              <w:right w:w="15" w:type="dxa"/>
            </w:tcMar>
            <w:vAlign w:val="bottom"/>
          </w:tcPr>
          <w:p w14:paraId="08F7EB96" w14:textId="77777777" w:rsidR="00973465" w:rsidRDefault="00973465" w:rsidP="000F444B">
            <w:pPr>
              <w:jc w:val="center"/>
              <w:textAlignment w:val="bottom"/>
              <w:rPr>
                <w:color w:val="000000" w:themeColor="text1"/>
              </w:rPr>
            </w:pPr>
            <w:r>
              <w:rPr>
                <w:color w:val="000000" w:themeColor="text1"/>
                <w:kern w:val="24"/>
              </w:rPr>
              <w:t>1.58</w:t>
            </w:r>
          </w:p>
        </w:tc>
        <w:tc>
          <w:tcPr>
            <w:tcW w:w="2768" w:type="dxa"/>
            <w:tcMar>
              <w:top w:w="17" w:type="dxa"/>
              <w:left w:w="98" w:type="dxa"/>
              <w:right w:w="98" w:type="dxa"/>
            </w:tcMar>
            <w:vAlign w:val="bottom"/>
          </w:tcPr>
          <w:p w14:paraId="2A159A15" w14:textId="77777777" w:rsidR="00973465" w:rsidRDefault="00973465" w:rsidP="000F444B">
            <w:pPr>
              <w:jc w:val="center"/>
              <w:textAlignment w:val="bottom"/>
              <w:rPr>
                <w:color w:val="000000" w:themeColor="text1"/>
              </w:rPr>
            </w:pPr>
            <w:r>
              <w:rPr>
                <w:color w:val="000000" w:themeColor="text1"/>
                <w:kern w:val="24"/>
              </w:rPr>
              <w:t>40.40</w:t>
            </w:r>
          </w:p>
        </w:tc>
      </w:tr>
      <w:tr w:rsidR="00973465" w14:paraId="6D4D5339" w14:textId="77777777" w:rsidTr="000F444B">
        <w:trPr>
          <w:trHeight w:val="265"/>
        </w:trPr>
        <w:tc>
          <w:tcPr>
            <w:tcW w:w="3660" w:type="dxa"/>
            <w:tcMar>
              <w:top w:w="17" w:type="dxa"/>
              <w:left w:w="98" w:type="dxa"/>
              <w:bottom w:w="0" w:type="dxa"/>
              <w:right w:w="98" w:type="dxa"/>
            </w:tcMar>
            <w:vAlign w:val="center"/>
          </w:tcPr>
          <w:p w14:paraId="30FDB676" w14:textId="77777777" w:rsidR="00973465" w:rsidRDefault="00973465" w:rsidP="000F444B">
            <w:pPr>
              <w:textAlignment w:val="baseline"/>
              <w:rPr>
                <w:b/>
                <w:color w:val="000000" w:themeColor="text1"/>
              </w:rPr>
            </w:pPr>
            <w:r>
              <w:rPr>
                <w:b/>
                <w:bCs/>
                <w:color w:val="000000" w:themeColor="text1"/>
                <w:kern w:val="24"/>
              </w:rPr>
              <w:t>100% NPK + FYM</w:t>
            </w:r>
          </w:p>
        </w:tc>
        <w:tc>
          <w:tcPr>
            <w:tcW w:w="3143" w:type="dxa"/>
            <w:tcMar>
              <w:top w:w="15" w:type="dxa"/>
              <w:left w:w="15" w:type="dxa"/>
              <w:bottom w:w="0" w:type="dxa"/>
              <w:right w:w="15" w:type="dxa"/>
            </w:tcMar>
            <w:vAlign w:val="bottom"/>
          </w:tcPr>
          <w:p w14:paraId="104D8FEE" w14:textId="77777777" w:rsidR="00973465" w:rsidRDefault="00973465" w:rsidP="000F444B">
            <w:pPr>
              <w:jc w:val="center"/>
              <w:textAlignment w:val="bottom"/>
              <w:rPr>
                <w:color w:val="000000" w:themeColor="text1"/>
              </w:rPr>
            </w:pPr>
            <w:r>
              <w:rPr>
                <w:color w:val="000000" w:themeColor="text1"/>
                <w:kern w:val="24"/>
              </w:rPr>
              <w:t>1.35</w:t>
            </w:r>
          </w:p>
        </w:tc>
        <w:tc>
          <w:tcPr>
            <w:tcW w:w="2768" w:type="dxa"/>
            <w:tcMar>
              <w:top w:w="17" w:type="dxa"/>
              <w:left w:w="98" w:type="dxa"/>
              <w:right w:w="98" w:type="dxa"/>
            </w:tcMar>
            <w:vAlign w:val="bottom"/>
          </w:tcPr>
          <w:p w14:paraId="0A9766BF" w14:textId="77777777" w:rsidR="00973465" w:rsidRDefault="00973465" w:rsidP="000F444B">
            <w:pPr>
              <w:jc w:val="center"/>
              <w:textAlignment w:val="bottom"/>
              <w:rPr>
                <w:color w:val="000000" w:themeColor="text1"/>
              </w:rPr>
            </w:pPr>
            <w:r>
              <w:rPr>
                <w:color w:val="000000" w:themeColor="text1"/>
                <w:kern w:val="24"/>
              </w:rPr>
              <w:t>49.16</w:t>
            </w:r>
          </w:p>
        </w:tc>
      </w:tr>
      <w:tr w:rsidR="00973465" w14:paraId="0A40311F" w14:textId="77777777" w:rsidTr="000F444B">
        <w:trPr>
          <w:trHeight w:val="265"/>
        </w:trPr>
        <w:tc>
          <w:tcPr>
            <w:tcW w:w="3660" w:type="dxa"/>
            <w:tcMar>
              <w:top w:w="17" w:type="dxa"/>
              <w:left w:w="98" w:type="dxa"/>
              <w:bottom w:w="0" w:type="dxa"/>
              <w:right w:w="98" w:type="dxa"/>
            </w:tcMar>
            <w:vAlign w:val="center"/>
          </w:tcPr>
          <w:p w14:paraId="4A7EA77E" w14:textId="77777777" w:rsidR="00973465" w:rsidRDefault="00973465" w:rsidP="000F444B">
            <w:pPr>
              <w:textAlignment w:val="baseline"/>
              <w:rPr>
                <w:b/>
                <w:color w:val="000000" w:themeColor="text1"/>
              </w:rPr>
            </w:pPr>
            <w:r>
              <w:rPr>
                <w:b/>
                <w:bCs/>
                <w:color w:val="000000" w:themeColor="text1"/>
                <w:kern w:val="24"/>
              </w:rPr>
              <w:t>100% NPK – S</w:t>
            </w:r>
          </w:p>
        </w:tc>
        <w:tc>
          <w:tcPr>
            <w:tcW w:w="3143" w:type="dxa"/>
            <w:tcMar>
              <w:top w:w="15" w:type="dxa"/>
              <w:left w:w="15" w:type="dxa"/>
              <w:bottom w:w="0" w:type="dxa"/>
              <w:right w:w="15" w:type="dxa"/>
            </w:tcMar>
            <w:vAlign w:val="bottom"/>
          </w:tcPr>
          <w:p w14:paraId="77EC7B4A" w14:textId="77777777" w:rsidR="00973465" w:rsidRDefault="00973465" w:rsidP="000F444B">
            <w:pPr>
              <w:jc w:val="center"/>
              <w:textAlignment w:val="bottom"/>
              <w:rPr>
                <w:color w:val="000000" w:themeColor="text1"/>
              </w:rPr>
            </w:pPr>
            <w:r>
              <w:rPr>
                <w:color w:val="000000" w:themeColor="text1"/>
                <w:kern w:val="24"/>
              </w:rPr>
              <w:t>1.46</w:t>
            </w:r>
          </w:p>
        </w:tc>
        <w:tc>
          <w:tcPr>
            <w:tcW w:w="2768" w:type="dxa"/>
            <w:tcMar>
              <w:top w:w="17" w:type="dxa"/>
              <w:left w:w="98" w:type="dxa"/>
              <w:right w:w="98" w:type="dxa"/>
            </w:tcMar>
            <w:vAlign w:val="bottom"/>
          </w:tcPr>
          <w:p w14:paraId="4642C303" w14:textId="77777777" w:rsidR="00973465" w:rsidRDefault="00973465" w:rsidP="000F444B">
            <w:pPr>
              <w:jc w:val="center"/>
              <w:textAlignment w:val="bottom"/>
              <w:rPr>
                <w:color w:val="000000" w:themeColor="text1"/>
              </w:rPr>
            </w:pPr>
            <w:r>
              <w:rPr>
                <w:color w:val="000000" w:themeColor="text1"/>
                <w:kern w:val="24"/>
              </w:rPr>
              <w:t>44.89</w:t>
            </w:r>
          </w:p>
        </w:tc>
      </w:tr>
      <w:tr w:rsidR="00973465" w14:paraId="207A76F3" w14:textId="77777777" w:rsidTr="000F444B">
        <w:trPr>
          <w:trHeight w:val="265"/>
        </w:trPr>
        <w:tc>
          <w:tcPr>
            <w:tcW w:w="3660" w:type="dxa"/>
            <w:tcMar>
              <w:top w:w="17" w:type="dxa"/>
              <w:left w:w="98" w:type="dxa"/>
              <w:bottom w:w="0" w:type="dxa"/>
              <w:right w:w="98" w:type="dxa"/>
            </w:tcMar>
            <w:vAlign w:val="center"/>
          </w:tcPr>
          <w:p w14:paraId="5BA91C5F" w14:textId="77777777" w:rsidR="00973465" w:rsidRDefault="00973465" w:rsidP="000F444B">
            <w:pPr>
              <w:textAlignment w:val="baseline"/>
              <w:rPr>
                <w:b/>
                <w:color w:val="000000" w:themeColor="text1"/>
              </w:rPr>
            </w:pPr>
            <w:r>
              <w:rPr>
                <w:b/>
                <w:bCs/>
                <w:color w:val="000000" w:themeColor="text1"/>
                <w:kern w:val="24"/>
              </w:rPr>
              <w:t>FYM</w:t>
            </w:r>
          </w:p>
        </w:tc>
        <w:tc>
          <w:tcPr>
            <w:tcW w:w="3143" w:type="dxa"/>
            <w:tcMar>
              <w:top w:w="15" w:type="dxa"/>
              <w:left w:w="15" w:type="dxa"/>
              <w:bottom w:w="0" w:type="dxa"/>
              <w:right w:w="15" w:type="dxa"/>
            </w:tcMar>
            <w:vAlign w:val="bottom"/>
          </w:tcPr>
          <w:p w14:paraId="01B24580" w14:textId="77777777" w:rsidR="00973465" w:rsidRDefault="00973465" w:rsidP="000F444B">
            <w:pPr>
              <w:jc w:val="center"/>
              <w:textAlignment w:val="bottom"/>
              <w:rPr>
                <w:color w:val="000000" w:themeColor="text1"/>
              </w:rPr>
            </w:pPr>
            <w:r>
              <w:rPr>
                <w:color w:val="000000" w:themeColor="text1"/>
                <w:kern w:val="24"/>
              </w:rPr>
              <w:t>1.32</w:t>
            </w:r>
          </w:p>
        </w:tc>
        <w:tc>
          <w:tcPr>
            <w:tcW w:w="2768" w:type="dxa"/>
            <w:tcMar>
              <w:top w:w="17" w:type="dxa"/>
              <w:left w:w="98" w:type="dxa"/>
              <w:right w:w="98" w:type="dxa"/>
            </w:tcMar>
            <w:vAlign w:val="bottom"/>
          </w:tcPr>
          <w:p w14:paraId="2F2102F0" w14:textId="77777777" w:rsidR="00973465" w:rsidRDefault="00973465" w:rsidP="000F444B">
            <w:pPr>
              <w:jc w:val="center"/>
              <w:textAlignment w:val="bottom"/>
              <w:rPr>
                <w:color w:val="000000" w:themeColor="text1"/>
              </w:rPr>
            </w:pPr>
            <w:r>
              <w:rPr>
                <w:color w:val="000000" w:themeColor="text1"/>
                <w:kern w:val="24"/>
              </w:rPr>
              <w:t>50.22</w:t>
            </w:r>
          </w:p>
        </w:tc>
      </w:tr>
      <w:tr w:rsidR="00973465" w14:paraId="02D257C6" w14:textId="77777777" w:rsidTr="000F444B">
        <w:trPr>
          <w:trHeight w:val="265"/>
        </w:trPr>
        <w:tc>
          <w:tcPr>
            <w:tcW w:w="3660" w:type="dxa"/>
            <w:tcMar>
              <w:top w:w="17" w:type="dxa"/>
              <w:left w:w="98" w:type="dxa"/>
              <w:bottom w:w="0" w:type="dxa"/>
              <w:right w:w="98" w:type="dxa"/>
            </w:tcMar>
            <w:vAlign w:val="center"/>
          </w:tcPr>
          <w:p w14:paraId="153216E1" w14:textId="77777777" w:rsidR="00973465" w:rsidRDefault="00973465" w:rsidP="000F444B">
            <w:pPr>
              <w:textAlignment w:val="baseline"/>
              <w:rPr>
                <w:b/>
                <w:color w:val="000000" w:themeColor="text1"/>
              </w:rPr>
            </w:pPr>
            <w:r>
              <w:rPr>
                <w:b/>
                <w:bCs/>
                <w:color w:val="000000" w:themeColor="text1"/>
                <w:kern w:val="24"/>
              </w:rPr>
              <w:t>Control</w:t>
            </w:r>
          </w:p>
        </w:tc>
        <w:tc>
          <w:tcPr>
            <w:tcW w:w="3143" w:type="dxa"/>
            <w:tcMar>
              <w:top w:w="15" w:type="dxa"/>
              <w:left w:w="15" w:type="dxa"/>
              <w:bottom w:w="0" w:type="dxa"/>
              <w:right w:w="15" w:type="dxa"/>
            </w:tcMar>
            <w:vAlign w:val="bottom"/>
          </w:tcPr>
          <w:p w14:paraId="3DA47DF8" w14:textId="77777777" w:rsidR="00973465" w:rsidRDefault="00973465" w:rsidP="000F444B">
            <w:pPr>
              <w:jc w:val="center"/>
              <w:textAlignment w:val="bottom"/>
              <w:rPr>
                <w:color w:val="000000" w:themeColor="text1"/>
              </w:rPr>
            </w:pPr>
            <w:r>
              <w:rPr>
                <w:color w:val="000000" w:themeColor="text1"/>
                <w:kern w:val="24"/>
              </w:rPr>
              <w:t>1.50</w:t>
            </w:r>
          </w:p>
        </w:tc>
        <w:tc>
          <w:tcPr>
            <w:tcW w:w="2768" w:type="dxa"/>
            <w:tcMar>
              <w:top w:w="17" w:type="dxa"/>
              <w:left w:w="98" w:type="dxa"/>
              <w:right w:w="98" w:type="dxa"/>
            </w:tcMar>
            <w:vAlign w:val="bottom"/>
          </w:tcPr>
          <w:p w14:paraId="6A8170D4" w14:textId="77777777" w:rsidR="00973465" w:rsidRDefault="00973465" w:rsidP="000F444B">
            <w:pPr>
              <w:jc w:val="center"/>
              <w:textAlignment w:val="bottom"/>
              <w:rPr>
                <w:color w:val="000000" w:themeColor="text1"/>
              </w:rPr>
            </w:pPr>
            <w:r>
              <w:rPr>
                <w:color w:val="000000" w:themeColor="text1"/>
                <w:kern w:val="24"/>
              </w:rPr>
              <w:t>43.41</w:t>
            </w:r>
          </w:p>
        </w:tc>
      </w:tr>
      <w:tr w:rsidR="00973465" w14:paraId="74D761B2" w14:textId="77777777" w:rsidTr="000F444B">
        <w:trPr>
          <w:trHeight w:val="296"/>
        </w:trPr>
        <w:tc>
          <w:tcPr>
            <w:tcW w:w="3660" w:type="dxa"/>
            <w:tcMar>
              <w:top w:w="17" w:type="dxa"/>
              <w:left w:w="108" w:type="dxa"/>
              <w:bottom w:w="0" w:type="dxa"/>
              <w:right w:w="108" w:type="dxa"/>
            </w:tcMar>
          </w:tcPr>
          <w:p w14:paraId="5A7E09D7" w14:textId="77777777" w:rsidR="00973465" w:rsidRDefault="00973465" w:rsidP="000F444B">
            <w:pPr>
              <w:textAlignment w:val="baseline"/>
              <w:rPr>
                <w:b/>
                <w:color w:val="000000" w:themeColor="text1"/>
              </w:rPr>
            </w:pPr>
            <w:r>
              <w:rPr>
                <w:b/>
                <w:bCs/>
                <w:color w:val="000000" w:themeColor="text1"/>
                <w:kern w:val="24"/>
              </w:rPr>
              <w:t>Fallow</w:t>
            </w:r>
          </w:p>
        </w:tc>
        <w:tc>
          <w:tcPr>
            <w:tcW w:w="3143" w:type="dxa"/>
            <w:tcMar>
              <w:top w:w="15" w:type="dxa"/>
              <w:left w:w="15" w:type="dxa"/>
              <w:bottom w:w="0" w:type="dxa"/>
              <w:right w:w="15" w:type="dxa"/>
            </w:tcMar>
            <w:vAlign w:val="bottom"/>
          </w:tcPr>
          <w:p w14:paraId="304C5ED1" w14:textId="77777777" w:rsidR="00973465" w:rsidRDefault="00973465" w:rsidP="000F444B">
            <w:pPr>
              <w:jc w:val="center"/>
              <w:textAlignment w:val="bottom"/>
              <w:rPr>
                <w:color w:val="000000" w:themeColor="text1"/>
              </w:rPr>
            </w:pPr>
            <w:r>
              <w:rPr>
                <w:color w:val="000000" w:themeColor="text1"/>
                <w:kern w:val="24"/>
              </w:rPr>
              <w:t>1.45</w:t>
            </w:r>
          </w:p>
        </w:tc>
        <w:tc>
          <w:tcPr>
            <w:tcW w:w="2768" w:type="dxa"/>
            <w:tcMar>
              <w:top w:w="17" w:type="dxa"/>
              <w:left w:w="108" w:type="dxa"/>
              <w:right w:w="108" w:type="dxa"/>
            </w:tcMar>
            <w:vAlign w:val="bottom"/>
          </w:tcPr>
          <w:p w14:paraId="7CDE3D02" w14:textId="77777777" w:rsidR="00973465" w:rsidRDefault="00973465" w:rsidP="000F444B">
            <w:pPr>
              <w:jc w:val="center"/>
              <w:textAlignment w:val="bottom"/>
              <w:rPr>
                <w:color w:val="000000" w:themeColor="text1"/>
              </w:rPr>
            </w:pPr>
            <w:r>
              <w:rPr>
                <w:color w:val="000000" w:themeColor="text1"/>
                <w:kern w:val="24"/>
              </w:rPr>
              <w:t>45.21</w:t>
            </w:r>
          </w:p>
        </w:tc>
      </w:tr>
      <w:tr w:rsidR="00973465" w14:paraId="2D5DEC78" w14:textId="77777777" w:rsidTr="000F444B">
        <w:trPr>
          <w:trHeight w:val="296"/>
        </w:trPr>
        <w:tc>
          <w:tcPr>
            <w:tcW w:w="3660" w:type="dxa"/>
            <w:tcMar>
              <w:top w:w="17" w:type="dxa"/>
              <w:left w:w="108" w:type="dxa"/>
              <w:bottom w:w="0" w:type="dxa"/>
              <w:right w:w="108" w:type="dxa"/>
            </w:tcMar>
          </w:tcPr>
          <w:p w14:paraId="05CBE021" w14:textId="77777777" w:rsidR="00973465" w:rsidRDefault="00973465" w:rsidP="000F444B">
            <w:pPr>
              <w:textAlignment w:val="baseline"/>
              <w:rPr>
                <w:b/>
                <w:color w:val="000000" w:themeColor="text1"/>
              </w:rPr>
            </w:pPr>
            <w:r>
              <w:rPr>
                <w:b/>
                <w:bCs/>
                <w:color w:val="000000" w:themeColor="text1"/>
                <w:kern w:val="24"/>
              </w:rPr>
              <w:t>S. Em.</w:t>
            </w:r>
            <w:r>
              <w:rPr>
                <w:b/>
                <w:bCs/>
                <w:color w:val="000000" w:themeColor="text1"/>
                <w:kern w:val="24"/>
                <w:u w:val="single"/>
                <w:lang w:val="de-DE"/>
              </w:rPr>
              <w:t xml:space="preserve"> +</w:t>
            </w:r>
            <w:r>
              <w:rPr>
                <w:b/>
                <w:bCs/>
                <w:color w:val="000000" w:themeColor="text1"/>
                <w:kern w:val="24"/>
              </w:rPr>
              <w:t xml:space="preserve"> </w:t>
            </w:r>
          </w:p>
        </w:tc>
        <w:tc>
          <w:tcPr>
            <w:tcW w:w="3143" w:type="dxa"/>
            <w:tcMar>
              <w:top w:w="17" w:type="dxa"/>
              <w:left w:w="17" w:type="dxa"/>
              <w:bottom w:w="0" w:type="dxa"/>
              <w:right w:w="17" w:type="dxa"/>
            </w:tcMar>
            <w:vAlign w:val="center"/>
          </w:tcPr>
          <w:p w14:paraId="79620C34" w14:textId="77777777" w:rsidR="00973465" w:rsidRDefault="00973465" w:rsidP="000F444B">
            <w:pPr>
              <w:jc w:val="center"/>
              <w:textAlignment w:val="center"/>
              <w:rPr>
                <w:color w:val="000000" w:themeColor="text1"/>
              </w:rPr>
            </w:pPr>
            <w:r>
              <w:rPr>
                <w:bCs/>
                <w:color w:val="000000" w:themeColor="text1"/>
                <w:kern w:val="24"/>
              </w:rPr>
              <w:t>0.03</w:t>
            </w:r>
          </w:p>
        </w:tc>
        <w:tc>
          <w:tcPr>
            <w:tcW w:w="2768" w:type="dxa"/>
            <w:tcMar>
              <w:top w:w="15" w:type="dxa"/>
              <w:left w:w="15" w:type="dxa"/>
              <w:bottom w:w="0" w:type="dxa"/>
              <w:right w:w="15" w:type="dxa"/>
            </w:tcMar>
            <w:vAlign w:val="bottom"/>
          </w:tcPr>
          <w:p w14:paraId="417B2C43" w14:textId="77777777" w:rsidR="00973465" w:rsidRDefault="00973465" w:rsidP="000F444B">
            <w:pPr>
              <w:jc w:val="center"/>
              <w:textAlignment w:val="bottom"/>
              <w:rPr>
                <w:color w:val="000000" w:themeColor="text1"/>
              </w:rPr>
            </w:pPr>
            <w:r>
              <w:rPr>
                <w:bCs/>
                <w:color w:val="000000" w:themeColor="text1"/>
                <w:kern w:val="24"/>
              </w:rPr>
              <w:t xml:space="preserve">1.28 </w:t>
            </w:r>
          </w:p>
        </w:tc>
      </w:tr>
      <w:tr w:rsidR="00973465" w14:paraId="1AF4CEC5" w14:textId="77777777" w:rsidTr="000F444B">
        <w:trPr>
          <w:trHeight w:val="324"/>
        </w:trPr>
        <w:tc>
          <w:tcPr>
            <w:tcW w:w="3660" w:type="dxa"/>
            <w:tcMar>
              <w:top w:w="17" w:type="dxa"/>
              <w:left w:w="108" w:type="dxa"/>
              <w:bottom w:w="0" w:type="dxa"/>
              <w:right w:w="108" w:type="dxa"/>
            </w:tcMar>
          </w:tcPr>
          <w:p w14:paraId="0745812D" w14:textId="77777777" w:rsidR="00973465" w:rsidRDefault="00973465" w:rsidP="000F444B">
            <w:pPr>
              <w:textAlignment w:val="baseline"/>
              <w:rPr>
                <w:b/>
                <w:color w:val="000000" w:themeColor="text1"/>
              </w:rPr>
            </w:pPr>
            <w:r>
              <w:rPr>
                <w:b/>
                <w:bCs/>
                <w:color w:val="000000" w:themeColor="text1"/>
                <w:kern w:val="24"/>
              </w:rPr>
              <w:t>CD (0.05)</w:t>
            </w:r>
          </w:p>
        </w:tc>
        <w:tc>
          <w:tcPr>
            <w:tcW w:w="3143" w:type="dxa"/>
            <w:tcMar>
              <w:top w:w="15" w:type="dxa"/>
              <w:left w:w="15" w:type="dxa"/>
              <w:bottom w:w="0" w:type="dxa"/>
              <w:right w:w="15" w:type="dxa"/>
            </w:tcMar>
            <w:vAlign w:val="bottom"/>
          </w:tcPr>
          <w:p w14:paraId="10795D10" w14:textId="77777777" w:rsidR="00973465" w:rsidRDefault="00973465" w:rsidP="000F444B">
            <w:pPr>
              <w:jc w:val="center"/>
              <w:textAlignment w:val="bottom"/>
              <w:rPr>
                <w:color w:val="000000" w:themeColor="text1"/>
              </w:rPr>
            </w:pPr>
            <w:r>
              <w:rPr>
                <w:bCs/>
                <w:color w:val="000000" w:themeColor="text1"/>
                <w:kern w:val="24"/>
              </w:rPr>
              <w:t>0.09</w:t>
            </w:r>
          </w:p>
        </w:tc>
        <w:tc>
          <w:tcPr>
            <w:tcW w:w="2768" w:type="dxa"/>
            <w:tcMar>
              <w:top w:w="17" w:type="dxa"/>
              <w:left w:w="108" w:type="dxa"/>
              <w:right w:w="108" w:type="dxa"/>
            </w:tcMar>
            <w:vAlign w:val="bottom"/>
          </w:tcPr>
          <w:p w14:paraId="1AF3EDC1" w14:textId="77777777" w:rsidR="00973465" w:rsidRDefault="00973465" w:rsidP="000F444B">
            <w:pPr>
              <w:jc w:val="center"/>
              <w:textAlignment w:val="bottom"/>
              <w:rPr>
                <w:color w:val="000000" w:themeColor="text1"/>
              </w:rPr>
            </w:pPr>
            <w:r>
              <w:rPr>
                <w:bCs/>
                <w:color w:val="000000" w:themeColor="text1"/>
                <w:kern w:val="24"/>
              </w:rPr>
              <w:t xml:space="preserve">3.68 </w:t>
            </w:r>
          </w:p>
        </w:tc>
      </w:tr>
      <w:tr w:rsidR="00973465" w14:paraId="48BCC833" w14:textId="77777777" w:rsidTr="000F444B">
        <w:trPr>
          <w:trHeight w:val="324"/>
        </w:trPr>
        <w:tc>
          <w:tcPr>
            <w:tcW w:w="3660" w:type="dxa"/>
            <w:tcMar>
              <w:top w:w="17" w:type="dxa"/>
              <w:left w:w="108" w:type="dxa"/>
              <w:bottom w:w="0" w:type="dxa"/>
              <w:right w:w="108" w:type="dxa"/>
            </w:tcMar>
          </w:tcPr>
          <w:p w14:paraId="3CAD243F" w14:textId="77777777" w:rsidR="00973465" w:rsidRDefault="00973465" w:rsidP="000F444B">
            <w:pPr>
              <w:textAlignment w:val="baseline"/>
              <w:rPr>
                <w:b/>
                <w:bCs/>
                <w:color w:val="000000" w:themeColor="text1"/>
                <w:kern w:val="24"/>
              </w:rPr>
            </w:pPr>
            <w:r>
              <w:rPr>
                <w:b/>
                <w:bCs/>
                <w:color w:val="000000" w:themeColor="text1"/>
                <w:kern w:val="24"/>
              </w:rPr>
              <w:t>Initial</w:t>
            </w:r>
          </w:p>
        </w:tc>
        <w:tc>
          <w:tcPr>
            <w:tcW w:w="3143" w:type="dxa"/>
            <w:tcMar>
              <w:top w:w="15" w:type="dxa"/>
              <w:left w:w="15" w:type="dxa"/>
              <w:bottom w:w="0" w:type="dxa"/>
              <w:right w:w="15" w:type="dxa"/>
            </w:tcMar>
            <w:vAlign w:val="bottom"/>
          </w:tcPr>
          <w:p w14:paraId="59546611" w14:textId="77777777" w:rsidR="00973465" w:rsidRDefault="00973465" w:rsidP="000F444B">
            <w:pPr>
              <w:jc w:val="center"/>
              <w:textAlignment w:val="bottom"/>
              <w:rPr>
                <w:bCs/>
                <w:color w:val="000000" w:themeColor="text1"/>
                <w:kern w:val="24"/>
              </w:rPr>
            </w:pPr>
            <w:r>
              <w:rPr>
                <w:bCs/>
                <w:color w:val="000000" w:themeColor="text1"/>
                <w:kern w:val="24"/>
              </w:rPr>
              <w:t>1.47</w:t>
            </w:r>
          </w:p>
        </w:tc>
        <w:tc>
          <w:tcPr>
            <w:tcW w:w="2768" w:type="dxa"/>
            <w:tcMar>
              <w:top w:w="17" w:type="dxa"/>
              <w:left w:w="108" w:type="dxa"/>
              <w:right w:w="108" w:type="dxa"/>
            </w:tcMar>
            <w:vAlign w:val="bottom"/>
          </w:tcPr>
          <w:p w14:paraId="15DC8A92" w14:textId="77777777" w:rsidR="00973465" w:rsidRDefault="00973465" w:rsidP="000F444B">
            <w:pPr>
              <w:jc w:val="center"/>
              <w:textAlignment w:val="bottom"/>
              <w:rPr>
                <w:bCs/>
                <w:color w:val="000000" w:themeColor="text1"/>
                <w:kern w:val="24"/>
                <w:lang w:val="en-IN"/>
              </w:rPr>
            </w:pPr>
            <w:r>
              <w:rPr>
                <w:bCs/>
                <w:color w:val="000000" w:themeColor="text1"/>
                <w:kern w:val="24"/>
                <w:lang w:val="en-IN"/>
              </w:rPr>
              <w:t>-</w:t>
            </w:r>
          </w:p>
        </w:tc>
      </w:tr>
    </w:tbl>
    <w:p w14:paraId="5B4763F7" w14:textId="77777777" w:rsidR="00973465" w:rsidRDefault="00973465" w:rsidP="00DD0D36">
      <w:pPr>
        <w:spacing w:line="360" w:lineRule="auto"/>
        <w:ind w:left="1205" w:hangingChars="500" w:hanging="1205"/>
        <w:jc w:val="both"/>
        <w:rPr>
          <w:b/>
          <w:bCs/>
          <w:color w:val="000000" w:themeColor="text1"/>
          <w:lang w:val="en-IN"/>
        </w:rPr>
      </w:pPr>
    </w:p>
    <w:p w14:paraId="11943DD3" w14:textId="77777777" w:rsidR="00D42469" w:rsidRDefault="00D42469" w:rsidP="00973465">
      <w:pPr>
        <w:spacing w:line="360" w:lineRule="auto"/>
        <w:jc w:val="both"/>
        <w:rPr>
          <w:b/>
          <w:bCs/>
          <w:color w:val="000000" w:themeColor="text1"/>
        </w:rPr>
      </w:pPr>
    </w:p>
    <w:p w14:paraId="531A2C40" w14:textId="77777777" w:rsidR="00D42469" w:rsidRDefault="00D42469" w:rsidP="00973465">
      <w:pPr>
        <w:spacing w:line="360" w:lineRule="auto"/>
        <w:jc w:val="both"/>
        <w:rPr>
          <w:b/>
          <w:bCs/>
          <w:color w:val="000000" w:themeColor="text1"/>
        </w:rPr>
      </w:pPr>
    </w:p>
    <w:p w14:paraId="2D845757" w14:textId="77777777" w:rsidR="00D42469" w:rsidRDefault="00D42469" w:rsidP="00973465">
      <w:pPr>
        <w:spacing w:line="360" w:lineRule="auto"/>
        <w:jc w:val="both"/>
        <w:rPr>
          <w:b/>
          <w:bCs/>
          <w:color w:val="000000" w:themeColor="text1"/>
        </w:rPr>
      </w:pPr>
    </w:p>
    <w:p w14:paraId="211C1DF9" w14:textId="77777777" w:rsidR="00D42469" w:rsidRDefault="00D42469" w:rsidP="00973465">
      <w:pPr>
        <w:spacing w:line="360" w:lineRule="auto"/>
        <w:jc w:val="both"/>
        <w:rPr>
          <w:b/>
          <w:bCs/>
          <w:color w:val="000000" w:themeColor="text1"/>
        </w:rPr>
      </w:pPr>
    </w:p>
    <w:p w14:paraId="3F171D05" w14:textId="4917621F" w:rsidR="00973465" w:rsidRDefault="00973465" w:rsidP="00973465">
      <w:pPr>
        <w:spacing w:line="360" w:lineRule="auto"/>
        <w:jc w:val="both"/>
        <w:rPr>
          <w:b/>
          <w:bCs/>
          <w:color w:val="000000" w:themeColor="text1"/>
        </w:rPr>
      </w:pPr>
      <w:r>
        <w:rPr>
          <w:b/>
          <w:bCs/>
          <w:color w:val="000000" w:themeColor="text1"/>
        </w:rPr>
        <w:t xml:space="preserve">Table 4. Effect of 19 years of long-term fertilizer and manure application on soil </w:t>
      </w:r>
      <w:proofErr w:type="spellStart"/>
      <w:r>
        <w:rPr>
          <w:b/>
          <w:bCs/>
          <w:color w:val="000000" w:themeColor="text1"/>
        </w:rPr>
        <w:t>physico</w:t>
      </w:r>
      <w:proofErr w:type="spellEnd"/>
      <w:r>
        <w:rPr>
          <w:b/>
          <w:bCs/>
          <w:color w:val="000000" w:themeColor="text1"/>
        </w:rPr>
        <w:t xml:space="preserve">-chemical and chemical properties during </w:t>
      </w:r>
      <w:r>
        <w:rPr>
          <w:b/>
          <w:bCs/>
          <w:i/>
          <w:iCs/>
          <w:color w:val="000000" w:themeColor="text1"/>
          <w:lang w:val="en-IN"/>
        </w:rPr>
        <w:t>r</w:t>
      </w:r>
      <w:proofErr w:type="spellStart"/>
      <w:r>
        <w:rPr>
          <w:b/>
          <w:bCs/>
          <w:i/>
          <w:iCs/>
          <w:color w:val="000000" w:themeColor="text1"/>
        </w:rPr>
        <w:t>abi</w:t>
      </w:r>
      <w:proofErr w:type="spellEnd"/>
      <w:r>
        <w:rPr>
          <w:b/>
          <w:bCs/>
          <w:i/>
          <w:iCs/>
          <w:color w:val="000000" w:themeColor="text1"/>
        </w:rPr>
        <w:t>,</w:t>
      </w:r>
      <w:r>
        <w:rPr>
          <w:b/>
          <w:bCs/>
          <w:color w:val="000000" w:themeColor="text1"/>
        </w:rPr>
        <w:t xml:space="preserve"> 2019-20</w:t>
      </w:r>
    </w:p>
    <w:tbl>
      <w:tblPr>
        <w:tblW w:w="8996" w:type="dxa"/>
        <w:tblLayout w:type="fixed"/>
        <w:tblCellMar>
          <w:left w:w="0" w:type="dxa"/>
          <w:right w:w="0" w:type="dxa"/>
        </w:tblCellMar>
        <w:tblLook w:val="04A0" w:firstRow="1" w:lastRow="0" w:firstColumn="1" w:lastColumn="0" w:noHBand="0" w:noVBand="1"/>
      </w:tblPr>
      <w:tblGrid>
        <w:gridCol w:w="2140"/>
        <w:gridCol w:w="1147"/>
        <w:gridCol w:w="1058"/>
        <w:gridCol w:w="1154"/>
        <w:gridCol w:w="1058"/>
        <w:gridCol w:w="1347"/>
        <w:gridCol w:w="1092"/>
      </w:tblGrid>
      <w:tr w:rsidR="00973465" w14:paraId="5207F518" w14:textId="77777777" w:rsidTr="000F444B">
        <w:trPr>
          <w:trHeight w:val="507"/>
        </w:trPr>
        <w:tc>
          <w:tcPr>
            <w:tcW w:w="21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4C12859" w14:textId="77777777" w:rsidR="00973465" w:rsidRDefault="00973465" w:rsidP="000F444B">
            <w:pPr>
              <w:tabs>
                <w:tab w:val="left" w:pos="3165"/>
              </w:tabs>
              <w:jc w:val="both"/>
              <w:rPr>
                <w:b/>
                <w:bCs/>
                <w:color w:val="000000" w:themeColor="text1"/>
              </w:rPr>
            </w:pPr>
            <w:r>
              <w:rPr>
                <w:b/>
                <w:bCs/>
                <w:color w:val="000000" w:themeColor="text1"/>
              </w:rPr>
              <w:t>Treatments</w:t>
            </w:r>
          </w:p>
        </w:tc>
        <w:tc>
          <w:tcPr>
            <w:tcW w:w="1147"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135CEE0" w14:textId="77777777" w:rsidR="00973465" w:rsidRDefault="00973465" w:rsidP="000F444B">
            <w:pPr>
              <w:tabs>
                <w:tab w:val="left" w:pos="3165"/>
              </w:tabs>
              <w:jc w:val="center"/>
              <w:rPr>
                <w:b/>
                <w:bCs/>
                <w:color w:val="000000" w:themeColor="text1"/>
              </w:rPr>
            </w:pPr>
            <w:r>
              <w:rPr>
                <w:b/>
                <w:bCs/>
                <w:color w:val="000000" w:themeColor="text1"/>
              </w:rPr>
              <w:t>pH</w:t>
            </w:r>
          </w:p>
        </w:tc>
        <w:tc>
          <w:tcPr>
            <w:tcW w:w="105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4E3A9E" w14:textId="77777777" w:rsidR="00973465" w:rsidRDefault="00973465" w:rsidP="000F444B">
            <w:pPr>
              <w:tabs>
                <w:tab w:val="left" w:pos="3165"/>
              </w:tabs>
              <w:jc w:val="center"/>
              <w:rPr>
                <w:b/>
                <w:bCs/>
                <w:color w:val="000000" w:themeColor="text1"/>
              </w:rPr>
            </w:pPr>
            <w:r>
              <w:rPr>
                <w:b/>
                <w:bCs/>
                <w:color w:val="000000" w:themeColor="text1"/>
              </w:rPr>
              <w:t>EC</w:t>
            </w:r>
          </w:p>
          <w:p w14:paraId="6C2BB808" w14:textId="77777777" w:rsidR="00973465" w:rsidRDefault="00973465" w:rsidP="000F444B">
            <w:pPr>
              <w:tabs>
                <w:tab w:val="left" w:pos="3165"/>
              </w:tabs>
              <w:jc w:val="center"/>
              <w:rPr>
                <w:b/>
                <w:bCs/>
                <w:color w:val="000000" w:themeColor="text1"/>
              </w:rPr>
            </w:pPr>
            <w:r>
              <w:rPr>
                <w:b/>
                <w:bCs/>
                <w:color w:val="000000" w:themeColor="text1"/>
              </w:rPr>
              <w:t>(</w:t>
            </w:r>
            <w:proofErr w:type="spellStart"/>
            <w:r>
              <w:rPr>
                <w:b/>
                <w:bCs/>
                <w:color w:val="000000" w:themeColor="text1"/>
              </w:rPr>
              <w:t>dS</w:t>
            </w:r>
            <w:proofErr w:type="spellEnd"/>
            <w:r>
              <w:rPr>
                <w:b/>
                <w:bCs/>
                <w:color w:val="000000" w:themeColor="text1"/>
                <w:lang w:val="en-IN"/>
              </w:rPr>
              <w:t xml:space="preserve"> </w:t>
            </w:r>
            <w:r>
              <w:rPr>
                <w:b/>
                <w:bCs/>
                <w:color w:val="000000" w:themeColor="text1"/>
              </w:rPr>
              <w:t>m</w:t>
            </w:r>
            <w:r>
              <w:rPr>
                <w:b/>
                <w:bCs/>
                <w:color w:val="000000" w:themeColor="text1"/>
                <w:vertAlign w:val="superscript"/>
                <w:lang w:val="en-IN"/>
              </w:rPr>
              <w:t>-1</w:t>
            </w:r>
            <w:r>
              <w:rPr>
                <w:b/>
                <w:bCs/>
                <w:color w:val="000000" w:themeColor="text1"/>
              </w:rPr>
              <w:t>)</w:t>
            </w:r>
          </w:p>
        </w:tc>
        <w:tc>
          <w:tcPr>
            <w:tcW w:w="115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3FF5D4" w14:textId="77777777" w:rsidR="00973465" w:rsidRDefault="00973465" w:rsidP="000F444B">
            <w:pPr>
              <w:tabs>
                <w:tab w:val="left" w:pos="3165"/>
              </w:tabs>
              <w:jc w:val="center"/>
              <w:rPr>
                <w:b/>
                <w:bCs/>
                <w:color w:val="000000" w:themeColor="text1"/>
              </w:rPr>
            </w:pPr>
            <w:r>
              <w:rPr>
                <w:b/>
                <w:bCs/>
                <w:color w:val="000000" w:themeColor="text1"/>
              </w:rPr>
              <w:t>OC</w:t>
            </w:r>
          </w:p>
          <w:p w14:paraId="04C6A7A7" w14:textId="77777777" w:rsidR="00973465" w:rsidRDefault="00973465" w:rsidP="000F444B">
            <w:pPr>
              <w:tabs>
                <w:tab w:val="left" w:pos="3165"/>
              </w:tabs>
              <w:jc w:val="center"/>
              <w:rPr>
                <w:b/>
                <w:bCs/>
                <w:color w:val="000000" w:themeColor="text1"/>
              </w:rPr>
            </w:pPr>
            <w:r>
              <w:rPr>
                <w:b/>
                <w:bCs/>
                <w:color w:val="000000" w:themeColor="text1"/>
              </w:rPr>
              <w:t>(%)</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1A58C8" w14:textId="77777777" w:rsidR="00973465" w:rsidRDefault="00973465" w:rsidP="000F444B">
            <w:pPr>
              <w:tabs>
                <w:tab w:val="left" w:pos="3165"/>
              </w:tabs>
              <w:jc w:val="center"/>
              <w:rPr>
                <w:b/>
                <w:bCs/>
                <w:color w:val="000000" w:themeColor="text1"/>
              </w:rPr>
            </w:pPr>
            <w:proofErr w:type="spellStart"/>
            <w:r>
              <w:rPr>
                <w:b/>
                <w:bCs/>
                <w:color w:val="000000" w:themeColor="text1"/>
              </w:rPr>
              <w:t>Avai</w:t>
            </w:r>
            <w:proofErr w:type="spellEnd"/>
            <w:r>
              <w:rPr>
                <w:b/>
                <w:bCs/>
                <w:color w:val="000000" w:themeColor="text1"/>
              </w:rPr>
              <w:t>. N</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CCC375" w14:textId="77777777" w:rsidR="00973465" w:rsidRDefault="00973465" w:rsidP="000F444B">
            <w:pPr>
              <w:tabs>
                <w:tab w:val="left" w:pos="3165"/>
              </w:tabs>
              <w:jc w:val="center"/>
              <w:rPr>
                <w:b/>
                <w:bCs/>
                <w:color w:val="000000" w:themeColor="text1"/>
              </w:rPr>
            </w:pPr>
            <w:proofErr w:type="spellStart"/>
            <w:r>
              <w:rPr>
                <w:b/>
                <w:bCs/>
                <w:color w:val="000000" w:themeColor="text1"/>
              </w:rPr>
              <w:t>Avai</w:t>
            </w:r>
            <w:proofErr w:type="spellEnd"/>
            <w:r>
              <w:rPr>
                <w:b/>
                <w:bCs/>
                <w:color w:val="000000" w:themeColor="text1"/>
              </w:rPr>
              <w:t>. P</w:t>
            </w:r>
          </w:p>
        </w:tc>
        <w:tc>
          <w:tcPr>
            <w:tcW w:w="1092" w:type="dxa"/>
            <w:tcBorders>
              <w:top w:val="single" w:sz="4" w:space="0" w:color="000000"/>
              <w:left w:val="single" w:sz="4" w:space="0" w:color="000000"/>
              <w:bottom w:val="single" w:sz="4" w:space="0" w:color="000000"/>
              <w:right w:val="single" w:sz="4" w:space="0" w:color="000000"/>
            </w:tcBorders>
          </w:tcPr>
          <w:p w14:paraId="777307F6" w14:textId="77777777" w:rsidR="00973465" w:rsidRDefault="00973465" w:rsidP="000F444B">
            <w:pPr>
              <w:tabs>
                <w:tab w:val="left" w:pos="3165"/>
              </w:tabs>
              <w:jc w:val="center"/>
              <w:rPr>
                <w:b/>
                <w:bCs/>
                <w:color w:val="000000" w:themeColor="text1"/>
              </w:rPr>
            </w:pPr>
          </w:p>
          <w:p w14:paraId="13056BDF" w14:textId="77777777" w:rsidR="00973465" w:rsidRDefault="00973465" w:rsidP="000F444B">
            <w:pPr>
              <w:tabs>
                <w:tab w:val="left" w:pos="3165"/>
              </w:tabs>
              <w:jc w:val="center"/>
              <w:rPr>
                <w:b/>
                <w:bCs/>
                <w:color w:val="000000" w:themeColor="text1"/>
              </w:rPr>
            </w:pPr>
            <w:proofErr w:type="spellStart"/>
            <w:r>
              <w:rPr>
                <w:b/>
                <w:bCs/>
                <w:color w:val="000000" w:themeColor="text1"/>
              </w:rPr>
              <w:t>Avai</w:t>
            </w:r>
            <w:proofErr w:type="spellEnd"/>
            <w:r>
              <w:rPr>
                <w:b/>
                <w:bCs/>
                <w:color w:val="000000" w:themeColor="text1"/>
              </w:rPr>
              <w:t>. K</w:t>
            </w:r>
          </w:p>
        </w:tc>
      </w:tr>
      <w:tr w:rsidR="00973465" w14:paraId="216D4828" w14:textId="77777777" w:rsidTr="000F444B">
        <w:trPr>
          <w:trHeight w:val="264"/>
        </w:trPr>
        <w:tc>
          <w:tcPr>
            <w:tcW w:w="2140" w:type="dxa"/>
            <w:vMerge/>
            <w:tcBorders>
              <w:top w:val="single" w:sz="4" w:space="0" w:color="000000"/>
              <w:left w:val="single" w:sz="4" w:space="0" w:color="000000"/>
              <w:bottom w:val="single" w:sz="4" w:space="0" w:color="000000"/>
              <w:right w:val="single" w:sz="4" w:space="0" w:color="000000"/>
            </w:tcBorders>
            <w:vAlign w:val="center"/>
          </w:tcPr>
          <w:p w14:paraId="16528492" w14:textId="77777777" w:rsidR="00973465" w:rsidRDefault="00973465" w:rsidP="000F444B">
            <w:pPr>
              <w:tabs>
                <w:tab w:val="left" w:pos="3165"/>
              </w:tabs>
              <w:jc w:val="both"/>
              <w:rPr>
                <w:b/>
                <w:bCs/>
                <w:color w:val="000000" w:themeColor="text1"/>
              </w:rPr>
            </w:pPr>
          </w:p>
        </w:tc>
        <w:tc>
          <w:tcPr>
            <w:tcW w:w="1147" w:type="dxa"/>
            <w:vMerge/>
            <w:tcBorders>
              <w:top w:val="single" w:sz="4" w:space="0" w:color="000000"/>
              <w:left w:val="single" w:sz="4" w:space="0" w:color="000000"/>
              <w:bottom w:val="single" w:sz="4" w:space="0" w:color="000000"/>
              <w:right w:val="single" w:sz="4" w:space="0" w:color="000000"/>
            </w:tcBorders>
            <w:vAlign w:val="center"/>
          </w:tcPr>
          <w:p w14:paraId="76B48943" w14:textId="77777777" w:rsidR="00973465" w:rsidRDefault="00973465" w:rsidP="000F444B">
            <w:pPr>
              <w:tabs>
                <w:tab w:val="left" w:pos="3165"/>
              </w:tabs>
              <w:jc w:val="center"/>
              <w:rPr>
                <w:b/>
                <w:bCs/>
                <w:color w:val="000000" w:themeColor="text1"/>
              </w:rPr>
            </w:pPr>
          </w:p>
        </w:tc>
        <w:tc>
          <w:tcPr>
            <w:tcW w:w="1058" w:type="dxa"/>
            <w:vMerge/>
            <w:tcBorders>
              <w:top w:val="single" w:sz="4" w:space="0" w:color="000000"/>
              <w:left w:val="single" w:sz="4" w:space="0" w:color="000000"/>
              <w:bottom w:val="single" w:sz="4" w:space="0" w:color="000000"/>
              <w:right w:val="single" w:sz="4" w:space="0" w:color="000000"/>
            </w:tcBorders>
            <w:vAlign w:val="center"/>
          </w:tcPr>
          <w:p w14:paraId="0702C056" w14:textId="77777777" w:rsidR="00973465" w:rsidRDefault="00973465" w:rsidP="000F444B">
            <w:pPr>
              <w:tabs>
                <w:tab w:val="left" w:pos="3165"/>
              </w:tabs>
              <w:jc w:val="center"/>
              <w:rPr>
                <w:b/>
                <w:bCs/>
                <w:color w:val="000000" w:themeColor="text1"/>
              </w:rPr>
            </w:pPr>
          </w:p>
        </w:tc>
        <w:tc>
          <w:tcPr>
            <w:tcW w:w="1154" w:type="dxa"/>
            <w:vMerge/>
            <w:tcBorders>
              <w:top w:val="single" w:sz="4" w:space="0" w:color="000000"/>
              <w:left w:val="single" w:sz="4" w:space="0" w:color="000000"/>
              <w:bottom w:val="single" w:sz="4" w:space="0" w:color="000000"/>
              <w:right w:val="single" w:sz="4" w:space="0" w:color="000000"/>
            </w:tcBorders>
            <w:vAlign w:val="center"/>
          </w:tcPr>
          <w:p w14:paraId="0F99536D" w14:textId="77777777" w:rsidR="00973465" w:rsidRDefault="00973465" w:rsidP="000F444B">
            <w:pPr>
              <w:tabs>
                <w:tab w:val="left" w:pos="3165"/>
              </w:tabs>
              <w:jc w:val="center"/>
              <w:rPr>
                <w:b/>
                <w:bCs/>
                <w:color w:val="000000" w:themeColor="text1"/>
              </w:rPr>
            </w:pPr>
          </w:p>
        </w:tc>
        <w:tc>
          <w:tcPr>
            <w:tcW w:w="3497"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222836" w14:textId="77777777" w:rsidR="00973465" w:rsidRDefault="00973465" w:rsidP="000F444B">
            <w:pPr>
              <w:tabs>
                <w:tab w:val="left" w:pos="2517"/>
                <w:tab w:val="left" w:pos="3165"/>
              </w:tabs>
              <w:jc w:val="center"/>
              <w:rPr>
                <w:b/>
                <w:bCs/>
                <w:color w:val="000000" w:themeColor="text1"/>
              </w:rPr>
            </w:pPr>
            <w:r>
              <w:rPr>
                <w:b/>
                <w:bCs/>
                <w:color w:val="000000" w:themeColor="text1"/>
              </w:rPr>
              <w:t>(</w:t>
            </w:r>
            <w:r>
              <w:rPr>
                <w:b/>
                <w:bCs/>
                <w:color w:val="000000" w:themeColor="text1"/>
                <w:lang w:val="en-IN"/>
              </w:rPr>
              <w:t>k</w:t>
            </w:r>
            <w:r>
              <w:rPr>
                <w:b/>
                <w:bCs/>
                <w:color w:val="000000" w:themeColor="text1"/>
              </w:rPr>
              <w:t>g ha</w:t>
            </w:r>
            <w:r>
              <w:rPr>
                <w:b/>
                <w:bCs/>
                <w:color w:val="000000" w:themeColor="text1"/>
                <w:vertAlign w:val="superscript"/>
              </w:rPr>
              <w:t>-1</w:t>
            </w:r>
            <w:r>
              <w:rPr>
                <w:b/>
                <w:bCs/>
                <w:color w:val="000000" w:themeColor="text1"/>
              </w:rPr>
              <w:t>)</w:t>
            </w:r>
          </w:p>
        </w:tc>
      </w:tr>
      <w:tr w:rsidR="00973465" w14:paraId="60AB7AF1"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75E445" w14:textId="77777777" w:rsidR="00973465" w:rsidRDefault="00973465" w:rsidP="000F444B">
            <w:pPr>
              <w:tabs>
                <w:tab w:val="left" w:pos="3165"/>
              </w:tabs>
              <w:jc w:val="both"/>
              <w:rPr>
                <w:b/>
                <w:bCs/>
                <w:color w:val="000000" w:themeColor="text1"/>
              </w:rPr>
            </w:pPr>
            <w:r>
              <w:rPr>
                <w:b/>
                <w:bCs/>
                <w:color w:val="000000" w:themeColor="text1"/>
              </w:rPr>
              <w:t>50% NPK</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DC31EAE" w14:textId="77777777" w:rsidR="00973465" w:rsidRDefault="00973465" w:rsidP="000F444B">
            <w:pPr>
              <w:tabs>
                <w:tab w:val="left" w:pos="3165"/>
              </w:tabs>
              <w:jc w:val="center"/>
              <w:rPr>
                <w:bCs/>
                <w:color w:val="000000" w:themeColor="text1"/>
              </w:rPr>
            </w:pPr>
            <w:r>
              <w:rPr>
                <w:bCs/>
                <w:color w:val="000000" w:themeColor="text1"/>
              </w:rPr>
              <w:t>8.00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7CDD8B" w14:textId="77777777" w:rsidR="00973465" w:rsidRDefault="00973465" w:rsidP="000F444B">
            <w:pPr>
              <w:tabs>
                <w:tab w:val="left" w:pos="3165"/>
              </w:tabs>
              <w:jc w:val="center"/>
              <w:rPr>
                <w:bCs/>
                <w:color w:val="000000" w:themeColor="text1"/>
              </w:rPr>
            </w:pPr>
            <w:r>
              <w:rPr>
                <w:bCs/>
                <w:color w:val="000000" w:themeColor="text1"/>
              </w:rPr>
              <w:t>0.52</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4BD94A" w14:textId="77777777" w:rsidR="00973465" w:rsidRDefault="00973465" w:rsidP="000F444B">
            <w:pPr>
              <w:tabs>
                <w:tab w:val="left" w:pos="3165"/>
              </w:tabs>
              <w:jc w:val="center"/>
              <w:rPr>
                <w:bCs/>
                <w:color w:val="000000" w:themeColor="text1"/>
              </w:rPr>
            </w:pPr>
            <w:r>
              <w:rPr>
                <w:bCs/>
                <w:color w:val="000000" w:themeColor="text1"/>
              </w:rPr>
              <w:t>0.71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DBC3C6" w14:textId="77777777" w:rsidR="00973465" w:rsidRDefault="00973465" w:rsidP="000F444B">
            <w:pPr>
              <w:tabs>
                <w:tab w:val="left" w:pos="3165"/>
              </w:tabs>
              <w:jc w:val="center"/>
              <w:rPr>
                <w:bCs/>
                <w:color w:val="000000" w:themeColor="text1"/>
              </w:rPr>
            </w:pPr>
            <w:r>
              <w:rPr>
                <w:bCs/>
                <w:color w:val="000000" w:themeColor="text1"/>
              </w:rPr>
              <w:t>146</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FF25F3D" w14:textId="77777777" w:rsidR="00973465" w:rsidRDefault="00973465" w:rsidP="000F444B">
            <w:pPr>
              <w:tabs>
                <w:tab w:val="left" w:pos="3165"/>
              </w:tabs>
              <w:jc w:val="center"/>
              <w:rPr>
                <w:bCs/>
                <w:color w:val="000000" w:themeColor="text1"/>
              </w:rPr>
            </w:pPr>
            <w:r>
              <w:rPr>
                <w:bCs/>
                <w:color w:val="000000" w:themeColor="text1"/>
              </w:rPr>
              <w:t>12.72</w:t>
            </w:r>
          </w:p>
        </w:tc>
        <w:tc>
          <w:tcPr>
            <w:tcW w:w="1092" w:type="dxa"/>
            <w:tcBorders>
              <w:top w:val="single" w:sz="4" w:space="0" w:color="000000"/>
              <w:left w:val="single" w:sz="4" w:space="0" w:color="000000"/>
              <w:bottom w:val="single" w:sz="4" w:space="0" w:color="000000"/>
              <w:right w:val="single" w:sz="4" w:space="0" w:color="000000"/>
            </w:tcBorders>
          </w:tcPr>
          <w:p w14:paraId="703C9EF8" w14:textId="77777777" w:rsidR="00973465" w:rsidRDefault="00973465" w:rsidP="000F444B">
            <w:pPr>
              <w:tabs>
                <w:tab w:val="left" w:pos="3165"/>
              </w:tabs>
              <w:jc w:val="center"/>
              <w:rPr>
                <w:bCs/>
                <w:color w:val="000000" w:themeColor="text1"/>
              </w:rPr>
            </w:pPr>
            <w:r>
              <w:rPr>
                <w:bCs/>
                <w:color w:val="000000" w:themeColor="text1"/>
              </w:rPr>
              <w:t>321</w:t>
            </w:r>
          </w:p>
        </w:tc>
      </w:tr>
      <w:tr w:rsidR="00973465" w14:paraId="50D029AF"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984A4A" w14:textId="77777777" w:rsidR="00973465" w:rsidRDefault="00973465" w:rsidP="000F444B">
            <w:pPr>
              <w:tabs>
                <w:tab w:val="left" w:pos="3165"/>
              </w:tabs>
              <w:jc w:val="both"/>
              <w:rPr>
                <w:b/>
                <w:bCs/>
                <w:color w:val="000000" w:themeColor="text1"/>
              </w:rPr>
            </w:pPr>
            <w:r>
              <w:rPr>
                <w:b/>
                <w:bCs/>
                <w:color w:val="000000" w:themeColor="text1"/>
              </w:rPr>
              <w:t>100% NPK</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666D173" w14:textId="77777777" w:rsidR="00973465" w:rsidRDefault="00973465" w:rsidP="000F444B">
            <w:pPr>
              <w:tabs>
                <w:tab w:val="left" w:pos="3165"/>
              </w:tabs>
              <w:jc w:val="center"/>
              <w:rPr>
                <w:bCs/>
                <w:color w:val="000000" w:themeColor="text1"/>
              </w:rPr>
            </w:pPr>
            <w:r>
              <w:rPr>
                <w:bCs/>
                <w:color w:val="000000" w:themeColor="text1"/>
              </w:rPr>
              <w:t>8.01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17DF713" w14:textId="77777777" w:rsidR="00973465" w:rsidRDefault="00973465" w:rsidP="000F444B">
            <w:pPr>
              <w:tabs>
                <w:tab w:val="left" w:pos="3165"/>
              </w:tabs>
              <w:jc w:val="center"/>
              <w:rPr>
                <w:bCs/>
                <w:color w:val="000000" w:themeColor="text1"/>
              </w:rPr>
            </w:pPr>
            <w:r>
              <w:rPr>
                <w:bCs/>
                <w:color w:val="000000" w:themeColor="text1"/>
              </w:rPr>
              <w:t>0.45</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7C8CFD" w14:textId="77777777" w:rsidR="00973465" w:rsidRDefault="00973465" w:rsidP="000F444B">
            <w:pPr>
              <w:tabs>
                <w:tab w:val="left" w:pos="3165"/>
              </w:tabs>
              <w:jc w:val="center"/>
              <w:rPr>
                <w:bCs/>
                <w:color w:val="000000" w:themeColor="text1"/>
              </w:rPr>
            </w:pPr>
            <w:r>
              <w:rPr>
                <w:bCs/>
                <w:color w:val="000000" w:themeColor="text1"/>
              </w:rPr>
              <w:t>0.81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398DC5" w14:textId="77777777" w:rsidR="00973465" w:rsidRDefault="00973465" w:rsidP="000F444B">
            <w:pPr>
              <w:tabs>
                <w:tab w:val="left" w:pos="3165"/>
              </w:tabs>
              <w:jc w:val="center"/>
              <w:rPr>
                <w:bCs/>
                <w:color w:val="000000" w:themeColor="text1"/>
              </w:rPr>
            </w:pPr>
            <w:r>
              <w:rPr>
                <w:bCs/>
                <w:color w:val="000000" w:themeColor="text1"/>
              </w:rPr>
              <w:t>164</w:t>
            </w:r>
          </w:p>
        </w:tc>
        <w:tc>
          <w:tcPr>
            <w:tcW w:w="1347" w:type="dxa"/>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vAlign w:val="bottom"/>
          </w:tcPr>
          <w:p w14:paraId="14007977" w14:textId="77777777" w:rsidR="00973465" w:rsidRDefault="00973465" w:rsidP="000F444B">
            <w:pPr>
              <w:tabs>
                <w:tab w:val="left" w:pos="3165"/>
              </w:tabs>
              <w:jc w:val="center"/>
              <w:rPr>
                <w:bCs/>
                <w:color w:val="000000" w:themeColor="text1"/>
              </w:rPr>
            </w:pPr>
            <w:r>
              <w:rPr>
                <w:bCs/>
                <w:color w:val="000000" w:themeColor="text1"/>
              </w:rPr>
              <w:t>27.23</w:t>
            </w:r>
          </w:p>
        </w:tc>
        <w:tc>
          <w:tcPr>
            <w:tcW w:w="1092" w:type="dxa"/>
            <w:tcBorders>
              <w:top w:val="single" w:sz="4" w:space="0" w:color="000000"/>
              <w:left w:val="single" w:sz="4" w:space="0" w:color="000000"/>
              <w:bottom w:val="single" w:sz="4" w:space="0" w:color="000000"/>
              <w:right w:val="single" w:sz="4" w:space="0" w:color="000000"/>
            </w:tcBorders>
          </w:tcPr>
          <w:p w14:paraId="714074DD" w14:textId="77777777" w:rsidR="00973465" w:rsidRDefault="00973465" w:rsidP="000F444B">
            <w:pPr>
              <w:tabs>
                <w:tab w:val="left" w:pos="3165"/>
              </w:tabs>
              <w:jc w:val="center"/>
              <w:rPr>
                <w:bCs/>
                <w:color w:val="000000" w:themeColor="text1"/>
              </w:rPr>
            </w:pPr>
            <w:r>
              <w:rPr>
                <w:bCs/>
                <w:color w:val="000000" w:themeColor="text1"/>
              </w:rPr>
              <w:t>400</w:t>
            </w:r>
          </w:p>
        </w:tc>
      </w:tr>
      <w:tr w:rsidR="00973465" w14:paraId="126B3E87"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DC11E3" w14:textId="77777777" w:rsidR="00973465" w:rsidRDefault="00973465" w:rsidP="000F444B">
            <w:pPr>
              <w:tabs>
                <w:tab w:val="left" w:pos="3165"/>
              </w:tabs>
              <w:jc w:val="both"/>
              <w:rPr>
                <w:b/>
                <w:bCs/>
                <w:color w:val="000000" w:themeColor="text1"/>
              </w:rPr>
            </w:pPr>
            <w:r>
              <w:rPr>
                <w:b/>
                <w:bCs/>
                <w:color w:val="000000" w:themeColor="text1"/>
              </w:rPr>
              <w:t>150% NPK</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1A72037"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8B7CEE" w14:textId="77777777" w:rsidR="00973465" w:rsidRDefault="00973465" w:rsidP="000F444B">
            <w:pPr>
              <w:tabs>
                <w:tab w:val="left" w:pos="3165"/>
              </w:tabs>
              <w:jc w:val="center"/>
              <w:rPr>
                <w:bCs/>
                <w:color w:val="000000" w:themeColor="text1"/>
              </w:rPr>
            </w:pPr>
            <w:r>
              <w:rPr>
                <w:bCs/>
                <w:color w:val="000000" w:themeColor="text1"/>
              </w:rPr>
              <w:t>0.47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9446A9D" w14:textId="77777777" w:rsidR="00973465" w:rsidRDefault="00973465" w:rsidP="000F444B">
            <w:pPr>
              <w:tabs>
                <w:tab w:val="left" w:pos="3165"/>
              </w:tabs>
              <w:jc w:val="center"/>
              <w:rPr>
                <w:bCs/>
                <w:color w:val="000000" w:themeColor="text1"/>
              </w:rPr>
            </w:pPr>
            <w:r>
              <w:rPr>
                <w:bCs/>
                <w:color w:val="000000" w:themeColor="text1"/>
              </w:rPr>
              <w:t>0.80</w:t>
            </w:r>
          </w:p>
        </w:tc>
        <w:tc>
          <w:tcPr>
            <w:tcW w:w="1058"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bottom"/>
          </w:tcPr>
          <w:p w14:paraId="70BAD831" w14:textId="77777777" w:rsidR="00973465" w:rsidRDefault="00973465" w:rsidP="000F444B">
            <w:pPr>
              <w:tabs>
                <w:tab w:val="left" w:pos="3165"/>
              </w:tabs>
              <w:jc w:val="center"/>
              <w:rPr>
                <w:bCs/>
                <w:color w:val="000000" w:themeColor="text1"/>
              </w:rPr>
            </w:pPr>
            <w:r>
              <w:rPr>
                <w:bCs/>
                <w:color w:val="000000" w:themeColor="text1"/>
              </w:rPr>
              <w:t>181</w:t>
            </w:r>
          </w:p>
        </w:tc>
        <w:tc>
          <w:tcPr>
            <w:tcW w:w="13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4B04B17D" w14:textId="77777777" w:rsidR="00973465" w:rsidRDefault="00973465" w:rsidP="000F444B">
            <w:pPr>
              <w:tabs>
                <w:tab w:val="left" w:pos="3165"/>
              </w:tabs>
              <w:jc w:val="center"/>
              <w:rPr>
                <w:bCs/>
                <w:color w:val="000000" w:themeColor="text1"/>
              </w:rPr>
            </w:pPr>
            <w:r>
              <w:rPr>
                <w:bCs/>
                <w:color w:val="000000" w:themeColor="text1"/>
              </w:rPr>
              <w:t>36.62</w:t>
            </w:r>
          </w:p>
        </w:tc>
        <w:tc>
          <w:tcPr>
            <w:tcW w:w="1092" w:type="dxa"/>
            <w:tcBorders>
              <w:top w:val="single" w:sz="4" w:space="0" w:color="auto"/>
              <w:left w:val="single" w:sz="4" w:space="0" w:color="auto"/>
              <w:bottom w:val="single" w:sz="4" w:space="0" w:color="auto"/>
              <w:right w:val="single" w:sz="4" w:space="0" w:color="auto"/>
            </w:tcBorders>
          </w:tcPr>
          <w:p w14:paraId="0E19E4CD" w14:textId="77777777" w:rsidR="00973465" w:rsidRDefault="00973465" w:rsidP="000F444B">
            <w:pPr>
              <w:tabs>
                <w:tab w:val="left" w:pos="3165"/>
              </w:tabs>
              <w:jc w:val="center"/>
              <w:rPr>
                <w:bCs/>
                <w:color w:val="000000" w:themeColor="text1"/>
              </w:rPr>
            </w:pPr>
            <w:r>
              <w:rPr>
                <w:bCs/>
                <w:color w:val="000000" w:themeColor="text1"/>
              </w:rPr>
              <w:t>417</w:t>
            </w:r>
          </w:p>
        </w:tc>
      </w:tr>
      <w:tr w:rsidR="00973465" w14:paraId="5B0EB5D4" w14:textId="77777777" w:rsidTr="000F444B">
        <w:trPr>
          <w:trHeight w:val="27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4A8168" w14:textId="77777777" w:rsidR="00973465" w:rsidRDefault="00973465" w:rsidP="000F444B">
            <w:pPr>
              <w:tabs>
                <w:tab w:val="left" w:pos="3165"/>
              </w:tabs>
              <w:jc w:val="both"/>
              <w:rPr>
                <w:b/>
                <w:bCs/>
                <w:color w:val="000000" w:themeColor="text1"/>
              </w:rPr>
            </w:pPr>
            <w:r>
              <w:rPr>
                <w:b/>
                <w:bCs/>
                <w:color w:val="000000" w:themeColor="text1"/>
              </w:rPr>
              <w:t>100% NPK + HW</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534DBF"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6DA5F7E" w14:textId="77777777" w:rsidR="00973465" w:rsidRDefault="00973465" w:rsidP="000F444B">
            <w:pPr>
              <w:tabs>
                <w:tab w:val="left" w:pos="3165"/>
              </w:tabs>
              <w:jc w:val="center"/>
              <w:rPr>
                <w:bCs/>
                <w:color w:val="000000" w:themeColor="text1"/>
              </w:rPr>
            </w:pPr>
            <w:r>
              <w:rPr>
                <w:bCs/>
                <w:color w:val="000000" w:themeColor="text1"/>
              </w:rPr>
              <w:t>0.60</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28E4D14" w14:textId="77777777" w:rsidR="00973465" w:rsidRDefault="00973465" w:rsidP="000F444B">
            <w:pPr>
              <w:tabs>
                <w:tab w:val="left" w:pos="3165"/>
              </w:tabs>
              <w:jc w:val="center"/>
              <w:rPr>
                <w:bCs/>
                <w:color w:val="000000" w:themeColor="text1"/>
              </w:rPr>
            </w:pPr>
            <w:r>
              <w:rPr>
                <w:bCs/>
                <w:color w:val="000000" w:themeColor="text1"/>
              </w:rPr>
              <w:t>0.84</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82FA5BE" w14:textId="77777777" w:rsidR="00973465" w:rsidRDefault="00973465" w:rsidP="000F444B">
            <w:pPr>
              <w:tabs>
                <w:tab w:val="left" w:pos="3165"/>
              </w:tabs>
              <w:jc w:val="center"/>
              <w:rPr>
                <w:bCs/>
                <w:color w:val="000000" w:themeColor="text1"/>
              </w:rPr>
            </w:pPr>
            <w:r>
              <w:rPr>
                <w:bCs/>
                <w:color w:val="000000" w:themeColor="text1"/>
              </w:rPr>
              <w:t>170</w:t>
            </w:r>
          </w:p>
        </w:tc>
        <w:tc>
          <w:tcPr>
            <w:tcW w:w="1347" w:type="dxa"/>
            <w:tcBorders>
              <w:top w:val="single" w:sz="4" w:space="0" w:color="auto"/>
              <w:left w:val="single" w:sz="4" w:space="0" w:color="000000"/>
              <w:bottom w:val="single" w:sz="4" w:space="0" w:color="000000"/>
              <w:right w:val="single" w:sz="4" w:space="0" w:color="000000"/>
            </w:tcBorders>
            <w:tcMar>
              <w:top w:w="15" w:type="dxa"/>
              <w:left w:w="15" w:type="dxa"/>
              <w:bottom w:w="0" w:type="dxa"/>
              <w:right w:w="15" w:type="dxa"/>
            </w:tcMar>
            <w:vAlign w:val="bottom"/>
          </w:tcPr>
          <w:p w14:paraId="56F6740A" w14:textId="77777777" w:rsidR="00973465" w:rsidRDefault="00973465" w:rsidP="000F444B">
            <w:pPr>
              <w:tabs>
                <w:tab w:val="left" w:pos="3165"/>
              </w:tabs>
              <w:jc w:val="center"/>
              <w:rPr>
                <w:bCs/>
                <w:color w:val="000000" w:themeColor="text1"/>
              </w:rPr>
            </w:pPr>
            <w:r>
              <w:rPr>
                <w:bCs/>
                <w:color w:val="000000" w:themeColor="text1"/>
              </w:rPr>
              <w:t>28.65</w:t>
            </w:r>
          </w:p>
        </w:tc>
        <w:tc>
          <w:tcPr>
            <w:tcW w:w="1092" w:type="dxa"/>
            <w:tcBorders>
              <w:top w:val="single" w:sz="4" w:space="0" w:color="000000"/>
              <w:left w:val="single" w:sz="4" w:space="0" w:color="000000"/>
              <w:bottom w:val="single" w:sz="4" w:space="0" w:color="000000"/>
              <w:right w:val="single" w:sz="4" w:space="0" w:color="000000"/>
            </w:tcBorders>
          </w:tcPr>
          <w:p w14:paraId="47CE93F3" w14:textId="77777777" w:rsidR="00973465" w:rsidRDefault="00973465" w:rsidP="000F444B">
            <w:pPr>
              <w:tabs>
                <w:tab w:val="left" w:pos="3165"/>
              </w:tabs>
              <w:jc w:val="center"/>
              <w:rPr>
                <w:bCs/>
                <w:color w:val="000000" w:themeColor="text1"/>
              </w:rPr>
            </w:pPr>
            <w:r>
              <w:rPr>
                <w:bCs/>
                <w:color w:val="000000" w:themeColor="text1"/>
              </w:rPr>
              <w:t>378</w:t>
            </w:r>
          </w:p>
        </w:tc>
      </w:tr>
      <w:tr w:rsidR="00973465" w14:paraId="4DF80F61"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E627D13" w14:textId="77777777" w:rsidR="00973465" w:rsidRDefault="00973465" w:rsidP="000F444B">
            <w:pPr>
              <w:tabs>
                <w:tab w:val="left" w:pos="3165"/>
              </w:tabs>
              <w:jc w:val="both"/>
              <w:rPr>
                <w:b/>
                <w:bCs/>
                <w:color w:val="000000" w:themeColor="text1"/>
              </w:rPr>
            </w:pPr>
            <w:r>
              <w:rPr>
                <w:b/>
                <w:bCs/>
                <w:color w:val="000000" w:themeColor="text1"/>
              </w:rPr>
              <w:t>100% NPK+Zn</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6533CC" w14:textId="77777777" w:rsidR="00973465" w:rsidRDefault="00973465" w:rsidP="000F444B">
            <w:pPr>
              <w:tabs>
                <w:tab w:val="left" w:pos="3165"/>
              </w:tabs>
              <w:jc w:val="center"/>
              <w:rPr>
                <w:bCs/>
                <w:color w:val="000000" w:themeColor="text1"/>
              </w:rPr>
            </w:pPr>
            <w:r>
              <w:rPr>
                <w:bCs/>
                <w:color w:val="000000" w:themeColor="text1"/>
              </w:rPr>
              <w:t>7.97</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80D02E" w14:textId="77777777" w:rsidR="00973465" w:rsidRDefault="00973465" w:rsidP="000F444B">
            <w:pPr>
              <w:tabs>
                <w:tab w:val="left" w:pos="3165"/>
              </w:tabs>
              <w:jc w:val="center"/>
              <w:rPr>
                <w:bCs/>
                <w:color w:val="000000" w:themeColor="text1"/>
              </w:rPr>
            </w:pPr>
            <w:r>
              <w:rPr>
                <w:bCs/>
                <w:color w:val="000000" w:themeColor="text1"/>
              </w:rPr>
              <w:t>0.61</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4BF61F5" w14:textId="77777777" w:rsidR="00973465" w:rsidRDefault="00973465" w:rsidP="000F444B">
            <w:pPr>
              <w:tabs>
                <w:tab w:val="left" w:pos="3165"/>
              </w:tabs>
              <w:jc w:val="center"/>
              <w:rPr>
                <w:bCs/>
                <w:color w:val="000000" w:themeColor="text1"/>
              </w:rPr>
            </w:pPr>
            <w:r>
              <w:rPr>
                <w:bCs/>
                <w:color w:val="000000" w:themeColor="text1"/>
              </w:rPr>
              <w:t>0.78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1DC766" w14:textId="77777777" w:rsidR="00973465" w:rsidRDefault="00973465" w:rsidP="000F444B">
            <w:pPr>
              <w:tabs>
                <w:tab w:val="left" w:pos="3165"/>
              </w:tabs>
              <w:jc w:val="center"/>
              <w:rPr>
                <w:bCs/>
                <w:color w:val="000000" w:themeColor="text1"/>
              </w:rPr>
            </w:pPr>
            <w:r>
              <w:rPr>
                <w:bCs/>
                <w:color w:val="000000" w:themeColor="text1"/>
              </w:rPr>
              <w:t>161</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777444" w14:textId="77777777" w:rsidR="00973465" w:rsidRDefault="00973465" w:rsidP="000F444B">
            <w:pPr>
              <w:tabs>
                <w:tab w:val="left" w:pos="3165"/>
              </w:tabs>
              <w:jc w:val="center"/>
              <w:rPr>
                <w:bCs/>
                <w:color w:val="000000" w:themeColor="text1"/>
              </w:rPr>
            </w:pPr>
            <w:r>
              <w:rPr>
                <w:bCs/>
                <w:color w:val="000000" w:themeColor="text1"/>
              </w:rPr>
              <w:t>26.63</w:t>
            </w:r>
          </w:p>
        </w:tc>
        <w:tc>
          <w:tcPr>
            <w:tcW w:w="1092" w:type="dxa"/>
            <w:tcBorders>
              <w:top w:val="single" w:sz="4" w:space="0" w:color="000000"/>
              <w:left w:val="single" w:sz="4" w:space="0" w:color="000000"/>
              <w:bottom w:val="single" w:sz="4" w:space="0" w:color="000000"/>
              <w:right w:val="single" w:sz="4" w:space="0" w:color="000000"/>
            </w:tcBorders>
          </w:tcPr>
          <w:p w14:paraId="23B410DF" w14:textId="77777777" w:rsidR="00973465" w:rsidRDefault="00973465" w:rsidP="000F444B">
            <w:pPr>
              <w:tabs>
                <w:tab w:val="left" w:pos="3165"/>
              </w:tabs>
              <w:jc w:val="center"/>
              <w:rPr>
                <w:bCs/>
                <w:color w:val="000000" w:themeColor="text1"/>
              </w:rPr>
            </w:pPr>
            <w:r>
              <w:rPr>
                <w:bCs/>
                <w:color w:val="000000" w:themeColor="text1"/>
              </w:rPr>
              <w:t>387</w:t>
            </w:r>
          </w:p>
        </w:tc>
      </w:tr>
      <w:tr w:rsidR="00973465" w14:paraId="7BF44A48"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72EA4F" w14:textId="77777777" w:rsidR="00973465" w:rsidRDefault="00973465" w:rsidP="000F444B">
            <w:pPr>
              <w:tabs>
                <w:tab w:val="left" w:pos="3165"/>
              </w:tabs>
              <w:jc w:val="both"/>
              <w:rPr>
                <w:b/>
                <w:bCs/>
                <w:color w:val="000000" w:themeColor="text1"/>
              </w:rPr>
            </w:pPr>
            <w:r>
              <w:rPr>
                <w:b/>
                <w:bCs/>
                <w:color w:val="000000" w:themeColor="text1"/>
              </w:rPr>
              <w:t>100% NP</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93AC06" w14:textId="77777777" w:rsidR="00973465" w:rsidRDefault="00973465" w:rsidP="000F444B">
            <w:pPr>
              <w:tabs>
                <w:tab w:val="left" w:pos="3165"/>
              </w:tabs>
              <w:jc w:val="center"/>
              <w:rPr>
                <w:bCs/>
                <w:color w:val="000000" w:themeColor="text1"/>
              </w:rPr>
            </w:pPr>
            <w:r>
              <w:rPr>
                <w:bCs/>
                <w:color w:val="000000" w:themeColor="text1"/>
              </w:rPr>
              <w:t>7.91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33B150F" w14:textId="77777777" w:rsidR="00973465" w:rsidRDefault="00973465" w:rsidP="000F444B">
            <w:pPr>
              <w:tabs>
                <w:tab w:val="left" w:pos="3165"/>
              </w:tabs>
              <w:jc w:val="center"/>
              <w:rPr>
                <w:bCs/>
                <w:color w:val="000000" w:themeColor="text1"/>
              </w:rPr>
            </w:pPr>
            <w:r>
              <w:rPr>
                <w:bCs/>
                <w:color w:val="000000" w:themeColor="text1"/>
              </w:rPr>
              <w:t>0.48</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CA3A0BD" w14:textId="77777777" w:rsidR="00973465" w:rsidRDefault="00973465" w:rsidP="000F444B">
            <w:pPr>
              <w:tabs>
                <w:tab w:val="left" w:pos="3165"/>
              </w:tabs>
              <w:jc w:val="center"/>
              <w:rPr>
                <w:bCs/>
                <w:color w:val="000000" w:themeColor="text1"/>
              </w:rPr>
            </w:pPr>
            <w:r>
              <w:rPr>
                <w:bCs/>
                <w:color w:val="000000" w:themeColor="text1"/>
              </w:rPr>
              <w:t>0.78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C5A46A8" w14:textId="77777777" w:rsidR="00973465" w:rsidRDefault="00973465" w:rsidP="000F444B">
            <w:pPr>
              <w:tabs>
                <w:tab w:val="left" w:pos="3165"/>
              </w:tabs>
              <w:jc w:val="center"/>
              <w:rPr>
                <w:bCs/>
                <w:color w:val="000000" w:themeColor="text1"/>
              </w:rPr>
            </w:pPr>
            <w:r>
              <w:rPr>
                <w:bCs/>
                <w:color w:val="000000" w:themeColor="text1"/>
              </w:rPr>
              <w:t>169</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E556642" w14:textId="77777777" w:rsidR="00973465" w:rsidRDefault="00973465" w:rsidP="000F444B">
            <w:pPr>
              <w:tabs>
                <w:tab w:val="left" w:pos="3165"/>
              </w:tabs>
              <w:jc w:val="center"/>
              <w:rPr>
                <w:bCs/>
                <w:color w:val="000000" w:themeColor="text1"/>
              </w:rPr>
            </w:pPr>
            <w:r>
              <w:rPr>
                <w:bCs/>
                <w:color w:val="000000" w:themeColor="text1"/>
              </w:rPr>
              <w:t>26.87</w:t>
            </w:r>
          </w:p>
        </w:tc>
        <w:tc>
          <w:tcPr>
            <w:tcW w:w="1092" w:type="dxa"/>
            <w:tcBorders>
              <w:top w:val="single" w:sz="4" w:space="0" w:color="000000"/>
              <w:left w:val="single" w:sz="4" w:space="0" w:color="000000"/>
              <w:bottom w:val="single" w:sz="4" w:space="0" w:color="000000"/>
              <w:right w:val="single" w:sz="4" w:space="0" w:color="000000"/>
            </w:tcBorders>
          </w:tcPr>
          <w:p w14:paraId="3D40D9E7" w14:textId="77777777" w:rsidR="00973465" w:rsidRDefault="00973465" w:rsidP="000F444B">
            <w:pPr>
              <w:tabs>
                <w:tab w:val="left" w:pos="3165"/>
              </w:tabs>
              <w:jc w:val="center"/>
              <w:rPr>
                <w:bCs/>
                <w:color w:val="000000" w:themeColor="text1"/>
              </w:rPr>
            </w:pPr>
            <w:r>
              <w:rPr>
                <w:bCs/>
                <w:color w:val="000000" w:themeColor="text1"/>
              </w:rPr>
              <w:t>261</w:t>
            </w:r>
          </w:p>
        </w:tc>
      </w:tr>
      <w:tr w:rsidR="00973465" w14:paraId="07FFDB43"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5D2A46A" w14:textId="77777777" w:rsidR="00973465" w:rsidRDefault="00973465" w:rsidP="000F444B">
            <w:pPr>
              <w:tabs>
                <w:tab w:val="left" w:pos="3165"/>
              </w:tabs>
              <w:jc w:val="both"/>
              <w:rPr>
                <w:b/>
                <w:bCs/>
                <w:color w:val="000000" w:themeColor="text1"/>
              </w:rPr>
            </w:pPr>
            <w:r>
              <w:rPr>
                <w:b/>
                <w:bCs/>
                <w:color w:val="000000" w:themeColor="text1"/>
              </w:rPr>
              <w:t>100% N</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FA64E0"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CFCD492" w14:textId="77777777" w:rsidR="00973465" w:rsidRDefault="00973465" w:rsidP="000F444B">
            <w:pPr>
              <w:tabs>
                <w:tab w:val="left" w:pos="3165"/>
              </w:tabs>
              <w:jc w:val="center"/>
              <w:rPr>
                <w:bCs/>
                <w:color w:val="000000" w:themeColor="text1"/>
              </w:rPr>
            </w:pPr>
            <w:r>
              <w:rPr>
                <w:bCs/>
                <w:color w:val="000000" w:themeColor="text1"/>
              </w:rPr>
              <w:t>0.56</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73ADCB" w14:textId="77777777" w:rsidR="00973465" w:rsidRDefault="00973465" w:rsidP="000F444B">
            <w:pPr>
              <w:tabs>
                <w:tab w:val="left" w:pos="3165"/>
              </w:tabs>
              <w:jc w:val="center"/>
              <w:rPr>
                <w:bCs/>
                <w:color w:val="000000" w:themeColor="text1"/>
              </w:rPr>
            </w:pPr>
            <w:r>
              <w:rPr>
                <w:bCs/>
                <w:color w:val="000000" w:themeColor="text1"/>
              </w:rPr>
              <w:t>0.76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2DF2CE6" w14:textId="77777777" w:rsidR="00973465" w:rsidRDefault="00973465" w:rsidP="000F444B">
            <w:pPr>
              <w:tabs>
                <w:tab w:val="left" w:pos="3165"/>
              </w:tabs>
              <w:jc w:val="center"/>
              <w:rPr>
                <w:bCs/>
                <w:color w:val="000000" w:themeColor="text1"/>
              </w:rPr>
            </w:pPr>
            <w:r>
              <w:rPr>
                <w:bCs/>
                <w:color w:val="000000" w:themeColor="text1"/>
              </w:rPr>
              <w:t>159</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CA3976" w14:textId="77777777" w:rsidR="00973465" w:rsidRDefault="00973465" w:rsidP="000F444B">
            <w:pPr>
              <w:tabs>
                <w:tab w:val="left" w:pos="3165"/>
              </w:tabs>
              <w:jc w:val="center"/>
              <w:rPr>
                <w:bCs/>
                <w:color w:val="000000" w:themeColor="text1"/>
              </w:rPr>
            </w:pPr>
            <w:r>
              <w:rPr>
                <w:bCs/>
                <w:color w:val="000000" w:themeColor="text1"/>
              </w:rPr>
              <w:t>8.80</w:t>
            </w:r>
          </w:p>
        </w:tc>
        <w:tc>
          <w:tcPr>
            <w:tcW w:w="1092" w:type="dxa"/>
            <w:tcBorders>
              <w:top w:val="single" w:sz="4" w:space="0" w:color="000000"/>
              <w:left w:val="single" w:sz="4" w:space="0" w:color="000000"/>
              <w:bottom w:val="single" w:sz="4" w:space="0" w:color="000000"/>
              <w:right w:val="single" w:sz="4" w:space="0" w:color="000000"/>
            </w:tcBorders>
          </w:tcPr>
          <w:p w14:paraId="770B4FC3" w14:textId="77777777" w:rsidR="00973465" w:rsidRDefault="00973465" w:rsidP="000F444B">
            <w:pPr>
              <w:tabs>
                <w:tab w:val="left" w:pos="3165"/>
              </w:tabs>
              <w:jc w:val="center"/>
              <w:rPr>
                <w:bCs/>
                <w:color w:val="000000" w:themeColor="text1"/>
              </w:rPr>
            </w:pPr>
            <w:r>
              <w:rPr>
                <w:bCs/>
                <w:color w:val="000000" w:themeColor="text1"/>
              </w:rPr>
              <w:t>275</w:t>
            </w:r>
          </w:p>
        </w:tc>
      </w:tr>
      <w:tr w:rsidR="00973465" w14:paraId="548D9F5D" w14:textId="77777777" w:rsidTr="000F444B">
        <w:trPr>
          <w:trHeight w:val="27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D8B50B5" w14:textId="77777777" w:rsidR="00973465" w:rsidRDefault="00973465" w:rsidP="000F444B">
            <w:pPr>
              <w:tabs>
                <w:tab w:val="left" w:pos="3165"/>
              </w:tabs>
              <w:jc w:val="both"/>
              <w:rPr>
                <w:b/>
                <w:bCs/>
                <w:color w:val="000000" w:themeColor="text1"/>
              </w:rPr>
            </w:pPr>
            <w:r>
              <w:rPr>
                <w:b/>
                <w:bCs/>
                <w:color w:val="000000" w:themeColor="text1"/>
              </w:rPr>
              <w:t>100% NPK+FYM</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4A438DF" w14:textId="77777777" w:rsidR="00973465" w:rsidRDefault="00973465" w:rsidP="000F444B">
            <w:pPr>
              <w:tabs>
                <w:tab w:val="left" w:pos="3165"/>
              </w:tabs>
              <w:jc w:val="center"/>
              <w:rPr>
                <w:bCs/>
                <w:color w:val="000000" w:themeColor="text1"/>
              </w:rPr>
            </w:pPr>
            <w:r>
              <w:rPr>
                <w:bCs/>
                <w:color w:val="000000" w:themeColor="text1"/>
              </w:rPr>
              <w:t>7.96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B26AC70" w14:textId="77777777" w:rsidR="00973465" w:rsidRDefault="00973465" w:rsidP="000F444B">
            <w:pPr>
              <w:tabs>
                <w:tab w:val="left" w:pos="3165"/>
              </w:tabs>
              <w:jc w:val="center"/>
              <w:rPr>
                <w:bCs/>
                <w:color w:val="000000" w:themeColor="text1"/>
              </w:rPr>
            </w:pPr>
            <w:r>
              <w:rPr>
                <w:bCs/>
                <w:color w:val="000000" w:themeColor="text1"/>
              </w:rPr>
              <w:t>0.53</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5B20DF7" w14:textId="77777777" w:rsidR="00973465" w:rsidRDefault="00973465" w:rsidP="000F444B">
            <w:pPr>
              <w:tabs>
                <w:tab w:val="left" w:pos="3165"/>
              </w:tabs>
              <w:jc w:val="center"/>
              <w:rPr>
                <w:bCs/>
                <w:color w:val="000000" w:themeColor="text1"/>
              </w:rPr>
            </w:pPr>
            <w:r>
              <w:rPr>
                <w:bCs/>
                <w:color w:val="000000" w:themeColor="text1"/>
              </w:rPr>
              <w:t>0.90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ACEAF4B" w14:textId="77777777" w:rsidR="00973465" w:rsidRDefault="00973465" w:rsidP="000F444B">
            <w:pPr>
              <w:tabs>
                <w:tab w:val="left" w:pos="3165"/>
              </w:tabs>
              <w:jc w:val="center"/>
              <w:rPr>
                <w:bCs/>
                <w:color w:val="000000" w:themeColor="text1"/>
              </w:rPr>
            </w:pPr>
            <w:r>
              <w:rPr>
                <w:bCs/>
                <w:color w:val="000000" w:themeColor="text1"/>
              </w:rPr>
              <w:t>189</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27C608" w14:textId="77777777" w:rsidR="00973465" w:rsidRDefault="00973465" w:rsidP="000F444B">
            <w:pPr>
              <w:tabs>
                <w:tab w:val="left" w:pos="3165"/>
              </w:tabs>
              <w:jc w:val="center"/>
              <w:rPr>
                <w:bCs/>
                <w:color w:val="000000" w:themeColor="text1"/>
              </w:rPr>
            </w:pPr>
            <w:r>
              <w:rPr>
                <w:bCs/>
                <w:color w:val="000000" w:themeColor="text1"/>
              </w:rPr>
              <w:t>35.43</w:t>
            </w:r>
          </w:p>
        </w:tc>
        <w:tc>
          <w:tcPr>
            <w:tcW w:w="1092" w:type="dxa"/>
            <w:tcBorders>
              <w:top w:val="single" w:sz="4" w:space="0" w:color="000000"/>
              <w:left w:val="single" w:sz="4" w:space="0" w:color="000000"/>
              <w:bottom w:val="single" w:sz="4" w:space="0" w:color="000000"/>
              <w:right w:val="single" w:sz="4" w:space="0" w:color="000000"/>
            </w:tcBorders>
          </w:tcPr>
          <w:p w14:paraId="1EE50F6E" w14:textId="77777777" w:rsidR="00973465" w:rsidRDefault="00973465" w:rsidP="000F444B">
            <w:pPr>
              <w:tabs>
                <w:tab w:val="left" w:pos="3165"/>
              </w:tabs>
              <w:jc w:val="center"/>
              <w:rPr>
                <w:bCs/>
                <w:color w:val="000000" w:themeColor="text1"/>
              </w:rPr>
            </w:pPr>
            <w:r>
              <w:rPr>
                <w:bCs/>
                <w:color w:val="000000" w:themeColor="text1"/>
              </w:rPr>
              <w:t>422</w:t>
            </w:r>
          </w:p>
        </w:tc>
      </w:tr>
      <w:tr w:rsidR="00973465" w14:paraId="32BFCD8D"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2799A9" w14:textId="77777777" w:rsidR="00973465" w:rsidRDefault="00973465" w:rsidP="000F444B">
            <w:pPr>
              <w:tabs>
                <w:tab w:val="left" w:pos="3165"/>
              </w:tabs>
              <w:jc w:val="both"/>
              <w:rPr>
                <w:b/>
                <w:bCs/>
                <w:color w:val="000000" w:themeColor="text1"/>
              </w:rPr>
            </w:pPr>
            <w:r>
              <w:rPr>
                <w:b/>
                <w:bCs/>
                <w:color w:val="000000" w:themeColor="text1"/>
              </w:rPr>
              <w:t>100% NPK-S</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3ED14C" w14:textId="77777777" w:rsidR="00973465" w:rsidRDefault="00973465" w:rsidP="000F444B">
            <w:pPr>
              <w:tabs>
                <w:tab w:val="left" w:pos="3165"/>
              </w:tabs>
              <w:jc w:val="center"/>
              <w:rPr>
                <w:bCs/>
                <w:color w:val="000000" w:themeColor="text1"/>
              </w:rPr>
            </w:pPr>
            <w:r>
              <w:rPr>
                <w:bCs/>
                <w:color w:val="000000" w:themeColor="text1"/>
              </w:rPr>
              <w:t>7.98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EF00F79" w14:textId="77777777" w:rsidR="00973465" w:rsidRDefault="00973465" w:rsidP="000F444B">
            <w:pPr>
              <w:tabs>
                <w:tab w:val="left" w:pos="3165"/>
              </w:tabs>
              <w:jc w:val="center"/>
              <w:rPr>
                <w:bCs/>
                <w:color w:val="000000" w:themeColor="text1"/>
              </w:rPr>
            </w:pPr>
            <w:r>
              <w:rPr>
                <w:bCs/>
                <w:color w:val="000000" w:themeColor="text1"/>
              </w:rPr>
              <w:t>0.47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A8E7E03" w14:textId="77777777" w:rsidR="00973465" w:rsidRDefault="00973465" w:rsidP="000F444B">
            <w:pPr>
              <w:tabs>
                <w:tab w:val="left" w:pos="3165"/>
              </w:tabs>
              <w:jc w:val="center"/>
              <w:rPr>
                <w:bCs/>
                <w:color w:val="000000" w:themeColor="text1"/>
              </w:rPr>
            </w:pPr>
            <w:r>
              <w:rPr>
                <w:bCs/>
                <w:color w:val="000000" w:themeColor="text1"/>
              </w:rPr>
              <w:t>0.79</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784F687" w14:textId="77777777" w:rsidR="00973465" w:rsidRDefault="00973465" w:rsidP="000F444B">
            <w:pPr>
              <w:tabs>
                <w:tab w:val="left" w:pos="3165"/>
              </w:tabs>
              <w:jc w:val="center"/>
              <w:rPr>
                <w:bCs/>
                <w:color w:val="000000" w:themeColor="text1"/>
              </w:rPr>
            </w:pPr>
            <w:r>
              <w:rPr>
                <w:bCs/>
                <w:color w:val="000000" w:themeColor="text1"/>
              </w:rPr>
              <w:t>162</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F29725" w14:textId="77777777" w:rsidR="00973465" w:rsidRDefault="00973465" w:rsidP="000F444B">
            <w:pPr>
              <w:tabs>
                <w:tab w:val="left" w:pos="3165"/>
              </w:tabs>
              <w:jc w:val="center"/>
              <w:rPr>
                <w:bCs/>
                <w:color w:val="000000" w:themeColor="text1"/>
              </w:rPr>
            </w:pPr>
            <w:r>
              <w:rPr>
                <w:bCs/>
                <w:color w:val="000000" w:themeColor="text1"/>
              </w:rPr>
              <w:t>30.91</w:t>
            </w:r>
          </w:p>
        </w:tc>
        <w:tc>
          <w:tcPr>
            <w:tcW w:w="1092" w:type="dxa"/>
            <w:tcBorders>
              <w:top w:val="single" w:sz="4" w:space="0" w:color="000000"/>
              <w:left w:val="single" w:sz="4" w:space="0" w:color="000000"/>
              <w:bottom w:val="single" w:sz="4" w:space="0" w:color="000000"/>
              <w:right w:val="single" w:sz="4" w:space="0" w:color="000000"/>
            </w:tcBorders>
          </w:tcPr>
          <w:p w14:paraId="5F9D5B2E" w14:textId="77777777" w:rsidR="00973465" w:rsidRDefault="00973465" w:rsidP="000F444B">
            <w:pPr>
              <w:tabs>
                <w:tab w:val="left" w:pos="3165"/>
              </w:tabs>
              <w:jc w:val="center"/>
              <w:rPr>
                <w:bCs/>
                <w:color w:val="000000" w:themeColor="text1"/>
              </w:rPr>
            </w:pPr>
            <w:r>
              <w:rPr>
                <w:bCs/>
                <w:color w:val="000000" w:themeColor="text1"/>
              </w:rPr>
              <w:t>372</w:t>
            </w:r>
          </w:p>
        </w:tc>
      </w:tr>
      <w:tr w:rsidR="00973465" w14:paraId="2A014862"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3D6BE6" w14:textId="77777777" w:rsidR="00973465" w:rsidRDefault="00973465" w:rsidP="000F444B">
            <w:pPr>
              <w:tabs>
                <w:tab w:val="left" w:pos="3165"/>
              </w:tabs>
              <w:jc w:val="both"/>
              <w:rPr>
                <w:b/>
                <w:bCs/>
                <w:color w:val="000000" w:themeColor="text1"/>
              </w:rPr>
            </w:pPr>
            <w:r>
              <w:rPr>
                <w:b/>
                <w:bCs/>
                <w:color w:val="000000" w:themeColor="text1"/>
              </w:rPr>
              <w:t>100% FYM</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6610994" w14:textId="77777777" w:rsidR="00973465" w:rsidRDefault="00973465" w:rsidP="000F444B">
            <w:pPr>
              <w:tabs>
                <w:tab w:val="left" w:pos="3165"/>
              </w:tabs>
              <w:jc w:val="center"/>
              <w:rPr>
                <w:bCs/>
                <w:color w:val="000000" w:themeColor="text1"/>
              </w:rPr>
            </w:pPr>
            <w:r>
              <w:rPr>
                <w:bCs/>
                <w:color w:val="000000" w:themeColor="text1"/>
              </w:rPr>
              <w:t>8.02</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B9675C" w14:textId="77777777" w:rsidR="00973465" w:rsidRDefault="00973465" w:rsidP="000F444B">
            <w:pPr>
              <w:tabs>
                <w:tab w:val="left" w:pos="3165"/>
              </w:tabs>
              <w:jc w:val="center"/>
              <w:rPr>
                <w:bCs/>
                <w:color w:val="000000" w:themeColor="text1"/>
              </w:rPr>
            </w:pPr>
            <w:r>
              <w:rPr>
                <w:bCs/>
                <w:color w:val="000000" w:themeColor="text1"/>
              </w:rPr>
              <w:t>0.53</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BEF0D0" w14:textId="77777777" w:rsidR="00973465" w:rsidRDefault="00973465" w:rsidP="000F444B">
            <w:pPr>
              <w:tabs>
                <w:tab w:val="left" w:pos="3165"/>
              </w:tabs>
              <w:jc w:val="center"/>
              <w:rPr>
                <w:bCs/>
                <w:color w:val="000000" w:themeColor="text1"/>
              </w:rPr>
            </w:pPr>
            <w:r>
              <w:rPr>
                <w:bCs/>
                <w:color w:val="000000" w:themeColor="text1"/>
              </w:rPr>
              <w:t>1.18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2944D6" w14:textId="77777777" w:rsidR="00973465" w:rsidRDefault="00973465" w:rsidP="000F444B">
            <w:pPr>
              <w:tabs>
                <w:tab w:val="left" w:pos="3165"/>
              </w:tabs>
              <w:jc w:val="center"/>
              <w:rPr>
                <w:bCs/>
                <w:color w:val="000000" w:themeColor="text1"/>
              </w:rPr>
            </w:pPr>
            <w:r>
              <w:rPr>
                <w:bCs/>
                <w:color w:val="000000" w:themeColor="text1"/>
              </w:rPr>
              <w:t>175</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42A773" w14:textId="77777777" w:rsidR="00973465" w:rsidRDefault="00973465" w:rsidP="000F444B">
            <w:pPr>
              <w:tabs>
                <w:tab w:val="left" w:pos="3165"/>
              </w:tabs>
              <w:jc w:val="center"/>
              <w:rPr>
                <w:bCs/>
                <w:color w:val="000000" w:themeColor="text1"/>
              </w:rPr>
            </w:pPr>
            <w:r>
              <w:rPr>
                <w:bCs/>
                <w:color w:val="000000" w:themeColor="text1"/>
              </w:rPr>
              <w:t>35.19</w:t>
            </w:r>
          </w:p>
        </w:tc>
        <w:tc>
          <w:tcPr>
            <w:tcW w:w="1092" w:type="dxa"/>
            <w:tcBorders>
              <w:top w:val="single" w:sz="4" w:space="0" w:color="000000"/>
              <w:left w:val="single" w:sz="4" w:space="0" w:color="000000"/>
              <w:bottom w:val="single" w:sz="4" w:space="0" w:color="000000"/>
              <w:right w:val="single" w:sz="4" w:space="0" w:color="000000"/>
            </w:tcBorders>
          </w:tcPr>
          <w:p w14:paraId="041EBB3A" w14:textId="77777777" w:rsidR="00973465" w:rsidRDefault="00973465" w:rsidP="000F444B">
            <w:pPr>
              <w:tabs>
                <w:tab w:val="left" w:pos="3165"/>
              </w:tabs>
              <w:jc w:val="center"/>
              <w:rPr>
                <w:bCs/>
                <w:color w:val="000000" w:themeColor="text1"/>
              </w:rPr>
            </w:pPr>
            <w:r>
              <w:rPr>
                <w:bCs/>
                <w:color w:val="000000" w:themeColor="text1"/>
              </w:rPr>
              <w:t>409</w:t>
            </w:r>
          </w:p>
        </w:tc>
      </w:tr>
      <w:tr w:rsidR="00973465" w14:paraId="3741F95B"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42A6CE" w14:textId="77777777" w:rsidR="00973465" w:rsidRDefault="00973465" w:rsidP="000F444B">
            <w:pPr>
              <w:tabs>
                <w:tab w:val="left" w:pos="3165"/>
              </w:tabs>
              <w:jc w:val="both"/>
              <w:rPr>
                <w:b/>
                <w:bCs/>
                <w:color w:val="000000" w:themeColor="text1"/>
              </w:rPr>
            </w:pPr>
            <w:r>
              <w:rPr>
                <w:b/>
                <w:bCs/>
                <w:color w:val="000000" w:themeColor="text1"/>
              </w:rPr>
              <w:t>Control</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05E017" w14:textId="77777777" w:rsidR="00973465" w:rsidRDefault="00973465" w:rsidP="000F444B">
            <w:pPr>
              <w:tabs>
                <w:tab w:val="left" w:pos="3165"/>
              </w:tabs>
              <w:jc w:val="center"/>
              <w:rPr>
                <w:bCs/>
                <w:color w:val="000000" w:themeColor="text1"/>
              </w:rPr>
            </w:pPr>
            <w:r>
              <w:rPr>
                <w:bCs/>
                <w:color w:val="000000" w:themeColor="text1"/>
              </w:rPr>
              <w:t>8.08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2728F20" w14:textId="77777777" w:rsidR="00973465" w:rsidRDefault="00973465" w:rsidP="000F444B">
            <w:pPr>
              <w:tabs>
                <w:tab w:val="left" w:pos="3165"/>
              </w:tabs>
              <w:jc w:val="center"/>
              <w:rPr>
                <w:bCs/>
                <w:color w:val="000000" w:themeColor="text1"/>
              </w:rPr>
            </w:pPr>
            <w:r>
              <w:rPr>
                <w:bCs/>
                <w:color w:val="000000" w:themeColor="text1"/>
              </w:rPr>
              <w:t>0.41</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FE97E03" w14:textId="77777777" w:rsidR="00973465" w:rsidRDefault="00973465" w:rsidP="000F444B">
            <w:pPr>
              <w:tabs>
                <w:tab w:val="left" w:pos="3165"/>
              </w:tabs>
              <w:jc w:val="center"/>
              <w:rPr>
                <w:bCs/>
                <w:color w:val="000000" w:themeColor="text1"/>
              </w:rPr>
            </w:pPr>
            <w:r>
              <w:rPr>
                <w:bCs/>
                <w:color w:val="000000" w:themeColor="text1"/>
              </w:rPr>
              <w:t>0.71</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B942C8D" w14:textId="77777777" w:rsidR="00973465" w:rsidRDefault="00973465" w:rsidP="000F444B">
            <w:pPr>
              <w:tabs>
                <w:tab w:val="left" w:pos="3165"/>
              </w:tabs>
              <w:jc w:val="center"/>
              <w:rPr>
                <w:bCs/>
                <w:color w:val="000000" w:themeColor="text1"/>
              </w:rPr>
            </w:pPr>
            <w:r>
              <w:rPr>
                <w:bCs/>
                <w:color w:val="000000" w:themeColor="text1"/>
              </w:rPr>
              <w:t>95</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E7E19FB" w14:textId="77777777" w:rsidR="00973465" w:rsidRDefault="00973465" w:rsidP="000F444B">
            <w:pPr>
              <w:tabs>
                <w:tab w:val="left" w:pos="3165"/>
              </w:tabs>
              <w:jc w:val="center"/>
              <w:rPr>
                <w:bCs/>
                <w:color w:val="000000" w:themeColor="text1"/>
              </w:rPr>
            </w:pPr>
            <w:r>
              <w:rPr>
                <w:bCs/>
                <w:color w:val="000000" w:themeColor="text1"/>
              </w:rPr>
              <w:t>11.89</w:t>
            </w:r>
          </w:p>
        </w:tc>
        <w:tc>
          <w:tcPr>
            <w:tcW w:w="1092" w:type="dxa"/>
            <w:tcBorders>
              <w:top w:val="single" w:sz="4" w:space="0" w:color="000000"/>
              <w:left w:val="single" w:sz="4" w:space="0" w:color="000000"/>
              <w:bottom w:val="single" w:sz="4" w:space="0" w:color="000000"/>
              <w:right w:val="single" w:sz="4" w:space="0" w:color="000000"/>
            </w:tcBorders>
          </w:tcPr>
          <w:p w14:paraId="36B7764B" w14:textId="77777777" w:rsidR="00973465" w:rsidRDefault="00973465" w:rsidP="000F444B">
            <w:pPr>
              <w:tabs>
                <w:tab w:val="left" w:pos="3165"/>
              </w:tabs>
              <w:jc w:val="center"/>
              <w:rPr>
                <w:bCs/>
                <w:color w:val="000000" w:themeColor="text1"/>
              </w:rPr>
            </w:pPr>
            <w:r>
              <w:rPr>
                <w:bCs/>
                <w:color w:val="000000" w:themeColor="text1"/>
              </w:rPr>
              <w:t>311</w:t>
            </w:r>
          </w:p>
        </w:tc>
      </w:tr>
      <w:tr w:rsidR="00973465" w14:paraId="1FB89171"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907F74A" w14:textId="77777777" w:rsidR="00973465" w:rsidRDefault="00973465" w:rsidP="000F444B">
            <w:pPr>
              <w:tabs>
                <w:tab w:val="left" w:pos="3165"/>
              </w:tabs>
              <w:jc w:val="both"/>
              <w:rPr>
                <w:b/>
                <w:bCs/>
                <w:color w:val="000000" w:themeColor="text1"/>
              </w:rPr>
            </w:pPr>
            <w:r>
              <w:rPr>
                <w:b/>
                <w:bCs/>
                <w:color w:val="000000" w:themeColor="text1"/>
              </w:rPr>
              <w:lastRenderedPageBreak/>
              <w:t>Fallow</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1A6CCEA" w14:textId="77777777" w:rsidR="00973465" w:rsidRDefault="00973465" w:rsidP="000F444B">
            <w:pPr>
              <w:tabs>
                <w:tab w:val="left" w:pos="3165"/>
              </w:tabs>
              <w:jc w:val="center"/>
              <w:rPr>
                <w:bCs/>
                <w:color w:val="000000" w:themeColor="text1"/>
              </w:rPr>
            </w:pPr>
            <w:r>
              <w:rPr>
                <w:bCs/>
                <w:color w:val="000000" w:themeColor="text1"/>
              </w:rPr>
              <w:t>8.16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71010BD" w14:textId="77777777" w:rsidR="00973465" w:rsidRDefault="00973465" w:rsidP="000F444B">
            <w:pPr>
              <w:tabs>
                <w:tab w:val="left" w:pos="3165"/>
              </w:tabs>
              <w:jc w:val="center"/>
              <w:rPr>
                <w:bCs/>
                <w:color w:val="000000" w:themeColor="text1"/>
              </w:rPr>
            </w:pPr>
            <w:r>
              <w:rPr>
                <w:bCs/>
                <w:color w:val="000000" w:themeColor="text1"/>
              </w:rPr>
              <w:t>0.33</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E5EF36E" w14:textId="77777777" w:rsidR="00973465" w:rsidRDefault="00973465" w:rsidP="000F444B">
            <w:pPr>
              <w:tabs>
                <w:tab w:val="left" w:pos="3165"/>
              </w:tabs>
              <w:jc w:val="center"/>
              <w:rPr>
                <w:bCs/>
                <w:color w:val="000000" w:themeColor="text1"/>
              </w:rPr>
            </w:pPr>
            <w:r>
              <w:rPr>
                <w:bCs/>
                <w:color w:val="000000" w:themeColor="text1"/>
              </w:rPr>
              <w:t>0.59</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ADBBD3" w14:textId="77777777" w:rsidR="00973465" w:rsidRDefault="00973465" w:rsidP="000F444B">
            <w:pPr>
              <w:tabs>
                <w:tab w:val="left" w:pos="3165"/>
              </w:tabs>
              <w:jc w:val="center"/>
              <w:rPr>
                <w:bCs/>
                <w:color w:val="000000" w:themeColor="text1"/>
              </w:rPr>
            </w:pPr>
            <w:r>
              <w:rPr>
                <w:bCs/>
                <w:color w:val="000000" w:themeColor="text1"/>
              </w:rPr>
              <w:t>104</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30B40AD" w14:textId="77777777" w:rsidR="00973465" w:rsidRDefault="00973465" w:rsidP="000F444B">
            <w:pPr>
              <w:tabs>
                <w:tab w:val="left" w:pos="3165"/>
              </w:tabs>
              <w:jc w:val="center"/>
              <w:rPr>
                <w:bCs/>
                <w:color w:val="000000" w:themeColor="text1"/>
              </w:rPr>
            </w:pPr>
            <w:r>
              <w:rPr>
                <w:bCs/>
                <w:color w:val="000000" w:themeColor="text1"/>
              </w:rPr>
              <w:t>19.97</w:t>
            </w:r>
          </w:p>
        </w:tc>
        <w:tc>
          <w:tcPr>
            <w:tcW w:w="1092" w:type="dxa"/>
            <w:tcBorders>
              <w:top w:val="single" w:sz="4" w:space="0" w:color="000000"/>
              <w:left w:val="single" w:sz="4" w:space="0" w:color="000000"/>
              <w:bottom w:val="single" w:sz="4" w:space="0" w:color="000000"/>
              <w:right w:val="single" w:sz="4" w:space="0" w:color="000000"/>
            </w:tcBorders>
          </w:tcPr>
          <w:p w14:paraId="11BD2170" w14:textId="77777777" w:rsidR="00973465" w:rsidRDefault="00973465" w:rsidP="000F444B">
            <w:pPr>
              <w:tabs>
                <w:tab w:val="left" w:pos="3165"/>
              </w:tabs>
              <w:jc w:val="center"/>
              <w:rPr>
                <w:bCs/>
                <w:color w:val="000000" w:themeColor="text1"/>
              </w:rPr>
            </w:pPr>
            <w:r>
              <w:rPr>
                <w:bCs/>
                <w:color w:val="000000" w:themeColor="text1"/>
              </w:rPr>
              <w:t>379</w:t>
            </w:r>
          </w:p>
        </w:tc>
      </w:tr>
      <w:tr w:rsidR="00973465" w14:paraId="12773E57"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6B06808" w14:textId="77777777" w:rsidR="00973465" w:rsidRDefault="00973465" w:rsidP="000F444B">
            <w:pPr>
              <w:tabs>
                <w:tab w:val="left" w:pos="3165"/>
              </w:tabs>
              <w:jc w:val="both"/>
              <w:rPr>
                <w:b/>
                <w:bCs/>
                <w:color w:val="000000" w:themeColor="text1"/>
              </w:rPr>
            </w:pPr>
            <w:r>
              <w:rPr>
                <w:b/>
                <w:bCs/>
                <w:i/>
                <w:iCs/>
                <w:color w:val="000000" w:themeColor="text1"/>
              </w:rPr>
              <w:t>Mean</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93B56D" w14:textId="77777777" w:rsidR="00973465" w:rsidRDefault="00973465" w:rsidP="000F444B">
            <w:pPr>
              <w:tabs>
                <w:tab w:val="left" w:pos="3165"/>
              </w:tabs>
              <w:jc w:val="center"/>
              <w:rPr>
                <w:b/>
                <w:bCs/>
                <w:color w:val="000000" w:themeColor="text1"/>
              </w:rPr>
            </w:pPr>
            <w:r>
              <w:rPr>
                <w:b/>
                <w:bCs/>
                <w:i/>
                <w:iCs/>
                <w:color w:val="000000" w:themeColor="text1"/>
              </w:rPr>
              <w:t>8.00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A3EB1F" w14:textId="77777777" w:rsidR="00973465" w:rsidRDefault="00973465" w:rsidP="000F444B">
            <w:pPr>
              <w:tabs>
                <w:tab w:val="left" w:pos="3165"/>
              </w:tabs>
              <w:jc w:val="center"/>
              <w:rPr>
                <w:b/>
                <w:bCs/>
                <w:color w:val="000000" w:themeColor="text1"/>
              </w:rPr>
            </w:pPr>
            <w:r>
              <w:rPr>
                <w:b/>
                <w:bCs/>
                <w:i/>
                <w:iCs/>
                <w:color w:val="000000" w:themeColor="text1"/>
              </w:rPr>
              <w:t>0.50</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7FB38B" w14:textId="77777777" w:rsidR="00973465" w:rsidRDefault="00973465" w:rsidP="000F444B">
            <w:pPr>
              <w:tabs>
                <w:tab w:val="left" w:pos="3165"/>
              </w:tabs>
              <w:jc w:val="center"/>
              <w:rPr>
                <w:b/>
                <w:bCs/>
                <w:color w:val="000000" w:themeColor="text1"/>
              </w:rPr>
            </w:pPr>
            <w:r>
              <w:rPr>
                <w:b/>
                <w:bCs/>
                <w:i/>
                <w:iCs/>
                <w:color w:val="000000" w:themeColor="text1"/>
              </w:rPr>
              <w:t>0.80</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17A693" w14:textId="77777777" w:rsidR="00973465" w:rsidRDefault="00973465" w:rsidP="000F444B">
            <w:pPr>
              <w:tabs>
                <w:tab w:val="left" w:pos="3165"/>
              </w:tabs>
              <w:jc w:val="center"/>
              <w:rPr>
                <w:b/>
                <w:bCs/>
                <w:color w:val="000000" w:themeColor="text1"/>
              </w:rPr>
            </w:pPr>
            <w:r>
              <w:rPr>
                <w:b/>
                <w:bCs/>
                <w:i/>
                <w:iCs/>
                <w:color w:val="000000" w:themeColor="text1"/>
              </w:rPr>
              <w:t>156</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85E2F64" w14:textId="77777777" w:rsidR="00973465" w:rsidRDefault="00973465" w:rsidP="000F444B">
            <w:pPr>
              <w:tabs>
                <w:tab w:val="left" w:pos="3165"/>
              </w:tabs>
              <w:jc w:val="center"/>
              <w:rPr>
                <w:b/>
                <w:bCs/>
                <w:color w:val="000000" w:themeColor="text1"/>
              </w:rPr>
            </w:pPr>
            <w:r>
              <w:rPr>
                <w:b/>
                <w:bCs/>
                <w:i/>
                <w:iCs/>
                <w:color w:val="000000" w:themeColor="text1"/>
              </w:rPr>
              <w:t>25.08</w:t>
            </w:r>
          </w:p>
        </w:tc>
        <w:tc>
          <w:tcPr>
            <w:tcW w:w="1092" w:type="dxa"/>
            <w:tcBorders>
              <w:top w:val="single" w:sz="4" w:space="0" w:color="000000"/>
              <w:left w:val="single" w:sz="4" w:space="0" w:color="000000"/>
              <w:bottom w:val="single" w:sz="4" w:space="0" w:color="000000"/>
              <w:right w:val="single" w:sz="4" w:space="0" w:color="000000"/>
            </w:tcBorders>
          </w:tcPr>
          <w:p w14:paraId="304CEEF0" w14:textId="77777777" w:rsidR="00973465" w:rsidRDefault="00973465" w:rsidP="000F444B">
            <w:pPr>
              <w:tabs>
                <w:tab w:val="left" w:pos="3165"/>
              </w:tabs>
              <w:jc w:val="center"/>
              <w:rPr>
                <w:b/>
                <w:bCs/>
                <w:i/>
                <w:iCs/>
                <w:color w:val="000000" w:themeColor="text1"/>
              </w:rPr>
            </w:pPr>
            <w:r>
              <w:rPr>
                <w:b/>
                <w:bCs/>
                <w:i/>
                <w:iCs/>
                <w:color w:val="000000" w:themeColor="text1"/>
              </w:rPr>
              <w:t>361</w:t>
            </w:r>
          </w:p>
        </w:tc>
      </w:tr>
      <w:tr w:rsidR="00973465" w14:paraId="2F533748"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39F3838" w14:textId="77777777" w:rsidR="00973465" w:rsidRDefault="00973465" w:rsidP="000F444B">
            <w:pPr>
              <w:tabs>
                <w:tab w:val="left" w:pos="3165"/>
              </w:tabs>
              <w:jc w:val="both"/>
              <w:rPr>
                <w:b/>
                <w:bCs/>
                <w:color w:val="000000" w:themeColor="text1"/>
              </w:rPr>
            </w:pPr>
            <w:proofErr w:type="spellStart"/>
            <w:r>
              <w:rPr>
                <w:b/>
                <w:bCs/>
                <w:color w:val="000000" w:themeColor="text1"/>
              </w:rPr>
              <w:t>SEm</w:t>
            </w:r>
            <w:proofErr w:type="spellEnd"/>
            <w:r>
              <w:rPr>
                <w:b/>
                <w:bCs/>
                <w:color w:val="000000" w:themeColor="text1"/>
              </w:rPr>
              <w:t>±</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3C810E" w14:textId="77777777" w:rsidR="00973465" w:rsidRDefault="00973465" w:rsidP="000F444B">
            <w:pPr>
              <w:tabs>
                <w:tab w:val="left" w:pos="3165"/>
              </w:tabs>
              <w:jc w:val="center"/>
              <w:rPr>
                <w:bCs/>
                <w:color w:val="000000" w:themeColor="text1"/>
              </w:rPr>
            </w:pPr>
            <w:r>
              <w:rPr>
                <w:bCs/>
                <w:color w:val="000000" w:themeColor="text1"/>
              </w:rPr>
              <w:t>0.06</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22FBF37" w14:textId="77777777" w:rsidR="00973465" w:rsidRDefault="00973465" w:rsidP="000F444B">
            <w:pPr>
              <w:tabs>
                <w:tab w:val="left" w:pos="3165"/>
              </w:tabs>
              <w:jc w:val="center"/>
              <w:rPr>
                <w:bCs/>
                <w:color w:val="000000" w:themeColor="text1"/>
              </w:rPr>
            </w:pPr>
            <w:r>
              <w:rPr>
                <w:bCs/>
                <w:color w:val="000000" w:themeColor="text1"/>
              </w:rPr>
              <w:t>0.06</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C7859C" w14:textId="77777777" w:rsidR="00973465" w:rsidRDefault="00973465" w:rsidP="000F444B">
            <w:pPr>
              <w:tabs>
                <w:tab w:val="left" w:pos="3165"/>
              </w:tabs>
              <w:jc w:val="center"/>
              <w:rPr>
                <w:bCs/>
                <w:color w:val="000000" w:themeColor="text1"/>
              </w:rPr>
            </w:pPr>
            <w:r>
              <w:rPr>
                <w:bCs/>
                <w:color w:val="000000" w:themeColor="text1"/>
              </w:rPr>
              <w:t>0.04</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5D8956" w14:textId="77777777" w:rsidR="00973465" w:rsidRDefault="00973465" w:rsidP="000F444B">
            <w:pPr>
              <w:tabs>
                <w:tab w:val="left" w:pos="3165"/>
              </w:tabs>
              <w:jc w:val="center"/>
              <w:rPr>
                <w:bCs/>
                <w:color w:val="000000" w:themeColor="text1"/>
              </w:rPr>
            </w:pPr>
            <w:r>
              <w:rPr>
                <w:bCs/>
                <w:color w:val="000000" w:themeColor="text1"/>
              </w:rPr>
              <w:t>9.85</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6A9604" w14:textId="77777777" w:rsidR="00973465" w:rsidRDefault="00973465" w:rsidP="000F444B">
            <w:pPr>
              <w:tabs>
                <w:tab w:val="left" w:pos="3165"/>
              </w:tabs>
              <w:jc w:val="center"/>
              <w:rPr>
                <w:bCs/>
                <w:color w:val="000000" w:themeColor="text1"/>
              </w:rPr>
            </w:pPr>
            <w:r>
              <w:rPr>
                <w:bCs/>
                <w:color w:val="000000" w:themeColor="text1"/>
              </w:rPr>
              <w:t>2.03</w:t>
            </w:r>
          </w:p>
        </w:tc>
        <w:tc>
          <w:tcPr>
            <w:tcW w:w="1092" w:type="dxa"/>
            <w:tcBorders>
              <w:top w:val="single" w:sz="4" w:space="0" w:color="000000"/>
              <w:left w:val="single" w:sz="4" w:space="0" w:color="000000"/>
              <w:bottom w:val="single" w:sz="4" w:space="0" w:color="000000"/>
              <w:right w:val="single" w:sz="4" w:space="0" w:color="000000"/>
            </w:tcBorders>
          </w:tcPr>
          <w:p w14:paraId="4C09CEE6" w14:textId="77777777" w:rsidR="00973465" w:rsidRDefault="00973465" w:rsidP="000F444B">
            <w:pPr>
              <w:tabs>
                <w:tab w:val="left" w:pos="3165"/>
              </w:tabs>
              <w:jc w:val="center"/>
              <w:rPr>
                <w:bCs/>
                <w:color w:val="000000" w:themeColor="text1"/>
              </w:rPr>
            </w:pPr>
            <w:r>
              <w:rPr>
                <w:bCs/>
                <w:color w:val="000000" w:themeColor="text1"/>
              </w:rPr>
              <w:t>20.16</w:t>
            </w:r>
          </w:p>
        </w:tc>
      </w:tr>
      <w:tr w:rsidR="00973465" w14:paraId="749F1015" w14:textId="77777777" w:rsidTr="000F444B">
        <w:trPr>
          <w:trHeight w:val="264"/>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7C83F3" w14:textId="77777777" w:rsidR="00973465" w:rsidRDefault="00973465" w:rsidP="000F444B">
            <w:pPr>
              <w:tabs>
                <w:tab w:val="left" w:pos="3165"/>
              </w:tabs>
              <w:rPr>
                <w:b/>
                <w:bCs/>
                <w:color w:val="000000" w:themeColor="text1"/>
              </w:rPr>
            </w:pPr>
            <w:r>
              <w:rPr>
                <w:b/>
                <w:bCs/>
                <w:color w:val="000000" w:themeColor="text1"/>
              </w:rPr>
              <w:t>CD (0.05)</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DEBD00" w14:textId="77777777" w:rsidR="00973465" w:rsidRDefault="00973465" w:rsidP="000F444B">
            <w:pPr>
              <w:tabs>
                <w:tab w:val="left" w:pos="3165"/>
              </w:tabs>
              <w:jc w:val="center"/>
              <w:rPr>
                <w:bCs/>
                <w:color w:val="000000" w:themeColor="text1"/>
              </w:rPr>
            </w:pPr>
            <w:r>
              <w:rPr>
                <w:bCs/>
                <w:color w:val="000000" w:themeColor="text1"/>
              </w:rPr>
              <w:t>0.18</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055390" w14:textId="77777777" w:rsidR="00973465" w:rsidRDefault="00973465" w:rsidP="000F444B">
            <w:pPr>
              <w:tabs>
                <w:tab w:val="left" w:pos="3165"/>
              </w:tabs>
              <w:jc w:val="center"/>
              <w:rPr>
                <w:bCs/>
                <w:color w:val="000000" w:themeColor="text1"/>
              </w:rPr>
            </w:pPr>
            <w:r>
              <w:rPr>
                <w:bCs/>
                <w:color w:val="000000" w:themeColor="text1"/>
              </w:rPr>
              <w:t>0.17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C637562" w14:textId="77777777" w:rsidR="00973465" w:rsidRDefault="00973465" w:rsidP="000F444B">
            <w:pPr>
              <w:tabs>
                <w:tab w:val="left" w:pos="3165"/>
              </w:tabs>
              <w:jc w:val="center"/>
              <w:rPr>
                <w:bCs/>
                <w:color w:val="000000" w:themeColor="text1"/>
              </w:rPr>
            </w:pPr>
            <w:r>
              <w:rPr>
                <w:bCs/>
                <w:color w:val="000000" w:themeColor="text1"/>
              </w:rPr>
              <w:t>0.12</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E9B01AD" w14:textId="77777777" w:rsidR="00973465" w:rsidRDefault="00973465" w:rsidP="000F444B">
            <w:pPr>
              <w:tabs>
                <w:tab w:val="left" w:pos="3165"/>
              </w:tabs>
              <w:jc w:val="center"/>
              <w:rPr>
                <w:bCs/>
                <w:color w:val="000000" w:themeColor="text1"/>
              </w:rPr>
            </w:pPr>
            <w:r>
              <w:rPr>
                <w:bCs/>
                <w:color w:val="000000" w:themeColor="text1"/>
              </w:rPr>
              <w:t>28.34</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B9C11DB" w14:textId="77777777" w:rsidR="00973465" w:rsidRDefault="00973465" w:rsidP="000F444B">
            <w:pPr>
              <w:tabs>
                <w:tab w:val="left" w:pos="3165"/>
              </w:tabs>
              <w:jc w:val="center"/>
              <w:rPr>
                <w:bCs/>
                <w:color w:val="000000" w:themeColor="text1"/>
              </w:rPr>
            </w:pPr>
            <w:r>
              <w:rPr>
                <w:bCs/>
                <w:color w:val="000000" w:themeColor="text1"/>
              </w:rPr>
              <w:t>5.85</w:t>
            </w:r>
          </w:p>
        </w:tc>
        <w:tc>
          <w:tcPr>
            <w:tcW w:w="1092" w:type="dxa"/>
            <w:tcBorders>
              <w:top w:val="single" w:sz="4" w:space="0" w:color="000000"/>
              <w:left w:val="single" w:sz="4" w:space="0" w:color="000000"/>
              <w:bottom w:val="single" w:sz="4" w:space="0" w:color="000000"/>
              <w:right w:val="single" w:sz="4" w:space="0" w:color="000000"/>
            </w:tcBorders>
          </w:tcPr>
          <w:p w14:paraId="6D65C763" w14:textId="77777777" w:rsidR="00973465" w:rsidRDefault="00973465" w:rsidP="000F444B">
            <w:pPr>
              <w:tabs>
                <w:tab w:val="left" w:pos="3165"/>
              </w:tabs>
              <w:jc w:val="center"/>
              <w:rPr>
                <w:bCs/>
                <w:color w:val="000000" w:themeColor="text1"/>
              </w:rPr>
            </w:pPr>
            <w:r>
              <w:rPr>
                <w:bCs/>
                <w:color w:val="000000" w:themeColor="text1"/>
              </w:rPr>
              <w:t>58.00</w:t>
            </w:r>
          </w:p>
        </w:tc>
      </w:tr>
      <w:tr w:rsidR="00973465" w14:paraId="5A75ABA3" w14:textId="77777777" w:rsidTr="000F444B">
        <w:trPr>
          <w:trHeight w:val="273"/>
        </w:trPr>
        <w:tc>
          <w:tcPr>
            <w:tcW w:w="21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38DDDB" w14:textId="77777777" w:rsidR="00973465" w:rsidRDefault="00973465" w:rsidP="000F444B">
            <w:pPr>
              <w:tabs>
                <w:tab w:val="left" w:pos="3165"/>
              </w:tabs>
              <w:rPr>
                <w:b/>
                <w:bCs/>
                <w:color w:val="000000" w:themeColor="text1"/>
              </w:rPr>
            </w:pPr>
            <w:r>
              <w:rPr>
                <w:b/>
                <w:bCs/>
                <w:color w:val="000000" w:themeColor="text1"/>
              </w:rPr>
              <w:t>Initial</w:t>
            </w:r>
          </w:p>
        </w:tc>
        <w:tc>
          <w:tcPr>
            <w:tcW w:w="11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1A3E783" w14:textId="77777777" w:rsidR="00973465" w:rsidRDefault="00973465" w:rsidP="000F444B">
            <w:pPr>
              <w:tabs>
                <w:tab w:val="left" w:pos="3165"/>
              </w:tabs>
              <w:jc w:val="center"/>
              <w:rPr>
                <w:bCs/>
                <w:color w:val="000000" w:themeColor="text1"/>
              </w:rPr>
            </w:pPr>
            <w:r>
              <w:rPr>
                <w:bCs/>
                <w:color w:val="000000" w:themeColor="text1"/>
              </w:rPr>
              <w:t>8.22</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F554F8" w14:textId="77777777" w:rsidR="00973465" w:rsidRDefault="00973465" w:rsidP="000F444B">
            <w:pPr>
              <w:tabs>
                <w:tab w:val="left" w:pos="3165"/>
              </w:tabs>
              <w:jc w:val="center"/>
              <w:rPr>
                <w:bCs/>
                <w:color w:val="000000" w:themeColor="text1"/>
              </w:rPr>
            </w:pPr>
            <w:r>
              <w:rPr>
                <w:bCs/>
                <w:color w:val="000000" w:themeColor="text1"/>
              </w:rPr>
              <w:t>0.47</w:t>
            </w:r>
          </w:p>
        </w:tc>
        <w:tc>
          <w:tcPr>
            <w:tcW w:w="115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9C999C4" w14:textId="77777777" w:rsidR="00973465" w:rsidRDefault="00973465" w:rsidP="000F444B">
            <w:pPr>
              <w:tabs>
                <w:tab w:val="left" w:pos="3165"/>
              </w:tabs>
              <w:jc w:val="center"/>
              <w:rPr>
                <w:bCs/>
                <w:color w:val="000000" w:themeColor="text1"/>
              </w:rPr>
            </w:pPr>
            <w:r>
              <w:rPr>
                <w:bCs/>
                <w:color w:val="000000" w:themeColor="text1"/>
              </w:rPr>
              <w:t>0.79</w:t>
            </w:r>
          </w:p>
        </w:tc>
        <w:tc>
          <w:tcPr>
            <w:tcW w:w="105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1CCEB8" w14:textId="77777777" w:rsidR="00973465" w:rsidRDefault="00973465" w:rsidP="000F444B">
            <w:pPr>
              <w:tabs>
                <w:tab w:val="left" w:pos="3165"/>
              </w:tabs>
              <w:jc w:val="center"/>
              <w:rPr>
                <w:bCs/>
                <w:color w:val="000000" w:themeColor="text1"/>
              </w:rPr>
            </w:pPr>
            <w:r>
              <w:rPr>
                <w:bCs/>
                <w:color w:val="000000" w:themeColor="text1"/>
              </w:rPr>
              <w:t>108</w:t>
            </w:r>
          </w:p>
        </w:tc>
        <w:tc>
          <w:tcPr>
            <w:tcW w:w="13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A332C82" w14:textId="77777777" w:rsidR="00973465" w:rsidRDefault="00973465" w:rsidP="000F444B">
            <w:pPr>
              <w:tabs>
                <w:tab w:val="left" w:pos="3165"/>
              </w:tabs>
              <w:jc w:val="center"/>
              <w:rPr>
                <w:bCs/>
                <w:color w:val="000000" w:themeColor="text1"/>
              </w:rPr>
            </w:pPr>
            <w:r>
              <w:rPr>
                <w:bCs/>
                <w:color w:val="000000" w:themeColor="text1"/>
              </w:rPr>
              <w:t>19.3</w:t>
            </w:r>
          </w:p>
        </w:tc>
        <w:tc>
          <w:tcPr>
            <w:tcW w:w="1092" w:type="dxa"/>
            <w:tcBorders>
              <w:top w:val="single" w:sz="4" w:space="0" w:color="000000"/>
              <w:left w:val="single" w:sz="4" w:space="0" w:color="000000"/>
              <w:bottom w:val="single" w:sz="4" w:space="0" w:color="000000"/>
              <w:right w:val="single" w:sz="4" w:space="0" w:color="000000"/>
            </w:tcBorders>
          </w:tcPr>
          <w:p w14:paraId="683F2B86" w14:textId="77777777" w:rsidR="00973465" w:rsidRDefault="00973465" w:rsidP="000F444B">
            <w:pPr>
              <w:tabs>
                <w:tab w:val="left" w:pos="3165"/>
              </w:tabs>
              <w:jc w:val="center"/>
              <w:rPr>
                <w:bCs/>
                <w:color w:val="000000" w:themeColor="text1"/>
              </w:rPr>
            </w:pPr>
            <w:r>
              <w:rPr>
                <w:bCs/>
                <w:color w:val="000000" w:themeColor="text1"/>
              </w:rPr>
              <w:t>364</w:t>
            </w:r>
          </w:p>
        </w:tc>
      </w:tr>
    </w:tbl>
    <w:p w14:paraId="267A5E4E" w14:textId="77777777" w:rsidR="00D42469" w:rsidRDefault="00D42469" w:rsidP="00973465">
      <w:pPr>
        <w:spacing w:line="360" w:lineRule="auto"/>
        <w:jc w:val="both"/>
        <w:rPr>
          <w:b/>
          <w:bCs/>
        </w:rPr>
      </w:pPr>
    </w:p>
    <w:p w14:paraId="6F4684FF" w14:textId="77FE755E" w:rsidR="00973465" w:rsidRDefault="00973465" w:rsidP="00973465">
      <w:pPr>
        <w:spacing w:line="360" w:lineRule="auto"/>
        <w:jc w:val="both"/>
        <w:rPr>
          <w:b/>
          <w:bCs/>
        </w:rPr>
      </w:pPr>
      <w:r>
        <w:rPr>
          <w:b/>
          <w:bCs/>
        </w:rPr>
        <w:t>Table 5. Effect of 19 years of long</w:t>
      </w:r>
      <w:r w:rsidR="00D42469">
        <w:rPr>
          <w:b/>
          <w:bCs/>
        </w:rPr>
        <w:t>-</w:t>
      </w:r>
      <w:r>
        <w:rPr>
          <w:b/>
          <w:bCs/>
        </w:rPr>
        <w:t xml:space="preserve">term fertilizer and manure application on soil micronutrients during </w:t>
      </w:r>
      <w:r>
        <w:rPr>
          <w:b/>
          <w:bCs/>
          <w:i/>
        </w:rPr>
        <w:t>Rabi</w:t>
      </w:r>
      <w:r>
        <w:rPr>
          <w:b/>
          <w:bCs/>
        </w:rPr>
        <w:t>, 2019-20.</w:t>
      </w:r>
    </w:p>
    <w:tbl>
      <w:tblPr>
        <w:tblW w:w="5000" w:type="pct"/>
        <w:tblCellMar>
          <w:left w:w="0" w:type="dxa"/>
          <w:right w:w="0" w:type="dxa"/>
        </w:tblCellMar>
        <w:tblLook w:val="04A0" w:firstRow="1" w:lastRow="0" w:firstColumn="1" w:lastColumn="0" w:noHBand="0" w:noVBand="1"/>
      </w:tblPr>
      <w:tblGrid>
        <w:gridCol w:w="2933"/>
        <w:gridCol w:w="1571"/>
        <w:gridCol w:w="1450"/>
        <w:gridCol w:w="1582"/>
        <w:gridCol w:w="1502"/>
      </w:tblGrid>
      <w:tr w:rsidR="00973465" w14:paraId="435409D7" w14:textId="77777777" w:rsidTr="00D42469">
        <w:trPr>
          <w:trHeight w:val="279"/>
        </w:trPr>
        <w:tc>
          <w:tcPr>
            <w:tcW w:w="1623"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14:paraId="0461FF5D" w14:textId="46D3E75B" w:rsidR="00973465" w:rsidRDefault="00D42469" w:rsidP="00D42469">
            <w:pPr>
              <w:tabs>
                <w:tab w:val="left" w:pos="3165"/>
              </w:tabs>
              <w:rPr>
                <w:b/>
                <w:bCs/>
              </w:rPr>
            </w:pPr>
            <w:r>
              <w:rPr>
                <w:b/>
                <w:bCs/>
              </w:rPr>
              <w:t>Treatments</w:t>
            </w:r>
          </w:p>
        </w:tc>
        <w:tc>
          <w:tcPr>
            <w:tcW w:w="869" w:type="pc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3E8E424A" w14:textId="77777777" w:rsidR="00973465" w:rsidRDefault="00973465" w:rsidP="000F444B">
            <w:pPr>
              <w:tabs>
                <w:tab w:val="left" w:pos="3165"/>
              </w:tabs>
              <w:jc w:val="center"/>
              <w:rPr>
                <w:b/>
                <w:bCs/>
              </w:rPr>
            </w:pPr>
            <w:r>
              <w:rPr>
                <w:b/>
                <w:bCs/>
              </w:rPr>
              <w:t>Fe</w:t>
            </w:r>
          </w:p>
        </w:tc>
        <w:tc>
          <w:tcPr>
            <w:tcW w:w="802" w:type="pc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7291F0DD" w14:textId="77777777" w:rsidR="00973465" w:rsidRDefault="00973465" w:rsidP="000F444B">
            <w:pPr>
              <w:tabs>
                <w:tab w:val="left" w:pos="3165"/>
              </w:tabs>
              <w:jc w:val="center"/>
              <w:rPr>
                <w:b/>
                <w:bCs/>
              </w:rPr>
            </w:pPr>
            <w:r>
              <w:rPr>
                <w:b/>
                <w:bCs/>
              </w:rPr>
              <w:t xml:space="preserve">Mn </w:t>
            </w:r>
          </w:p>
        </w:tc>
        <w:tc>
          <w:tcPr>
            <w:tcW w:w="875" w:type="pct"/>
            <w:tcBorders>
              <w:top w:val="single" w:sz="4" w:space="0" w:color="000000"/>
              <w:left w:val="single" w:sz="4" w:space="0" w:color="000000"/>
              <w:bottom w:val="single" w:sz="4" w:space="0" w:color="auto"/>
              <w:right w:val="single" w:sz="4" w:space="0" w:color="000000"/>
            </w:tcBorders>
            <w:tcMar>
              <w:top w:w="15" w:type="dxa"/>
              <w:left w:w="15" w:type="dxa"/>
              <w:bottom w:w="0" w:type="dxa"/>
              <w:right w:w="15" w:type="dxa"/>
            </w:tcMar>
          </w:tcPr>
          <w:p w14:paraId="63D24246" w14:textId="77777777" w:rsidR="00973465" w:rsidRDefault="00973465" w:rsidP="000F444B">
            <w:pPr>
              <w:tabs>
                <w:tab w:val="left" w:pos="3165"/>
              </w:tabs>
              <w:jc w:val="center"/>
              <w:rPr>
                <w:b/>
                <w:bCs/>
              </w:rPr>
            </w:pPr>
            <w:r>
              <w:rPr>
                <w:b/>
                <w:bCs/>
              </w:rPr>
              <w:t>Cu</w:t>
            </w:r>
          </w:p>
        </w:tc>
        <w:tc>
          <w:tcPr>
            <w:tcW w:w="831" w:type="pct"/>
            <w:tcBorders>
              <w:top w:val="single" w:sz="4" w:space="0" w:color="000000"/>
              <w:left w:val="single" w:sz="4" w:space="0" w:color="000000"/>
              <w:bottom w:val="single" w:sz="4" w:space="0" w:color="auto"/>
              <w:right w:val="single" w:sz="4" w:space="0" w:color="000000"/>
            </w:tcBorders>
          </w:tcPr>
          <w:p w14:paraId="1445582A" w14:textId="77777777" w:rsidR="00973465" w:rsidRDefault="00973465" w:rsidP="000F444B">
            <w:pPr>
              <w:tabs>
                <w:tab w:val="left" w:pos="3165"/>
              </w:tabs>
              <w:jc w:val="center"/>
              <w:rPr>
                <w:b/>
                <w:bCs/>
              </w:rPr>
            </w:pPr>
            <w:r>
              <w:rPr>
                <w:b/>
                <w:bCs/>
              </w:rPr>
              <w:t>Zn</w:t>
            </w:r>
          </w:p>
        </w:tc>
      </w:tr>
      <w:tr w:rsidR="00973465" w14:paraId="358BD0FA" w14:textId="77777777" w:rsidTr="000F444B">
        <w:trPr>
          <w:trHeight w:val="276"/>
        </w:trPr>
        <w:tc>
          <w:tcPr>
            <w:tcW w:w="1623" w:type="pct"/>
            <w:vMerge/>
            <w:tcBorders>
              <w:top w:val="single" w:sz="4" w:space="0" w:color="000000"/>
              <w:left w:val="single" w:sz="4" w:space="0" w:color="000000"/>
              <w:bottom w:val="single" w:sz="4" w:space="0" w:color="000000"/>
              <w:right w:val="single" w:sz="4" w:space="0" w:color="000000"/>
            </w:tcBorders>
          </w:tcPr>
          <w:p w14:paraId="0A0A5AFF" w14:textId="77777777" w:rsidR="00973465" w:rsidRDefault="00973465" w:rsidP="000F444B">
            <w:pPr>
              <w:tabs>
                <w:tab w:val="left" w:pos="3165"/>
              </w:tabs>
              <w:jc w:val="center"/>
              <w:rPr>
                <w:b/>
                <w:bCs/>
              </w:rPr>
            </w:pPr>
          </w:p>
        </w:tc>
        <w:tc>
          <w:tcPr>
            <w:tcW w:w="3377" w:type="pct"/>
            <w:gridSpan w:val="4"/>
            <w:tcBorders>
              <w:top w:val="single" w:sz="4" w:space="0" w:color="auto"/>
              <w:left w:val="single" w:sz="4" w:space="0" w:color="000000"/>
              <w:bottom w:val="single" w:sz="4" w:space="0" w:color="000000"/>
              <w:right w:val="single" w:sz="4" w:space="0" w:color="000000"/>
            </w:tcBorders>
          </w:tcPr>
          <w:p w14:paraId="4A518C9A" w14:textId="77777777" w:rsidR="00973465" w:rsidRDefault="00973465" w:rsidP="000F444B">
            <w:pPr>
              <w:tabs>
                <w:tab w:val="left" w:pos="2517"/>
                <w:tab w:val="left" w:pos="3165"/>
              </w:tabs>
              <w:jc w:val="center"/>
              <w:rPr>
                <w:b/>
                <w:bCs/>
              </w:rPr>
            </w:pPr>
            <w:r>
              <w:rPr>
                <w:b/>
                <w:bCs/>
              </w:rPr>
              <w:t>(ppm)</w:t>
            </w:r>
          </w:p>
        </w:tc>
      </w:tr>
      <w:tr w:rsidR="00973465" w14:paraId="23A21BB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FDCE947" w14:textId="77777777" w:rsidR="00973465" w:rsidRDefault="00973465" w:rsidP="000F444B">
            <w:pPr>
              <w:tabs>
                <w:tab w:val="left" w:pos="3165"/>
              </w:tabs>
              <w:jc w:val="both"/>
              <w:rPr>
                <w:b/>
                <w:bCs/>
              </w:rPr>
            </w:pPr>
            <w:r>
              <w:rPr>
                <w:b/>
                <w:bCs/>
              </w:rPr>
              <w:t>50% NPK</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8EE1631" w14:textId="77777777" w:rsidR="00973465" w:rsidRDefault="00973465" w:rsidP="000F444B">
            <w:pPr>
              <w:jc w:val="center"/>
              <w:rPr>
                <w:color w:val="000000"/>
              </w:rPr>
            </w:pPr>
            <w:r>
              <w:rPr>
                <w:color w:val="000000"/>
              </w:rPr>
              <w:t>10.34</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0D647FF" w14:textId="77777777" w:rsidR="00973465" w:rsidRDefault="00973465" w:rsidP="000F444B">
            <w:pPr>
              <w:jc w:val="center"/>
              <w:rPr>
                <w:color w:val="000000"/>
              </w:rPr>
            </w:pPr>
            <w:r>
              <w:rPr>
                <w:color w:val="000000"/>
              </w:rPr>
              <w:t>6.87</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794AE39" w14:textId="77777777" w:rsidR="00973465" w:rsidRDefault="00973465" w:rsidP="000F444B">
            <w:pPr>
              <w:jc w:val="center"/>
              <w:rPr>
                <w:color w:val="000000"/>
              </w:rPr>
            </w:pPr>
            <w:r>
              <w:rPr>
                <w:color w:val="000000"/>
              </w:rPr>
              <w:t>1.47</w:t>
            </w:r>
          </w:p>
        </w:tc>
        <w:tc>
          <w:tcPr>
            <w:tcW w:w="831" w:type="pct"/>
            <w:tcBorders>
              <w:top w:val="single" w:sz="4" w:space="0" w:color="000000"/>
              <w:left w:val="single" w:sz="4" w:space="0" w:color="000000"/>
              <w:bottom w:val="single" w:sz="4" w:space="0" w:color="000000"/>
              <w:right w:val="single" w:sz="4" w:space="0" w:color="000000"/>
            </w:tcBorders>
            <w:vAlign w:val="bottom"/>
          </w:tcPr>
          <w:p w14:paraId="6DEC771A" w14:textId="77777777" w:rsidR="00973465" w:rsidRDefault="00973465" w:rsidP="000F444B">
            <w:pPr>
              <w:jc w:val="center"/>
              <w:rPr>
                <w:color w:val="000000"/>
              </w:rPr>
            </w:pPr>
            <w:r>
              <w:rPr>
                <w:color w:val="000000"/>
              </w:rPr>
              <w:t>1.93</w:t>
            </w:r>
          </w:p>
        </w:tc>
      </w:tr>
      <w:tr w:rsidR="00973465" w14:paraId="2C7F90E9"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D0D9A97" w14:textId="77777777" w:rsidR="00973465" w:rsidRDefault="00973465" w:rsidP="000F444B">
            <w:pPr>
              <w:tabs>
                <w:tab w:val="left" w:pos="3165"/>
              </w:tabs>
              <w:jc w:val="both"/>
              <w:rPr>
                <w:b/>
                <w:bCs/>
              </w:rPr>
            </w:pPr>
            <w:r>
              <w:rPr>
                <w:b/>
                <w:bCs/>
              </w:rPr>
              <w:t>100% NPK</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DF0504C" w14:textId="77777777" w:rsidR="00973465" w:rsidRDefault="00973465" w:rsidP="000F444B">
            <w:pPr>
              <w:jc w:val="center"/>
              <w:rPr>
                <w:color w:val="000000"/>
              </w:rPr>
            </w:pPr>
            <w:r>
              <w:rPr>
                <w:color w:val="000000"/>
              </w:rPr>
              <w:t>15.46</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7454B59" w14:textId="77777777" w:rsidR="00973465" w:rsidRDefault="00973465" w:rsidP="000F444B">
            <w:pPr>
              <w:jc w:val="center"/>
              <w:rPr>
                <w:color w:val="000000"/>
              </w:rPr>
            </w:pPr>
            <w:r>
              <w:rPr>
                <w:color w:val="000000"/>
              </w:rPr>
              <w:t>9.29</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8688A12" w14:textId="77777777" w:rsidR="00973465" w:rsidRDefault="00973465" w:rsidP="000F444B">
            <w:pPr>
              <w:jc w:val="center"/>
              <w:rPr>
                <w:color w:val="000000"/>
              </w:rPr>
            </w:pPr>
            <w:r>
              <w:rPr>
                <w:color w:val="000000"/>
              </w:rPr>
              <w:t>2.44</w:t>
            </w:r>
          </w:p>
        </w:tc>
        <w:tc>
          <w:tcPr>
            <w:tcW w:w="831" w:type="pct"/>
            <w:tcBorders>
              <w:top w:val="single" w:sz="4" w:space="0" w:color="000000"/>
              <w:left w:val="single" w:sz="4" w:space="0" w:color="000000"/>
              <w:bottom w:val="single" w:sz="4" w:space="0" w:color="000000"/>
              <w:right w:val="single" w:sz="4" w:space="0" w:color="000000"/>
            </w:tcBorders>
            <w:vAlign w:val="bottom"/>
          </w:tcPr>
          <w:p w14:paraId="1D85AE61" w14:textId="77777777" w:rsidR="00973465" w:rsidRDefault="00973465" w:rsidP="000F444B">
            <w:pPr>
              <w:jc w:val="center"/>
              <w:rPr>
                <w:color w:val="000000"/>
              </w:rPr>
            </w:pPr>
            <w:r>
              <w:rPr>
                <w:color w:val="000000"/>
              </w:rPr>
              <w:t>2.30</w:t>
            </w:r>
          </w:p>
        </w:tc>
      </w:tr>
      <w:tr w:rsidR="00973465" w14:paraId="40376A5D"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4E71409" w14:textId="77777777" w:rsidR="00973465" w:rsidRDefault="00973465" w:rsidP="000F444B">
            <w:pPr>
              <w:tabs>
                <w:tab w:val="left" w:pos="3165"/>
              </w:tabs>
              <w:jc w:val="both"/>
              <w:rPr>
                <w:b/>
                <w:bCs/>
              </w:rPr>
            </w:pPr>
            <w:r>
              <w:rPr>
                <w:b/>
                <w:bCs/>
              </w:rPr>
              <w:t>150% NPK</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FF86B7F" w14:textId="77777777" w:rsidR="00973465" w:rsidRDefault="00973465" w:rsidP="000F444B">
            <w:pPr>
              <w:jc w:val="center"/>
              <w:rPr>
                <w:color w:val="000000"/>
              </w:rPr>
            </w:pPr>
            <w:r>
              <w:rPr>
                <w:color w:val="000000"/>
              </w:rPr>
              <w:t>15.97</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840B2E4" w14:textId="77777777" w:rsidR="00973465" w:rsidRDefault="00973465" w:rsidP="000F444B">
            <w:pPr>
              <w:jc w:val="center"/>
              <w:rPr>
                <w:color w:val="000000"/>
              </w:rPr>
            </w:pPr>
            <w:r>
              <w:rPr>
                <w:color w:val="000000"/>
              </w:rPr>
              <w:t>9.44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1BA0CF" w14:textId="77777777" w:rsidR="00973465" w:rsidRDefault="00973465" w:rsidP="000F444B">
            <w:pPr>
              <w:jc w:val="center"/>
              <w:rPr>
                <w:color w:val="000000"/>
              </w:rPr>
            </w:pPr>
            <w:r>
              <w:rPr>
                <w:color w:val="000000"/>
              </w:rPr>
              <w:t>1.16</w:t>
            </w:r>
          </w:p>
        </w:tc>
        <w:tc>
          <w:tcPr>
            <w:tcW w:w="831" w:type="pct"/>
            <w:tcBorders>
              <w:top w:val="single" w:sz="4" w:space="0" w:color="auto"/>
              <w:left w:val="single" w:sz="4" w:space="0" w:color="auto"/>
              <w:bottom w:val="single" w:sz="4" w:space="0" w:color="auto"/>
              <w:right w:val="single" w:sz="4" w:space="0" w:color="auto"/>
            </w:tcBorders>
            <w:vAlign w:val="bottom"/>
          </w:tcPr>
          <w:p w14:paraId="0FF4DFB9" w14:textId="77777777" w:rsidR="00973465" w:rsidRDefault="00973465" w:rsidP="000F444B">
            <w:pPr>
              <w:jc w:val="center"/>
              <w:rPr>
                <w:color w:val="000000"/>
              </w:rPr>
            </w:pPr>
            <w:r>
              <w:rPr>
                <w:color w:val="000000"/>
              </w:rPr>
              <w:t>2.52</w:t>
            </w:r>
          </w:p>
        </w:tc>
      </w:tr>
      <w:tr w:rsidR="00973465" w14:paraId="5324D55E" w14:textId="77777777" w:rsidTr="00D42469">
        <w:trPr>
          <w:trHeight w:val="305"/>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8F8476E" w14:textId="77777777" w:rsidR="00973465" w:rsidRDefault="00973465" w:rsidP="000F444B">
            <w:pPr>
              <w:tabs>
                <w:tab w:val="left" w:pos="3165"/>
              </w:tabs>
              <w:jc w:val="both"/>
              <w:rPr>
                <w:b/>
                <w:bCs/>
              </w:rPr>
            </w:pPr>
            <w:r>
              <w:rPr>
                <w:b/>
                <w:bCs/>
              </w:rPr>
              <w:t>100% NPK + HW</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7D9120A" w14:textId="77777777" w:rsidR="00973465" w:rsidRDefault="00973465" w:rsidP="000F444B">
            <w:pPr>
              <w:jc w:val="center"/>
              <w:rPr>
                <w:color w:val="000000"/>
              </w:rPr>
            </w:pPr>
            <w:r>
              <w:rPr>
                <w:color w:val="000000"/>
              </w:rPr>
              <w:t>13.68</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D95E39F" w14:textId="77777777" w:rsidR="00973465" w:rsidRDefault="00973465" w:rsidP="000F444B">
            <w:pPr>
              <w:jc w:val="center"/>
              <w:rPr>
                <w:color w:val="000000"/>
              </w:rPr>
            </w:pPr>
            <w:r>
              <w:rPr>
                <w:color w:val="000000"/>
              </w:rPr>
              <w:t>8.99</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A4A2A5F" w14:textId="77777777" w:rsidR="00973465" w:rsidRDefault="00973465" w:rsidP="000F444B">
            <w:pPr>
              <w:jc w:val="center"/>
              <w:rPr>
                <w:color w:val="000000"/>
              </w:rPr>
            </w:pPr>
            <w:r>
              <w:rPr>
                <w:color w:val="000000"/>
              </w:rPr>
              <w:t>1.90</w:t>
            </w:r>
          </w:p>
        </w:tc>
        <w:tc>
          <w:tcPr>
            <w:tcW w:w="831" w:type="pct"/>
            <w:tcBorders>
              <w:top w:val="single" w:sz="4" w:space="0" w:color="000000"/>
              <w:left w:val="single" w:sz="4" w:space="0" w:color="000000"/>
              <w:bottom w:val="single" w:sz="4" w:space="0" w:color="000000"/>
              <w:right w:val="single" w:sz="4" w:space="0" w:color="000000"/>
            </w:tcBorders>
            <w:vAlign w:val="bottom"/>
          </w:tcPr>
          <w:p w14:paraId="4A484FA9" w14:textId="77777777" w:rsidR="00973465" w:rsidRDefault="00973465" w:rsidP="000F444B">
            <w:pPr>
              <w:jc w:val="center"/>
              <w:rPr>
                <w:color w:val="000000"/>
              </w:rPr>
            </w:pPr>
            <w:r>
              <w:rPr>
                <w:color w:val="000000"/>
              </w:rPr>
              <w:t>2.41</w:t>
            </w:r>
          </w:p>
        </w:tc>
      </w:tr>
      <w:tr w:rsidR="00973465" w14:paraId="5908D7B5"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1A6239" w14:textId="77777777" w:rsidR="00973465" w:rsidRDefault="00973465" w:rsidP="000F444B">
            <w:pPr>
              <w:tabs>
                <w:tab w:val="left" w:pos="3165"/>
              </w:tabs>
              <w:jc w:val="both"/>
              <w:rPr>
                <w:b/>
                <w:bCs/>
              </w:rPr>
            </w:pPr>
            <w:r>
              <w:rPr>
                <w:b/>
                <w:bCs/>
              </w:rPr>
              <w:t>100% NPK+Zn</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36EDD6" w14:textId="77777777" w:rsidR="00973465" w:rsidRDefault="00973465" w:rsidP="000F444B">
            <w:pPr>
              <w:jc w:val="center"/>
              <w:rPr>
                <w:color w:val="000000"/>
              </w:rPr>
            </w:pPr>
            <w:r>
              <w:rPr>
                <w:color w:val="000000"/>
              </w:rPr>
              <w:t>14.68</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4F0F60" w14:textId="77777777" w:rsidR="00973465" w:rsidRDefault="00973465" w:rsidP="000F444B">
            <w:pPr>
              <w:jc w:val="center"/>
              <w:rPr>
                <w:color w:val="000000"/>
              </w:rPr>
            </w:pPr>
            <w:r>
              <w:rPr>
                <w:color w:val="000000"/>
              </w:rPr>
              <w:t>7.12</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C0D872D" w14:textId="77777777" w:rsidR="00973465" w:rsidRDefault="00973465" w:rsidP="000F444B">
            <w:pPr>
              <w:jc w:val="center"/>
              <w:rPr>
                <w:color w:val="000000"/>
              </w:rPr>
            </w:pPr>
            <w:r>
              <w:rPr>
                <w:color w:val="000000"/>
              </w:rPr>
              <w:t>2.61</w:t>
            </w:r>
          </w:p>
        </w:tc>
        <w:tc>
          <w:tcPr>
            <w:tcW w:w="831" w:type="pct"/>
            <w:tcBorders>
              <w:top w:val="single" w:sz="4" w:space="0" w:color="000000"/>
              <w:left w:val="single" w:sz="4" w:space="0" w:color="000000"/>
              <w:bottom w:val="single" w:sz="4" w:space="0" w:color="000000"/>
              <w:right w:val="single" w:sz="4" w:space="0" w:color="000000"/>
            </w:tcBorders>
            <w:vAlign w:val="bottom"/>
          </w:tcPr>
          <w:p w14:paraId="0E07B71F" w14:textId="77777777" w:rsidR="00973465" w:rsidRDefault="00973465" w:rsidP="000F444B">
            <w:pPr>
              <w:jc w:val="center"/>
              <w:rPr>
                <w:color w:val="000000"/>
              </w:rPr>
            </w:pPr>
            <w:r>
              <w:rPr>
                <w:color w:val="000000"/>
              </w:rPr>
              <w:t>2.74</w:t>
            </w:r>
          </w:p>
        </w:tc>
      </w:tr>
      <w:tr w:rsidR="00973465" w14:paraId="22360DE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348247A" w14:textId="77777777" w:rsidR="00973465" w:rsidRDefault="00973465" w:rsidP="000F444B">
            <w:pPr>
              <w:tabs>
                <w:tab w:val="left" w:pos="3165"/>
              </w:tabs>
              <w:jc w:val="both"/>
              <w:rPr>
                <w:b/>
                <w:bCs/>
              </w:rPr>
            </w:pPr>
            <w:r>
              <w:rPr>
                <w:b/>
                <w:bCs/>
              </w:rPr>
              <w:t>100% NP</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1AC4179" w14:textId="77777777" w:rsidR="00973465" w:rsidRDefault="00973465" w:rsidP="000F444B">
            <w:pPr>
              <w:jc w:val="center"/>
              <w:rPr>
                <w:color w:val="000000"/>
              </w:rPr>
            </w:pPr>
            <w:r>
              <w:rPr>
                <w:color w:val="000000"/>
              </w:rPr>
              <w:t>14.65</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858A10B" w14:textId="77777777" w:rsidR="00973465" w:rsidRDefault="00973465" w:rsidP="000F444B">
            <w:pPr>
              <w:jc w:val="center"/>
              <w:rPr>
                <w:color w:val="000000"/>
              </w:rPr>
            </w:pPr>
            <w:r>
              <w:rPr>
                <w:color w:val="000000"/>
              </w:rPr>
              <w:t>8.54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26CD8E" w14:textId="77777777" w:rsidR="00973465" w:rsidRDefault="00973465" w:rsidP="000F444B">
            <w:pPr>
              <w:jc w:val="center"/>
              <w:rPr>
                <w:color w:val="000000"/>
              </w:rPr>
            </w:pPr>
            <w:r>
              <w:rPr>
                <w:color w:val="000000"/>
              </w:rPr>
              <w:t>2.76</w:t>
            </w:r>
          </w:p>
        </w:tc>
        <w:tc>
          <w:tcPr>
            <w:tcW w:w="831" w:type="pct"/>
            <w:tcBorders>
              <w:top w:val="single" w:sz="4" w:space="0" w:color="000000"/>
              <w:left w:val="single" w:sz="4" w:space="0" w:color="000000"/>
              <w:bottom w:val="single" w:sz="4" w:space="0" w:color="000000"/>
              <w:right w:val="single" w:sz="4" w:space="0" w:color="000000"/>
            </w:tcBorders>
            <w:vAlign w:val="bottom"/>
          </w:tcPr>
          <w:p w14:paraId="2AA8A105" w14:textId="77777777" w:rsidR="00973465" w:rsidRDefault="00973465" w:rsidP="000F444B">
            <w:pPr>
              <w:jc w:val="center"/>
              <w:rPr>
                <w:color w:val="000000"/>
              </w:rPr>
            </w:pPr>
            <w:r>
              <w:rPr>
                <w:color w:val="000000"/>
              </w:rPr>
              <w:t>2.11</w:t>
            </w:r>
          </w:p>
        </w:tc>
      </w:tr>
      <w:tr w:rsidR="00973465" w14:paraId="5A4FEC9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EBFABD6" w14:textId="77777777" w:rsidR="00973465" w:rsidRDefault="00973465" w:rsidP="000F444B">
            <w:pPr>
              <w:tabs>
                <w:tab w:val="left" w:pos="3165"/>
              </w:tabs>
              <w:jc w:val="both"/>
              <w:rPr>
                <w:b/>
                <w:bCs/>
              </w:rPr>
            </w:pPr>
            <w:r>
              <w:rPr>
                <w:b/>
                <w:bCs/>
              </w:rPr>
              <w:t>100% N</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2FF992" w14:textId="77777777" w:rsidR="00973465" w:rsidRDefault="00973465" w:rsidP="000F444B">
            <w:pPr>
              <w:jc w:val="center"/>
              <w:rPr>
                <w:color w:val="000000"/>
              </w:rPr>
            </w:pPr>
            <w:r>
              <w:rPr>
                <w:color w:val="000000"/>
              </w:rPr>
              <w:t>7.04</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D864528" w14:textId="77777777" w:rsidR="00973465" w:rsidRDefault="00973465" w:rsidP="000F444B">
            <w:pPr>
              <w:jc w:val="center"/>
              <w:rPr>
                <w:color w:val="000000"/>
              </w:rPr>
            </w:pPr>
            <w:r>
              <w:rPr>
                <w:color w:val="000000"/>
              </w:rPr>
              <w:t>4.73</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317F7AF" w14:textId="77777777" w:rsidR="00973465" w:rsidRDefault="00973465" w:rsidP="000F444B">
            <w:pPr>
              <w:jc w:val="center"/>
              <w:rPr>
                <w:color w:val="000000"/>
              </w:rPr>
            </w:pPr>
            <w:r>
              <w:rPr>
                <w:color w:val="000000"/>
              </w:rPr>
              <w:t>2.07</w:t>
            </w:r>
          </w:p>
        </w:tc>
        <w:tc>
          <w:tcPr>
            <w:tcW w:w="831" w:type="pct"/>
            <w:tcBorders>
              <w:top w:val="single" w:sz="4" w:space="0" w:color="000000"/>
              <w:left w:val="single" w:sz="4" w:space="0" w:color="000000"/>
              <w:bottom w:val="single" w:sz="4" w:space="0" w:color="000000"/>
              <w:right w:val="single" w:sz="4" w:space="0" w:color="000000"/>
            </w:tcBorders>
            <w:vAlign w:val="bottom"/>
          </w:tcPr>
          <w:p w14:paraId="3985BA7C" w14:textId="77777777" w:rsidR="00973465" w:rsidRDefault="00973465" w:rsidP="000F444B">
            <w:pPr>
              <w:jc w:val="center"/>
              <w:rPr>
                <w:color w:val="000000"/>
              </w:rPr>
            </w:pPr>
            <w:r>
              <w:rPr>
                <w:color w:val="000000"/>
              </w:rPr>
              <w:t>0.95</w:t>
            </w:r>
          </w:p>
        </w:tc>
      </w:tr>
      <w:tr w:rsidR="00973465" w14:paraId="0D53248F" w14:textId="77777777" w:rsidTr="00D42469">
        <w:trPr>
          <w:trHeight w:val="305"/>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733D92F" w14:textId="77777777" w:rsidR="00973465" w:rsidRDefault="00973465" w:rsidP="000F444B">
            <w:pPr>
              <w:tabs>
                <w:tab w:val="left" w:pos="3165"/>
              </w:tabs>
              <w:jc w:val="both"/>
              <w:rPr>
                <w:b/>
                <w:bCs/>
              </w:rPr>
            </w:pPr>
            <w:r>
              <w:rPr>
                <w:b/>
                <w:bCs/>
              </w:rPr>
              <w:t>100% NPK+FYM</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B1FBDBC" w14:textId="77777777" w:rsidR="00973465" w:rsidRDefault="00973465" w:rsidP="000F444B">
            <w:pPr>
              <w:jc w:val="center"/>
              <w:rPr>
                <w:color w:val="000000"/>
              </w:rPr>
            </w:pPr>
            <w:r>
              <w:rPr>
                <w:color w:val="000000"/>
              </w:rPr>
              <w:t>18.80</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BBEB115" w14:textId="77777777" w:rsidR="00973465" w:rsidRDefault="00973465" w:rsidP="000F444B">
            <w:pPr>
              <w:jc w:val="center"/>
              <w:rPr>
                <w:color w:val="000000"/>
              </w:rPr>
            </w:pPr>
            <w:r>
              <w:rPr>
                <w:color w:val="000000"/>
              </w:rPr>
              <w:t>9.54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D9C6006" w14:textId="77777777" w:rsidR="00973465" w:rsidRDefault="00973465" w:rsidP="000F444B">
            <w:pPr>
              <w:jc w:val="center"/>
              <w:rPr>
                <w:color w:val="000000"/>
              </w:rPr>
            </w:pPr>
            <w:r>
              <w:rPr>
                <w:color w:val="000000"/>
              </w:rPr>
              <w:t>2.61</w:t>
            </w:r>
          </w:p>
        </w:tc>
        <w:tc>
          <w:tcPr>
            <w:tcW w:w="831" w:type="pct"/>
            <w:tcBorders>
              <w:top w:val="single" w:sz="4" w:space="0" w:color="000000"/>
              <w:left w:val="single" w:sz="4" w:space="0" w:color="000000"/>
              <w:bottom w:val="single" w:sz="4" w:space="0" w:color="000000"/>
              <w:right w:val="single" w:sz="4" w:space="0" w:color="000000"/>
            </w:tcBorders>
            <w:vAlign w:val="bottom"/>
          </w:tcPr>
          <w:p w14:paraId="531CA783" w14:textId="77777777" w:rsidR="00973465" w:rsidRDefault="00973465" w:rsidP="000F444B">
            <w:pPr>
              <w:jc w:val="center"/>
              <w:rPr>
                <w:color w:val="000000"/>
              </w:rPr>
            </w:pPr>
            <w:r>
              <w:rPr>
                <w:color w:val="000000"/>
              </w:rPr>
              <w:t>2.58</w:t>
            </w:r>
          </w:p>
        </w:tc>
      </w:tr>
      <w:tr w:rsidR="00973465" w14:paraId="224A6521"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9AE3EDE" w14:textId="77777777" w:rsidR="00973465" w:rsidRDefault="00973465" w:rsidP="000F444B">
            <w:pPr>
              <w:tabs>
                <w:tab w:val="left" w:pos="3165"/>
              </w:tabs>
              <w:jc w:val="both"/>
              <w:rPr>
                <w:b/>
                <w:bCs/>
              </w:rPr>
            </w:pPr>
            <w:r>
              <w:rPr>
                <w:b/>
                <w:bCs/>
              </w:rPr>
              <w:t>100% NPK-S</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CAE97FA" w14:textId="77777777" w:rsidR="00973465" w:rsidRDefault="00973465" w:rsidP="000F444B">
            <w:pPr>
              <w:jc w:val="center"/>
              <w:rPr>
                <w:color w:val="000000"/>
              </w:rPr>
            </w:pPr>
            <w:r>
              <w:rPr>
                <w:color w:val="000000"/>
              </w:rPr>
              <w:t>14.99</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10916AF" w14:textId="77777777" w:rsidR="00973465" w:rsidRDefault="00973465" w:rsidP="000F444B">
            <w:pPr>
              <w:jc w:val="center"/>
              <w:rPr>
                <w:color w:val="000000"/>
              </w:rPr>
            </w:pPr>
            <w:r>
              <w:rPr>
                <w:color w:val="000000"/>
              </w:rPr>
              <w:t>7.90</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4B7E848" w14:textId="77777777" w:rsidR="00973465" w:rsidRDefault="00973465" w:rsidP="000F444B">
            <w:pPr>
              <w:jc w:val="center"/>
              <w:rPr>
                <w:color w:val="000000"/>
              </w:rPr>
            </w:pPr>
            <w:r>
              <w:rPr>
                <w:color w:val="000000"/>
              </w:rPr>
              <w:t>2.38</w:t>
            </w:r>
          </w:p>
        </w:tc>
        <w:tc>
          <w:tcPr>
            <w:tcW w:w="831" w:type="pct"/>
            <w:tcBorders>
              <w:top w:val="single" w:sz="4" w:space="0" w:color="000000"/>
              <w:left w:val="single" w:sz="4" w:space="0" w:color="000000"/>
              <w:bottom w:val="single" w:sz="4" w:space="0" w:color="000000"/>
              <w:right w:val="single" w:sz="4" w:space="0" w:color="000000"/>
            </w:tcBorders>
            <w:vAlign w:val="bottom"/>
          </w:tcPr>
          <w:p w14:paraId="3E56C82E" w14:textId="77777777" w:rsidR="00973465" w:rsidRDefault="00973465" w:rsidP="000F444B">
            <w:pPr>
              <w:jc w:val="center"/>
              <w:rPr>
                <w:color w:val="000000"/>
              </w:rPr>
            </w:pPr>
            <w:r>
              <w:rPr>
                <w:color w:val="000000"/>
              </w:rPr>
              <w:t>2.22</w:t>
            </w:r>
          </w:p>
        </w:tc>
      </w:tr>
      <w:tr w:rsidR="00973465" w14:paraId="79205914"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16635B" w14:textId="77777777" w:rsidR="00973465" w:rsidRDefault="00973465" w:rsidP="000F444B">
            <w:pPr>
              <w:tabs>
                <w:tab w:val="left" w:pos="3165"/>
              </w:tabs>
              <w:jc w:val="both"/>
              <w:rPr>
                <w:b/>
                <w:bCs/>
              </w:rPr>
            </w:pPr>
            <w:r>
              <w:rPr>
                <w:b/>
                <w:bCs/>
              </w:rPr>
              <w:t>100% FYM</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4EE4EA9" w14:textId="77777777" w:rsidR="00973465" w:rsidRDefault="00973465" w:rsidP="000F444B">
            <w:pPr>
              <w:jc w:val="center"/>
              <w:rPr>
                <w:color w:val="000000"/>
              </w:rPr>
            </w:pPr>
            <w:r>
              <w:rPr>
                <w:color w:val="000000"/>
              </w:rPr>
              <w:t>9.26</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54C7081" w14:textId="77777777" w:rsidR="00973465" w:rsidRDefault="00973465" w:rsidP="000F444B">
            <w:pPr>
              <w:jc w:val="center"/>
              <w:rPr>
                <w:color w:val="000000"/>
              </w:rPr>
            </w:pPr>
            <w:r>
              <w:rPr>
                <w:color w:val="000000"/>
              </w:rPr>
              <w:t>6.84</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084C6CC" w14:textId="77777777" w:rsidR="00973465" w:rsidRDefault="00973465" w:rsidP="000F444B">
            <w:pPr>
              <w:jc w:val="center"/>
              <w:rPr>
                <w:color w:val="000000"/>
              </w:rPr>
            </w:pPr>
            <w:r>
              <w:rPr>
                <w:color w:val="000000"/>
              </w:rPr>
              <w:t>2.30</w:t>
            </w:r>
          </w:p>
        </w:tc>
        <w:tc>
          <w:tcPr>
            <w:tcW w:w="831" w:type="pct"/>
            <w:tcBorders>
              <w:top w:val="single" w:sz="4" w:space="0" w:color="000000"/>
              <w:left w:val="single" w:sz="4" w:space="0" w:color="000000"/>
              <w:bottom w:val="single" w:sz="4" w:space="0" w:color="000000"/>
              <w:right w:val="single" w:sz="4" w:space="0" w:color="000000"/>
            </w:tcBorders>
            <w:vAlign w:val="bottom"/>
          </w:tcPr>
          <w:p w14:paraId="60CB7A51" w14:textId="77777777" w:rsidR="00973465" w:rsidRDefault="00973465" w:rsidP="000F444B">
            <w:pPr>
              <w:jc w:val="center"/>
              <w:rPr>
                <w:color w:val="000000"/>
              </w:rPr>
            </w:pPr>
            <w:r>
              <w:rPr>
                <w:color w:val="000000"/>
              </w:rPr>
              <w:t>2.20</w:t>
            </w:r>
          </w:p>
        </w:tc>
      </w:tr>
      <w:tr w:rsidR="00973465" w14:paraId="20F5317E"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906446E" w14:textId="77777777" w:rsidR="00973465" w:rsidRDefault="00973465" w:rsidP="000F444B">
            <w:pPr>
              <w:tabs>
                <w:tab w:val="left" w:pos="3165"/>
              </w:tabs>
              <w:jc w:val="both"/>
              <w:rPr>
                <w:b/>
                <w:bCs/>
              </w:rPr>
            </w:pPr>
            <w:r>
              <w:rPr>
                <w:b/>
                <w:bCs/>
              </w:rPr>
              <w:t>Control</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07C2D04" w14:textId="77777777" w:rsidR="00973465" w:rsidRDefault="00973465" w:rsidP="000F444B">
            <w:pPr>
              <w:jc w:val="center"/>
              <w:rPr>
                <w:color w:val="000000"/>
              </w:rPr>
            </w:pPr>
            <w:r>
              <w:rPr>
                <w:color w:val="000000"/>
              </w:rPr>
              <w:t>4.89</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6D7D25D" w14:textId="77777777" w:rsidR="00973465" w:rsidRDefault="00973465" w:rsidP="000F444B">
            <w:pPr>
              <w:jc w:val="center"/>
              <w:rPr>
                <w:color w:val="000000"/>
              </w:rPr>
            </w:pPr>
            <w:r>
              <w:rPr>
                <w:color w:val="000000"/>
              </w:rPr>
              <w:t>4.57</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0AE0071" w14:textId="77777777" w:rsidR="00973465" w:rsidRDefault="00973465" w:rsidP="000F444B">
            <w:pPr>
              <w:jc w:val="center"/>
              <w:rPr>
                <w:color w:val="000000"/>
              </w:rPr>
            </w:pPr>
            <w:r>
              <w:rPr>
                <w:color w:val="000000"/>
              </w:rPr>
              <w:t>1.74</w:t>
            </w:r>
          </w:p>
        </w:tc>
        <w:tc>
          <w:tcPr>
            <w:tcW w:w="831" w:type="pct"/>
            <w:tcBorders>
              <w:top w:val="single" w:sz="4" w:space="0" w:color="000000"/>
              <w:left w:val="single" w:sz="4" w:space="0" w:color="000000"/>
              <w:bottom w:val="single" w:sz="4" w:space="0" w:color="000000"/>
              <w:right w:val="single" w:sz="4" w:space="0" w:color="000000"/>
            </w:tcBorders>
            <w:vAlign w:val="bottom"/>
          </w:tcPr>
          <w:p w14:paraId="6E53D3E7" w14:textId="77777777" w:rsidR="00973465" w:rsidRDefault="00973465" w:rsidP="000F444B">
            <w:pPr>
              <w:jc w:val="center"/>
              <w:rPr>
                <w:color w:val="000000"/>
              </w:rPr>
            </w:pPr>
            <w:r>
              <w:rPr>
                <w:color w:val="000000"/>
              </w:rPr>
              <w:t>0.55</w:t>
            </w:r>
          </w:p>
        </w:tc>
      </w:tr>
      <w:tr w:rsidR="00973465" w14:paraId="1A3492B7"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97869E4" w14:textId="77777777" w:rsidR="00973465" w:rsidRDefault="00973465" w:rsidP="000F444B">
            <w:pPr>
              <w:tabs>
                <w:tab w:val="left" w:pos="3165"/>
              </w:tabs>
              <w:jc w:val="both"/>
              <w:rPr>
                <w:b/>
                <w:bCs/>
              </w:rPr>
            </w:pPr>
            <w:r>
              <w:rPr>
                <w:b/>
                <w:bCs/>
              </w:rPr>
              <w:t>Fallow</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B8335BC" w14:textId="77777777" w:rsidR="00973465" w:rsidRDefault="00973465" w:rsidP="000F444B">
            <w:pPr>
              <w:jc w:val="center"/>
              <w:rPr>
                <w:color w:val="000000"/>
              </w:rPr>
            </w:pPr>
            <w:r>
              <w:rPr>
                <w:color w:val="000000"/>
              </w:rPr>
              <w:t>11.79</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3B121F9" w14:textId="77777777" w:rsidR="00973465" w:rsidRDefault="00973465" w:rsidP="000F444B">
            <w:pPr>
              <w:jc w:val="center"/>
              <w:rPr>
                <w:color w:val="000000"/>
              </w:rPr>
            </w:pPr>
            <w:r>
              <w:rPr>
                <w:color w:val="000000"/>
              </w:rPr>
              <w:t>5.13</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D711B89" w14:textId="77777777" w:rsidR="00973465" w:rsidRDefault="00973465" w:rsidP="000F444B">
            <w:pPr>
              <w:jc w:val="center"/>
              <w:rPr>
                <w:color w:val="000000"/>
              </w:rPr>
            </w:pPr>
            <w:r>
              <w:rPr>
                <w:color w:val="000000"/>
              </w:rPr>
              <w:t>1.21</w:t>
            </w:r>
          </w:p>
        </w:tc>
        <w:tc>
          <w:tcPr>
            <w:tcW w:w="831" w:type="pct"/>
            <w:tcBorders>
              <w:top w:val="single" w:sz="4" w:space="0" w:color="000000"/>
              <w:left w:val="single" w:sz="4" w:space="0" w:color="000000"/>
              <w:bottom w:val="single" w:sz="4" w:space="0" w:color="000000"/>
              <w:right w:val="single" w:sz="4" w:space="0" w:color="000000"/>
            </w:tcBorders>
            <w:vAlign w:val="bottom"/>
          </w:tcPr>
          <w:p w14:paraId="473A1496" w14:textId="77777777" w:rsidR="00973465" w:rsidRDefault="00973465" w:rsidP="000F444B">
            <w:pPr>
              <w:jc w:val="center"/>
              <w:rPr>
                <w:color w:val="000000"/>
              </w:rPr>
            </w:pPr>
            <w:r>
              <w:rPr>
                <w:color w:val="000000"/>
              </w:rPr>
              <w:t>1.92</w:t>
            </w:r>
          </w:p>
        </w:tc>
      </w:tr>
      <w:tr w:rsidR="00973465" w14:paraId="4E68645F"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ED303F" w14:textId="77777777" w:rsidR="00973465" w:rsidRDefault="00973465" w:rsidP="000F444B">
            <w:pPr>
              <w:tabs>
                <w:tab w:val="left" w:pos="3165"/>
              </w:tabs>
              <w:jc w:val="both"/>
              <w:rPr>
                <w:b/>
                <w:bCs/>
              </w:rPr>
            </w:pPr>
            <w:r>
              <w:rPr>
                <w:b/>
                <w:bCs/>
                <w:i/>
                <w:iCs/>
              </w:rPr>
              <w:t>Mean</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F60E2D0" w14:textId="77777777" w:rsidR="00973465" w:rsidRDefault="00973465" w:rsidP="000F444B">
            <w:pPr>
              <w:jc w:val="center"/>
              <w:rPr>
                <w:b/>
                <w:bCs/>
                <w:i/>
                <w:color w:val="000000"/>
              </w:rPr>
            </w:pPr>
            <w:r>
              <w:rPr>
                <w:b/>
                <w:bCs/>
                <w:i/>
                <w:color w:val="000000"/>
              </w:rPr>
              <w:t>12.63</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02EA1E35" w14:textId="77777777" w:rsidR="00973465" w:rsidRDefault="00973465" w:rsidP="000F444B">
            <w:pPr>
              <w:jc w:val="center"/>
              <w:rPr>
                <w:b/>
                <w:bCs/>
                <w:i/>
                <w:color w:val="000000"/>
              </w:rPr>
            </w:pPr>
            <w:r>
              <w:rPr>
                <w:b/>
                <w:bCs/>
                <w:i/>
                <w:color w:val="000000"/>
              </w:rPr>
              <w:t>7.41</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A958628" w14:textId="77777777" w:rsidR="00973465" w:rsidRDefault="00973465" w:rsidP="000F444B">
            <w:pPr>
              <w:jc w:val="center"/>
              <w:rPr>
                <w:b/>
                <w:bCs/>
                <w:i/>
                <w:color w:val="000000"/>
              </w:rPr>
            </w:pPr>
            <w:r>
              <w:rPr>
                <w:b/>
                <w:bCs/>
                <w:i/>
                <w:color w:val="000000"/>
              </w:rPr>
              <w:t>2.05</w:t>
            </w:r>
          </w:p>
        </w:tc>
        <w:tc>
          <w:tcPr>
            <w:tcW w:w="831" w:type="pct"/>
            <w:tcBorders>
              <w:top w:val="single" w:sz="4" w:space="0" w:color="000000"/>
              <w:left w:val="single" w:sz="4" w:space="0" w:color="000000"/>
              <w:bottom w:val="single" w:sz="4" w:space="0" w:color="000000"/>
              <w:right w:val="single" w:sz="4" w:space="0" w:color="000000"/>
            </w:tcBorders>
            <w:vAlign w:val="bottom"/>
          </w:tcPr>
          <w:p w14:paraId="0548A180" w14:textId="77777777" w:rsidR="00973465" w:rsidRDefault="00973465" w:rsidP="000F444B">
            <w:pPr>
              <w:jc w:val="center"/>
              <w:rPr>
                <w:b/>
                <w:bCs/>
                <w:i/>
                <w:color w:val="000000"/>
              </w:rPr>
            </w:pPr>
            <w:r>
              <w:rPr>
                <w:b/>
                <w:bCs/>
                <w:i/>
                <w:color w:val="000000"/>
              </w:rPr>
              <w:t>2.03</w:t>
            </w:r>
          </w:p>
        </w:tc>
      </w:tr>
      <w:tr w:rsidR="00973465" w14:paraId="4EE779C8"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5DF652F" w14:textId="77777777" w:rsidR="00973465" w:rsidRDefault="00973465" w:rsidP="000F444B">
            <w:pPr>
              <w:tabs>
                <w:tab w:val="left" w:pos="3165"/>
              </w:tabs>
              <w:jc w:val="both"/>
              <w:rPr>
                <w:b/>
                <w:bCs/>
              </w:rPr>
            </w:pPr>
            <w:proofErr w:type="spellStart"/>
            <w:r>
              <w:rPr>
                <w:b/>
                <w:bCs/>
              </w:rPr>
              <w:t>SEm</w:t>
            </w:r>
            <w:proofErr w:type="spellEnd"/>
            <w:r>
              <w:rPr>
                <w:b/>
                <w:bCs/>
              </w:rPr>
              <w:t>±</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639794B" w14:textId="77777777" w:rsidR="00973465" w:rsidRDefault="00973465" w:rsidP="000F444B">
            <w:pPr>
              <w:jc w:val="center"/>
              <w:rPr>
                <w:color w:val="000000"/>
              </w:rPr>
            </w:pPr>
            <w:r>
              <w:rPr>
                <w:color w:val="000000"/>
              </w:rPr>
              <w:t>2.13</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EEF515" w14:textId="77777777" w:rsidR="00973465" w:rsidRDefault="00973465" w:rsidP="000F444B">
            <w:pPr>
              <w:jc w:val="center"/>
              <w:rPr>
                <w:color w:val="000000"/>
              </w:rPr>
            </w:pPr>
            <w:r>
              <w:rPr>
                <w:color w:val="000000"/>
              </w:rPr>
              <w:t>2.97</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4B3D015E" w14:textId="77777777" w:rsidR="00973465" w:rsidRDefault="00973465" w:rsidP="000F444B">
            <w:pPr>
              <w:jc w:val="center"/>
              <w:rPr>
                <w:color w:val="000000"/>
              </w:rPr>
            </w:pPr>
            <w:r>
              <w:rPr>
                <w:color w:val="000000"/>
              </w:rPr>
              <w:t>0.29</w:t>
            </w:r>
          </w:p>
        </w:tc>
        <w:tc>
          <w:tcPr>
            <w:tcW w:w="831" w:type="pct"/>
            <w:tcBorders>
              <w:top w:val="single" w:sz="4" w:space="0" w:color="000000"/>
              <w:left w:val="single" w:sz="4" w:space="0" w:color="000000"/>
              <w:bottom w:val="single" w:sz="4" w:space="0" w:color="000000"/>
              <w:right w:val="single" w:sz="4" w:space="0" w:color="000000"/>
            </w:tcBorders>
            <w:vAlign w:val="bottom"/>
          </w:tcPr>
          <w:p w14:paraId="7E6A4BB6" w14:textId="77777777" w:rsidR="00973465" w:rsidRDefault="00973465" w:rsidP="000F444B">
            <w:pPr>
              <w:jc w:val="center"/>
              <w:rPr>
                <w:color w:val="000000"/>
              </w:rPr>
            </w:pPr>
            <w:r>
              <w:rPr>
                <w:color w:val="000000"/>
              </w:rPr>
              <w:t>0.14</w:t>
            </w:r>
          </w:p>
        </w:tc>
      </w:tr>
      <w:tr w:rsidR="00973465" w14:paraId="448FA223"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2137C074" w14:textId="77777777" w:rsidR="00973465" w:rsidRDefault="00973465" w:rsidP="000F444B">
            <w:pPr>
              <w:tabs>
                <w:tab w:val="left" w:pos="3165"/>
              </w:tabs>
              <w:rPr>
                <w:b/>
                <w:bCs/>
              </w:rPr>
            </w:pPr>
            <w:r>
              <w:rPr>
                <w:b/>
                <w:bCs/>
              </w:rPr>
              <w:t>CD (0.05)</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2DEF0F6" w14:textId="77777777" w:rsidR="00973465" w:rsidRDefault="00973465" w:rsidP="000F444B">
            <w:pPr>
              <w:jc w:val="center"/>
              <w:rPr>
                <w:color w:val="000000"/>
              </w:rPr>
            </w:pPr>
            <w:r>
              <w:rPr>
                <w:color w:val="000000"/>
              </w:rPr>
              <w:t>6.24</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6DCF10DD" w14:textId="77777777" w:rsidR="00973465" w:rsidRDefault="00973465" w:rsidP="000F444B">
            <w:pPr>
              <w:jc w:val="center"/>
              <w:rPr>
                <w:color w:val="000000"/>
              </w:rPr>
            </w:pPr>
            <w:r>
              <w:rPr>
                <w:color w:val="000000"/>
              </w:rPr>
              <w:t>8.71</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3BC6E619" w14:textId="77777777" w:rsidR="00973465" w:rsidRDefault="00973465" w:rsidP="000F444B">
            <w:pPr>
              <w:jc w:val="center"/>
              <w:rPr>
                <w:color w:val="000000"/>
              </w:rPr>
            </w:pPr>
            <w:r>
              <w:rPr>
                <w:color w:val="000000"/>
              </w:rPr>
              <w:t>0.86</w:t>
            </w:r>
          </w:p>
        </w:tc>
        <w:tc>
          <w:tcPr>
            <w:tcW w:w="831" w:type="pct"/>
            <w:tcBorders>
              <w:top w:val="single" w:sz="4" w:space="0" w:color="000000"/>
              <w:left w:val="single" w:sz="4" w:space="0" w:color="000000"/>
              <w:bottom w:val="single" w:sz="4" w:space="0" w:color="000000"/>
              <w:right w:val="single" w:sz="4" w:space="0" w:color="000000"/>
            </w:tcBorders>
            <w:vAlign w:val="bottom"/>
          </w:tcPr>
          <w:p w14:paraId="587611A4" w14:textId="77777777" w:rsidR="00973465" w:rsidRDefault="00973465" w:rsidP="000F444B">
            <w:pPr>
              <w:jc w:val="center"/>
              <w:rPr>
                <w:color w:val="000000"/>
              </w:rPr>
            </w:pPr>
            <w:r>
              <w:rPr>
                <w:color w:val="000000"/>
              </w:rPr>
              <w:t>0.40</w:t>
            </w:r>
          </w:p>
        </w:tc>
      </w:tr>
      <w:tr w:rsidR="00973465" w14:paraId="0E461C59" w14:textId="77777777" w:rsidTr="00D42469">
        <w:trPr>
          <w:trHeight w:val="276"/>
        </w:trPr>
        <w:tc>
          <w:tcPr>
            <w:tcW w:w="1623"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54BDF39" w14:textId="77777777" w:rsidR="00973465" w:rsidRDefault="00973465" w:rsidP="000F444B">
            <w:pPr>
              <w:tabs>
                <w:tab w:val="left" w:pos="3165"/>
              </w:tabs>
              <w:rPr>
                <w:b/>
                <w:bCs/>
              </w:rPr>
            </w:pPr>
            <w:r>
              <w:rPr>
                <w:b/>
                <w:bCs/>
              </w:rPr>
              <w:t>Initial</w:t>
            </w:r>
          </w:p>
        </w:tc>
        <w:tc>
          <w:tcPr>
            <w:tcW w:w="86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5ABF649F" w14:textId="77777777" w:rsidR="00973465" w:rsidRDefault="00973465" w:rsidP="000F444B">
            <w:pPr>
              <w:pStyle w:val="NormalWeb"/>
              <w:spacing w:before="0" w:beforeAutospacing="0" w:after="0" w:afterAutospacing="0"/>
              <w:jc w:val="center"/>
              <w:textAlignment w:val="bottom"/>
            </w:pPr>
            <w:r>
              <w:t>14.48</w:t>
            </w:r>
          </w:p>
        </w:tc>
        <w:tc>
          <w:tcPr>
            <w:tcW w:w="80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7B841C92" w14:textId="77777777" w:rsidR="00973465" w:rsidRDefault="00973465" w:rsidP="000F444B">
            <w:pPr>
              <w:pStyle w:val="NormalWeb"/>
              <w:spacing w:before="0" w:beforeAutospacing="0" w:after="0" w:afterAutospacing="0"/>
              <w:jc w:val="center"/>
              <w:textAlignment w:val="bottom"/>
            </w:pPr>
            <w:r>
              <w:t>8.72</w:t>
            </w:r>
          </w:p>
        </w:tc>
        <w:tc>
          <w:tcPr>
            <w:tcW w:w="875"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tcPr>
          <w:p w14:paraId="16491410" w14:textId="77777777" w:rsidR="00973465" w:rsidRDefault="00973465" w:rsidP="000F444B">
            <w:pPr>
              <w:pStyle w:val="NormalWeb"/>
              <w:spacing w:before="0" w:beforeAutospacing="0" w:after="0" w:afterAutospacing="0"/>
              <w:jc w:val="center"/>
              <w:textAlignment w:val="bottom"/>
            </w:pPr>
            <w:r>
              <w:t>2.58</w:t>
            </w:r>
          </w:p>
        </w:tc>
        <w:tc>
          <w:tcPr>
            <w:tcW w:w="831" w:type="pct"/>
            <w:tcBorders>
              <w:top w:val="single" w:sz="4" w:space="0" w:color="000000"/>
              <w:left w:val="single" w:sz="4" w:space="0" w:color="000000"/>
              <w:bottom w:val="single" w:sz="4" w:space="0" w:color="000000"/>
              <w:right w:val="single" w:sz="4" w:space="0" w:color="000000"/>
            </w:tcBorders>
            <w:vAlign w:val="bottom"/>
          </w:tcPr>
          <w:p w14:paraId="0C936994" w14:textId="77777777" w:rsidR="00973465" w:rsidRDefault="00973465" w:rsidP="000F444B">
            <w:pPr>
              <w:jc w:val="center"/>
              <w:rPr>
                <w:bCs/>
                <w:color w:val="000000"/>
              </w:rPr>
            </w:pPr>
            <w:r>
              <w:rPr>
                <w:bCs/>
                <w:color w:val="000000"/>
              </w:rPr>
              <w:t>2.64</w:t>
            </w:r>
          </w:p>
        </w:tc>
      </w:tr>
    </w:tbl>
    <w:p w14:paraId="4FB3572E" w14:textId="77777777" w:rsidR="00D42469" w:rsidRDefault="00D42469" w:rsidP="00D42469">
      <w:pPr>
        <w:spacing w:line="360" w:lineRule="auto"/>
        <w:jc w:val="both"/>
        <w:rPr>
          <w:b/>
          <w:bCs/>
        </w:rPr>
      </w:pPr>
    </w:p>
    <w:p w14:paraId="4C261423" w14:textId="4EB6A3B6" w:rsidR="00D42469" w:rsidRPr="00D42469" w:rsidRDefault="00D42469" w:rsidP="00D42469">
      <w:pPr>
        <w:spacing w:line="360" w:lineRule="auto"/>
        <w:jc w:val="both"/>
        <w:rPr>
          <w:b/>
          <w:bCs/>
        </w:rPr>
      </w:pPr>
      <w:r w:rsidRPr="00D42469">
        <w:rPr>
          <w:b/>
          <w:bCs/>
        </w:rPr>
        <w:t xml:space="preserve">Table </w:t>
      </w:r>
      <w:r>
        <w:rPr>
          <w:b/>
          <w:bCs/>
        </w:rPr>
        <w:t>6</w:t>
      </w:r>
      <w:r w:rsidRPr="00D42469">
        <w:rPr>
          <w:b/>
          <w:bCs/>
        </w:rPr>
        <w:t>. Effect of long-term fertilizers and manures on biological parameters under rice-rice cropping system (19 years of cropping).</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3"/>
        <w:gridCol w:w="1986"/>
        <w:gridCol w:w="2226"/>
        <w:gridCol w:w="2059"/>
        <w:gridCol w:w="1721"/>
      </w:tblGrid>
      <w:tr w:rsidR="00D42469" w:rsidRPr="00D42469" w14:paraId="2ABF864C" w14:textId="77777777" w:rsidTr="000F444B">
        <w:trPr>
          <w:trHeight w:val="337"/>
        </w:trPr>
        <w:tc>
          <w:tcPr>
            <w:tcW w:w="1833" w:type="dxa"/>
            <w:tcMar>
              <w:top w:w="15" w:type="dxa"/>
              <w:left w:w="15" w:type="dxa"/>
              <w:bottom w:w="0" w:type="dxa"/>
              <w:right w:w="15" w:type="dxa"/>
            </w:tcMar>
            <w:vAlign w:val="bottom"/>
          </w:tcPr>
          <w:p w14:paraId="6BDF63F8" w14:textId="77777777" w:rsidR="00D42469" w:rsidRPr="00D42469" w:rsidRDefault="00D42469" w:rsidP="00D42469">
            <w:pPr>
              <w:spacing w:line="360" w:lineRule="auto"/>
              <w:jc w:val="both"/>
              <w:rPr>
                <w:b/>
                <w:bCs/>
              </w:rPr>
            </w:pPr>
            <w:r w:rsidRPr="00D42469">
              <w:rPr>
                <w:b/>
                <w:bCs/>
              </w:rPr>
              <w:t>Treatments</w:t>
            </w:r>
          </w:p>
        </w:tc>
        <w:tc>
          <w:tcPr>
            <w:tcW w:w="1986" w:type="dxa"/>
            <w:vAlign w:val="bottom"/>
          </w:tcPr>
          <w:p w14:paraId="740B1874" w14:textId="77777777" w:rsidR="00D42469" w:rsidRPr="00D42469" w:rsidRDefault="00D42469" w:rsidP="004A4518">
            <w:pPr>
              <w:jc w:val="both"/>
            </w:pPr>
            <w:r w:rsidRPr="00D42469">
              <w:rPr>
                <w:b/>
                <w:bCs/>
              </w:rPr>
              <w:t>DHA (</w:t>
            </w:r>
            <w:r w:rsidRPr="00D42469">
              <w:rPr>
                <w:b/>
                <w:bCs/>
                <w:lang w:val="en-IN"/>
              </w:rPr>
              <w:t>µg TPF gm</w:t>
            </w:r>
            <w:r w:rsidRPr="00D42469">
              <w:rPr>
                <w:b/>
                <w:bCs/>
                <w:vertAlign w:val="superscript"/>
                <w:lang w:val="en-IN"/>
              </w:rPr>
              <w:t>-1</w:t>
            </w:r>
            <w:r w:rsidRPr="00D42469">
              <w:rPr>
                <w:b/>
                <w:bCs/>
                <w:lang w:val="en-IN"/>
              </w:rPr>
              <w:t xml:space="preserve"> day</w:t>
            </w:r>
            <w:r w:rsidRPr="00D42469">
              <w:rPr>
                <w:b/>
                <w:bCs/>
                <w:vertAlign w:val="superscript"/>
                <w:lang w:val="en-IN"/>
              </w:rPr>
              <w:t>-1</w:t>
            </w:r>
            <w:r w:rsidRPr="00D42469">
              <w:rPr>
                <w:b/>
                <w:bCs/>
                <w:lang w:val="en-IN"/>
              </w:rPr>
              <w:t>)</w:t>
            </w:r>
          </w:p>
        </w:tc>
        <w:tc>
          <w:tcPr>
            <w:tcW w:w="2226" w:type="dxa"/>
            <w:vAlign w:val="bottom"/>
          </w:tcPr>
          <w:p w14:paraId="68B6019D" w14:textId="77777777" w:rsidR="00D42469" w:rsidRPr="00D42469" w:rsidRDefault="00D42469" w:rsidP="004A4518">
            <w:pPr>
              <w:jc w:val="both"/>
            </w:pPr>
            <w:proofErr w:type="spellStart"/>
            <w:r w:rsidRPr="00D42469">
              <w:rPr>
                <w:b/>
                <w:bCs/>
              </w:rPr>
              <w:t>Actinomycets</w:t>
            </w:r>
            <w:proofErr w:type="spellEnd"/>
            <w:r w:rsidRPr="00D42469">
              <w:rPr>
                <w:b/>
                <w:bCs/>
              </w:rPr>
              <w:t xml:space="preserve"> (No. X 10</w:t>
            </w:r>
            <w:r w:rsidRPr="00D42469">
              <w:rPr>
                <w:b/>
                <w:bCs/>
                <w:vertAlign w:val="superscript"/>
              </w:rPr>
              <w:t>-4</w:t>
            </w:r>
            <w:r w:rsidRPr="00D42469">
              <w:rPr>
                <w:b/>
                <w:bCs/>
              </w:rPr>
              <w:t xml:space="preserve"> </w:t>
            </w:r>
            <w:proofErr w:type="spellStart"/>
            <w:r w:rsidRPr="00D42469">
              <w:rPr>
                <w:b/>
                <w:bCs/>
              </w:rPr>
              <w:t>cfu</w:t>
            </w:r>
            <w:proofErr w:type="spellEnd"/>
            <w:r w:rsidRPr="00D42469">
              <w:rPr>
                <w:b/>
                <w:bCs/>
              </w:rPr>
              <w:t xml:space="preserve"> gm</w:t>
            </w:r>
            <w:r w:rsidRPr="00D42469">
              <w:rPr>
                <w:b/>
                <w:bCs/>
                <w:vertAlign w:val="superscript"/>
              </w:rPr>
              <w:t>-1</w:t>
            </w:r>
            <w:r w:rsidRPr="00D42469">
              <w:rPr>
                <w:b/>
                <w:bCs/>
              </w:rPr>
              <w:t xml:space="preserve">) </w:t>
            </w:r>
          </w:p>
        </w:tc>
        <w:tc>
          <w:tcPr>
            <w:tcW w:w="2059" w:type="dxa"/>
            <w:vAlign w:val="bottom"/>
          </w:tcPr>
          <w:p w14:paraId="2968DE65" w14:textId="77777777" w:rsidR="00D42469" w:rsidRPr="00D42469" w:rsidRDefault="00D42469" w:rsidP="004A4518">
            <w:pPr>
              <w:jc w:val="both"/>
            </w:pPr>
            <w:r w:rsidRPr="00D42469">
              <w:rPr>
                <w:b/>
                <w:bCs/>
              </w:rPr>
              <w:t>Fungi Counts (No. X 10</w:t>
            </w:r>
            <w:r w:rsidRPr="00D42469">
              <w:rPr>
                <w:b/>
                <w:bCs/>
                <w:vertAlign w:val="superscript"/>
              </w:rPr>
              <w:t>-3</w:t>
            </w:r>
            <w:r w:rsidRPr="00D42469">
              <w:rPr>
                <w:b/>
                <w:bCs/>
              </w:rPr>
              <w:t xml:space="preserve"> </w:t>
            </w:r>
            <w:proofErr w:type="spellStart"/>
            <w:r w:rsidRPr="00D42469">
              <w:rPr>
                <w:b/>
                <w:bCs/>
              </w:rPr>
              <w:t>cfu</w:t>
            </w:r>
            <w:proofErr w:type="spellEnd"/>
            <w:r w:rsidRPr="00D42469">
              <w:rPr>
                <w:b/>
                <w:bCs/>
              </w:rPr>
              <w:t xml:space="preserve"> gm</w:t>
            </w:r>
            <w:r w:rsidRPr="00D42469">
              <w:rPr>
                <w:b/>
                <w:bCs/>
                <w:vertAlign w:val="superscript"/>
              </w:rPr>
              <w:t>-1</w:t>
            </w:r>
            <w:r w:rsidRPr="00D42469">
              <w:rPr>
                <w:b/>
                <w:bCs/>
              </w:rPr>
              <w:t>)</w:t>
            </w:r>
          </w:p>
        </w:tc>
        <w:tc>
          <w:tcPr>
            <w:tcW w:w="1721" w:type="dxa"/>
            <w:vAlign w:val="bottom"/>
          </w:tcPr>
          <w:p w14:paraId="372893EC" w14:textId="77777777" w:rsidR="00D42469" w:rsidRPr="00D42469" w:rsidRDefault="00D42469" w:rsidP="004A4518">
            <w:pPr>
              <w:jc w:val="both"/>
            </w:pPr>
            <w:r w:rsidRPr="00D42469">
              <w:rPr>
                <w:b/>
                <w:bCs/>
              </w:rPr>
              <w:t>Bacterial Counts (No. X 10</w:t>
            </w:r>
            <w:r w:rsidRPr="00D42469">
              <w:rPr>
                <w:b/>
                <w:bCs/>
                <w:vertAlign w:val="superscript"/>
              </w:rPr>
              <w:t>-6</w:t>
            </w:r>
            <w:r w:rsidRPr="00D42469">
              <w:rPr>
                <w:b/>
                <w:bCs/>
              </w:rPr>
              <w:t xml:space="preserve"> </w:t>
            </w:r>
            <w:proofErr w:type="spellStart"/>
            <w:r w:rsidRPr="00D42469">
              <w:rPr>
                <w:b/>
                <w:bCs/>
              </w:rPr>
              <w:t>cfu</w:t>
            </w:r>
            <w:proofErr w:type="spellEnd"/>
            <w:r w:rsidRPr="00D42469">
              <w:rPr>
                <w:b/>
                <w:bCs/>
              </w:rPr>
              <w:t xml:space="preserve"> gm</w:t>
            </w:r>
            <w:r w:rsidRPr="00D42469">
              <w:rPr>
                <w:b/>
                <w:bCs/>
                <w:vertAlign w:val="superscript"/>
              </w:rPr>
              <w:t>-1</w:t>
            </w:r>
            <w:r w:rsidRPr="00D42469">
              <w:rPr>
                <w:b/>
                <w:bCs/>
              </w:rPr>
              <w:t>)</w:t>
            </w:r>
          </w:p>
        </w:tc>
      </w:tr>
      <w:tr w:rsidR="00D42469" w:rsidRPr="00D42469" w14:paraId="497CC28F" w14:textId="77777777" w:rsidTr="000F444B">
        <w:trPr>
          <w:trHeight w:val="337"/>
        </w:trPr>
        <w:tc>
          <w:tcPr>
            <w:tcW w:w="1833" w:type="dxa"/>
            <w:tcMar>
              <w:top w:w="15" w:type="dxa"/>
              <w:left w:w="15" w:type="dxa"/>
              <w:bottom w:w="0" w:type="dxa"/>
              <w:right w:w="15" w:type="dxa"/>
            </w:tcMar>
            <w:vAlign w:val="bottom"/>
          </w:tcPr>
          <w:p w14:paraId="108FE8FB" w14:textId="77777777" w:rsidR="00D42469" w:rsidRPr="00D42469" w:rsidRDefault="00D42469" w:rsidP="00D42469">
            <w:pPr>
              <w:spacing w:line="360" w:lineRule="auto"/>
              <w:jc w:val="both"/>
              <w:rPr>
                <w:b/>
              </w:rPr>
            </w:pPr>
            <w:r w:rsidRPr="00D42469">
              <w:rPr>
                <w:b/>
                <w:bCs/>
              </w:rPr>
              <w:t>50% NPK</w:t>
            </w:r>
          </w:p>
        </w:tc>
        <w:tc>
          <w:tcPr>
            <w:tcW w:w="1986" w:type="dxa"/>
            <w:vAlign w:val="bottom"/>
          </w:tcPr>
          <w:p w14:paraId="7BE990B7" w14:textId="77777777" w:rsidR="00D42469" w:rsidRPr="00D42469" w:rsidRDefault="00D42469" w:rsidP="00D42469">
            <w:pPr>
              <w:spacing w:line="360" w:lineRule="auto"/>
              <w:jc w:val="center"/>
            </w:pPr>
            <w:r w:rsidRPr="00D42469">
              <w:t>2.43</w:t>
            </w:r>
          </w:p>
        </w:tc>
        <w:tc>
          <w:tcPr>
            <w:tcW w:w="2226" w:type="dxa"/>
            <w:vAlign w:val="bottom"/>
          </w:tcPr>
          <w:p w14:paraId="4A61AAC6" w14:textId="77777777" w:rsidR="00D42469" w:rsidRPr="00D42469" w:rsidRDefault="00D42469" w:rsidP="00D42469">
            <w:pPr>
              <w:spacing w:line="360" w:lineRule="auto"/>
              <w:jc w:val="center"/>
            </w:pPr>
            <w:r w:rsidRPr="00D42469">
              <w:t>4.25</w:t>
            </w:r>
          </w:p>
        </w:tc>
        <w:tc>
          <w:tcPr>
            <w:tcW w:w="2059" w:type="dxa"/>
            <w:vAlign w:val="bottom"/>
          </w:tcPr>
          <w:p w14:paraId="1FE15628" w14:textId="77777777" w:rsidR="00D42469" w:rsidRPr="00D42469" w:rsidRDefault="00D42469" w:rsidP="00D42469">
            <w:pPr>
              <w:spacing w:line="360" w:lineRule="auto"/>
              <w:jc w:val="center"/>
            </w:pPr>
            <w:r w:rsidRPr="00D42469">
              <w:t>3.28</w:t>
            </w:r>
          </w:p>
        </w:tc>
        <w:tc>
          <w:tcPr>
            <w:tcW w:w="1721" w:type="dxa"/>
            <w:vAlign w:val="bottom"/>
          </w:tcPr>
          <w:p w14:paraId="22B30969" w14:textId="77777777" w:rsidR="00D42469" w:rsidRPr="00D42469" w:rsidRDefault="00D42469" w:rsidP="00D42469">
            <w:pPr>
              <w:spacing w:line="360" w:lineRule="auto"/>
              <w:jc w:val="center"/>
            </w:pPr>
            <w:r w:rsidRPr="00D42469">
              <w:t>11.23</w:t>
            </w:r>
          </w:p>
        </w:tc>
      </w:tr>
      <w:tr w:rsidR="00D42469" w:rsidRPr="00D42469" w14:paraId="23735860" w14:textId="77777777" w:rsidTr="000F444B">
        <w:trPr>
          <w:trHeight w:val="337"/>
        </w:trPr>
        <w:tc>
          <w:tcPr>
            <w:tcW w:w="1833" w:type="dxa"/>
            <w:tcMar>
              <w:top w:w="15" w:type="dxa"/>
              <w:left w:w="15" w:type="dxa"/>
              <w:bottom w:w="0" w:type="dxa"/>
              <w:right w:w="15" w:type="dxa"/>
            </w:tcMar>
            <w:vAlign w:val="bottom"/>
          </w:tcPr>
          <w:p w14:paraId="5240B161" w14:textId="77777777" w:rsidR="00D42469" w:rsidRPr="00D42469" w:rsidRDefault="00D42469" w:rsidP="00D42469">
            <w:pPr>
              <w:spacing w:line="360" w:lineRule="auto"/>
              <w:jc w:val="both"/>
              <w:rPr>
                <w:b/>
              </w:rPr>
            </w:pPr>
            <w:r w:rsidRPr="00D42469">
              <w:rPr>
                <w:b/>
                <w:bCs/>
              </w:rPr>
              <w:t>100%NPK</w:t>
            </w:r>
          </w:p>
        </w:tc>
        <w:tc>
          <w:tcPr>
            <w:tcW w:w="1986" w:type="dxa"/>
            <w:vAlign w:val="bottom"/>
          </w:tcPr>
          <w:p w14:paraId="16E1B061" w14:textId="77777777" w:rsidR="00D42469" w:rsidRPr="00D42469" w:rsidRDefault="00D42469" w:rsidP="00D42469">
            <w:pPr>
              <w:spacing w:line="360" w:lineRule="auto"/>
              <w:jc w:val="center"/>
            </w:pPr>
            <w:r w:rsidRPr="00D42469">
              <w:t>3.28</w:t>
            </w:r>
          </w:p>
        </w:tc>
        <w:tc>
          <w:tcPr>
            <w:tcW w:w="2226" w:type="dxa"/>
            <w:vAlign w:val="bottom"/>
          </w:tcPr>
          <w:p w14:paraId="6B38406B" w14:textId="77777777" w:rsidR="00D42469" w:rsidRPr="00D42469" w:rsidRDefault="00D42469" w:rsidP="00D42469">
            <w:pPr>
              <w:spacing w:line="360" w:lineRule="auto"/>
              <w:jc w:val="center"/>
            </w:pPr>
            <w:r w:rsidRPr="00D42469">
              <w:t>5.28</w:t>
            </w:r>
          </w:p>
        </w:tc>
        <w:tc>
          <w:tcPr>
            <w:tcW w:w="2059" w:type="dxa"/>
            <w:vAlign w:val="bottom"/>
          </w:tcPr>
          <w:p w14:paraId="680C3823" w14:textId="77777777" w:rsidR="00D42469" w:rsidRPr="00D42469" w:rsidRDefault="00D42469" w:rsidP="00D42469">
            <w:pPr>
              <w:spacing w:line="360" w:lineRule="auto"/>
              <w:jc w:val="center"/>
            </w:pPr>
            <w:r w:rsidRPr="00D42469">
              <w:t>5.26</w:t>
            </w:r>
          </w:p>
        </w:tc>
        <w:tc>
          <w:tcPr>
            <w:tcW w:w="1721" w:type="dxa"/>
            <w:vAlign w:val="bottom"/>
          </w:tcPr>
          <w:p w14:paraId="37D28CE1" w14:textId="77777777" w:rsidR="00D42469" w:rsidRPr="00D42469" w:rsidRDefault="00D42469" w:rsidP="00D42469">
            <w:pPr>
              <w:spacing w:line="360" w:lineRule="auto"/>
              <w:jc w:val="center"/>
            </w:pPr>
            <w:r w:rsidRPr="00D42469">
              <w:t>19.54</w:t>
            </w:r>
          </w:p>
        </w:tc>
      </w:tr>
      <w:tr w:rsidR="00D42469" w:rsidRPr="00D42469" w14:paraId="39148FFD" w14:textId="77777777" w:rsidTr="000F444B">
        <w:trPr>
          <w:trHeight w:val="337"/>
        </w:trPr>
        <w:tc>
          <w:tcPr>
            <w:tcW w:w="1833" w:type="dxa"/>
            <w:tcMar>
              <w:top w:w="15" w:type="dxa"/>
              <w:left w:w="15" w:type="dxa"/>
              <w:bottom w:w="0" w:type="dxa"/>
              <w:right w:w="15" w:type="dxa"/>
            </w:tcMar>
            <w:vAlign w:val="bottom"/>
          </w:tcPr>
          <w:p w14:paraId="1B121D0A" w14:textId="77777777" w:rsidR="00D42469" w:rsidRPr="00D42469" w:rsidRDefault="00D42469" w:rsidP="00D42469">
            <w:pPr>
              <w:spacing w:line="360" w:lineRule="auto"/>
              <w:jc w:val="both"/>
              <w:rPr>
                <w:b/>
              </w:rPr>
            </w:pPr>
            <w:r w:rsidRPr="00D42469">
              <w:rPr>
                <w:b/>
                <w:bCs/>
              </w:rPr>
              <w:t>150% NPK</w:t>
            </w:r>
          </w:p>
        </w:tc>
        <w:tc>
          <w:tcPr>
            <w:tcW w:w="1986" w:type="dxa"/>
            <w:vAlign w:val="bottom"/>
          </w:tcPr>
          <w:p w14:paraId="20F0CB06" w14:textId="77777777" w:rsidR="00D42469" w:rsidRPr="00D42469" w:rsidRDefault="00D42469" w:rsidP="00D42469">
            <w:pPr>
              <w:spacing w:line="360" w:lineRule="auto"/>
              <w:jc w:val="center"/>
            </w:pPr>
            <w:r w:rsidRPr="00D42469">
              <w:t>3.45</w:t>
            </w:r>
          </w:p>
        </w:tc>
        <w:tc>
          <w:tcPr>
            <w:tcW w:w="2226" w:type="dxa"/>
            <w:vAlign w:val="bottom"/>
          </w:tcPr>
          <w:p w14:paraId="50A9561B" w14:textId="77777777" w:rsidR="00D42469" w:rsidRPr="00D42469" w:rsidRDefault="00D42469" w:rsidP="00D42469">
            <w:pPr>
              <w:spacing w:line="360" w:lineRule="auto"/>
              <w:jc w:val="center"/>
            </w:pPr>
            <w:r w:rsidRPr="00D42469">
              <w:t>4.53</w:t>
            </w:r>
          </w:p>
        </w:tc>
        <w:tc>
          <w:tcPr>
            <w:tcW w:w="2059" w:type="dxa"/>
            <w:vAlign w:val="bottom"/>
          </w:tcPr>
          <w:p w14:paraId="0B593B1B" w14:textId="77777777" w:rsidR="00D42469" w:rsidRPr="00D42469" w:rsidRDefault="00D42469" w:rsidP="00D42469">
            <w:pPr>
              <w:spacing w:line="360" w:lineRule="auto"/>
              <w:jc w:val="center"/>
            </w:pPr>
            <w:r w:rsidRPr="00D42469">
              <w:t>6.11</w:t>
            </w:r>
          </w:p>
        </w:tc>
        <w:tc>
          <w:tcPr>
            <w:tcW w:w="1721" w:type="dxa"/>
            <w:vAlign w:val="bottom"/>
          </w:tcPr>
          <w:p w14:paraId="793D207F" w14:textId="77777777" w:rsidR="00D42469" w:rsidRPr="00D42469" w:rsidRDefault="00D42469" w:rsidP="00D42469">
            <w:pPr>
              <w:spacing w:line="360" w:lineRule="auto"/>
              <w:jc w:val="center"/>
            </w:pPr>
            <w:r w:rsidRPr="00D42469">
              <w:t>21.56</w:t>
            </w:r>
          </w:p>
        </w:tc>
      </w:tr>
      <w:tr w:rsidR="00D42469" w:rsidRPr="00D42469" w14:paraId="2045BC5C" w14:textId="77777777" w:rsidTr="000F444B">
        <w:trPr>
          <w:trHeight w:val="296"/>
        </w:trPr>
        <w:tc>
          <w:tcPr>
            <w:tcW w:w="1833" w:type="dxa"/>
            <w:tcMar>
              <w:top w:w="15" w:type="dxa"/>
              <w:left w:w="15" w:type="dxa"/>
              <w:bottom w:w="0" w:type="dxa"/>
              <w:right w:w="15" w:type="dxa"/>
            </w:tcMar>
            <w:vAlign w:val="bottom"/>
          </w:tcPr>
          <w:p w14:paraId="64E4AD75" w14:textId="77777777" w:rsidR="00D42469" w:rsidRPr="00D42469" w:rsidRDefault="00D42469" w:rsidP="00D42469">
            <w:pPr>
              <w:spacing w:line="360" w:lineRule="auto"/>
              <w:jc w:val="both"/>
              <w:rPr>
                <w:b/>
              </w:rPr>
            </w:pPr>
            <w:r w:rsidRPr="00D42469">
              <w:rPr>
                <w:b/>
                <w:bCs/>
              </w:rPr>
              <w:t xml:space="preserve">100% NPK+HW </w:t>
            </w:r>
          </w:p>
        </w:tc>
        <w:tc>
          <w:tcPr>
            <w:tcW w:w="1986" w:type="dxa"/>
            <w:vAlign w:val="bottom"/>
          </w:tcPr>
          <w:p w14:paraId="33DF4576" w14:textId="77777777" w:rsidR="00D42469" w:rsidRPr="00D42469" w:rsidRDefault="00D42469" w:rsidP="00D42469">
            <w:pPr>
              <w:spacing w:line="360" w:lineRule="auto"/>
              <w:jc w:val="center"/>
            </w:pPr>
            <w:r w:rsidRPr="00D42469">
              <w:t>3.02</w:t>
            </w:r>
          </w:p>
        </w:tc>
        <w:tc>
          <w:tcPr>
            <w:tcW w:w="2226" w:type="dxa"/>
            <w:vAlign w:val="bottom"/>
          </w:tcPr>
          <w:p w14:paraId="17787F2F" w14:textId="77777777" w:rsidR="00D42469" w:rsidRPr="00D42469" w:rsidRDefault="00D42469" w:rsidP="00D42469">
            <w:pPr>
              <w:spacing w:line="360" w:lineRule="auto"/>
              <w:jc w:val="center"/>
            </w:pPr>
            <w:r w:rsidRPr="00D42469">
              <w:t>4.98</w:t>
            </w:r>
          </w:p>
        </w:tc>
        <w:tc>
          <w:tcPr>
            <w:tcW w:w="2059" w:type="dxa"/>
            <w:vAlign w:val="bottom"/>
          </w:tcPr>
          <w:p w14:paraId="04B3F436" w14:textId="77777777" w:rsidR="00D42469" w:rsidRPr="00D42469" w:rsidRDefault="00D42469" w:rsidP="00D42469">
            <w:pPr>
              <w:spacing w:line="360" w:lineRule="auto"/>
              <w:jc w:val="center"/>
            </w:pPr>
            <w:r w:rsidRPr="00D42469">
              <w:t>5.32</w:t>
            </w:r>
          </w:p>
        </w:tc>
        <w:tc>
          <w:tcPr>
            <w:tcW w:w="1721" w:type="dxa"/>
            <w:vAlign w:val="bottom"/>
          </w:tcPr>
          <w:p w14:paraId="06AC6FB2" w14:textId="77777777" w:rsidR="00D42469" w:rsidRPr="00D42469" w:rsidRDefault="00D42469" w:rsidP="00D42469">
            <w:pPr>
              <w:spacing w:line="360" w:lineRule="auto"/>
              <w:jc w:val="center"/>
            </w:pPr>
            <w:r w:rsidRPr="00D42469">
              <w:t>20.21</w:t>
            </w:r>
          </w:p>
        </w:tc>
      </w:tr>
      <w:tr w:rsidR="00D42469" w:rsidRPr="00D42469" w14:paraId="472183A6" w14:textId="77777777" w:rsidTr="000F444B">
        <w:trPr>
          <w:trHeight w:val="296"/>
        </w:trPr>
        <w:tc>
          <w:tcPr>
            <w:tcW w:w="1833" w:type="dxa"/>
            <w:tcMar>
              <w:top w:w="15" w:type="dxa"/>
              <w:left w:w="15" w:type="dxa"/>
              <w:bottom w:w="0" w:type="dxa"/>
              <w:right w:w="15" w:type="dxa"/>
            </w:tcMar>
            <w:vAlign w:val="bottom"/>
          </w:tcPr>
          <w:p w14:paraId="2E57CDD8" w14:textId="77777777" w:rsidR="00D42469" w:rsidRPr="00D42469" w:rsidRDefault="00D42469" w:rsidP="00D42469">
            <w:pPr>
              <w:spacing w:line="360" w:lineRule="auto"/>
              <w:jc w:val="both"/>
              <w:rPr>
                <w:b/>
              </w:rPr>
            </w:pPr>
            <w:r w:rsidRPr="00D42469">
              <w:rPr>
                <w:b/>
                <w:bCs/>
              </w:rPr>
              <w:t xml:space="preserve">100% NPK+Zn </w:t>
            </w:r>
          </w:p>
        </w:tc>
        <w:tc>
          <w:tcPr>
            <w:tcW w:w="1986" w:type="dxa"/>
            <w:vAlign w:val="bottom"/>
          </w:tcPr>
          <w:p w14:paraId="7980A8B0" w14:textId="77777777" w:rsidR="00D42469" w:rsidRPr="00D42469" w:rsidRDefault="00D42469" w:rsidP="00D42469">
            <w:pPr>
              <w:spacing w:line="360" w:lineRule="auto"/>
              <w:jc w:val="center"/>
            </w:pPr>
            <w:r w:rsidRPr="00D42469">
              <w:t>3.33</w:t>
            </w:r>
          </w:p>
        </w:tc>
        <w:tc>
          <w:tcPr>
            <w:tcW w:w="2226" w:type="dxa"/>
            <w:vAlign w:val="bottom"/>
          </w:tcPr>
          <w:p w14:paraId="57D4643E" w14:textId="77777777" w:rsidR="00D42469" w:rsidRPr="00D42469" w:rsidRDefault="00D42469" w:rsidP="00D42469">
            <w:pPr>
              <w:spacing w:line="360" w:lineRule="auto"/>
              <w:jc w:val="center"/>
            </w:pPr>
            <w:r w:rsidRPr="00D42469">
              <w:t>4.81</w:t>
            </w:r>
          </w:p>
        </w:tc>
        <w:tc>
          <w:tcPr>
            <w:tcW w:w="2059" w:type="dxa"/>
            <w:vAlign w:val="bottom"/>
          </w:tcPr>
          <w:p w14:paraId="0A16858E" w14:textId="77777777" w:rsidR="00D42469" w:rsidRPr="00D42469" w:rsidRDefault="00D42469" w:rsidP="00D42469">
            <w:pPr>
              <w:spacing w:line="360" w:lineRule="auto"/>
              <w:jc w:val="center"/>
            </w:pPr>
            <w:r w:rsidRPr="00D42469">
              <w:t>5.68</w:t>
            </w:r>
          </w:p>
        </w:tc>
        <w:tc>
          <w:tcPr>
            <w:tcW w:w="1721" w:type="dxa"/>
            <w:vAlign w:val="bottom"/>
          </w:tcPr>
          <w:p w14:paraId="1D0E42B3" w14:textId="77777777" w:rsidR="00D42469" w:rsidRPr="00D42469" w:rsidRDefault="00D42469" w:rsidP="00D42469">
            <w:pPr>
              <w:spacing w:line="360" w:lineRule="auto"/>
              <w:jc w:val="center"/>
            </w:pPr>
            <w:r w:rsidRPr="00D42469">
              <w:t>18.59</w:t>
            </w:r>
          </w:p>
        </w:tc>
      </w:tr>
      <w:tr w:rsidR="00D42469" w:rsidRPr="00D42469" w14:paraId="1A3A3B89" w14:textId="77777777" w:rsidTr="000F444B">
        <w:trPr>
          <w:trHeight w:val="337"/>
        </w:trPr>
        <w:tc>
          <w:tcPr>
            <w:tcW w:w="1833" w:type="dxa"/>
            <w:tcMar>
              <w:top w:w="15" w:type="dxa"/>
              <w:left w:w="15" w:type="dxa"/>
              <w:bottom w:w="0" w:type="dxa"/>
              <w:right w:w="15" w:type="dxa"/>
            </w:tcMar>
            <w:vAlign w:val="bottom"/>
          </w:tcPr>
          <w:p w14:paraId="6BC4611A" w14:textId="77777777" w:rsidR="00D42469" w:rsidRPr="00D42469" w:rsidRDefault="00D42469" w:rsidP="00D42469">
            <w:pPr>
              <w:spacing w:line="360" w:lineRule="auto"/>
              <w:jc w:val="both"/>
              <w:rPr>
                <w:b/>
              </w:rPr>
            </w:pPr>
            <w:r w:rsidRPr="00D42469">
              <w:rPr>
                <w:b/>
                <w:bCs/>
              </w:rPr>
              <w:t>100%NP</w:t>
            </w:r>
          </w:p>
        </w:tc>
        <w:tc>
          <w:tcPr>
            <w:tcW w:w="1986" w:type="dxa"/>
            <w:vAlign w:val="bottom"/>
          </w:tcPr>
          <w:p w14:paraId="67CE0E91" w14:textId="77777777" w:rsidR="00D42469" w:rsidRPr="00D42469" w:rsidRDefault="00D42469" w:rsidP="00D42469">
            <w:pPr>
              <w:spacing w:line="360" w:lineRule="auto"/>
              <w:jc w:val="center"/>
            </w:pPr>
            <w:r w:rsidRPr="00D42469">
              <w:t>2.98</w:t>
            </w:r>
          </w:p>
        </w:tc>
        <w:tc>
          <w:tcPr>
            <w:tcW w:w="2226" w:type="dxa"/>
            <w:vAlign w:val="bottom"/>
          </w:tcPr>
          <w:p w14:paraId="6711AEB5" w14:textId="77777777" w:rsidR="00D42469" w:rsidRPr="00D42469" w:rsidRDefault="00D42469" w:rsidP="00D42469">
            <w:pPr>
              <w:spacing w:line="360" w:lineRule="auto"/>
              <w:jc w:val="center"/>
            </w:pPr>
            <w:r w:rsidRPr="00D42469">
              <w:t>3.98</w:t>
            </w:r>
          </w:p>
        </w:tc>
        <w:tc>
          <w:tcPr>
            <w:tcW w:w="2059" w:type="dxa"/>
            <w:vAlign w:val="bottom"/>
          </w:tcPr>
          <w:p w14:paraId="2C685462" w14:textId="77777777" w:rsidR="00D42469" w:rsidRPr="00D42469" w:rsidRDefault="00D42469" w:rsidP="00D42469">
            <w:pPr>
              <w:spacing w:line="360" w:lineRule="auto"/>
              <w:jc w:val="center"/>
            </w:pPr>
            <w:r w:rsidRPr="00D42469">
              <w:t>4.78</w:t>
            </w:r>
          </w:p>
        </w:tc>
        <w:tc>
          <w:tcPr>
            <w:tcW w:w="1721" w:type="dxa"/>
            <w:vAlign w:val="bottom"/>
          </w:tcPr>
          <w:p w14:paraId="397A0C64" w14:textId="77777777" w:rsidR="00D42469" w:rsidRPr="00D42469" w:rsidRDefault="00D42469" w:rsidP="00D42469">
            <w:pPr>
              <w:spacing w:line="360" w:lineRule="auto"/>
              <w:jc w:val="center"/>
            </w:pPr>
            <w:r w:rsidRPr="00D42469">
              <w:t>17.56</w:t>
            </w:r>
          </w:p>
        </w:tc>
      </w:tr>
      <w:tr w:rsidR="00D42469" w:rsidRPr="00D42469" w14:paraId="75302A0C" w14:textId="77777777" w:rsidTr="000F444B">
        <w:trPr>
          <w:trHeight w:val="337"/>
        </w:trPr>
        <w:tc>
          <w:tcPr>
            <w:tcW w:w="1833" w:type="dxa"/>
            <w:tcMar>
              <w:top w:w="15" w:type="dxa"/>
              <w:left w:w="15" w:type="dxa"/>
              <w:bottom w:w="0" w:type="dxa"/>
              <w:right w:w="15" w:type="dxa"/>
            </w:tcMar>
            <w:vAlign w:val="bottom"/>
          </w:tcPr>
          <w:p w14:paraId="470ABD21" w14:textId="77777777" w:rsidR="00D42469" w:rsidRPr="00D42469" w:rsidRDefault="00D42469" w:rsidP="00D42469">
            <w:pPr>
              <w:spacing w:line="360" w:lineRule="auto"/>
              <w:jc w:val="both"/>
              <w:rPr>
                <w:b/>
              </w:rPr>
            </w:pPr>
            <w:r w:rsidRPr="00D42469">
              <w:rPr>
                <w:b/>
                <w:bCs/>
              </w:rPr>
              <w:t>100%N</w:t>
            </w:r>
          </w:p>
        </w:tc>
        <w:tc>
          <w:tcPr>
            <w:tcW w:w="1986" w:type="dxa"/>
            <w:vAlign w:val="bottom"/>
          </w:tcPr>
          <w:p w14:paraId="020663F9" w14:textId="77777777" w:rsidR="00D42469" w:rsidRPr="00D42469" w:rsidRDefault="00D42469" w:rsidP="00D42469">
            <w:pPr>
              <w:spacing w:line="360" w:lineRule="auto"/>
              <w:jc w:val="center"/>
            </w:pPr>
            <w:r w:rsidRPr="00D42469">
              <w:t>2.11</w:t>
            </w:r>
          </w:p>
        </w:tc>
        <w:tc>
          <w:tcPr>
            <w:tcW w:w="2226" w:type="dxa"/>
            <w:vAlign w:val="bottom"/>
          </w:tcPr>
          <w:p w14:paraId="4A35F7C9" w14:textId="77777777" w:rsidR="00D42469" w:rsidRPr="00D42469" w:rsidRDefault="00D42469" w:rsidP="00D42469">
            <w:pPr>
              <w:spacing w:line="360" w:lineRule="auto"/>
              <w:jc w:val="center"/>
            </w:pPr>
            <w:r w:rsidRPr="00D42469">
              <w:t>2.61</w:t>
            </w:r>
          </w:p>
        </w:tc>
        <w:tc>
          <w:tcPr>
            <w:tcW w:w="2059" w:type="dxa"/>
            <w:vAlign w:val="bottom"/>
          </w:tcPr>
          <w:p w14:paraId="136FB9EF" w14:textId="77777777" w:rsidR="00D42469" w:rsidRPr="00D42469" w:rsidRDefault="00D42469" w:rsidP="00D42469">
            <w:pPr>
              <w:spacing w:line="360" w:lineRule="auto"/>
              <w:jc w:val="center"/>
            </w:pPr>
            <w:r w:rsidRPr="00D42469">
              <w:t>2.62</w:t>
            </w:r>
          </w:p>
        </w:tc>
        <w:tc>
          <w:tcPr>
            <w:tcW w:w="1721" w:type="dxa"/>
            <w:vAlign w:val="bottom"/>
          </w:tcPr>
          <w:p w14:paraId="403CBD1F" w14:textId="77777777" w:rsidR="00D42469" w:rsidRPr="00D42469" w:rsidRDefault="00D42469" w:rsidP="00D42469">
            <w:pPr>
              <w:spacing w:line="360" w:lineRule="auto"/>
              <w:jc w:val="center"/>
            </w:pPr>
            <w:r w:rsidRPr="00D42469">
              <w:t>7.89</w:t>
            </w:r>
          </w:p>
        </w:tc>
      </w:tr>
      <w:tr w:rsidR="00D42469" w:rsidRPr="00D42469" w14:paraId="4BB996CD" w14:textId="77777777" w:rsidTr="000F444B">
        <w:trPr>
          <w:trHeight w:val="312"/>
        </w:trPr>
        <w:tc>
          <w:tcPr>
            <w:tcW w:w="1833" w:type="dxa"/>
            <w:tcMar>
              <w:top w:w="15" w:type="dxa"/>
              <w:left w:w="15" w:type="dxa"/>
              <w:bottom w:w="0" w:type="dxa"/>
              <w:right w:w="15" w:type="dxa"/>
            </w:tcMar>
            <w:vAlign w:val="bottom"/>
          </w:tcPr>
          <w:p w14:paraId="53C9FBC1" w14:textId="7D121ED9" w:rsidR="00D42469" w:rsidRPr="00D42469" w:rsidRDefault="00D42469" w:rsidP="00D42469">
            <w:pPr>
              <w:spacing w:line="360" w:lineRule="auto"/>
              <w:jc w:val="both"/>
              <w:rPr>
                <w:b/>
              </w:rPr>
            </w:pPr>
            <w:r w:rsidRPr="00D42469">
              <w:rPr>
                <w:b/>
                <w:bCs/>
              </w:rPr>
              <w:t>100%NPK+FYM</w:t>
            </w:r>
          </w:p>
        </w:tc>
        <w:tc>
          <w:tcPr>
            <w:tcW w:w="1986" w:type="dxa"/>
            <w:vAlign w:val="bottom"/>
          </w:tcPr>
          <w:p w14:paraId="06CBFC73" w14:textId="77777777" w:rsidR="00D42469" w:rsidRPr="00D42469" w:rsidRDefault="00D42469" w:rsidP="00D42469">
            <w:pPr>
              <w:spacing w:line="360" w:lineRule="auto"/>
              <w:jc w:val="center"/>
            </w:pPr>
            <w:r w:rsidRPr="00D42469">
              <w:t>3.92</w:t>
            </w:r>
          </w:p>
        </w:tc>
        <w:tc>
          <w:tcPr>
            <w:tcW w:w="2226" w:type="dxa"/>
            <w:vAlign w:val="bottom"/>
          </w:tcPr>
          <w:p w14:paraId="5AA07961" w14:textId="77777777" w:rsidR="00D42469" w:rsidRPr="00D42469" w:rsidRDefault="00D42469" w:rsidP="00D42469">
            <w:pPr>
              <w:spacing w:line="360" w:lineRule="auto"/>
              <w:jc w:val="center"/>
            </w:pPr>
            <w:r w:rsidRPr="00D42469">
              <w:t>5.85</w:t>
            </w:r>
          </w:p>
        </w:tc>
        <w:tc>
          <w:tcPr>
            <w:tcW w:w="2059" w:type="dxa"/>
            <w:vAlign w:val="bottom"/>
          </w:tcPr>
          <w:p w14:paraId="595D6184" w14:textId="77777777" w:rsidR="00D42469" w:rsidRPr="00D42469" w:rsidRDefault="00D42469" w:rsidP="00D42469">
            <w:pPr>
              <w:spacing w:line="360" w:lineRule="auto"/>
              <w:jc w:val="center"/>
            </w:pPr>
            <w:r w:rsidRPr="00D42469">
              <w:t>6.78</w:t>
            </w:r>
          </w:p>
        </w:tc>
        <w:tc>
          <w:tcPr>
            <w:tcW w:w="1721" w:type="dxa"/>
            <w:vAlign w:val="bottom"/>
          </w:tcPr>
          <w:p w14:paraId="6E72F8A4" w14:textId="77777777" w:rsidR="00D42469" w:rsidRPr="00D42469" w:rsidRDefault="00D42469" w:rsidP="00D42469">
            <w:pPr>
              <w:spacing w:line="360" w:lineRule="auto"/>
              <w:jc w:val="center"/>
            </w:pPr>
            <w:r w:rsidRPr="00D42469">
              <w:t>22.54</w:t>
            </w:r>
          </w:p>
        </w:tc>
      </w:tr>
      <w:tr w:rsidR="00D42469" w:rsidRPr="00D42469" w14:paraId="35236670" w14:textId="77777777" w:rsidTr="000F444B">
        <w:trPr>
          <w:trHeight w:val="296"/>
        </w:trPr>
        <w:tc>
          <w:tcPr>
            <w:tcW w:w="1833" w:type="dxa"/>
            <w:tcMar>
              <w:top w:w="15" w:type="dxa"/>
              <w:left w:w="15" w:type="dxa"/>
              <w:bottom w:w="0" w:type="dxa"/>
              <w:right w:w="15" w:type="dxa"/>
            </w:tcMar>
            <w:vAlign w:val="bottom"/>
          </w:tcPr>
          <w:p w14:paraId="29DB0D9E" w14:textId="77777777" w:rsidR="00D42469" w:rsidRPr="00D42469" w:rsidRDefault="00D42469" w:rsidP="00D42469">
            <w:pPr>
              <w:spacing w:line="360" w:lineRule="auto"/>
              <w:jc w:val="both"/>
              <w:rPr>
                <w:b/>
              </w:rPr>
            </w:pPr>
            <w:r w:rsidRPr="00D42469">
              <w:rPr>
                <w:b/>
                <w:bCs/>
              </w:rPr>
              <w:lastRenderedPageBreak/>
              <w:t>100%NPK - S</w:t>
            </w:r>
          </w:p>
        </w:tc>
        <w:tc>
          <w:tcPr>
            <w:tcW w:w="1986" w:type="dxa"/>
            <w:vAlign w:val="bottom"/>
          </w:tcPr>
          <w:p w14:paraId="53A62364" w14:textId="77777777" w:rsidR="00D42469" w:rsidRPr="00D42469" w:rsidRDefault="00D42469" w:rsidP="00D42469">
            <w:pPr>
              <w:spacing w:line="360" w:lineRule="auto"/>
              <w:jc w:val="center"/>
            </w:pPr>
            <w:r w:rsidRPr="00D42469">
              <w:t>3.23</w:t>
            </w:r>
          </w:p>
        </w:tc>
        <w:tc>
          <w:tcPr>
            <w:tcW w:w="2226" w:type="dxa"/>
            <w:vAlign w:val="bottom"/>
          </w:tcPr>
          <w:p w14:paraId="27A887A0" w14:textId="77777777" w:rsidR="00D42469" w:rsidRPr="00D42469" w:rsidRDefault="00D42469" w:rsidP="00D42469">
            <w:pPr>
              <w:spacing w:line="360" w:lineRule="auto"/>
              <w:jc w:val="center"/>
            </w:pPr>
            <w:r w:rsidRPr="00D42469">
              <w:t>4.62</w:t>
            </w:r>
          </w:p>
        </w:tc>
        <w:tc>
          <w:tcPr>
            <w:tcW w:w="2059" w:type="dxa"/>
            <w:vAlign w:val="bottom"/>
          </w:tcPr>
          <w:p w14:paraId="0767C5DE" w14:textId="77777777" w:rsidR="00D42469" w:rsidRPr="00D42469" w:rsidRDefault="00D42469" w:rsidP="00D42469">
            <w:pPr>
              <w:spacing w:line="360" w:lineRule="auto"/>
              <w:jc w:val="center"/>
            </w:pPr>
            <w:r w:rsidRPr="00D42469">
              <w:t>4.82</w:t>
            </w:r>
          </w:p>
        </w:tc>
        <w:tc>
          <w:tcPr>
            <w:tcW w:w="1721" w:type="dxa"/>
            <w:vAlign w:val="bottom"/>
          </w:tcPr>
          <w:p w14:paraId="331E86BA" w14:textId="77777777" w:rsidR="00D42469" w:rsidRPr="00D42469" w:rsidRDefault="00D42469" w:rsidP="00D42469">
            <w:pPr>
              <w:spacing w:line="360" w:lineRule="auto"/>
              <w:jc w:val="center"/>
            </w:pPr>
            <w:r w:rsidRPr="00D42469">
              <w:t>18.56</w:t>
            </w:r>
          </w:p>
        </w:tc>
      </w:tr>
      <w:tr w:rsidR="00D42469" w:rsidRPr="00D42469" w14:paraId="45CCAF7E" w14:textId="77777777" w:rsidTr="000F444B">
        <w:trPr>
          <w:trHeight w:val="296"/>
        </w:trPr>
        <w:tc>
          <w:tcPr>
            <w:tcW w:w="1833" w:type="dxa"/>
            <w:tcMar>
              <w:top w:w="15" w:type="dxa"/>
              <w:left w:w="15" w:type="dxa"/>
              <w:bottom w:w="0" w:type="dxa"/>
              <w:right w:w="15" w:type="dxa"/>
            </w:tcMar>
            <w:vAlign w:val="bottom"/>
          </w:tcPr>
          <w:p w14:paraId="2A1D9A80" w14:textId="77777777" w:rsidR="00D42469" w:rsidRPr="00D42469" w:rsidRDefault="00D42469" w:rsidP="00D42469">
            <w:pPr>
              <w:spacing w:line="360" w:lineRule="auto"/>
              <w:jc w:val="both"/>
              <w:rPr>
                <w:b/>
              </w:rPr>
            </w:pPr>
            <w:r w:rsidRPr="00D42469">
              <w:rPr>
                <w:b/>
                <w:bCs/>
              </w:rPr>
              <w:t>FYM</w:t>
            </w:r>
          </w:p>
        </w:tc>
        <w:tc>
          <w:tcPr>
            <w:tcW w:w="1986" w:type="dxa"/>
            <w:vAlign w:val="bottom"/>
          </w:tcPr>
          <w:p w14:paraId="4CBCE2BC" w14:textId="77777777" w:rsidR="00D42469" w:rsidRPr="00D42469" w:rsidRDefault="00D42469" w:rsidP="00D42469">
            <w:pPr>
              <w:spacing w:line="360" w:lineRule="auto"/>
              <w:jc w:val="center"/>
            </w:pPr>
            <w:r w:rsidRPr="00D42469">
              <w:t>4.21</w:t>
            </w:r>
          </w:p>
        </w:tc>
        <w:tc>
          <w:tcPr>
            <w:tcW w:w="2226" w:type="dxa"/>
            <w:vAlign w:val="bottom"/>
          </w:tcPr>
          <w:p w14:paraId="05533605" w14:textId="77777777" w:rsidR="00D42469" w:rsidRPr="00D42469" w:rsidRDefault="00D42469" w:rsidP="00D42469">
            <w:pPr>
              <w:spacing w:line="360" w:lineRule="auto"/>
              <w:jc w:val="center"/>
            </w:pPr>
            <w:r w:rsidRPr="00D42469">
              <w:t>6.21</w:t>
            </w:r>
          </w:p>
        </w:tc>
        <w:tc>
          <w:tcPr>
            <w:tcW w:w="2059" w:type="dxa"/>
            <w:vAlign w:val="bottom"/>
          </w:tcPr>
          <w:p w14:paraId="644C0A9F" w14:textId="77777777" w:rsidR="00D42469" w:rsidRPr="00D42469" w:rsidRDefault="00D42469" w:rsidP="00D42469">
            <w:pPr>
              <w:spacing w:line="360" w:lineRule="auto"/>
              <w:jc w:val="center"/>
            </w:pPr>
            <w:r w:rsidRPr="00D42469">
              <w:t>7.68</w:t>
            </w:r>
          </w:p>
        </w:tc>
        <w:tc>
          <w:tcPr>
            <w:tcW w:w="1721" w:type="dxa"/>
            <w:vAlign w:val="bottom"/>
          </w:tcPr>
          <w:p w14:paraId="5440676D" w14:textId="77777777" w:rsidR="00D42469" w:rsidRPr="00D42469" w:rsidRDefault="00D42469" w:rsidP="00D42469">
            <w:pPr>
              <w:spacing w:line="360" w:lineRule="auto"/>
              <w:jc w:val="center"/>
            </w:pPr>
            <w:r w:rsidRPr="00D42469">
              <w:t>23.88</w:t>
            </w:r>
          </w:p>
        </w:tc>
      </w:tr>
      <w:tr w:rsidR="00D42469" w:rsidRPr="00D42469" w14:paraId="50400896" w14:textId="77777777" w:rsidTr="000F444B">
        <w:trPr>
          <w:trHeight w:val="296"/>
        </w:trPr>
        <w:tc>
          <w:tcPr>
            <w:tcW w:w="1833" w:type="dxa"/>
            <w:tcMar>
              <w:top w:w="15" w:type="dxa"/>
              <w:left w:w="15" w:type="dxa"/>
              <w:bottom w:w="0" w:type="dxa"/>
              <w:right w:w="15" w:type="dxa"/>
            </w:tcMar>
            <w:vAlign w:val="bottom"/>
          </w:tcPr>
          <w:p w14:paraId="58754805" w14:textId="77777777" w:rsidR="00D42469" w:rsidRPr="00D42469" w:rsidRDefault="00D42469" w:rsidP="00D42469">
            <w:pPr>
              <w:spacing w:line="360" w:lineRule="auto"/>
              <w:jc w:val="both"/>
              <w:rPr>
                <w:b/>
              </w:rPr>
            </w:pPr>
            <w:r w:rsidRPr="00D42469">
              <w:rPr>
                <w:b/>
                <w:bCs/>
              </w:rPr>
              <w:t>Control</w:t>
            </w:r>
          </w:p>
        </w:tc>
        <w:tc>
          <w:tcPr>
            <w:tcW w:w="1986" w:type="dxa"/>
            <w:vAlign w:val="bottom"/>
          </w:tcPr>
          <w:p w14:paraId="2658BA17" w14:textId="77777777" w:rsidR="00D42469" w:rsidRPr="00D42469" w:rsidRDefault="00D42469" w:rsidP="00D42469">
            <w:pPr>
              <w:spacing w:line="360" w:lineRule="auto"/>
              <w:jc w:val="center"/>
            </w:pPr>
            <w:r w:rsidRPr="00D42469">
              <w:t>1.98</w:t>
            </w:r>
          </w:p>
        </w:tc>
        <w:tc>
          <w:tcPr>
            <w:tcW w:w="2226" w:type="dxa"/>
            <w:vAlign w:val="bottom"/>
          </w:tcPr>
          <w:p w14:paraId="34E7C8C4" w14:textId="77777777" w:rsidR="00D42469" w:rsidRPr="00D42469" w:rsidRDefault="00D42469" w:rsidP="00D42469">
            <w:pPr>
              <w:spacing w:line="360" w:lineRule="auto"/>
              <w:jc w:val="center"/>
            </w:pPr>
            <w:r w:rsidRPr="00D42469">
              <w:t>2.68</w:t>
            </w:r>
          </w:p>
        </w:tc>
        <w:tc>
          <w:tcPr>
            <w:tcW w:w="2059" w:type="dxa"/>
            <w:vAlign w:val="bottom"/>
          </w:tcPr>
          <w:p w14:paraId="3B0DDAD3" w14:textId="77777777" w:rsidR="00D42469" w:rsidRPr="00D42469" w:rsidRDefault="00D42469" w:rsidP="00D42469">
            <w:pPr>
              <w:spacing w:line="360" w:lineRule="auto"/>
              <w:jc w:val="center"/>
            </w:pPr>
            <w:r w:rsidRPr="00D42469">
              <w:t>2.79</w:t>
            </w:r>
          </w:p>
        </w:tc>
        <w:tc>
          <w:tcPr>
            <w:tcW w:w="1721" w:type="dxa"/>
            <w:vAlign w:val="bottom"/>
          </w:tcPr>
          <w:p w14:paraId="1D909F68" w14:textId="77777777" w:rsidR="00D42469" w:rsidRPr="00D42469" w:rsidRDefault="00D42469" w:rsidP="00D42469">
            <w:pPr>
              <w:spacing w:line="360" w:lineRule="auto"/>
              <w:jc w:val="center"/>
            </w:pPr>
            <w:r w:rsidRPr="00D42469">
              <w:t>6.86</w:t>
            </w:r>
          </w:p>
        </w:tc>
      </w:tr>
    </w:tbl>
    <w:p w14:paraId="439637FC" w14:textId="77777777" w:rsidR="00D42469" w:rsidRPr="00D42469" w:rsidRDefault="00D42469" w:rsidP="00D42469">
      <w:pPr>
        <w:spacing w:line="360" w:lineRule="auto"/>
        <w:jc w:val="both"/>
        <w:rPr>
          <w:b/>
          <w:bCs/>
        </w:rPr>
      </w:pPr>
    </w:p>
    <w:p w14:paraId="07964C87" w14:textId="77777777" w:rsidR="009D3375" w:rsidRDefault="009D3375" w:rsidP="009D3375">
      <w:pPr>
        <w:spacing w:line="360" w:lineRule="auto"/>
      </w:pPr>
      <w:r>
        <w:rPr>
          <w:b/>
          <w:bCs/>
          <w:noProof/>
          <w:color w:val="000000" w:themeColor="text1"/>
        </w:rPr>
        <w:drawing>
          <wp:inline distT="0" distB="0" distL="0" distR="0" wp14:anchorId="765E1AF2" wp14:editId="133CAB68">
            <wp:extent cx="5731510" cy="3510915"/>
            <wp:effectExtent l="0" t="0" r="2540" b="13335"/>
            <wp:docPr id="2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5515457" w14:textId="2094C480" w:rsidR="00DD0D36" w:rsidRDefault="009D3375" w:rsidP="00973465">
      <w:pPr>
        <w:spacing w:line="360" w:lineRule="auto"/>
        <w:jc w:val="both"/>
        <w:rPr>
          <w:b/>
          <w:bCs/>
          <w:color w:val="000000" w:themeColor="text1"/>
        </w:rPr>
      </w:pPr>
      <w:r>
        <w:rPr>
          <w:b/>
          <w:bCs/>
          <w:color w:val="000000" w:themeColor="text1"/>
        </w:rPr>
        <w:t xml:space="preserve">Fig.no.2. Soil quality index as Influence by long-term fertilizers and manures in rice-rice cropping system </w:t>
      </w:r>
    </w:p>
    <w:p w14:paraId="026BA2CB" w14:textId="77777777" w:rsidR="00D252FC" w:rsidRDefault="00D252FC" w:rsidP="00973465">
      <w:pPr>
        <w:spacing w:line="360" w:lineRule="auto"/>
        <w:jc w:val="both"/>
        <w:rPr>
          <w:b/>
          <w:bCs/>
          <w:color w:val="000000" w:themeColor="text1"/>
        </w:rPr>
      </w:pPr>
    </w:p>
    <w:sectPr w:rsidR="00D252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C3701" w14:textId="77777777" w:rsidR="000C1CE0" w:rsidRDefault="000C1CE0">
      <w:r>
        <w:separator/>
      </w:r>
    </w:p>
  </w:endnote>
  <w:endnote w:type="continuationSeparator" w:id="0">
    <w:p w14:paraId="4B1E4C06" w14:textId="77777777" w:rsidR="000C1CE0" w:rsidRDefault="000C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Gautami">
    <w:altName w:val="Gautami"/>
    <w:panose1 w:val="02000500000000000000"/>
    <w:charset w:val="00"/>
    <w:family w:val="swiss"/>
    <w:pitch w:val="variable"/>
    <w:sig w:usb0="00200003" w:usb1="00000000" w:usb2="00000000" w:usb3="00000000" w:csb0="00000001" w:csb1="00000000"/>
  </w:font>
  <w:font w:name="TimesNewRomanPS-BoldMT">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177B" w14:textId="77777777" w:rsidR="0002422D" w:rsidRDefault="00024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22B7" w14:textId="77777777" w:rsidR="0002422D" w:rsidRDefault="00024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55F6" w14:textId="77777777" w:rsidR="0002422D" w:rsidRDefault="00024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8D598" w14:textId="77777777" w:rsidR="000C1CE0" w:rsidRDefault="000C1CE0">
      <w:r>
        <w:separator/>
      </w:r>
    </w:p>
  </w:footnote>
  <w:footnote w:type="continuationSeparator" w:id="0">
    <w:p w14:paraId="351AC942" w14:textId="77777777" w:rsidR="000C1CE0" w:rsidRDefault="000C1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F5A1D" w14:textId="41CCF73C" w:rsidR="0002422D" w:rsidRDefault="0002422D">
    <w:pPr>
      <w:pStyle w:val="Header"/>
    </w:pPr>
    <w:r>
      <w:rPr>
        <w:noProof/>
      </w:rPr>
      <w:pict w14:anchorId="59E1A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943969" o:spid="_x0000_s2050" type="#_x0000_t136" style="position:absolute;margin-left:0;margin-top:0;width:574pt;height:6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FED89" w14:textId="19ED8B84" w:rsidR="0002422D" w:rsidRDefault="0002422D">
    <w:pPr>
      <w:pStyle w:val="Header"/>
    </w:pPr>
    <w:r>
      <w:rPr>
        <w:noProof/>
      </w:rPr>
      <w:pict w14:anchorId="1E400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943970" o:spid="_x0000_s2051" type="#_x0000_t136" style="position:absolute;margin-left:0;margin-top:0;width:574pt;height:6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FC32A" w14:textId="34726FBF" w:rsidR="0002422D" w:rsidRDefault="0002422D">
    <w:pPr>
      <w:pStyle w:val="Header"/>
    </w:pPr>
    <w:r>
      <w:rPr>
        <w:noProof/>
      </w:rPr>
      <w:pict w14:anchorId="06603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943968" o:spid="_x0000_s2049" type="#_x0000_t136" style="position:absolute;margin-left:0;margin-top:0;width:574pt;height:6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901"/>
    <w:rsid w:val="00003CB6"/>
    <w:rsid w:val="0002422D"/>
    <w:rsid w:val="000A7C4C"/>
    <w:rsid w:val="000C1820"/>
    <w:rsid w:val="000C1CE0"/>
    <w:rsid w:val="001136FC"/>
    <w:rsid w:val="00136DE2"/>
    <w:rsid w:val="0015383B"/>
    <w:rsid w:val="0024075A"/>
    <w:rsid w:val="00242481"/>
    <w:rsid w:val="00245AC4"/>
    <w:rsid w:val="002A0394"/>
    <w:rsid w:val="002D0328"/>
    <w:rsid w:val="003062A6"/>
    <w:rsid w:val="003475C3"/>
    <w:rsid w:val="003D4FAF"/>
    <w:rsid w:val="004566F8"/>
    <w:rsid w:val="0046074A"/>
    <w:rsid w:val="0048069F"/>
    <w:rsid w:val="00491A87"/>
    <w:rsid w:val="004A4518"/>
    <w:rsid w:val="004C30A5"/>
    <w:rsid w:val="004D1BDC"/>
    <w:rsid w:val="004D7782"/>
    <w:rsid w:val="00585D25"/>
    <w:rsid w:val="005B6648"/>
    <w:rsid w:val="0060341D"/>
    <w:rsid w:val="0061391E"/>
    <w:rsid w:val="00631BEC"/>
    <w:rsid w:val="00632BE4"/>
    <w:rsid w:val="006677FD"/>
    <w:rsid w:val="007401F9"/>
    <w:rsid w:val="007716F0"/>
    <w:rsid w:val="007C7719"/>
    <w:rsid w:val="007F3C39"/>
    <w:rsid w:val="00803B04"/>
    <w:rsid w:val="0087262C"/>
    <w:rsid w:val="00890450"/>
    <w:rsid w:val="00892F2C"/>
    <w:rsid w:val="008E2A30"/>
    <w:rsid w:val="008E7E3B"/>
    <w:rsid w:val="00940EF3"/>
    <w:rsid w:val="00947A40"/>
    <w:rsid w:val="009565AE"/>
    <w:rsid w:val="009600FA"/>
    <w:rsid w:val="009665C9"/>
    <w:rsid w:val="00973465"/>
    <w:rsid w:val="00975C68"/>
    <w:rsid w:val="00975DB3"/>
    <w:rsid w:val="00990D67"/>
    <w:rsid w:val="00996E74"/>
    <w:rsid w:val="009D3375"/>
    <w:rsid w:val="00A832FA"/>
    <w:rsid w:val="00B06272"/>
    <w:rsid w:val="00B16F01"/>
    <w:rsid w:val="00B227F5"/>
    <w:rsid w:val="00BB7E82"/>
    <w:rsid w:val="00BD0C1D"/>
    <w:rsid w:val="00BD27C8"/>
    <w:rsid w:val="00BF126E"/>
    <w:rsid w:val="00C251F8"/>
    <w:rsid w:val="00C40ADE"/>
    <w:rsid w:val="00C52D68"/>
    <w:rsid w:val="00C84BC6"/>
    <w:rsid w:val="00D24785"/>
    <w:rsid w:val="00D252FC"/>
    <w:rsid w:val="00D418D0"/>
    <w:rsid w:val="00D42469"/>
    <w:rsid w:val="00D66903"/>
    <w:rsid w:val="00D73E79"/>
    <w:rsid w:val="00D928EF"/>
    <w:rsid w:val="00D96ECE"/>
    <w:rsid w:val="00DB64D3"/>
    <w:rsid w:val="00DC1962"/>
    <w:rsid w:val="00DD0D36"/>
    <w:rsid w:val="00DF01F1"/>
    <w:rsid w:val="00F31901"/>
    <w:rsid w:val="00F55FB2"/>
    <w:rsid w:val="00F72532"/>
    <w:rsid w:val="00F84CEA"/>
    <w:rsid w:val="00FA63FB"/>
    <w:rsid w:val="00FC571F"/>
    <w:rsid w:val="00FC69E8"/>
    <w:rsid w:val="030B000A"/>
    <w:rsid w:val="040A1CD2"/>
    <w:rsid w:val="043F0407"/>
    <w:rsid w:val="065B4960"/>
    <w:rsid w:val="072623C9"/>
    <w:rsid w:val="08B814DA"/>
    <w:rsid w:val="0B586E1D"/>
    <w:rsid w:val="0CF8366F"/>
    <w:rsid w:val="0D19520C"/>
    <w:rsid w:val="0E015E61"/>
    <w:rsid w:val="13B0545B"/>
    <w:rsid w:val="17C85590"/>
    <w:rsid w:val="1AAE7552"/>
    <w:rsid w:val="1D266CE1"/>
    <w:rsid w:val="1D6B3F53"/>
    <w:rsid w:val="20187A7F"/>
    <w:rsid w:val="21D80A97"/>
    <w:rsid w:val="22DE5DD7"/>
    <w:rsid w:val="238710EC"/>
    <w:rsid w:val="23D941DC"/>
    <w:rsid w:val="27333F5E"/>
    <w:rsid w:val="28225DE5"/>
    <w:rsid w:val="2CEC7043"/>
    <w:rsid w:val="2FC7196E"/>
    <w:rsid w:val="30E92E60"/>
    <w:rsid w:val="34627AFE"/>
    <w:rsid w:val="347B4B85"/>
    <w:rsid w:val="34F315EC"/>
    <w:rsid w:val="35486AF7"/>
    <w:rsid w:val="358E17EA"/>
    <w:rsid w:val="38FF590E"/>
    <w:rsid w:val="399737E3"/>
    <w:rsid w:val="3F3601F1"/>
    <w:rsid w:val="3F397CC7"/>
    <w:rsid w:val="3F3F1BD0"/>
    <w:rsid w:val="3F402ED5"/>
    <w:rsid w:val="41A710C5"/>
    <w:rsid w:val="43872682"/>
    <w:rsid w:val="441930C8"/>
    <w:rsid w:val="44D66CFF"/>
    <w:rsid w:val="466F101E"/>
    <w:rsid w:val="4B911956"/>
    <w:rsid w:val="503C7A30"/>
    <w:rsid w:val="50835C26"/>
    <w:rsid w:val="51311242"/>
    <w:rsid w:val="547A32A8"/>
    <w:rsid w:val="54B95ACC"/>
    <w:rsid w:val="567355E1"/>
    <w:rsid w:val="595C6329"/>
    <w:rsid w:val="59E0732E"/>
    <w:rsid w:val="5C297741"/>
    <w:rsid w:val="607B4C36"/>
    <w:rsid w:val="62A3607B"/>
    <w:rsid w:val="62BF6990"/>
    <w:rsid w:val="63CC62DF"/>
    <w:rsid w:val="673D776E"/>
    <w:rsid w:val="6A095303"/>
    <w:rsid w:val="70F3077F"/>
    <w:rsid w:val="72966C0C"/>
    <w:rsid w:val="735B56D0"/>
    <w:rsid w:val="74594003"/>
    <w:rsid w:val="7C2B43D3"/>
    <w:rsid w:val="7EE5313E"/>
  </w:rsids>
  <m:mathPr>
    <m:mathFont m:val="Cambria Math"/>
    <m:brkBin m:val="before"/>
    <m:brkBinSub m:val="--"/>
    <m:smallFrac m:val="0"/>
    <m:dispDef/>
    <m:lMargin m:val="0"/>
    <m:rMargin m:val="0"/>
    <m:defJc m:val="centerGroup"/>
    <m:wrapIndent m:val="1440"/>
    <m:intLim m:val="subSup"/>
    <m:naryLim m:val="undOvr"/>
  </m:mathPr>
  <w:themeFontLang w:val="en-IN"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A6622"/>
  <w15:docId w15:val="{7D4CF272-A88F-4023-B82D-1A5065DE4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te-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bidi="ar-SA"/>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qFormat/>
    <w:pPr>
      <w:spacing w:after="120" w:line="48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rPr>
      <w:rFonts w:ascii="Times New Roman" w:eastAsia="Times New Roman" w:hAnsi="Times New Roman" w:cs="Times New Roman"/>
      <w:kern w:val="0"/>
      <w:lang w:val="en-US" w:bidi="ar-SA"/>
      <w14:ligatures w14:val="non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rsid w:val="00DD0D36"/>
    <w:pPr>
      <w:tabs>
        <w:tab w:val="center" w:pos="4513"/>
        <w:tab w:val="right" w:pos="9026"/>
      </w:tabs>
    </w:pPr>
  </w:style>
  <w:style w:type="character" w:customStyle="1" w:styleId="HeaderChar">
    <w:name w:val="Header Char"/>
    <w:basedOn w:val="DefaultParagraphFont"/>
    <w:link w:val="Header"/>
    <w:uiPriority w:val="99"/>
    <w:rsid w:val="00DD0D36"/>
    <w:rPr>
      <w:rFonts w:eastAsia="Times New Roman"/>
      <w:sz w:val="24"/>
      <w:szCs w:val="24"/>
      <w:lang w:val="en-US" w:eastAsia="en-US" w:bidi="ar-SA"/>
    </w:rPr>
  </w:style>
  <w:style w:type="paragraph" w:styleId="Footer">
    <w:name w:val="footer"/>
    <w:basedOn w:val="Normal"/>
    <w:link w:val="FooterChar"/>
    <w:uiPriority w:val="99"/>
    <w:unhideWhenUsed/>
    <w:rsid w:val="00DD0D36"/>
    <w:pPr>
      <w:tabs>
        <w:tab w:val="center" w:pos="4513"/>
        <w:tab w:val="right" w:pos="9026"/>
      </w:tabs>
    </w:pPr>
  </w:style>
  <w:style w:type="character" w:customStyle="1" w:styleId="FooterChar">
    <w:name w:val="Footer Char"/>
    <w:basedOn w:val="DefaultParagraphFont"/>
    <w:link w:val="Footer"/>
    <w:uiPriority w:val="99"/>
    <w:rsid w:val="00DD0D36"/>
    <w:rPr>
      <w:rFonts w:eastAsia="Times New Roman"/>
      <w:sz w:val="24"/>
      <w:szCs w:val="24"/>
      <w:lang w:val="en-US" w:eastAsia="en-US" w:bidi="ar-SA"/>
    </w:rPr>
  </w:style>
  <w:style w:type="character" w:styleId="UnresolvedMention">
    <w:name w:val="Unresolved Mention"/>
    <w:basedOn w:val="DefaultParagraphFont"/>
    <w:uiPriority w:val="99"/>
    <w:semiHidden/>
    <w:unhideWhenUsed/>
    <w:rsid w:val="00240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AICRP-LTFE\ZREAC\Pre-ZREAC-21-22\LTFE\New%20Infiltratio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i\Desktop\Pre-ZREAC\Rabi-2018-19%20LTFE-%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41284545314"/>
          <c:y val="3.3461538461538501E-2"/>
          <c:w val="0.873184859245552"/>
          <c:h val="0.64270361397134701"/>
        </c:manualLayout>
      </c:layout>
      <c:barChart>
        <c:barDir val="col"/>
        <c:grouping val="stacked"/>
        <c:varyColors val="0"/>
        <c:ser>
          <c:idx val="0"/>
          <c:order val="0"/>
          <c:tx>
            <c:strRef>
              <c:f>IR!$B$1</c:f>
              <c:strCache>
                <c:ptCount val="1"/>
                <c:pt idx="0">
                  <c:v>Infiltration Rate (mm/hr)</c:v>
                </c:pt>
              </c:strCache>
            </c:strRef>
          </c:tx>
          <c:invertIfNegative val="0"/>
          <c:cat>
            <c:strRef>
              <c:f>IR!$A$2:$A$13</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IR!$B$2:$B$13</c:f>
              <c:numCache>
                <c:formatCode>0.00</c:formatCode>
                <c:ptCount val="12"/>
                <c:pt idx="0">
                  <c:v>6.66</c:v>
                </c:pt>
                <c:pt idx="1">
                  <c:v>7.66</c:v>
                </c:pt>
                <c:pt idx="2">
                  <c:v>8</c:v>
                </c:pt>
                <c:pt idx="3">
                  <c:v>8.33</c:v>
                </c:pt>
                <c:pt idx="4">
                  <c:v>7.33</c:v>
                </c:pt>
                <c:pt idx="5">
                  <c:v>7.66</c:v>
                </c:pt>
                <c:pt idx="6">
                  <c:v>5.66</c:v>
                </c:pt>
                <c:pt idx="7">
                  <c:v>8.66</c:v>
                </c:pt>
                <c:pt idx="8">
                  <c:v>8</c:v>
                </c:pt>
                <c:pt idx="9">
                  <c:v>9.33</c:v>
                </c:pt>
                <c:pt idx="10">
                  <c:v>5.66</c:v>
                </c:pt>
                <c:pt idx="11">
                  <c:v>6</c:v>
                </c:pt>
              </c:numCache>
            </c:numRef>
          </c:val>
          <c:extLst>
            <c:ext xmlns:c16="http://schemas.microsoft.com/office/drawing/2014/chart" uri="{C3380CC4-5D6E-409C-BE32-E72D297353CC}">
              <c16:uniqueId val="{00000000-0CDD-4BD8-B8DD-4E1C855A893F}"/>
            </c:ext>
          </c:extLst>
        </c:ser>
        <c:dLbls>
          <c:showLegendKey val="0"/>
          <c:showVal val="0"/>
          <c:showCatName val="0"/>
          <c:showSerName val="0"/>
          <c:showPercent val="0"/>
          <c:showBubbleSize val="0"/>
        </c:dLbls>
        <c:gapWidth val="150"/>
        <c:overlap val="100"/>
        <c:axId val="95271168"/>
        <c:axId val="95273344"/>
      </c:barChart>
      <c:catAx>
        <c:axId val="95271168"/>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dk1"/>
                    </a:solidFill>
                    <a:latin typeface="Times New Roman" panose="02020603050405020304" charset="0"/>
                    <a:ea typeface="+mn-ea"/>
                    <a:cs typeface="Times New Roman" panose="02020603050405020304" charset="0"/>
                  </a:defRPr>
                </a:pPr>
                <a:r>
                  <a:rPr lang="en-US" sz="1000"/>
                  <a:t>Treatments</a:t>
                </a:r>
              </a:p>
            </c:rich>
          </c:tx>
          <c:layout>
            <c:manualLayout>
              <c:xMode val="edge"/>
              <c:yMode val="edge"/>
              <c:x val="0.42026246719161298"/>
              <c:y val="0.92388350494649696"/>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73344"/>
        <c:crosses val="autoZero"/>
        <c:auto val="1"/>
        <c:lblAlgn val="ctr"/>
        <c:lblOffset val="100"/>
        <c:noMultiLvlLbl val="0"/>
      </c:catAx>
      <c:valAx>
        <c:axId val="95273344"/>
        <c:scaling>
          <c:orientation val="minMax"/>
        </c:scaling>
        <c:delete val="0"/>
        <c:axPos val="l"/>
        <c:majorGridlines>
          <c:spPr>
            <a:ln w="0" cap="flat" cmpd="sng" algn="ctr">
              <a:solidFill>
                <a:schemeClr val="tx1">
                  <a:tint val="75000"/>
                </a:schemeClr>
              </a:solidFill>
              <a:prstDash val="solid"/>
              <a:round/>
            </a:ln>
          </c:spPr>
        </c:majorGridlines>
        <c:title>
          <c:tx>
            <c:rich>
              <a:bodyPr rot="-5400000" spcFirstLastPara="0" vertOverflow="ellipsis" vert="horz" wrap="square" anchor="ctr" anchorCtr="1"/>
              <a:lstStyle/>
              <a:p>
                <a:pPr>
                  <a:defRPr lang="en-US" sz="1000" b="1" i="0" u="none" strike="noStrike" kern="1200" baseline="0">
                    <a:solidFill>
                      <a:schemeClr val="dk1"/>
                    </a:solidFill>
                    <a:latin typeface="Times New Roman" panose="02020603050405020304" charset="0"/>
                    <a:ea typeface="+mn-ea"/>
                    <a:cs typeface="Times New Roman" panose="02020603050405020304" charset="0"/>
                  </a:defRPr>
                </a:pPr>
                <a:r>
                  <a:rPr lang="en-US" sz="1000" dirty="0"/>
                  <a:t>Infiltration rate (mm h</a:t>
                </a:r>
                <a:r>
                  <a:rPr lang="en-US" sz="1000" baseline="30000" dirty="0"/>
                  <a:t>-1</a:t>
                </a:r>
                <a:r>
                  <a:rPr lang="en-US" sz="1000" dirty="0"/>
                  <a:t>)</a:t>
                </a:r>
              </a:p>
            </c:rich>
          </c:tx>
          <c:layout>
            <c:manualLayout>
              <c:xMode val="edge"/>
              <c:yMode val="edge"/>
              <c:x val="1.64202020652882E-2"/>
              <c:y val="0.216130461785384"/>
            </c:manualLayout>
          </c:layout>
          <c:overlay val="0"/>
        </c:title>
        <c:numFmt formatCode="0" sourceLinked="0"/>
        <c:majorTickMark val="out"/>
        <c:minorTickMark val="none"/>
        <c:tickLblPos val="nextTo"/>
        <c:txPr>
          <a:bodyPr rot="-60000000" spcFirstLastPara="0" vertOverflow="ellipsis" vert="horz" wrap="square" anchor="ctr" anchorCtr="1"/>
          <a:lstStyle/>
          <a:p>
            <a:pPr>
              <a:defRPr lang="en-US" sz="9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71168"/>
        <c:crosses val="autoZero"/>
        <c:crossBetween val="between"/>
      </c:valAx>
      <c:spPr>
        <a:noFill/>
      </c:spPr>
    </c:plotArea>
    <c:plotVisOnly val="1"/>
    <c:dispBlanksAs val="gap"/>
    <c:showDLblsOverMax val="0"/>
    <c:extLst>
      <c:ext uri="{0b15fc19-7d7d-44ad-8c2d-2c3a37ce22c3}">
        <chartProps xmlns="https://web.wps.cn/et/2018/main" chartId="{b8c8069c-bd65-40e3-968a-aeaf8edfc1b8}"/>
      </c:ext>
    </c:extLst>
  </c:chart>
  <c:spPr>
    <a:solidFill>
      <a:schemeClr val="lt1"/>
    </a:solidFill>
    <a:ln w="25400" cap="flat" cmpd="sng" algn="ctr">
      <a:solidFill>
        <a:schemeClr val="accent2"/>
      </a:solidFill>
      <a:prstDash val="solid"/>
      <a:round/>
    </a:ln>
    <a:effectLst/>
  </c:spPr>
  <c:txPr>
    <a:bodyPr/>
    <a:lstStyle/>
    <a:p>
      <a:pPr>
        <a:defRPr lang="en-US" sz="1400">
          <a:solidFill>
            <a:schemeClr val="dk1"/>
          </a:solidFill>
          <a:latin typeface="Times New Roman" panose="02020603050405020304" charset="0"/>
          <a:ea typeface="+mn-ea"/>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139305699995794E-2"/>
          <c:y val="2.5555648629028999E-2"/>
          <c:w val="0.79754370326350799"/>
          <c:h val="0.69535395032143099"/>
        </c:manualLayout>
      </c:layout>
      <c:barChart>
        <c:barDir val="col"/>
        <c:grouping val="stacked"/>
        <c:varyColors val="0"/>
        <c:ser>
          <c:idx val="0"/>
          <c:order val="0"/>
          <c:tx>
            <c:strRef>
              <c:f>Sheet4!$U$4</c:f>
              <c:strCache>
                <c:ptCount val="1"/>
                <c:pt idx="0">
                  <c:v>BD</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Sheet4!$U$5:$U$16</c:f>
              <c:numCache>
                <c:formatCode>0.00</c:formatCode>
                <c:ptCount val="12"/>
                <c:pt idx="0">
                  <c:v>0.19711508456594501</c:v>
                </c:pt>
                <c:pt idx="1">
                  <c:v>0.18081039755351699</c:v>
                </c:pt>
                <c:pt idx="2">
                  <c:v>0.18331331003349999</c:v>
                </c:pt>
                <c:pt idx="3">
                  <c:v>0.19109379225696599</c:v>
                </c:pt>
                <c:pt idx="4">
                  <c:v>0.18702238795621001</c:v>
                </c:pt>
                <c:pt idx="5">
                  <c:v>0.19700543316206101</c:v>
                </c:pt>
                <c:pt idx="6">
                  <c:v>0.21544593882406099</c:v>
                </c:pt>
                <c:pt idx="7">
                  <c:v>0.17654352770669901</c:v>
                </c:pt>
                <c:pt idx="8">
                  <c:v>0.18982564993377599</c:v>
                </c:pt>
                <c:pt idx="9">
                  <c:v>0.173654451586955</c:v>
                </c:pt>
                <c:pt idx="10">
                  <c:v>0.19733438737370701</c:v>
                </c:pt>
                <c:pt idx="11">
                  <c:v>0.187236923311628</c:v>
                </c:pt>
              </c:numCache>
            </c:numRef>
          </c:val>
          <c:extLst>
            <c:ext xmlns:c16="http://schemas.microsoft.com/office/drawing/2014/chart" uri="{C3380CC4-5D6E-409C-BE32-E72D297353CC}">
              <c16:uniqueId val="{00000000-4E98-4CFC-8B00-6E26DEB358D1}"/>
            </c:ext>
          </c:extLst>
        </c:ser>
        <c:ser>
          <c:idx val="1"/>
          <c:order val="1"/>
          <c:tx>
            <c:strRef>
              <c:f>Sheet4!$V$4</c:f>
              <c:strCache>
                <c:ptCount val="1"/>
                <c:pt idx="0">
                  <c:v>EC</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Sheet4!$V$5:$V$16</c:f>
              <c:numCache>
                <c:formatCode>0.00</c:formatCode>
                <c:ptCount val="12"/>
                <c:pt idx="0">
                  <c:v>4.5299145299145298E-2</c:v>
                </c:pt>
                <c:pt idx="1">
                  <c:v>4.2450142450142503E-2</c:v>
                </c:pt>
                <c:pt idx="2">
                  <c:v>5.32763532763533E-2</c:v>
                </c:pt>
                <c:pt idx="3">
                  <c:v>5.2136752136752097E-2</c:v>
                </c:pt>
                <c:pt idx="4">
                  <c:v>4.3874643874643897E-2</c:v>
                </c:pt>
                <c:pt idx="5">
                  <c:v>7.2364672364672505E-2</c:v>
                </c:pt>
                <c:pt idx="6">
                  <c:v>4.2450142450142503E-2</c:v>
                </c:pt>
                <c:pt idx="7">
                  <c:v>5.7549857549857399E-2</c:v>
                </c:pt>
                <c:pt idx="8">
                  <c:v>4.3874643874643897E-2</c:v>
                </c:pt>
                <c:pt idx="9">
                  <c:v>5.1566951566951597E-2</c:v>
                </c:pt>
                <c:pt idx="10">
                  <c:v>7.7207977207977896E-2</c:v>
                </c:pt>
                <c:pt idx="11">
                  <c:v>2.4501424501424601E-2</c:v>
                </c:pt>
              </c:numCache>
            </c:numRef>
          </c:val>
          <c:extLst>
            <c:ext xmlns:c16="http://schemas.microsoft.com/office/drawing/2014/chart" uri="{C3380CC4-5D6E-409C-BE32-E72D297353CC}">
              <c16:uniqueId val="{00000001-4E98-4CFC-8B00-6E26DEB358D1}"/>
            </c:ext>
          </c:extLst>
        </c:ser>
        <c:ser>
          <c:idx val="2"/>
          <c:order val="2"/>
          <c:tx>
            <c:strRef>
              <c:f>Sheet4!$W$4</c:f>
              <c:strCache>
                <c:ptCount val="1"/>
                <c:pt idx="0">
                  <c:v>Avil. P</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Sheet4!$W$5:$W$16</c:f>
              <c:numCache>
                <c:formatCode>0.00</c:formatCode>
                <c:ptCount val="12"/>
                <c:pt idx="0">
                  <c:v>0.194442949500684</c:v>
                </c:pt>
                <c:pt idx="1">
                  <c:v>0.36056040500673803</c:v>
                </c:pt>
                <c:pt idx="2">
                  <c:v>0.476467641321555</c:v>
                </c:pt>
                <c:pt idx="3">
                  <c:v>0.330028870357366</c:v>
                </c:pt>
                <c:pt idx="4">
                  <c:v>0.37587449584518901</c:v>
                </c:pt>
                <c:pt idx="5">
                  <c:v>0.41424236448235402</c:v>
                </c:pt>
                <c:pt idx="6">
                  <c:v>0.134040717709424</c:v>
                </c:pt>
                <c:pt idx="7">
                  <c:v>0.56127137796676496</c:v>
                </c:pt>
                <c:pt idx="8">
                  <c:v>0.36583748095405999</c:v>
                </c:pt>
                <c:pt idx="9">
                  <c:v>0.57893190949060003</c:v>
                </c:pt>
                <c:pt idx="10">
                  <c:v>0.135257043564737</c:v>
                </c:pt>
                <c:pt idx="11">
                  <c:v>0.24906787381313</c:v>
                </c:pt>
              </c:numCache>
            </c:numRef>
          </c:val>
          <c:extLst>
            <c:ext xmlns:c16="http://schemas.microsoft.com/office/drawing/2014/chart" uri="{C3380CC4-5D6E-409C-BE32-E72D297353CC}">
              <c16:uniqueId val="{00000002-4E98-4CFC-8B00-6E26DEB358D1}"/>
            </c:ext>
          </c:extLst>
        </c:ser>
        <c:ser>
          <c:idx val="3"/>
          <c:order val="3"/>
          <c:tx>
            <c:strRef>
              <c:f>Sheet4!$X$4</c:f>
              <c:strCache>
                <c:ptCount val="1"/>
                <c:pt idx="0">
                  <c:v>Acti</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Sheet4!$X$5:$X$16</c:f>
              <c:numCache>
                <c:formatCode>0.00</c:formatCode>
                <c:ptCount val="12"/>
                <c:pt idx="0">
                  <c:v>0.27885964912282102</c:v>
                </c:pt>
                <c:pt idx="1">
                  <c:v>0.31763157894736899</c:v>
                </c:pt>
                <c:pt idx="2">
                  <c:v>0.46750000000000003</c:v>
                </c:pt>
                <c:pt idx="3">
                  <c:v>0.41903508771929798</c:v>
                </c:pt>
                <c:pt idx="4">
                  <c:v>0.45407894736843502</c:v>
                </c:pt>
                <c:pt idx="5">
                  <c:v>0.34521929824561798</c:v>
                </c:pt>
                <c:pt idx="6">
                  <c:v>0.21771929824562</c:v>
                </c:pt>
                <c:pt idx="7">
                  <c:v>0.64421052631581199</c:v>
                </c:pt>
                <c:pt idx="8">
                  <c:v>0.32210526315791499</c:v>
                </c:pt>
                <c:pt idx="9">
                  <c:v>0.66508771929824595</c:v>
                </c:pt>
                <c:pt idx="10">
                  <c:v>0.19907894736842399</c:v>
                </c:pt>
                <c:pt idx="11">
                  <c:v>0.36162280701756599</c:v>
                </c:pt>
              </c:numCache>
            </c:numRef>
          </c:val>
          <c:extLst>
            <c:ext xmlns:c16="http://schemas.microsoft.com/office/drawing/2014/chart" uri="{C3380CC4-5D6E-409C-BE32-E72D297353CC}">
              <c16:uniqueId val="{00000003-4E98-4CFC-8B00-6E26DEB358D1}"/>
            </c:ext>
          </c:extLst>
        </c:ser>
        <c:ser>
          <c:idx val="4"/>
          <c:order val="4"/>
          <c:tx>
            <c:strRef>
              <c:f>Sheet4!$Y$4</c:f>
              <c:strCache>
                <c:ptCount val="1"/>
                <c:pt idx="0">
                  <c:v>Fun</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Sheet4!$Y$5:$Y$16</c:f>
              <c:numCache>
                <c:formatCode>0.00</c:formatCode>
                <c:ptCount val="12"/>
                <c:pt idx="0">
                  <c:v>0.24721934369604001</c:v>
                </c:pt>
                <c:pt idx="1">
                  <c:v>0.37229706390328199</c:v>
                </c:pt>
                <c:pt idx="2">
                  <c:v>0.41986183074267502</c:v>
                </c:pt>
                <c:pt idx="3">
                  <c:v>0.42808290155442902</c:v>
                </c:pt>
                <c:pt idx="4">
                  <c:v>0.429844559585501</c:v>
                </c:pt>
                <c:pt idx="5">
                  <c:v>0.26483592400690797</c:v>
                </c:pt>
                <c:pt idx="6">
                  <c:v>0.15737478411053499</c:v>
                </c:pt>
                <c:pt idx="7">
                  <c:v>0.64476683937823898</c:v>
                </c:pt>
                <c:pt idx="8">
                  <c:v>0.28069084628670099</c:v>
                </c:pt>
                <c:pt idx="9">
                  <c:v>0.66062176165806796</c:v>
                </c:pt>
                <c:pt idx="10">
                  <c:v>0.18849740932643999</c:v>
                </c:pt>
                <c:pt idx="11">
                  <c:v>0.26483592400690797</c:v>
                </c:pt>
              </c:numCache>
            </c:numRef>
          </c:val>
          <c:extLst>
            <c:ext xmlns:c16="http://schemas.microsoft.com/office/drawing/2014/chart" uri="{C3380CC4-5D6E-409C-BE32-E72D297353CC}">
              <c16:uniqueId val="{00000004-4E98-4CFC-8B00-6E26DEB358D1}"/>
            </c:ext>
          </c:extLst>
        </c:ser>
        <c:ser>
          <c:idx val="5"/>
          <c:order val="5"/>
          <c:tx>
            <c:strRef>
              <c:f>Sheet4!$Z$4</c:f>
              <c:strCache>
                <c:ptCount val="1"/>
                <c:pt idx="0">
                  <c:v>Bact</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Sheet4!$Z$5:$Z$16</c:f>
              <c:numCache>
                <c:formatCode>0.00</c:formatCode>
                <c:ptCount val="12"/>
                <c:pt idx="0">
                  <c:v>0.307874956094151</c:v>
                </c:pt>
                <c:pt idx="1">
                  <c:v>0.488682824025301</c:v>
                </c:pt>
                <c:pt idx="2">
                  <c:v>0.47339655778011902</c:v>
                </c:pt>
                <c:pt idx="3">
                  <c:v>0.44712328767123299</c:v>
                </c:pt>
                <c:pt idx="4">
                  <c:v>0.483428170003524</c:v>
                </c:pt>
                <c:pt idx="5">
                  <c:v>0.36997541271513901</c:v>
                </c:pt>
                <c:pt idx="6">
                  <c:v>0.244341412012649</c:v>
                </c:pt>
                <c:pt idx="7">
                  <c:v>0.61312258517737905</c:v>
                </c:pt>
                <c:pt idx="8">
                  <c:v>0.34035827186513601</c:v>
                </c:pt>
                <c:pt idx="9">
                  <c:v>0.63390235335443301</c:v>
                </c:pt>
                <c:pt idx="10">
                  <c:v>0.211619248331577</c:v>
                </c:pt>
                <c:pt idx="11">
                  <c:v>0.27634703196346999</c:v>
                </c:pt>
              </c:numCache>
            </c:numRef>
          </c:val>
          <c:extLst>
            <c:ext xmlns:c16="http://schemas.microsoft.com/office/drawing/2014/chart" uri="{C3380CC4-5D6E-409C-BE32-E72D297353CC}">
              <c16:uniqueId val="{00000005-4E98-4CFC-8B00-6E26DEB358D1}"/>
            </c:ext>
          </c:extLst>
        </c:ser>
        <c:ser>
          <c:idx val="6"/>
          <c:order val="6"/>
          <c:tx>
            <c:strRef>
              <c:f>Sheet4!$AA$4</c:f>
              <c:strCache>
                <c:ptCount val="1"/>
                <c:pt idx="0">
                  <c:v>Infil</c:v>
                </c:pt>
              </c:strCache>
            </c:strRef>
          </c:tx>
          <c:invertIfNegative val="0"/>
          <c:cat>
            <c:strRef>
              <c:f>Sheet4!$T$5:$T$16</c:f>
              <c:strCache>
                <c:ptCount val="12"/>
                <c:pt idx="0">
                  <c:v>50% NPK</c:v>
                </c:pt>
                <c:pt idx="1">
                  <c:v>100% NPK</c:v>
                </c:pt>
                <c:pt idx="2">
                  <c:v>150% NPK</c:v>
                </c:pt>
                <c:pt idx="3">
                  <c:v>100% NPK+HW</c:v>
                </c:pt>
                <c:pt idx="4">
                  <c:v>100% NPK+Zn</c:v>
                </c:pt>
                <c:pt idx="5">
                  <c:v>100% NP</c:v>
                </c:pt>
                <c:pt idx="6">
                  <c:v>100% N</c:v>
                </c:pt>
                <c:pt idx="7">
                  <c:v>100% NPK+FYM</c:v>
                </c:pt>
                <c:pt idx="8">
                  <c:v>100% NPK-S</c:v>
                </c:pt>
                <c:pt idx="9">
                  <c:v>FYM</c:v>
                </c:pt>
                <c:pt idx="10">
                  <c:v>Control</c:v>
                </c:pt>
                <c:pt idx="11">
                  <c:v>Fallow</c:v>
                </c:pt>
              </c:strCache>
            </c:strRef>
          </c:cat>
          <c:val>
            <c:numRef>
              <c:f>Sheet4!$AA$5:$AA$16</c:f>
              <c:numCache>
                <c:formatCode>0.00</c:formatCode>
                <c:ptCount val="12"/>
                <c:pt idx="0">
                  <c:v>0.466886597938167</c:v>
                </c:pt>
                <c:pt idx="1">
                  <c:v>0.53698969072165004</c:v>
                </c:pt>
                <c:pt idx="2">
                  <c:v>0.560824742268064</c:v>
                </c:pt>
                <c:pt idx="3">
                  <c:v>0.58395876288659898</c:v>
                </c:pt>
                <c:pt idx="4">
                  <c:v>0.51385567010312305</c:v>
                </c:pt>
                <c:pt idx="5">
                  <c:v>0.53698969072165004</c:v>
                </c:pt>
                <c:pt idx="6">
                  <c:v>0.39678350515466998</c:v>
                </c:pt>
                <c:pt idx="7">
                  <c:v>0.60709278350515505</c:v>
                </c:pt>
                <c:pt idx="8">
                  <c:v>0.560824742268064</c:v>
                </c:pt>
                <c:pt idx="9">
                  <c:v>0.65406185567014097</c:v>
                </c:pt>
                <c:pt idx="10">
                  <c:v>0.39678350515466998</c:v>
                </c:pt>
                <c:pt idx="11">
                  <c:v>0.42061855670103099</c:v>
                </c:pt>
              </c:numCache>
            </c:numRef>
          </c:val>
          <c:extLst>
            <c:ext xmlns:c16="http://schemas.microsoft.com/office/drawing/2014/chart" uri="{C3380CC4-5D6E-409C-BE32-E72D297353CC}">
              <c16:uniqueId val="{00000006-4E98-4CFC-8B00-6E26DEB358D1}"/>
            </c:ext>
          </c:extLst>
        </c:ser>
        <c:dLbls>
          <c:showLegendKey val="0"/>
          <c:showVal val="0"/>
          <c:showCatName val="0"/>
          <c:showSerName val="0"/>
          <c:showPercent val="0"/>
          <c:showBubbleSize val="0"/>
        </c:dLbls>
        <c:gapWidth val="150"/>
        <c:overlap val="100"/>
        <c:axId val="95261440"/>
        <c:axId val="95263360"/>
      </c:barChart>
      <c:catAx>
        <c:axId val="95261440"/>
        <c:scaling>
          <c:orientation val="minMax"/>
        </c:scaling>
        <c:delete val="0"/>
        <c:axPos val="b"/>
        <c:title>
          <c:tx>
            <c:rich>
              <a:bodyPr rot="0" spcFirstLastPara="0" vertOverflow="ellipsis" vert="horz" wrap="square" anchor="ctr" anchorCtr="1"/>
              <a:lstStyle/>
              <a:p>
                <a:pPr>
                  <a:defRPr lang="en-US" sz="1050" b="1" i="0" u="none" strike="noStrike" kern="1200" baseline="0">
                    <a:solidFill>
                      <a:schemeClr val="dk1"/>
                    </a:solidFill>
                    <a:latin typeface="Times New Roman" panose="02020603050405020304" charset="0"/>
                    <a:ea typeface="+mn-ea"/>
                    <a:cs typeface="Times New Roman" panose="02020603050405020304" charset="0"/>
                  </a:defRPr>
                </a:pPr>
                <a:r>
                  <a:rPr lang="en-IN" sz="1050"/>
                  <a:t>Treatments</a:t>
                </a:r>
              </a:p>
            </c:rich>
          </c:tx>
          <c:layout>
            <c:manualLayout>
              <c:xMode val="edge"/>
              <c:yMode val="edge"/>
              <c:x val="0.39389589027336003"/>
              <c:y val="0.926102534192629"/>
            </c:manualLayout>
          </c:layout>
          <c:overlay val="0"/>
        </c:title>
        <c:numFmt formatCode="General" sourceLinked="0"/>
        <c:majorTickMark val="out"/>
        <c:minorTickMark val="none"/>
        <c:tickLblPos val="nextTo"/>
        <c:txPr>
          <a:bodyPr rot="-60000000" spcFirstLastPara="0" vertOverflow="ellipsis" vert="horz" wrap="square" anchor="ctr" anchorCtr="1"/>
          <a:lstStyle/>
          <a:p>
            <a:pPr>
              <a:defRPr lang="en-US" sz="8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63360"/>
        <c:crosses val="autoZero"/>
        <c:auto val="1"/>
        <c:lblAlgn val="ctr"/>
        <c:lblOffset val="100"/>
        <c:noMultiLvlLbl val="0"/>
      </c:catAx>
      <c:valAx>
        <c:axId val="95263360"/>
        <c:scaling>
          <c:orientation val="minMax"/>
        </c:scaling>
        <c:delete val="0"/>
        <c:axPos val="l"/>
        <c:majorGridlines/>
        <c:title>
          <c:tx>
            <c:rich>
              <a:bodyPr rot="-5400000" spcFirstLastPara="0" vertOverflow="ellipsis" vert="horz" wrap="square" anchor="ctr" anchorCtr="1"/>
              <a:lstStyle/>
              <a:p>
                <a:pPr>
                  <a:defRPr lang="en-US" sz="1100" b="1" i="0" u="none" strike="noStrike" kern="1200" baseline="0">
                    <a:solidFill>
                      <a:schemeClr val="dk1"/>
                    </a:solidFill>
                    <a:latin typeface="Times New Roman" panose="02020603050405020304" charset="0"/>
                    <a:ea typeface="+mn-ea"/>
                    <a:cs typeface="Times New Roman" panose="02020603050405020304" charset="0"/>
                  </a:defRPr>
                </a:pPr>
                <a:r>
                  <a:rPr lang="en-IN" sz="1100"/>
                  <a:t>Soil quality index (SQI)</a:t>
                </a:r>
              </a:p>
            </c:rich>
          </c:tx>
          <c:layout>
            <c:manualLayout>
              <c:xMode val="edge"/>
              <c:yMode val="edge"/>
              <c:x val="1.1006289308176299E-2"/>
              <c:y val="0.23047320171935001"/>
            </c:manualLayout>
          </c:layout>
          <c:overlay val="0"/>
        </c:title>
        <c:numFmt formatCode="0.0" sourceLinked="0"/>
        <c:majorTickMark val="out"/>
        <c:minorTickMark val="none"/>
        <c:tickLblPos val="nextTo"/>
        <c:txPr>
          <a:bodyPr rot="-60000000" spcFirstLastPara="0" vertOverflow="ellipsis" vert="horz" wrap="square" anchor="ctr" anchorCtr="1"/>
          <a:lstStyle/>
          <a:p>
            <a:pPr>
              <a:defRPr lang="en-US" sz="800" b="1" i="0" u="none" strike="noStrike" kern="1200" baseline="0">
                <a:solidFill>
                  <a:schemeClr val="dk1"/>
                </a:solidFill>
                <a:latin typeface="Times New Roman" panose="02020603050405020304" charset="0"/>
                <a:ea typeface="+mn-ea"/>
                <a:cs typeface="Times New Roman" panose="02020603050405020304" charset="0"/>
              </a:defRPr>
            </a:pPr>
            <a:endParaRPr lang="en-US"/>
          </a:p>
        </c:txPr>
        <c:crossAx val="95261440"/>
        <c:crosses val="autoZero"/>
        <c:crossBetween val="between"/>
      </c:valAx>
      <c:spPr>
        <a:solidFill>
          <a:schemeClr val="bg1"/>
        </a:solidFill>
        <a:ln>
          <a:noFill/>
        </a:ln>
        <a:effectLst/>
      </c:spPr>
    </c:plotArea>
    <c:legend>
      <c:legendPos val="r"/>
      <c:layout>
        <c:manualLayout>
          <c:xMode val="edge"/>
          <c:yMode val="edge"/>
          <c:x val="0.88860792389875898"/>
          <c:y val="1.48413785233368E-2"/>
          <c:w val="0.109819714777319"/>
          <c:h val="0.60755391989044805"/>
        </c:manualLayout>
      </c:layout>
      <c:overlay val="0"/>
      <c:txPr>
        <a:bodyPr rot="0" spcFirstLastPara="0" vertOverflow="ellipsis" vert="horz" wrap="square" anchor="ctr" anchorCtr="1"/>
        <a:lstStyle/>
        <a:p>
          <a:pPr>
            <a:defRPr lang="en-US" sz="1000" b="0" i="0" u="none" strike="noStrike" kern="1200" baseline="0">
              <a:solidFill>
                <a:schemeClr val="dk1"/>
              </a:solidFill>
              <a:latin typeface="Times New Roman" panose="02020603050405020304" charset="0"/>
              <a:ea typeface="+mn-ea"/>
              <a:cs typeface="Times New Roman" panose="02020603050405020304" charset="0"/>
            </a:defRPr>
          </a:pPr>
          <a:endParaRPr lang="en-US"/>
        </a:p>
      </c:txPr>
    </c:legend>
    <c:plotVisOnly val="1"/>
    <c:dispBlanksAs val="gap"/>
    <c:showDLblsOverMax val="0"/>
    <c:extLst>
      <c:ext uri="{0b15fc19-7d7d-44ad-8c2d-2c3a37ce22c3}">
        <chartProps xmlns="https://web.wps.cn/et/2018/main" chartId="{24413f8e-169d-420f-afeb-bd5eda940d0b}"/>
      </c:ext>
    </c:extLst>
  </c:chart>
  <c:spPr>
    <a:solidFill>
      <a:schemeClr val="lt1"/>
    </a:solidFill>
    <a:ln w="25400" cap="flat" cmpd="sng" algn="ctr">
      <a:solidFill>
        <a:schemeClr val="dk1"/>
      </a:solidFill>
      <a:prstDash val="solid"/>
      <a:round/>
    </a:ln>
    <a:effectLst/>
  </c:spPr>
  <c:txPr>
    <a:bodyPr/>
    <a:lstStyle/>
    <a:p>
      <a:pPr>
        <a:defRPr lang="en-US">
          <a:solidFill>
            <a:schemeClr val="dk1"/>
          </a:solidFill>
          <a:latin typeface="Times New Roman" panose="02020603050405020304" charset="0"/>
          <a:ea typeface="+mn-ea"/>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15</Pages>
  <Words>4749</Words>
  <Characters>27074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rarsjgl2025@outlook.com</dc:creator>
  <cp:lastModifiedBy>SDI 1084</cp:lastModifiedBy>
  <cp:revision>41</cp:revision>
  <dcterms:created xsi:type="dcterms:W3CDTF">2025-09-04T23:35:00Z</dcterms:created>
  <dcterms:modified xsi:type="dcterms:W3CDTF">2025-09-08T10:15:00Z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ECC91285BB0646A186479CA99045D041_12</vt:lpwstr>
  </property>
</Properties>
</file>