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E2DA" w14:textId="77777777" w:rsidR="00754C9A" w:rsidRDefault="00754C9A" w:rsidP="00441B6F">
      <w:pPr>
        <w:pStyle w:val="Title"/>
        <w:spacing w:after="0"/>
        <w:jc w:val="both"/>
        <w:rPr>
          <w:rFonts w:ascii="Arial" w:hAnsi="Arial" w:cs="Arial"/>
        </w:rPr>
      </w:pPr>
    </w:p>
    <w:p w14:paraId="7F8DADDE" w14:textId="77777777" w:rsidR="009F002F" w:rsidRPr="009F002F" w:rsidRDefault="009F002F" w:rsidP="009F002F">
      <w:pPr>
        <w:pStyle w:val="Author"/>
        <w:spacing w:line="240" w:lineRule="auto"/>
        <w:rPr>
          <w:rFonts w:ascii="Arial" w:hAnsi="Arial" w:cs="Arial"/>
          <w:bCs/>
          <w:iCs/>
          <w:kern w:val="28"/>
          <w:sz w:val="36"/>
        </w:rPr>
      </w:pPr>
      <w:r w:rsidRPr="009F002F">
        <w:rPr>
          <w:rFonts w:ascii="Arial" w:hAnsi="Arial" w:cs="Arial"/>
          <w:bCs/>
          <w:iCs/>
          <w:kern w:val="28"/>
          <w:sz w:val="36"/>
        </w:rPr>
        <w:t>Plant-based and biocontrol alternative approaches for managing Fusarium wilt of tomato (</w:t>
      </w:r>
      <w:r w:rsidRPr="009F002F">
        <w:rPr>
          <w:rFonts w:ascii="Arial" w:hAnsi="Arial" w:cs="Arial"/>
          <w:bCs/>
          <w:i/>
          <w:iCs/>
          <w:kern w:val="28"/>
          <w:sz w:val="36"/>
        </w:rPr>
        <w:t xml:space="preserve">Solanum </w:t>
      </w:r>
      <w:proofErr w:type="spellStart"/>
      <w:r w:rsidRPr="009F002F">
        <w:rPr>
          <w:rFonts w:ascii="Arial" w:hAnsi="Arial" w:cs="Arial"/>
          <w:bCs/>
          <w:i/>
          <w:iCs/>
          <w:kern w:val="28"/>
          <w:sz w:val="36"/>
        </w:rPr>
        <w:t>lycopersicum</w:t>
      </w:r>
      <w:proofErr w:type="spellEnd"/>
      <w:r w:rsidRPr="009F002F">
        <w:rPr>
          <w:rFonts w:ascii="Arial" w:hAnsi="Arial" w:cs="Arial"/>
          <w:bCs/>
          <w:iCs/>
          <w:kern w:val="28"/>
          <w:sz w:val="36"/>
        </w:rPr>
        <w:t xml:space="preserve"> L.) in Burkina Faso.</w:t>
      </w:r>
    </w:p>
    <w:p w14:paraId="79541455" w14:textId="77777777" w:rsidR="00A258C3" w:rsidRPr="00790ADA" w:rsidRDefault="00A258C3" w:rsidP="00441B6F">
      <w:pPr>
        <w:pStyle w:val="Author"/>
        <w:spacing w:line="240" w:lineRule="auto"/>
        <w:jc w:val="both"/>
        <w:rPr>
          <w:rFonts w:ascii="Arial" w:hAnsi="Arial" w:cs="Arial"/>
          <w:sz w:val="36"/>
        </w:rPr>
      </w:pPr>
    </w:p>
    <w:p w14:paraId="14CD94AC" w14:textId="77777777" w:rsidR="00B01FCD" w:rsidRPr="00FB3A86" w:rsidRDefault="00943BF6" w:rsidP="00441B6F">
      <w:pPr>
        <w:pStyle w:val="Copyright"/>
        <w:spacing w:after="0" w:line="240" w:lineRule="auto"/>
        <w:jc w:val="both"/>
        <w:rPr>
          <w:rFonts w:ascii="Arial" w:hAnsi="Arial" w:cs="Arial"/>
        </w:rPr>
        <w:sectPr w:rsidR="00B01FCD" w:rsidRPr="00FB3A86" w:rsidSect="00AF60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EBC43C" wp14:editId="6ED3E8F1">
                <wp:extent cx="5303520" cy="0"/>
                <wp:effectExtent l="17145" t="12700" r="1333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3A25B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DCD354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90E9E">
        <w:rPr>
          <w:rFonts w:ascii="Arial" w:hAnsi="Arial" w:cs="Arial"/>
        </w:rPr>
        <w:t xml:space="preserve"> </w:t>
      </w:r>
    </w:p>
    <w:p w14:paraId="348167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C549E3" w14:textId="77777777" w:rsidTr="001E44FE">
        <w:tc>
          <w:tcPr>
            <w:tcW w:w="9576" w:type="dxa"/>
            <w:shd w:val="clear" w:color="auto" w:fill="F2F2F2"/>
          </w:tcPr>
          <w:p w14:paraId="635AD5B4" w14:textId="77777777" w:rsidR="00505F06" w:rsidRPr="00BA1B01" w:rsidRDefault="00290E9E" w:rsidP="00441B6F">
            <w:pPr>
              <w:pStyle w:val="Body"/>
              <w:spacing w:after="0"/>
              <w:rPr>
                <w:rFonts w:ascii="Arial" w:eastAsia="Calibri" w:hAnsi="Arial" w:cs="Arial"/>
                <w:szCs w:val="22"/>
              </w:rPr>
            </w:pPr>
            <w:r w:rsidRPr="00290E9E">
              <w:rPr>
                <w:rFonts w:ascii="Arial" w:eastAsia="Calibri" w:hAnsi="Arial" w:cs="Arial"/>
                <w:szCs w:val="22"/>
              </w:rPr>
              <w:t xml:space="preserve">Vascular Fusarium wilt, caused by </w:t>
            </w:r>
            <w:r w:rsidRPr="00290E9E">
              <w:rPr>
                <w:rFonts w:ascii="Arial" w:eastAsia="Calibri" w:hAnsi="Arial" w:cs="Arial"/>
                <w:i/>
                <w:iCs/>
                <w:szCs w:val="22"/>
              </w:rPr>
              <w:t>Fusarium</w:t>
            </w:r>
            <w:r w:rsidRPr="00290E9E">
              <w:rPr>
                <w:rFonts w:ascii="Arial" w:eastAsia="Calibri" w:hAnsi="Arial" w:cs="Arial"/>
                <w:szCs w:val="22"/>
              </w:rPr>
              <w:t xml:space="preserve"> sp., is a major constraint to tomato production in Burkina Faso. This study aimed to evaluate the pathogenic variability of local </w:t>
            </w:r>
            <w:r w:rsidRPr="00290E9E">
              <w:rPr>
                <w:rFonts w:ascii="Arial" w:eastAsia="Calibri" w:hAnsi="Arial" w:cs="Arial"/>
                <w:i/>
                <w:iCs/>
                <w:szCs w:val="22"/>
              </w:rPr>
              <w:t>Fusarium</w:t>
            </w:r>
            <w:r w:rsidRPr="00290E9E">
              <w:rPr>
                <w:rFonts w:ascii="Arial" w:eastAsia="Calibri" w:hAnsi="Arial" w:cs="Arial"/>
                <w:szCs w:val="22"/>
              </w:rPr>
              <w:t xml:space="preserve"> strains and the efficacy of plant-based treatments against the pathogen. Eight </w:t>
            </w:r>
            <w:r w:rsidRPr="00290E9E">
              <w:rPr>
                <w:rFonts w:ascii="Arial" w:eastAsia="Calibri" w:hAnsi="Arial" w:cs="Arial"/>
                <w:i/>
                <w:iCs/>
                <w:szCs w:val="22"/>
              </w:rPr>
              <w:t>Fusarium</w:t>
            </w:r>
            <w:r w:rsidRPr="00290E9E">
              <w:rPr>
                <w:rFonts w:ascii="Arial" w:eastAsia="Calibri" w:hAnsi="Arial" w:cs="Arial"/>
                <w:szCs w:val="22"/>
              </w:rPr>
              <w:t xml:space="preserve"> strains were inoculated on the Cobra F1 variety via stem injection and foliar application. The in vitro antifungal activity of aqueous extracts (25–75%) and oils (100-200 ppm) from three local species (</w:t>
            </w:r>
            <w:proofErr w:type="spellStart"/>
            <w:r w:rsidRPr="00290E9E">
              <w:rPr>
                <w:rFonts w:ascii="Arial" w:eastAsia="Calibri" w:hAnsi="Arial" w:cs="Arial"/>
                <w:i/>
                <w:iCs/>
                <w:szCs w:val="22"/>
              </w:rPr>
              <w:t>Ocimum</w:t>
            </w:r>
            <w:proofErr w:type="spellEnd"/>
            <w:r w:rsidRPr="00290E9E">
              <w:rPr>
                <w:rFonts w:ascii="Arial" w:eastAsia="Calibri" w:hAnsi="Arial" w:cs="Arial"/>
                <w:i/>
                <w:iCs/>
                <w:szCs w:val="22"/>
              </w:rPr>
              <w:t xml:space="preserve"> </w:t>
            </w:r>
            <w:proofErr w:type="spellStart"/>
            <w:r w:rsidRPr="00290E9E">
              <w:rPr>
                <w:rFonts w:ascii="Arial" w:eastAsia="Calibri" w:hAnsi="Arial" w:cs="Arial"/>
                <w:i/>
                <w:iCs/>
                <w:szCs w:val="22"/>
              </w:rPr>
              <w:t>gratissimum</w:t>
            </w:r>
            <w:proofErr w:type="spellEnd"/>
            <w:r w:rsidRPr="00290E9E">
              <w:rPr>
                <w:rFonts w:ascii="Arial" w:eastAsia="Calibri" w:hAnsi="Arial" w:cs="Arial"/>
                <w:iCs/>
                <w:szCs w:val="22"/>
              </w:rPr>
              <w:t xml:space="preserve"> L.</w:t>
            </w:r>
            <w:r w:rsidRPr="00290E9E">
              <w:rPr>
                <w:rFonts w:ascii="Arial" w:eastAsia="Calibri" w:hAnsi="Arial" w:cs="Arial"/>
                <w:szCs w:val="22"/>
              </w:rPr>
              <w:t xml:space="preserve">, </w:t>
            </w:r>
            <w:proofErr w:type="spellStart"/>
            <w:r w:rsidRPr="00290E9E">
              <w:rPr>
                <w:rFonts w:ascii="Arial" w:eastAsia="Calibri" w:hAnsi="Arial" w:cs="Arial"/>
                <w:i/>
                <w:iCs/>
                <w:szCs w:val="22"/>
              </w:rPr>
              <w:t>Azadirachta</w:t>
            </w:r>
            <w:proofErr w:type="spellEnd"/>
            <w:r w:rsidRPr="00290E9E">
              <w:rPr>
                <w:rFonts w:ascii="Arial" w:eastAsia="Calibri" w:hAnsi="Arial" w:cs="Arial"/>
                <w:i/>
                <w:iCs/>
                <w:szCs w:val="22"/>
              </w:rPr>
              <w:t xml:space="preserve"> </w:t>
            </w:r>
            <w:proofErr w:type="spellStart"/>
            <w:r w:rsidRPr="00290E9E">
              <w:rPr>
                <w:rFonts w:ascii="Arial" w:eastAsia="Calibri" w:hAnsi="Arial" w:cs="Arial"/>
                <w:i/>
                <w:iCs/>
                <w:szCs w:val="22"/>
              </w:rPr>
              <w:t>indica</w:t>
            </w:r>
            <w:proofErr w:type="spellEnd"/>
            <w:r w:rsidRPr="00290E9E">
              <w:rPr>
                <w:rFonts w:ascii="Arial" w:eastAsia="Calibri" w:hAnsi="Arial" w:cs="Arial"/>
                <w:iCs/>
                <w:szCs w:val="22"/>
              </w:rPr>
              <w:t xml:space="preserve"> A. Juss.</w:t>
            </w:r>
            <w:r w:rsidRPr="00290E9E">
              <w:rPr>
                <w:rFonts w:ascii="Arial" w:eastAsia="Calibri" w:hAnsi="Arial" w:cs="Arial"/>
                <w:szCs w:val="22"/>
              </w:rPr>
              <w:t xml:space="preserve">, and </w:t>
            </w:r>
            <w:r w:rsidRPr="00290E9E">
              <w:rPr>
                <w:rFonts w:ascii="Arial" w:eastAsia="Calibri" w:hAnsi="Arial" w:cs="Arial"/>
                <w:i/>
                <w:iCs/>
                <w:szCs w:val="22"/>
              </w:rPr>
              <w:t xml:space="preserve">Jatropha </w:t>
            </w:r>
            <w:proofErr w:type="spellStart"/>
            <w:r w:rsidRPr="00290E9E">
              <w:rPr>
                <w:rFonts w:ascii="Arial" w:eastAsia="Calibri" w:hAnsi="Arial" w:cs="Arial"/>
                <w:i/>
                <w:iCs/>
                <w:szCs w:val="22"/>
              </w:rPr>
              <w:t>curcas</w:t>
            </w:r>
            <w:proofErr w:type="spellEnd"/>
            <w:r w:rsidRPr="00290E9E">
              <w:rPr>
                <w:rFonts w:ascii="Arial" w:eastAsia="Calibri" w:hAnsi="Arial" w:cs="Arial"/>
                <w:iCs/>
                <w:szCs w:val="22"/>
              </w:rPr>
              <w:t xml:space="preserve"> L.</w:t>
            </w:r>
            <w:r w:rsidRPr="00290E9E">
              <w:rPr>
                <w:rFonts w:ascii="Arial" w:eastAsia="Calibri" w:hAnsi="Arial" w:cs="Arial"/>
                <w:szCs w:val="22"/>
              </w:rPr>
              <w:t xml:space="preserve">), as well as </w:t>
            </w:r>
            <w:r w:rsidRPr="00290E9E">
              <w:rPr>
                <w:rFonts w:ascii="Arial" w:eastAsia="Calibri" w:hAnsi="Arial" w:cs="Arial"/>
                <w:i/>
                <w:iCs/>
                <w:szCs w:val="22"/>
              </w:rPr>
              <w:t>Trichoderma</w:t>
            </w:r>
            <w:r w:rsidRPr="00290E9E">
              <w:rPr>
                <w:rFonts w:ascii="Arial" w:eastAsia="Calibri" w:hAnsi="Arial" w:cs="Arial"/>
                <w:szCs w:val="22"/>
              </w:rPr>
              <w:t xml:space="preserve"> sp. suspensions (5–15%), was assessed </w:t>
            </w:r>
            <w:r>
              <w:rPr>
                <w:rFonts w:ascii="Arial" w:eastAsia="Calibri" w:hAnsi="Arial" w:cs="Arial"/>
                <w:szCs w:val="22"/>
              </w:rPr>
              <w:t xml:space="preserve">on PDA medium, with Mancozeb (5 </w:t>
            </w:r>
            <w:r w:rsidRPr="00290E9E">
              <w:rPr>
                <w:rFonts w:ascii="Arial" w:eastAsia="Calibri" w:hAnsi="Arial" w:cs="Arial"/>
                <w:szCs w:val="22"/>
              </w:rPr>
              <w:t xml:space="preserve">g/L) as a positive control. The effectiveness of these treatments on seed contamination and germination was also tested using the blotter paper method. Results showed high virulence of the T2F strain on Cobra F1, with a severity index of 9.37 (75%) 40 days after inoculation. Aqueous extracts of </w:t>
            </w:r>
            <w:r w:rsidRPr="00290E9E">
              <w:rPr>
                <w:rFonts w:ascii="Arial" w:eastAsia="Calibri" w:hAnsi="Arial" w:cs="Arial"/>
                <w:i/>
                <w:iCs/>
                <w:szCs w:val="22"/>
              </w:rPr>
              <w:t xml:space="preserve">O. </w:t>
            </w:r>
            <w:proofErr w:type="spellStart"/>
            <w:r w:rsidRPr="00290E9E">
              <w:rPr>
                <w:rFonts w:ascii="Arial" w:eastAsia="Calibri" w:hAnsi="Arial" w:cs="Arial"/>
                <w:i/>
                <w:iCs/>
                <w:szCs w:val="22"/>
              </w:rPr>
              <w:t>gratissimum</w:t>
            </w:r>
            <w:proofErr w:type="spellEnd"/>
            <w:r w:rsidRPr="00290E9E">
              <w:rPr>
                <w:rFonts w:ascii="Arial" w:eastAsia="Calibri" w:hAnsi="Arial" w:cs="Arial"/>
                <w:szCs w:val="22"/>
              </w:rPr>
              <w:t xml:space="preserve"> at 50% and 75% concentrations exhibited strong mycelial inhibition (88.89% and 94.84%), statistically comparable to Mancozeb (&gt;96%). Oils of </w:t>
            </w:r>
            <w:r w:rsidRPr="00290E9E">
              <w:rPr>
                <w:rFonts w:ascii="Arial" w:eastAsia="Calibri" w:hAnsi="Arial" w:cs="Arial"/>
                <w:i/>
                <w:iCs/>
                <w:szCs w:val="22"/>
              </w:rPr>
              <w:t>A. indica</w:t>
            </w:r>
            <w:r w:rsidRPr="00290E9E">
              <w:rPr>
                <w:rFonts w:ascii="Arial" w:eastAsia="Calibri" w:hAnsi="Arial" w:cs="Arial"/>
                <w:szCs w:val="22"/>
              </w:rPr>
              <w:t xml:space="preserve"> (200 ppm) and </w:t>
            </w:r>
            <w:r w:rsidRPr="00290E9E">
              <w:rPr>
                <w:rFonts w:ascii="Arial" w:eastAsia="Calibri" w:hAnsi="Arial" w:cs="Arial"/>
                <w:i/>
                <w:iCs/>
                <w:szCs w:val="22"/>
              </w:rPr>
              <w:t xml:space="preserve">J. </w:t>
            </w:r>
            <w:proofErr w:type="spellStart"/>
            <w:r w:rsidRPr="00290E9E">
              <w:rPr>
                <w:rFonts w:ascii="Arial" w:eastAsia="Calibri" w:hAnsi="Arial" w:cs="Arial"/>
                <w:i/>
                <w:iCs/>
                <w:szCs w:val="22"/>
              </w:rPr>
              <w:t>curcas</w:t>
            </w:r>
            <w:proofErr w:type="spellEnd"/>
            <w:r w:rsidRPr="00290E9E">
              <w:rPr>
                <w:rFonts w:ascii="Arial" w:eastAsia="Calibri" w:hAnsi="Arial" w:cs="Arial"/>
                <w:szCs w:val="22"/>
              </w:rPr>
              <w:t xml:space="preserve"> (200 ppm) also demonstrated notable activity (84.64% and 74.69%). </w:t>
            </w:r>
            <w:r w:rsidRPr="00290E9E">
              <w:rPr>
                <w:rFonts w:ascii="Arial" w:eastAsia="Calibri" w:hAnsi="Arial" w:cs="Arial"/>
                <w:i/>
                <w:iCs/>
                <w:szCs w:val="22"/>
              </w:rPr>
              <w:t>Trichoderma</w:t>
            </w:r>
            <w:r w:rsidRPr="00290E9E">
              <w:rPr>
                <w:rFonts w:ascii="Arial" w:eastAsia="Calibri" w:hAnsi="Arial" w:cs="Arial"/>
                <w:szCs w:val="22"/>
              </w:rPr>
              <w:t xml:space="preserve"> sp. conidial suspension at 15% reduced mycelial growth by 66.92% and limited seed contamination to 4%, a level close to that achieved with Mancozeb (3.55%). These results indicate that </w:t>
            </w:r>
            <w:r w:rsidRPr="00290E9E">
              <w:rPr>
                <w:rFonts w:ascii="Arial" w:eastAsia="Calibri" w:hAnsi="Arial" w:cs="Arial"/>
                <w:i/>
                <w:iCs/>
                <w:szCs w:val="22"/>
              </w:rPr>
              <w:t xml:space="preserve">O. </w:t>
            </w:r>
            <w:proofErr w:type="spellStart"/>
            <w:r w:rsidRPr="00290E9E">
              <w:rPr>
                <w:rFonts w:ascii="Arial" w:eastAsia="Calibri" w:hAnsi="Arial" w:cs="Arial"/>
                <w:i/>
                <w:iCs/>
                <w:szCs w:val="22"/>
              </w:rPr>
              <w:t>gratissimum</w:t>
            </w:r>
            <w:proofErr w:type="spellEnd"/>
            <w:r w:rsidRPr="00290E9E">
              <w:rPr>
                <w:rFonts w:ascii="Arial" w:eastAsia="Calibri" w:hAnsi="Arial" w:cs="Arial"/>
                <w:szCs w:val="22"/>
              </w:rPr>
              <w:t xml:space="preserve"> extracts and </w:t>
            </w:r>
            <w:r w:rsidRPr="00290E9E">
              <w:rPr>
                <w:rFonts w:ascii="Arial" w:eastAsia="Calibri" w:hAnsi="Arial" w:cs="Arial"/>
                <w:i/>
                <w:iCs/>
                <w:szCs w:val="22"/>
              </w:rPr>
              <w:t>Trichoderma</w:t>
            </w:r>
            <w:r w:rsidRPr="00290E9E">
              <w:rPr>
                <w:rFonts w:ascii="Arial" w:eastAsia="Calibri" w:hAnsi="Arial" w:cs="Arial"/>
                <w:szCs w:val="22"/>
              </w:rPr>
              <w:t xml:space="preserve"> sp. have promising potential for integration into sustainable Fusarium wilt management strategies in tomato, as alternatives or complements to synthetic fungicides.</w:t>
            </w:r>
          </w:p>
        </w:tc>
      </w:tr>
    </w:tbl>
    <w:p w14:paraId="61B047BB" w14:textId="77777777" w:rsidR="00636EB2" w:rsidRDefault="00636EB2" w:rsidP="00441B6F">
      <w:pPr>
        <w:pStyle w:val="Body"/>
        <w:spacing w:after="0"/>
        <w:rPr>
          <w:rFonts w:ascii="Arial" w:hAnsi="Arial" w:cs="Arial"/>
          <w:i/>
        </w:rPr>
      </w:pPr>
    </w:p>
    <w:p w14:paraId="42BCA89A"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290E9E" w:rsidRPr="00290E9E">
        <w:rPr>
          <w:rFonts w:ascii="Arial" w:hAnsi="Arial" w:cs="Arial"/>
          <w:bCs/>
          <w:i/>
        </w:rPr>
        <w:t>Azadirachta</w:t>
      </w:r>
      <w:proofErr w:type="spellEnd"/>
      <w:r w:rsidR="00290E9E" w:rsidRPr="00290E9E">
        <w:rPr>
          <w:rFonts w:ascii="Arial" w:hAnsi="Arial" w:cs="Arial"/>
          <w:bCs/>
          <w:i/>
        </w:rPr>
        <w:t xml:space="preserve"> </w:t>
      </w:r>
      <w:proofErr w:type="spellStart"/>
      <w:r w:rsidR="00290E9E" w:rsidRPr="00290E9E">
        <w:rPr>
          <w:rFonts w:ascii="Arial" w:hAnsi="Arial" w:cs="Arial"/>
          <w:bCs/>
          <w:i/>
        </w:rPr>
        <w:t>indica</w:t>
      </w:r>
      <w:proofErr w:type="spellEnd"/>
      <w:r w:rsidR="00290E9E" w:rsidRPr="00290E9E">
        <w:rPr>
          <w:rFonts w:ascii="Arial" w:hAnsi="Arial" w:cs="Arial"/>
          <w:bCs/>
          <w:i/>
        </w:rPr>
        <w:t xml:space="preserve"> A. Juss., Burkina Faso, Fusarium sp., Jatropha </w:t>
      </w:r>
      <w:proofErr w:type="spellStart"/>
      <w:r w:rsidR="00290E9E" w:rsidRPr="00290E9E">
        <w:rPr>
          <w:rFonts w:ascii="Arial" w:hAnsi="Arial" w:cs="Arial"/>
          <w:bCs/>
          <w:i/>
        </w:rPr>
        <w:t>curcas</w:t>
      </w:r>
      <w:proofErr w:type="spellEnd"/>
      <w:r w:rsidR="00290E9E" w:rsidRPr="00290E9E">
        <w:rPr>
          <w:rFonts w:ascii="Arial" w:hAnsi="Arial" w:cs="Arial"/>
          <w:bCs/>
          <w:i/>
        </w:rPr>
        <w:t xml:space="preserve"> L., </w:t>
      </w:r>
      <w:proofErr w:type="spellStart"/>
      <w:r w:rsidR="00290E9E" w:rsidRPr="00290E9E">
        <w:rPr>
          <w:rFonts w:ascii="Arial" w:hAnsi="Arial" w:cs="Arial"/>
          <w:bCs/>
          <w:i/>
        </w:rPr>
        <w:t>Ocimum</w:t>
      </w:r>
      <w:proofErr w:type="spellEnd"/>
      <w:r w:rsidR="00290E9E" w:rsidRPr="00290E9E">
        <w:rPr>
          <w:rFonts w:ascii="Arial" w:hAnsi="Arial" w:cs="Arial"/>
          <w:bCs/>
          <w:i/>
        </w:rPr>
        <w:t xml:space="preserve"> </w:t>
      </w:r>
      <w:proofErr w:type="spellStart"/>
      <w:r w:rsidR="00290E9E" w:rsidRPr="00290E9E">
        <w:rPr>
          <w:rFonts w:ascii="Arial" w:hAnsi="Arial" w:cs="Arial"/>
          <w:bCs/>
          <w:i/>
        </w:rPr>
        <w:t>gratissimum</w:t>
      </w:r>
      <w:proofErr w:type="spellEnd"/>
      <w:r w:rsidR="00290E9E" w:rsidRPr="00290E9E">
        <w:rPr>
          <w:rFonts w:ascii="Arial" w:hAnsi="Arial" w:cs="Arial"/>
          <w:bCs/>
          <w:i/>
        </w:rPr>
        <w:t xml:space="preserve"> L.</w:t>
      </w:r>
    </w:p>
    <w:p w14:paraId="5A9CE35A" w14:textId="77777777" w:rsidR="00790ADA" w:rsidRDefault="00790ADA" w:rsidP="00441B6F">
      <w:pPr>
        <w:pStyle w:val="Body"/>
        <w:spacing w:after="0"/>
        <w:rPr>
          <w:rFonts w:ascii="Arial" w:hAnsi="Arial" w:cs="Arial"/>
          <w:i/>
        </w:rPr>
      </w:pPr>
    </w:p>
    <w:p w14:paraId="4FCAD18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E4FD3">
        <w:rPr>
          <w:rFonts w:ascii="Arial" w:hAnsi="Arial" w:cs="Arial"/>
        </w:rPr>
        <w:t xml:space="preserve"> </w:t>
      </w:r>
    </w:p>
    <w:p w14:paraId="32D42B97" w14:textId="77777777" w:rsidR="00790ADA" w:rsidRPr="00FB3A86" w:rsidRDefault="00790ADA" w:rsidP="00441B6F">
      <w:pPr>
        <w:pStyle w:val="AbstHead"/>
        <w:spacing w:after="0"/>
        <w:jc w:val="both"/>
        <w:rPr>
          <w:rFonts w:ascii="Arial" w:hAnsi="Arial" w:cs="Arial"/>
        </w:rPr>
      </w:pPr>
    </w:p>
    <w:p w14:paraId="1098FEA6" w14:textId="77777777" w:rsidR="00F875D0" w:rsidRPr="00F875D0" w:rsidRDefault="00F875D0" w:rsidP="00F875D0">
      <w:pPr>
        <w:pStyle w:val="Body"/>
        <w:spacing w:after="0"/>
        <w:rPr>
          <w:rFonts w:ascii="Arial" w:hAnsi="Arial" w:cs="Arial"/>
          <w:bCs/>
        </w:rPr>
      </w:pPr>
      <w:r w:rsidRPr="00F875D0">
        <w:rPr>
          <w:rFonts w:ascii="Arial" w:hAnsi="Arial" w:cs="Arial"/>
          <w:bCs/>
        </w:rPr>
        <w:t>In Burkina Faso, tomato (</w:t>
      </w:r>
      <w:r w:rsidRPr="00F875D0">
        <w:rPr>
          <w:rFonts w:ascii="Arial" w:hAnsi="Arial" w:cs="Arial"/>
          <w:bCs/>
          <w:i/>
          <w:iCs/>
        </w:rPr>
        <w:t xml:space="preserve">Solanum </w:t>
      </w:r>
      <w:proofErr w:type="spellStart"/>
      <w:r w:rsidRPr="00F875D0">
        <w:rPr>
          <w:rFonts w:ascii="Arial" w:hAnsi="Arial" w:cs="Arial"/>
          <w:bCs/>
          <w:i/>
          <w:iCs/>
        </w:rPr>
        <w:t>lycopersicum</w:t>
      </w:r>
      <w:proofErr w:type="spellEnd"/>
      <w:r w:rsidRPr="00F875D0">
        <w:rPr>
          <w:rFonts w:ascii="Arial" w:hAnsi="Arial" w:cs="Arial"/>
          <w:bCs/>
        </w:rPr>
        <w:t xml:space="preserve"> L.) cultivation occupies a strategic position in vegetable farming, both for local market supply and as a source of income for numerous producers. As the country’s second most important vegetable crop in terms of area (10,284 ha) and annual production (167,400 tons) after bulb onion</w:t>
      </w:r>
      <w:r w:rsidRPr="00F875D0">
        <w:rPr>
          <w:rFonts w:ascii="Arial" w:hAnsi="Arial" w:cs="Arial"/>
        </w:rPr>
        <w:t>,</w:t>
      </w:r>
      <w:r w:rsidRPr="00F875D0">
        <w:rPr>
          <w:rFonts w:ascii="Arial" w:hAnsi="Arial" w:cs="Arial"/>
          <w:bCs/>
        </w:rPr>
        <w:t xml:space="preserve"> tomato is mainly grown during the dry season and significantly contributes to farmers’ livelihoods </w:t>
      </w:r>
      <w:r w:rsidRPr="00F875D0">
        <w:rPr>
          <w:rFonts w:ascii="Arial" w:hAnsi="Arial" w:cs="Arial"/>
          <w:lang w:val="fr-FR"/>
        </w:rPr>
        <w:fldChar w:fldCharType="begin"/>
      </w:r>
      <w:r w:rsidRPr="00F875D0">
        <w:rPr>
          <w:rFonts w:ascii="Arial" w:hAnsi="Arial" w:cs="Arial"/>
        </w:rPr>
        <w:instrText xml:space="preserve"> ADDIN ZOTERO_ITEM CSL_CITATION {"citationID":"qCEynwZY","properties":{"formattedCitation":"(Son, 2018)","plainCitation":"(Son, 2018)","noteIndex":0},"citationItems":[{"id":4153,"uris":["http://zotero.org/users/8710791/items/K2SD8DIP"],"itemData":{"id":4153,"type":"book","number-of-pages":"1-235","publisher":"Universite de Liege (Belgium)","source":"Google Scholar","title":"Analyse des risques liés à l’emploi des pesticides et mesure de la performance de la lutte intégrée en culture de tomate au Burkina Faso. Universite de Liege (Belgium) ProQuest Dissertations &amp; Theses","URL":"https://search.proquest.com/openview/3bb70bc8503f09bdb39bf883951a59fb/1?pq-origsite=gscholar&amp;cbl=2026366&amp;diss=y","author":[{"family":"Son","given":"Diakalia"}],"accessed":{"date-parts":[["2025",8,5]]},"issued":{"date-parts":[["2018"]]}}}],"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(Son, 2018)</w:t>
      </w:r>
      <w:r w:rsidRPr="00F875D0">
        <w:rPr>
          <w:rFonts w:ascii="Arial" w:hAnsi="Arial" w:cs="Arial"/>
        </w:rPr>
        <w:fldChar w:fldCharType="end"/>
      </w:r>
      <w:r w:rsidRPr="00F875D0">
        <w:rPr>
          <w:rFonts w:ascii="Arial" w:hAnsi="Arial" w:cs="Arial"/>
        </w:rPr>
        <w:t xml:space="preserve">. </w:t>
      </w:r>
      <w:r w:rsidRPr="00F875D0">
        <w:rPr>
          <w:rFonts w:ascii="Arial" w:hAnsi="Arial" w:cs="Arial"/>
          <w:bCs/>
        </w:rPr>
        <w:t xml:space="preserve">However, the sustainability of tomato production is challenged by various phytosanitary constraints, foremost among them being fungal diseases, particularly vascular wilts caused by fungi of the genus </w:t>
      </w:r>
      <w:r w:rsidRPr="00F875D0">
        <w:rPr>
          <w:rFonts w:ascii="Arial" w:hAnsi="Arial" w:cs="Arial"/>
          <w:bCs/>
          <w:i/>
          <w:iCs/>
        </w:rPr>
        <w:t>Fusarium</w:t>
      </w:r>
      <w:r w:rsidRPr="00F875D0">
        <w:rPr>
          <w:rFonts w:ascii="Arial" w:hAnsi="Arial" w:cs="Arial"/>
          <w:bCs/>
        </w:rPr>
        <w:t xml:space="preserve">. This pathogen, transmitted through seeds or persisting in the soil, causes characteristic symptoms such as leaf yellowing, irreversible wilting, and, in severe cases, premature plant death </w:t>
      </w:r>
      <w:r w:rsidRPr="00F875D0">
        <w:rPr>
          <w:rFonts w:ascii="Arial" w:hAnsi="Arial" w:cs="Arial"/>
          <w:lang w:val="fr-FR"/>
        </w:rPr>
        <w:fldChar w:fldCharType="begin"/>
      </w:r>
      <w:r w:rsidR="000E4652">
        <w:rPr>
          <w:rFonts w:ascii="Arial" w:hAnsi="Arial" w:cs="Arial"/>
        </w:rPr>
        <w:instrText xml:space="preserve"> ADDIN ZOTERO_ITEM CSL_CITATION {"citationID":"jXjzqzXm","properties":{"formattedCitation":"(Edel-Hermann and Lecomte, 2019)","plainCitation":"(Edel-Hermann and Lecomte, 2019)","noteIndex":0},"citationItems":[{"id":4154,"uris":["http://zotero.org/users/8710791/items/KHYZHAMX"],"itemData":{"id":4154,"type":"article-journal","abstract":"The Fusarium oxysporum species complex includes both plant pathogenic and nonpathogenic strains, which are commonly found in soils. F. oxysporum has received considerable attention from plant pathologists for more than a century owing to its broad host range and the economic losses it causes. The narrow host specificity of pathogenic strains has led to the concept of formae speciales, each forma specialis grouping strains with the same host range. Initially restricted to one plant species, this host range was later found to be broader for many formae speciales. In addition, races were identified in some formae speciales, generally with cultivar-level specialization. In 1981, Armstrong and Armstrong listed 79 F. oxysporum formae speciales and mentioned races in 16 of them. Since then, the known host range of F. oxysporum has considerably increased, and many new formae speciales and races have been identified. We carried out a comprehensive search of the literature to propose this review of F. oxysporum formae speciales and races. We recorded 106 well-characterized formae speciales, together with 37 insufficiently documented ones, and updated knowledge on races and host ranges. We also recorded 58 plant species/genera susceptible to F. oxysporum but for which a forma specialis has not been characterized yet. This review raises issues regarding the nomenclature and the description of F. oxysporum formae speciales and races.","container-title":"Phytopathology®","DOI":"10.1094/PHYTO-08-18-0320-RVW","ISSN":"0031-949X, 1943-7684","issue":"4","journalAbbreviation":"Phytopathology®","language":"en","page":"512-530","source":"DOI.org (Crossref)","title":"Current Status of &lt;i&gt;Fusarium oxysporum Formae&lt;/i&gt; &lt;i&gt;Speciales&lt;/i&gt; and Races","volume":"109","author":[{"family":"Edel-Hermann","given":"V."},{"family":"Lecomte","given":"C."}],"issued":{"date-parts":[["2019",4]]}}}],"schema":"https://github.com/citation-style-language/schema/raw/master/csl-citation.json"}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(Edel-Hermann and Lecomte, 2019)</w:t>
      </w:r>
      <w:r w:rsidRPr="00F875D0">
        <w:rPr>
          <w:rFonts w:ascii="Arial" w:hAnsi="Arial" w:cs="Arial"/>
        </w:rPr>
        <w:fldChar w:fldCharType="end"/>
      </w:r>
      <w:r w:rsidRPr="00F875D0">
        <w:rPr>
          <w:rFonts w:ascii="Arial" w:hAnsi="Arial" w:cs="Arial"/>
        </w:rPr>
        <w:t xml:space="preserve">. </w:t>
      </w:r>
      <w:r w:rsidRPr="00F875D0">
        <w:rPr>
          <w:rFonts w:ascii="Arial" w:hAnsi="Arial" w:cs="Arial"/>
          <w:bCs/>
        </w:rPr>
        <w:t xml:space="preserve">In Burkina Faso, species such as </w:t>
      </w:r>
      <w:r w:rsidRPr="00F875D0">
        <w:rPr>
          <w:rFonts w:ascii="Arial" w:hAnsi="Arial" w:cs="Arial"/>
          <w:bCs/>
          <w:i/>
          <w:iCs/>
        </w:rPr>
        <w:t xml:space="preserve">Fusarium </w:t>
      </w:r>
      <w:proofErr w:type="spellStart"/>
      <w:r w:rsidRPr="00F875D0">
        <w:rPr>
          <w:rFonts w:ascii="Arial" w:hAnsi="Arial" w:cs="Arial"/>
          <w:bCs/>
          <w:i/>
          <w:iCs/>
        </w:rPr>
        <w:t>solani</w:t>
      </w:r>
      <w:proofErr w:type="spellEnd"/>
      <w:r w:rsidRPr="00F875D0">
        <w:rPr>
          <w:rFonts w:ascii="Arial" w:hAnsi="Arial" w:cs="Arial"/>
          <w:bCs/>
        </w:rPr>
        <w:t xml:space="preserve"> and </w:t>
      </w:r>
      <w:r w:rsidRPr="00F875D0">
        <w:rPr>
          <w:rFonts w:ascii="Arial" w:hAnsi="Arial" w:cs="Arial"/>
          <w:bCs/>
          <w:i/>
          <w:iCs/>
        </w:rPr>
        <w:t xml:space="preserve">Fusarium </w:t>
      </w:r>
      <w:proofErr w:type="spellStart"/>
      <w:r w:rsidRPr="00F875D0">
        <w:rPr>
          <w:rFonts w:ascii="Arial" w:hAnsi="Arial" w:cs="Arial"/>
          <w:bCs/>
          <w:i/>
          <w:iCs/>
        </w:rPr>
        <w:t>oxysporum</w:t>
      </w:r>
      <w:proofErr w:type="spellEnd"/>
      <w:r w:rsidRPr="00F875D0">
        <w:rPr>
          <w:rFonts w:ascii="Arial" w:hAnsi="Arial" w:cs="Arial"/>
          <w:bCs/>
        </w:rPr>
        <w:t xml:space="preserve"> have been identified as responsible for devastating outbreaks in various vegetable crops, including tomato, onion, and other solanaceous plants, with losses ranging from 60% to 100% depending on environmental conditions </w:t>
      </w:r>
      <w:r w:rsidRPr="00F875D0">
        <w:rPr>
          <w:rFonts w:ascii="Arial" w:hAnsi="Arial" w:cs="Arial"/>
          <w:lang w:val="fr-FR"/>
        </w:rPr>
        <w:fldChar w:fldCharType="begin"/>
      </w:r>
      <w:r w:rsidRPr="00F875D0">
        <w:rPr>
          <w:rFonts w:ascii="Arial" w:hAnsi="Arial" w:cs="Arial"/>
        </w:rPr>
        <w:instrText xml:space="preserve"> ADDIN ZOTERO_ITEM CSL_CITATION {"citationID":"TfCHlr0z","properties":{"formattedCitation":"(Kintega et al., 2020; Sogoba et al., 2023; Tiendrebeogo et al., 2023; Zombre et al., 2025)","plainCitation":"(Kintega et al., 2020; Sogoba et al., 2023; Tiendrebeogo et al., 2023; Zombre et al., 2025)","noteIndex":0},"citationItems":[{"id":4156,"uris":["http://zotero.org/users/8710791/items/NVLIDPTL"],"itemData":{"id":4156,"type":"article-journal","container-title":"Advances in Bioscience and Biotechnology","issue":"3","note":"publisher: Scientific Research Publishing","page":"94–110","source":"Google Scholar","title":"Identification of Fusarium species associated with onion (Allium cepa L.) plants in field in Burkina Faso","volume":"11","author":[{"family":"Kintega","given":"Konwendé Raïssa"},{"family":"Zida","given":"P. Elisabeth"},{"family":"Tarpaga","given":"Vianney W."},{"family":"Sankara","given":"Philippe"},{"family":"Sereme","given":"Paco"}],"issued":{"date-parts":[["2020"]]}},"label":"page"},{"id":4158,"uris":["http://zotero.org/users/8710791/items/S4ERYVTG"],"itemData":{"id":4158,"type":"article-journal","container-title":"MYCOPATH","issue":"1","source":"Google Scholar","title":"Effect of Sorghum bicolor mycorrhizae on development of tomato in nursery","URL":"http://journals.pu.edu.pk/journals/index.php/mycopath/article/view/7113","volume":"21","author":[{"family":"Sogoba","given":"Kouka Hamidou"},{"family":"Ouattara","given":"Alassane"},{"family":"Nana","given":"Tounwendsida Abel"},{"family":"Nabelo","given":"Sarata"},{"family":"Koïta","given":"Kadidia"}],"accessed":{"date-parts":[["2025",8,5]]},"issued":{"date-parts":[["2023"]]}},"label":"page"},{"id":4147,"uris":["http://zotero.org/users/8710791/items/U2QRVY4M"],"itemData":{"id":4147,"type":"article-journal","abstract":"Description du sujet. La culture de tomate est confrontée à une forte pression parasitaire limitant son rendement. Parmi les agents pathogènes impliqués, de nombreux champignons sont décrits, mais peu ont été recensés jusqu’ici au Burkina Faso. Objectifs. Identifier les agents pathogènes fongiques associés à la tomate en culture et/ou transmis par la graine.  Méthode. Les agents fongiques présents sur les échantillons de plantes malades ont été identifiés sur la base de caractéristiques morphologiques et moléculaires après isolement sur milieu de culture. Ceux associés à la semence ont été identifiés après incubation des graines en chambre humide et analyse de plantules après germination des graines.  Résultats. Trente-deux espèces fongiques ont été identifiées sur les échantillons de plantes malades et 11 à partir des semences, avec des prévalences variables. Les principales espèces fongiques observées sur les plantes malades collectées en champs ont été Fusarium oxysporum (Schltdl.) (66,4%), Colletotrichum sp. (27,4 %), Alternaria solani (Sorauer) (26,9 %), Alternaria sp. (27,5 %), Botrytis cinerea (Pers) (24,1 %) et Fusarium equiseti (Sacc.) (19,5 %). La présence de F. oxysporum et Cercospora kikuchii (Tak.) a été mise en évidence sur l’ensemble des 14 lots/variétés de graines analysées. Colletotrichum sp., Fusarium solani (Mart.) Sacc. et B. cinerea ont été détectés sur la plupart des variétés testées. Epicoccum sp. (Sacc.) a été le saprophyte le plus important aussi bien sur les semences (54,5 %) que sur les échantillons de plantes malades en culture (57,0 %).  Conclusions. La prévalence élevée de champignons pathogènes connus de la tomate sur les échantillons collectés en champs et sur les lots de graines invite à approfondir la caractérisation des espèces et souches en présence, développer des mesures de contrôle basées sur les connaissances épidémiologiques des espèces en présence, rechercher des moyens de contrôles biologiques et assurer une meilleure qualité sanitaire des semences utilisées au Burkina Faso pour limiter les pertes encourues en production.","container-title":"BASE","DOI":"10.25518/1780-4507.20524","ISSN":"1370-</w:instrText>
      </w:r>
      <w:r w:rsidRPr="00F875D0">
        <w:rPr>
          <w:rFonts w:ascii="Arial" w:hAnsi="Arial" w:cs="Arial"/>
          <w:lang w:val="fr-FR"/>
        </w:rPr>
        <w:instrText xml:space="preserve">6233, 1780-4507","issue":"4","journalAbbreviation":"Biotechnol. Agron. Soc. Environ.","language":"fr","page":"255-269","source":"popups.uliege.be","title":"Identification de mycètes cultivables associés aux maladies de la tomate au Burkina Faso","volume":"27","author":[{"family":"Tiendrebeogo","given":"Assiata"},{"family":"Bonzi","given":"Schemaeza"},{"family":"Tobdem Dabiré","given":"Gaston"},{"family":"Son","given":"Diakalia"},{"family":"Sanou","given":"Amadou"},{"family":"Sami Kambire","given":"Hyacinthe"},{"family":"Somda","given":"Irénée"},{"family":"Legrève","given":"Anne"}],"issued":{"date-parts":[["2023"]]}},"label":"page"},{"id":4160,"uris":["http://zotero.org/users/8710791/items/A3AZQQMT"],"itemData":{"id":4160,"type":"article-journal","container-title":"Journal of Advances in Biology &amp; Biotechnology","issue":"1","page":"69–81","source":"Google Scholar","title":"Morphological and Molecular Characterization of Fusarium spp Associated with Solanaceous Seeds in Burkina Faso","volume":"28","author":[{"family":"Zombre","given":"Tinlé Cyrille"},{"family":"Dianda","given":"Zoéyandé Oumarou"},{"family":"Sondo","given":"Moussa"},{"family":"Soumaïla","given":"Mariama Amadou"},{"family":"Ouattara","given":"Boubakar"},{"family":"Ouedraogo","given":"Rimnoma Serge"},{"family":"Koïta","given":"Kadidia"},{"family":"Wonni","given":"Issa"}],"issued":{"date-parts":[["2025"]]}},"label":"page"}],"schema":"https://github.com/citation-style-language/schema/raw/master/csl-citation.json"}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lang w:val="fr-FR"/>
        </w:rPr>
        <w:t xml:space="preserve">(Kintega et al., </w:t>
      </w:r>
      <w:r w:rsidR="000E4652" w:rsidRPr="000E4652">
        <w:rPr>
          <w:rFonts w:ascii="Arial" w:hAnsi="Arial" w:cs="Arial"/>
          <w:lang w:val="fr-FR"/>
        </w:rPr>
        <w:lastRenderedPageBreak/>
        <w:t>2020; Sogoba et al., 2023; Tiendrebeogo et al., 2023; Zombre et al., 2025)</w:t>
      </w:r>
      <w:r w:rsidRPr="00F875D0">
        <w:rPr>
          <w:rFonts w:ascii="Arial" w:hAnsi="Arial" w:cs="Arial"/>
        </w:rPr>
        <w:fldChar w:fldCharType="end"/>
      </w:r>
      <w:r w:rsidRPr="00F875D0">
        <w:rPr>
          <w:rFonts w:ascii="Arial" w:hAnsi="Arial" w:cs="Arial"/>
          <w:lang w:val="fr-FR"/>
        </w:rPr>
        <w:t>.</w:t>
      </w:r>
      <w:r w:rsidRPr="00F875D0">
        <w:rPr>
          <w:rFonts w:ascii="Arial" w:hAnsi="Arial" w:cs="Arial"/>
          <w:bCs/>
          <w:lang w:val="fr-FR"/>
        </w:rPr>
        <w:t xml:space="preserve"> </w:t>
      </w:r>
      <w:r w:rsidRPr="00F875D0">
        <w:rPr>
          <w:rFonts w:ascii="Arial" w:hAnsi="Arial" w:cs="Arial"/>
          <w:bCs/>
        </w:rPr>
        <w:t xml:space="preserve">Recent analyses have also revealed the presence of </w:t>
      </w:r>
      <w:r w:rsidRPr="00F875D0">
        <w:rPr>
          <w:rFonts w:ascii="Arial" w:hAnsi="Arial" w:cs="Arial"/>
          <w:bCs/>
          <w:i/>
          <w:iCs/>
        </w:rPr>
        <w:t xml:space="preserve">F. </w:t>
      </w:r>
      <w:proofErr w:type="spellStart"/>
      <w:r w:rsidRPr="00F875D0">
        <w:rPr>
          <w:rFonts w:ascii="Arial" w:hAnsi="Arial" w:cs="Arial"/>
          <w:bCs/>
          <w:i/>
          <w:iCs/>
        </w:rPr>
        <w:t>oxysporum</w:t>
      </w:r>
      <w:proofErr w:type="spellEnd"/>
      <w:r w:rsidRPr="00F875D0">
        <w:rPr>
          <w:rFonts w:ascii="Arial" w:hAnsi="Arial" w:cs="Arial"/>
          <w:bCs/>
        </w:rPr>
        <w:t xml:space="preserve"> and </w:t>
      </w:r>
      <w:proofErr w:type="spellStart"/>
      <w:r w:rsidRPr="00F875D0">
        <w:rPr>
          <w:rFonts w:ascii="Arial" w:hAnsi="Arial" w:cs="Arial"/>
          <w:bCs/>
          <w:i/>
          <w:iCs/>
        </w:rPr>
        <w:t>Cercospora</w:t>
      </w:r>
      <w:proofErr w:type="spellEnd"/>
      <w:r w:rsidRPr="00F875D0">
        <w:rPr>
          <w:rFonts w:ascii="Arial" w:hAnsi="Arial" w:cs="Arial"/>
          <w:bCs/>
          <w:i/>
          <w:iCs/>
        </w:rPr>
        <w:t xml:space="preserve"> </w:t>
      </w:r>
      <w:proofErr w:type="spellStart"/>
      <w:r w:rsidRPr="00F875D0">
        <w:rPr>
          <w:rFonts w:ascii="Arial" w:hAnsi="Arial" w:cs="Arial"/>
          <w:bCs/>
          <w:i/>
          <w:iCs/>
        </w:rPr>
        <w:t>kikuchii</w:t>
      </w:r>
      <w:proofErr w:type="spellEnd"/>
      <w:r w:rsidRPr="00F875D0">
        <w:rPr>
          <w:rFonts w:ascii="Arial" w:hAnsi="Arial" w:cs="Arial"/>
          <w:bCs/>
        </w:rPr>
        <w:t xml:space="preserve"> across seed lots sampled nationwide </w:t>
      </w:r>
      <w:r w:rsidRPr="00F875D0">
        <w:rPr>
          <w:rFonts w:ascii="Arial" w:hAnsi="Arial" w:cs="Arial"/>
          <w:lang w:val="fr-FR"/>
        </w:rPr>
        <w:fldChar w:fldCharType="begin"/>
      </w:r>
      <w:r w:rsidRPr="00F875D0">
        <w:rPr>
          <w:rFonts w:ascii="Arial" w:hAnsi="Arial" w:cs="Arial"/>
        </w:rPr>
        <w:instrText xml:space="preserve"> ADDIN ZOTERO_ITEM CSL_CITATION {"citationID":"FjhSHCvr","properties":{"formattedCitation":"(Tiendrebeogo et al., 2023)","plainCitation":"(Tiendrebeogo et al., 2023)","noteIndex":0},"citationItems":[{"id":4147,"uris":["http://zotero.org/users/8710791/items/U2QRVY4M"],"itemData":{"id":4147,"type":"article-journal","abstract":"Description du sujet. La culture de tomate est confrontée à une forte pression parasitaire limitant son rendement. Parmi les agents pathogènes impliqués, de nombreux champignons sont décrits, mais peu ont été recensés jusqu’ici au Burkina Faso. Objectifs. Identifier les agents pathogènes fongiques associés à la tomate en culture et/ou transmis par la graine.  Méthode. Les agents fongiques présents sur les échantillons de plantes malades ont été identifiés sur la base de caractéristiques morphologiques et moléculaires après isolement sur milieu de culture. Ceux associés à la semence ont été identifiés après incubation des graines en chambre humide et analyse de plantules après germination des graines.  Résultats. Trente-deux espèces fongiques ont été identifiées sur les échantillons de plantes malades et 11 à partir des semences, avec des prévalences variables. Les principales espèces fongiques observées sur les plantes malades collectées en champs ont été Fusarium oxysporum (Schltdl.) (66,4%), Colletotrichum sp. (27,4 %), Alternaria solani (Sorauer) (26,9 %), Alternaria sp. (27,5 %), Botrytis cinerea (Pers) (24,1 %) et Fusarium equiseti (Sacc.) (19,5 %). La présence de F. oxysporum et Cercospora kikuchii (Tak.) a été mise en évidence sur l’ensemble des 14 lots/variétés de graines analysées. Colletotrichum sp., Fusarium solani (Mart.) Sacc. et B. cinerea ont été détectés sur la plupart des variétés testées. Epicoccum sp. (Sacc.) a été le saprophyte le plus important aussi bien sur les semences (54,5 %) que sur les échantillons de plantes malades en culture (57,0 %).  Conclusions. La prévalence élevée de champignons pathogènes connus de la tomate sur les échantillons collectés en champs et sur les lots de graines invite à approfondir la caractérisation des espèces et souches en présence, développer des mesures de contrôle basées sur les connaissances épidémiologiques des espèces en présence, rechercher des moyens de contrôles biologiques et assurer une meilleure qualité sanitaire des semences utilisées au Burkina Faso pour limiter les pertes encourues en production.","container-title":"BASE","DOI":"10.25518/1780-4507.20524","ISSN":"1370-6233, 1780-4507","issue":"4","journalAbbreviation":"Biotechnol. Agron. Soc. Environ.","language":"fr","page":"255-269","source":"popups.uliege.be","title":"Identification de mycètes cultivables associés aux maladies de la tomate au Burkina Faso","volume":"27","author":[{"family":"Tiendrebeogo","given":"Assiata"},{"family":"Bonzi","given":"Schemaeza"},{"family":"Tobdem Dabiré","given":"Gaston"},{"family":"Son","given":"Diakalia"},{"family":"Sanou","given":"Amadou"},{"family":"Sami Kambire","given":"Hyacinthe"},{"family":"Somda","given":"Irénée"},{"family":"Legrève","given":"Anne"}],"issued":{"date-parts":[["2023"]]}}}],"schema":"https://github.com/citation-style-language/schema/raw/master/csl-citation.json"}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(Tiendrebeogo et al., 2023)</w:t>
      </w:r>
      <w:r w:rsidRPr="00F875D0">
        <w:rPr>
          <w:rFonts w:ascii="Arial" w:hAnsi="Arial" w:cs="Arial"/>
        </w:rPr>
        <w:fldChar w:fldCharType="end"/>
      </w:r>
      <w:r w:rsidRPr="00F875D0">
        <w:rPr>
          <w:rFonts w:ascii="Arial" w:hAnsi="Arial" w:cs="Arial"/>
          <w:bCs/>
        </w:rPr>
        <w:t xml:space="preserve">, highlighting the importance of seed disinfection as a preventive measure against these pathogens. Chemical control, still widely used, shows notable limitations, particularly its low effectiveness in contaminated soils, the genetic diversity of pathogenic isolates, and the emergence of resistance </w:t>
      </w:r>
      <w:r w:rsidRPr="00F875D0">
        <w:rPr>
          <w:rFonts w:ascii="Arial" w:hAnsi="Arial" w:cs="Arial"/>
          <w:lang w:val="fr-FR"/>
        </w:rPr>
        <w:fldChar w:fldCharType="begin"/>
      </w:r>
      <w:r w:rsidR="000E4652">
        <w:rPr>
          <w:rFonts w:ascii="Arial" w:hAnsi="Arial" w:cs="Arial"/>
        </w:rPr>
        <w:instrText xml:space="preserve"> ADDIN ZOTERO_ITEM CSL_CITATION {"citationID":"l0oqCTtl","properties":{"formattedCitation":"(Bai and Shaner, 2004)","plainCitation":"(Bai and Shaner, 2004)","noteIndex":0},"citationItems":[{"id":4161,"uris":["http://zotero.org/users/8710791/items/42RA86A2"],"itemData":{"id":4161,"type":"article-journal","abstract":"▪ Abstract  Fusarium head blight (FHB) is a devastating disease of wheat and barley worldwide. Resistant cultivars could reduce damage from FHB. Chinese wheat cultivar Sumai 3 and its derivatives represent the greatest degree of resistance to FHB known. A major quantitative trait locus (QTL) on chromosome 3BS and other minor QTL for FHB resistance have been identified in these cultivars and used in wheat-breeding programs worldwide. Many breeding lines with the 3BS resistance QTL and improved agronomic traits have been developed. In barley, only limited sources of FHB resistance are available, especially in six-rowed barley, and none of them contains a DON level low enough to meet the safety requirement of the brewing industry. Several QTL have been identified for lower FHB severity, DON content, and kernel discoloration and used to enhance FHB resistance in barley. Marker-assisted selection for FHB resistance QTL on 3BS of wheat and on 2H of barley is in progress.","container-title":"Annual Review of Phytopathology","DOI":"10.1146/annurev.phyto.42.040803.140340","ISSN":"0066-4286, 1545-2107","issue":"1","journalAbbreviation":"Annu. Rev. Phytopathol.","language":"en","page":"135-161","source":"DOI.org (Crossref)","title":"MANAGEMENT AND RESISTANCE IN WHEAT AND BARLEY TO FUSARIUM HEAD BLIGHT","volume":"42","author":[{"family":"Bai","given":"Guihua"},{"family":"Shaner","given":"Gregory"}],"issued":{"date-parts":[["2004",9,1]]}}}],"schema":"https://github.com/citation-style-language/schema/raw/master/csl-citation.json"}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(Bai and Shaner, 2004)</w:t>
      </w:r>
      <w:r w:rsidRPr="00F875D0">
        <w:rPr>
          <w:rFonts w:ascii="Arial" w:hAnsi="Arial" w:cs="Arial"/>
        </w:rPr>
        <w:fldChar w:fldCharType="end"/>
      </w:r>
      <w:r w:rsidRPr="00F875D0">
        <w:rPr>
          <w:rFonts w:ascii="Arial" w:hAnsi="Arial" w:cs="Arial"/>
          <w:bCs/>
        </w:rPr>
        <w:t xml:space="preserve">. In this context, biological solutions such as local plant extracts with antifungal potential or antagonistic microorganisms like </w:t>
      </w:r>
      <w:r w:rsidRPr="00F875D0">
        <w:rPr>
          <w:rFonts w:ascii="Arial" w:hAnsi="Arial" w:cs="Arial"/>
          <w:bCs/>
          <w:i/>
          <w:iCs/>
        </w:rPr>
        <w:t>Trichoderma</w:t>
      </w:r>
      <w:r w:rsidRPr="00F875D0">
        <w:rPr>
          <w:rFonts w:ascii="Arial" w:hAnsi="Arial" w:cs="Arial"/>
          <w:bCs/>
        </w:rPr>
        <w:t xml:space="preserve"> spp. represent a promising alternative. These approaches, better adapted to local agroecological conditions, could enhance the resilience of production systems while reducing dependence on chemical inputs. The present study aims to evaluate the virulence of </w:t>
      </w:r>
      <w:r w:rsidRPr="00F875D0">
        <w:rPr>
          <w:rFonts w:ascii="Arial" w:hAnsi="Arial" w:cs="Arial"/>
          <w:bCs/>
          <w:i/>
          <w:iCs/>
        </w:rPr>
        <w:t>Fusarium</w:t>
      </w:r>
      <w:r w:rsidRPr="00F875D0">
        <w:rPr>
          <w:rFonts w:ascii="Arial" w:hAnsi="Arial" w:cs="Arial"/>
          <w:bCs/>
        </w:rPr>
        <w:t xml:space="preserve"> strains and the efficacy of various biological seed treatment options for improved management of this tomato-associated pathogen in Burkina Faso. It contributes to the development of alternative, sustainable, and economically accessible strategies for local producers.</w:t>
      </w:r>
    </w:p>
    <w:p w14:paraId="586DE205" w14:textId="77777777" w:rsidR="00790ADA" w:rsidRPr="00FB3A86" w:rsidRDefault="00790ADA" w:rsidP="00441B6F">
      <w:pPr>
        <w:pStyle w:val="Body"/>
        <w:spacing w:after="0"/>
        <w:rPr>
          <w:rFonts w:ascii="Arial" w:hAnsi="Arial" w:cs="Arial"/>
        </w:rPr>
      </w:pPr>
    </w:p>
    <w:p w14:paraId="0A84D11B" w14:textId="77777777" w:rsidR="007F7B32" w:rsidRDefault="00902823" w:rsidP="00441B6F">
      <w:pPr>
        <w:pStyle w:val="AbstHead"/>
        <w:spacing w:after="0"/>
        <w:jc w:val="both"/>
        <w:rPr>
          <w:rFonts w:ascii="Arial" w:hAnsi="Arial" w:cs="Arial"/>
        </w:rPr>
      </w:pPr>
      <w:r>
        <w:rPr>
          <w:rFonts w:ascii="Arial" w:hAnsi="Arial" w:cs="Arial"/>
        </w:rPr>
        <w:t>2. material and method</w:t>
      </w:r>
      <w:r w:rsidR="00F875D0">
        <w:rPr>
          <w:rFonts w:ascii="Arial" w:hAnsi="Arial" w:cs="Arial"/>
        </w:rPr>
        <w:t xml:space="preserve">s </w:t>
      </w:r>
    </w:p>
    <w:p w14:paraId="2456B2E1" w14:textId="77777777" w:rsidR="00790ADA" w:rsidRPr="00FB3A86" w:rsidRDefault="00790ADA" w:rsidP="00441B6F">
      <w:pPr>
        <w:pStyle w:val="Body"/>
        <w:spacing w:after="0"/>
        <w:rPr>
          <w:rFonts w:ascii="Arial" w:hAnsi="Arial" w:cs="Arial"/>
        </w:rPr>
      </w:pPr>
    </w:p>
    <w:p w14:paraId="2D1932D0"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0B65EF">
        <w:rPr>
          <w:rFonts w:ascii="Arial" w:hAnsi="Arial" w:cs="Arial"/>
          <w:b/>
          <w:sz w:val="22"/>
        </w:rPr>
        <w:t>MATERIAL</w:t>
      </w:r>
    </w:p>
    <w:p w14:paraId="3ABF1D92" w14:textId="77777777" w:rsidR="00505F06" w:rsidRDefault="00505F06" w:rsidP="00441B6F">
      <w:pPr>
        <w:pStyle w:val="Body"/>
        <w:spacing w:after="0"/>
        <w:rPr>
          <w:rFonts w:ascii="Arial" w:hAnsi="Arial" w:cs="Arial"/>
        </w:rPr>
      </w:pPr>
    </w:p>
    <w:p w14:paraId="50DE32DE" w14:textId="77777777" w:rsidR="000B65EF" w:rsidRPr="000B65EF" w:rsidRDefault="00AA74E0" w:rsidP="000B65EF">
      <w:pPr>
        <w:pStyle w:val="Body"/>
        <w:rPr>
          <w:rFonts w:ascii="Arial" w:hAnsi="Arial" w:cs="Arial"/>
          <w:b/>
          <w:bCs/>
          <w:u w:val="single"/>
        </w:rPr>
      </w:pPr>
      <w:r>
        <w:rPr>
          <w:rFonts w:ascii="Arial" w:hAnsi="Arial" w:cs="Arial"/>
          <w:b/>
          <w:u w:val="single"/>
        </w:rPr>
        <w:t>2</w:t>
      </w:r>
      <w:r w:rsidRPr="00902823">
        <w:rPr>
          <w:rFonts w:ascii="Arial" w:hAnsi="Arial" w:cs="Arial"/>
          <w:b/>
          <w:u w:val="single"/>
        </w:rPr>
        <w:t xml:space="preserve">.1.1 </w:t>
      </w:r>
      <w:r w:rsidR="000B65EF" w:rsidRPr="000B65EF">
        <w:rPr>
          <w:rFonts w:ascii="Arial" w:hAnsi="Arial" w:cs="Arial"/>
          <w:b/>
          <w:bCs/>
          <w:u w:val="single"/>
        </w:rPr>
        <w:t>Plant material</w:t>
      </w:r>
    </w:p>
    <w:p w14:paraId="77525DC4" w14:textId="77777777" w:rsidR="000B65EF" w:rsidRDefault="00AA74E0" w:rsidP="00441B6F">
      <w:pPr>
        <w:pStyle w:val="Body"/>
        <w:spacing w:after="0"/>
        <w:rPr>
          <w:rFonts w:ascii="Arial" w:hAnsi="Arial" w:cs="Arial"/>
          <w:bCs/>
        </w:rPr>
      </w:pPr>
      <w:r w:rsidRPr="00FB3A86">
        <w:rPr>
          <w:rFonts w:ascii="Arial" w:hAnsi="Arial" w:cs="Arial"/>
        </w:rPr>
        <w:t xml:space="preserve"> </w:t>
      </w:r>
      <w:r w:rsidR="000B65EF" w:rsidRPr="000B65EF">
        <w:rPr>
          <w:rFonts w:ascii="Arial" w:hAnsi="Arial" w:cs="Arial"/>
          <w:bCs/>
        </w:rPr>
        <w:t xml:space="preserve">For the evaluation of the effects of aqueous plant extracts and essential oils, three local plant species were selected: </w:t>
      </w:r>
      <w:proofErr w:type="spellStart"/>
      <w:r w:rsidR="000B65EF" w:rsidRPr="000B65EF">
        <w:rPr>
          <w:rFonts w:ascii="Arial" w:hAnsi="Arial" w:cs="Arial"/>
          <w:bCs/>
          <w:i/>
          <w:iCs/>
        </w:rPr>
        <w:t>Azadirachta</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indica</w:t>
      </w:r>
      <w:proofErr w:type="spellEnd"/>
      <w:r w:rsidR="000B65EF" w:rsidRPr="000B65EF">
        <w:rPr>
          <w:rFonts w:ascii="Arial" w:hAnsi="Arial" w:cs="Arial"/>
          <w:bCs/>
        </w:rPr>
        <w:t xml:space="preserve">, </w:t>
      </w:r>
      <w:proofErr w:type="spellStart"/>
      <w:r w:rsidR="000B65EF" w:rsidRPr="000B65EF">
        <w:rPr>
          <w:rFonts w:ascii="Arial" w:hAnsi="Arial" w:cs="Arial"/>
          <w:bCs/>
          <w:i/>
          <w:iCs/>
        </w:rPr>
        <w:t>Ocimum</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gratissimum</w:t>
      </w:r>
      <w:proofErr w:type="spellEnd"/>
      <w:r w:rsidR="000B65EF" w:rsidRPr="000B65EF">
        <w:rPr>
          <w:rFonts w:ascii="Arial" w:hAnsi="Arial" w:cs="Arial"/>
          <w:bCs/>
        </w:rPr>
        <w:t xml:space="preserve">, and </w:t>
      </w:r>
      <w:r w:rsidR="000B65EF" w:rsidRPr="000B65EF">
        <w:rPr>
          <w:rFonts w:ascii="Arial" w:hAnsi="Arial" w:cs="Arial"/>
          <w:bCs/>
          <w:i/>
          <w:iCs/>
        </w:rPr>
        <w:t xml:space="preserve">Jatropha </w:t>
      </w:r>
      <w:proofErr w:type="spellStart"/>
      <w:r w:rsidR="000B65EF" w:rsidRPr="000B65EF">
        <w:rPr>
          <w:rFonts w:ascii="Arial" w:hAnsi="Arial" w:cs="Arial"/>
          <w:bCs/>
          <w:i/>
          <w:iCs/>
        </w:rPr>
        <w:t>curcas</w:t>
      </w:r>
      <w:proofErr w:type="spellEnd"/>
      <w:r w:rsidR="000B65EF" w:rsidRPr="000B65EF">
        <w:rPr>
          <w:rFonts w:ascii="Arial" w:hAnsi="Arial" w:cs="Arial"/>
          <w:bCs/>
        </w:rPr>
        <w:t xml:space="preserve"> (Table 1). The choice of these species was based, on the one hand, on their reported antifungal potential against </w:t>
      </w:r>
      <w:r w:rsidR="000B65EF" w:rsidRPr="000B65EF">
        <w:rPr>
          <w:rFonts w:ascii="Arial" w:hAnsi="Arial" w:cs="Arial"/>
          <w:bCs/>
          <w:i/>
          <w:iCs/>
        </w:rPr>
        <w:t>Fusarium</w:t>
      </w:r>
      <w:r w:rsidR="000B65EF" w:rsidRPr="000B65EF">
        <w:rPr>
          <w:rFonts w:ascii="Arial" w:hAnsi="Arial" w:cs="Arial"/>
          <w:bCs/>
        </w:rPr>
        <w:t xml:space="preserve"> species, as suggested by several studies, particularly for </w:t>
      </w:r>
      <w:proofErr w:type="spellStart"/>
      <w:r w:rsidR="000B65EF" w:rsidRPr="000B65EF">
        <w:rPr>
          <w:rFonts w:ascii="Arial" w:hAnsi="Arial" w:cs="Arial"/>
          <w:bCs/>
          <w:i/>
          <w:iCs/>
        </w:rPr>
        <w:t>Azadirachta</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indica</w:t>
      </w:r>
      <w:proofErr w:type="spellEnd"/>
      <w:r w:rsidR="000B65EF" w:rsidRPr="000B65EF">
        <w:rPr>
          <w:rFonts w:ascii="Arial" w:hAnsi="Arial" w:cs="Arial"/>
          <w:bCs/>
        </w:rPr>
        <w:t xml:space="preserve"> </w:t>
      </w:r>
      <w:r w:rsidR="000B65EF" w:rsidRPr="000B65EF">
        <w:rPr>
          <w:rFonts w:ascii="Arial" w:hAnsi="Arial" w:cs="Arial"/>
          <w:lang w:val="fr-FR"/>
        </w:rPr>
        <w:fldChar w:fldCharType="begin"/>
      </w:r>
      <w:r w:rsidR="000B65EF" w:rsidRPr="000B65EF">
        <w:rPr>
          <w:rFonts w:ascii="Arial" w:hAnsi="Arial" w:cs="Arial"/>
        </w:rPr>
        <w:instrText xml:space="preserve"> ADDIN ZOTERO_ITEM CSL_CITATION {"citationID":"Q2TJyjFg","properties":{"formattedCitation":"(Adeniyi et al., 2010)","plainCitation":"(Adeniyi et al., 2010)","noteIndex":0},"citationItems":[{"id":4173,"uris":["http://zotero.org/users/8710791/items/6ZJFRPYV"],"itemData":{"id":4173,"type":"article-journal","container-title":"International Journal of Tropical Agriculture and Food Systems","issue":"1","page":"83–85","source":"Google Scholar","title":"Effect of Neem (Azadirachta Indica) Leaf Extracts on the Rot Fungus (Fusarium Spp) Isolated from Kola Nuts","volume":"4","author":[{"family":"Adeniyi","given":"D. O."},{"family":"Orisajo","given":"S. B."},{"family":"Adejobi","given":"K. B."}],"issued":{"date-parts":[["2010"]]}}}],"schema":"https://github.com/citation-style-language/schema/raw/master/csl-citation.json"} </w:instrText>
      </w:r>
      <w:r w:rsidR="000B65EF" w:rsidRPr="000B65EF">
        <w:rPr>
          <w:rFonts w:ascii="Arial" w:hAnsi="Arial" w:cs="Arial"/>
          <w:lang w:val="fr-FR"/>
        </w:rPr>
        <w:fldChar w:fldCharType="separate"/>
      </w:r>
      <w:r w:rsidR="000E4652" w:rsidRPr="000E4652">
        <w:rPr>
          <w:rFonts w:ascii="Arial" w:hAnsi="Arial" w:cs="Arial"/>
        </w:rPr>
        <w:t>(Adeniyi et al., 2010)</w:t>
      </w:r>
      <w:r w:rsidR="000B65EF" w:rsidRPr="000B65EF">
        <w:rPr>
          <w:rFonts w:ascii="Arial" w:hAnsi="Arial" w:cs="Arial"/>
        </w:rPr>
        <w:fldChar w:fldCharType="end"/>
      </w:r>
      <w:r w:rsidR="000B65EF" w:rsidRPr="000B65EF">
        <w:rPr>
          <w:rFonts w:ascii="Arial" w:hAnsi="Arial" w:cs="Arial"/>
          <w:bCs/>
        </w:rPr>
        <w:t xml:space="preserve"> and </w:t>
      </w:r>
      <w:proofErr w:type="spellStart"/>
      <w:r w:rsidR="000B65EF" w:rsidRPr="000B65EF">
        <w:rPr>
          <w:rFonts w:ascii="Arial" w:hAnsi="Arial" w:cs="Arial"/>
          <w:bCs/>
          <w:i/>
          <w:iCs/>
        </w:rPr>
        <w:t>Ocimum</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gratissimum</w:t>
      </w:r>
      <w:proofErr w:type="spellEnd"/>
      <w:r w:rsidR="000B65EF" w:rsidRPr="000B65EF">
        <w:rPr>
          <w:rFonts w:ascii="Arial" w:hAnsi="Arial" w:cs="Arial"/>
          <w:bCs/>
        </w:rPr>
        <w:t xml:space="preserve"> </w:t>
      </w:r>
      <w:r w:rsidR="000B65EF" w:rsidRPr="000B65EF">
        <w:rPr>
          <w:rFonts w:ascii="Arial" w:hAnsi="Arial" w:cs="Arial"/>
          <w:i/>
          <w:lang w:val="fr-FR"/>
        </w:rPr>
        <w:fldChar w:fldCharType="begin"/>
      </w:r>
      <w:r w:rsidR="000B65EF" w:rsidRPr="000B65EF">
        <w:rPr>
          <w:rFonts w:ascii="Arial" w:hAnsi="Arial" w:cs="Arial"/>
          <w:i/>
        </w:rPr>
        <w:instrText xml:space="preserve"> ADDIN ZOTERO_ITEM CSL_CITATION {"citationID":"Sv2PrpmI","properties":{"formattedCitation":"(Akpo et al., 2023)","plainCitation":"(Akpo et al., 2023)","noteIndex":0},"citationItems":[{"id":4174,"uris":["http://zotero.org/users/8710791/items/4MVV2577"],"itemData":{"id":4174,"type":"article-journal","abstract":"Background: Fruit and vegetables are threatened by several diseases. These diseases are mainly treated with chemicals representing a real danger to human health and the environment. Aims: This study aims to develop safe and non-polluting alternatives such as medicinal plants to control fungal phytopathogens. Material and Methods: In the present study, the aqueous extract and essential oil of the medicinal plant Ocimum gratissimum L. were tested in vitro against Botrytis cinerea, Colletotrichum gloeosporioides and Fusarium oxysporum. Results: The results show that the essential oil of Ocimum gratissimum L. has significant antifungal activity on the studied strains. It inhibits completely the growth of Botrytis cinerea and Colletotrichum gloeosporioides from the concentration of 500 ppm. While at least 750 ppm is required for complete inhibition of the growth of Fusarium oxysporum. Regarding the aqueous extract, total inhibition has been observed at the 60% concentration for Botrytis cinerea and Colletotrichum gloeosporioides. However, no concentration of aqueous extract completely inhibited the growth of Fusarium oxysporum. Conclusion: This study can be a starting point for research on a promising solution using the essential oil and aqueous extract of O. gratissimum L. as alternatives to chemicals to manage anthracnose (caused by C. gloeosporioides) and gray mold (caused by B. cinerea).\nKeywords: Antifungal activity, aqueous extract, essential oil, Ocimum gratissimum L.","container-title":"The North African Journal of Food and Nutrition Research","DOI":"10.51745/najfnr.7.16.136-145","ISSN":"2588-1582","issue":"16","journalAbbreviation":"Nor. Afr. J. Food Nutr. Res.","language":"en","license":"Copyright (c) 2023 Amenan Fanny Akpo, Yardjouma Silué, Charlemagne Nindjin, Kablan  Tano, Kohi Alfred  Kouamé, Fabrice Achille Tetchi, Felicie  Lopez-Lauri","note":"number: 16","page":"136-145","source":"najfnr.com","title":"In vitro antifungal activity of aqueous extract and essential oil of African basil (Ocimum gratissimum L.)","volume":"7","author":[{"family":"Akpo","given":"Amenan Fanny"},{"family":"Silué","given":"Yardjouma"},{"family":"Nindjin","given":"Charlemagne"},{"family":"Tano","given":"Kablan"},{"family":"Kouamé","given":"Kohi Alfred"},{"family":"Tetchi","given":"Fabrice Achille"},{"family":"Lopez-Lauri","given":"Felicie"}],"issued":{"date-parts":[["2023",12,8]]}}}],"schema":"https://github.com/citation-style-language/schema/raw/master/csl-citation.json"} </w:instrText>
      </w:r>
      <w:r w:rsidR="000B65EF" w:rsidRPr="000B65EF">
        <w:rPr>
          <w:rFonts w:ascii="Arial" w:hAnsi="Arial" w:cs="Arial"/>
          <w:i/>
          <w:lang w:val="fr-FR"/>
        </w:rPr>
        <w:fldChar w:fldCharType="separate"/>
      </w:r>
      <w:r w:rsidR="000E4652" w:rsidRPr="000E4652">
        <w:rPr>
          <w:rFonts w:ascii="Arial" w:hAnsi="Arial" w:cs="Arial"/>
        </w:rPr>
        <w:t>(</w:t>
      </w:r>
      <w:proofErr w:type="spellStart"/>
      <w:r w:rsidR="000E4652" w:rsidRPr="000E4652">
        <w:rPr>
          <w:rFonts w:ascii="Arial" w:hAnsi="Arial" w:cs="Arial"/>
        </w:rPr>
        <w:t>Akpo</w:t>
      </w:r>
      <w:proofErr w:type="spellEnd"/>
      <w:r w:rsidR="000E4652" w:rsidRPr="000E4652">
        <w:rPr>
          <w:rFonts w:ascii="Arial" w:hAnsi="Arial" w:cs="Arial"/>
        </w:rPr>
        <w:t xml:space="preserve"> et al., 2023)</w:t>
      </w:r>
      <w:r w:rsidR="000B65EF" w:rsidRPr="000B65EF">
        <w:rPr>
          <w:rFonts w:ascii="Arial" w:hAnsi="Arial" w:cs="Arial"/>
        </w:rPr>
        <w:fldChar w:fldCharType="end"/>
      </w:r>
      <w:r w:rsidR="000B65EF" w:rsidRPr="000B65EF">
        <w:rPr>
          <w:rFonts w:ascii="Arial" w:hAnsi="Arial" w:cs="Arial"/>
          <w:bCs/>
        </w:rPr>
        <w:t xml:space="preserve">. On the other hand, </w:t>
      </w:r>
      <w:r w:rsidR="000B65EF" w:rsidRPr="000B65EF">
        <w:rPr>
          <w:rFonts w:ascii="Arial" w:hAnsi="Arial" w:cs="Arial"/>
          <w:bCs/>
          <w:i/>
          <w:iCs/>
        </w:rPr>
        <w:t xml:space="preserve">Jatropha </w:t>
      </w:r>
      <w:proofErr w:type="spellStart"/>
      <w:r w:rsidR="000B65EF" w:rsidRPr="000B65EF">
        <w:rPr>
          <w:rFonts w:ascii="Arial" w:hAnsi="Arial" w:cs="Arial"/>
          <w:bCs/>
          <w:i/>
          <w:iCs/>
        </w:rPr>
        <w:t>curcas</w:t>
      </w:r>
      <w:proofErr w:type="spellEnd"/>
      <w:r w:rsidR="000B65EF" w:rsidRPr="000B65EF">
        <w:rPr>
          <w:rFonts w:ascii="Arial" w:hAnsi="Arial" w:cs="Arial"/>
          <w:bCs/>
        </w:rPr>
        <w:t xml:space="preserve"> L. was selected for its richness in bioactive secondary metabolites (flavonoids, saponins, tannins, terpenes, etc.) known for their antifungal properties </w:t>
      </w:r>
      <w:r w:rsidR="000B65EF" w:rsidRPr="000B65EF">
        <w:rPr>
          <w:rFonts w:ascii="Arial" w:hAnsi="Arial" w:cs="Arial"/>
          <w:bCs/>
          <w:lang w:val="fr-FR"/>
        </w:rPr>
        <w:fldChar w:fldCharType="begin"/>
      </w:r>
      <w:r w:rsidR="000E4652">
        <w:rPr>
          <w:rFonts w:ascii="Arial" w:hAnsi="Arial" w:cs="Arial"/>
          <w:bCs/>
        </w:rPr>
        <w:instrText xml:space="preserve"> ADDIN ZOTERO_ITEM CSL_CITATION {"citationID":"daLmHi1U","properties":{"formattedCitation":"(Dolaporn Saetae and Suntornsuk, 2010)","plainCitation":"(Dolaporn Saetae and Suntornsuk, 2010)","noteIndex":0},"citationItems":[{"id":4176,"uris":["http://zotero.org/users/8710791/items/69RFR3E7"],"itemData":{"id":4176,"type":"article-journal","abstract":"Phorbol ester extraction was carried out from Jatropha curcas seed cake, a by-product from the bio-diesel fuel industry. Four repeated extractions from 5 g J. curcas seed cake using 15 ml of 90% (v/v) ethanol and a shaking speed of 150 rev/min gave the highest yield of phosbol esters. The ethanolic extract of J. curcas seed cake showed antifungal activities against important phytofungal pathogens: Fusarium oxysporum, Pythium aphanidermatum, Lasiodiplodia theobromae, Curvularia lunata, Fusarium semitectum, Colletotrichum capsici and Colletotrichum gloeosporiodes. The extract contained phorbol esters mainly responsible for antifungal activities. The extract could therefore be used as an antifungal agent for agricultural applications.","container-title":"Journal of Microbiology and Biotechnology","ISSN":"1017-7825","issue":"2","journalAbbreviation":"J Microbiol Biotechnol","language":"eng","note":"PMID: 20208435","page":"319-324","source":"PubMed","title":"Antifungal activities of ethanolic extract from Jatropha curcas seed cake","volume":"20","author":[{"family":"Saetae","given":"Dolaporn"},{"family":"Suntornsuk","given":"Worapot"}],"issued":{"date-parts":[["2010",2]]}}}],"schema":"https://github.com/citation-style-language/schema/raw/master/csl-citation.json"} </w:instrText>
      </w:r>
      <w:r w:rsidR="000B65EF" w:rsidRPr="000B65EF">
        <w:rPr>
          <w:rFonts w:ascii="Arial" w:hAnsi="Arial" w:cs="Arial"/>
          <w:bCs/>
          <w:lang w:val="fr-FR"/>
        </w:rPr>
        <w:fldChar w:fldCharType="separate"/>
      </w:r>
      <w:r w:rsidR="000E4652" w:rsidRPr="000E4652">
        <w:rPr>
          <w:rFonts w:ascii="Arial" w:hAnsi="Arial" w:cs="Arial"/>
        </w:rPr>
        <w:t>(Dolaporn Saetae and Suntornsuk, 2010)</w:t>
      </w:r>
      <w:r w:rsidR="000B65EF" w:rsidRPr="000B65EF">
        <w:rPr>
          <w:rFonts w:ascii="Arial" w:hAnsi="Arial" w:cs="Arial"/>
        </w:rPr>
        <w:fldChar w:fldCharType="end"/>
      </w:r>
      <w:r w:rsidR="000B65EF" w:rsidRPr="000B65EF">
        <w:rPr>
          <w:rFonts w:ascii="Arial" w:hAnsi="Arial" w:cs="Arial"/>
          <w:bCs/>
        </w:rPr>
        <w:t>. The main characteristics of these plant species are presented in Table I. In addition, the tomato variety COBRA F1 was used to assess the severity of fungal strains and their ability to induce wilting and dieback symptoms. This variety, with a growth cycle of 65 days, is widely cultivated and highly valued in Burkina Faso. It was generously provided by the Regional Center of Excellence in Fruits and Vegetables of the Institute of Agricultural and Environmental Research of Burkina Faso.</w:t>
      </w:r>
    </w:p>
    <w:p w14:paraId="2DE4105B" w14:textId="77777777" w:rsidR="001C6C75" w:rsidRDefault="001C6C75" w:rsidP="00441B6F">
      <w:pPr>
        <w:pStyle w:val="Body"/>
        <w:spacing w:after="0"/>
        <w:rPr>
          <w:rFonts w:ascii="Arial" w:hAnsi="Arial" w:cs="Arial"/>
          <w:bCs/>
        </w:rPr>
      </w:pPr>
    </w:p>
    <w:p w14:paraId="2154391E" w14:textId="77777777" w:rsidR="000B65EF" w:rsidRPr="000B65EF" w:rsidRDefault="000B65EF" w:rsidP="000B65EF">
      <w:pPr>
        <w:pStyle w:val="Body"/>
        <w:spacing w:after="0"/>
        <w:rPr>
          <w:rFonts w:ascii="Arial" w:hAnsi="Arial" w:cs="Arial"/>
          <w:bCs/>
        </w:rPr>
      </w:pPr>
      <w:r>
        <w:rPr>
          <w:rFonts w:ascii="Arial" w:hAnsi="Arial" w:cs="Arial"/>
          <w:b/>
          <w:bCs/>
        </w:rPr>
        <w:t>Table 1.</w:t>
      </w:r>
      <w:r w:rsidR="001C6C75">
        <w:rPr>
          <w:rFonts w:ascii="Arial" w:hAnsi="Arial" w:cs="Arial"/>
          <w:b/>
          <w:bCs/>
        </w:rPr>
        <w:t xml:space="preserve"> </w:t>
      </w:r>
      <w:r w:rsidRPr="001C6C75">
        <w:rPr>
          <w:rFonts w:ascii="Arial" w:hAnsi="Arial" w:cs="Arial"/>
          <w:b/>
          <w:bCs/>
        </w:rPr>
        <w:t>General characteristics of the local plants</w:t>
      </w:r>
    </w:p>
    <w:tbl>
      <w:tblPr>
        <w:tblpPr w:leftFromText="180" w:rightFromText="180" w:vertAnchor="text" w:horzAnchor="margin" w:tblpXSpec="center" w:tblpY="148"/>
        <w:tblW w:w="8067" w:type="dxa"/>
        <w:tblBorders>
          <w:top w:val="single" w:sz="4" w:space="0" w:color="auto"/>
          <w:bottom w:val="single" w:sz="4" w:space="0" w:color="auto"/>
        </w:tblBorders>
        <w:tblLayout w:type="fixed"/>
        <w:tblLook w:val="04A0" w:firstRow="1" w:lastRow="0" w:firstColumn="1" w:lastColumn="0" w:noHBand="0" w:noVBand="1"/>
      </w:tblPr>
      <w:tblGrid>
        <w:gridCol w:w="903"/>
        <w:gridCol w:w="1522"/>
        <w:gridCol w:w="1736"/>
        <w:gridCol w:w="1447"/>
        <w:gridCol w:w="1302"/>
        <w:gridCol w:w="1157"/>
      </w:tblGrid>
      <w:tr w:rsidR="001C6C75" w:rsidRPr="001C6C75" w14:paraId="7B1A3671" w14:textId="77777777" w:rsidTr="00917C2C">
        <w:trPr>
          <w:trHeight w:val="226"/>
        </w:trPr>
        <w:tc>
          <w:tcPr>
            <w:tcW w:w="903" w:type="dxa"/>
            <w:tcBorders>
              <w:top w:val="single" w:sz="4" w:space="0" w:color="auto"/>
              <w:bottom w:val="single" w:sz="4" w:space="0" w:color="auto"/>
            </w:tcBorders>
            <w:noWrap/>
            <w:hideMark/>
          </w:tcPr>
          <w:p w14:paraId="3720075F" w14:textId="77777777" w:rsidR="001C6C75" w:rsidRPr="001C6C75" w:rsidRDefault="001C6C75" w:rsidP="001C6C75">
            <w:pPr>
              <w:pStyle w:val="Body"/>
              <w:spacing w:after="0"/>
              <w:rPr>
                <w:rFonts w:ascii="Arial" w:hAnsi="Arial" w:cs="Arial"/>
                <w:b/>
                <w:bCs/>
                <w:vanish/>
              </w:rPr>
            </w:pPr>
            <w:r w:rsidRPr="001C6C75">
              <w:rPr>
                <w:rFonts w:ascii="Arial" w:hAnsi="Arial" w:cs="Arial"/>
                <w:b/>
                <w:bCs/>
              </w:rPr>
              <w:t>Scientific names</w:t>
            </w:r>
          </w:p>
        </w:tc>
        <w:tc>
          <w:tcPr>
            <w:tcW w:w="1522" w:type="dxa"/>
            <w:tcBorders>
              <w:top w:val="single" w:sz="4" w:space="0" w:color="auto"/>
              <w:bottom w:val="single" w:sz="4" w:space="0" w:color="auto"/>
            </w:tcBorders>
            <w:noWrap/>
            <w:hideMark/>
          </w:tcPr>
          <w:p w14:paraId="62C78853"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lang w:val="fr-FR"/>
              </w:rPr>
              <w:t>Common names</w:t>
            </w:r>
          </w:p>
        </w:tc>
        <w:tc>
          <w:tcPr>
            <w:tcW w:w="1736" w:type="dxa"/>
            <w:tcBorders>
              <w:top w:val="single" w:sz="4" w:space="0" w:color="auto"/>
              <w:bottom w:val="single" w:sz="4" w:space="0" w:color="auto"/>
            </w:tcBorders>
          </w:tcPr>
          <w:p w14:paraId="1BC5B691" w14:textId="77777777" w:rsidR="00917C2C" w:rsidRDefault="001C6C75" w:rsidP="001C6C75">
            <w:pPr>
              <w:pStyle w:val="Body"/>
              <w:spacing w:after="0"/>
              <w:rPr>
                <w:rFonts w:ascii="Arial" w:hAnsi="Arial" w:cs="Arial"/>
                <w:b/>
                <w:bCs/>
                <w:vanish/>
                <w:lang w:val="fr-FR"/>
              </w:rPr>
            </w:pPr>
            <w:r w:rsidRPr="001C6C75">
              <w:rPr>
                <w:rFonts w:ascii="Arial" w:hAnsi="Arial" w:cs="Arial"/>
                <w:b/>
                <w:bCs/>
                <w:vanish/>
                <w:lang w:val="fr-FR"/>
              </w:rPr>
              <w:t>Families</w:t>
            </w:r>
          </w:p>
          <w:p w14:paraId="0AF9870F" w14:textId="77777777" w:rsidR="001C6C75" w:rsidRPr="00917C2C" w:rsidRDefault="001C6C75" w:rsidP="00917C2C">
            <w:pPr>
              <w:rPr>
                <w:lang w:val="fr-FR"/>
              </w:rPr>
            </w:pPr>
          </w:p>
        </w:tc>
        <w:tc>
          <w:tcPr>
            <w:tcW w:w="1447" w:type="dxa"/>
            <w:tcBorders>
              <w:top w:val="single" w:sz="4" w:space="0" w:color="auto"/>
              <w:bottom w:val="single" w:sz="4" w:space="0" w:color="auto"/>
            </w:tcBorders>
          </w:tcPr>
          <w:p w14:paraId="21BF0EA3"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Collection region</w:t>
            </w:r>
          </w:p>
        </w:tc>
        <w:tc>
          <w:tcPr>
            <w:tcW w:w="1302" w:type="dxa"/>
            <w:tcBorders>
              <w:top w:val="single" w:sz="4" w:space="0" w:color="auto"/>
              <w:bottom w:val="single" w:sz="4" w:space="0" w:color="auto"/>
            </w:tcBorders>
          </w:tcPr>
          <w:p w14:paraId="39A141EE"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Plant parts</w:t>
            </w:r>
          </w:p>
        </w:tc>
        <w:tc>
          <w:tcPr>
            <w:tcW w:w="1157" w:type="dxa"/>
            <w:tcBorders>
              <w:top w:val="single" w:sz="4" w:space="0" w:color="auto"/>
              <w:bottom w:val="single" w:sz="4" w:space="0" w:color="auto"/>
            </w:tcBorders>
          </w:tcPr>
          <w:p w14:paraId="7A6B2292"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Collection dates</w:t>
            </w:r>
          </w:p>
        </w:tc>
      </w:tr>
      <w:tr w:rsidR="001C6C75" w:rsidRPr="001C6C75" w14:paraId="17EEF37A" w14:textId="77777777" w:rsidTr="00917C2C">
        <w:trPr>
          <w:trHeight w:val="226"/>
        </w:trPr>
        <w:tc>
          <w:tcPr>
            <w:tcW w:w="903" w:type="dxa"/>
            <w:tcBorders>
              <w:top w:val="single" w:sz="4" w:space="0" w:color="auto"/>
              <w:bottom w:val="single" w:sz="4" w:space="0" w:color="auto"/>
            </w:tcBorders>
            <w:noWrap/>
            <w:hideMark/>
          </w:tcPr>
          <w:p w14:paraId="37A7938C"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A. </w:t>
            </w:r>
            <w:proofErr w:type="spellStart"/>
            <w:r w:rsidRPr="001C6C75">
              <w:rPr>
                <w:rFonts w:ascii="Arial" w:hAnsi="Arial" w:cs="Arial"/>
                <w:bCs/>
                <w:i/>
                <w:lang w:val="fr-FR"/>
              </w:rPr>
              <w:t>indica</w:t>
            </w:r>
            <w:proofErr w:type="spellEnd"/>
            <w:r w:rsidRPr="001C6C75">
              <w:rPr>
                <w:rFonts w:ascii="Arial" w:hAnsi="Arial" w:cs="Arial"/>
                <w:bCs/>
                <w:lang w:val="fr-FR"/>
              </w:rPr>
              <w:t xml:space="preserve"> (A. Juss)</w:t>
            </w:r>
          </w:p>
        </w:tc>
        <w:tc>
          <w:tcPr>
            <w:tcW w:w="1522" w:type="dxa"/>
            <w:tcBorders>
              <w:top w:val="single" w:sz="4" w:space="0" w:color="auto"/>
              <w:bottom w:val="single" w:sz="4" w:space="0" w:color="auto"/>
            </w:tcBorders>
            <w:noWrap/>
            <w:hideMark/>
          </w:tcPr>
          <w:p w14:paraId="32D43D7F"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Neem</w:t>
            </w:r>
          </w:p>
        </w:tc>
        <w:tc>
          <w:tcPr>
            <w:tcW w:w="1736" w:type="dxa"/>
            <w:tcBorders>
              <w:top w:val="single" w:sz="4" w:space="0" w:color="auto"/>
              <w:bottom w:val="single" w:sz="4" w:space="0" w:color="auto"/>
            </w:tcBorders>
          </w:tcPr>
          <w:p w14:paraId="13481099"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Meliaceae</w:t>
            </w:r>
            <w:proofErr w:type="spellEnd"/>
          </w:p>
        </w:tc>
        <w:tc>
          <w:tcPr>
            <w:tcW w:w="1447" w:type="dxa"/>
            <w:tcBorders>
              <w:top w:val="single" w:sz="4" w:space="0" w:color="auto"/>
              <w:bottom w:val="single" w:sz="4" w:space="0" w:color="auto"/>
            </w:tcBorders>
          </w:tcPr>
          <w:p w14:paraId="4EB180CB"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bottom w:val="single" w:sz="4" w:space="0" w:color="auto"/>
            </w:tcBorders>
          </w:tcPr>
          <w:p w14:paraId="0AA6C2F7"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bottom w:val="single" w:sz="4" w:space="0" w:color="auto"/>
            </w:tcBorders>
          </w:tcPr>
          <w:p w14:paraId="3A9241B1"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March 2025</w:t>
            </w:r>
          </w:p>
        </w:tc>
      </w:tr>
      <w:tr w:rsidR="001C6C75" w:rsidRPr="001C6C75" w14:paraId="13C2EA48" w14:textId="77777777" w:rsidTr="00917C2C">
        <w:trPr>
          <w:trHeight w:val="226"/>
        </w:trPr>
        <w:tc>
          <w:tcPr>
            <w:tcW w:w="903" w:type="dxa"/>
            <w:tcBorders>
              <w:top w:val="single" w:sz="4" w:space="0" w:color="auto"/>
              <w:bottom w:val="single" w:sz="4" w:space="0" w:color="auto"/>
            </w:tcBorders>
            <w:noWrap/>
            <w:hideMark/>
          </w:tcPr>
          <w:p w14:paraId="44FF506F"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O. </w:t>
            </w:r>
            <w:proofErr w:type="spellStart"/>
            <w:r w:rsidRPr="001C6C75">
              <w:rPr>
                <w:rFonts w:ascii="Arial" w:hAnsi="Arial" w:cs="Arial"/>
                <w:bCs/>
                <w:i/>
                <w:lang w:val="fr-FR"/>
              </w:rPr>
              <w:t>gratissimum</w:t>
            </w:r>
            <w:proofErr w:type="spellEnd"/>
            <w:r w:rsidRPr="001C6C75">
              <w:rPr>
                <w:rFonts w:ascii="Arial" w:hAnsi="Arial" w:cs="Arial"/>
                <w:bCs/>
                <w:lang w:val="fr-FR"/>
              </w:rPr>
              <w:t xml:space="preserve"> L.</w:t>
            </w:r>
          </w:p>
        </w:tc>
        <w:tc>
          <w:tcPr>
            <w:tcW w:w="1522" w:type="dxa"/>
            <w:tcBorders>
              <w:top w:val="single" w:sz="4" w:space="0" w:color="auto"/>
              <w:bottom w:val="single" w:sz="4" w:space="0" w:color="auto"/>
            </w:tcBorders>
            <w:noWrap/>
            <w:hideMark/>
          </w:tcPr>
          <w:p w14:paraId="11BD863F"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African</w:t>
            </w:r>
            <w:proofErr w:type="spellEnd"/>
            <w:r w:rsidRPr="001C6C75">
              <w:rPr>
                <w:rFonts w:ascii="Arial" w:hAnsi="Arial" w:cs="Arial"/>
                <w:bCs/>
                <w:lang w:val="fr-FR"/>
              </w:rPr>
              <w:t xml:space="preserve"> </w:t>
            </w:r>
            <w:proofErr w:type="spellStart"/>
            <w:r w:rsidRPr="001C6C75">
              <w:rPr>
                <w:rFonts w:ascii="Arial" w:hAnsi="Arial" w:cs="Arial"/>
                <w:bCs/>
                <w:lang w:val="fr-FR"/>
              </w:rPr>
              <w:t>basil</w:t>
            </w:r>
            <w:proofErr w:type="spellEnd"/>
          </w:p>
        </w:tc>
        <w:tc>
          <w:tcPr>
            <w:tcW w:w="1736" w:type="dxa"/>
            <w:tcBorders>
              <w:top w:val="single" w:sz="4" w:space="0" w:color="auto"/>
              <w:bottom w:val="single" w:sz="4" w:space="0" w:color="auto"/>
            </w:tcBorders>
          </w:tcPr>
          <w:p w14:paraId="2ED3E326"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Lamiaceae</w:t>
            </w:r>
            <w:proofErr w:type="spellEnd"/>
          </w:p>
        </w:tc>
        <w:tc>
          <w:tcPr>
            <w:tcW w:w="1447" w:type="dxa"/>
            <w:tcBorders>
              <w:top w:val="single" w:sz="4" w:space="0" w:color="auto"/>
              <w:bottom w:val="single" w:sz="4" w:space="0" w:color="auto"/>
            </w:tcBorders>
          </w:tcPr>
          <w:p w14:paraId="11BDEE7E"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bottom w:val="single" w:sz="4" w:space="0" w:color="auto"/>
            </w:tcBorders>
          </w:tcPr>
          <w:p w14:paraId="3E730867"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bottom w:val="single" w:sz="4" w:space="0" w:color="auto"/>
            </w:tcBorders>
          </w:tcPr>
          <w:p w14:paraId="5E162CD6"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March 2025</w:t>
            </w:r>
          </w:p>
        </w:tc>
      </w:tr>
      <w:tr w:rsidR="001C6C75" w:rsidRPr="001C6C75" w14:paraId="541878DC" w14:textId="77777777" w:rsidTr="00917C2C">
        <w:trPr>
          <w:trHeight w:val="226"/>
        </w:trPr>
        <w:tc>
          <w:tcPr>
            <w:tcW w:w="903" w:type="dxa"/>
            <w:tcBorders>
              <w:top w:val="single" w:sz="4" w:space="0" w:color="auto"/>
            </w:tcBorders>
            <w:noWrap/>
            <w:hideMark/>
          </w:tcPr>
          <w:p w14:paraId="37A28C25"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J. </w:t>
            </w:r>
            <w:proofErr w:type="spellStart"/>
            <w:r w:rsidRPr="001C6C75">
              <w:rPr>
                <w:rFonts w:ascii="Arial" w:hAnsi="Arial" w:cs="Arial"/>
                <w:bCs/>
                <w:i/>
                <w:lang w:val="fr-FR"/>
              </w:rPr>
              <w:t>curcas</w:t>
            </w:r>
            <w:proofErr w:type="spellEnd"/>
            <w:r w:rsidRPr="001C6C75">
              <w:rPr>
                <w:rFonts w:ascii="Arial" w:hAnsi="Arial" w:cs="Arial"/>
                <w:bCs/>
                <w:lang w:val="fr-FR"/>
              </w:rPr>
              <w:t xml:space="preserve"> L.</w:t>
            </w:r>
          </w:p>
        </w:tc>
        <w:tc>
          <w:tcPr>
            <w:tcW w:w="1522" w:type="dxa"/>
            <w:tcBorders>
              <w:top w:val="single" w:sz="4" w:space="0" w:color="auto"/>
            </w:tcBorders>
            <w:noWrap/>
            <w:hideMark/>
          </w:tcPr>
          <w:p w14:paraId="71E745EC"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Physic</w:t>
            </w:r>
            <w:proofErr w:type="spellEnd"/>
            <w:r w:rsidRPr="001C6C75">
              <w:rPr>
                <w:rFonts w:ascii="Arial" w:hAnsi="Arial" w:cs="Arial"/>
                <w:bCs/>
                <w:lang w:val="fr-FR"/>
              </w:rPr>
              <w:t xml:space="preserve"> </w:t>
            </w:r>
            <w:proofErr w:type="spellStart"/>
            <w:r w:rsidRPr="001C6C75">
              <w:rPr>
                <w:rFonts w:ascii="Arial" w:hAnsi="Arial" w:cs="Arial"/>
                <w:bCs/>
                <w:lang w:val="fr-FR"/>
              </w:rPr>
              <w:t>nut</w:t>
            </w:r>
            <w:proofErr w:type="spellEnd"/>
          </w:p>
        </w:tc>
        <w:tc>
          <w:tcPr>
            <w:tcW w:w="1736" w:type="dxa"/>
            <w:tcBorders>
              <w:top w:val="single" w:sz="4" w:space="0" w:color="auto"/>
            </w:tcBorders>
          </w:tcPr>
          <w:p w14:paraId="507270CF"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Euphorbiaceae</w:t>
            </w:r>
            <w:proofErr w:type="spellEnd"/>
          </w:p>
        </w:tc>
        <w:tc>
          <w:tcPr>
            <w:tcW w:w="1447" w:type="dxa"/>
            <w:tcBorders>
              <w:top w:val="single" w:sz="4" w:space="0" w:color="auto"/>
            </w:tcBorders>
          </w:tcPr>
          <w:p w14:paraId="515E9BA0"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tcBorders>
          </w:tcPr>
          <w:p w14:paraId="35852E94"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tcBorders>
          </w:tcPr>
          <w:p w14:paraId="5158BB5B"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April 2025</w:t>
            </w:r>
          </w:p>
        </w:tc>
      </w:tr>
    </w:tbl>
    <w:p w14:paraId="49E171DA" w14:textId="77777777" w:rsidR="000B65EF" w:rsidRDefault="000B65EF" w:rsidP="000B65EF">
      <w:pPr>
        <w:pStyle w:val="Body"/>
        <w:spacing w:after="0"/>
        <w:rPr>
          <w:rFonts w:ascii="Arial" w:hAnsi="Arial" w:cs="Arial"/>
          <w:bCs/>
        </w:rPr>
      </w:pPr>
    </w:p>
    <w:p w14:paraId="68D9A18B" w14:textId="77777777" w:rsidR="00713CE0" w:rsidRPr="00713CE0" w:rsidRDefault="001C6C75" w:rsidP="00713CE0">
      <w:pPr>
        <w:pStyle w:val="Body"/>
        <w:rPr>
          <w:rFonts w:ascii="Arial" w:hAnsi="Arial" w:cs="Arial"/>
          <w:b/>
          <w:bCs/>
          <w:u w:val="single"/>
        </w:rPr>
      </w:pPr>
      <w:r>
        <w:rPr>
          <w:rFonts w:ascii="Arial" w:hAnsi="Arial" w:cs="Arial"/>
          <w:b/>
          <w:u w:val="single"/>
        </w:rPr>
        <w:t>2.1.2</w:t>
      </w:r>
      <w:r w:rsidRPr="00902823">
        <w:rPr>
          <w:rFonts w:ascii="Arial" w:hAnsi="Arial" w:cs="Arial"/>
          <w:b/>
          <w:u w:val="single"/>
        </w:rPr>
        <w:t xml:space="preserve"> </w:t>
      </w:r>
      <w:r w:rsidR="00713CE0" w:rsidRPr="00713CE0">
        <w:rPr>
          <w:rFonts w:ascii="Arial" w:hAnsi="Arial" w:cs="Arial"/>
          <w:b/>
          <w:bCs/>
          <w:u w:val="single"/>
        </w:rPr>
        <w:t>Fungal material</w:t>
      </w:r>
    </w:p>
    <w:p w14:paraId="00173A2D" w14:textId="77777777" w:rsidR="00713CE0" w:rsidRPr="00713CE0" w:rsidRDefault="00713CE0" w:rsidP="00713CE0">
      <w:pPr>
        <w:pStyle w:val="Body"/>
        <w:rPr>
          <w:rFonts w:ascii="Arial" w:hAnsi="Arial" w:cs="Arial"/>
          <w:bCs/>
        </w:rPr>
      </w:pPr>
      <w:r w:rsidRPr="00713CE0">
        <w:rPr>
          <w:rFonts w:ascii="Arial" w:hAnsi="Arial" w:cs="Arial"/>
          <w:bCs/>
        </w:rPr>
        <w:lastRenderedPageBreak/>
        <w:t xml:space="preserve">A total of eight </w:t>
      </w:r>
      <w:r w:rsidRPr="00713CE0">
        <w:rPr>
          <w:rFonts w:ascii="Arial" w:hAnsi="Arial" w:cs="Arial"/>
          <w:bCs/>
          <w:i/>
          <w:iCs/>
        </w:rPr>
        <w:t>Fusarium</w:t>
      </w:r>
      <w:r w:rsidRPr="00713CE0">
        <w:rPr>
          <w:rFonts w:ascii="Arial" w:hAnsi="Arial" w:cs="Arial"/>
          <w:bCs/>
        </w:rPr>
        <w:t xml:space="preserve"> strains were tested on the tomato variety COBRA F1 to evaluate their pathogenicity. These strains were collected from tomato plants showing symptoms of Fusarium wilt (dieback) in Burkina Faso (Table 2). In addition, an isolate of </w:t>
      </w:r>
      <w:r w:rsidRPr="00713CE0">
        <w:rPr>
          <w:rFonts w:ascii="Arial" w:hAnsi="Arial" w:cs="Arial"/>
          <w:bCs/>
          <w:i/>
          <w:iCs/>
        </w:rPr>
        <w:t>Trichoderma</w:t>
      </w:r>
      <w:r w:rsidRPr="00713CE0">
        <w:rPr>
          <w:rFonts w:ascii="Arial" w:hAnsi="Arial" w:cs="Arial"/>
          <w:bCs/>
        </w:rPr>
        <w:t xml:space="preserve"> sp. was used to assess its fungistatic activity against the most virulent </w:t>
      </w:r>
      <w:r w:rsidRPr="00713CE0">
        <w:rPr>
          <w:rFonts w:ascii="Arial" w:hAnsi="Arial" w:cs="Arial"/>
          <w:bCs/>
          <w:i/>
          <w:iCs/>
        </w:rPr>
        <w:t>Fusarium</w:t>
      </w:r>
      <w:r w:rsidRPr="00713CE0">
        <w:rPr>
          <w:rFonts w:ascii="Arial" w:hAnsi="Arial" w:cs="Arial"/>
          <w:bCs/>
        </w:rPr>
        <w:t xml:space="preserve"> sp. strain as determined by the pathogenicity test.</w:t>
      </w:r>
    </w:p>
    <w:p w14:paraId="161F7A4F" w14:textId="77777777" w:rsidR="00713CE0" w:rsidRPr="00713CE0" w:rsidRDefault="00713CE0" w:rsidP="00713CE0">
      <w:pPr>
        <w:pStyle w:val="Body"/>
        <w:rPr>
          <w:rFonts w:ascii="Arial" w:hAnsi="Arial" w:cs="Arial"/>
          <w:bCs/>
        </w:rPr>
      </w:pPr>
      <w:r w:rsidRPr="00713CE0">
        <w:rPr>
          <w:rFonts w:ascii="Arial" w:hAnsi="Arial" w:cs="Arial"/>
          <w:b/>
          <w:bCs/>
        </w:rPr>
        <w:t>Table 2</w:t>
      </w:r>
      <w:r>
        <w:rPr>
          <w:rFonts w:ascii="Arial" w:hAnsi="Arial" w:cs="Arial"/>
          <w:b/>
          <w:bCs/>
        </w:rPr>
        <w:t>.</w:t>
      </w:r>
      <w:r w:rsidRPr="00713CE0">
        <w:rPr>
          <w:rFonts w:ascii="Arial" w:hAnsi="Arial" w:cs="Arial"/>
          <w:bCs/>
        </w:rPr>
        <w:t xml:space="preserve"> </w:t>
      </w:r>
      <w:r w:rsidRPr="00713CE0">
        <w:rPr>
          <w:rFonts w:ascii="Arial" w:hAnsi="Arial" w:cs="Arial"/>
          <w:b/>
          <w:bCs/>
        </w:rPr>
        <w:t xml:space="preserve">General characteristics of the </w:t>
      </w:r>
      <w:r w:rsidRPr="00713CE0">
        <w:rPr>
          <w:rFonts w:ascii="Arial" w:hAnsi="Arial" w:cs="Arial"/>
          <w:b/>
          <w:bCs/>
          <w:i/>
          <w:iCs/>
        </w:rPr>
        <w:t>Fusarium</w:t>
      </w:r>
      <w:r w:rsidRPr="00713CE0">
        <w:rPr>
          <w:rFonts w:ascii="Arial" w:hAnsi="Arial" w:cs="Arial"/>
          <w:b/>
          <w:bCs/>
        </w:rPr>
        <w:t xml:space="preserve"> strains</w:t>
      </w:r>
    </w:p>
    <w:tbl>
      <w:tblPr>
        <w:tblpPr w:leftFromText="180" w:rightFromText="180" w:vertAnchor="text" w:horzAnchor="margin" w:tblpX="250" w:tblpY="72"/>
        <w:tblW w:w="7655" w:type="dxa"/>
        <w:tblBorders>
          <w:top w:val="single" w:sz="4" w:space="0" w:color="auto"/>
          <w:bottom w:val="single" w:sz="4" w:space="0" w:color="auto"/>
        </w:tblBorders>
        <w:tblLook w:val="04A0" w:firstRow="1" w:lastRow="0" w:firstColumn="1" w:lastColumn="0" w:noHBand="0" w:noVBand="1"/>
      </w:tblPr>
      <w:tblGrid>
        <w:gridCol w:w="851"/>
        <w:gridCol w:w="1842"/>
        <w:gridCol w:w="1560"/>
        <w:gridCol w:w="1275"/>
        <w:gridCol w:w="2127"/>
      </w:tblGrid>
      <w:tr w:rsidR="00713CE0" w:rsidRPr="00713CE0" w14:paraId="5884432F" w14:textId="77777777" w:rsidTr="00713CE0">
        <w:trPr>
          <w:trHeight w:val="248"/>
        </w:trPr>
        <w:tc>
          <w:tcPr>
            <w:tcW w:w="851" w:type="dxa"/>
            <w:tcBorders>
              <w:top w:val="single" w:sz="4" w:space="0" w:color="auto"/>
              <w:bottom w:val="single" w:sz="4" w:space="0" w:color="auto"/>
            </w:tcBorders>
            <w:noWrap/>
            <w:hideMark/>
          </w:tcPr>
          <w:p w14:paraId="50A3F7C0"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Codes</w:t>
            </w:r>
          </w:p>
        </w:tc>
        <w:tc>
          <w:tcPr>
            <w:tcW w:w="1842" w:type="dxa"/>
            <w:tcBorders>
              <w:top w:val="single" w:sz="4" w:space="0" w:color="auto"/>
              <w:bottom w:val="single" w:sz="4" w:space="0" w:color="auto"/>
            </w:tcBorders>
            <w:noWrap/>
            <w:hideMark/>
          </w:tcPr>
          <w:p w14:paraId="3D645A15"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 xml:space="preserve">Plant </w:t>
            </w:r>
            <w:proofErr w:type="spellStart"/>
            <w:r w:rsidRPr="00713CE0">
              <w:rPr>
                <w:rFonts w:ascii="Arial" w:hAnsi="Arial" w:cs="Arial"/>
                <w:b/>
                <w:bCs/>
                <w:lang w:val="fr-FR"/>
              </w:rPr>
              <w:t>organs</w:t>
            </w:r>
            <w:proofErr w:type="spellEnd"/>
          </w:p>
        </w:tc>
        <w:tc>
          <w:tcPr>
            <w:tcW w:w="1560" w:type="dxa"/>
            <w:tcBorders>
              <w:top w:val="single" w:sz="4" w:space="0" w:color="auto"/>
              <w:bottom w:val="single" w:sz="4" w:space="0" w:color="auto"/>
            </w:tcBorders>
            <w:noWrap/>
            <w:hideMark/>
          </w:tcPr>
          <w:p w14:paraId="4DE0BD62"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Locations</w:t>
            </w:r>
          </w:p>
        </w:tc>
        <w:tc>
          <w:tcPr>
            <w:tcW w:w="1275" w:type="dxa"/>
            <w:tcBorders>
              <w:top w:val="single" w:sz="4" w:space="0" w:color="auto"/>
              <w:bottom w:val="single" w:sz="4" w:space="0" w:color="auto"/>
            </w:tcBorders>
            <w:noWrap/>
            <w:hideMark/>
          </w:tcPr>
          <w:p w14:paraId="41CE25B4"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Crop</w:t>
            </w:r>
          </w:p>
        </w:tc>
        <w:tc>
          <w:tcPr>
            <w:tcW w:w="2127" w:type="dxa"/>
            <w:tcBorders>
              <w:top w:val="single" w:sz="4" w:space="0" w:color="auto"/>
              <w:bottom w:val="single" w:sz="4" w:space="0" w:color="auto"/>
            </w:tcBorders>
          </w:tcPr>
          <w:p w14:paraId="1C8940B6"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Species</w:t>
            </w:r>
          </w:p>
        </w:tc>
      </w:tr>
      <w:tr w:rsidR="00713CE0" w:rsidRPr="00713CE0" w14:paraId="55E03BDC" w14:textId="77777777" w:rsidTr="00713CE0">
        <w:trPr>
          <w:trHeight w:val="248"/>
        </w:trPr>
        <w:tc>
          <w:tcPr>
            <w:tcW w:w="851" w:type="dxa"/>
            <w:tcBorders>
              <w:top w:val="single" w:sz="4" w:space="0" w:color="auto"/>
            </w:tcBorders>
            <w:noWrap/>
            <w:hideMark/>
          </w:tcPr>
          <w:p w14:paraId="65123D5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T1A</w:t>
            </w:r>
          </w:p>
        </w:tc>
        <w:tc>
          <w:tcPr>
            <w:tcW w:w="1842" w:type="dxa"/>
            <w:tcBorders>
              <w:top w:val="single" w:sz="4" w:space="0" w:color="auto"/>
            </w:tcBorders>
            <w:noWrap/>
            <w:hideMark/>
          </w:tcPr>
          <w:p w14:paraId="07C7EF3A"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tcBorders>
              <w:top w:val="single" w:sz="4" w:space="0" w:color="auto"/>
            </w:tcBorders>
            <w:noWrap/>
            <w:hideMark/>
          </w:tcPr>
          <w:p w14:paraId="1C313587"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tcBorders>
              <w:top w:val="single" w:sz="4" w:space="0" w:color="auto"/>
            </w:tcBorders>
            <w:noWrap/>
            <w:hideMark/>
          </w:tcPr>
          <w:p w14:paraId="26DF2B0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Borders>
              <w:top w:val="single" w:sz="4" w:space="0" w:color="auto"/>
            </w:tcBorders>
          </w:tcPr>
          <w:p w14:paraId="5A825ABF"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1AF70334" w14:textId="77777777" w:rsidTr="00713CE0">
        <w:trPr>
          <w:trHeight w:val="248"/>
        </w:trPr>
        <w:tc>
          <w:tcPr>
            <w:tcW w:w="851" w:type="dxa"/>
            <w:noWrap/>
            <w:hideMark/>
          </w:tcPr>
          <w:p w14:paraId="1665450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T2F</w:t>
            </w:r>
          </w:p>
        </w:tc>
        <w:tc>
          <w:tcPr>
            <w:tcW w:w="1842" w:type="dxa"/>
            <w:noWrap/>
            <w:hideMark/>
          </w:tcPr>
          <w:p w14:paraId="4616232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Root</w:t>
            </w:r>
          </w:p>
        </w:tc>
        <w:tc>
          <w:tcPr>
            <w:tcW w:w="1560" w:type="dxa"/>
            <w:noWrap/>
            <w:hideMark/>
          </w:tcPr>
          <w:p w14:paraId="5A4EF0B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2176B2F8"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61BC96EE"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52CDB390" w14:textId="77777777" w:rsidTr="00713CE0">
        <w:trPr>
          <w:trHeight w:val="248"/>
        </w:trPr>
        <w:tc>
          <w:tcPr>
            <w:tcW w:w="851" w:type="dxa"/>
            <w:noWrap/>
            <w:hideMark/>
          </w:tcPr>
          <w:p w14:paraId="1142941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T2R</w:t>
            </w:r>
          </w:p>
        </w:tc>
        <w:tc>
          <w:tcPr>
            <w:tcW w:w="1842" w:type="dxa"/>
            <w:noWrap/>
            <w:hideMark/>
          </w:tcPr>
          <w:p w14:paraId="42382B05"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7FD73189"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7D9442FC"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3BDAC53E"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3416C2FE" w14:textId="77777777" w:rsidTr="00713CE0">
        <w:trPr>
          <w:trHeight w:val="248"/>
        </w:trPr>
        <w:tc>
          <w:tcPr>
            <w:tcW w:w="851" w:type="dxa"/>
            <w:noWrap/>
            <w:hideMark/>
          </w:tcPr>
          <w:p w14:paraId="386E8590"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T3F</w:t>
            </w:r>
          </w:p>
        </w:tc>
        <w:tc>
          <w:tcPr>
            <w:tcW w:w="1842" w:type="dxa"/>
            <w:noWrap/>
            <w:hideMark/>
          </w:tcPr>
          <w:p w14:paraId="0306AE8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3261E98D"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714999C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2F9CF95A"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3EE87AF3" w14:textId="77777777" w:rsidTr="00713CE0">
        <w:trPr>
          <w:trHeight w:val="248"/>
        </w:trPr>
        <w:tc>
          <w:tcPr>
            <w:tcW w:w="851" w:type="dxa"/>
            <w:noWrap/>
            <w:hideMark/>
          </w:tcPr>
          <w:p w14:paraId="6843672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T4F</w:t>
            </w:r>
          </w:p>
        </w:tc>
        <w:tc>
          <w:tcPr>
            <w:tcW w:w="1842" w:type="dxa"/>
            <w:noWrap/>
            <w:hideMark/>
          </w:tcPr>
          <w:p w14:paraId="7CDA58E7"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noWrap/>
            <w:hideMark/>
          </w:tcPr>
          <w:p w14:paraId="5F918629"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6CD4B0A1"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3688F33F"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0F3A84A9" w14:textId="77777777" w:rsidTr="00713CE0">
        <w:trPr>
          <w:trHeight w:val="236"/>
        </w:trPr>
        <w:tc>
          <w:tcPr>
            <w:tcW w:w="851" w:type="dxa"/>
            <w:noWrap/>
            <w:hideMark/>
          </w:tcPr>
          <w:p w14:paraId="77C1858E"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T8F</w:t>
            </w:r>
          </w:p>
        </w:tc>
        <w:tc>
          <w:tcPr>
            <w:tcW w:w="1842" w:type="dxa"/>
            <w:noWrap/>
            <w:hideMark/>
          </w:tcPr>
          <w:p w14:paraId="562D8B2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Root</w:t>
            </w:r>
          </w:p>
        </w:tc>
        <w:tc>
          <w:tcPr>
            <w:tcW w:w="1560" w:type="dxa"/>
            <w:noWrap/>
            <w:hideMark/>
          </w:tcPr>
          <w:p w14:paraId="2C4026AB"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Leguema</w:t>
            </w:r>
            <w:proofErr w:type="spellEnd"/>
          </w:p>
        </w:tc>
        <w:tc>
          <w:tcPr>
            <w:tcW w:w="1275" w:type="dxa"/>
            <w:noWrap/>
            <w:hideMark/>
          </w:tcPr>
          <w:p w14:paraId="34183D3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20F26C89"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60A9390B" w14:textId="77777777" w:rsidTr="00713CE0">
        <w:trPr>
          <w:trHeight w:val="248"/>
        </w:trPr>
        <w:tc>
          <w:tcPr>
            <w:tcW w:w="851" w:type="dxa"/>
            <w:noWrap/>
            <w:hideMark/>
          </w:tcPr>
          <w:p w14:paraId="5300066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T10F</w:t>
            </w:r>
          </w:p>
        </w:tc>
        <w:tc>
          <w:tcPr>
            <w:tcW w:w="1842" w:type="dxa"/>
            <w:noWrap/>
            <w:hideMark/>
          </w:tcPr>
          <w:p w14:paraId="4302BAC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noWrap/>
            <w:hideMark/>
          </w:tcPr>
          <w:p w14:paraId="5AC3DC20"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26E0992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11616696"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130B6734" w14:textId="77777777" w:rsidTr="00713CE0">
        <w:trPr>
          <w:trHeight w:val="248"/>
        </w:trPr>
        <w:tc>
          <w:tcPr>
            <w:tcW w:w="851" w:type="dxa"/>
            <w:noWrap/>
            <w:hideMark/>
          </w:tcPr>
          <w:p w14:paraId="56FE4FC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T11F</w:t>
            </w:r>
          </w:p>
        </w:tc>
        <w:tc>
          <w:tcPr>
            <w:tcW w:w="1842" w:type="dxa"/>
            <w:noWrap/>
            <w:hideMark/>
          </w:tcPr>
          <w:p w14:paraId="754898DB"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7D1CEF88"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5A1E3CD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55114831"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bl>
    <w:p w14:paraId="378302D8" w14:textId="77777777" w:rsidR="00AA74E0" w:rsidRDefault="00AA74E0" w:rsidP="00441B6F">
      <w:pPr>
        <w:pStyle w:val="Body"/>
        <w:spacing w:after="0"/>
        <w:rPr>
          <w:rFonts w:ascii="Arial" w:hAnsi="Arial" w:cs="Arial"/>
        </w:rPr>
      </w:pPr>
    </w:p>
    <w:p w14:paraId="3810E0DA" w14:textId="77777777" w:rsidR="00713CE0" w:rsidRDefault="006877B4" w:rsidP="00713CE0">
      <w:pPr>
        <w:pStyle w:val="Body"/>
        <w:spacing w:after="0"/>
        <w:rPr>
          <w:rFonts w:ascii="Arial" w:hAnsi="Arial" w:cs="Arial"/>
          <w:b/>
          <w:sz w:val="22"/>
        </w:rPr>
      </w:pPr>
      <w:r>
        <w:rPr>
          <w:rFonts w:ascii="Arial" w:hAnsi="Arial" w:cs="Arial"/>
          <w:b/>
          <w:caps/>
          <w:sz w:val="22"/>
        </w:rPr>
        <w:t>2.2</w:t>
      </w:r>
      <w:r w:rsidR="00713CE0" w:rsidRPr="00C30A0F">
        <w:rPr>
          <w:rFonts w:ascii="Arial" w:hAnsi="Arial" w:cs="Arial"/>
          <w:b/>
          <w:caps/>
          <w:sz w:val="22"/>
        </w:rPr>
        <w:t xml:space="preserve"> </w:t>
      </w:r>
      <w:r w:rsidR="00713CE0">
        <w:rPr>
          <w:rFonts w:ascii="Arial" w:hAnsi="Arial" w:cs="Arial"/>
          <w:b/>
          <w:sz w:val="22"/>
        </w:rPr>
        <w:t>METHODES</w:t>
      </w:r>
    </w:p>
    <w:p w14:paraId="7A8ED080" w14:textId="77777777" w:rsidR="00713CE0" w:rsidRDefault="00713CE0" w:rsidP="00713CE0">
      <w:pPr>
        <w:pStyle w:val="Body"/>
        <w:spacing w:after="0"/>
        <w:rPr>
          <w:rFonts w:ascii="Arial" w:hAnsi="Arial" w:cs="Arial"/>
        </w:rPr>
      </w:pPr>
    </w:p>
    <w:p w14:paraId="53E1BF60" w14:textId="77777777" w:rsidR="00713CE0" w:rsidRPr="00713CE0" w:rsidRDefault="00713CE0" w:rsidP="00713CE0">
      <w:pPr>
        <w:pStyle w:val="Body"/>
        <w:rPr>
          <w:rFonts w:ascii="Arial" w:hAnsi="Arial" w:cs="Arial"/>
          <w:b/>
          <w:bCs/>
          <w:u w:val="single"/>
        </w:rPr>
      </w:pPr>
      <w:r>
        <w:rPr>
          <w:rFonts w:ascii="Arial" w:hAnsi="Arial" w:cs="Arial"/>
          <w:b/>
          <w:u w:val="single"/>
        </w:rPr>
        <w:t>2.2.1</w:t>
      </w:r>
      <w:r w:rsidRPr="00902823">
        <w:rPr>
          <w:rFonts w:ascii="Arial" w:hAnsi="Arial" w:cs="Arial"/>
          <w:b/>
          <w:u w:val="single"/>
        </w:rPr>
        <w:t xml:space="preserve"> </w:t>
      </w:r>
      <w:r w:rsidRPr="00713CE0">
        <w:rPr>
          <w:rFonts w:ascii="Arial" w:hAnsi="Arial" w:cs="Arial"/>
          <w:b/>
          <w:bCs/>
          <w:u w:val="single"/>
        </w:rPr>
        <w:t xml:space="preserve">Inoculation and evaluation of the pathogenicity of </w:t>
      </w:r>
      <w:r w:rsidRPr="00713CE0">
        <w:rPr>
          <w:rFonts w:ascii="Arial" w:hAnsi="Arial" w:cs="Arial"/>
          <w:b/>
          <w:bCs/>
          <w:i/>
          <w:iCs/>
          <w:u w:val="single"/>
        </w:rPr>
        <w:t>Fusarium</w:t>
      </w:r>
      <w:r w:rsidRPr="00713CE0">
        <w:rPr>
          <w:rFonts w:ascii="Arial" w:hAnsi="Arial" w:cs="Arial"/>
          <w:b/>
          <w:bCs/>
          <w:u w:val="single"/>
        </w:rPr>
        <w:t xml:space="preserve"> sp. Strains</w:t>
      </w:r>
    </w:p>
    <w:p w14:paraId="1677AFE7" w14:textId="77777777" w:rsidR="00713CE0" w:rsidRPr="00713CE0" w:rsidRDefault="00713CE0" w:rsidP="00713CE0">
      <w:pPr>
        <w:pStyle w:val="Body"/>
        <w:rPr>
          <w:rFonts w:ascii="Arial" w:hAnsi="Arial" w:cs="Arial"/>
          <w:bCs/>
        </w:rPr>
      </w:pPr>
      <w:r w:rsidRPr="00713CE0">
        <w:rPr>
          <w:rFonts w:ascii="Arial" w:hAnsi="Arial" w:cs="Arial"/>
          <w:bCs/>
          <w:i/>
          <w:iCs/>
        </w:rPr>
        <w:t>Fusarium</w:t>
      </w:r>
      <w:r w:rsidRPr="00713CE0">
        <w:rPr>
          <w:rFonts w:ascii="Arial" w:hAnsi="Arial" w:cs="Arial"/>
          <w:bCs/>
        </w:rPr>
        <w:t xml:space="preserve"> strains were cultured on PDA medium at 28 °C for 14 days. A 0.05% Tween 80 solution was used to prepare conidial suspensions. Ten milliliters of this solution were added to each culture plate, then the surface was scraped, vortexed for one minute, and filtered through muslin cloth. The suspension was standardized at 10⁶ conidia/ml using a </w:t>
      </w:r>
      <w:proofErr w:type="spellStart"/>
      <w:r w:rsidRPr="00713CE0">
        <w:rPr>
          <w:rFonts w:ascii="Arial" w:hAnsi="Arial" w:cs="Arial"/>
          <w:bCs/>
        </w:rPr>
        <w:t>Malassez</w:t>
      </w:r>
      <w:proofErr w:type="spellEnd"/>
      <w:r w:rsidRPr="00713CE0">
        <w:rPr>
          <w:rFonts w:ascii="Arial" w:hAnsi="Arial" w:cs="Arial"/>
          <w:bCs/>
        </w:rPr>
        <w:t xml:space="preserve"> counting chamber </w:t>
      </w:r>
      <w:r w:rsidRPr="00713CE0">
        <w:rPr>
          <w:rFonts w:ascii="Arial" w:hAnsi="Arial" w:cs="Arial"/>
          <w:bCs/>
          <w:lang w:val="fr-FR"/>
        </w:rPr>
        <w:fldChar w:fldCharType="begin"/>
      </w:r>
      <w:r w:rsidR="000E4652">
        <w:rPr>
          <w:rFonts w:ascii="Arial" w:hAnsi="Arial" w:cs="Arial"/>
          <w:bCs/>
        </w:rPr>
        <w:instrText xml:space="preserve"> ADDIN ZOTERO_ITEM CSL_CITATION {"citationID":"NKgqfHB2","properties":{"formattedCitation":"(Abawi and Corrales, 1990; Klotioloma et al., 2023)","plainCitation":"(Abawi and Corrales, 1990; Klotioloma et al., 2023)","noteIndex":0},"citationItems":[{"id":4180,"uris":["http://zotero.org/users/8710791/items/5BWPAF48"],"itemData":{"id":4180,"type":"article-journal","container-title":"Turrialba; Volumen 40, Número 3","note":"publisher: IICA, San José (Costa Rica)","source":"Google Scholar","title":"Seed transmission and effects of fungicide seed treatments against Macrophomina phaseolina in dry edible beans","URL":"https://repositorio.catie.ac.cr/handle/11554/10523","author":[{"family":"Abawi","given":"G. S."},{"family":"Corrales","given":"Pastor"}],"accessed":{"date-parts":[["2025",8,7]]},"issued":{"date-parts":[["1990"]]}},"label":"page"},{"id":4182,"uris":["http://zotero.org/users/8710791/items/VWMQPAT3"],"itemData":{"id":4182,"type":"article-journal","container-title":"Journal of Applied Biosciences","page":"19349–19364","source":"Google Scholar","title":"Incidence de la pourriture noire des cabosses du cacaoyer (Theobroma cacao L.) et caractérisation de Botryodiplodia theobromae, agent causal en Côte d’Ivoire","volume":"184","author":[{"family":"Klotioloma","given":"COULIBALY"},{"family":"Jésus","given":"FOFANA Inza"},{"family":"Françoise","given":"DIBI-Gogbé"},{"family":"Tchéféri","given":"SORO"},{"family":"Lacina","given":"NDRI"},{"family":"Sahin","given":"GUIRAUD Brigitte"},{"family":"Pierre","given":"N’GUESSAN Walet"},{"family":"Kotaix","given":"ACKA"},{"family":"Mathias","given":"TAHI"},{"family":"Maryse","given":"ASSI"}],"issued":{"date-parts":[["2023"]]}},"label":"page"}],"schema":"https://github.com/citation-style-language/schema/raw/master/csl-citation.json"}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w:t>
      </w:r>
      <w:proofErr w:type="spellStart"/>
      <w:r w:rsidR="000E4652" w:rsidRPr="000E4652">
        <w:rPr>
          <w:rFonts w:ascii="Arial" w:hAnsi="Arial" w:cs="Arial"/>
        </w:rPr>
        <w:t>Abawi</w:t>
      </w:r>
      <w:proofErr w:type="spellEnd"/>
      <w:r w:rsidR="000E4652" w:rsidRPr="000E4652">
        <w:rPr>
          <w:rFonts w:ascii="Arial" w:hAnsi="Arial" w:cs="Arial"/>
        </w:rPr>
        <w:t xml:space="preserve"> and Corrales, 1990; Klotioloma et al., 2023)</w:t>
      </w:r>
      <w:r w:rsidRPr="00713CE0">
        <w:rPr>
          <w:rFonts w:ascii="Arial" w:hAnsi="Arial" w:cs="Arial"/>
          <w:bCs/>
        </w:rPr>
        <w:fldChar w:fldCharType="end"/>
      </w:r>
      <w:r w:rsidRPr="00713CE0">
        <w:rPr>
          <w:rFonts w:ascii="Arial" w:hAnsi="Arial" w:cs="Arial"/>
          <w:bCs/>
        </w:rPr>
        <w:t xml:space="preserve">. Inoculation was performed by stem base injection and foliar application on tomato seedlings </w:t>
      </w:r>
      <w:r w:rsidRPr="00713CE0">
        <w:rPr>
          <w:rFonts w:ascii="Arial" w:hAnsi="Arial" w:cs="Arial"/>
          <w:bCs/>
          <w:lang w:val="fr-FR"/>
        </w:rPr>
        <w:fldChar w:fldCharType="begin"/>
      </w:r>
      <w:r w:rsidRPr="00713CE0">
        <w:rPr>
          <w:rFonts w:ascii="Arial" w:hAnsi="Arial" w:cs="Arial"/>
          <w:bCs/>
        </w:rPr>
        <w:instrText xml:space="preserve"> ADDIN ZOTERO_ITEM CSL_CITATION {"citationID":"WJySzb6e","properties":{"formattedCitation":"(Rodr\\uc0\\u237{}guez et al., 2017)","plainCitation":"(Rodríguez et al., 2017)","noteIndex":0},"citationItems":[{"id":4184,"uris":["http://zotero.org/users/8710791/items/IICDUC9B"],"itemData":{"id":4184,"type":"article-journal","container-title":"Journal of biomedical optics","issue":"10","note":"publisher: SPIE","page":"105003","source":"Google Scholar","title":"Toward jet injection by continuous-wave laser cavitation","volume":"22","author":[{"family":"Rodríguez","given":"Carla Berrospe"},{"family":"Visser","given":"Claas Willem"},{"family":"Schlautmann","given":"Stefan"},{"family":"Rivas","given":"David Fernandez"},{"family":"Ramos-Garcia","given":"Ruben"}],"issued":{"date-parts":[["2017"]]}}}],"schema":"https://github.com/citation-style-language/schema/raw/master/csl-citation.json"}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szCs w:val="24"/>
        </w:rPr>
        <w:t>(Rodríguez et al., 2017)</w:t>
      </w:r>
      <w:r w:rsidRPr="00713CE0">
        <w:rPr>
          <w:rFonts w:ascii="Arial" w:hAnsi="Arial" w:cs="Arial"/>
          <w:bCs/>
        </w:rPr>
        <w:fldChar w:fldCharType="end"/>
      </w:r>
      <w:r w:rsidRPr="00713CE0">
        <w:rPr>
          <w:rFonts w:ascii="Arial" w:hAnsi="Arial" w:cs="Arial"/>
          <w:bCs/>
        </w:rPr>
        <w:t xml:space="preserve">. Control plants received only sterile distilled water. For each strain, 32 two-week-old seedlings grown in cell trays were inoculated. Observations, carried out every 5 days over a period of 40 days, focused on typical Fusarium wilt symptoms (wilting, drying). Strain severity was assessed using a five-class rating scale </w:t>
      </w:r>
      <w:r w:rsidRPr="00713CE0">
        <w:rPr>
          <w:rFonts w:ascii="Arial" w:hAnsi="Arial" w:cs="Arial"/>
          <w:bCs/>
          <w:lang w:val="fr-FR"/>
        </w:rPr>
        <w:fldChar w:fldCharType="begin"/>
      </w:r>
      <w:r w:rsidR="000E4652">
        <w:rPr>
          <w:rFonts w:ascii="Arial" w:hAnsi="Arial" w:cs="Arial"/>
          <w:bCs/>
        </w:rPr>
        <w:instrText xml:space="preserve"> ADDIN ZOTERO_ITEM CSL_CITATION {"citationID":"f36zxKVZ","properties":{"formattedCitation":"(Abawi and Corrales, 1990)","plainCitation":"(Abawi and Corrales, 1990)","noteIndex":0},"citationItems":[{"id":4180,"uris":["http://zotero.org/users/8710791/items/5BWPAF48"],"itemData":{"id":4180,"type":"article-journal","container-title":"Turrialba; Volumen 40, Número 3","note":"publisher: IICA, San José (Costa Rica)","source":"Google Scholar","title":"Seed transmission and effects of fungicide seed treatments against Macrophomina phaseolina in dry edible beans","URL":"https://repositorio.catie.ac.cr/handle/11554/10523","author":[{"family":"Abawi","given":"G. S."},{"family":"Corrales","given":"Pastor"}],"accessed":{"date-parts":[["2025",8,7]]},"issued":{"date-parts":[["1990"]]}}}],"schema":"https://github.com/citation-style-language/schema/raw/master/csl-citation.json"}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(Abawi and Corrales, 1990)</w:t>
      </w:r>
      <w:r w:rsidRPr="00713CE0">
        <w:rPr>
          <w:rFonts w:ascii="Arial" w:hAnsi="Arial" w:cs="Arial"/>
          <w:bCs/>
        </w:rPr>
        <w:fldChar w:fldCharType="end"/>
      </w:r>
      <w:r w:rsidRPr="00713CE0">
        <w:rPr>
          <w:rFonts w:ascii="Arial" w:hAnsi="Arial" w:cs="Arial"/>
          <w:bCs/>
        </w:rPr>
        <w:t xml:space="preserve">. The incidence of wilt induced by each strain was calculated according to the formula </w:t>
      </w:r>
      <w:r w:rsidRPr="00713CE0">
        <w:rPr>
          <w:rFonts w:ascii="Arial" w:hAnsi="Arial" w:cs="Arial"/>
          <w:bCs/>
          <w:lang w:val="fr-FR"/>
        </w:rPr>
        <w:fldChar w:fldCharType="begin"/>
      </w:r>
      <w:r w:rsidRPr="00713CE0">
        <w:rPr>
          <w:rFonts w:ascii="Arial" w:hAnsi="Arial" w:cs="Arial"/>
          <w:bCs/>
        </w:rPr>
        <w:instrText xml:space="preserve"> ADDIN ZOTERO_ITEM CSL_CITATION {"citationID":"9QdUO7xW","properties":{"formattedCitation":"(Cooke et al., 2006)","plainCitation":"(Cooke et al., 2006)","noteIndex":0},"citationItems":[{"id":4186,"uris":["http://zotero.org/users/8710791/items/VMUM3C9T"],"itemData":{"id":4186,"type":"book","event-place":"Dordrecht","ISBN":"978-1-4020-4579-0","language":"en","license":"http://www.springer.com/tdm","note":"DOI: 10.1007/1-4020-4581-6","publisher":"Kluwer Academic Publishers","publisher-place":"Dordrecht","source":"DOI.org (Crossref)","title":"The Epidemiology of Plant Diseases","URL":"http://link.springer.com/10.1007/1-4020-4581-6","editor":[{"family":"Cooke","given":"B.M."},{"family":"Jones","given":"D. Gareth"},{"family":"Kaye","given":"Bernard"}],"accessed":{"date-parts":[["2025",8,7]]},"issued":{"date-parts":[["2006"]]}}}],"schema":"https://github.com/citation-style-language/schema/raw/master/csl-citation.json"}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(Cooke et al., 2006)</w:t>
      </w:r>
      <w:r w:rsidRPr="00713CE0">
        <w:rPr>
          <w:rFonts w:ascii="Arial" w:hAnsi="Arial" w:cs="Arial"/>
          <w:bCs/>
        </w:rPr>
        <w:fldChar w:fldCharType="end"/>
      </w:r>
      <w:r w:rsidRPr="00713CE0">
        <w:rPr>
          <w:rFonts w:ascii="Arial" w:hAnsi="Arial" w:cs="Arial"/>
          <w:bCs/>
        </w:rPr>
        <w:t xml:space="preserve"> : </w:t>
      </w:r>
      <w:r w:rsidRPr="00713CE0">
        <w:rPr>
          <w:rFonts w:ascii="Arial" w:hAnsi="Arial" w:cs="Arial"/>
          <w:b/>
          <w:bCs/>
          <w:i/>
          <w:iCs/>
        </w:rPr>
        <w:t>I = ∑(n/N) × 100</w:t>
      </w:r>
      <w:r w:rsidRPr="00713CE0">
        <w:rPr>
          <w:rFonts w:ascii="Arial" w:hAnsi="Arial" w:cs="Arial"/>
          <w:bCs/>
        </w:rPr>
        <w:t xml:space="preserve">, where </w:t>
      </w:r>
      <w:r w:rsidRPr="00713CE0">
        <w:rPr>
          <w:rFonts w:ascii="Arial" w:hAnsi="Arial" w:cs="Arial"/>
          <w:bCs/>
          <w:i/>
          <w:iCs/>
        </w:rPr>
        <w:t>n</w:t>
      </w:r>
      <w:r w:rsidRPr="00713CE0">
        <w:rPr>
          <w:rFonts w:ascii="Arial" w:hAnsi="Arial" w:cs="Arial"/>
          <w:bCs/>
        </w:rPr>
        <w:t xml:space="preserve"> is the number of wilted plants and </w:t>
      </w:r>
      <w:r w:rsidRPr="00713CE0">
        <w:rPr>
          <w:rFonts w:ascii="Arial" w:hAnsi="Arial" w:cs="Arial"/>
          <w:bCs/>
          <w:i/>
          <w:iCs/>
        </w:rPr>
        <w:t>N</w:t>
      </w:r>
      <w:r w:rsidRPr="00713CE0">
        <w:rPr>
          <w:rFonts w:ascii="Arial" w:hAnsi="Arial" w:cs="Arial"/>
          <w:bCs/>
        </w:rPr>
        <w:t xml:space="preserve"> the total number of observed plants (</w:t>
      </w:r>
      <w:r w:rsidRPr="00713CE0">
        <w:rPr>
          <w:rFonts w:ascii="Arial" w:hAnsi="Arial" w:cs="Arial"/>
          <w:bCs/>
          <w:i/>
          <w:iCs/>
        </w:rPr>
        <w:t>N</w:t>
      </w:r>
      <w:r w:rsidRPr="00713CE0">
        <w:rPr>
          <w:rFonts w:ascii="Arial" w:hAnsi="Arial" w:cs="Arial"/>
          <w:bCs/>
        </w:rPr>
        <w:t xml:space="preserve"> = 32).</w:t>
      </w:r>
    </w:p>
    <w:p w14:paraId="08A3E539" w14:textId="77777777" w:rsidR="00D03F54" w:rsidRPr="00D03F54" w:rsidRDefault="00D03F54" w:rsidP="00D03F54">
      <w:pPr>
        <w:pStyle w:val="Body"/>
        <w:rPr>
          <w:rFonts w:ascii="Arial" w:hAnsi="Arial" w:cs="Arial"/>
          <w:b/>
          <w:bCs/>
          <w:u w:val="single"/>
        </w:rPr>
      </w:pPr>
      <w:r>
        <w:rPr>
          <w:rFonts w:ascii="Arial" w:hAnsi="Arial" w:cs="Arial"/>
          <w:b/>
          <w:u w:val="single"/>
        </w:rPr>
        <w:t>2.2.</w:t>
      </w:r>
      <w:r w:rsidR="006877B4">
        <w:rPr>
          <w:rFonts w:ascii="Arial" w:hAnsi="Arial" w:cs="Arial"/>
          <w:b/>
          <w:u w:val="single"/>
        </w:rPr>
        <w:t>2</w:t>
      </w:r>
      <w:r w:rsidRPr="00902823">
        <w:rPr>
          <w:rFonts w:ascii="Arial" w:hAnsi="Arial" w:cs="Arial"/>
          <w:b/>
          <w:u w:val="single"/>
        </w:rPr>
        <w:t xml:space="preserve"> </w:t>
      </w:r>
      <w:r w:rsidRPr="00D03F54">
        <w:rPr>
          <w:rFonts w:ascii="Arial" w:hAnsi="Arial" w:cs="Arial"/>
          <w:b/>
          <w:bCs/>
          <w:i/>
          <w:u w:val="single"/>
        </w:rPr>
        <w:t>In vitro</w:t>
      </w:r>
      <w:r w:rsidRPr="00D03F54">
        <w:rPr>
          <w:rFonts w:ascii="Arial" w:hAnsi="Arial" w:cs="Arial"/>
          <w:b/>
          <w:bCs/>
          <w:u w:val="single"/>
        </w:rPr>
        <w:t xml:space="preserve"> evaluation of the antifungal activity of aqueous extracts and essential oils</w:t>
      </w:r>
    </w:p>
    <w:p w14:paraId="129D66F2" w14:textId="77777777" w:rsidR="00D03F54" w:rsidRPr="00D03F54" w:rsidRDefault="00D03F54" w:rsidP="00D03F54">
      <w:pPr>
        <w:pStyle w:val="Body"/>
        <w:rPr>
          <w:rFonts w:ascii="Arial" w:hAnsi="Arial" w:cs="Arial"/>
          <w:bCs/>
        </w:rPr>
      </w:pPr>
      <w:r w:rsidRPr="00D03F54">
        <w:rPr>
          <w:rFonts w:ascii="Arial" w:hAnsi="Arial" w:cs="Arial"/>
          <w:bCs/>
        </w:rPr>
        <w:t xml:space="preserve">Aqueous extracts were prepared according to the method of </w:t>
      </w:r>
      <w:r w:rsidRPr="00D03F54">
        <w:rPr>
          <w:rFonts w:ascii="Arial" w:hAnsi="Arial" w:cs="Arial"/>
          <w:bCs/>
          <w:lang w:val="fr-FR"/>
        </w:rPr>
        <w:fldChar w:fldCharType="begin"/>
      </w:r>
      <w:r w:rsidRPr="00D03F54">
        <w:rPr>
          <w:rFonts w:ascii="Arial" w:hAnsi="Arial" w:cs="Arial"/>
          <w:bCs/>
        </w:rPr>
        <w:instrText xml:space="preserve"> ADDIN ZOTERO_ITEM CSL_CITATION {"citationID":"wJoEQxfS","properties":{"formattedCitation":"(Dianda et al., 2020)","plainCitation":"(Dianda et al., 2020)","noteIndex":0},"citationItems":[{"id":4190,"uris":["http://zotero.org/users/8710791/items/CPR6CZSY"],"itemData":{"id":4190,"type":"article-journal","container-title":"International Journal of Biological and Chemical Sciences","issue":"8","page":"2699–2712","source":"Google Scholar","title":"In vitro efficacy of some plant aqueous extracts against two species of Lasiodiplodia associated to mango decline in Burkina Faso","volume":"14","author":[{"family":"Dianda","given":"Oumarou Z."},{"family":"Wonni","given":"Issa"},{"family":"Diana","given":"Fernandez"},{"family":"Traoré","given":"Oumarou"},{"family":"Zombré","given":"Cyrille Tinlé"},{"family":"Borro","given":"Fousseni"}],"issued":{"date-parts":[["2020"]]}}}],"schema":"https://github.com/citation-style-language/schema/raw/master/csl-citation.json"} </w:instrText>
      </w:r>
      <w:r w:rsidRPr="00D03F54">
        <w:rPr>
          <w:rFonts w:ascii="Arial" w:hAnsi="Arial" w:cs="Arial"/>
          <w:bCs/>
          <w:lang w:val="fr-FR"/>
        </w:rPr>
        <w:fldChar w:fldCharType="separate"/>
      </w:r>
      <w:r w:rsidR="000E4652" w:rsidRPr="000E4652">
        <w:rPr>
          <w:rFonts w:ascii="Arial" w:hAnsi="Arial" w:cs="Arial"/>
        </w:rPr>
        <w:t>(Dianda et al., 2020)</w:t>
      </w:r>
      <w:r w:rsidRPr="00D03F54">
        <w:rPr>
          <w:rFonts w:ascii="Arial" w:hAnsi="Arial" w:cs="Arial"/>
          <w:bCs/>
        </w:rPr>
        <w:fldChar w:fldCharType="end"/>
      </w:r>
      <w:r w:rsidRPr="00D03F54">
        <w:rPr>
          <w:rFonts w:ascii="Arial" w:hAnsi="Arial" w:cs="Arial"/>
          <w:bCs/>
        </w:rPr>
        <w:t xml:space="preserve">. After filtration, extracts were centrifuged at 4,000 rpm for 15 minutes to remove suspended particles. Oils (essential and fixed), obtained by </w:t>
      </w:r>
      <w:proofErr w:type="spellStart"/>
      <w:r w:rsidRPr="00D03F54">
        <w:rPr>
          <w:rFonts w:ascii="Arial" w:hAnsi="Arial" w:cs="Arial"/>
          <w:bCs/>
        </w:rPr>
        <w:t>hydrodistillation</w:t>
      </w:r>
      <w:proofErr w:type="spellEnd"/>
      <w:r w:rsidRPr="00D03F54">
        <w:rPr>
          <w:rFonts w:ascii="Arial" w:hAnsi="Arial" w:cs="Arial"/>
          <w:bCs/>
        </w:rPr>
        <w:t>, were provided by the Laboratory of Natural Substances at IRSAT. Liquid PDA medium (40 g/L) was supplemented with aqueous extracts at concentrations of 25%, 50%, and 75%, and with oils at 100, 150, and 200 ppm.</w:t>
      </w:r>
      <w:r w:rsidR="006877B4">
        <w:rPr>
          <w:rFonts w:ascii="Arial" w:hAnsi="Arial" w:cs="Arial"/>
          <w:bCs/>
        </w:rPr>
        <w:t xml:space="preserve"> </w:t>
      </w:r>
      <w:r w:rsidRPr="00D03F54">
        <w:rPr>
          <w:rFonts w:ascii="Arial" w:hAnsi="Arial" w:cs="Arial"/>
          <w:bCs/>
        </w:rPr>
        <w:t xml:space="preserve">The media were poured into Petri dishes under aseptic conditions, following a completely randomized design with four replicates per treatment. A mycelial explant of </w:t>
      </w:r>
      <w:r w:rsidRPr="00D03F54">
        <w:rPr>
          <w:rFonts w:ascii="Arial" w:hAnsi="Arial" w:cs="Arial"/>
          <w:bCs/>
          <w:i/>
          <w:iCs/>
        </w:rPr>
        <w:t>Fusarium</w:t>
      </w:r>
      <w:r w:rsidRPr="00D03F54">
        <w:rPr>
          <w:rFonts w:ascii="Arial" w:hAnsi="Arial" w:cs="Arial"/>
          <w:bCs/>
        </w:rPr>
        <w:t xml:space="preserve"> isolate T2F was placed at the center of each plate, which was then incubated for 8 days at 22 °C under an alternating photoperiod of 12 h near-UV light and 12 h darkness. Mycelial growth was measured on the 4th, 6th, and 8th days. The inhibition percentage (I %) was calculated using the formula (</w:t>
      </w:r>
      <w:proofErr w:type="spellStart"/>
      <w:r w:rsidRPr="00D03F54">
        <w:rPr>
          <w:rFonts w:ascii="Arial" w:hAnsi="Arial" w:cs="Arial"/>
          <w:bCs/>
        </w:rPr>
        <w:t>Hamdache</w:t>
      </w:r>
      <w:proofErr w:type="spellEnd"/>
      <w:r w:rsidRPr="00D03F54">
        <w:rPr>
          <w:rFonts w:ascii="Arial" w:hAnsi="Arial" w:cs="Arial"/>
          <w:bCs/>
        </w:rPr>
        <w:t xml:space="preserve">, </w:t>
      </w:r>
      <w:proofErr w:type="spellStart"/>
      <w:r w:rsidRPr="00D03F54">
        <w:rPr>
          <w:rFonts w:ascii="Arial" w:hAnsi="Arial" w:cs="Arial"/>
          <w:bCs/>
        </w:rPr>
        <w:t>Lamarti</w:t>
      </w:r>
      <w:proofErr w:type="spellEnd"/>
      <w:r w:rsidRPr="00D03F54">
        <w:rPr>
          <w:rFonts w:ascii="Arial" w:hAnsi="Arial" w:cs="Arial"/>
          <w:bCs/>
        </w:rPr>
        <w:t xml:space="preserve"> and </w:t>
      </w:r>
      <w:proofErr w:type="spellStart"/>
      <w:r w:rsidRPr="00D03F54">
        <w:rPr>
          <w:rFonts w:ascii="Arial" w:hAnsi="Arial" w:cs="Arial"/>
          <w:bCs/>
        </w:rPr>
        <w:t>Badoc</w:t>
      </w:r>
      <w:proofErr w:type="spellEnd"/>
      <w:r w:rsidRPr="00D03F54">
        <w:rPr>
          <w:rFonts w:ascii="Arial" w:hAnsi="Arial" w:cs="Arial"/>
          <w:bCs/>
        </w:rPr>
        <w:t xml:space="preserve">, 2010): </w:t>
      </w:r>
      <w:r w:rsidRPr="00D03F54">
        <w:rPr>
          <w:rFonts w:ascii="Arial" w:hAnsi="Arial" w:cs="Arial"/>
          <w:b/>
          <w:bCs/>
        </w:rPr>
        <w:t xml:space="preserve">I % = [(X - Xi)/X] × 100, </w:t>
      </w:r>
      <w:r w:rsidRPr="00D03F54">
        <w:rPr>
          <w:rFonts w:ascii="Arial" w:hAnsi="Arial" w:cs="Arial"/>
          <w:bCs/>
        </w:rPr>
        <w:t xml:space="preserve">where </w:t>
      </w:r>
      <w:r w:rsidRPr="00D03F54">
        <w:rPr>
          <w:rFonts w:ascii="Arial" w:hAnsi="Arial" w:cs="Arial"/>
          <w:bCs/>
          <w:i/>
          <w:iCs/>
        </w:rPr>
        <w:t>X</w:t>
      </w:r>
      <w:r w:rsidRPr="00D03F54">
        <w:rPr>
          <w:rFonts w:ascii="Arial" w:hAnsi="Arial" w:cs="Arial"/>
          <w:bCs/>
        </w:rPr>
        <w:t xml:space="preserve"> is the mean growth diameter in the absence of extracts or antagonists, and </w:t>
      </w:r>
      <w:r w:rsidRPr="00D03F54">
        <w:rPr>
          <w:rFonts w:ascii="Arial" w:hAnsi="Arial" w:cs="Arial"/>
          <w:bCs/>
          <w:i/>
          <w:iCs/>
        </w:rPr>
        <w:t>Xi</w:t>
      </w:r>
      <w:r w:rsidRPr="00D03F54">
        <w:rPr>
          <w:rFonts w:ascii="Arial" w:hAnsi="Arial" w:cs="Arial"/>
          <w:bCs/>
        </w:rPr>
        <w:t xml:space="preserve"> is the diameter in the presence of treatment. Mancozeb (MZ) at 5 g/L served as a positive control. The table 3 summarizes all treatments with aqueous extracts and oils.</w:t>
      </w:r>
    </w:p>
    <w:p w14:paraId="3B82FDF9" w14:textId="77777777" w:rsidR="00DF61BF" w:rsidRDefault="006877B4" w:rsidP="00DF61BF">
      <w:pPr>
        <w:pStyle w:val="Body"/>
        <w:spacing w:after="0"/>
        <w:rPr>
          <w:rFonts w:ascii="Arial" w:hAnsi="Arial" w:cs="Arial"/>
          <w:bCs/>
        </w:rPr>
      </w:pPr>
      <w:r>
        <w:rPr>
          <w:rFonts w:ascii="Arial" w:hAnsi="Arial" w:cs="Arial"/>
          <w:b/>
          <w:bCs/>
        </w:rPr>
        <w:lastRenderedPageBreak/>
        <w:t xml:space="preserve">Table 3. </w:t>
      </w:r>
      <w:r w:rsidRPr="006877B4">
        <w:rPr>
          <w:rFonts w:ascii="Arial" w:hAnsi="Arial" w:cs="Arial"/>
          <w:b/>
          <w:bCs/>
        </w:rPr>
        <w:t>Characteristics of treatments with aqueous extracts and oils</w:t>
      </w:r>
    </w:p>
    <w:p w14:paraId="2B560BCE" w14:textId="77777777" w:rsidR="00DF61BF" w:rsidRDefault="00DF61BF" w:rsidP="00DF61BF">
      <w:pPr>
        <w:pStyle w:val="Body"/>
        <w:spacing w:after="0"/>
        <w:rPr>
          <w:rFonts w:ascii="Arial" w:hAnsi="Arial" w:cs="Arial"/>
          <w:bCs/>
        </w:rPr>
      </w:pPr>
    </w:p>
    <w:tbl>
      <w:tblPr>
        <w:tblpPr w:leftFromText="180" w:rightFromText="180" w:vertAnchor="text" w:horzAnchor="margin" w:tblpXSpec="right" w:tblpY="37"/>
        <w:tblW w:w="7196" w:type="dxa"/>
        <w:tblBorders>
          <w:top w:val="single" w:sz="4" w:space="0" w:color="auto"/>
          <w:bottom w:val="single" w:sz="4" w:space="0" w:color="auto"/>
        </w:tblBorders>
        <w:tblLook w:val="04A0" w:firstRow="1" w:lastRow="0" w:firstColumn="1" w:lastColumn="0" w:noHBand="0" w:noVBand="1"/>
      </w:tblPr>
      <w:tblGrid>
        <w:gridCol w:w="1134"/>
        <w:gridCol w:w="1985"/>
        <w:gridCol w:w="716"/>
        <w:gridCol w:w="2193"/>
        <w:gridCol w:w="1506"/>
      </w:tblGrid>
      <w:tr w:rsidR="00DF61BF" w:rsidRPr="006877B4" w14:paraId="3C0982D8" w14:textId="77777777" w:rsidTr="00121042">
        <w:trPr>
          <w:trHeight w:val="304"/>
        </w:trPr>
        <w:tc>
          <w:tcPr>
            <w:tcW w:w="3119" w:type="dxa"/>
            <w:gridSpan w:val="2"/>
            <w:tcBorders>
              <w:top w:val="single" w:sz="4" w:space="0" w:color="auto"/>
              <w:bottom w:val="single" w:sz="4" w:space="0" w:color="auto"/>
            </w:tcBorders>
            <w:noWrap/>
            <w:vAlign w:val="bottom"/>
            <w:hideMark/>
          </w:tcPr>
          <w:p w14:paraId="1F0FA937"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Aqueous extracts</w:t>
            </w:r>
          </w:p>
        </w:tc>
        <w:tc>
          <w:tcPr>
            <w:tcW w:w="2909" w:type="dxa"/>
            <w:gridSpan w:val="2"/>
            <w:tcBorders>
              <w:top w:val="single" w:sz="4" w:space="0" w:color="auto"/>
              <w:bottom w:val="single" w:sz="4" w:space="0" w:color="auto"/>
            </w:tcBorders>
            <w:noWrap/>
            <w:vAlign w:val="bottom"/>
            <w:hideMark/>
          </w:tcPr>
          <w:p w14:paraId="36DB727B"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Oils</w:t>
            </w:r>
          </w:p>
        </w:tc>
        <w:tc>
          <w:tcPr>
            <w:tcW w:w="1168" w:type="dxa"/>
            <w:vMerge w:val="restart"/>
            <w:tcBorders>
              <w:bottom w:val="nil"/>
            </w:tcBorders>
            <w:noWrap/>
            <w:vAlign w:val="center"/>
            <w:hideMark/>
          </w:tcPr>
          <w:p w14:paraId="1BC3A7CF" w14:textId="77777777" w:rsidR="00DF61BF" w:rsidRPr="006877B4" w:rsidRDefault="00DF61BF" w:rsidP="00DF61BF">
            <w:pPr>
              <w:pStyle w:val="Body"/>
              <w:spacing w:after="0"/>
              <w:rPr>
                <w:rFonts w:ascii="Arial" w:hAnsi="Arial" w:cs="Arial"/>
                <w:b/>
                <w:bCs/>
              </w:rPr>
            </w:pPr>
            <w:r w:rsidRPr="006877B4">
              <w:rPr>
                <w:rFonts w:ascii="Arial" w:hAnsi="Arial" w:cs="Arial"/>
                <w:b/>
                <w:bCs/>
                <w:lang w:val="fr-FR"/>
              </w:rPr>
              <w:t>Plant species</w:t>
            </w:r>
          </w:p>
        </w:tc>
      </w:tr>
      <w:tr w:rsidR="00DF61BF" w:rsidRPr="006877B4" w14:paraId="50567444" w14:textId="77777777" w:rsidTr="00121042">
        <w:trPr>
          <w:trHeight w:val="304"/>
        </w:trPr>
        <w:tc>
          <w:tcPr>
            <w:tcW w:w="1134" w:type="dxa"/>
            <w:tcBorders>
              <w:top w:val="single" w:sz="4" w:space="0" w:color="auto"/>
              <w:bottom w:val="single" w:sz="4" w:space="0" w:color="auto"/>
            </w:tcBorders>
            <w:noWrap/>
            <w:vAlign w:val="bottom"/>
            <w:hideMark/>
          </w:tcPr>
          <w:p w14:paraId="53ED7FB8"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Code</w:t>
            </w:r>
          </w:p>
        </w:tc>
        <w:tc>
          <w:tcPr>
            <w:tcW w:w="1985" w:type="dxa"/>
            <w:tcBorders>
              <w:top w:val="single" w:sz="4" w:space="0" w:color="auto"/>
              <w:bottom w:val="single" w:sz="4" w:space="0" w:color="auto"/>
            </w:tcBorders>
            <w:noWrap/>
            <w:vAlign w:val="bottom"/>
            <w:hideMark/>
          </w:tcPr>
          <w:p w14:paraId="59499B38"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Dose (%)</w:t>
            </w:r>
          </w:p>
        </w:tc>
        <w:tc>
          <w:tcPr>
            <w:tcW w:w="716" w:type="dxa"/>
            <w:tcBorders>
              <w:top w:val="single" w:sz="4" w:space="0" w:color="auto"/>
              <w:bottom w:val="single" w:sz="4" w:space="0" w:color="auto"/>
            </w:tcBorders>
            <w:noWrap/>
            <w:vAlign w:val="bottom"/>
            <w:hideMark/>
          </w:tcPr>
          <w:p w14:paraId="77D4AA54"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Code</w:t>
            </w:r>
          </w:p>
        </w:tc>
        <w:tc>
          <w:tcPr>
            <w:tcW w:w="2193" w:type="dxa"/>
            <w:tcBorders>
              <w:top w:val="single" w:sz="4" w:space="0" w:color="auto"/>
              <w:bottom w:val="single" w:sz="4" w:space="0" w:color="auto"/>
            </w:tcBorders>
            <w:noWrap/>
            <w:vAlign w:val="bottom"/>
            <w:hideMark/>
          </w:tcPr>
          <w:p w14:paraId="34974370"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Dose (ppm)</w:t>
            </w:r>
          </w:p>
        </w:tc>
        <w:tc>
          <w:tcPr>
            <w:tcW w:w="1168" w:type="dxa"/>
            <w:vMerge/>
            <w:tcBorders>
              <w:top w:val="nil"/>
              <w:bottom w:val="single" w:sz="4" w:space="0" w:color="auto"/>
            </w:tcBorders>
            <w:vAlign w:val="center"/>
            <w:hideMark/>
          </w:tcPr>
          <w:p w14:paraId="2A030152" w14:textId="77777777" w:rsidR="00DF61BF" w:rsidRPr="006877B4" w:rsidRDefault="00DF61BF" w:rsidP="00DF61BF">
            <w:pPr>
              <w:pStyle w:val="Body"/>
              <w:spacing w:after="0"/>
              <w:rPr>
                <w:rFonts w:ascii="Arial" w:hAnsi="Arial" w:cs="Arial"/>
                <w:bCs/>
              </w:rPr>
            </w:pPr>
          </w:p>
        </w:tc>
      </w:tr>
      <w:tr w:rsidR="00DF61BF" w:rsidRPr="006877B4" w14:paraId="18134E3A" w14:textId="77777777" w:rsidTr="00121042">
        <w:trPr>
          <w:trHeight w:val="304"/>
        </w:trPr>
        <w:tc>
          <w:tcPr>
            <w:tcW w:w="1134" w:type="dxa"/>
            <w:tcBorders>
              <w:top w:val="single" w:sz="4" w:space="0" w:color="auto"/>
              <w:bottom w:val="nil"/>
            </w:tcBorders>
            <w:noWrap/>
            <w:vAlign w:val="bottom"/>
            <w:hideMark/>
          </w:tcPr>
          <w:p w14:paraId="1FB7278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T1-A</w:t>
            </w:r>
          </w:p>
        </w:tc>
        <w:tc>
          <w:tcPr>
            <w:tcW w:w="1985" w:type="dxa"/>
            <w:tcBorders>
              <w:top w:val="single" w:sz="4" w:space="0" w:color="auto"/>
              <w:bottom w:val="nil"/>
            </w:tcBorders>
            <w:noWrap/>
            <w:vAlign w:val="bottom"/>
            <w:hideMark/>
          </w:tcPr>
          <w:p w14:paraId="50732853"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bottom w:val="nil"/>
            </w:tcBorders>
            <w:noWrap/>
            <w:vAlign w:val="bottom"/>
            <w:hideMark/>
          </w:tcPr>
          <w:p w14:paraId="6CDED54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HN1</w:t>
            </w:r>
          </w:p>
        </w:tc>
        <w:tc>
          <w:tcPr>
            <w:tcW w:w="2193" w:type="dxa"/>
            <w:tcBorders>
              <w:top w:val="single" w:sz="4" w:space="0" w:color="auto"/>
              <w:bottom w:val="nil"/>
            </w:tcBorders>
            <w:noWrap/>
            <w:vAlign w:val="bottom"/>
            <w:hideMark/>
          </w:tcPr>
          <w:p w14:paraId="3BA94941"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86C26A4" w14:textId="77777777" w:rsidR="00DF61BF" w:rsidRPr="006877B4" w:rsidRDefault="00DF61BF" w:rsidP="00DF61BF">
            <w:pPr>
              <w:pStyle w:val="Body"/>
              <w:spacing w:after="0"/>
              <w:rPr>
                <w:rFonts w:ascii="Arial" w:hAnsi="Arial" w:cs="Arial"/>
                <w:bCs/>
                <w:i/>
                <w:iCs/>
              </w:rPr>
            </w:pPr>
            <w:r w:rsidRPr="006877B4">
              <w:rPr>
                <w:rFonts w:ascii="Arial" w:hAnsi="Arial" w:cs="Arial"/>
                <w:bCs/>
                <w:i/>
                <w:iCs/>
                <w:lang w:val="fr-FR"/>
              </w:rPr>
              <w:t xml:space="preserve">A. </w:t>
            </w:r>
            <w:proofErr w:type="spellStart"/>
            <w:r w:rsidRPr="006877B4">
              <w:rPr>
                <w:rFonts w:ascii="Arial" w:hAnsi="Arial" w:cs="Arial"/>
                <w:bCs/>
                <w:i/>
                <w:iCs/>
                <w:lang w:val="fr-FR"/>
              </w:rPr>
              <w:t>indica</w:t>
            </w:r>
            <w:proofErr w:type="spellEnd"/>
          </w:p>
        </w:tc>
      </w:tr>
      <w:tr w:rsidR="00DF61BF" w:rsidRPr="006877B4" w14:paraId="6430965A" w14:textId="77777777" w:rsidTr="00121042">
        <w:trPr>
          <w:trHeight w:val="304"/>
        </w:trPr>
        <w:tc>
          <w:tcPr>
            <w:tcW w:w="1134" w:type="dxa"/>
            <w:tcBorders>
              <w:top w:val="nil"/>
              <w:bottom w:val="nil"/>
            </w:tcBorders>
            <w:noWrap/>
            <w:vAlign w:val="bottom"/>
            <w:hideMark/>
          </w:tcPr>
          <w:p w14:paraId="37ACC915"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T1-B</w:t>
            </w:r>
          </w:p>
        </w:tc>
        <w:tc>
          <w:tcPr>
            <w:tcW w:w="1985" w:type="dxa"/>
            <w:tcBorders>
              <w:top w:val="nil"/>
              <w:bottom w:val="nil"/>
            </w:tcBorders>
            <w:noWrap/>
            <w:vAlign w:val="bottom"/>
            <w:hideMark/>
          </w:tcPr>
          <w:p w14:paraId="7AAB057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tcBorders>
              <w:top w:val="nil"/>
              <w:bottom w:val="nil"/>
            </w:tcBorders>
            <w:noWrap/>
            <w:vAlign w:val="bottom"/>
            <w:hideMark/>
          </w:tcPr>
          <w:p w14:paraId="0DFC9F9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HN2</w:t>
            </w:r>
          </w:p>
        </w:tc>
        <w:tc>
          <w:tcPr>
            <w:tcW w:w="2193" w:type="dxa"/>
            <w:tcBorders>
              <w:top w:val="nil"/>
              <w:bottom w:val="nil"/>
            </w:tcBorders>
            <w:noWrap/>
            <w:vAlign w:val="bottom"/>
            <w:hideMark/>
          </w:tcPr>
          <w:p w14:paraId="2F8307B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50CD0473" w14:textId="77777777" w:rsidR="00DF61BF" w:rsidRPr="006877B4" w:rsidRDefault="00DF61BF" w:rsidP="00DF61BF">
            <w:pPr>
              <w:pStyle w:val="Body"/>
              <w:spacing w:after="0"/>
              <w:rPr>
                <w:rFonts w:ascii="Arial" w:hAnsi="Arial" w:cs="Arial"/>
                <w:bCs/>
                <w:i/>
                <w:iCs/>
              </w:rPr>
            </w:pPr>
          </w:p>
        </w:tc>
      </w:tr>
      <w:tr w:rsidR="00DF61BF" w:rsidRPr="006877B4" w14:paraId="073E72F0" w14:textId="77777777" w:rsidTr="00121042">
        <w:trPr>
          <w:trHeight w:val="304"/>
        </w:trPr>
        <w:tc>
          <w:tcPr>
            <w:tcW w:w="1134" w:type="dxa"/>
            <w:tcBorders>
              <w:top w:val="nil"/>
              <w:bottom w:val="single" w:sz="4" w:space="0" w:color="auto"/>
            </w:tcBorders>
            <w:noWrap/>
            <w:vAlign w:val="bottom"/>
            <w:hideMark/>
          </w:tcPr>
          <w:p w14:paraId="3704EE1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T1-C</w:t>
            </w:r>
          </w:p>
        </w:tc>
        <w:tc>
          <w:tcPr>
            <w:tcW w:w="1985" w:type="dxa"/>
            <w:tcBorders>
              <w:top w:val="nil"/>
              <w:bottom w:val="single" w:sz="4" w:space="0" w:color="auto"/>
            </w:tcBorders>
            <w:noWrap/>
            <w:vAlign w:val="bottom"/>
            <w:hideMark/>
          </w:tcPr>
          <w:p w14:paraId="532E915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tcBorders>
              <w:top w:val="nil"/>
              <w:bottom w:val="single" w:sz="4" w:space="0" w:color="auto"/>
            </w:tcBorders>
            <w:noWrap/>
            <w:vAlign w:val="bottom"/>
            <w:hideMark/>
          </w:tcPr>
          <w:p w14:paraId="3C8A9E2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HN3</w:t>
            </w:r>
          </w:p>
        </w:tc>
        <w:tc>
          <w:tcPr>
            <w:tcW w:w="2193" w:type="dxa"/>
            <w:tcBorders>
              <w:top w:val="nil"/>
              <w:bottom w:val="single" w:sz="4" w:space="0" w:color="auto"/>
            </w:tcBorders>
            <w:noWrap/>
            <w:vAlign w:val="bottom"/>
            <w:hideMark/>
          </w:tcPr>
          <w:p w14:paraId="2CE23F6C"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7EA7D25F" w14:textId="77777777" w:rsidR="00DF61BF" w:rsidRPr="006877B4" w:rsidRDefault="00DF61BF" w:rsidP="00DF61BF">
            <w:pPr>
              <w:pStyle w:val="Body"/>
              <w:spacing w:after="0"/>
              <w:rPr>
                <w:rFonts w:ascii="Arial" w:hAnsi="Arial" w:cs="Arial"/>
                <w:bCs/>
                <w:i/>
                <w:iCs/>
              </w:rPr>
            </w:pPr>
          </w:p>
        </w:tc>
      </w:tr>
      <w:tr w:rsidR="00DF61BF" w:rsidRPr="006877B4" w14:paraId="0B1FF55E" w14:textId="77777777" w:rsidTr="00121042">
        <w:trPr>
          <w:trHeight w:val="304"/>
        </w:trPr>
        <w:tc>
          <w:tcPr>
            <w:tcW w:w="1134" w:type="dxa"/>
            <w:tcBorders>
              <w:top w:val="single" w:sz="4" w:space="0" w:color="auto"/>
              <w:bottom w:val="nil"/>
            </w:tcBorders>
            <w:noWrap/>
            <w:vAlign w:val="bottom"/>
            <w:hideMark/>
          </w:tcPr>
          <w:p w14:paraId="01CC0E6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T2-A</w:t>
            </w:r>
          </w:p>
        </w:tc>
        <w:tc>
          <w:tcPr>
            <w:tcW w:w="1985" w:type="dxa"/>
            <w:tcBorders>
              <w:top w:val="single" w:sz="4" w:space="0" w:color="auto"/>
              <w:bottom w:val="nil"/>
            </w:tcBorders>
            <w:noWrap/>
            <w:vAlign w:val="bottom"/>
            <w:hideMark/>
          </w:tcPr>
          <w:p w14:paraId="0C501A4C"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bottom w:val="nil"/>
            </w:tcBorders>
            <w:noWrap/>
            <w:vAlign w:val="bottom"/>
            <w:hideMark/>
          </w:tcPr>
          <w:p w14:paraId="780D898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HO1</w:t>
            </w:r>
          </w:p>
        </w:tc>
        <w:tc>
          <w:tcPr>
            <w:tcW w:w="2193" w:type="dxa"/>
            <w:tcBorders>
              <w:top w:val="single" w:sz="4" w:space="0" w:color="auto"/>
              <w:bottom w:val="nil"/>
            </w:tcBorders>
            <w:noWrap/>
            <w:vAlign w:val="bottom"/>
            <w:hideMark/>
          </w:tcPr>
          <w:p w14:paraId="3A6238E2"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52D04D9" w14:textId="77777777" w:rsidR="00DF61BF" w:rsidRPr="006877B4" w:rsidRDefault="00DF61BF" w:rsidP="00DF61BF">
            <w:pPr>
              <w:pStyle w:val="Body"/>
              <w:spacing w:after="0"/>
              <w:rPr>
                <w:rFonts w:ascii="Arial" w:hAnsi="Arial" w:cs="Arial"/>
                <w:bCs/>
                <w:i/>
                <w:iCs/>
              </w:rPr>
            </w:pPr>
            <w:proofErr w:type="spellStart"/>
            <w:r w:rsidRPr="006877B4">
              <w:rPr>
                <w:rFonts w:ascii="Arial" w:hAnsi="Arial" w:cs="Arial"/>
                <w:bCs/>
                <w:i/>
                <w:iCs/>
                <w:lang w:val="fr-FR"/>
              </w:rPr>
              <w:t>O.gratissimum</w:t>
            </w:r>
            <w:proofErr w:type="spellEnd"/>
          </w:p>
        </w:tc>
      </w:tr>
      <w:tr w:rsidR="00DF61BF" w:rsidRPr="006877B4" w14:paraId="3AFDE28F" w14:textId="77777777" w:rsidTr="00121042">
        <w:trPr>
          <w:trHeight w:val="290"/>
        </w:trPr>
        <w:tc>
          <w:tcPr>
            <w:tcW w:w="1134" w:type="dxa"/>
            <w:tcBorders>
              <w:top w:val="nil"/>
              <w:bottom w:val="nil"/>
            </w:tcBorders>
            <w:noWrap/>
            <w:vAlign w:val="bottom"/>
            <w:hideMark/>
          </w:tcPr>
          <w:p w14:paraId="6414C64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T2-B</w:t>
            </w:r>
          </w:p>
        </w:tc>
        <w:tc>
          <w:tcPr>
            <w:tcW w:w="1985" w:type="dxa"/>
            <w:tcBorders>
              <w:top w:val="nil"/>
              <w:bottom w:val="nil"/>
            </w:tcBorders>
            <w:noWrap/>
            <w:vAlign w:val="bottom"/>
            <w:hideMark/>
          </w:tcPr>
          <w:p w14:paraId="0C07754D"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tcBorders>
              <w:top w:val="nil"/>
              <w:bottom w:val="nil"/>
            </w:tcBorders>
            <w:noWrap/>
            <w:vAlign w:val="bottom"/>
            <w:hideMark/>
          </w:tcPr>
          <w:p w14:paraId="152BC6D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HO2</w:t>
            </w:r>
          </w:p>
        </w:tc>
        <w:tc>
          <w:tcPr>
            <w:tcW w:w="2193" w:type="dxa"/>
            <w:tcBorders>
              <w:top w:val="nil"/>
              <w:bottom w:val="nil"/>
            </w:tcBorders>
            <w:noWrap/>
            <w:vAlign w:val="bottom"/>
            <w:hideMark/>
          </w:tcPr>
          <w:p w14:paraId="4B7804F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56634FEC" w14:textId="77777777" w:rsidR="00DF61BF" w:rsidRPr="006877B4" w:rsidRDefault="00DF61BF" w:rsidP="00DF61BF">
            <w:pPr>
              <w:pStyle w:val="Body"/>
              <w:spacing w:after="0"/>
              <w:rPr>
                <w:rFonts w:ascii="Arial" w:hAnsi="Arial" w:cs="Arial"/>
                <w:bCs/>
                <w:i/>
                <w:iCs/>
              </w:rPr>
            </w:pPr>
          </w:p>
        </w:tc>
      </w:tr>
      <w:tr w:rsidR="00DF61BF" w:rsidRPr="006877B4" w14:paraId="4DE91013" w14:textId="77777777" w:rsidTr="00121042">
        <w:trPr>
          <w:trHeight w:val="304"/>
        </w:trPr>
        <w:tc>
          <w:tcPr>
            <w:tcW w:w="1134" w:type="dxa"/>
            <w:tcBorders>
              <w:top w:val="nil"/>
              <w:bottom w:val="single" w:sz="4" w:space="0" w:color="auto"/>
            </w:tcBorders>
            <w:noWrap/>
            <w:vAlign w:val="bottom"/>
            <w:hideMark/>
          </w:tcPr>
          <w:p w14:paraId="38E948EA"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T2-C</w:t>
            </w:r>
          </w:p>
        </w:tc>
        <w:tc>
          <w:tcPr>
            <w:tcW w:w="1985" w:type="dxa"/>
            <w:tcBorders>
              <w:top w:val="nil"/>
              <w:bottom w:val="single" w:sz="4" w:space="0" w:color="auto"/>
            </w:tcBorders>
            <w:noWrap/>
            <w:vAlign w:val="bottom"/>
            <w:hideMark/>
          </w:tcPr>
          <w:p w14:paraId="689EFEFD"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tcBorders>
              <w:top w:val="nil"/>
              <w:bottom w:val="single" w:sz="4" w:space="0" w:color="auto"/>
            </w:tcBorders>
            <w:noWrap/>
            <w:vAlign w:val="bottom"/>
            <w:hideMark/>
          </w:tcPr>
          <w:p w14:paraId="36A922C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HO3</w:t>
            </w:r>
          </w:p>
        </w:tc>
        <w:tc>
          <w:tcPr>
            <w:tcW w:w="2193" w:type="dxa"/>
            <w:tcBorders>
              <w:top w:val="nil"/>
              <w:bottom w:val="single" w:sz="4" w:space="0" w:color="auto"/>
            </w:tcBorders>
            <w:noWrap/>
            <w:vAlign w:val="bottom"/>
            <w:hideMark/>
          </w:tcPr>
          <w:p w14:paraId="11A7F13B"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72DE1C1A" w14:textId="77777777" w:rsidR="00DF61BF" w:rsidRPr="006877B4" w:rsidRDefault="00DF61BF" w:rsidP="00DF61BF">
            <w:pPr>
              <w:pStyle w:val="Body"/>
              <w:spacing w:after="0"/>
              <w:rPr>
                <w:rFonts w:ascii="Arial" w:hAnsi="Arial" w:cs="Arial"/>
                <w:bCs/>
                <w:i/>
                <w:iCs/>
              </w:rPr>
            </w:pPr>
          </w:p>
        </w:tc>
      </w:tr>
      <w:tr w:rsidR="00DF61BF" w:rsidRPr="006877B4" w14:paraId="55E58114" w14:textId="77777777" w:rsidTr="00121042">
        <w:trPr>
          <w:trHeight w:val="304"/>
        </w:trPr>
        <w:tc>
          <w:tcPr>
            <w:tcW w:w="1134" w:type="dxa"/>
            <w:tcBorders>
              <w:top w:val="single" w:sz="4" w:space="0" w:color="auto"/>
            </w:tcBorders>
            <w:noWrap/>
            <w:vAlign w:val="bottom"/>
            <w:hideMark/>
          </w:tcPr>
          <w:p w14:paraId="011A81D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T3-A</w:t>
            </w:r>
          </w:p>
        </w:tc>
        <w:tc>
          <w:tcPr>
            <w:tcW w:w="1985" w:type="dxa"/>
            <w:tcBorders>
              <w:top w:val="single" w:sz="4" w:space="0" w:color="auto"/>
            </w:tcBorders>
            <w:noWrap/>
            <w:vAlign w:val="bottom"/>
            <w:hideMark/>
          </w:tcPr>
          <w:p w14:paraId="70F4063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tcBorders>
            <w:noWrap/>
            <w:vAlign w:val="bottom"/>
            <w:hideMark/>
          </w:tcPr>
          <w:p w14:paraId="5CA0835E"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HJ1</w:t>
            </w:r>
          </w:p>
        </w:tc>
        <w:tc>
          <w:tcPr>
            <w:tcW w:w="2193" w:type="dxa"/>
            <w:tcBorders>
              <w:top w:val="single" w:sz="4" w:space="0" w:color="auto"/>
            </w:tcBorders>
            <w:noWrap/>
            <w:vAlign w:val="bottom"/>
            <w:hideMark/>
          </w:tcPr>
          <w:p w14:paraId="14DC827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A86F157" w14:textId="77777777" w:rsidR="00DF61BF" w:rsidRPr="006877B4" w:rsidRDefault="00DF61BF" w:rsidP="00DF61BF">
            <w:pPr>
              <w:pStyle w:val="Body"/>
              <w:spacing w:after="0"/>
              <w:rPr>
                <w:rFonts w:ascii="Arial" w:hAnsi="Arial" w:cs="Arial"/>
                <w:bCs/>
                <w:i/>
                <w:iCs/>
              </w:rPr>
            </w:pPr>
            <w:r w:rsidRPr="006877B4">
              <w:rPr>
                <w:rFonts w:ascii="Arial" w:hAnsi="Arial" w:cs="Arial"/>
                <w:bCs/>
                <w:i/>
                <w:iCs/>
                <w:lang w:val="fr-FR"/>
              </w:rPr>
              <w:t>J. circas</w:t>
            </w:r>
          </w:p>
        </w:tc>
      </w:tr>
      <w:tr w:rsidR="00DF61BF" w:rsidRPr="006877B4" w14:paraId="565D1973" w14:textId="77777777" w:rsidTr="00121042">
        <w:trPr>
          <w:trHeight w:val="304"/>
        </w:trPr>
        <w:tc>
          <w:tcPr>
            <w:tcW w:w="1134" w:type="dxa"/>
            <w:noWrap/>
            <w:vAlign w:val="bottom"/>
            <w:hideMark/>
          </w:tcPr>
          <w:p w14:paraId="6095BA6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T3-B</w:t>
            </w:r>
          </w:p>
        </w:tc>
        <w:tc>
          <w:tcPr>
            <w:tcW w:w="1985" w:type="dxa"/>
            <w:noWrap/>
            <w:vAlign w:val="bottom"/>
            <w:hideMark/>
          </w:tcPr>
          <w:p w14:paraId="6B1BD41B"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noWrap/>
            <w:vAlign w:val="bottom"/>
            <w:hideMark/>
          </w:tcPr>
          <w:p w14:paraId="25A50AD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HJ2</w:t>
            </w:r>
          </w:p>
        </w:tc>
        <w:tc>
          <w:tcPr>
            <w:tcW w:w="2193" w:type="dxa"/>
            <w:noWrap/>
            <w:vAlign w:val="bottom"/>
            <w:hideMark/>
          </w:tcPr>
          <w:p w14:paraId="479DBDD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09888B85" w14:textId="77777777" w:rsidR="00DF61BF" w:rsidRPr="006877B4" w:rsidRDefault="00DF61BF" w:rsidP="00DF61BF">
            <w:pPr>
              <w:pStyle w:val="Body"/>
              <w:spacing w:after="0"/>
              <w:rPr>
                <w:rFonts w:ascii="Arial" w:hAnsi="Arial" w:cs="Arial"/>
                <w:bCs/>
                <w:i/>
                <w:iCs/>
              </w:rPr>
            </w:pPr>
          </w:p>
        </w:tc>
      </w:tr>
      <w:tr w:rsidR="00DF61BF" w:rsidRPr="006877B4" w14:paraId="75159CEE" w14:textId="77777777" w:rsidTr="00121042">
        <w:trPr>
          <w:trHeight w:val="304"/>
        </w:trPr>
        <w:tc>
          <w:tcPr>
            <w:tcW w:w="1134" w:type="dxa"/>
            <w:noWrap/>
            <w:vAlign w:val="bottom"/>
            <w:hideMark/>
          </w:tcPr>
          <w:p w14:paraId="4CA62A1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T3-C</w:t>
            </w:r>
          </w:p>
        </w:tc>
        <w:tc>
          <w:tcPr>
            <w:tcW w:w="1985" w:type="dxa"/>
            <w:noWrap/>
            <w:vAlign w:val="bottom"/>
            <w:hideMark/>
          </w:tcPr>
          <w:p w14:paraId="1DA9A1FA"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noWrap/>
            <w:vAlign w:val="bottom"/>
            <w:hideMark/>
          </w:tcPr>
          <w:p w14:paraId="0FB7C3B2"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HJ3</w:t>
            </w:r>
          </w:p>
        </w:tc>
        <w:tc>
          <w:tcPr>
            <w:tcW w:w="2193" w:type="dxa"/>
            <w:noWrap/>
            <w:vAlign w:val="bottom"/>
            <w:hideMark/>
          </w:tcPr>
          <w:p w14:paraId="17DB4F45"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537CC81B" w14:textId="77777777" w:rsidR="00DF61BF" w:rsidRPr="006877B4" w:rsidRDefault="00DF61BF" w:rsidP="00DF61BF">
            <w:pPr>
              <w:pStyle w:val="Body"/>
              <w:spacing w:after="0"/>
              <w:rPr>
                <w:rFonts w:ascii="Arial" w:hAnsi="Arial" w:cs="Arial"/>
                <w:bCs/>
                <w:i/>
                <w:iCs/>
              </w:rPr>
            </w:pPr>
          </w:p>
        </w:tc>
      </w:tr>
    </w:tbl>
    <w:p w14:paraId="59325098" w14:textId="77777777" w:rsidR="00DF61BF" w:rsidRDefault="00DF61BF" w:rsidP="00DF61BF">
      <w:pPr>
        <w:pStyle w:val="Body"/>
        <w:spacing w:after="0"/>
        <w:rPr>
          <w:rFonts w:ascii="Arial" w:hAnsi="Arial" w:cs="Arial"/>
          <w:bCs/>
        </w:rPr>
      </w:pPr>
    </w:p>
    <w:p w14:paraId="7A4AB40D" w14:textId="77777777" w:rsidR="00DF61BF" w:rsidRDefault="00DF61BF" w:rsidP="00DF61BF">
      <w:pPr>
        <w:pStyle w:val="Body"/>
        <w:spacing w:after="0"/>
        <w:rPr>
          <w:rFonts w:ascii="Arial" w:hAnsi="Arial" w:cs="Arial"/>
          <w:bCs/>
        </w:rPr>
      </w:pPr>
    </w:p>
    <w:p w14:paraId="1EEA58F3" w14:textId="77777777" w:rsidR="00DF61BF" w:rsidRDefault="00DF61BF" w:rsidP="00DF61BF">
      <w:pPr>
        <w:pStyle w:val="Body"/>
        <w:spacing w:after="0"/>
        <w:rPr>
          <w:rFonts w:ascii="Arial" w:hAnsi="Arial" w:cs="Arial"/>
          <w:bCs/>
        </w:rPr>
      </w:pPr>
    </w:p>
    <w:p w14:paraId="1F63306E" w14:textId="77777777" w:rsidR="00DF61BF" w:rsidRDefault="00DF61BF" w:rsidP="00DF61BF">
      <w:pPr>
        <w:pStyle w:val="Body"/>
        <w:spacing w:after="0"/>
        <w:rPr>
          <w:rFonts w:ascii="Arial" w:hAnsi="Arial" w:cs="Arial"/>
          <w:bCs/>
        </w:rPr>
      </w:pPr>
    </w:p>
    <w:p w14:paraId="3B45B0BF" w14:textId="77777777" w:rsidR="00DF61BF" w:rsidRDefault="00DF61BF" w:rsidP="00DF61BF">
      <w:pPr>
        <w:pStyle w:val="Body"/>
        <w:spacing w:after="0"/>
        <w:rPr>
          <w:rFonts w:ascii="Arial" w:hAnsi="Arial" w:cs="Arial"/>
          <w:bCs/>
        </w:rPr>
      </w:pPr>
    </w:p>
    <w:p w14:paraId="7B9A5F7B" w14:textId="77777777" w:rsidR="006877B4" w:rsidRPr="00D03F54" w:rsidRDefault="006877B4" w:rsidP="00DF61BF">
      <w:pPr>
        <w:pStyle w:val="Body"/>
        <w:spacing w:after="0"/>
        <w:rPr>
          <w:rFonts w:ascii="Arial" w:hAnsi="Arial" w:cs="Arial"/>
          <w:bCs/>
        </w:rPr>
      </w:pPr>
    </w:p>
    <w:p w14:paraId="6C4DF88D" w14:textId="77777777" w:rsidR="00DF61BF" w:rsidRDefault="00DF61BF" w:rsidP="00DF61BF">
      <w:pPr>
        <w:pStyle w:val="Body"/>
        <w:spacing w:after="0"/>
        <w:rPr>
          <w:rFonts w:ascii="Arial" w:hAnsi="Arial" w:cs="Arial"/>
          <w:b/>
          <w:bCs/>
          <w:u w:val="single"/>
        </w:rPr>
      </w:pPr>
    </w:p>
    <w:p w14:paraId="064537A1" w14:textId="77777777" w:rsidR="00DF61BF" w:rsidRDefault="00DF61BF" w:rsidP="00DF61BF">
      <w:pPr>
        <w:pStyle w:val="Body"/>
        <w:spacing w:after="0"/>
        <w:rPr>
          <w:rFonts w:ascii="Arial" w:hAnsi="Arial" w:cs="Arial"/>
          <w:b/>
          <w:bCs/>
          <w:u w:val="single"/>
        </w:rPr>
      </w:pPr>
    </w:p>
    <w:p w14:paraId="2873DF73" w14:textId="77777777" w:rsidR="00DF61BF" w:rsidRDefault="00DF61BF" w:rsidP="00DF61BF">
      <w:pPr>
        <w:pStyle w:val="Body"/>
        <w:spacing w:after="0"/>
        <w:rPr>
          <w:rFonts w:ascii="Arial" w:hAnsi="Arial" w:cs="Arial"/>
          <w:b/>
          <w:bCs/>
          <w:u w:val="single"/>
        </w:rPr>
      </w:pPr>
    </w:p>
    <w:p w14:paraId="00500EF4" w14:textId="77777777" w:rsidR="00DF61BF" w:rsidRDefault="00DF61BF" w:rsidP="00DF61BF">
      <w:pPr>
        <w:pStyle w:val="Body"/>
        <w:spacing w:after="0"/>
        <w:rPr>
          <w:rFonts w:ascii="Arial" w:hAnsi="Arial" w:cs="Arial"/>
          <w:b/>
          <w:bCs/>
          <w:u w:val="single"/>
        </w:rPr>
      </w:pPr>
    </w:p>
    <w:p w14:paraId="1A5A67C2" w14:textId="77777777" w:rsidR="00DF61BF" w:rsidRDefault="00DF61BF" w:rsidP="00DF61BF">
      <w:pPr>
        <w:pStyle w:val="Body"/>
        <w:spacing w:after="0"/>
        <w:rPr>
          <w:rFonts w:ascii="Arial" w:hAnsi="Arial" w:cs="Arial"/>
          <w:b/>
          <w:bCs/>
          <w:u w:val="single"/>
        </w:rPr>
      </w:pPr>
    </w:p>
    <w:p w14:paraId="194B2B0A" w14:textId="77777777" w:rsidR="00DF61BF" w:rsidRDefault="00DF61BF" w:rsidP="00DF61BF">
      <w:pPr>
        <w:pStyle w:val="Body"/>
        <w:spacing w:after="0"/>
        <w:rPr>
          <w:rFonts w:ascii="Arial" w:hAnsi="Arial" w:cs="Arial"/>
          <w:b/>
          <w:bCs/>
          <w:u w:val="single"/>
        </w:rPr>
      </w:pPr>
    </w:p>
    <w:p w14:paraId="73BECAE5" w14:textId="77777777" w:rsidR="00DF61BF" w:rsidRDefault="00DF61BF" w:rsidP="00DF61BF">
      <w:pPr>
        <w:pStyle w:val="Body"/>
        <w:spacing w:after="0"/>
        <w:rPr>
          <w:rFonts w:ascii="Arial" w:hAnsi="Arial" w:cs="Arial"/>
          <w:b/>
          <w:bCs/>
          <w:u w:val="single"/>
        </w:rPr>
      </w:pPr>
    </w:p>
    <w:p w14:paraId="797AA24A" w14:textId="77777777" w:rsidR="00DF61BF" w:rsidRDefault="00DF61BF" w:rsidP="00DF61BF">
      <w:pPr>
        <w:pStyle w:val="Body"/>
        <w:spacing w:after="0"/>
        <w:rPr>
          <w:rFonts w:ascii="Arial" w:hAnsi="Arial" w:cs="Arial"/>
          <w:b/>
          <w:bCs/>
          <w:u w:val="single"/>
        </w:rPr>
      </w:pPr>
    </w:p>
    <w:p w14:paraId="70B0E0E6" w14:textId="77777777" w:rsidR="00DF61BF" w:rsidRDefault="00DF61BF" w:rsidP="00DF61BF">
      <w:pPr>
        <w:pStyle w:val="Body"/>
        <w:spacing w:after="0"/>
        <w:rPr>
          <w:rFonts w:ascii="Arial" w:hAnsi="Arial" w:cs="Arial"/>
          <w:b/>
          <w:bCs/>
          <w:u w:val="single"/>
        </w:rPr>
      </w:pPr>
    </w:p>
    <w:p w14:paraId="4CB0C6AC" w14:textId="77777777" w:rsidR="00DF61BF" w:rsidRDefault="00DF61BF" w:rsidP="006877B4">
      <w:pPr>
        <w:pStyle w:val="Body"/>
        <w:rPr>
          <w:rFonts w:ascii="Arial" w:hAnsi="Arial" w:cs="Arial"/>
          <w:b/>
          <w:bCs/>
          <w:u w:val="single"/>
        </w:rPr>
      </w:pPr>
    </w:p>
    <w:p w14:paraId="34C29CB6" w14:textId="77777777" w:rsidR="006877B4" w:rsidRPr="006877B4" w:rsidRDefault="006877B4" w:rsidP="006877B4">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3</w:t>
      </w:r>
      <w:r w:rsidRPr="006877B4">
        <w:rPr>
          <w:rFonts w:ascii="Arial" w:hAnsi="Arial" w:cs="Arial"/>
          <w:b/>
          <w:bCs/>
          <w:u w:val="single"/>
        </w:rPr>
        <w:t xml:space="preserve"> </w:t>
      </w:r>
      <w:r w:rsidRPr="006877B4">
        <w:rPr>
          <w:rFonts w:ascii="Arial" w:hAnsi="Arial" w:cs="Arial"/>
          <w:b/>
          <w:bCs/>
          <w:i/>
          <w:u w:val="single"/>
        </w:rPr>
        <w:t xml:space="preserve">In vitro evaluation of the antifungal activity of </w:t>
      </w:r>
      <w:r w:rsidRPr="006877B4">
        <w:rPr>
          <w:rFonts w:ascii="Arial" w:hAnsi="Arial" w:cs="Arial"/>
          <w:b/>
          <w:bCs/>
          <w:i/>
          <w:iCs/>
          <w:u w:val="single"/>
        </w:rPr>
        <w:t>Trichoderma</w:t>
      </w:r>
      <w:r w:rsidRPr="006877B4">
        <w:rPr>
          <w:rFonts w:ascii="Arial" w:hAnsi="Arial" w:cs="Arial"/>
          <w:b/>
          <w:bCs/>
          <w:i/>
          <w:u w:val="single"/>
        </w:rPr>
        <w:t xml:space="preserve"> sp.</w:t>
      </w:r>
    </w:p>
    <w:p w14:paraId="2902BEFF" w14:textId="77777777" w:rsidR="006877B4" w:rsidRPr="006877B4" w:rsidRDefault="006877B4" w:rsidP="006877B4">
      <w:pPr>
        <w:pStyle w:val="Body"/>
        <w:rPr>
          <w:rFonts w:ascii="Arial" w:hAnsi="Arial" w:cs="Arial"/>
          <w:bCs/>
        </w:rPr>
      </w:pPr>
      <w:r w:rsidRPr="006877B4">
        <w:rPr>
          <w:rFonts w:ascii="Arial" w:hAnsi="Arial" w:cs="Arial"/>
          <w:bCs/>
        </w:rPr>
        <w:t xml:space="preserve">The direct confrontation method was used to assess the antagonistic effect of </w:t>
      </w:r>
      <w:r w:rsidRPr="006877B4">
        <w:rPr>
          <w:rFonts w:ascii="Arial" w:hAnsi="Arial" w:cs="Arial"/>
          <w:bCs/>
          <w:i/>
          <w:iCs/>
        </w:rPr>
        <w:t>Trichoderma</w:t>
      </w:r>
      <w:r w:rsidRPr="006877B4">
        <w:rPr>
          <w:rFonts w:ascii="Arial" w:hAnsi="Arial" w:cs="Arial"/>
          <w:bCs/>
        </w:rPr>
        <w:t xml:space="preserve"> sp. on the pathogenic </w:t>
      </w:r>
      <w:r w:rsidRPr="006877B4">
        <w:rPr>
          <w:rFonts w:ascii="Arial" w:hAnsi="Arial" w:cs="Arial"/>
          <w:bCs/>
          <w:i/>
          <w:iCs/>
        </w:rPr>
        <w:t>Fusarium</w:t>
      </w:r>
      <w:r w:rsidRPr="006877B4">
        <w:rPr>
          <w:rFonts w:ascii="Arial" w:hAnsi="Arial" w:cs="Arial"/>
          <w:bCs/>
        </w:rPr>
        <w:t xml:space="preserve"> sp. isolate T2F </w:t>
      </w:r>
      <w:r w:rsidRPr="006877B4">
        <w:rPr>
          <w:rFonts w:ascii="Arial" w:hAnsi="Arial" w:cs="Arial"/>
          <w:bCs/>
          <w:lang w:val="fr-FR"/>
        </w:rPr>
        <w:fldChar w:fldCharType="begin"/>
      </w:r>
      <w:r w:rsidR="000E4652">
        <w:rPr>
          <w:rFonts w:ascii="Arial" w:hAnsi="Arial" w:cs="Arial"/>
          <w:bCs/>
        </w:rPr>
        <w:instrText xml:space="preserve"> ADDIN ZOTERO_ITEM CSL_CITATION {"citationID":"UmvafDMY","properties":{"formattedCitation":"(Meraj-Ul and Nandkar, 2012)","plainCitation":"(Meraj-Ul and Nandkar, 2012)","noteIndex":0},"citationItems":[{"id":4192,"uris":["http://zotero.org/users/8710791/items/NXFBESP3"],"itemData":{"id":4192,"type":"article-journal","container-title":"Intl J Res BioSci","issue":"2","page":"27–3","source":"Google Scholar","title":"Antagonistic effect of rhizospheric Trichoderma isolates against tomato damping-off pathogen, Fusarium oxysporum f. sp. lycopersici","volume":"1","author":[{"family":"Meraj-Ul","given":"H."},{"family":"Nandkar","given":"P. B."}],"issued":{"date-parts":[["2012"]]}}}],"schema":"https://github.com/citation-style-language/schema/raw/master/csl-citation.json"}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(Meraj-Ul and Nandkar, 2012)</w:t>
      </w:r>
      <w:r w:rsidRPr="006877B4">
        <w:rPr>
          <w:rFonts w:ascii="Arial" w:hAnsi="Arial" w:cs="Arial"/>
          <w:bCs/>
        </w:rPr>
        <w:fldChar w:fldCharType="end"/>
      </w:r>
      <w:r w:rsidRPr="006877B4">
        <w:rPr>
          <w:rFonts w:ascii="Arial" w:hAnsi="Arial" w:cs="Arial"/>
          <w:bCs/>
        </w:rPr>
        <w:t xml:space="preserve">. First, liquid PDA media were inoculated with </w:t>
      </w:r>
      <w:r w:rsidRPr="006877B4">
        <w:rPr>
          <w:rFonts w:ascii="Arial" w:hAnsi="Arial" w:cs="Arial"/>
          <w:bCs/>
          <w:i/>
          <w:iCs/>
        </w:rPr>
        <w:t>Trichoderma</w:t>
      </w:r>
      <w:r w:rsidRPr="006877B4">
        <w:rPr>
          <w:rFonts w:ascii="Arial" w:hAnsi="Arial" w:cs="Arial"/>
          <w:bCs/>
        </w:rPr>
        <w:t xml:space="preserve"> sp. spore suspensions at 10⁹ spores/mL, at respective concentrations of 5% (T4A), 10% (T4B), and 15% (T4C) v/v. The inoculated medium was poured and cooled in Petri dishes, and a 1 cm mycelial explant of </w:t>
      </w:r>
      <w:r w:rsidRPr="006877B4">
        <w:rPr>
          <w:rFonts w:ascii="Arial" w:hAnsi="Arial" w:cs="Arial"/>
          <w:bCs/>
          <w:i/>
          <w:iCs/>
        </w:rPr>
        <w:t>Fusarium</w:t>
      </w:r>
      <w:r w:rsidRPr="006877B4">
        <w:rPr>
          <w:rFonts w:ascii="Arial" w:hAnsi="Arial" w:cs="Arial"/>
          <w:bCs/>
        </w:rPr>
        <w:t xml:space="preserve"> sp. was placed at the center of each dish.</w:t>
      </w:r>
      <w:r>
        <w:rPr>
          <w:rFonts w:ascii="Arial" w:hAnsi="Arial" w:cs="Arial"/>
          <w:bCs/>
        </w:rPr>
        <w:t xml:space="preserve"> </w:t>
      </w:r>
      <w:r w:rsidRPr="006877B4">
        <w:rPr>
          <w:rFonts w:ascii="Arial" w:hAnsi="Arial" w:cs="Arial"/>
          <w:bCs/>
        </w:rPr>
        <w:t xml:space="preserve">Second (T4CD), 6 mm diameter mycelial explants of </w:t>
      </w:r>
      <w:r w:rsidRPr="006877B4">
        <w:rPr>
          <w:rFonts w:ascii="Arial" w:hAnsi="Arial" w:cs="Arial"/>
          <w:bCs/>
          <w:i/>
          <w:iCs/>
        </w:rPr>
        <w:t>Trichoderma</w:t>
      </w:r>
      <w:r w:rsidRPr="006877B4">
        <w:rPr>
          <w:rFonts w:ascii="Arial" w:hAnsi="Arial" w:cs="Arial"/>
          <w:bCs/>
        </w:rPr>
        <w:t xml:space="preserve"> sp. and </w:t>
      </w:r>
      <w:r w:rsidRPr="006877B4">
        <w:rPr>
          <w:rFonts w:ascii="Arial" w:hAnsi="Arial" w:cs="Arial"/>
          <w:bCs/>
          <w:i/>
          <w:iCs/>
        </w:rPr>
        <w:t>Fusarium</w:t>
      </w:r>
      <w:r w:rsidRPr="006877B4">
        <w:rPr>
          <w:rFonts w:ascii="Arial" w:hAnsi="Arial" w:cs="Arial"/>
          <w:bCs/>
        </w:rPr>
        <w:t xml:space="preserve"> sp. isolates were placed on the same axis, 5 cm apart </w:t>
      </w:r>
      <w:r w:rsidRPr="006877B4">
        <w:rPr>
          <w:rFonts w:ascii="Arial" w:hAnsi="Arial" w:cs="Arial"/>
          <w:bCs/>
          <w:lang w:val="fr-FR"/>
        </w:rPr>
        <w:fldChar w:fldCharType="begin"/>
      </w:r>
      <w:r w:rsidRPr="006877B4">
        <w:rPr>
          <w:rFonts w:ascii="Arial" w:hAnsi="Arial" w:cs="Arial"/>
          <w:bCs/>
        </w:rPr>
        <w:instrText xml:space="preserve"> ADDIN ZOTERO_ITEM CSL_CITATION {"citationID":"uMibyXhe","properties":{"formattedCitation":"(Gaston et al., 2023)","plainCitation":"(Gaston et al., 2023)","noteIndex":0},"citationItems":[{"id":4193,"uris":["http://zotero.org/users/8710791/items/K8VCEWSD"],"itemData":{"id":4193,"type":"article-journal","source":"Google Scholar","title":"Effet de l’Еnrobage des Semences de Maïs (Zea mays L.) avec Trichoderma harzianum sur la Levée et la Croissance des Plantules au Burkina Faso","URL":"https://www.academia.edu/download/122847224/17014.pdf","author":[{"family":"Gaston","given":"Dabiré Tobdem"},{"family":"Amadou","given":"Ir Sanou"},{"family":"Schémaéza","given":"Bonzi"},{"family":"Irénée","given":"Somda"}],"accessed":{"date-parts":[["2025",8,7]]},"issued":{"date-parts":[["2023"]]}}}],"schema":"https://github.com/citation-style-language/schema/raw/master/csl-citation.json"}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(Gaston et al., 2023)</w:t>
      </w:r>
      <w:r w:rsidRPr="006877B4">
        <w:rPr>
          <w:rFonts w:ascii="Arial" w:hAnsi="Arial" w:cs="Arial"/>
          <w:bCs/>
        </w:rPr>
        <w:fldChar w:fldCharType="end"/>
      </w:r>
      <w:r w:rsidRPr="006877B4">
        <w:rPr>
          <w:rFonts w:ascii="Arial" w:hAnsi="Arial" w:cs="Arial"/>
          <w:bCs/>
        </w:rPr>
        <w:t xml:space="preserve">. All plates were sealed and incubated for 8 days at 25 °C under an alternating photoperiod of 12 h near-UV light and 12 h darkness. Pathogen growth in the interaction zone was measured in the presence or absence of </w:t>
      </w:r>
      <w:r w:rsidRPr="006877B4">
        <w:rPr>
          <w:rFonts w:ascii="Arial" w:hAnsi="Arial" w:cs="Arial"/>
          <w:bCs/>
          <w:i/>
          <w:iCs/>
        </w:rPr>
        <w:t>Trichoderma</w:t>
      </w:r>
      <w:r w:rsidRPr="006877B4">
        <w:rPr>
          <w:rFonts w:ascii="Arial" w:hAnsi="Arial" w:cs="Arial"/>
          <w:bCs/>
        </w:rPr>
        <w:t xml:space="preserve"> sp. The inhibition percentage (I %) was calculated using the following formula </w:t>
      </w:r>
      <w:r w:rsidRPr="006877B4">
        <w:rPr>
          <w:rFonts w:ascii="Arial" w:hAnsi="Arial" w:cs="Arial"/>
          <w:bCs/>
          <w:lang w:val="fr-FR"/>
        </w:rPr>
        <w:fldChar w:fldCharType="begin"/>
      </w:r>
      <w:r w:rsidRPr="006877B4">
        <w:rPr>
          <w:rFonts w:ascii="Arial" w:hAnsi="Arial" w:cs="Arial"/>
          <w:bCs/>
        </w:rPr>
        <w:instrText xml:space="preserve"> ADDIN ZOTERO_ITEM CSL_CITATION {"citationID":"MWq60XlI","properties":{"formattedCitation":"(Hamdache et al., 2010)","plainCitation":"(Hamdache et al., 2010)","noteIndex":0},"citationItems":[{"id":4188,"uris":["http://zotero.org/users/8710791/items/RDZGTYH8"],"itemData":{"id":4188,"type":"article-journal","container-title":"Bull. Soc. Pharm. Bordeaux","page":"103–114","source":"Google Scholar","title":"Résistance in vitro de Botrytis cinerea à trois fongicides","volume":"149","author":[{"family":"Hamdache","given":"Ahlem"},{"family":"Lamarti","given":"Ahmed"},{"family":"Badoc","given":"Alain"}],"issued":{"date-parts":[["2010"]]}}}],"schema":"https://github.com/citation-style-language/schema/raw/master/csl-citation.json"}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(Hamdache et al., 2010)</w:t>
      </w:r>
      <w:r w:rsidRPr="006877B4">
        <w:rPr>
          <w:rFonts w:ascii="Arial" w:hAnsi="Arial" w:cs="Arial"/>
          <w:bCs/>
        </w:rPr>
        <w:fldChar w:fldCharType="end"/>
      </w:r>
      <w:r w:rsidRPr="006877B4">
        <w:rPr>
          <w:rFonts w:ascii="Arial" w:hAnsi="Arial" w:cs="Arial"/>
          <w:bCs/>
        </w:rPr>
        <w:t xml:space="preserve"> : </w:t>
      </w:r>
      <w:r w:rsidRPr="006877B4">
        <w:rPr>
          <w:rFonts w:ascii="Arial" w:hAnsi="Arial" w:cs="Arial"/>
          <w:b/>
          <w:bCs/>
        </w:rPr>
        <w:t xml:space="preserve">I % = [(X - Xi)/X] × 100, </w:t>
      </w:r>
      <w:r w:rsidRPr="006877B4">
        <w:rPr>
          <w:rFonts w:ascii="Arial" w:hAnsi="Arial" w:cs="Arial"/>
          <w:bCs/>
        </w:rPr>
        <w:t xml:space="preserve">where </w:t>
      </w:r>
      <w:r w:rsidRPr="006877B4">
        <w:rPr>
          <w:rFonts w:ascii="Arial" w:hAnsi="Arial" w:cs="Arial"/>
          <w:bCs/>
          <w:i/>
          <w:iCs/>
        </w:rPr>
        <w:t>X</w:t>
      </w:r>
      <w:r w:rsidRPr="006877B4">
        <w:rPr>
          <w:rFonts w:ascii="Arial" w:hAnsi="Arial" w:cs="Arial"/>
          <w:bCs/>
        </w:rPr>
        <w:t xml:space="preserve"> is the mean growth of the pathogen in the control, and </w:t>
      </w:r>
      <w:r w:rsidRPr="006877B4">
        <w:rPr>
          <w:rFonts w:ascii="Arial" w:hAnsi="Arial" w:cs="Arial"/>
          <w:bCs/>
          <w:i/>
          <w:iCs/>
        </w:rPr>
        <w:t>Xi</w:t>
      </w:r>
      <w:r w:rsidRPr="006877B4">
        <w:rPr>
          <w:rFonts w:ascii="Arial" w:hAnsi="Arial" w:cs="Arial"/>
          <w:bCs/>
        </w:rPr>
        <w:t xml:space="preserve"> is the growth observed in interaction with the antagonist.</w:t>
      </w:r>
    </w:p>
    <w:p w14:paraId="6965FE0C" w14:textId="77777777" w:rsidR="006877B4" w:rsidRPr="006877B4" w:rsidRDefault="006877B4" w:rsidP="006877B4">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4</w:t>
      </w:r>
      <w:r w:rsidRPr="006877B4">
        <w:rPr>
          <w:rFonts w:ascii="Arial" w:hAnsi="Arial" w:cs="Arial"/>
          <w:b/>
          <w:bCs/>
          <w:u w:val="single"/>
        </w:rPr>
        <w:t xml:space="preserve"> </w:t>
      </w:r>
      <w:r w:rsidRPr="006877B4">
        <w:rPr>
          <w:rFonts w:ascii="Arial" w:hAnsi="Arial" w:cs="Arial"/>
          <w:b/>
          <w:bCs/>
          <w:i/>
          <w:u w:val="single"/>
        </w:rPr>
        <w:t>Seed disinfection</w:t>
      </w:r>
    </w:p>
    <w:p w14:paraId="08D00228" w14:textId="77777777" w:rsidR="006877B4" w:rsidRPr="006877B4" w:rsidRDefault="006877B4" w:rsidP="006877B4">
      <w:pPr>
        <w:pStyle w:val="Body"/>
        <w:rPr>
          <w:rFonts w:ascii="Arial" w:hAnsi="Arial" w:cs="Arial"/>
          <w:bCs/>
        </w:rPr>
      </w:pPr>
      <w:r w:rsidRPr="006877B4">
        <w:rPr>
          <w:rFonts w:ascii="Arial" w:hAnsi="Arial" w:cs="Arial"/>
          <w:bCs/>
        </w:rPr>
        <w:t xml:space="preserve">The direct confrontation method was used to assess the antagonistic effect of </w:t>
      </w:r>
      <w:r w:rsidRPr="006877B4">
        <w:rPr>
          <w:rFonts w:ascii="Arial" w:hAnsi="Arial" w:cs="Arial"/>
          <w:bCs/>
          <w:i/>
          <w:iCs/>
        </w:rPr>
        <w:t>Trichoderma</w:t>
      </w:r>
      <w:r w:rsidRPr="006877B4">
        <w:rPr>
          <w:rFonts w:ascii="Arial" w:hAnsi="Arial" w:cs="Arial"/>
          <w:bCs/>
        </w:rPr>
        <w:t xml:space="preserve"> sp. on the pathogenic </w:t>
      </w:r>
      <w:r w:rsidRPr="006877B4">
        <w:rPr>
          <w:rFonts w:ascii="Arial" w:hAnsi="Arial" w:cs="Arial"/>
          <w:bCs/>
          <w:i/>
          <w:iCs/>
        </w:rPr>
        <w:t>Fusarium</w:t>
      </w:r>
      <w:r w:rsidRPr="006877B4">
        <w:rPr>
          <w:rFonts w:ascii="Arial" w:hAnsi="Arial" w:cs="Arial"/>
          <w:bCs/>
        </w:rPr>
        <w:t xml:space="preserve"> sp. isolate T2F </w:t>
      </w:r>
      <w:r w:rsidRPr="006877B4">
        <w:rPr>
          <w:rFonts w:ascii="Arial" w:hAnsi="Arial" w:cs="Arial"/>
          <w:bCs/>
          <w:lang w:val="fr-FR"/>
        </w:rPr>
        <w:fldChar w:fldCharType="begin"/>
      </w:r>
      <w:r w:rsidR="000E4652">
        <w:rPr>
          <w:rFonts w:ascii="Arial" w:hAnsi="Arial" w:cs="Arial"/>
          <w:bCs/>
        </w:rPr>
        <w:instrText xml:space="preserve"> ADDIN ZOTERO_ITEM CSL_CITATION {"citationID":"K3mDpZ1K","properties":{"formattedCitation":"(Meraj-Ul and Nandkar, 2012)","plainCitation":"(Meraj-Ul and Nandkar, 2012)","noteIndex":0},"citationItems":[{"id":4192,"uris":["http://zotero.org/users/8710791/items/NXFBESP3"],"itemData":{"id":4192,"type":"article-journal","container-title":"Intl J Res BioSci","issue":"2","page":"27–3","source":"Google Scholar","title":"Antagonistic effect of rhizospheric Trichoderma isolates against tomato damping-off pathogen, Fusarium oxysporum f. sp. lycopersici","volume":"1","author":[{"family":"Meraj-Ul","given":"H."},{"family":"Nandkar","given":"P. B."}],"issued":{"date-parts":[["2012"]]}}}],"schema":"https://github.com/citation-style-language/schema/raw/master/csl-citation.json"}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(Meraj-Ul and Nandkar, 2012)</w:t>
      </w:r>
      <w:r w:rsidRPr="006877B4">
        <w:rPr>
          <w:rFonts w:ascii="Arial" w:hAnsi="Arial" w:cs="Arial"/>
          <w:bCs/>
        </w:rPr>
        <w:fldChar w:fldCharType="end"/>
      </w:r>
      <w:r w:rsidRPr="006877B4">
        <w:rPr>
          <w:rFonts w:ascii="Arial" w:hAnsi="Arial" w:cs="Arial"/>
          <w:bCs/>
        </w:rPr>
        <w:t xml:space="preserve">. First, liquid PDA media were inoculated with </w:t>
      </w:r>
      <w:r w:rsidRPr="006877B4">
        <w:rPr>
          <w:rFonts w:ascii="Arial" w:hAnsi="Arial" w:cs="Arial"/>
          <w:bCs/>
          <w:i/>
          <w:iCs/>
        </w:rPr>
        <w:t>Trichoderma</w:t>
      </w:r>
      <w:r w:rsidRPr="006877B4">
        <w:rPr>
          <w:rFonts w:ascii="Arial" w:hAnsi="Arial" w:cs="Arial"/>
          <w:bCs/>
        </w:rPr>
        <w:t xml:space="preserve"> sp. spore suspensions at 10⁹ spores/mL, at respective concentrations of 5% (T4A), 10% (T4B), and 15% (T4C) v/v. The inoculated medium was poured and cooled in Petri dishes, and a 1 cm mycelial explant of </w:t>
      </w:r>
      <w:r w:rsidRPr="006877B4">
        <w:rPr>
          <w:rFonts w:ascii="Arial" w:hAnsi="Arial" w:cs="Arial"/>
          <w:bCs/>
          <w:i/>
          <w:iCs/>
        </w:rPr>
        <w:t>Fusarium</w:t>
      </w:r>
      <w:r w:rsidRPr="006877B4">
        <w:rPr>
          <w:rFonts w:ascii="Arial" w:hAnsi="Arial" w:cs="Arial"/>
          <w:bCs/>
        </w:rPr>
        <w:t xml:space="preserve"> sp. was placed at the center of each dish. Second (T4CD), 6 mm diameter mycelial explants of </w:t>
      </w:r>
      <w:r w:rsidRPr="006877B4">
        <w:rPr>
          <w:rFonts w:ascii="Arial" w:hAnsi="Arial" w:cs="Arial"/>
          <w:bCs/>
          <w:i/>
          <w:iCs/>
        </w:rPr>
        <w:t>Trichoderma</w:t>
      </w:r>
      <w:r w:rsidRPr="006877B4">
        <w:rPr>
          <w:rFonts w:ascii="Arial" w:hAnsi="Arial" w:cs="Arial"/>
          <w:bCs/>
        </w:rPr>
        <w:t xml:space="preserve"> sp. and </w:t>
      </w:r>
      <w:r w:rsidRPr="006877B4">
        <w:rPr>
          <w:rFonts w:ascii="Arial" w:hAnsi="Arial" w:cs="Arial"/>
          <w:bCs/>
          <w:i/>
          <w:iCs/>
        </w:rPr>
        <w:t>Fusarium</w:t>
      </w:r>
      <w:r w:rsidRPr="006877B4">
        <w:rPr>
          <w:rFonts w:ascii="Arial" w:hAnsi="Arial" w:cs="Arial"/>
          <w:bCs/>
        </w:rPr>
        <w:t xml:space="preserve"> sp. isolates were placed on the same axis, 5 cm apart </w:t>
      </w:r>
      <w:r w:rsidRPr="006877B4">
        <w:rPr>
          <w:rFonts w:ascii="Arial" w:hAnsi="Arial" w:cs="Arial"/>
          <w:bCs/>
          <w:lang w:val="fr-FR"/>
        </w:rPr>
        <w:fldChar w:fldCharType="begin"/>
      </w:r>
      <w:r w:rsidR="00904181">
        <w:rPr>
          <w:rFonts w:ascii="Arial" w:hAnsi="Arial" w:cs="Arial"/>
          <w:bCs/>
        </w:rPr>
        <w:instrText xml:space="preserve"> ADDIN ZOTERO_ITEM CSL_CITATION {"citationID":"ekmWx4m2","properties":{"formattedCitation":"(Gaston et al., 2023)","plainCitation":"(Gaston et al., 2023)","noteIndex":0},"citationItems":[{"id":4193,"uris":["http://zotero.org/users/8710791/items/K8VCEWSD"],"itemData":{"id":4193,"type":"article-journal","source":"Google Scholar","title":"Effet de l’Еnrobage des Semences de Maïs (Zea mays L.) avec Trichoderma harzianum sur la Levée et la Croissance des Plantules au Burkina Faso","URL":"https://www.academia.edu/download/122847224/17014.pdf","author":[{"family":"Gaston","given":"Dabiré Tobdem"},{"family":"Amadou","given":"Ir Sanou"},{"family":"Schémaéza","given":"Bonzi"},{"family":"Irénée","given":"Somda"}],"accessed":{"date-parts":[["2025",8,7]]},"issued":{"date-parts":[["2023"]]}}}],"schema":"https://github.com/citation-style-language/schema/raw/master/csl-citation.json"}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(Gaston et al., 2023)</w:t>
      </w:r>
      <w:r w:rsidRPr="006877B4">
        <w:rPr>
          <w:rFonts w:ascii="Arial" w:hAnsi="Arial" w:cs="Arial"/>
          <w:bCs/>
        </w:rPr>
        <w:fldChar w:fldCharType="end"/>
      </w:r>
      <w:r w:rsidRPr="006877B4">
        <w:rPr>
          <w:rFonts w:ascii="Arial" w:hAnsi="Arial" w:cs="Arial"/>
          <w:bCs/>
        </w:rPr>
        <w:t xml:space="preserve">. All plates were sealed and incubated for 8 days at 25 °C under an alternating photoperiod of 12 h near-UV light and 12 h darkness. Pathogen growth in the interaction zone was measured in the presence or absence of </w:t>
      </w:r>
      <w:r w:rsidRPr="006877B4">
        <w:rPr>
          <w:rFonts w:ascii="Arial" w:hAnsi="Arial" w:cs="Arial"/>
          <w:bCs/>
          <w:i/>
          <w:iCs/>
        </w:rPr>
        <w:t>Trichoderma</w:t>
      </w:r>
      <w:r w:rsidRPr="006877B4">
        <w:rPr>
          <w:rFonts w:ascii="Arial" w:hAnsi="Arial" w:cs="Arial"/>
          <w:bCs/>
        </w:rPr>
        <w:t xml:space="preserve"> sp. The inhibition percentage (I %) was calculated using the following formula </w:t>
      </w:r>
      <w:r w:rsidRPr="006877B4">
        <w:rPr>
          <w:rFonts w:ascii="Arial" w:hAnsi="Arial" w:cs="Arial"/>
          <w:bCs/>
          <w:lang w:val="fr-FR"/>
        </w:rPr>
        <w:fldChar w:fldCharType="begin"/>
      </w:r>
      <w:r w:rsidR="00904181">
        <w:rPr>
          <w:rFonts w:ascii="Arial" w:hAnsi="Arial" w:cs="Arial"/>
          <w:bCs/>
        </w:rPr>
        <w:instrText xml:space="preserve"> ADDIN ZOTERO_ITEM CSL_CITATION {"citationID":"Xl6netyW","properties":{"formattedCitation":"(Hamdache et al., 2010)","plainCitation":"(Hamdache et al., 2010)","noteIndex":0},"citationItems":[{"id":4188,"uris":["http://zotero.org/users/8710791/items/RDZGTYH8"],"itemData":{"id":4188,"type":"article-journal","container-title":"Bull. Soc. Pharm. Bordeaux","page":"103–114","source":"Google Scholar","title":"Résistance in vitro de Botrytis cinerea à trois fongicides","volume":"149","author":[{"family":"Hamdache","given":"Ahlem"},{"family":"Lamarti","given":"Ahmed"},{"family":"Badoc","given":"Alain"}],"issued":{"date-parts":[["2010"]]}}}],"schema":"https://github.com/citation-style-language/schema/raw/master/csl-citation.json"}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(Hamdache et al., 2010)</w:t>
      </w:r>
      <w:r w:rsidRPr="006877B4">
        <w:rPr>
          <w:rFonts w:ascii="Arial" w:hAnsi="Arial" w:cs="Arial"/>
          <w:bCs/>
        </w:rPr>
        <w:fldChar w:fldCharType="end"/>
      </w:r>
      <w:r w:rsidRPr="006877B4">
        <w:rPr>
          <w:rFonts w:ascii="Arial" w:hAnsi="Arial" w:cs="Arial"/>
          <w:bCs/>
        </w:rPr>
        <w:t xml:space="preserve"> : </w:t>
      </w:r>
      <w:r w:rsidRPr="006877B4">
        <w:rPr>
          <w:rFonts w:ascii="Arial" w:hAnsi="Arial" w:cs="Arial"/>
          <w:b/>
          <w:bCs/>
        </w:rPr>
        <w:t xml:space="preserve">I % = [(X - Xi)/X] × 100, </w:t>
      </w:r>
      <w:r w:rsidRPr="006877B4">
        <w:rPr>
          <w:rFonts w:ascii="Arial" w:hAnsi="Arial" w:cs="Arial"/>
          <w:bCs/>
        </w:rPr>
        <w:t xml:space="preserve">where </w:t>
      </w:r>
      <w:r w:rsidRPr="006877B4">
        <w:rPr>
          <w:rFonts w:ascii="Arial" w:hAnsi="Arial" w:cs="Arial"/>
          <w:bCs/>
          <w:i/>
          <w:iCs/>
        </w:rPr>
        <w:t>X</w:t>
      </w:r>
      <w:r w:rsidRPr="006877B4">
        <w:rPr>
          <w:rFonts w:ascii="Arial" w:hAnsi="Arial" w:cs="Arial"/>
          <w:bCs/>
        </w:rPr>
        <w:t xml:space="preserve"> is the mean growth of the pathogen in the control, and </w:t>
      </w:r>
      <w:r w:rsidRPr="006877B4">
        <w:rPr>
          <w:rFonts w:ascii="Arial" w:hAnsi="Arial" w:cs="Arial"/>
          <w:bCs/>
          <w:i/>
          <w:iCs/>
        </w:rPr>
        <w:t>Xi</w:t>
      </w:r>
      <w:r w:rsidRPr="006877B4">
        <w:rPr>
          <w:rFonts w:ascii="Arial" w:hAnsi="Arial" w:cs="Arial"/>
          <w:bCs/>
        </w:rPr>
        <w:t xml:space="preserve"> is the growth observed in interaction with the antagonist.</w:t>
      </w:r>
    </w:p>
    <w:p w14:paraId="2EEF6C4F" w14:textId="77777777" w:rsidR="00DF61BF" w:rsidRPr="00DF61BF" w:rsidRDefault="006877B4" w:rsidP="00DF61BF">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5</w:t>
      </w:r>
      <w:r w:rsidRPr="006877B4">
        <w:rPr>
          <w:rFonts w:ascii="Arial" w:hAnsi="Arial" w:cs="Arial"/>
          <w:b/>
          <w:bCs/>
          <w:u w:val="single"/>
        </w:rPr>
        <w:t xml:space="preserve"> </w:t>
      </w:r>
      <w:r w:rsidR="00DF61BF" w:rsidRPr="00DF61BF">
        <w:rPr>
          <w:rFonts w:ascii="Arial" w:hAnsi="Arial" w:cs="Arial"/>
          <w:b/>
          <w:bCs/>
          <w:i/>
          <w:u w:val="single"/>
        </w:rPr>
        <w:t>Evaluation of treatment efficacy</w:t>
      </w:r>
    </w:p>
    <w:p w14:paraId="321AD9E2" w14:textId="77777777" w:rsidR="00DF61BF" w:rsidRPr="00DF61BF" w:rsidRDefault="00DF61BF" w:rsidP="00DF61BF">
      <w:pPr>
        <w:pStyle w:val="Body"/>
        <w:rPr>
          <w:rFonts w:ascii="Arial" w:hAnsi="Arial" w:cs="Arial"/>
          <w:bCs/>
        </w:rPr>
      </w:pPr>
      <w:r w:rsidRPr="00DF61BF">
        <w:rPr>
          <w:rFonts w:ascii="Arial" w:hAnsi="Arial" w:cs="Arial"/>
          <w:bCs/>
        </w:rPr>
        <w:lastRenderedPageBreak/>
        <w:t xml:space="preserve">The efficacy of the treatments was assessed using the blotter paper method </w:t>
      </w:r>
      <w:r w:rsidRPr="00DF61BF">
        <w:rPr>
          <w:rFonts w:ascii="Arial" w:hAnsi="Arial" w:cs="Arial"/>
          <w:bCs/>
          <w:lang w:val="fr-FR"/>
        </w:rPr>
        <w:fldChar w:fldCharType="begin"/>
      </w:r>
      <w:r w:rsidR="000E4652">
        <w:rPr>
          <w:rFonts w:ascii="Arial" w:hAnsi="Arial" w:cs="Arial"/>
          <w:bCs/>
        </w:rPr>
        <w:instrText xml:space="preserve"> ADDIN ZOTERO_ITEM CSL_CITATION {"citationID":"h8b2wevn","properties":{"formattedCitation":"(Mathur and Kongsdal, 2003a)","plainCitation":"(Mathur and Kongsdal, 2003a)","noteIndex":0},"citationItems":[{"id":4195,"uris":["http://zotero.org/users/8710791/items/IDG3ZNUD"],"itemData":{"id":4195,"type":"article-journal","note":"publisher: Bassersdorf: ISTA,","source":"Google Scholar","title":"Common laboratory seed health testing methods for detecting fungi","URL":"https://www.sidalc.net/search/Record/KOHA-OAI-AGRO:8405/Description","author":[{"family":"Mathur","given":"Suresh B."},{"family":"Kongsdal","given":"Olga"}],"accessed":{"date-parts":[["2025",8,7]]},"issued":{"date-parts":[["2003"]]}}}],"schema":"https://github.com/citation-style-language/schema/raw/master/csl-citation.json"} </w:instrText>
      </w:r>
      <w:r w:rsidRPr="00DF61BF">
        <w:rPr>
          <w:rFonts w:ascii="Arial" w:hAnsi="Arial" w:cs="Arial"/>
          <w:bCs/>
          <w:lang w:val="fr-FR"/>
        </w:rPr>
        <w:fldChar w:fldCharType="separate"/>
      </w:r>
      <w:r w:rsidR="000E4652" w:rsidRPr="000E4652">
        <w:rPr>
          <w:rFonts w:ascii="Arial" w:hAnsi="Arial" w:cs="Arial"/>
        </w:rPr>
        <w:t>(Mathur and Kongsdal, 2003a)</w:t>
      </w:r>
      <w:r w:rsidRPr="00DF61BF">
        <w:rPr>
          <w:rFonts w:ascii="Arial" w:hAnsi="Arial" w:cs="Arial"/>
          <w:bCs/>
        </w:rPr>
        <w:fldChar w:fldCharType="end"/>
      </w:r>
      <w:r w:rsidRPr="00DF61BF">
        <w:rPr>
          <w:rFonts w:ascii="Arial" w:hAnsi="Arial" w:cs="Arial"/>
          <w:bCs/>
        </w:rPr>
        <w:t xml:space="preserve">. For each treatment, 25 seeds were placed equidistantly in Petri dishes containing sterile blotter paper moistened with sterile distilled water, with three replicates per treatment. The dishes were incubated at 25 °C under an alternating photoperiod of 12 h darkness and 12 h near-UV light for 7 days to promote </w:t>
      </w:r>
      <w:r w:rsidRPr="00DF61BF">
        <w:rPr>
          <w:rFonts w:ascii="Arial" w:hAnsi="Arial" w:cs="Arial"/>
          <w:bCs/>
          <w:i/>
          <w:iCs/>
        </w:rPr>
        <w:t>Fusarium</w:t>
      </w:r>
      <w:r w:rsidRPr="00DF61BF">
        <w:rPr>
          <w:rFonts w:ascii="Arial" w:hAnsi="Arial" w:cs="Arial"/>
          <w:bCs/>
        </w:rPr>
        <w:t xml:space="preserve"> sp. germination and sporulation. Observations were made every three days for two weeks, focusing on fungal contamination (by microscopic examination) and seed germination. The contamination rate (C %) by </w:t>
      </w:r>
      <w:r w:rsidRPr="00DF61BF">
        <w:rPr>
          <w:rFonts w:ascii="Arial" w:hAnsi="Arial" w:cs="Arial"/>
          <w:bCs/>
          <w:i/>
          <w:iCs/>
        </w:rPr>
        <w:t>Fusarium</w:t>
      </w:r>
      <w:r w:rsidRPr="00DF61BF">
        <w:rPr>
          <w:rFonts w:ascii="Arial" w:hAnsi="Arial" w:cs="Arial"/>
          <w:bCs/>
        </w:rPr>
        <w:t xml:space="preserve"> sp. was calculated using the formula: </w:t>
      </w:r>
      <w:r w:rsidRPr="00DF61BF">
        <w:rPr>
          <w:rFonts w:ascii="Arial" w:hAnsi="Arial" w:cs="Arial"/>
          <w:b/>
          <w:bCs/>
        </w:rPr>
        <w:t>C (%) = (</w:t>
      </w:r>
      <w:proofErr w:type="spellStart"/>
      <w:r w:rsidRPr="00DF61BF">
        <w:rPr>
          <w:rFonts w:ascii="Arial" w:hAnsi="Arial" w:cs="Arial"/>
          <w:b/>
          <w:bCs/>
        </w:rPr>
        <w:t>ni</w:t>
      </w:r>
      <w:proofErr w:type="spellEnd"/>
      <w:r w:rsidRPr="00DF61BF">
        <w:rPr>
          <w:rFonts w:ascii="Arial" w:hAnsi="Arial" w:cs="Arial"/>
          <w:b/>
          <w:bCs/>
        </w:rPr>
        <w:t xml:space="preserve"> / N) × 100, </w:t>
      </w:r>
      <w:r w:rsidRPr="00DF61BF">
        <w:rPr>
          <w:rFonts w:ascii="Arial" w:hAnsi="Arial" w:cs="Arial"/>
          <w:bCs/>
        </w:rPr>
        <w:t xml:space="preserve">where </w:t>
      </w:r>
      <w:r w:rsidRPr="00DF61BF">
        <w:rPr>
          <w:rFonts w:ascii="Arial" w:hAnsi="Arial" w:cs="Arial"/>
          <w:bCs/>
          <w:i/>
          <w:iCs/>
        </w:rPr>
        <w:t>n</w:t>
      </w:r>
      <w:r w:rsidRPr="00DF61BF">
        <w:rPr>
          <w:rFonts w:ascii="Arial" w:hAnsi="Arial" w:cs="Arial"/>
          <w:bCs/>
          <w:i/>
          <w:iCs/>
          <w:lang w:val="fr-FR"/>
        </w:rPr>
        <w:t>ᵢ</w:t>
      </w:r>
      <w:r w:rsidRPr="00DF61BF">
        <w:rPr>
          <w:rFonts w:ascii="Arial" w:hAnsi="Arial" w:cs="Arial"/>
          <w:bCs/>
        </w:rPr>
        <w:t xml:space="preserve"> is the number of contaminated seeds and </w:t>
      </w:r>
      <w:r w:rsidRPr="00DF61BF">
        <w:rPr>
          <w:rFonts w:ascii="Arial" w:hAnsi="Arial" w:cs="Arial"/>
          <w:bCs/>
          <w:i/>
          <w:iCs/>
        </w:rPr>
        <w:t>N</w:t>
      </w:r>
      <w:r w:rsidRPr="00DF61BF">
        <w:rPr>
          <w:rFonts w:ascii="Arial" w:hAnsi="Arial" w:cs="Arial"/>
          <w:bCs/>
        </w:rPr>
        <w:t xml:space="preserve"> is the total number of seeds observed. The germination rate (G %) was determined as: </w:t>
      </w:r>
      <w:r w:rsidRPr="00DF61BF">
        <w:rPr>
          <w:rFonts w:ascii="Arial" w:hAnsi="Arial" w:cs="Arial"/>
          <w:b/>
          <w:bCs/>
        </w:rPr>
        <w:t>G (%) = (n / N) × 100</w:t>
      </w:r>
      <w:r w:rsidRPr="00DF61BF">
        <w:rPr>
          <w:rFonts w:ascii="Arial" w:hAnsi="Arial" w:cs="Arial"/>
          <w:bCs/>
        </w:rPr>
        <w:t xml:space="preserve">, where </w:t>
      </w:r>
      <w:r w:rsidRPr="00DF61BF">
        <w:rPr>
          <w:rFonts w:ascii="Arial" w:hAnsi="Arial" w:cs="Arial"/>
          <w:bCs/>
          <w:i/>
          <w:iCs/>
        </w:rPr>
        <w:t>n</w:t>
      </w:r>
      <w:r w:rsidRPr="00DF61BF">
        <w:rPr>
          <w:rFonts w:ascii="Arial" w:hAnsi="Arial" w:cs="Arial"/>
          <w:bCs/>
        </w:rPr>
        <w:t xml:space="preserve"> is the number of germinated seeds and </w:t>
      </w:r>
      <w:r w:rsidRPr="00DF61BF">
        <w:rPr>
          <w:rFonts w:ascii="Arial" w:hAnsi="Arial" w:cs="Arial"/>
          <w:bCs/>
          <w:i/>
          <w:iCs/>
        </w:rPr>
        <w:t>N</w:t>
      </w:r>
      <w:r w:rsidRPr="00DF61BF">
        <w:rPr>
          <w:rFonts w:ascii="Arial" w:hAnsi="Arial" w:cs="Arial"/>
          <w:bCs/>
        </w:rPr>
        <w:t xml:space="preserve"> is the total number of seeds incubated.</w:t>
      </w:r>
    </w:p>
    <w:p w14:paraId="4B257C02" w14:textId="77777777" w:rsidR="00DF61BF" w:rsidRPr="00DF61BF" w:rsidRDefault="00DF61BF" w:rsidP="00DF61BF">
      <w:pPr>
        <w:pStyle w:val="Body"/>
        <w:rPr>
          <w:rFonts w:ascii="Arial" w:hAnsi="Arial" w:cs="Arial"/>
          <w:b/>
          <w:bCs/>
          <w:i/>
          <w:u w:val="single"/>
        </w:rPr>
      </w:pPr>
      <w:r w:rsidRPr="00DF61BF">
        <w:rPr>
          <w:rFonts w:ascii="Arial" w:hAnsi="Arial" w:cs="Arial"/>
          <w:b/>
          <w:bCs/>
          <w:u w:val="single"/>
        </w:rPr>
        <w:t>2.2.</w:t>
      </w:r>
      <w:r>
        <w:rPr>
          <w:rFonts w:ascii="Arial" w:hAnsi="Arial" w:cs="Arial"/>
          <w:b/>
          <w:bCs/>
          <w:u w:val="single"/>
        </w:rPr>
        <w:t>6</w:t>
      </w:r>
      <w:r w:rsidRPr="00DF61BF">
        <w:rPr>
          <w:rFonts w:ascii="Arial" w:hAnsi="Arial" w:cs="Arial"/>
          <w:b/>
          <w:bCs/>
          <w:u w:val="single"/>
        </w:rPr>
        <w:t xml:space="preserve"> </w:t>
      </w:r>
      <w:r w:rsidRPr="00DF61BF">
        <w:rPr>
          <w:rFonts w:ascii="Arial" w:hAnsi="Arial" w:cs="Arial"/>
          <w:b/>
          <w:bCs/>
          <w:i/>
          <w:u w:val="single"/>
        </w:rPr>
        <w:t>Data analysis</w:t>
      </w:r>
    </w:p>
    <w:p w14:paraId="78132872" w14:textId="77777777" w:rsidR="00790ADA" w:rsidRPr="00DF61BF" w:rsidRDefault="00DF61BF" w:rsidP="00DF61BF">
      <w:pPr>
        <w:pStyle w:val="Body"/>
        <w:rPr>
          <w:rFonts w:ascii="Arial" w:hAnsi="Arial" w:cs="Arial"/>
          <w:bCs/>
        </w:rPr>
      </w:pPr>
      <w:r w:rsidRPr="00DF61BF">
        <w:rPr>
          <w:rFonts w:ascii="Arial" w:hAnsi="Arial" w:cs="Arial"/>
          <w:bCs/>
        </w:rPr>
        <w:t xml:space="preserve">All statistical analyses were performed using </w:t>
      </w:r>
      <w:proofErr w:type="spellStart"/>
      <w:r w:rsidRPr="00DF61BF">
        <w:rPr>
          <w:rFonts w:ascii="Arial" w:hAnsi="Arial" w:cs="Arial"/>
          <w:bCs/>
        </w:rPr>
        <w:t>Rstudio</w:t>
      </w:r>
      <w:proofErr w:type="spellEnd"/>
      <w:r w:rsidRPr="00DF61BF">
        <w:rPr>
          <w:rFonts w:ascii="Arial" w:hAnsi="Arial" w:cs="Arial"/>
          <w:bCs/>
        </w:rPr>
        <w:t xml:space="preserve"> software (version 2025.05.1.513). Normality and homogeneity of variance were assessed using the Shapiro–Wilk and Levene tests, respectively. When data met parametric assumptions, one-way analysis of variance (ANOVA) was performed to compare treatment effects. For non-parametric data, the Kruskal–Wallis test was applied. Significant differences among treatments were further evaluated using Duncan’s multiple range test (</w:t>
      </w:r>
      <w:r w:rsidRPr="00DF61BF">
        <w:rPr>
          <w:rFonts w:ascii="Arial" w:hAnsi="Arial" w:cs="Arial"/>
          <w:bCs/>
          <w:lang w:val="fr-FR"/>
        </w:rPr>
        <w:t>α</w:t>
      </w:r>
      <w:r w:rsidRPr="00DF61BF">
        <w:rPr>
          <w:rFonts w:ascii="Arial" w:hAnsi="Arial" w:cs="Arial"/>
          <w:bCs/>
        </w:rPr>
        <w:t xml:space="preserve"> = 0.05).</w:t>
      </w:r>
    </w:p>
    <w:p w14:paraId="1203A7C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49768F" w14:textId="77777777" w:rsidR="00863BD3" w:rsidRPr="00FB3A86" w:rsidRDefault="00863BD3" w:rsidP="00441B6F">
      <w:pPr>
        <w:pStyle w:val="Body"/>
        <w:spacing w:after="0"/>
        <w:rPr>
          <w:rFonts w:ascii="Arial" w:hAnsi="Arial" w:cs="Arial"/>
        </w:rPr>
      </w:pPr>
    </w:p>
    <w:p w14:paraId="6A5614ED"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121042">
        <w:rPr>
          <w:rFonts w:ascii="Arial" w:hAnsi="Arial" w:cs="Arial"/>
          <w:b/>
          <w:sz w:val="22"/>
        </w:rPr>
        <w:t>Results</w:t>
      </w:r>
    </w:p>
    <w:p w14:paraId="036DC528" w14:textId="77777777" w:rsidR="00505F06" w:rsidRDefault="00505F06" w:rsidP="00441B6F">
      <w:pPr>
        <w:pStyle w:val="Body"/>
        <w:spacing w:after="0"/>
        <w:rPr>
          <w:rFonts w:ascii="Arial" w:hAnsi="Arial" w:cs="Arial"/>
        </w:rPr>
      </w:pPr>
    </w:p>
    <w:p w14:paraId="25314914" w14:textId="77777777"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00121042" w:rsidRPr="00121042">
        <w:rPr>
          <w:rFonts w:ascii="Arial" w:hAnsi="Arial" w:cs="Arial"/>
          <w:b/>
          <w:bCs/>
          <w:i/>
          <w:iCs/>
          <w:u w:val="single"/>
        </w:rPr>
        <w:t>Fusarium</w:t>
      </w:r>
      <w:r w:rsidR="00121042" w:rsidRPr="00121042">
        <w:rPr>
          <w:rFonts w:ascii="Arial" w:hAnsi="Arial" w:cs="Arial"/>
          <w:b/>
          <w:bCs/>
          <w:u w:val="single"/>
        </w:rPr>
        <w:t xml:space="preserve"> strains severity and wilt incidence</w:t>
      </w:r>
      <w:r w:rsidRPr="00FB3A86">
        <w:rPr>
          <w:rFonts w:ascii="Arial" w:hAnsi="Arial" w:cs="Arial"/>
        </w:rPr>
        <w:t xml:space="preserve"> </w:t>
      </w:r>
    </w:p>
    <w:p w14:paraId="6ECD4AEC" w14:textId="77777777" w:rsidR="00121042" w:rsidRPr="00121042" w:rsidRDefault="00121042" w:rsidP="00121042">
      <w:pPr>
        <w:pStyle w:val="Body"/>
        <w:spacing w:after="0"/>
        <w:rPr>
          <w:rFonts w:ascii="Arial" w:hAnsi="Arial" w:cs="Arial"/>
          <w:bCs/>
        </w:rPr>
      </w:pPr>
      <w:r w:rsidRPr="00121042">
        <w:rPr>
          <w:rFonts w:ascii="Arial" w:hAnsi="Arial" w:cs="Arial"/>
          <w:bCs/>
        </w:rPr>
        <w:t xml:space="preserve">Analysis of the mean severity of </w:t>
      </w:r>
      <w:r w:rsidRPr="00121042">
        <w:rPr>
          <w:rFonts w:ascii="Arial" w:hAnsi="Arial" w:cs="Arial"/>
          <w:bCs/>
          <w:i/>
          <w:iCs/>
        </w:rPr>
        <w:t xml:space="preserve">Fusarium </w:t>
      </w:r>
      <w:proofErr w:type="spellStart"/>
      <w:r w:rsidRPr="00121042">
        <w:rPr>
          <w:rFonts w:ascii="Arial" w:hAnsi="Arial" w:cs="Arial"/>
          <w:bCs/>
          <w:i/>
          <w:iCs/>
        </w:rPr>
        <w:t>solani</w:t>
      </w:r>
      <w:proofErr w:type="spellEnd"/>
      <w:r w:rsidRPr="00121042">
        <w:rPr>
          <w:rFonts w:ascii="Arial" w:hAnsi="Arial" w:cs="Arial"/>
          <w:bCs/>
        </w:rPr>
        <w:t xml:space="preserve"> strains on the Cobra F1 variety revealed a clear differentiation between strain groups. At early stages (T0–T15), symptoms were generally mild for all strains. However, from T20 onwards, a progressive increase in severity was observed for some strains, with a peak recorded between T30 and T40 (Figure 1). Strain T2F stood out for its high aggressiveness, reaching a score above 8. Strains T4F, T2R, and T8F also exhibited significant severity, although slightly lower than T2F. </w:t>
      </w:r>
    </w:p>
    <w:p w14:paraId="54C02496" w14:textId="77777777" w:rsidR="00505F06" w:rsidRDefault="00121042" w:rsidP="00441B6F">
      <w:pPr>
        <w:pStyle w:val="Body"/>
        <w:spacing w:after="0"/>
        <w:rPr>
          <w:rFonts w:ascii="Arial" w:hAnsi="Arial" w:cs="Arial"/>
        </w:rPr>
      </w:pPr>
      <w:r>
        <w:rPr>
          <w:noProof/>
        </w:rPr>
        <w:drawing>
          <wp:anchor distT="0" distB="0" distL="114300" distR="114300" simplePos="0" relativeHeight="251650048" behindDoc="0" locked="0" layoutInCell="1" allowOverlap="1" wp14:anchorId="529C59C4" wp14:editId="532C838D">
            <wp:simplePos x="0" y="0"/>
            <wp:positionH relativeFrom="column">
              <wp:posOffset>624840</wp:posOffset>
            </wp:positionH>
            <wp:positionV relativeFrom="paragraph">
              <wp:posOffset>52705</wp:posOffset>
            </wp:positionV>
            <wp:extent cx="4086225" cy="2356485"/>
            <wp:effectExtent l="19050" t="19050" r="9525" b="5715"/>
            <wp:wrapSquare wrapText="bothSides"/>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14">
                      <a:extLst>
                        <a:ext uri="{28A0092B-C50C-407E-A947-70E740481C1C}">
                          <a14:useLocalDpi xmlns:a14="http://schemas.microsoft.com/office/drawing/2010/main" val="0"/>
                        </a:ext>
                      </a:extLst>
                    </a:blip>
                    <a:srcRect t="4697"/>
                    <a:stretch/>
                  </pic:blipFill>
                  <pic:spPr>
                    <a:xfrm>
                      <a:off x="0" y="0"/>
                      <a:ext cx="4086225" cy="235648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6A487B36" w14:textId="77777777" w:rsidR="00121042" w:rsidRDefault="00121042" w:rsidP="00441B6F">
      <w:pPr>
        <w:pStyle w:val="Body"/>
        <w:spacing w:after="0"/>
        <w:rPr>
          <w:rFonts w:ascii="Arial" w:hAnsi="Arial" w:cs="Arial"/>
          <w:i/>
        </w:rPr>
      </w:pPr>
    </w:p>
    <w:p w14:paraId="79ABB5F5" w14:textId="77777777" w:rsidR="00121042" w:rsidRDefault="00121042" w:rsidP="00441B6F">
      <w:pPr>
        <w:pStyle w:val="Body"/>
        <w:spacing w:after="0"/>
        <w:rPr>
          <w:rFonts w:ascii="Arial" w:hAnsi="Arial" w:cs="Arial"/>
          <w:i/>
        </w:rPr>
      </w:pPr>
    </w:p>
    <w:p w14:paraId="4B70750F" w14:textId="77777777" w:rsidR="00121042" w:rsidRDefault="00121042" w:rsidP="00441B6F">
      <w:pPr>
        <w:pStyle w:val="Body"/>
        <w:spacing w:after="0"/>
        <w:rPr>
          <w:rFonts w:ascii="Arial" w:hAnsi="Arial" w:cs="Arial"/>
          <w:i/>
        </w:rPr>
      </w:pPr>
    </w:p>
    <w:p w14:paraId="3447A06F" w14:textId="77777777" w:rsidR="00121042" w:rsidRDefault="00121042" w:rsidP="00441B6F">
      <w:pPr>
        <w:pStyle w:val="Body"/>
        <w:spacing w:after="0"/>
        <w:rPr>
          <w:rFonts w:ascii="Arial" w:hAnsi="Arial" w:cs="Arial"/>
          <w:i/>
        </w:rPr>
      </w:pPr>
    </w:p>
    <w:p w14:paraId="3AE28FF3" w14:textId="77777777" w:rsidR="00121042" w:rsidRDefault="00121042" w:rsidP="00441B6F">
      <w:pPr>
        <w:pStyle w:val="Body"/>
        <w:spacing w:after="0"/>
        <w:rPr>
          <w:rFonts w:ascii="Arial" w:hAnsi="Arial" w:cs="Arial"/>
          <w:i/>
        </w:rPr>
      </w:pPr>
    </w:p>
    <w:p w14:paraId="20B93E03" w14:textId="77777777" w:rsidR="00121042" w:rsidRDefault="00121042" w:rsidP="00441B6F">
      <w:pPr>
        <w:pStyle w:val="Body"/>
        <w:spacing w:after="0"/>
        <w:rPr>
          <w:rFonts w:ascii="Arial" w:hAnsi="Arial" w:cs="Arial"/>
          <w:i/>
        </w:rPr>
      </w:pPr>
    </w:p>
    <w:p w14:paraId="7D8CBFAB" w14:textId="77777777" w:rsidR="00121042" w:rsidRDefault="00121042" w:rsidP="00441B6F">
      <w:pPr>
        <w:pStyle w:val="Body"/>
        <w:spacing w:after="0"/>
        <w:rPr>
          <w:rFonts w:ascii="Arial" w:hAnsi="Arial" w:cs="Arial"/>
          <w:i/>
        </w:rPr>
      </w:pPr>
    </w:p>
    <w:p w14:paraId="1BA2075F" w14:textId="77777777" w:rsidR="00121042" w:rsidRDefault="00121042" w:rsidP="00441B6F">
      <w:pPr>
        <w:pStyle w:val="Body"/>
        <w:spacing w:after="0"/>
        <w:rPr>
          <w:rFonts w:ascii="Arial" w:hAnsi="Arial" w:cs="Arial"/>
          <w:i/>
        </w:rPr>
      </w:pPr>
    </w:p>
    <w:p w14:paraId="320191EB" w14:textId="77777777" w:rsidR="00121042" w:rsidRDefault="00121042" w:rsidP="00441B6F">
      <w:pPr>
        <w:pStyle w:val="Body"/>
        <w:spacing w:after="0"/>
        <w:rPr>
          <w:rFonts w:ascii="Arial" w:hAnsi="Arial" w:cs="Arial"/>
          <w:i/>
        </w:rPr>
      </w:pPr>
    </w:p>
    <w:p w14:paraId="0147A603" w14:textId="77777777" w:rsidR="00121042" w:rsidRDefault="00121042" w:rsidP="00441B6F">
      <w:pPr>
        <w:pStyle w:val="Body"/>
        <w:spacing w:after="0"/>
        <w:rPr>
          <w:rFonts w:ascii="Arial" w:hAnsi="Arial" w:cs="Arial"/>
          <w:i/>
        </w:rPr>
      </w:pPr>
    </w:p>
    <w:p w14:paraId="34B87910" w14:textId="77777777" w:rsidR="00121042" w:rsidRDefault="00121042" w:rsidP="00441B6F">
      <w:pPr>
        <w:pStyle w:val="Body"/>
        <w:spacing w:after="0"/>
        <w:rPr>
          <w:rFonts w:ascii="Arial" w:hAnsi="Arial" w:cs="Arial"/>
          <w:i/>
        </w:rPr>
      </w:pPr>
    </w:p>
    <w:p w14:paraId="24092897" w14:textId="77777777" w:rsidR="00121042" w:rsidRDefault="00121042" w:rsidP="00441B6F">
      <w:pPr>
        <w:pStyle w:val="Body"/>
        <w:spacing w:after="0"/>
        <w:rPr>
          <w:rFonts w:ascii="Arial" w:hAnsi="Arial" w:cs="Arial"/>
          <w:i/>
        </w:rPr>
      </w:pPr>
    </w:p>
    <w:p w14:paraId="0E66FCAB" w14:textId="77777777" w:rsidR="00121042" w:rsidRDefault="00121042" w:rsidP="00441B6F">
      <w:pPr>
        <w:pStyle w:val="Body"/>
        <w:spacing w:after="0"/>
        <w:rPr>
          <w:rFonts w:ascii="Arial" w:hAnsi="Arial" w:cs="Arial"/>
          <w:i/>
        </w:rPr>
      </w:pPr>
    </w:p>
    <w:p w14:paraId="1FF7D2C0" w14:textId="77777777" w:rsidR="00121042" w:rsidRDefault="00121042" w:rsidP="00441B6F">
      <w:pPr>
        <w:pStyle w:val="Body"/>
        <w:spacing w:after="0"/>
        <w:rPr>
          <w:rFonts w:ascii="Arial" w:hAnsi="Arial" w:cs="Arial"/>
          <w:i/>
        </w:rPr>
      </w:pPr>
    </w:p>
    <w:p w14:paraId="015CC870" w14:textId="77777777" w:rsidR="00121042" w:rsidRDefault="00121042" w:rsidP="00441B6F">
      <w:pPr>
        <w:pStyle w:val="Body"/>
        <w:spacing w:after="0"/>
        <w:rPr>
          <w:rFonts w:ascii="Arial" w:hAnsi="Arial" w:cs="Arial"/>
          <w:i/>
        </w:rPr>
      </w:pPr>
    </w:p>
    <w:p w14:paraId="5F8220C1" w14:textId="77777777" w:rsidR="00121042" w:rsidRDefault="00121042" w:rsidP="00441B6F">
      <w:pPr>
        <w:pStyle w:val="Body"/>
        <w:spacing w:after="0"/>
        <w:rPr>
          <w:rFonts w:ascii="Arial" w:hAnsi="Arial" w:cs="Arial"/>
          <w:i/>
        </w:rPr>
      </w:pPr>
    </w:p>
    <w:p w14:paraId="1E2F66D1" w14:textId="77777777" w:rsidR="00904181" w:rsidRDefault="00904181" w:rsidP="00121042">
      <w:pPr>
        <w:pStyle w:val="Body"/>
        <w:spacing w:after="0"/>
        <w:rPr>
          <w:rFonts w:ascii="Arial" w:hAnsi="Arial" w:cs="Arial"/>
          <w:b/>
          <w:bCs/>
        </w:rPr>
      </w:pPr>
    </w:p>
    <w:p w14:paraId="1B882D54" w14:textId="77777777" w:rsidR="00121042" w:rsidRPr="00121042" w:rsidRDefault="00121042" w:rsidP="00121042">
      <w:pPr>
        <w:pStyle w:val="Body"/>
        <w:spacing w:after="0"/>
        <w:rPr>
          <w:rFonts w:ascii="Arial" w:hAnsi="Arial" w:cs="Arial"/>
          <w:b/>
          <w:bCs/>
        </w:rPr>
      </w:pPr>
      <w:r>
        <w:rPr>
          <w:rFonts w:ascii="Arial" w:hAnsi="Arial" w:cs="Arial"/>
          <w:b/>
          <w:bCs/>
        </w:rPr>
        <w:t>Fig 1.</w:t>
      </w:r>
      <w:r w:rsidRPr="00121042">
        <w:rPr>
          <w:rFonts w:ascii="Arial" w:hAnsi="Arial" w:cs="Arial"/>
          <w:b/>
          <w:bCs/>
        </w:rPr>
        <w:t xml:space="preserve"> Heatmap showing the mean progression of leaf severity caused by different </w:t>
      </w:r>
      <w:r w:rsidRPr="00121042">
        <w:rPr>
          <w:rFonts w:ascii="Arial" w:hAnsi="Arial" w:cs="Arial"/>
          <w:b/>
          <w:bCs/>
          <w:i/>
          <w:iCs/>
        </w:rPr>
        <w:t xml:space="preserve">Fusarium </w:t>
      </w:r>
      <w:proofErr w:type="spellStart"/>
      <w:r w:rsidRPr="00121042">
        <w:rPr>
          <w:rFonts w:ascii="Arial" w:hAnsi="Arial" w:cs="Arial"/>
          <w:b/>
          <w:bCs/>
          <w:i/>
          <w:iCs/>
        </w:rPr>
        <w:t>solani</w:t>
      </w:r>
      <w:proofErr w:type="spellEnd"/>
      <w:r w:rsidRPr="00121042">
        <w:rPr>
          <w:rFonts w:ascii="Arial" w:hAnsi="Arial" w:cs="Arial"/>
          <w:b/>
          <w:bCs/>
        </w:rPr>
        <w:t xml:space="preserve"> strains over time (T5 to T40) according to the 5-class rating scale. </w:t>
      </w:r>
      <w:r w:rsidRPr="00121042">
        <w:rPr>
          <w:rFonts w:ascii="Arial" w:hAnsi="Arial" w:cs="Arial"/>
          <w:b/>
          <w:bCs/>
        </w:rPr>
        <w:lastRenderedPageBreak/>
        <w:t>Colors indicate the severity intensity, from white (low) to red (high). Strains are grouped based on the similarity of their aggressiveness profiles (row clustering).</w:t>
      </w:r>
    </w:p>
    <w:p w14:paraId="523FBB58" w14:textId="77777777" w:rsidR="00121042" w:rsidRDefault="00121042" w:rsidP="00441B6F">
      <w:pPr>
        <w:pStyle w:val="Body"/>
        <w:spacing w:after="0"/>
        <w:rPr>
          <w:rFonts w:ascii="Arial" w:hAnsi="Arial" w:cs="Arial"/>
          <w:b/>
        </w:rPr>
      </w:pPr>
    </w:p>
    <w:p w14:paraId="7202F1E9" w14:textId="77777777" w:rsidR="003C723C" w:rsidRPr="003C723C" w:rsidRDefault="003C723C" w:rsidP="003C723C">
      <w:pPr>
        <w:pStyle w:val="Body"/>
        <w:spacing w:after="0"/>
        <w:rPr>
          <w:rFonts w:ascii="Arial" w:hAnsi="Arial" w:cs="Arial"/>
          <w:bCs/>
        </w:rPr>
      </w:pPr>
      <w:r w:rsidRPr="003C723C">
        <w:rPr>
          <w:rFonts w:ascii="Arial" w:hAnsi="Arial" w:cs="Arial"/>
          <w:bCs/>
        </w:rPr>
        <w:t>In contrast, strains T0, T11F, T3F, and T10F displayed low aggressiveness, with severity remaining below 3 throughout the trial. Moreover, T2F, the most aggressive strain, induced wilting in 36.75% of tomato plants 40 days after inoculation (Figure 2).</w:t>
      </w:r>
      <w:r>
        <w:rPr>
          <w:rFonts w:ascii="Arial" w:hAnsi="Arial" w:cs="Arial"/>
          <w:bCs/>
        </w:rPr>
        <w:t xml:space="preserve"> </w:t>
      </w:r>
      <w:r w:rsidRPr="003C723C">
        <w:rPr>
          <w:rFonts w:ascii="Arial" w:hAnsi="Arial" w:cs="Arial"/>
          <w:bCs/>
        </w:rPr>
        <w:t>Strains T3F, T11F, T2R, and T1A caused wilting in 15–19% of plants at the same time point. Conversely, strains T8F, T10F, and T4F induced wilting in less than 10% of the plants.</w:t>
      </w:r>
    </w:p>
    <w:p w14:paraId="76077AC4" w14:textId="77777777" w:rsidR="00121042" w:rsidRPr="003C723C" w:rsidRDefault="006D0112" w:rsidP="00441B6F">
      <w:pPr>
        <w:pStyle w:val="Body"/>
        <w:spacing w:after="0"/>
        <w:rPr>
          <w:rFonts w:ascii="Arial" w:hAnsi="Arial" w:cs="Arial"/>
        </w:rPr>
      </w:pPr>
      <w:r>
        <w:rPr>
          <w:noProof/>
        </w:rPr>
        <w:drawing>
          <wp:anchor distT="0" distB="0" distL="114300" distR="114300" simplePos="0" relativeHeight="251654144" behindDoc="0" locked="0" layoutInCell="1" allowOverlap="1" wp14:anchorId="6DBF9FC5" wp14:editId="6B6149D1">
            <wp:simplePos x="0" y="0"/>
            <wp:positionH relativeFrom="column">
              <wp:posOffset>624840</wp:posOffset>
            </wp:positionH>
            <wp:positionV relativeFrom="paragraph">
              <wp:posOffset>130175</wp:posOffset>
            </wp:positionV>
            <wp:extent cx="4257675" cy="2449195"/>
            <wp:effectExtent l="19050" t="19050" r="9525" b="8255"/>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rotWithShape="1">
                    <a:blip r:embed="rId15">
                      <a:extLst>
                        <a:ext uri="{28A0092B-C50C-407E-A947-70E740481C1C}">
                          <a14:useLocalDpi xmlns:a14="http://schemas.microsoft.com/office/drawing/2010/main" val="0"/>
                        </a:ext>
                      </a:extLst>
                    </a:blip>
                    <a:srcRect t="4885"/>
                    <a:stretch/>
                  </pic:blipFill>
                  <pic:spPr>
                    <a:xfrm>
                      <a:off x="0" y="0"/>
                      <a:ext cx="4257675" cy="244919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17FDAC9D" w14:textId="77777777" w:rsidR="003C723C" w:rsidRDefault="003C723C" w:rsidP="00441B6F">
      <w:pPr>
        <w:pStyle w:val="Body"/>
        <w:spacing w:after="0"/>
        <w:rPr>
          <w:rFonts w:ascii="Arial" w:hAnsi="Arial" w:cs="Arial"/>
          <w:b/>
        </w:rPr>
      </w:pPr>
    </w:p>
    <w:p w14:paraId="79D3BCCD" w14:textId="77777777" w:rsidR="003C723C" w:rsidRDefault="003C723C" w:rsidP="00441B6F">
      <w:pPr>
        <w:pStyle w:val="Body"/>
        <w:spacing w:after="0"/>
        <w:rPr>
          <w:rFonts w:ascii="Arial" w:hAnsi="Arial" w:cs="Arial"/>
          <w:b/>
        </w:rPr>
      </w:pPr>
    </w:p>
    <w:p w14:paraId="4AFF0666" w14:textId="77777777" w:rsidR="003C723C" w:rsidRDefault="003C723C" w:rsidP="00441B6F">
      <w:pPr>
        <w:pStyle w:val="Body"/>
        <w:spacing w:after="0"/>
        <w:rPr>
          <w:rFonts w:ascii="Arial" w:hAnsi="Arial" w:cs="Arial"/>
          <w:b/>
        </w:rPr>
      </w:pPr>
    </w:p>
    <w:p w14:paraId="34A54FB2" w14:textId="77777777" w:rsidR="003C723C" w:rsidRDefault="003C723C" w:rsidP="00441B6F">
      <w:pPr>
        <w:pStyle w:val="Body"/>
        <w:spacing w:after="0"/>
        <w:rPr>
          <w:rFonts w:ascii="Arial" w:hAnsi="Arial" w:cs="Arial"/>
          <w:b/>
        </w:rPr>
      </w:pPr>
    </w:p>
    <w:p w14:paraId="44EF34EF" w14:textId="77777777" w:rsidR="003C723C" w:rsidRDefault="003C723C" w:rsidP="00441B6F">
      <w:pPr>
        <w:pStyle w:val="Body"/>
        <w:spacing w:after="0"/>
        <w:rPr>
          <w:rFonts w:ascii="Arial" w:hAnsi="Arial" w:cs="Arial"/>
          <w:b/>
        </w:rPr>
      </w:pPr>
    </w:p>
    <w:p w14:paraId="27CE836D" w14:textId="77777777" w:rsidR="003C723C" w:rsidRDefault="003C723C" w:rsidP="00441B6F">
      <w:pPr>
        <w:pStyle w:val="Body"/>
        <w:spacing w:after="0"/>
        <w:rPr>
          <w:rFonts w:ascii="Arial" w:hAnsi="Arial" w:cs="Arial"/>
          <w:b/>
        </w:rPr>
      </w:pPr>
    </w:p>
    <w:p w14:paraId="3894B4D4" w14:textId="77777777" w:rsidR="003C723C" w:rsidRPr="00121042" w:rsidRDefault="003C723C" w:rsidP="00441B6F">
      <w:pPr>
        <w:pStyle w:val="Body"/>
        <w:spacing w:after="0"/>
        <w:rPr>
          <w:rFonts w:ascii="Arial" w:hAnsi="Arial" w:cs="Arial"/>
          <w:b/>
        </w:rPr>
      </w:pPr>
    </w:p>
    <w:p w14:paraId="3BEA06C0" w14:textId="77777777" w:rsidR="003C723C" w:rsidRDefault="003C723C" w:rsidP="00441B6F">
      <w:pPr>
        <w:pStyle w:val="Body"/>
        <w:spacing w:after="0"/>
        <w:rPr>
          <w:rFonts w:ascii="Arial" w:hAnsi="Arial" w:cs="Arial"/>
          <w:i/>
        </w:rPr>
      </w:pPr>
    </w:p>
    <w:p w14:paraId="1C11D682" w14:textId="77777777" w:rsidR="003C723C" w:rsidRDefault="003C723C" w:rsidP="00441B6F">
      <w:pPr>
        <w:pStyle w:val="Body"/>
        <w:spacing w:after="0"/>
        <w:rPr>
          <w:rFonts w:ascii="Arial" w:hAnsi="Arial" w:cs="Arial"/>
          <w:i/>
        </w:rPr>
      </w:pPr>
    </w:p>
    <w:p w14:paraId="735EFC22" w14:textId="77777777" w:rsidR="003C723C" w:rsidRDefault="003C723C" w:rsidP="00441B6F">
      <w:pPr>
        <w:pStyle w:val="Body"/>
        <w:spacing w:after="0"/>
        <w:rPr>
          <w:rFonts w:ascii="Arial" w:hAnsi="Arial" w:cs="Arial"/>
          <w:i/>
        </w:rPr>
      </w:pPr>
    </w:p>
    <w:p w14:paraId="1DFBAC6C" w14:textId="77777777" w:rsidR="003C723C" w:rsidRDefault="003C723C" w:rsidP="00441B6F">
      <w:pPr>
        <w:pStyle w:val="Body"/>
        <w:spacing w:after="0"/>
        <w:rPr>
          <w:rFonts w:ascii="Arial" w:hAnsi="Arial" w:cs="Arial"/>
          <w:i/>
        </w:rPr>
      </w:pPr>
    </w:p>
    <w:p w14:paraId="5B127FAD" w14:textId="77777777" w:rsidR="003C723C" w:rsidRDefault="003C723C" w:rsidP="00441B6F">
      <w:pPr>
        <w:pStyle w:val="Body"/>
        <w:spacing w:after="0"/>
        <w:rPr>
          <w:rFonts w:ascii="Arial" w:hAnsi="Arial" w:cs="Arial"/>
          <w:i/>
        </w:rPr>
      </w:pPr>
    </w:p>
    <w:p w14:paraId="6FB904E2" w14:textId="77777777" w:rsidR="003C723C" w:rsidRDefault="003C723C" w:rsidP="00441B6F">
      <w:pPr>
        <w:pStyle w:val="Body"/>
        <w:spacing w:after="0"/>
        <w:rPr>
          <w:rFonts w:ascii="Arial" w:hAnsi="Arial" w:cs="Arial"/>
          <w:i/>
        </w:rPr>
      </w:pPr>
    </w:p>
    <w:p w14:paraId="27FD47AA" w14:textId="77777777" w:rsidR="003C723C" w:rsidRDefault="003C723C" w:rsidP="00441B6F">
      <w:pPr>
        <w:pStyle w:val="Body"/>
        <w:spacing w:after="0"/>
        <w:rPr>
          <w:rFonts w:ascii="Arial" w:hAnsi="Arial" w:cs="Arial"/>
          <w:i/>
        </w:rPr>
      </w:pPr>
    </w:p>
    <w:p w14:paraId="3AB31E73" w14:textId="77777777" w:rsidR="003C723C" w:rsidRDefault="003C723C" w:rsidP="00441B6F">
      <w:pPr>
        <w:pStyle w:val="Body"/>
        <w:spacing w:after="0"/>
        <w:rPr>
          <w:rFonts w:ascii="Arial" w:hAnsi="Arial" w:cs="Arial"/>
          <w:i/>
        </w:rPr>
      </w:pPr>
    </w:p>
    <w:p w14:paraId="04A3E584" w14:textId="77777777" w:rsidR="003C723C" w:rsidRDefault="003C723C" w:rsidP="00441B6F">
      <w:pPr>
        <w:pStyle w:val="Body"/>
        <w:spacing w:after="0"/>
        <w:rPr>
          <w:rFonts w:ascii="Arial" w:hAnsi="Arial" w:cs="Arial"/>
          <w:i/>
        </w:rPr>
      </w:pPr>
    </w:p>
    <w:p w14:paraId="1EA8B439" w14:textId="77777777" w:rsidR="003C723C" w:rsidRDefault="003C723C" w:rsidP="00441B6F">
      <w:pPr>
        <w:pStyle w:val="Body"/>
        <w:spacing w:after="0"/>
        <w:rPr>
          <w:rFonts w:ascii="Arial" w:hAnsi="Arial" w:cs="Arial"/>
          <w:i/>
        </w:rPr>
      </w:pPr>
    </w:p>
    <w:p w14:paraId="4916BC2F" w14:textId="77777777" w:rsidR="003C723C" w:rsidRDefault="003C723C" w:rsidP="00441B6F">
      <w:pPr>
        <w:pStyle w:val="Body"/>
        <w:spacing w:after="0"/>
        <w:rPr>
          <w:rFonts w:ascii="Arial" w:hAnsi="Arial" w:cs="Arial"/>
          <w:i/>
        </w:rPr>
      </w:pPr>
    </w:p>
    <w:p w14:paraId="083E29E0" w14:textId="77777777" w:rsidR="006D0112" w:rsidRPr="006D0112" w:rsidRDefault="006D0112" w:rsidP="006D0112">
      <w:pPr>
        <w:pStyle w:val="Body"/>
        <w:spacing w:after="0"/>
        <w:rPr>
          <w:rFonts w:ascii="Arial" w:hAnsi="Arial" w:cs="Arial"/>
          <w:b/>
        </w:rPr>
      </w:pPr>
      <w:r>
        <w:rPr>
          <w:rFonts w:ascii="Arial" w:hAnsi="Arial" w:cs="Arial"/>
          <w:b/>
        </w:rPr>
        <w:t>Fig 2.</w:t>
      </w:r>
      <w:r w:rsidRPr="006D0112">
        <w:rPr>
          <w:rFonts w:ascii="Arial" w:hAnsi="Arial" w:cs="Arial"/>
          <w:b/>
        </w:rPr>
        <w:t xml:space="preserve"> Heatmap showing the average progression of wilting percentage in plants inoculated with different </w:t>
      </w:r>
      <w:r w:rsidRPr="006D0112">
        <w:rPr>
          <w:rFonts w:ascii="Arial" w:hAnsi="Arial" w:cs="Arial"/>
          <w:b/>
          <w:bCs/>
          <w:i/>
          <w:iCs/>
        </w:rPr>
        <w:t xml:space="preserve">Fusarium </w:t>
      </w:r>
      <w:proofErr w:type="spellStart"/>
      <w:r w:rsidRPr="006D0112">
        <w:rPr>
          <w:rFonts w:ascii="Arial" w:hAnsi="Arial" w:cs="Arial"/>
          <w:b/>
          <w:bCs/>
          <w:i/>
          <w:iCs/>
        </w:rPr>
        <w:t>solani</w:t>
      </w:r>
      <w:proofErr w:type="spellEnd"/>
      <w:r w:rsidRPr="006D0112">
        <w:rPr>
          <w:rFonts w:ascii="Arial" w:hAnsi="Arial" w:cs="Arial"/>
          <w:b/>
          <w:bCs/>
        </w:rPr>
        <w:t xml:space="preserve"> strains </w:t>
      </w:r>
      <w:r w:rsidRPr="006D0112">
        <w:rPr>
          <w:rFonts w:ascii="Arial" w:hAnsi="Arial" w:cs="Arial"/>
          <w:b/>
        </w:rPr>
        <w:t>assessed at various times after inoculation (T0 to T40). Colors indicate the intensity of wilting, from white (low) to red (high). Isolates are grouped according to the similarity of their aggressiveness profile (row clustering).</w:t>
      </w:r>
    </w:p>
    <w:p w14:paraId="53D91ED6" w14:textId="77777777" w:rsidR="003C723C" w:rsidRPr="006D0112" w:rsidRDefault="003C723C" w:rsidP="00441B6F">
      <w:pPr>
        <w:pStyle w:val="Body"/>
        <w:spacing w:after="0"/>
        <w:rPr>
          <w:rFonts w:ascii="Arial" w:hAnsi="Arial" w:cs="Arial"/>
          <w:b/>
        </w:rPr>
      </w:pPr>
    </w:p>
    <w:p w14:paraId="4B80D4E1" w14:textId="77777777" w:rsidR="006D0112" w:rsidRPr="006D0112" w:rsidRDefault="006D0112" w:rsidP="006D0112">
      <w:pPr>
        <w:pStyle w:val="Body"/>
        <w:rPr>
          <w:rFonts w:ascii="Arial" w:hAnsi="Arial" w:cs="Arial"/>
          <w:b/>
          <w:bCs/>
          <w:i/>
          <w:iCs/>
          <w:u w:val="single"/>
        </w:rPr>
      </w:pPr>
      <w:r w:rsidRPr="006D0112">
        <w:rPr>
          <w:rFonts w:ascii="Arial" w:hAnsi="Arial" w:cs="Arial"/>
          <w:b/>
          <w:u w:val="single"/>
        </w:rPr>
        <w:t>3</w:t>
      </w:r>
      <w:r>
        <w:rPr>
          <w:rFonts w:ascii="Arial" w:hAnsi="Arial" w:cs="Arial"/>
          <w:b/>
          <w:u w:val="single"/>
        </w:rPr>
        <w:t>.1.2</w:t>
      </w:r>
      <w:r w:rsidRPr="006D0112">
        <w:rPr>
          <w:rFonts w:ascii="Arial" w:hAnsi="Arial" w:cs="Arial"/>
          <w:b/>
          <w:u w:val="single"/>
        </w:rPr>
        <w:t xml:space="preserve"> </w:t>
      </w:r>
      <w:r w:rsidRPr="006D0112">
        <w:rPr>
          <w:rFonts w:ascii="Arial" w:hAnsi="Arial" w:cs="Arial"/>
          <w:b/>
          <w:bCs/>
          <w:i/>
          <w:iCs/>
          <w:u w:val="single"/>
        </w:rPr>
        <w:t>In vitro effect of aqueous extracts and oils</w:t>
      </w:r>
    </w:p>
    <w:p w14:paraId="28738D1D" w14:textId="77777777" w:rsidR="006D0112" w:rsidRDefault="006D0112" w:rsidP="006D0112">
      <w:pPr>
        <w:pStyle w:val="Body"/>
        <w:spacing w:after="0"/>
        <w:rPr>
          <w:rFonts w:ascii="Arial" w:hAnsi="Arial" w:cs="Arial"/>
          <w:bCs/>
        </w:rPr>
      </w:pPr>
      <w:r w:rsidRPr="006D0112">
        <w:rPr>
          <w:rFonts w:ascii="Arial" w:hAnsi="Arial" w:cs="Arial"/>
          <w:bCs/>
        </w:rPr>
        <w:t xml:space="preserve">The mean inhibition of </w:t>
      </w:r>
      <w:r w:rsidRPr="006D0112">
        <w:rPr>
          <w:rFonts w:ascii="Arial" w:hAnsi="Arial" w:cs="Arial"/>
          <w:bCs/>
          <w:i/>
          <w:iCs/>
        </w:rPr>
        <w:t>Fusarium</w:t>
      </w:r>
      <w:r w:rsidRPr="006D0112">
        <w:rPr>
          <w:rFonts w:ascii="Arial" w:hAnsi="Arial" w:cs="Arial"/>
          <w:bCs/>
        </w:rPr>
        <w:t xml:space="preserve"> sp. mycelial growth varied significantly depending on the app</w:t>
      </w:r>
      <w:r>
        <w:rPr>
          <w:rFonts w:ascii="Arial" w:hAnsi="Arial" w:cs="Arial"/>
          <w:bCs/>
        </w:rPr>
        <w:t xml:space="preserve">lied aqueous extract treatment </w:t>
      </w:r>
      <w:r w:rsidRPr="006D0112">
        <w:rPr>
          <w:rFonts w:ascii="Arial" w:hAnsi="Arial" w:cs="Arial"/>
          <w:bCs/>
          <w:i/>
        </w:rPr>
        <w:t>p &lt; 2.2e-16</w:t>
      </w:r>
      <w:r w:rsidRPr="006D0112">
        <w:rPr>
          <w:rFonts w:ascii="Arial" w:hAnsi="Arial" w:cs="Arial"/>
          <w:bCs/>
        </w:rPr>
        <w:t xml:space="preserve">. The synthetic fungicide Mancozeb (MZ), used as a positive control, exhibited the strongest inhibition, with a mean rate exceeding 96.16%, which was statistically higher than most other treatments (Figure 3). Among the tested aqueous extracts, treatments T2B and T2C from </w:t>
      </w:r>
      <w:proofErr w:type="spellStart"/>
      <w:r w:rsidRPr="006D0112">
        <w:rPr>
          <w:rFonts w:ascii="Arial" w:hAnsi="Arial" w:cs="Arial"/>
          <w:bCs/>
          <w:i/>
          <w:iCs/>
        </w:rPr>
        <w:t>Ocimum</w:t>
      </w:r>
      <w:proofErr w:type="spellEnd"/>
      <w:r w:rsidRPr="006D0112">
        <w:rPr>
          <w:rFonts w:ascii="Arial" w:hAnsi="Arial" w:cs="Arial"/>
          <w:bCs/>
          <w:i/>
          <w:iCs/>
        </w:rPr>
        <w:t xml:space="preserve"> </w:t>
      </w:r>
      <w:proofErr w:type="spellStart"/>
      <w:r w:rsidRPr="006D0112">
        <w:rPr>
          <w:rFonts w:ascii="Arial" w:hAnsi="Arial" w:cs="Arial"/>
          <w:bCs/>
          <w:i/>
          <w:iCs/>
        </w:rPr>
        <w:t>gratissimum</w:t>
      </w:r>
      <w:proofErr w:type="spellEnd"/>
      <w:r w:rsidRPr="006D0112">
        <w:rPr>
          <w:rFonts w:ascii="Arial" w:hAnsi="Arial" w:cs="Arial"/>
          <w:bCs/>
        </w:rPr>
        <w:t xml:space="preserve"> at 50% and 75% concentrations demonstrated high inhibition rates of 88.89% and 94.84%, respectively, comparable to Mancozeb. Treatment T2A at 25% also showed notable activity, although slightly lower. Overall, treatments T2A, T2B, and T2C were among the most effective, with inhibition rates ranging from approximately 75% to 90%. Extracts T1A, T1B, and T1C from </w:t>
      </w:r>
      <w:proofErr w:type="spellStart"/>
      <w:r w:rsidRPr="006D0112">
        <w:rPr>
          <w:rFonts w:ascii="Arial" w:hAnsi="Arial" w:cs="Arial"/>
          <w:bCs/>
          <w:i/>
          <w:iCs/>
        </w:rPr>
        <w:t>Azadirachta</w:t>
      </w:r>
      <w:proofErr w:type="spellEnd"/>
      <w:r w:rsidRPr="006D0112">
        <w:rPr>
          <w:rFonts w:ascii="Arial" w:hAnsi="Arial" w:cs="Arial"/>
          <w:bCs/>
          <w:i/>
          <w:iCs/>
        </w:rPr>
        <w:t xml:space="preserve"> </w:t>
      </w:r>
      <w:proofErr w:type="spellStart"/>
      <w:r w:rsidRPr="006D0112">
        <w:rPr>
          <w:rFonts w:ascii="Arial" w:hAnsi="Arial" w:cs="Arial"/>
          <w:bCs/>
          <w:i/>
          <w:iCs/>
        </w:rPr>
        <w:t>indica</w:t>
      </w:r>
      <w:proofErr w:type="spellEnd"/>
      <w:r w:rsidRPr="006D0112">
        <w:rPr>
          <w:rFonts w:ascii="Arial" w:hAnsi="Arial" w:cs="Arial"/>
          <w:bCs/>
        </w:rPr>
        <w:t xml:space="preserve"> displayed moderate efficacy, with inhibition rates increasing with concentration. Only the highest dose (T1C) reached an inhibition level of 68.31%, comparable to some </w:t>
      </w:r>
      <w:r w:rsidRPr="006D0112">
        <w:rPr>
          <w:rFonts w:ascii="Arial" w:hAnsi="Arial" w:cs="Arial"/>
          <w:bCs/>
          <w:i/>
          <w:iCs/>
        </w:rPr>
        <w:t xml:space="preserve">O. </w:t>
      </w:r>
      <w:proofErr w:type="spellStart"/>
      <w:r w:rsidRPr="006D0112">
        <w:rPr>
          <w:rFonts w:ascii="Arial" w:hAnsi="Arial" w:cs="Arial"/>
          <w:bCs/>
          <w:i/>
          <w:iCs/>
        </w:rPr>
        <w:t>gratissimum</w:t>
      </w:r>
      <w:proofErr w:type="spellEnd"/>
      <w:r w:rsidRPr="006D0112">
        <w:rPr>
          <w:rFonts w:ascii="Arial" w:hAnsi="Arial" w:cs="Arial"/>
          <w:bCs/>
        </w:rPr>
        <w:t xml:space="preserve"> treatments, though not significantly different from the </w:t>
      </w:r>
      <w:r w:rsidRPr="006D0112">
        <w:rPr>
          <w:rFonts w:ascii="Arial" w:hAnsi="Arial" w:cs="Arial"/>
          <w:bCs/>
          <w:i/>
          <w:iCs/>
        </w:rPr>
        <w:t xml:space="preserve">J. </w:t>
      </w:r>
      <w:proofErr w:type="spellStart"/>
      <w:r w:rsidRPr="006D0112">
        <w:rPr>
          <w:rFonts w:ascii="Arial" w:hAnsi="Arial" w:cs="Arial"/>
          <w:bCs/>
          <w:i/>
          <w:iCs/>
        </w:rPr>
        <w:t>curcas</w:t>
      </w:r>
      <w:proofErr w:type="spellEnd"/>
      <w:r w:rsidRPr="006D0112">
        <w:rPr>
          <w:rFonts w:ascii="Arial" w:hAnsi="Arial" w:cs="Arial"/>
          <w:bCs/>
        </w:rPr>
        <w:t xml:space="preserve"> extracts. Extracts from </w:t>
      </w:r>
      <w:r w:rsidRPr="006D0112">
        <w:rPr>
          <w:rFonts w:ascii="Arial" w:hAnsi="Arial" w:cs="Arial"/>
          <w:bCs/>
          <w:i/>
          <w:iCs/>
        </w:rPr>
        <w:t xml:space="preserve">J. </w:t>
      </w:r>
      <w:proofErr w:type="spellStart"/>
      <w:r w:rsidRPr="006D0112">
        <w:rPr>
          <w:rFonts w:ascii="Arial" w:hAnsi="Arial" w:cs="Arial"/>
          <w:bCs/>
          <w:i/>
          <w:iCs/>
        </w:rPr>
        <w:t>curcas</w:t>
      </w:r>
      <w:proofErr w:type="spellEnd"/>
      <w:r w:rsidRPr="006D0112">
        <w:rPr>
          <w:rFonts w:ascii="Arial" w:hAnsi="Arial" w:cs="Arial"/>
          <w:bCs/>
        </w:rPr>
        <w:t xml:space="preserve"> (T3A, T3B, and T3C) showed the lowest antifungal activity overall, with inhibition rates between 45% and 60%. Oils demonstrated increased efficacy with rising concentrations for all species (Figure 3). The </w:t>
      </w:r>
      <w:r w:rsidRPr="006D0112">
        <w:rPr>
          <w:rFonts w:ascii="Arial" w:hAnsi="Arial" w:cs="Arial"/>
          <w:bCs/>
          <w:i/>
          <w:iCs/>
        </w:rPr>
        <w:t>A. indica</w:t>
      </w:r>
      <w:r w:rsidRPr="006D0112">
        <w:rPr>
          <w:rFonts w:ascii="Arial" w:hAnsi="Arial" w:cs="Arial"/>
          <w:bCs/>
        </w:rPr>
        <w:t xml:space="preserve"> oil treatment HN3 at 200 ppm achieved the highest mycelial growth inhibition at 84.64%. The </w:t>
      </w:r>
      <w:r w:rsidRPr="006D0112">
        <w:rPr>
          <w:rFonts w:ascii="Arial" w:hAnsi="Arial" w:cs="Arial"/>
          <w:bCs/>
          <w:i/>
          <w:iCs/>
        </w:rPr>
        <w:t xml:space="preserve">J. </w:t>
      </w:r>
      <w:proofErr w:type="spellStart"/>
      <w:r w:rsidRPr="006D0112">
        <w:rPr>
          <w:rFonts w:ascii="Arial" w:hAnsi="Arial" w:cs="Arial"/>
          <w:bCs/>
          <w:i/>
          <w:iCs/>
        </w:rPr>
        <w:t>circas</w:t>
      </w:r>
      <w:proofErr w:type="spellEnd"/>
      <w:r w:rsidRPr="006D0112">
        <w:rPr>
          <w:rFonts w:ascii="Arial" w:hAnsi="Arial" w:cs="Arial"/>
          <w:bCs/>
        </w:rPr>
        <w:t xml:space="preserve"> oil treatment HJ3 at 200 ppm also showed notable activity, with an inhibition rate of 74.69%, although not </w:t>
      </w:r>
      <w:r w:rsidRPr="006D0112">
        <w:rPr>
          <w:rFonts w:ascii="Arial" w:hAnsi="Arial" w:cs="Arial"/>
          <w:bCs/>
        </w:rPr>
        <w:lastRenderedPageBreak/>
        <w:t xml:space="preserve">significantly different from HN3. The lowest inhibition rate (25.95%) was observed with the </w:t>
      </w:r>
      <w:r w:rsidRPr="006D0112">
        <w:rPr>
          <w:rFonts w:ascii="Arial" w:hAnsi="Arial" w:cs="Arial"/>
          <w:bCs/>
          <w:i/>
          <w:iCs/>
        </w:rPr>
        <w:t xml:space="preserve">J. </w:t>
      </w:r>
      <w:proofErr w:type="spellStart"/>
      <w:r w:rsidRPr="006D0112">
        <w:rPr>
          <w:rFonts w:ascii="Arial" w:hAnsi="Arial" w:cs="Arial"/>
          <w:bCs/>
          <w:i/>
          <w:iCs/>
        </w:rPr>
        <w:t>circas</w:t>
      </w:r>
      <w:proofErr w:type="spellEnd"/>
      <w:r w:rsidRPr="006D0112">
        <w:rPr>
          <w:rFonts w:ascii="Arial" w:hAnsi="Arial" w:cs="Arial"/>
          <w:bCs/>
        </w:rPr>
        <w:t xml:space="preserve"> essential oil at 100 ppm.</w:t>
      </w:r>
    </w:p>
    <w:p w14:paraId="73F94F0C" w14:textId="77777777" w:rsidR="006D0112" w:rsidRDefault="006D0112" w:rsidP="006D0112">
      <w:pPr>
        <w:pStyle w:val="Body"/>
        <w:spacing w:after="0"/>
        <w:rPr>
          <w:rFonts w:ascii="Arial" w:hAnsi="Arial" w:cs="Arial"/>
          <w:bCs/>
        </w:rPr>
      </w:pPr>
    </w:p>
    <w:p w14:paraId="3E5A846F" w14:textId="77777777" w:rsidR="006D0112" w:rsidRDefault="00917C2C" w:rsidP="006D0112">
      <w:pPr>
        <w:pStyle w:val="Body"/>
        <w:spacing w:after="0"/>
        <w:rPr>
          <w:rFonts w:ascii="Arial" w:hAnsi="Arial" w:cs="Arial"/>
          <w:bCs/>
        </w:rPr>
      </w:pPr>
      <w:r w:rsidRPr="006D0112">
        <w:rPr>
          <w:rFonts w:ascii="Calibri" w:eastAsia="Calibri" w:hAnsi="Calibri"/>
          <w:noProof/>
          <w:sz w:val="22"/>
          <w:szCs w:val="22"/>
        </w:rPr>
        <w:drawing>
          <wp:anchor distT="0" distB="0" distL="114300" distR="114300" simplePos="0" relativeHeight="251656192" behindDoc="1" locked="0" layoutInCell="1" allowOverlap="1" wp14:anchorId="0E59BD82" wp14:editId="23C7CAF7">
            <wp:simplePos x="0" y="0"/>
            <wp:positionH relativeFrom="column">
              <wp:posOffset>843915</wp:posOffset>
            </wp:positionH>
            <wp:positionV relativeFrom="paragraph">
              <wp:posOffset>66675</wp:posOffset>
            </wp:positionV>
            <wp:extent cx="3609975" cy="4072890"/>
            <wp:effectExtent l="19050" t="19050" r="28575" b="22860"/>
            <wp:wrapSquare wrapText="bothSides"/>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09975" cy="407289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1976094" w14:textId="77777777" w:rsidR="006D0112" w:rsidRDefault="006D0112" w:rsidP="006D0112">
      <w:pPr>
        <w:pStyle w:val="Body"/>
        <w:spacing w:after="0"/>
        <w:rPr>
          <w:rFonts w:ascii="Arial" w:hAnsi="Arial" w:cs="Arial"/>
          <w:bCs/>
        </w:rPr>
      </w:pPr>
    </w:p>
    <w:p w14:paraId="1760E7D5" w14:textId="77777777" w:rsidR="006D0112" w:rsidRDefault="006D0112" w:rsidP="006D0112">
      <w:pPr>
        <w:pStyle w:val="Body"/>
        <w:spacing w:after="0"/>
        <w:rPr>
          <w:rFonts w:ascii="Arial" w:hAnsi="Arial" w:cs="Arial"/>
          <w:bCs/>
        </w:rPr>
      </w:pPr>
    </w:p>
    <w:p w14:paraId="7BAA9697" w14:textId="77777777" w:rsidR="006D0112" w:rsidRPr="006D0112" w:rsidRDefault="006D0112" w:rsidP="006D0112">
      <w:pPr>
        <w:pStyle w:val="Body"/>
        <w:spacing w:after="0"/>
        <w:rPr>
          <w:rFonts w:ascii="Arial" w:hAnsi="Arial" w:cs="Arial"/>
          <w:bCs/>
        </w:rPr>
      </w:pPr>
    </w:p>
    <w:p w14:paraId="5A60123E" w14:textId="77777777" w:rsidR="006D0112" w:rsidRDefault="006D0112" w:rsidP="00441B6F">
      <w:pPr>
        <w:pStyle w:val="Body"/>
        <w:spacing w:after="0"/>
        <w:rPr>
          <w:rFonts w:ascii="Arial" w:hAnsi="Arial" w:cs="Arial"/>
          <w:i/>
        </w:rPr>
      </w:pPr>
    </w:p>
    <w:p w14:paraId="32A8CA3D" w14:textId="77777777" w:rsidR="006D0112" w:rsidRDefault="006D0112" w:rsidP="00441B6F">
      <w:pPr>
        <w:pStyle w:val="Body"/>
        <w:spacing w:after="0"/>
        <w:rPr>
          <w:rFonts w:ascii="Arial" w:hAnsi="Arial" w:cs="Arial"/>
          <w:i/>
        </w:rPr>
      </w:pPr>
    </w:p>
    <w:p w14:paraId="1063475A" w14:textId="77777777" w:rsidR="006D0112" w:rsidRDefault="006D0112" w:rsidP="00441B6F">
      <w:pPr>
        <w:pStyle w:val="Body"/>
        <w:spacing w:after="0"/>
        <w:rPr>
          <w:rFonts w:ascii="Arial" w:hAnsi="Arial" w:cs="Arial"/>
          <w:i/>
        </w:rPr>
      </w:pPr>
    </w:p>
    <w:p w14:paraId="4BB4FC38" w14:textId="77777777" w:rsidR="006D0112" w:rsidRDefault="006D0112" w:rsidP="00441B6F">
      <w:pPr>
        <w:pStyle w:val="Body"/>
        <w:spacing w:after="0"/>
        <w:rPr>
          <w:rFonts w:ascii="Arial" w:hAnsi="Arial" w:cs="Arial"/>
          <w:i/>
        </w:rPr>
      </w:pPr>
    </w:p>
    <w:p w14:paraId="793CD6D8" w14:textId="77777777" w:rsidR="006D0112" w:rsidRDefault="006D0112" w:rsidP="00441B6F">
      <w:pPr>
        <w:pStyle w:val="Body"/>
        <w:spacing w:after="0"/>
        <w:rPr>
          <w:rFonts w:ascii="Arial" w:hAnsi="Arial" w:cs="Arial"/>
          <w:i/>
        </w:rPr>
      </w:pPr>
    </w:p>
    <w:p w14:paraId="2E0B08E4" w14:textId="77777777" w:rsidR="006D0112" w:rsidRDefault="006D0112" w:rsidP="00441B6F">
      <w:pPr>
        <w:pStyle w:val="Body"/>
        <w:spacing w:after="0"/>
        <w:rPr>
          <w:rFonts w:ascii="Arial" w:hAnsi="Arial" w:cs="Arial"/>
          <w:i/>
        </w:rPr>
      </w:pPr>
    </w:p>
    <w:p w14:paraId="7860E65F" w14:textId="77777777" w:rsidR="006D0112" w:rsidRDefault="006D0112" w:rsidP="00441B6F">
      <w:pPr>
        <w:pStyle w:val="Body"/>
        <w:spacing w:after="0"/>
        <w:rPr>
          <w:rFonts w:ascii="Arial" w:hAnsi="Arial" w:cs="Arial"/>
          <w:i/>
        </w:rPr>
      </w:pPr>
    </w:p>
    <w:p w14:paraId="3872B8A8" w14:textId="77777777" w:rsidR="006D0112" w:rsidRDefault="006D0112" w:rsidP="00441B6F">
      <w:pPr>
        <w:pStyle w:val="Body"/>
        <w:spacing w:after="0"/>
        <w:rPr>
          <w:rFonts w:ascii="Arial" w:hAnsi="Arial" w:cs="Arial"/>
          <w:i/>
        </w:rPr>
      </w:pPr>
    </w:p>
    <w:p w14:paraId="2422DF79" w14:textId="77777777" w:rsidR="006D0112" w:rsidRDefault="006D0112" w:rsidP="00441B6F">
      <w:pPr>
        <w:pStyle w:val="Body"/>
        <w:spacing w:after="0"/>
        <w:rPr>
          <w:rFonts w:ascii="Arial" w:hAnsi="Arial" w:cs="Arial"/>
          <w:i/>
        </w:rPr>
      </w:pPr>
    </w:p>
    <w:p w14:paraId="68E3E1A6" w14:textId="77777777" w:rsidR="006D0112" w:rsidRDefault="006D0112" w:rsidP="00441B6F">
      <w:pPr>
        <w:pStyle w:val="Body"/>
        <w:spacing w:after="0"/>
        <w:rPr>
          <w:rFonts w:ascii="Arial" w:hAnsi="Arial" w:cs="Arial"/>
          <w:i/>
        </w:rPr>
      </w:pPr>
    </w:p>
    <w:p w14:paraId="09547C18" w14:textId="77777777" w:rsidR="006D0112" w:rsidRDefault="006D0112" w:rsidP="00441B6F">
      <w:pPr>
        <w:pStyle w:val="Body"/>
        <w:spacing w:after="0"/>
        <w:rPr>
          <w:rFonts w:ascii="Arial" w:hAnsi="Arial" w:cs="Arial"/>
          <w:i/>
        </w:rPr>
      </w:pPr>
    </w:p>
    <w:p w14:paraId="09294F95" w14:textId="77777777" w:rsidR="006D0112" w:rsidRDefault="006D0112" w:rsidP="00441B6F">
      <w:pPr>
        <w:pStyle w:val="Body"/>
        <w:spacing w:after="0"/>
        <w:rPr>
          <w:rFonts w:ascii="Arial" w:hAnsi="Arial" w:cs="Arial"/>
          <w:i/>
        </w:rPr>
      </w:pPr>
    </w:p>
    <w:p w14:paraId="10DEB6B6" w14:textId="77777777" w:rsidR="006D0112" w:rsidRDefault="006D0112" w:rsidP="00441B6F">
      <w:pPr>
        <w:pStyle w:val="Body"/>
        <w:spacing w:after="0"/>
        <w:rPr>
          <w:rFonts w:ascii="Arial" w:hAnsi="Arial" w:cs="Arial"/>
          <w:i/>
        </w:rPr>
      </w:pPr>
    </w:p>
    <w:p w14:paraId="4B1424B4" w14:textId="77777777" w:rsidR="006D0112" w:rsidRDefault="006D0112" w:rsidP="00441B6F">
      <w:pPr>
        <w:pStyle w:val="Body"/>
        <w:spacing w:after="0"/>
        <w:rPr>
          <w:rFonts w:ascii="Arial" w:hAnsi="Arial" w:cs="Arial"/>
          <w:i/>
        </w:rPr>
      </w:pPr>
    </w:p>
    <w:p w14:paraId="5ED0FD42" w14:textId="77777777" w:rsidR="006D0112" w:rsidRDefault="006D0112" w:rsidP="00441B6F">
      <w:pPr>
        <w:pStyle w:val="Body"/>
        <w:spacing w:after="0"/>
        <w:rPr>
          <w:rFonts w:ascii="Arial" w:hAnsi="Arial" w:cs="Arial"/>
          <w:i/>
        </w:rPr>
      </w:pPr>
    </w:p>
    <w:p w14:paraId="1290AE16" w14:textId="77777777" w:rsidR="006D0112" w:rsidRDefault="006D0112" w:rsidP="00441B6F">
      <w:pPr>
        <w:pStyle w:val="Body"/>
        <w:spacing w:after="0"/>
        <w:rPr>
          <w:rFonts w:ascii="Arial" w:hAnsi="Arial" w:cs="Arial"/>
          <w:i/>
        </w:rPr>
      </w:pPr>
    </w:p>
    <w:p w14:paraId="5373450D" w14:textId="77777777" w:rsidR="006D0112" w:rsidRDefault="006D0112" w:rsidP="00441B6F">
      <w:pPr>
        <w:pStyle w:val="Body"/>
        <w:spacing w:after="0"/>
        <w:rPr>
          <w:rFonts w:ascii="Arial" w:hAnsi="Arial" w:cs="Arial"/>
          <w:i/>
        </w:rPr>
      </w:pPr>
    </w:p>
    <w:p w14:paraId="082CF35F" w14:textId="77777777" w:rsidR="006D0112" w:rsidRDefault="006D0112" w:rsidP="00441B6F">
      <w:pPr>
        <w:pStyle w:val="Body"/>
        <w:spacing w:after="0"/>
        <w:rPr>
          <w:rFonts w:ascii="Arial" w:hAnsi="Arial" w:cs="Arial"/>
          <w:i/>
        </w:rPr>
      </w:pPr>
    </w:p>
    <w:p w14:paraId="3F81295A" w14:textId="77777777" w:rsidR="006D0112" w:rsidRDefault="006D0112" w:rsidP="00441B6F">
      <w:pPr>
        <w:pStyle w:val="Body"/>
        <w:spacing w:after="0"/>
        <w:rPr>
          <w:rFonts w:ascii="Arial" w:hAnsi="Arial" w:cs="Arial"/>
          <w:i/>
        </w:rPr>
      </w:pPr>
    </w:p>
    <w:p w14:paraId="591C311E" w14:textId="77777777" w:rsidR="006D0112" w:rsidRDefault="006D0112" w:rsidP="00441B6F">
      <w:pPr>
        <w:pStyle w:val="Body"/>
        <w:spacing w:after="0"/>
        <w:rPr>
          <w:rFonts w:ascii="Arial" w:hAnsi="Arial" w:cs="Arial"/>
          <w:i/>
        </w:rPr>
      </w:pPr>
    </w:p>
    <w:p w14:paraId="29953A6B" w14:textId="77777777" w:rsidR="006D0112" w:rsidRDefault="006D0112" w:rsidP="00441B6F">
      <w:pPr>
        <w:pStyle w:val="Body"/>
        <w:spacing w:after="0"/>
        <w:rPr>
          <w:rFonts w:ascii="Arial" w:hAnsi="Arial" w:cs="Arial"/>
          <w:i/>
        </w:rPr>
      </w:pPr>
    </w:p>
    <w:p w14:paraId="5CEEF1A3" w14:textId="77777777" w:rsidR="006D0112" w:rsidRDefault="006D0112" w:rsidP="00441B6F">
      <w:pPr>
        <w:pStyle w:val="Body"/>
        <w:spacing w:after="0"/>
        <w:rPr>
          <w:rFonts w:ascii="Arial" w:hAnsi="Arial" w:cs="Arial"/>
          <w:i/>
        </w:rPr>
      </w:pPr>
    </w:p>
    <w:p w14:paraId="55B8E117" w14:textId="77777777" w:rsidR="006D0112" w:rsidRDefault="006D0112" w:rsidP="00441B6F">
      <w:pPr>
        <w:pStyle w:val="Body"/>
        <w:spacing w:after="0"/>
        <w:rPr>
          <w:rFonts w:ascii="Arial" w:hAnsi="Arial" w:cs="Arial"/>
          <w:i/>
        </w:rPr>
      </w:pPr>
    </w:p>
    <w:p w14:paraId="30A01842" w14:textId="77777777" w:rsidR="006D0112" w:rsidRDefault="006D0112" w:rsidP="00441B6F">
      <w:pPr>
        <w:pStyle w:val="Body"/>
        <w:spacing w:after="0"/>
        <w:rPr>
          <w:rFonts w:ascii="Arial" w:hAnsi="Arial" w:cs="Arial"/>
          <w:i/>
        </w:rPr>
      </w:pPr>
    </w:p>
    <w:p w14:paraId="08CF5AD8" w14:textId="77777777" w:rsidR="006D0112" w:rsidRDefault="006D0112" w:rsidP="00441B6F">
      <w:pPr>
        <w:pStyle w:val="Body"/>
        <w:spacing w:after="0"/>
        <w:rPr>
          <w:rFonts w:ascii="Arial" w:hAnsi="Arial" w:cs="Arial"/>
          <w:i/>
        </w:rPr>
      </w:pPr>
    </w:p>
    <w:p w14:paraId="15DCD328" w14:textId="77777777" w:rsidR="009F2D0C" w:rsidRPr="00904181" w:rsidRDefault="009F2D0C" w:rsidP="009F2D0C">
      <w:pPr>
        <w:pStyle w:val="Body"/>
        <w:spacing w:after="0"/>
        <w:rPr>
          <w:rFonts w:ascii="Arial" w:hAnsi="Arial" w:cs="Arial"/>
          <w:b/>
        </w:rPr>
      </w:pPr>
      <w:r w:rsidRPr="00904181">
        <w:rPr>
          <w:rFonts w:ascii="Arial" w:hAnsi="Arial" w:cs="Arial"/>
          <w:b/>
          <w:bCs/>
        </w:rPr>
        <w:t xml:space="preserve">Fig 3. Effect of treatments on the mycelial growth of </w:t>
      </w:r>
      <w:r w:rsidRPr="00904181">
        <w:rPr>
          <w:rFonts w:ascii="Arial" w:hAnsi="Arial" w:cs="Arial"/>
          <w:b/>
          <w:bCs/>
          <w:i/>
          <w:iCs/>
        </w:rPr>
        <w:t xml:space="preserve">Fusarium </w:t>
      </w:r>
      <w:proofErr w:type="spellStart"/>
      <w:r w:rsidRPr="00904181">
        <w:rPr>
          <w:rFonts w:ascii="Arial" w:hAnsi="Arial" w:cs="Arial"/>
          <w:b/>
          <w:bCs/>
          <w:i/>
          <w:iCs/>
        </w:rPr>
        <w:t>solani</w:t>
      </w:r>
      <w:proofErr w:type="spellEnd"/>
      <w:r w:rsidRPr="00904181">
        <w:rPr>
          <w:rFonts w:ascii="Arial" w:hAnsi="Arial" w:cs="Arial"/>
          <w:b/>
          <w:bCs/>
        </w:rPr>
        <w:t xml:space="preserve">: </w:t>
      </w:r>
      <w:r w:rsidRPr="00904181">
        <w:rPr>
          <w:rFonts w:ascii="Arial" w:hAnsi="Arial" w:cs="Arial"/>
          <w:b/>
        </w:rPr>
        <w:t xml:space="preserve">A. Mean mycelial inhibition (%) for the different aqueous extract treatments after 8 days of </w:t>
      </w:r>
      <w:proofErr w:type="spellStart"/>
      <w:proofErr w:type="gramStart"/>
      <w:r w:rsidRPr="00904181">
        <w:rPr>
          <w:rFonts w:ascii="Arial" w:hAnsi="Arial" w:cs="Arial"/>
          <w:b/>
        </w:rPr>
        <w:t>observation;B</w:t>
      </w:r>
      <w:proofErr w:type="spellEnd"/>
      <w:r w:rsidRPr="00904181">
        <w:rPr>
          <w:rFonts w:ascii="Arial" w:hAnsi="Arial" w:cs="Arial"/>
          <w:b/>
        </w:rPr>
        <w:t>.</w:t>
      </w:r>
      <w:proofErr w:type="gramEnd"/>
      <w:r w:rsidRPr="00904181">
        <w:rPr>
          <w:rFonts w:ascii="Arial" w:hAnsi="Arial" w:cs="Arial"/>
          <w:b/>
        </w:rPr>
        <w:t xml:space="preserve"> Mean mycelial inhibition (%) for the different oil treatments after 8 days of observation. Error bars represent standard errors. Letters above the bars indicate statistically different groups according to Duncan’s post-hoc test (</w:t>
      </w:r>
      <w:r w:rsidRPr="00904181">
        <w:rPr>
          <w:rFonts w:ascii="Arial" w:hAnsi="Arial" w:cs="Arial"/>
          <w:b/>
          <w:lang w:val="fr-FR"/>
        </w:rPr>
        <w:t>α</w:t>
      </w:r>
      <w:r w:rsidRPr="00904181">
        <w:rPr>
          <w:rFonts w:ascii="Arial" w:hAnsi="Arial" w:cs="Arial"/>
          <w:b/>
        </w:rPr>
        <w:t xml:space="preserve"> = 0.05) following a Kruskal–Wallis test (p &lt; 2.2e-16).</w:t>
      </w:r>
    </w:p>
    <w:p w14:paraId="539D7255" w14:textId="77777777" w:rsidR="006D0112" w:rsidRPr="00904181" w:rsidRDefault="006D0112" w:rsidP="00441B6F">
      <w:pPr>
        <w:pStyle w:val="Body"/>
        <w:spacing w:after="0"/>
        <w:rPr>
          <w:rFonts w:ascii="Arial" w:hAnsi="Arial" w:cs="Arial"/>
          <w:b/>
        </w:rPr>
      </w:pPr>
    </w:p>
    <w:p w14:paraId="5A3807AF" w14:textId="77777777" w:rsidR="009F2D0C" w:rsidRPr="009F2D0C" w:rsidRDefault="009F2D0C" w:rsidP="009F2D0C">
      <w:pPr>
        <w:pStyle w:val="Body"/>
        <w:rPr>
          <w:rFonts w:ascii="Arial" w:hAnsi="Arial" w:cs="Arial"/>
          <w:b/>
          <w:bCs/>
          <w:i/>
          <w:iCs/>
          <w:u w:val="single"/>
        </w:rPr>
      </w:pPr>
      <w:r w:rsidRPr="006D0112">
        <w:rPr>
          <w:rFonts w:ascii="Arial" w:hAnsi="Arial" w:cs="Arial"/>
          <w:b/>
          <w:u w:val="single"/>
        </w:rPr>
        <w:t>3</w:t>
      </w:r>
      <w:r>
        <w:rPr>
          <w:rFonts w:ascii="Arial" w:hAnsi="Arial" w:cs="Arial"/>
          <w:b/>
          <w:u w:val="single"/>
        </w:rPr>
        <w:t>.1.3</w:t>
      </w:r>
      <w:r w:rsidRPr="006D0112">
        <w:rPr>
          <w:rFonts w:ascii="Arial" w:hAnsi="Arial" w:cs="Arial"/>
          <w:b/>
          <w:u w:val="single"/>
        </w:rPr>
        <w:t xml:space="preserve"> </w:t>
      </w:r>
      <w:r w:rsidRPr="009F2D0C">
        <w:rPr>
          <w:rFonts w:ascii="Arial" w:hAnsi="Arial" w:cs="Arial"/>
          <w:b/>
          <w:bCs/>
          <w:i/>
          <w:iCs/>
          <w:u w:val="single"/>
        </w:rPr>
        <w:t>In vitro effect of Trichoderma sp.</w:t>
      </w:r>
    </w:p>
    <w:p w14:paraId="328BB87D" w14:textId="77777777" w:rsidR="009F2D0C" w:rsidRDefault="009F2D0C" w:rsidP="009F2D0C">
      <w:pPr>
        <w:pStyle w:val="Body"/>
        <w:spacing w:after="0"/>
        <w:rPr>
          <w:rFonts w:ascii="Arial" w:hAnsi="Arial" w:cs="Arial"/>
          <w:bCs/>
        </w:rPr>
      </w:pPr>
      <w:r w:rsidRPr="009F2D0C">
        <w:rPr>
          <w:rFonts w:ascii="Arial" w:hAnsi="Arial" w:cs="Arial"/>
          <w:bCs/>
        </w:rPr>
        <w:t xml:space="preserve">The mean mycelial inhibition of </w:t>
      </w:r>
      <w:r w:rsidRPr="009F2D0C">
        <w:rPr>
          <w:rFonts w:ascii="Arial" w:hAnsi="Arial" w:cs="Arial"/>
          <w:bCs/>
          <w:i/>
          <w:iCs/>
        </w:rPr>
        <w:t>Fusarium</w:t>
      </w:r>
      <w:r w:rsidRPr="009F2D0C">
        <w:rPr>
          <w:rFonts w:ascii="Arial" w:hAnsi="Arial" w:cs="Arial"/>
          <w:bCs/>
        </w:rPr>
        <w:t xml:space="preserve"> sp. varied according to the </w:t>
      </w:r>
      <w:r w:rsidRPr="009F2D0C">
        <w:rPr>
          <w:rFonts w:ascii="Arial" w:hAnsi="Arial" w:cs="Arial"/>
          <w:bCs/>
          <w:i/>
          <w:iCs/>
        </w:rPr>
        <w:t>Trichoderma</w:t>
      </w:r>
      <w:r w:rsidRPr="009F2D0C">
        <w:rPr>
          <w:rFonts w:ascii="Arial" w:hAnsi="Arial" w:cs="Arial"/>
          <w:bCs/>
        </w:rPr>
        <w:t xml:space="preserve"> sp. treatment (p = 1.635e-16). The highest mean inhibition rate (66.92%) was observed when the medium was inoculated with a 15% </w:t>
      </w:r>
      <w:r w:rsidRPr="009F2D0C">
        <w:rPr>
          <w:rFonts w:ascii="Arial" w:hAnsi="Arial" w:cs="Arial"/>
          <w:bCs/>
          <w:i/>
          <w:iCs/>
        </w:rPr>
        <w:t>Trichoderma</w:t>
      </w:r>
      <w:r w:rsidRPr="009F2D0C">
        <w:rPr>
          <w:rFonts w:ascii="Arial" w:hAnsi="Arial" w:cs="Arial"/>
          <w:bCs/>
        </w:rPr>
        <w:t xml:space="preserve"> sp. suspension (T4C) (Figure 4).</w:t>
      </w:r>
      <w:r>
        <w:rPr>
          <w:rFonts w:ascii="Arial" w:hAnsi="Arial" w:cs="Arial"/>
          <w:bCs/>
        </w:rPr>
        <w:t xml:space="preserve"> </w:t>
      </w:r>
      <w:r w:rsidRPr="009F2D0C">
        <w:rPr>
          <w:rFonts w:ascii="Arial" w:hAnsi="Arial" w:cs="Arial"/>
          <w:bCs/>
        </w:rPr>
        <w:t>The 10% suspension treatment (T4B) also showed a substantial inhibitory effect (63.37%), being statistically not different from T4C. The synthetic fungicide Mancozeb (MZ) remained the most effective treatment.</w:t>
      </w:r>
    </w:p>
    <w:p w14:paraId="35316D2D" w14:textId="77777777" w:rsidR="009F2D0C" w:rsidRDefault="009F2D0C" w:rsidP="009F2D0C">
      <w:pPr>
        <w:pStyle w:val="Body"/>
        <w:spacing w:after="0"/>
        <w:rPr>
          <w:rFonts w:ascii="Arial" w:hAnsi="Arial" w:cs="Arial"/>
          <w:bCs/>
        </w:rPr>
      </w:pPr>
    </w:p>
    <w:p w14:paraId="4436220D" w14:textId="77777777" w:rsidR="009F2D0C" w:rsidRDefault="00917C2C" w:rsidP="009F2D0C">
      <w:pPr>
        <w:pStyle w:val="Body"/>
        <w:spacing w:after="0"/>
        <w:rPr>
          <w:rFonts w:ascii="Arial" w:hAnsi="Arial" w:cs="Arial"/>
          <w:bCs/>
        </w:rPr>
      </w:pPr>
      <w:r w:rsidRPr="009F2D0C">
        <w:rPr>
          <w:rFonts w:ascii="Times New Roman" w:eastAsia="Calibri" w:hAnsi="Times New Roman"/>
          <w:noProof/>
          <w:sz w:val="24"/>
          <w:szCs w:val="24"/>
        </w:rPr>
        <w:lastRenderedPageBreak/>
        <w:drawing>
          <wp:anchor distT="0" distB="0" distL="114300" distR="114300" simplePos="0" relativeHeight="251662336" behindDoc="0" locked="0" layoutInCell="1" allowOverlap="1" wp14:anchorId="42C23C0C" wp14:editId="14A359E4">
            <wp:simplePos x="0" y="0"/>
            <wp:positionH relativeFrom="column">
              <wp:posOffset>501015</wp:posOffset>
            </wp:positionH>
            <wp:positionV relativeFrom="paragraph">
              <wp:posOffset>34925</wp:posOffset>
            </wp:positionV>
            <wp:extent cx="4124325" cy="2262505"/>
            <wp:effectExtent l="19050" t="19050" r="28575" b="2349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24325" cy="226250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6BC52A3B" w14:textId="77777777" w:rsidR="009F2D0C" w:rsidRDefault="009F2D0C" w:rsidP="009F2D0C">
      <w:pPr>
        <w:pStyle w:val="Body"/>
        <w:spacing w:after="0"/>
        <w:rPr>
          <w:rFonts w:ascii="Arial" w:hAnsi="Arial" w:cs="Arial"/>
          <w:bCs/>
        </w:rPr>
      </w:pPr>
    </w:p>
    <w:p w14:paraId="05F20DA7" w14:textId="77777777" w:rsidR="009F2D0C" w:rsidRDefault="009F2D0C" w:rsidP="009F2D0C">
      <w:pPr>
        <w:pStyle w:val="Body"/>
        <w:spacing w:after="0"/>
        <w:rPr>
          <w:rFonts w:ascii="Arial" w:hAnsi="Arial" w:cs="Arial"/>
          <w:bCs/>
        </w:rPr>
      </w:pPr>
    </w:p>
    <w:p w14:paraId="320268A8" w14:textId="77777777" w:rsidR="009F2D0C" w:rsidRDefault="009F2D0C" w:rsidP="009F2D0C">
      <w:pPr>
        <w:pStyle w:val="Body"/>
        <w:spacing w:after="0"/>
        <w:rPr>
          <w:rFonts w:ascii="Arial" w:hAnsi="Arial" w:cs="Arial"/>
          <w:bCs/>
        </w:rPr>
      </w:pPr>
    </w:p>
    <w:p w14:paraId="2175B639" w14:textId="77777777" w:rsidR="009F2D0C" w:rsidRDefault="009F2D0C" w:rsidP="009F2D0C">
      <w:pPr>
        <w:pStyle w:val="Body"/>
        <w:spacing w:after="0"/>
        <w:rPr>
          <w:rFonts w:ascii="Arial" w:hAnsi="Arial" w:cs="Arial"/>
          <w:bCs/>
        </w:rPr>
      </w:pPr>
    </w:p>
    <w:p w14:paraId="3BDC5D3B" w14:textId="77777777" w:rsidR="009F2D0C" w:rsidRPr="009F2D0C" w:rsidRDefault="009F2D0C" w:rsidP="009F2D0C">
      <w:pPr>
        <w:pStyle w:val="Body"/>
        <w:spacing w:after="0"/>
        <w:rPr>
          <w:rFonts w:ascii="Arial" w:hAnsi="Arial" w:cs="Arial"/>
          <w:bCs/>
        </w:rPr>
      </w:pPr>
    </w:p>
    <w:p w14:paraId="0FF186F0" w14:textId="77777777" w:rsidR="009F2D0C" w:rsidRDefault="009F2D0C" w:rsidP="009F2D0C">
      <w:pPr>
        <w:pStyle w:val="Body"/>
        <w:spacing w:after="0"/>
        <w:rPr>
          <w:rFonts w:ascii="Arial" w:hAnsi="Arial" w:cs="Arial"/>
          <w:bCs/>
        </w:rPr>
      </w:pPr>
    </w:p>
    <w:p w14:paraId="3FD26B3F" w14:textId="77777777" w:rsidR="006D0112" w:rsidRDefault="006D0112" w:rsidP="00441B6F">
      <w:pPr>
        <w:pStyle w:val="Body"/>
        <w:spacing w:after="0"/>
        <w:rPr>
          <w:rFonts w:ascii="Arial" w:hAnsi="Arial" w:cs="Arial"/>
          <w:i/>
        </w:rPr>
      </w:pPr>
    </w:p>
    <w:p w14:paraId="0669235C" w14:textId="77777777" w:rsidR="009F2D0C" w:rsidRDefault="009F2D0C" w:rsidP="00441B6F">
      <w:pPr>
        <w:pStyle w:val="Body"/>
        <w:spacing w:after="0"/>
        <w:rPr>
          <w:rFonts w:ascii="Arial" w:hAnsi="Arial" w:cs="Arial"/>
          <w:i/>
        </w:rPr>
      </w:pPr>
    </w:p>
    <w:p w14:paraId="0A7E413D" w14:textId="77777777" w:rsidR="009F2D0C" w:rsidRDefault="009F2D0C" w:rsidP="00441B6F">
      <w:pPr>
        <w:pStyle w:val="Body"/>
        <w:spacing w:after="0"/>
        <w:rPr>
          <w:rFonts w:ascii="Arial" w:hAnsi="Arial" w:cs="Arial"/>
          <w:i/>
        </w:rPr>
      </w:pPr>
    </w:p>
    <w:p w14:paraId="28997935" w14:textId="77777777" w:rsidR="009F2D0C" w:rsidRDefault="009F2D0C" w:rsidP="00441B6F">
      <w:pPr>
        <w:pStyle w:val="Body"/>
        <w:spacing w:after="0"/>
        <w:rPr>
          <w:rFonts w:ascii="Arial" w:hAnsi="Arial" w:cs="Arial"/>
          <w:i/>
        </w:rPr>
      </w:pPr>
    </w:p>
    <w:p w14:paraId="22CBBB00" w14:textId="77777777" w:rsidR="009F2D0C" w:rsidRDefault="009F2D0C" w:rsidP="00441B6F">
      <w:pPr>
        <w:pStyle w:val="Body"/>
        <w:spacing w:after="0"/>
        <w:rPr>
          <w:rFonts w:ascii="Arial" w:hAnsi="Arial" w:cs="Arial"/>
          <w:i/>
        </w:rPr>
      </w:pPr>
    </w:p>
    <w:p w14:paraId="7CD1B32E" w14:textId="77777777" w:rsidR="009F2D0C" w:rsidRDefault="009F2D0C" w:rsidP="00441B6F">
      <w:pPr>
        <w:pStyle w:val="Body"/>
        <w:spacing w:after="0"/>
        <w:rPr>
          <w:rFonts w:ascii="Arial" w:hAnsi="Arial" w:cs="Arial"/>
          <w:i/>
        </w:rPr>
      </w:pPr>
    </w:p>
    <w:p w14:paraId="13D3F728" w14:textId="77777777" w:rsidR="009F2D0C" w:rsidRDefault="009F2D0C" w:rsidP="00441B6F">
      <w:pPr>
        <w:pStyle w:val="Body"/>
        <w:spacing w:after="0"/>
        <w:rPr>
          <w:rFonts w:ascii="Arial" w:hAnsi="Arial" w:cs="Arial"/>
          <w:i/>
        </w:rPr>
      </w:pPr>
    </w:p>
    <w:p w14:paraId="45BD6E5B" w14:textId="77777777" w:rsidR="009F2D0C" w:rsidRDefault="009F2D0C" w:rsidP="00441B6F">
      <w:pPr>
        <w:pStyle w:val="Body"/>
        <w:spacing w:after="0"/>
        <w:rPr>
          <w:rFonts w:ascii="Arial" w:hAnsi="Arial" w:cs="Arial"/>
          <w:i/>
        </w:rPr>
      </w:pPr>
    </w:p>
    <w:p w14:paraId="0F3F7513" w14:textId="77777777" w:rsidR="009F2D0C" w:rsidRDefault="009F2D0C" w:rsidP="00441B6F">
      <w:pPr>
        <w:pStyle w:val="Body"/>
        <w:spacing w:after="0"/>
        <w:rPr>
          <w:rFonts w:ascii="Arial" w:hAnsi="Arial" w:cs="Arial"/>
          <w:i/>
        </w:rPr>
      </w:pPr>
    </w:p>
    <w:p w14:paraId="107B0F7B" w14:textId="77777777" w:rsidR="009F2D0C" w:rsidRDefault="009F2D0C" w:rsidP="00441B6F">
      <w:pPr>
        <w:pStyle w:val="Body"/>
        <w:spacing w:after="0"/>
        <w:rPr>
          <w:rFonts w:ascii="Arial" w:hAnsi="Arial" w:cs="Arial"/>
          <w:i/>
        </w:rPr>
      </w:pPr>
    </w:p>
    <w:p w14:paraId="5C0D904A" w14:textId="77777777" w:rsidR="002051ED" w:rsidRPr="002051ED" w:rsidRDefault="002051ED" w:rsidP="002051ED">
      <w:pPr>
        <w:pStyle w:val="Body"/>
        <w:spacing w:after="0"/>
        <w:rPr>
          <w:rFonts w:ascii="Arial" w:hAnsi="Arial" w:cs="Arial"/>
          <w:b/>
        </w:rPr>
      </w:pPr>
      <w:r w:rsidRPr="002051ED">
        <w:rPr>
          <w:rFonts w:ascii="Arial" w:hAnsi="Arial" w:cs="Arial"/>
          <w:b/>
          <w:bCs/>
        </w:rPr>
        <w:t>Fig 4.</w:t>
      </w:r>
      <w:r w:rsidRPr="002051ED">
        <w:rPr>
          <w:rFonts w:ascii="Arial" w:hAnsi="Arial" w:cs="Arial"/>
          <w:b/>
        </w:rPr>
        <w:t xml:space="preserve"> Mean mycelial inhibition (%) of </w:t>
      </w:r>
      <w:r w:rsidRPr="002051ED">
        <w:rPr>
          <w:rFonts w:ascii="Arial" w:hAnsi="Arial" w:cs="Arial"/>
          <w:b/>
          <w:i/>
          <w:iCs/>
        </w:rPr>
        <w:t xml:space="preserve">Fusarium </w:t>
      </w:r>
      <w:proofErr w:type="spellStart"/>
      <w:r w:rsidRPr="002051ED">
        <w:rPr>
          <w:rFonts w:ascii="Arial" w:hAnsi="Arial" w:cs="Arial"/>
          <w:b/>
          <w:i/>
          <w:iCs/>
        </w:rPr>
        <w:t>solani</w:t>
      </w:r>
      <w:proofErr w:type="spellEnd"/>
      <w:r w:rsidRPr="002051ED">
        <w:rPr>
          <w:rFonts w:ascii="Arial" w:hAnsi="Arial" w:cs="Arial"/>
          <w:b/>
        </w:rPr>
        <w:t xml:space="preserve"> under different </w:t>
      </w:r>
      <w:r w:rsidRPr="002051ED">
        <w:rPr>
          <w:rFonts w:ascii="Arial" w:hAnsi="Arial" w:cs="Arial"/>
          <w:b/>
          <w:i/>
          <w:iCs/>
        </w:rPr>
        <w:t>Trichoderma</w:t>
      </w:r>
      <w:r>
        <w:rPr>
          <w:rFonts w:ascii="Arial" w:hAnsi="Arial" w:cs="Arial"/>
          <w:b/>
        </w:rPr>
        <w:t xml:space="preserve"> sp. </w:t>
      </w:r>
      <w:r w:rsidRPr="002051ED">
        <w:rPr>
          <w:rFonts w:ascii="Arial" w:hAnsi="Arial" w:cs="Arial"/>
          <w:b/>
        </w:rPr>
        <w:t>treatments after 8 days of observation. Error bars represent standard error (±SE). Different letters above the bars indicate significant differences among treatments according to Duncan’s post-hoc test (</w:t>
      </w:r>
      <w:r w:rsidRPr="002051ED">
        <w:rPr>
          <w:rFonts w:ascii="Arial" w:hAnsi="Arial" w:cs="Arial"/>
          <w:b/>
          <w:lang w:val="fr-FR"/>
        </w:rPr>
        <w:t>α</w:t>
      </w:r>
      <w:r w:rsidRPr="002051ED">
        <w:rPr>
          <w:rFonts w:ascii="Arial" w:hAnsi="Arial" w:cs="Arial"/>
          <w:b/>
        </w:rPr>
        <w:t xml:space="preserve"> = 0.05) following a Kruskal–Wallis test (p = 1.635e-16).</w:t>
      </w:r>
    </w:p>
    <w:p w14:paraId="0F653FFA" w14:textId="77777777" w:rsidR="009F2D0C" w:rsidRPr="002051ED" w:rsidRDefault="009F2D0C" w:rsidP="00441B6F">
      <w:pPr>
        <w:pStyle w:val="Body"/>
        <w:spacing w:after="0"/>
        <w:rPr>
          <w:rFonts w:ascii="Arial" w:hAnsi="Arial" w:cs="Arial"/>
          <w:b/>
        </w:rPr>
      </w:pPr>
    </w:p>
    <w:p w14:paraId="3A540C2C" w14:textId="77777777" w:rsidR="002051ED" w:rsidRPr="002051ED" w:rsidRDefault="002051ED" w:rsidP="002051ED">
      <w:pPr>
        <w:pStyle w:val="Body"/>
        <w:rPr>
          <w:rFonts w:ascii="Arial" w:hAnsi="Arial" w:cs="Arial"/>
          <w:b/>
          <w:bCs/>
          <w:i/>
          <w:iCs/>
          <w:u w:val="single"/>
        </w:rPr>
      </w:pPr>
      <w:r w:rsidRPr="002051ED">
        <w:rPr>
          <w:rFonts w:ascii="Arial" w:hAnsi="Arial" w:cs="Arial"/>
          <w:b/>
          <w:u w:val="single"/>
        </w:rPr>
        <w:t>3.1.</w:t>
      </w:r>
      <w:r>
        <w:rPr>
          <w:rFonts w:ascii="Arial" w:hAnsi="Arial" w:cs="Arial"/>
          <w:b/>
          <w:u w:val="single"/>
        </w:rPr>
        <w:t>4</w:t>
      </w:r>
      <w:r w:rsidRPr="002051ED">
        <w:rPr>
          <w:rFonts w:ascii="Arial" w:hAnsi="Arial" w:cs="Arial"/>
          <w:b/>
          <w:u w:val="single"/>
        </w:rPr>
        <w:t xml:space="preserve"> </w:t>
      </w:r>
      <w:r w:rsidRPr="002051ED">
        <w:rPr>
          <w:rFonts w:ascii="Arial" w:hAnsi="Arial" w:cs="Arial"/>
          <w:b/>
          <w:bCs/>
          <w:i/>
          <w:iCs/>
          <w:u w:val="single"/>
        </w:rPr>
        <w:t>Effect of treatments on Fusarium sp. contamination and seed germination</w:t>
      </w:r>
    </w:p>
    <w:p w14:paraId="4563D039" w14:textId="77777777" w:rsidR="002051ED" w:rsidRPr="002051ED" w:rsidRDefault="002051ED" w:rsidP="002051ED">
      <w:pPr>
        <w:pStyle w:val="Body"/>
        <w:spacing w:after="0"/>
        <w:rPr>
          <w:rFonts w:ascii="Arial" w:hAnsi="Arial" w:cs="Arial"/>
          <w:bCs/>
        </w:rPr>
      </w:pPr>
      <w:r w:rsidRPr="002051ED">
        <w:rPr>
          <w:rFonts w:ascii="Arial" w:hAnsi="Arial" w:cs="Arial"/>
          <w:bCs/>
        </w:rPr>
        <w:t xml:space="preserve">The lowest contamination rate (3.55%) was observed when tomato seeds were treated with Mancozeb (MZ) at 20 g per 5 kg of seeds (Figure 5). The efficacy of this treatment was similar to that of seeds treated with a </w:t>
      </w:r>
      <w:r w:rsidRPr="002051ED">
        <w:rPr>
          <w:rFonts w:ascii="Arial" w:hAnsi="Arial" w:cs="Arial"/>
          <w:bCs/>
          <w:i/>
          <w:iCs/>
        </w:rPr>
        <w:t>Trichoderma</w:t>
      </w:r>
      <w:r w:rsidRPr="002051ED">
        <w:rPr>
          <w:rFonts w:ascii="Arial" w:hAnsi="Arial" w:cs="Arial"/>
          <w:bCs/>
        </w:rPr>
        <w:t xml:space="preserve"> sp. suspension at 10⁹ spores/mL (Tri), which showed a mean contamination rate of 4%. In contrast, untreated seeds exhibited a high contamination rate of up to 63.55% by </w:t>
      </w:r>
      <w:r w:rsidRPr="002051ED">
        <w:rPr>
          <w:rFonts w:ascii="Arial" w:hAnsi="Arial" w:cs="Arial"/>
          <w:bCs/>
          <w:i/>
          <w:iCs/>
        </w:rPr>
        <w:t>Fusarium</w:t>
      </w:r>
      <w:r w:rsidRPr="002051ED">
        <w:rPr>
          <w:rFonts w:ascii="Arial" w:hAnsi="Arial" w:cs="Arial"/>
          <w:bCs/>
        </w:rPr>
        <w:t xml:space="preserve"> sp. Treatments with </w:t>
      </w:r>
      <w:proofErr w:type="spellStart"/>
      <w:r w:rsidRPr="002051ED">
        <w:rPr>
          <w:rFonts w:ascii="Arial" w:hAnsi="Arial" w:cs="Arial"/>
          <w:bCs/>
          <w:i/>
          <w:iCs/>
        </w:rPr>
        <w:t>Azadirachta</w:t>
      </w:r>
      <w:proofErr w:type="spellEnd"/>
      <w:r w:rsidRPr="002051ED">
        <w:rPr>
          <w:rFonts w:ascii="Arial" w:hAnsi="Arial" w:cs="Arial"/>
          <w:bCs/>
          <w:i/>
          <w:iCs/>
        </w:rPr>
        <w:t xml:space="preserve"> </w:t>
      </w:r>
      <w:proofErr w:type="spellStart"/>
      <w:r w:rsidRPr="002051ED">
        <w:rPr>
          <w:rFonts w:ascii="Arial" w:hAnsi="Arial" w:cs="Arial"/>
          <w:bCs/>
          <w:i/>
          <w:iCs/>
        </w:rPr>
        <w:t>indica</w:t>
      </w:r>
      <w:proofErr w:type="spellEnd"/>
      <w:r w:rsidRPr="002051ED">
        <w:rPr>
          <w:rFonts w:ascii="Arial" w:hAnsi="Arial" w:cs="Arial"/>
          <w:bCs/>
        </w:rPr>
        <w:t xml:space="preserve"> oil (HN) and extract (EN) showed comparable efficacy against </w:t>
      </w:r>
      <w:r w:rsidRPr="002051ED">
        <w:rPr>
          <w:rFonts w:ascii="Arial" w:hAnsi="Arial" w:cs="Arial"/>
          <w:bCs/>
          <w:i/>
          <w:iCs/>
        </w:rPr>
        <w:t>Fusarium</w:t>
      </w:r>
      <w:r w:rsidRPr="002051ED">
        <w:rPr>
          <w:rFonts w:ascii="Arial" w:hAnsi="Arial" w:cs="Arial"/>
          <w:bCs/>
        </w:rPr>
        <w:t xml:space="preserve"> sp., similar to the </w:t>
      </w:r>
      <w:r w:rsidRPr="002051ED">
        <w:rPr>
          <w:rFonts w:ascii="Arial" w:hAnsi="Arial" w:cs="Arial"/>
          <w:bCs/>
          <w:i/>
          <w:iCs/>
        </w:rPr>
        <w:t>Trichoderma</w:t>
      </w:r>
      <w:r w:rsidRPr="002051ED">
        <w:rPr>
          <w:rFonts w:ascii="Arial" w:hAnsi="Arial" w:cs="Arial"/>
          <w:bCs/>
        </w:rPr>
        <w:t xml:space="preserve"> sp. treatment, with mean contamination rates of 9.77% and 10.22%, respectively. Furthermore, germination rates for the biological treatments were statistically similar to the untreated control (Figure 5).</w:t>
      </w:r>
    </w:p>
    <w:p w14:paraId="2137E530" w14:textId="77777777" w:rsidR="009F2D0C" w:rsidRPr="002051ED" w:rsidRDefault="009F2D0C" w:rsidP="00441B6F">
      <w:pPr>
        <w:pStyle w:val="Body"/>
        <w:spacing w:after="0"/>
        <w:rPr>
          <w:rFonts w:ascii="Arial" w:hAnsi="Arial" w:cs="Arial"/>
        </w:rPr>
      </w:pPr>
    </w:p>
    <w:p w14:paraId="78602B0A" w14:textId="77777777" w:rsidR="009F2D0C" w:rsidRDefault="00917C2C" w:rsidP="00441B6F">
      <w:pPr>
        <w:pStyle w:val="Body"/>
        <w:spacing w:after="0"/>
        <w:rPr>
          <w:rFonts w:ascii="Arial" w:hAnsi="Arial" w:cs="Arial"/>
          <w:i/>
        </w:rPr>
      </w:pPr>
      <w:r w:rsidRPr="002051ED">
        <w:rPr>
          <w:rFonts w:ascii="Times New Roman" w:eastAsia="Calibri" w:hAnsi="Times New Roman"/>
          <w:noProof/>
          <w:sz w:val="24"/>
          <w:szCs w:val="24"/>
        </w:rPr>
        <w:lastRenderedPageBreak/>
        <w:drawing>
          <wp:anchor distT="0" distB="0" distL="114300" distR="114300" simplePos="0" relativeHeight="251666432" behindDoc="0" locked="0" layoutInCell="1" allowOverlap="1" wp14:anchorId="3247CFA6" wp14:editId="07F5CFED">
            <wp:simplePos x="0" y="0"/>
            <wp:positionH relativeFrom="column">
              <wp:posOffset>977265</wp:posOffset>
            </wp:positionH>
            <wp:positionV relativeFrom="paragraph">
              <wp:posOffset>92075</wp:posOffset>
            </wp:positionV>
            <wp:extent cx="3600450" cy="4104640"/>
            <wp:effectExtent l="19050" t="19050" r="19050" b="1016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2738"/>
                    <a:stretch/>
                  </pic:blipFill>
                  <pic:spPr bwMode="auto">
                    <a:xfrm>
                      <a:off x="0" y="0"/>
                      <a:ext cx="3600450" cy="410464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01F36" w14:textId="77777777" w:rsidR="009F2D0C" w:rsidRDefault="009F2D0C" w:rsidP="00441B6F">
      <w:pPr>
        <w:pStyle w:val="Body"/>
        <w:spacing w:after="0"/>
        <w:rPr>
          <w:rFonts w:ascii="Arial" w:hAnsi="Arial" w:cs="Arial"/>
          <w:i/>
        </w:rPr>
      </w:pPr>
    </w:p>
    <w:p w14:paraId="2E9A28C5" w14:textId="77777777" w:rsidR="002051ED" w:rsidRDefault="002051ED" w:rsidP="00441B6F">
      <w:pPr>
        <w:pStyle w:val="Body"/>
        <w:spacing w:after="0"/>
        <w:rPr>
          <w:rFonts w:ascii="Arial" w:hAnsi="Arial" w:cs="Arial"/>
          <w:i/>
        </w:rPr>
      </w:pPr>
    </w:p>
    <w:p w14:paraId="6B1AD259" w14:textId="77777777" w:rsidR="002051ED" w:rsidRDefault="002051ED" w:rsidP="00441B6F">
      <w:pPr>
        <w:pStyle w:val="Body"/>
        <w:spacing w:after="0"/>
        <w:rPr>
          <w:rFonts w:ascii="Arial" w:hAnsi="Arial" w:cs="Arial"/>
          <w:i/>
        </w:rPr>
      </w:pPr>
    </w:p>
    <w:p w14:paraId="7F0496CA" w14:textId="77777777" w:rsidR="002051ED" w:rsidRDefault="002051ED" w:rsidP="00441B6F">
      <w:pPr>
        <w:pStyle w:val="Body"/>
        <w:spacing w:after="0"/>
        <w:rPr>
          <w:rFonts w:ascii="Arial" w:hAnsi="Arial" w:cs="Arial"/>
          <w:i/>
        </w:rPr>
      </w:pPr>
    </w:p>
    <w:p w14:paraId="6E19CA54" w14:textId="77777777" w:rsidR="002051ED" w:rsidRDefault="002051ED" w:rsidP="00441B6F">
      <w:pPr>
        <w:pStyle w:val="Body"/>
        <w:spacing w:after="0"/>
        <w:rPr>
          <w:rFonts w:ascii="Arial" w:hAnsi="Arial" w:cs="Arial"/>
          <w:i/>
        </w:rPr>
      </w:pPr>
    </w:p>
    <w:p w14:paraId="6E73D799" w14:textId="77777777" w:rsidR="002051ED" w:rsidRDefault="002051ED" w:rsidP="00441B6F">
      <w:pPr>
        <w:pStyle w:val="Body"/>
        <w:spacing w:after="0"/>
        <w:rPr>
          <w:rFonts w:ascii="Arial" w:hAnsi="Arial" w:cs="Arial"/>
          <w:i/>
        </w:rPr>
      </w:pPr>
    </w:p>
    <w:p w14:paraId="6D22F5C0" w14:textId="77777777" w:rsidR="002051ED" w:rsidRDefault="002051ED" w:rsidP="00441B6F">
      <w:pPr>
        <w:pStyle w:val="Body"/>
        <w:spacing w:after="0"/>
        <w:rPr>
          <w:rFonts w:ascii="Arial" w:hAnsi="Arial" w:cs="Arial"/>
          <w:i/>
        </w:rPr>
      </w:pPr>
    </w:p>
    <w:p w14:paraId="713AB99D" w14:textId="77777777" w:rsidR="002051ED" w:rsidRDefault="002051ED" w:rsidP="00441B6F">
      <w:pPr>
        <w:pStyle w:val="Body"/>
        <w:spacing w:after="0"/>
        <w:rPr>
          <w:rFonts w:ascii="Arial" w:hAnsi="Arial" w:cs="Arial"/>
          <w:i/>
        </w:rPr>
      </w:pPr>
    </w:p>
    <w:p w14:paraId="74EFA768" w14:textId="77777777" w:rsidR="002051ED" w:rsidRDefault="002051ED" w:rsidP="00441B6F">
      <w:pPr>
        <w:pStyle w:val="Body"/>
        <w:spacing w:after="0"/>
        <w:rPr>
          <w:rFonts w:ascii="Arial" w:hAnsi="Arial" w:cs="Arial"/>
          <w:i/>
        </w:rPr>
      </w:pPr>
    </w:p>
    <w:p w14:paraId="28F625DC" w14:textId="77777777" w:rsidR="002051ED" w:rsidRDefault="002051ED" w:rsidP="00441B6F">
      <w:pPr>
        <w:pStyle w:val="Body"/>
        <w:spacing w:after="0"/>
        <w:rPr>
          <w:rFonts w:ascii="Arial" w:hAnsi="Arial" w:cs="Arial"/>
          <w:i/>
        </w:rPr>
      </w:pPr>
    </w:p>
    <w:p w14:paraId="0617441D" w14:textId="77777777" w:rsidR="002051ED" w:rsidRDefault="002051ED" w:rsidP="00441B6F">
      <w:pPr>
        <w:pStyle w:val="Body"/>
        <w:spacing w:after="0"/>
        <w:rPr>
          <w:rFonts w:ascii="Arial" w:hAnsi="Arial" w:cs="Arial"/>
          <w:i/>
        </w:rPr>
      </w:pPr>
    </w:p>
    <w:p w14:paraId="459CC22F" w14:textId="77777777" w:rsidR="002051ED" w:rsidRDefault="002051ED" w:rsidP="00441B6F">
      <w:pPr>
        <w:pStyle w:val="Body"/>
        <w:spacing w:after="0"/>
        <w:rPr>
          <w:rFonts w:ascii="Arial" w:hAnsi="Arial" w:cs="Arial"/>
          <w:i/>
        </w:rPr>
      </w:pPr>
    </w:p>
    <w:p w14:paraId="29D26103" w14:textId="77777777" w:rsidR="002051ED" w:rsidRDefault="002051ED" w:rsidP="00441B6F">
      <w:pPr>
        <w:pStyle w:val="Body"/>
        <w:spacing w:after="0"/>
        <w:rPr>
          <w:rFonts w:ascii="Arial" w:hAnsi="Arial" w:cs="Arial"/>
          <w:i/>
        </w:rPr>
      </w:pPr>
    </w:p>
    <w:p w14:paraId="06E08510" w14:textId="77777777" w:rsidR="002051ED" w:rsidRDefault="002051ED" w:rsidP="00441B6F">
      <w:pPr>
        <w:pStyle w:val="Body"/>
        <w:spacing w:after="0"/>
        <w:rPr>
          <w:rFonts w:ascii="Arial" w:hAnsi="Arial" w:cs="Arial"/>
          <w:i/>
        </w:rPr>
      </w:pPr>
    </w:p>
    <w:p w14:paraId="6E5D6989" w14:textId="77777777" w:rsidR="002051ED" w:rsidRDefault="002051ED" w:rsidP="00441B6F">
      <w:pPr>
        <w:pStyle w:val="Body"/>
        <w:spacing w:after="0"/>
        <w:rPr>
          <w:rFonts w:ascii="Arial" w:hAnsi="Arial" w:cs="Arial"/>
          <w:i/>
        </w:rPr>
      </w:pPr>
    </w:p>
    <w:p w14:paraId="10A6ABDA" w14:textId="77777777" w:rsidR="002051ED" w:rsidRDefault="002051ED" w:rsidP="00441B6F">
      <w:pPr>
        <w:pStyle w:val="Body"/>
        <w:spacing w:after="0"/>
        <w:rPr>
          <w:rFonts w:ascii="Arial" w:hAnsi="Arial" w:cs="Arial"/>
          <w:i/>
        </w:rPr>
      </w:pPr>
    </w:p>
    <w:p w14:paraId="651B8011" w14:textId="77777777" w:rsidR="002051ED" w:rsidRDefault="002051ED" w:rsidP="00441B6F">
      <w:pPr>
        <w:pStyle w:val="Body"/>
        <w:spacing w:after="0"/>
        <w:rPr>
          <w:rFonts w:ascii="Arial" w:hAnsi="Arial" w:cs="Arial"/>
          <w:i/>
        </w:rPr>
      </w:pPr>
    </w:p>
    <w:p w14:paraId="6B0CFD04" w14:textId="77777777" w:rsidR="002051ED" w:rsidRDefault="002051ED" w:rsidP="00441B6F">
      <w:pPr>
        <w:pStyle w:val="Body"/>
        <w:spacing w:after="0"/>
        <w:rPr>
          <w:rFonts w:ascii="Arial" w:hAnsi="Arial" w:cs="Arial"/>
          <w:i/>
        </w:rPr>
      </w:pPr>
    </w:p>
    <w:p w14:paraId="6C53716B" w14:textId="77777777" w:rsidR="002051ED" w:rsidRDefault="002051ED" w:rsidP="00441B6F">
      <w:pPr>
        <w:pStyle w:val="Body"/>
        <w:spacing w:after="0"/>
        <w:rPr>
          <w:rFonts w:ascii="Arial" w:hAnsi="Arial" w:cs="Arial"/>
          <w:i/>
        </w:rPr>
      </w:pPr>
    </w:p>
    <w:p w14:paraId="58331686" w14:textId="77777777" w:rsidR="002051ED" w:rsidRDefault="002051ED" w:rsidP="00441B6F">
      <w:pPr>
        <w:pStyle w:val="Body"/>
        <w:spacing w:after="0"/>
        <w:rPr>
          <w:rFonts w:ascii="Arial" w:hAnsi="Arial" w:cs="Arial"/>
          <w:i/>
        </w:rPr>
      </w:pPr>
    </w:p>
    <w:p w14:paraId="3AF3E7E0" w14:textId="77777777" w:rsidR="002051ED" w:rsidRDefault="002051ED" w:rsidP="00441B6F">
      <w:pPr>
        <w:pStyle w:val="Body"/>
        <w:spacing w:after="0"/>
        <w:rPr>
          <w:rFonts w:ascii="Arial" w:hAnsi="Arial" w:cs="Arial"/>
          <w:i/>
        </w:rPr>
      </w:pPr>
    </w:p>
    <w:p w14:paraId="3A134402" w14:textId="77777777" w:rsidR="002051ED" w:rsidRDefault="002051ED" w:rsidP="00441B6F">
      <w:pPr>
        <w:pStyle w:val="Body"/>
        <w:spacing w:after="0"/>
        <w:rPr>
          <w:rFonts w:ascii="Arial" w:hAnsi="Arial" w:cs="Arial"/>
          <w:i/>
        </w:rPr>
      </w:pPr>
    </w:p>
    <w:p w14:paraId="1024CD15" w14:textId="77777777" w:rsidR="002051ED" w:rsidRDefault="002051ED" w:rsidP="00441B6F">
      <w:pPr>
        <w:pStyle w:val="Body"/>
        <w:spacing w:after="0"/>
        <w:rPr>
          <w:rFonts w:ascii="Arial" w:hAnsi="Arial" w:cs="Arial"/>
          <w:i/>
        </w:rPr>
      </w:pPr>
    </w:p>
    <w:p w14:paraId="6EDC55A0" w14:textId="77777777" w:rsidR="002051ED" w:rsidRDefault="002051ED" w:rsidP="00441B6F">
      <w:pPr>
        <w:pStyle w:val="Body"/>
        <w:spacing w:after="0"/>
        <w:rPr>
          <w:rFonts w:ascii="Arial" w:hAnsi="Arial" w:cs="Arial"/>
          <w:i/>
        </w:rPr>
      </w:pPr>
    </w:p>
    <w:p w14:paraId="15CDC168" w14:textId="77777777" w:rsidR="002051ED" w:rsidRDefault="002051ED" w:rsidP="00441B6F">
      <w:pPr>
        <w:pStyle w:val="Body"/>
        <w:spacing w:after="0"/>
        <w:rPr>
          <w:rFonts w:ascii="Arial" w:hAnsi="Arial" w:cs="Arial"/>
          <w:i/>
        </w:rPr>
      </w:pPr>
    </w:p>
    <w:p w14:paraId="11816403" w14:textId="77777777" w:rsidR="002051ED" w:rsidRDefault="002051ED" w:rsidP="00441B6F">
      <w:pPr>
        <w:pStyle w:val="Body"/>
        <w:spacing w:after="0"/>
        <w:rPr>
          <w:rFonts w:ascii="Arial" w:hAnsi="Arial" w:cs="Arial"/>
          <w:i/>
        </w:rPr>
      </w:pPr>
    </w:p>
    <w:p w14:paraId="2BE68788" w14:textId="77777777" w:rsidR="002051ED" w:rsidRDefault="002051ED" w:rsidP="00441B6F">
      <w:pPr>
        <w:pStyle w:val="Body"/>
        <w:spacing w:after="0"/>
        <w:rPr>
          <w:rFonts w:ascii="Arial" w:hAnsi="Arial" w:cs="Arial"/>
          <w:i/>
        </w:rPr>
      </w:pPr>
    </w:p>
    <w:p w14:paraId="45EA27F9" w14:textId="77777777" w:rsidR="002051ED" w:rsidRDefault="002051ED" w:rsidP="00441B6F">
      <w:pPr>
        <w:pStyle w:val="Body"/>
        <w:spacing w:after="0"/>
        <w:rPr>
          <w:rFonts w:ascii="Arial" w:hAnsi="Arial" w:cs="Arial"/>
          <w:i/>
        </w:rPr>
      </w:pPr>
    </w:p>
    <w:p w14:paraId="430C64CE" w14:textId="77777777" w:rsidR="002051ED" w:rsidRDefault="002051ED" w:rsidP="00441B6F">
      <w:pPr>
        <w:pStyle w:val="Body"/>
        <w:spacing w:after="0"/>
        <w:rPr>
          <w:rFonts w:ascii="Arial" w:hAnsi="Arial" w:cs="Arial"/>
          <w:i/>
        </w:rPr>
      </w:pPr>
    </w:p>
    <w:p w14:paraId="4D841B83" w14:textId="77777777" w:rsidR="002051ED" w:rsidRPr="002051ED" w:rsidRDefault="002051ED" w:rsidP="002051ED">
      <w:pPr>
        <w:pStyle w:val="Body"/>
        <w:spacing w:after="0"/>
        <w:rPr>
          <w:rFonts w:ascii="Arial" w:hAnsi="Arial" w:cs="Arial"/>
          <w:b/>
        </w:rPr>
      </w:pPr>
      <w:r w:rsidRPr="002051ED">
        <w:rPr>
          <w:rFonts w:ascii="Arial" w:hAnsi="Arial" w:cs="Arial"/>
          <w:b/>
          <w:bCs/>
        </w:rPr>
        <w:t>Fig 5.</w:t>
      </w:r>
      <w:r w:rsidRPr="002051ED">
        <w:rPr>
          <w:rFonts w:ascii="Arial" w:hAnsi="Arial" w:cs="Arial"/>
          <w:b/>
        </w:rPr>
        <w:t xml:space="preserve"> Effect of treatments on </w:t>
      </w:r>
      <w:r w:rsidRPr="002051ED">
        <w:rPr>
          <w:rFonts w:ascii="Arial" w:hAnsi="Arial" w:cs="Arial"/>
          <w:b/>
          <w:i/>
          <w:iCs/>
        </w:rPr>
        <w:t>Fusarium</w:t>
      </w:r>
      <w:r w:rsidRPr="002051ED">
        <w:rPr>
          <w:rFonts w:ascii="Arial" w:hAnsi="Arial" w:cs="Arial"/>
          <w:b/>
        </w:rPr>
        <w:t xml:space="preserve"> sp. contamination and seed germination: A. Mean contamination rate (%) of seeds according to the applied treatments; B. Mean germination rate (%) of seeds according to the applied treatments. Vertical bars represent standard error (±SE). Treatments sharing the same letter are not significantly different according to Duncan’s test (α = 0.05).</w:t>
      </w:r>
    </w:p>
    <w:p w14:paraId="602040E9" w14:textId="77777777" w:rsidR="002051ED" w:rsidRPr="002051ED" w:rsidRDefault="002051ED" w:rsidP="00441B6F">
      <w:pPr>
        <w:pStyle w:val="Body"/>
        <w:spacing w:after="0"/>
        <w:rPr>
          <w:rFonts w:ascii="Arial" w:hAnsi="Arial" w:cs="Arial"/>
        </w:rPr>
      </w:pPr>
    </w:p>
    <w:p w14:paraId="5067200E" w14:textId="77777777" w:rsidR="001846DD" w:rsidRPr="001846DD" w:rsidRDefault="001846DD" w:rsidP="001846DD">
      <w:pPr>
        <w:suppressAutoHyphens/>
        <w:spacing w:after="240"/>
        <w:jc w:val="both"/>
      </w:pPr>
      <w:r w:rsidRPr="001846DD">
        <w:rPr>
          <w:rFonts w:ascii="Arial" w:hAnsi="Arial" w:cs="Arial"/>
          <w:b/>
          <w:bCs/>
          <w:sz w:val="22"/>
        </w:rPr>
        <w:t>3.2 Discussion</w:t>
      </w:r>
    </w:p>
    <w:p w14:paraId="1F45AB21" w14:textId="77777777" w:rsidR="00E053D0" w:rsidRDefault="001846DD" w:rsidP="00441B6F">
      <w:pPr>
        <w:pStyle w:val="Body"/>
        <w:spacing w:after="0"/>
        <w:rPr>
          <w:rFonts w:ascii="Arial" w:hAnsi="Arial" w:cs="Arial"/>
        </w:rPr>
      </w:pPr>
      <w:r w:rsidRPr="001846DD">
        <w:rPr>
          <w:rFonts w:ascii="Arial" w:hAnsi="Arial" w:cs="Arial"/>
        </w:rPr>
        <w:t xml:space="preserve">The pathogenicity assessment revealed marked variability among </w:t>
      </w:r>
      <w:r w:rsidRPr="001846DD">
        <w:rPr>
          <w:rFonts w:ascii="Arial" w:hAnsi="Arial" w:cs="Arial"/>
          <w:i/>
          <w:iCs/>
        </w:rPr>
        <w:t>Fusarium</w:t>
      </w:r>
      <w:r w:rsidRPr="001846DD">
        <w:rPr>
          <w:rFonts w:ascii="Arial" w:hAnsi="Arial" w:cs="Arial"/>
        </w:rPr>
        <w:t xml:space="preserve"> sp. isolates on the tomato variety Cobra F1. Isolate T2F stood out for its high virulence, causing early wilting (from T5) and reaching a maximum incidence of 36.75% at T40. These observations support the existence of differences in pathogenic potential among strains, often linked to their belonging to different physiological races or their adaptation to a specific host </w:t>
      </w:r>
      <w:r w:rsidRPr="001846DD">
        <w:rPr>
          <w:rFonts w:ascii="Arial" w:hAnsi="Arial" w:cs="Arial"/>
          <w:lang w:val="fr-FR"/>
        </w:rPr>
        <w:fldChar w:fldCharType="begin"/>
      </w:r>
      <w:r w:rsidR="000E4652">
        <w:rPr>
          <w:rFonts w:ascii="Arial" w:hAnsi="Arial" w:cs="Arial"/>
        </w:rPr>
        <w:instrText xml:space="preserve"> ADDIN ZOTERO_ITEM CSL_CITATION {"citationID":"RU6fHa6e","properties":{"formattedCitation":"(Edel-Hermann and Lecomte, 2019)","plainCitation":"(Edel-Hermann and Lecomte, 2019)","noteIndex":0},"citationItems":[{"id":4154,"uris":["http://zotero.org/users/8710791/items/KHYZHAMX"],"itemData":{"id":4154,"type":"article-journal","abstract":"The Fusarium oxysporum species complex includes both plant pathogenic and nonpathogenic strains, which are commonly found in soils. F. oxysporum has received considerable attention from plant pathologists for more than a century owing to its broad host range and the economic losses it causes. The narrow host specificity of pathogenic strains has led to the concept of formae speciales, each forma specialis grouping strains with the same host range. Initially restricted to one plant species, this host range was later found to be broader for many formae speciales. In addition, races were identified in some formae speciales, generally with cultivar-level specialization. In 1981, Armstrong and Armstrong listed 79 F. oxysporum formae speciales and mentioned races in 16 of them. Since then, the known host range of F. oxysporum has considerably increased, and many new formae speciales and races have been identified. We carried out a comprehensive search of the literature to propose this review of F. oxysporum formae speciales and races. We recorded 106 well-characterized formae speciales, together with 37 insufficiently documented ones, and updated knowledge on races and host ranges. We also recorded 58 plant species/genera susceptible to F. oxysporum but for which a forma specialis has not been characterized yet. This review raises issues regarding the nomenclature and the description of F. oxysporum formae speciales and races.","container-title":"Phytopathology®","DOI":"10.1094/PHYTO-08-18-0320-RVW","ISSN":"0031-949X, 1943-7684","issue":"4","journalAbbreviation":"Phytopathology®","language":"en","page":"512-530","source":"DOI.org (Crossref)","title":"Current Status of &lt;i&gt;Fusarium oxysporum Formae&lt;/i&gt; &lt;i&gt;Speciales&lt;/i&gt; and Races","volume":"109","author":[{"family":"Edel-Hermann","given":"V."},{"family":"Lecomte","given":"C."}],"issued":{"date-parts":[["2019",4]]}}}],"schema":"https://github.com/citation-style-language/schema/raw/master/csl-citation.json"}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(Edel-Hermann and Lecomte, 2019)</w:t>
      </w:r>
      <w:r w:rsidRPr="001846DD">
        <w:rPr>
          <w:rFonts w:ascii="Arial" w:hAnsi="Arial" w:cs="Arial"/>
        </w:rPr>
        <w:fldChar w:fldCharType="end"/>
      </w:r>
      <w:r w:rsidRPr="001846DD">
        <w:rPr>
          <w:rFonts w:ascii="Arial" w:hAnsi="Arial" w:cs="Arial"/>
        </w:rPr>
        <w:t xml:space="preserve">. In contrast, isolates T10F and T8F, which were weakly or non-pathogenic, may correspond to opportunistic or avirulent strains, a phenomenon previously reported by </w:t>
      </w:r>
      <w:r w:rsidRPr="001846DD">
        <w:rPr>
          <w:rFonts w:ascii="Arial" w:hAnsi="Arial" w:cs="Arial"/>
          <w:lang w:val="fr-FR"/>
        </w:rPr>
        <w:fldChar w:fldCharType="begin"/>
      </w:r>
      <w:r w:rsidR="000E4652">
        <w:rPr>
          <w:rFonts w:ascii="Arial" w:hAnsi="Arial" w:cs="Arial"/>
        </w:rPr>
        <w:instrText xml:space="preserve"> ADDIN ZOTERO_ITEM CSL_CITATION {"citationID":"sH24c4hv","properties":{"formattedCitation":"(Leslie and Summerell, 2006)","plainCitation":"(Leslie and Summerell, 2006)","noteIndex":0},"citationItems":[{"id":4198,"uris":["http://zotero.org/users/8710791/items/ZFVCFKBY"],"itemData":{"id":4198,"type":"book","edition":"1","ISBN":"978-0-8138-1919-8","language":"en","license":"http://doi.wiley.com/10.1002/tdm_license_1.1","note":"DOI: 10.1002/9780470278376","publisher":"Wiley","source":"DOI.org (Crossref)","title":"The Fusarium Laboratory Manual","URL":"https://onlinelibrary.wiley.com/doi/book/10.1002/9780470278376","editor":[{"family":"Leslie","given":"John F."},{"family":"Summerell","given":"Brett A."}],"accessed":{"date-parts":[["2025",8,8]]},"issued":{"date-parts":[["2006",5,17]]}}}],"schema":"https://github.com/citation-style-language/schema/raw/master/csl-citation.json"}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(Leslie and Summerell, 2006)</w:t>
      </w:r>
      <w:r w:rsidRPr="001846DD">
        <w:rPr>
          <w:rFonts w:ascii="Arial" w:hAnsi="Arial" w:cs="Arial"/>
        </w:rPr>
        <w:fldChar w:fldCharType="end"/>
      </w:r>
      <w:r w:rsidRPr="001846DD">
        <w:rPr>
          <w:rFonts w:ascii="Arial" w:hAnsi="Arial" w:cs="Arial"/>
        </w:rPr>
        <w:t xml:space="preserve">. From T20 onwards, a progressive increase in disease severity was observed for certain strains, peaking between T30 and T40, reflecting the typical infection dynamics of </w:t>
      </w:r>
      <w:r w:rsidRPr="001846DD">
        <w:rPr>
          <w:rFonts w:ascii="Arial" w:hAnsi="Arial" w:cs="Arial"/>
          <w:i/>
          <w:iCs/>
        </w:rPr>
        <w:t xml:space="preserve">F. </w:t>
      </w:r>
      <w:proofErr w:type="spellStart"/>
      <w:r w:rsidRPr="001846DD">
        <w:rPr>
          <w:rFonts w:ascii="Arial" w:hAnsi="Arial" w:cs="Arial"/>
          <w:i/>
          <w:iCs/>
        </w:rPr>
        <w:t>solani</w:t>
      </w:r>
      <w:proofErr w:type="spellEnd"/>
      <w:r w:rsidRPr="001846DD">
        <w:rPr>
          <w:rFonts w:ascii="Arial" w:hAnsi="Arial" w:cs="Arial"/>
        </w:rPr>
        <w:t xml:space="preserve">, where fungal multiplication and toxin production lead to rapid tissue deterioration </w:t>
      </w:r>
      <w:r w:rsidRPr="001846DD">
        <w:rPr>
          <w:rFonts w:ascii="Arial" w:hAnsi="Arial" w:cs="Arial"/>
          <w:lang w:val="fr-FR"/>
        </w:rPr>
        <w:fldChar w:fldCharType="begin"/>
      </w:r>
      <w:r w:rsidRPr="001846DD">
        <w:rPr>
          <w:rFonts w:ascii="Arial" w:hAnsi="Arial" w:cs="Arial"/>
        </w:rPr>
        <w:instrText xml:space="preserve"> ADDIN ZOTERO_ITEM CSL_CITATION {"citationID":"mEPLQj6J","properties":{"formattedCitation":"(Mishra et al., 2021)","plainCitation":"(Mishra et al., 2021)","noteIndex":0},"citationItems":[{"id":4246,"uris":["http://zotero.org/users/8710791/items/PYJ7K8IG"],"itemData":{"id":4246,"type":"article-journal","abstract":"Plant secondary metabolites have significant potential applications in a wide range of pharmaceutical, food, and cosmetic industries by providing new chemistries and compounds. However, direct isolation of such compounds from plants has resulted in over-harvesting and loss of biodiversity, currently threatening several medicinal plant species to extinction. With the breakthrough report of taxol production by an endophytic fungus of Taxus brevifolia, a new era in natural product research was established. Since then, the ability of endophytic microbes to produce metabolites similar to those produced by their host plants has been discovered. The plant “endosphere” represents a rich and unique biological niche inhabited by organisms capable of producing a range of desired compounds. In addition, plants growing in diverse habitats and adverse environmental conditions represent a valuable reservoir for obtaining rare microbes with potential applications. Despite being an attractive and sustainable approach for obtaining economically important metabolites, the industrial exploitation of microbial endophytes for the production and isolation of plant secondary metabolites remains in its infancy. The present review provides an updated overview of the prospects, challenges, and possible solutions for using microbial endophytes as micro-factories for obtaining commercially important plant metabolites.","container-title":"Applied Microbiology and Biotechnology","DOI":"10.1007/s00253-021-11527-0","ISSN":"1432-0614","issue":"18","journalAbbreviation":"Appl Microbiol Biotechnol","language":"en","page":"6579-6596","source":"Springer Link","title":"Exploiting endophytic microbes as micro-factories for plant secondary metabolite production","volume":"105","author":[{"family":"Mishra","given":"Sushma"},{"family":"Sahu","given":"Pramod Kumar"},{"family":"Agarwal","given":"Vishad"},{"family":"Singh","given":"Namrata"}],"issued":{"date-parts":[["2021",9,1]]}}}],"schema":"https://github.com/citation-style-language/schema/raw/master/csl-citation.json"}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(Mishra et al., 2021)</w:t>
      </w:r>
      <w:r w:rsidRPr="001846DD">
        <w:rPr>
          <w:rFonts w:ascii="Arial" w:hAnsi="Arial" w:cs="Arial"/>
        </w:rPr>
        <w:fldChar w:fldCharType="end"/>
      </w:r>
      <w:r w:rsidRPr="001846DD">
        <w:rPr>
          <w:rFonts w:ascii="Arial" w:hAnsi="Arial" w:cs="Arial"/>
        </w:rPr>
        <w:t xml:space="preserve">. Aqueous extracts of </w:t>
      </w:r>
      <w:proofErr w:type="spellStart"/>
      <w:r w:rsidRPr="001846DD">
        <w:rPr>
          <w:rFonts w:ascii="Arial" w:hAnsi="Arial" w:cs="Arial"/>
          <w:i/>
          <w:iCs/>
        </w:rPr>
        <w:t>Ocimum</w:t>
      </w:r>
      <w:proofErr w:type="spellEnd"/>
      <w:r w:rsidRPr="001846DD">
        <w:rPr>
          <w:rFonts w:ascii="Arial" w:hAnsi="Arial" w:cs="Arial"/>
          <w:i/>
          <w:iCs/>
        </w:rPr>
        <w:t xml:space="preserve"> </w:t>
      </w:r>
      <w:proofErr w:type="spellStart"/>
      <w:r w:rsidRPr="001846DD">
        <w:rPr>
          <w:rFonts w:ascii="Arial" w:hAnsi="Arial" w:cs="Arial"/>
          <w:i/>
          <w:iCs/>
        </w:rPr>
        <w:t>gratissimum</w:t>
      </w:r>
      <w:proofErr w:type="spellEnd"/>
      <w:r w:rsidRPr="001846DD">
        <w:rPr>
          <w:rFonts w:ascii="Arial" w:hAnsi="Arial" w:cs="Arial"/>
        </w:rPr>
        <w:t xml:space="preserve">, particularly at 50% (T2B) and 75% (T2C), exhibited mycelial growth inhibition comparable to Mancozeb (&gt;88%). This efficacy could be attributed to their high content of eugenol and thymol, known to disrupt fungal hyphal membrane integrity </w:t>
      </w:r>
      <w:r w:rsidRPr="001846DD">
        <w:rPr>
          <w:rFonts w:ascii="Arial" w:hAnsi="Arial" w:cs="Arial"/>
          <w:lang w:val="fr-FR"/>
        </w:rPr>
        <w:fldChar w:fldCharType="begin"/>
      </w:r>
      <w:r w:rsidRPr="001846DD">
        <w:rPr>
          <w:rFonts w:ascii="Arial" w:hAnsi="Arial" w:cs="Arial"/>
        </w:rPr>
        <w:instrText xml:space="preserve"> ADDIN ZOTERO_ITEM CSL_CITATION {"citationID":"TYBRvguf","properties":{"formattedCitation":"(Burt, 2004; Prakash et al., 2015)","plainCitation":"(Burt, 2004; Prakash et al., 2015)","noteIndex":0},"citationItems":[{"id":4200,"uris":["http://zotero.org/users/8710791/items/T2GQM9VP"],"itemData":{"id":4200,"type":"article-journal","container-title":"International journal of food microbiology","issue":"3","note":"publisher: Elsevier","page":"223–253","source":"Google Scholar","title":"Essential oils: their antibacterial properties and potential applications in foods—a review","title-short":"Essential oils","volume":"94","author":[{"family":"Burt","given":"Sara"}],"issued":{"date-parts":[["2004"]]}},"label":"page"},{"id":4202,"uris":["http://zotero.org/users/8710791/items/IN4BYMCF"],"itemData":{"id":4202,"type":"article-journal","container-title":"Food control","note":"publisher: Elsevier","page":"381–391","source":"Google Scholar","title":"Plant essential oils as food preservatives to control moulds, mycotoxin contamination and oxidative deterioration of agri-food commodities–Potentials and challenges","volume":"47","author":[{"family":"Prakash","given":"Bhanu"},{"family":"Kedia","given":"Akash"},{"family":"Mishra","given":"Prashant Kumar"},{"family":"Dubey","given":"N. K."}],"issued":{"date-parts":[["2015"]]}},"label":"page"}],"schema":"https://github.com/citation-style-language/schema/raw/master/csl-citation.json"}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(Burt, 2004; Prakash et al., 2015)</w:t>
      </w:r>
      <w:r w:rsidRPr="001846DD">
        <w:rPr>
          <w:rFonts w:ascii="Arial" w:hAnsi="Arial" w:cs="Arial"/>
        </w:rPr>
        <w:fldChar w:fldCharType="end"/>
      </w:r>
      <w:r w:rsidRPr="001846DD">
        <w:rPr>
          <w:rFonts w:ascii="Arial" w:hAnsi="Arial" w:cs="Arial"/>
        </w:rPr>
        <w:t xml:space="preserve">. </w:t>
      </w:r>
      <w:proofErr w:type="spellStart"/>
      <w:r w:rsidRPr="001846DD">
        <w:rPr>
          <w:rFonts w:ascii="Arial" w:hAnsi="Arial" w:cs="Arial"/>
          <w:i/>
          <w:iCs/>
        </w:rPr>
        <w:t>Azadirachta</w:t>
      </w:r>
      <w:proofErr w:type="spellEnd"/>
      <w:r w:rsidRPr="001846DD">
        <w:rPr>
          <w:rFonts w:ascii="Arial" w:hAnsi="Arial" w:cs="Arial"/>
          <w:i/>
          <w:iCs/>
        </w:rPr>
        <w:t xml:space="preserve"> </w:t>
      </w:r>
      <w:proofErr w:type="spellStart"/>
      <w:r w:rsidRPr="001846DD">
        <w:rPr>
          <w:rFonts w:ascii="Arial" w:hAnsi="Arial" w:cs="Arial"/>
          <w:i/>
          <w:iCs/>
        </w:rPr>
        <w:t>indica</w:t>
      </w:r>
      <w:proofErr w:type="spellEnd"/>
      <w:r w:rsidRPr="001846DD">
        <w:rPr>
          <w:rFonts w:ascii="Arial" w:hAnsi="Arial" w:cs="Arial"/>
        </w:rPr>
        <w:t xml:space="preserve"> extracts showed moderate efficacy, consistent with the fact </w:t>
      </w:r>
      <w:r w:rsidRPr="001846DD">
        <w:rPr>
          <w:rFonts w:ascii="Arial" w:hAnsi="Arial" w:cs="Arial"/>
        </w:rPr>
        <w:lastRenderedPageBreak/>
        <w:t xml:space="preserve">that limonoids, although bioactive, generally act more slowly than the phenolic compounds of </w:t>
      </w:r>
      <w:r w:rsidRPr="001846DD">
        <w:rPr>
          <w:rFonts w:ascii="Arial" w:hAnsi="Arial" w:cs="Arial"/>
          <w:i/>
          <w:iCs/>
        </w:rPr>
        <w:t xml:space="preserve">O. </w:t>
      </w:r>
      <w:proofErr w:type="spellStart"/>
      <w:r w:rsidRPr="001846DD">
        <w:rPr>
          <w:rFonts w:ascii="Arial" w:hAnsi="Arial" w:cs="Arial"/>
          <w:i/>
          <w:iCs/>
        </w:rPr>
        <w:t>gratissimum</w:t>
      </w:r>
      <w:proofErr w:type="spellEnd"/>
      <w:r w:rsidRPr="001846DD">
        <w:rPr>
          <w:rFonts w:ascii="Arial" w:hAnsi="Arial" w:cs="Arial"/>
        </w:rPr>
        <w:t xml:space="preserve"> </w:t>
      </w:r>
      <w:r w:rsidRPr="001846DD">
        <w:rPr>
          <w:rFonts w:ascii="Arial" w:hAnsi="Arial" w:cs="Arial"/>
          <w:iCs/>
          <w:lang w:val="fr-FR"/>
        </w:rPr>
        <w:fldChar w:fldCharType="begin"/>
      </w:r>
      <w:r w:rsidRPr="001846DD">
        <w:rPr>
          <w:rFonts w:ascii="Arial" w:hAnsi="Arial" w:cs="Arial"/>
          <w:iCs/>
        </w:rPr>
        <w:instrText xml:space="preserve"> ADDIN ZOTERO_ITEM CSL_CITATION {"citationID":"Lqo0NwOu","properties":{"formattedCitation":"(Govindachari et al., 1998)","plainCitation":"(Govindachari et al., 1998)","noteIndex":0},"citationItems":[{"id":4203,"uris":["http://zotero.org/users/8710791/items/FV6T3R9P"],"itemData":{"id":4203,"type":"article-journal","container-title":"Phytoparasitica","DOI":"10.1007/BF02980677","ISSN":"0334-2123, 1876-7184","issue":"2","journalAbbreviation":"Phytoparasitica","language":"en","license":"http://www.springer.com/tdm","page":"109-116","source":"DOI.org (Crossref)","title":"Identification of antifungal compounds from the seed oil ofAzadirachta Indica","volume":"26","author":[{"family":"Govindachari","given":"T. R."},{"family":"Suresh","given":"G."},{"family":"Gopalakrishnan","given":"Geetha"},{"family":"Banumathy","given":"Balaganesan"},{"family":"Masilamani","given":"S."}],"issued":{"date-parts":[["1998",6]]}}}],"schema":"https://github.com/citation-style-language/schema/raw/master/csl-citation.json"} </w:instrText>
      </w:r>
      <w:r w:rsidRPr="001846DD">
        <w:rPr>
          <w:rFonts w:ascii="Arial" w:hAnsi="Arial" w:cs="Arial"/>
          <w:iCs/>
          <w:lang w:val="fr-FR"/>
        </w:rPr>
        <w:fldChar w:fldCharType="separate"/>
      </w:r>
      <w:r w:rsidR="000E4652" w:rsidRPr="000E4652">
        <w:rPr>
          <w:rFonts w:ascii="Arial" w:hAnsi="Arial" w:cs="Arial"/>
        </w:rPr>
        <w:t>(</w:t>
      </w:r>
      <w:proofErr w:type="spellStart"/>
      <w:r w:rsidR="000E4652" w:rsidRPr="000E4652">
        <w:rPr>
          <w:rFonts w:ascii="Arial" w:hAnsi="Arial" w:cs="Arial"/>
        </w:rPr>
        <w:t>Govindachari</w:t>
      </w:r>
      <w:proofErr w:type="spellEnd"/>
      <w:r w:rsidR="000E4652" w:rsidRPr="000E4652">
        <w:rPr>
          <w:rFonts w:ascii="Arial" w:hAnsi="Arial" w:cs="Arial"/>
        </w:rPr>
        <w:t xml:space="preserve"> et al., 1998)</w:t>
      </w:r>
      <w:r w:rsidRPr="001846DD">
        <w:rPr>
          <w:rFonts w:ascii="Arial" w:hAnsi="Arial" w:cs="Arial"/>
        </w:rPr>
        <w:fldChar w:fldCharType="end"/>
      </w:r>
      <w:r w:rsidRPr="001846DD">
        <w:rPr>
          <w:rFonts w:ascii="Arial" w:hAnsi="Arial" w:cs="Arial"/>
          <w:iCs/>
        </w:rPr>
        <w:t xml:space="preserve">. </w:t>
      </w:r>
      <w:r w:rsidRPr="001846DD">
        <w:rPr>
          <w:rFonts w:ascii="Arial" w:hAnsi="Arial" w:cs="Arial"/>
        </w:rPr>
        <w:t xml:space="preserve">The less effective </w:t>
      </w:r>
      <w:r w:rsidRPr="001846DD">
        <w:rPr>
          <w:rFonts w:ascii="Arial" w:hAnsi="Arial" w:cs="Arial"/>
          <w:i/>
          <w:iCs/>
        </w:rPr>
        <w:t xml:space="preserve">Jatropha </w:t>
      </w:r>
      <w:proofErr w:type="spellStart"/>
      <w:r w:rsidRPr="001846DD">
        <w:rPr>
          <w:rFonts w:ascii="Arial" w:hAnsi="Arial" w:cs="Arial"/>
          <w:i/>
          <w:iCs/>
        </w:rPr>
        <w:t>curcas</w:t>
      </w:r>
      <w:proofErr w:type="spellEnd"/>
      <w:r w:rsidRPr="001846DD">
        <w:rPr>
          <w:rFonts w:ascii="Arial" w:hAnsi="Arial" w:cs="Arial"/>
        </w:rPr>
        <w:t xml:space="preserve"> extracts may suffer from limited solubility or restricted diffusion of active compounds in the PDA medium </w:t>
      </w:r>
      <w:r w:rsidRPr="001846DD">
        <w:rPr>
          <w:rFonts w:ascii="Arial" w:hAnsi="Arial" w:cs="Arial"/>
          <w:lang w:val="fr-FR"/>
        </w:rPr>
        <w:fldChar w:fldCharType="begin"/>
      </w:r>
      <w:r w:rsidR="000E4652">
        <w:rPr>
          <w:rFonts w:ascii="Arial" w:hAnsi="Arial" w:cs="Arial"/>
        </w:rPr>
        <w:instrText xml:space="preserve"> ADDIN ZOTERO_ITEM CSL_CITATION {"citationID":"azrxPpxL","properties":{"formattedCitation":"(Donlaporn Saetae and Suntornsuk, 2010)","plainCitation":"(Donlaporn Saetae and Suntornsuk, 2010)","noteIndex":0},"citationItems":[{"id":4205,"uris":["http://zotero.org/users/8710791/items/4NR6NB53"],"itemData":{"id":4205,"type":"article-journal","container-title":"Journal of microbiology and biotechnology","issue":"2","note":"publisher: The Korean Society for Microbiology and Biotechnology","page":"319–324","source":"Google Scholar","title":"Antifungal activities of ethanolic extract from Jatropha curcas seed cake","volume":"20","author":[{"family":"Saetae","given":"Donlaporn"},{"family":"Suntornsuk","given":"Worapot"}],"issued":{"date-parts":[["2010"]]}}}],"schema":"https://github.com/citation-style-language/schema/raw/master/csl-citation.json"}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(Donlaporn Saetae and Suntornsuk, 2010)</w:t>
      </w:r>
      <w:r w:rsidRPr="001846DD">
        <w:rPr>
          <w:rFonts w:ascii="Arial" w:hAnsi="Arial" w:cs="Arial"/>
        </w:rPr>
        <w:fldChar w:fldCharType="end"/>
      </w:r>
      <w:r w:rsidRPr="001846DD">
        <w:rPr>
          <w:rFonts w:ascii="Arial" w:hAnsi="Arial" w:cs="Arial"/>
        </w:rPr>
        <w:t>. Essential oils confirmed a dose-dependent trend, with HN3 (</w:t>
      </w:r>
      <w:r w:rsidRPr="001846DD">
        <w:rPr>
          <w:rFonts w:ascii="Arial" w:hAnsi="Arial" w:cs="Arial"/>
          <w:i/>
          <w:iCs/>
        </w:rPr>
        <w:t>A. indica</w:t>
      </w:r>
      <w:r w:rsidRPr="001846DD">
        <w:rPr>
          <w:rFonts w:ascii="Arial" w:hAnsi="Arial" w:cs="Arial"/>
        </w:rPr>
        <w:t>, 200 ppm) and HJ3 (</w:t>
      </w:r>
      <w:r w:rsidRPr="001846DD">
        <w:rPr>
          <w:rFonts w:ascii="Arial" w:hAnsi="Arial" w:cs="Arial"/>
          <w:i/>
          <w:iCs/>
        </w:rPr>
        <w:t xml:space="preserve">J. </w:t>
      </w:r>
      <w:proofErr w:type="spellStart"/>
      <w:r w:rsidRPr="001846DD">
        <w:rPr>
          <w:rFonts w:ascii="Arial" w:hAnsi="Arial" w:cs="Arial"/>
          <w:i/>
          <w:iCs/>
        </w:rPr>
        <w:t>curcas</w:t>
      </w:r>
      <w:proofErr w:type="spellEnd"/>
      <w:r w:rsidRPr="001846DD">
        <w:rPr>
          <w:rFonts w:ascii="Arial" w:hAnsi="Arial" w:cs="Arial"/>
        </w:rPr>
        <w:t xml:space="preserve">, 200 ppm) exhibiting the highest inhibition (&gt;74%). This aligns with the understanding that the volatility and lipophilicity of essential oils enhance their interaction with fungal membranes, causing leakage of cellular contents </w:t>
      </w:r>
      <w:r w:rsidRPr="001846DD">
        <w:rPr>
          <w:rFonts w:ascii="Arial" w:hAnsi="Arial" w:cs="Arial"/>
          <w:lang w:val="fr-FR"/>
        </w:rPr>
        <w:fldChar w:fldCharType="begin"/>
      </w:r>
      <w:r w:rsidR="000E4652">
        <w:rPr>
          <w:rFonts w:ascii="Arial" w:hAnsi="Arial" w:cs="Arial"/>
        </w:rPr>
        <w:instrText xml:space="preserve"> ADDIN ZOTERO_ITEM CSL_CITATION {"citationID":"5d8fryMl","properties":{"formattedCitation":"(Bansod and Rai, 2008)","plainCitation":"(Bansod and Rai, 2008)","noteIndex":0},"citationItems":[{"id":4207,"uris":["http://zotero.org/users/8710791/items/BF7WXRPZ"],"itemData":{"id":4207,"type":"article-journal","container-title":"World Journal of Medical Sciences","issue":"2","page":"81–88","source":"Google Scholar","title":"Antifungal activity of essential oils from Indian medicinal plants against human pathogenic Aspergillus fumigatus and A. niger","volume":"3","author":[{"family":"Bansod","given":"Sunita"},{"family":"Rai","given":"Mahendra"}],"issued":{"date-parts":[["2008"]]}}}],"schema":"https://github.com/citation-style-language/schema/raw/master/csl-citation.json"}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(Bansod and Rai, 2008)</w:t>
      </w:r>
      <w:r w:rsidRPr="001846DD">
        <w:rPr>
          <w:rFonts w:ascii="Arial" w:hAnsi="Arial" w:cs="Arial"/>
        </w:rPr>
        <w:fldChar w:fldCharType="end"/>
      </w:r>
      <w:r w:rsidRPr="001846DD">
        <w:rPr>
          <w:rFonts w:ascii="Arial" w:hAnsi="Arial" w:cs="Arial"/>
        </w:rPr>
        <w:t xml:space="preserve">. Mancozeb and </w:t>
      </w:r>
      <w:r w:rsidRPr="001846DD">
        <w:rPr>
          <w:rFonts w:ascii="Arial" w:hAnsi="Arial" w:cs="Arial"/>
          <w:i/>
          <w:iCs/>
        </w:rPr>
        <w:t>Trichoderma</w:t>
      </w:r>
      <w:r w:rsidRPr="001846DD">
        <w:rPr>
          <w:rFonts w:ascii="Arial" w:hAnsi="Arial" w:cs="Arial"/>
        </w:rPr>
        <w:t xml:space="preserve"> sp. treatments provided the best protection against </w:t>
      </w:r>
      <w:r w:rsidRPr="001846DD">
        <w:rPr>
          <w:rFonts w:ascii="Arial" w:hAnsi="Arial" w:cs="Arial"/>
          <w:i/>
          <w:iCs/>
        </w:rPr>
        <w:t>Fusarium</w:t>
      </w:r>
      <w:r w:rsidRPr="001846DD">
        <w:rPr>
          <w:rFonts w:ascii="Arial" w:hAnsi="Arial" w:cs="Arial"/>
        </w:rPr>
        <w:t xml:space="preserve"> sp. seed contamination (3.55% and 4%, respectively), confirming the effectiveness of both chemical and biological seed disinfection methods </w:t>
      </w:r>
      <w:r w:rsidRPr="001846DD">
        <w:rPr>
          <w:rFonts w:ascii="Arial" w:hAnsi="Arial" w:cs="Arial"/>
          <w:lang w:val="fr-FR"/>
        </w:rPr>
        <w:fldChar w:fldCharType="begin"/>
      </w:r>
      <w:r w:rsidR="000E4652">
        <w:rPr>
          <w:rFonts w:ascii="Arial" w:hAnsi="Arial" w:cs="Arial"/>
        </w:rPr>
        <w:instrText xml:space="preserve"> ADDIN ZOTERO_ITEM CSL_CITATION {"citationID":"4YItW0Mp","properties":{"formattedCitation":"(Mathur and Kongsdal, 2003b; Woo et al., 2014)","plainCitation":"(Mathur and Kongsdal, 2003b; Woo et al., 2014)","noteIndex":0},"citationItems":[{"id":4209,"uris":["http://zotero.org/users/8710791/items/74W6GYMD"],"itemData":{"id":4209,"type":"article-journal","note":"publisher: Bassersdorf: ISTA,","source":"Google Scholar","title":"Common laboratory seed health testing methods for detecting fungi","URL":"https://www.sidalc.net/search/Record/KOHA-OAI-AGRO:8405/Description","author":[{"family":"Mathur","given":"Suresh B."},{"family":"Kongsdal","given":"Olga"}],"accessed":{"date-parts":[["2025",8,8]]},"issued":{"date-parts":[["2003"]]}},"label":"page"},{"id":4210,"uris":["http://zotero.org/users/8710791/items/LG3ESFR9"],"itemData":{"id":4210,"type":"article-journal","container-title":"Open Mycol. J","issue":"1","page":"71–126","source":"Google Scholar","title":"Trichoderma-based products and their widespread use in agriculture","volume":"8","author":[{"family":"Woo","given":"Sheridan L."},{"family":"Ruocco","given":"Michelina"},{"family":"Vinale","given":"Francesco"},{"family":"Nigro","given":"Marco"},{"family":"Marra","given":"Roberta"},{"family":"Lombardi","given":"Nadia"},{"family":"Pascale","given":"Alberto"},{"family":"Lanzuise","given":"Stefania"},{"family":"Manganiello","given":"Gelsomina"},{"family":"Lorito","given":"Matteo"}],"issued":{"date-parts":[["2014"]]}},"label":"page"}],"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(Mathur and Kongsdal, 2003b; Woo et al., 2014)</w:t>
      </w:r>
      <w:r w:rsidRPr="001846DD">
        <w:rPr>
          <w:rFonts w:ascii="Arial" w:hAnsi="Arial" w:cs="Arial"/>
        </w:rPr>
        <w:fldChar w:fldCharType="end"/>
      </w:r>
      <w:r w:rsidRPr="001846DD">
        <w:rPr>
          <w:rFonts w:ascii="Arial" w:hAnsi="Arial" w:cs="Arial"/>
        </w:rPr>
        <w:t xml:space="preserve">. </w:t>
      </w:r>
      <w:r w:rsidRPr="001846DD">
        <w:rPr>
          <w:rFonts w:ascii="Arial" w:hAnsi="Arial" w:cs="Arial"/>
          <w:i/>
          <w:iCs/>
        </w:rPr>
        <w:t>A. indica</w:t>
      </w:r>
      <w:r w:rsidRPr="001846DD">
        <w:rPr>
          <w:rFonts w:ascii="Arial" w:hAnsi="Arial" w:cs="Arial"/>
        </w:rPr>
        <w:t xml:space="preserve"> extracts and oils showed efficacy close to that of </w:t>
      </w:r>
      <w:r w:rsidRPr="001846DD">
        <w:rPr>
          <w:rFonts w:ascii="Arial" w:hAnsi="Arial" w:cs="Arial"/>
          <w:i/>
          <w:iCs/>
        </w:rPr>
        <w:t>Trichoderma</w:t>
      </w:r>
      <w:r w:rsidRPr="001846DD">
        <w:rPr>
          <w:rFonts w:ascii="Arial" w:hAnsi="Arial" w:cs="Arial"/>
        </w:rPr>
        <w:t xml:space="preserve">, validating their potential as natural alternatives </w:t>
      </w:r>
      <w:r w:rsidRPr="001846DD">
        <w:rPr>
          <w:rFonts w:ascii="Arial" w:hAnsi="Arial" w:cs="Arial"/>
          <w:lang w:val="fr-FR"/>
        </w:rPr>
        <w:fldChar w:fldCharType="begin"/>
      </w:r>
      <w:r w:rsidRPr="001846DD">
        <w:rPr>
          <w:rFonts w:ascii="Arial" w:hAnsi="Arial" w:cs="Arial"/>
        </w:rPr>
        <w:instrText xml:space="preserve"> ADDIN ZOTERO_ITEM CSL_CITATION {"citationID":"mB4h1eKm","properties":{"formattedCitation":"(El-Mougy et al., 2004)","plainCitation":"(El-Mougy et al., 2004)","noteIndex":0},"citationItems":[{"id":4212,"uris":["http://zotero.org/users/8710791/items/ZWAFGQYZ"],"itemData":{"id":4212,"type":"article-journal","container-title":"Egypt. J. Phytopathol","issue":"1-2","page":"23–35","source":"Google Scholar","title":"Application of fungicides alternatives for controlling cowpea root rot diseases under greenhouse and field conditions","volume":"32","author":[{"family":"El-Mougy","given":"Nehal S."},{"family":"Abd-El-Kareem","given":"F."},{"family":"El-Gamal","given":"Nadia G."},{"family":"Fotouh","given":"Y. O."}],"issued":{"date-parts":[["2004"]]}}}],"schema":"https://github.com/citation-style-language/schema/raw/master/csl-citation.json"}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(El-Mougy et al., 2004)</w:t>
      </w:r>
      <w:r w:rsidRPr="001846DD">
        <w:rPr>
          <w:rFonts w:ascii="Arial" w:hAnsi="Arial" w:cs="Arial"/>
        </w:rPr>
        <w:fldChar w:fldCharType="end"/>
      </w:r>
      <w:r w:rsidRPr="001846DD">
        <w:rPr>
          <w:rFonts w:ascii="Arial" w:hAnsi="Arial" w:cs="Arial"/>
        </w:rPr>
        <w:t xml:space="preserve">. Moreover, the biological and plant-based treatments did not compromise germination, which is crucial for practical adoption. This demonstrates that certain plant extracts can protect seeds without affecting their vigor </w:t>
      </w:r>
      <w:r w:rsidRPr="001846DD">
        <w:rPr>
          <w:rFonts w:ascii="Arial" w:hAnsi="Arial" w:cs="Arial"/>
          <w:lang w:val="fr-FR"/>
        </w:rPr>
        <w:fldChar w:fldCharType="begin"/>
      </w:r>
      <w:r w:rsidR="000E4652">
        <w:rPr>
          <w:rFonts w:ascii="Arial" w:hAnsi="Arial" w:cs="Arial"/>
        </w:rPr>
        <w:instrText xml:space="preserve"> ADDIN ZOTERO_ITEM CSL_CITATION {"citationID":"usUvvN9C","properties":{"formattedCitation":"(Bowers and Locke, 2000)","plainCitation":"(Bowers and Locke, 2000)","noteIndex":0},"citationItems":[{"id":4213,"uris":["http://zotero.org/users/8710791/items/ZPPPN9P8"],"itemData":{"id":4213,"type":"article-journal","abstract":"Several commercial formulations of botanical extracts and essential oils are being investigated as possible alternatives to soil fumigation for control of Fusarium wilt diseases. Soil infested with Fusarium oxysporum f. sp. chrysanthemi was treated with 1, 5, and 10% aqueous emulsions of formulated extracts of clove (70% clove oil), neem (90% neem oil), pepper/mustard (chili pepper extract and essential oil of mustard), cassia (extract of cassia tree), and Banrot (a standard fungicide applied at different labeled rates) in separate experiments. Population densities of F. oxysporum f. sp. chrysanthemi were determined at 0 (before treatment), 1, 3, 7, 14, and 21 days after treatment. Treatment of the soil with 5 and 10% aqueous emulsions resulted in significant (P &lt; 0.05) differences among treatment means at each assay date. After 3 days, pepper/mustard, cassia, and clove extracts added as 10% aqueous emulsions reduced the population density of F. oxysporum f. sp. chrysanthemi 99.9, 96.1, and 97.5%, respectively, compared with the untreated control. Neem oil extract increased the population density of F. oxysporum f. sp. chrysanthemi at all concentrations tested. Banrot did not reduce the population density of F. oxysporum f. sp. chrysanthemi in any experiment. In a second, related experiment, soil infested with Fusarium oxysporum f. sp. melonis also was treated with 1, 5, and 10% aqueous emulsions of formulated extracts, incubated in closed plastic bags for 1 week, and planted with muskmelon seeds (cv. Gold Star) in the greenhouse. Treatment of infested soil with 5 and 10% aqueous emulsions of the botanical extracts resulted in differences among treatments after 5 to 6 weeks. The pepper/mustard, cassia, and clove extracts suppressed disease development in repeated experiments (80 to 100% healthy plant stand) compared with the untreated infested soil (&lt;20% stand). The observed reduction in the pathogen population and increased healthy plant stand in the greenhouse indicates that these extracts could have important roles in biologically based management strategies for control of Fusarium wilt diseases.\n          , \n            Fusarium wilts, caused by the fungal pathogen Fusarium oxysporum, are some of the most widespread and destructive diseases of many major ornamental and horticultural crops. This soilborne pathogen causes vascular wilts by infecting plants through the roots and growing internally through the vascular tissues. The entire plant usually wilts and dies as the pathogen moves into the stem. Presently, preplant soil fumigation and fungicide applications are used to control wilt diseases. However, methyl bromide, the major fumigant used, is scheduled to be phased out because it was defined by the Montreal Protocol of 1991 as a chemical that contributes to the depletion of the ozone layer. Due to the environmental and safety concerns associated with pesticides, this study investigated the effect of several formulated plant extracts and essential oils on soil populations of Fusarium oxysporum and disease control in the greenhouse as an alternative component in integrated control strategies. Treatment of the soil with 10% aqueous emulsions of the formulated extracts of a chili pepper extract and essential oil of mustard mixture, a cassia tree extract, and clove oil reduced populations of Fusarium 99.9, 96.1, and 97.5%, respectively, 3 days after soil treatment. These same formulations also suppressed disease development in the greenhouse and resulted in 80 to 100% plant stand after 6 weeks. The observed reductions in the pathogen population in soil and the increase in plant stand in the greenhouse indicates that these natural plant products may have important roles in biologically based management strategies for control of Fusarium wilt diseases.","container-title":"Plant Disease","DOI":"10.1094/PDIS.2000.84.3.300","ISSN":"0191-2917, 1943-7692","issue":"3","journalAbbreviation":"Plant Disease","language":"en","page":"300-305","source":"DOI.org (Crossref)","title":"Effect of Botanical Extracts on the Population Density of &lt;i&gt;Fusarium oxysporum&lt;/i&gt; in Soil and Control of Fusarium Wilt in the Greenhouse","volume":"84","author":[{"family":"Bowers","given":"John H."},{"family":"Locke","given":"James C."}],"issued":{"date-parts":[["2000",3]]}}}],"schema":"https://github.com/citation-style-language/schema/raw/master/csl-citation.json"}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(Bowers and Locke, 2000)</w:t>
      </w:r>
      <w:r w:rsidRPr="001846DD">
        <w:rPr>
          <w:rFonts w:ascii="Arial" w:hAnsi="Arial" w:cs="Arial"/>
        </w:rPr>
        <w:fldChar w:fldCharType="end"/>
      </w:r>
      <w:r w:rsidRPr="001846DD">
        <w:rPr>
          <w:rFonts w:ascii="Arial" w:hAnsi="Arial" w:cs="Arial"/>
        </w:rPr>
        <w:t>.</w:t>
      </w:r>
    </w:p>
    <w:p w14:paraId="4EC2D5FF" w14:textId="77777777" w:rsidR="00790ADA" w:rsidRPr="00FB3A86" w:rsidRDefault="00790ADA" w:rsidP="00441B6F">
      <w:pPr>
        <w:pStyle w:val="Body"/>
        <w:spacing w:after="0"/>
        <w:rPr>
          <w:rFonts w:ascii="Arial" w:hAnsi="Arial" w:cs="Arial"/>
        </w:rPr>
      </w:pPr>
    </w:p>
    <w:p w14:paraId="23987CA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F273B9" w14:textId="77777777" w:rsidR="00790ADA" w:rsidRPr="00FB3A86" w:rsidRDefault="00790ADA" w:rsidP="00441B6F">
      <w:pPr>
        <w:pStyle w:val="ConcHead"/>
        <w:spacing w:after="0"/>
        <w:jc w:val="both"/>
        <w:rPr>
          <w:rFonts w:ascii="Arial" w:hAnsi="Arial" w:cs="Arial"/>
        </w:rPr>
      </w:pPr>
    </w:p>
    <w:p w14:paraId="0F4E5960" w14:textId="77777777" w:rsidR="00B01FCD" w:rsidRDefault="001846DD" w:rsidP="00441B6F">
      <w:pPr>
        <w:pStyle w:val="Body"/>
        <w:spacing w:after="0"/>
        <w:rPr>
          <w:rFonts w:ascii="Arial" w:hAnsi="Arial" w:cs="Arial"/>
        </w:rPr>
      </w:pPr>
      <w:r w:rsidRPr="001846DD">
        <w:rPr>
          <w:rFonts w:ascii="Arial" w:hAnsi="Arial" w:cs="Arial"/>
        </w:rPr>
        <w:t xml:space="preserve">This study highlighted the variability of pathogenic potential among local </w:t>
      </w:r>
      <w:r w:rsidRPr="001846DD">
        <w:rPr>
          <w:rFonts w:ascii="Arial" w:hAnsi="Arial" w:cs="Arial"/>
          <w:i/>
          <w:iCs/>
        </w:rPr>
        <w:t>Fusarium</w:t>
      </w:r>
      <w:r w:rsidRPr="001846DD">
        <w:rPr>
          <w:rFonts w:ascii="Arial" w:hAnsi="Arial" w:cs="Arial"/>
        </w:rPr>
        <w:t xml:space="preserve"> sp. strains on the tomato variety Cobra F1, with strain T2F distinguished by its high virulence in terms of both wilting incidence and symptom severity. In vitro evaluation showed that aqueous extracts of </w:t>
      </w:r>
      <w:proofErr w:type="spellStart"/>
      <w:r w:rsidRPr="001846DD">
        <w:rPr>
          <w:rFonts w:ascii="Arial" w:hAnsi="Arial" w:cs="Arial"/>
          <w:i/>
          <w:iCs/>
        </w:rPr>
        <w:t>Ocimum</w:t>
      </w:r>
      <w:proofErr w:type="spellEnd"/>
      <w:r w:rsidRPr="001846DD">
        <w:rPr>
          <w:rFonts w:ascii="Arial" w:hAnsi="Arial" w:cs="Arial"/>
          <w:i/>
          <w:iCs/>
        </w:rPr>
        <w:t xml:space="preserve"> </w:t>
      </w:r>
      <w:proofErr w:type="spellStart"/>
      <w:r w:rsidRPr="001846DD">
        <w:rPr>
          <w:rFonts w:ascii="Arial" w:hAnsi="Arial" w:cs="Arial"/>
          <w:i/>
          <w:iCs/>
        </w:rPr>
        <w:t>gratissimum</w:t>
      </w:r>
      <w:proofErr w:type="spellEnd"/>
      <w:r w:rsidRPr="001846DD">
        <w:rPr>
          <w:rFonts w:ascii="Arial" w:hAnsi="Arial" w:cs="Arial"/>
        </w:rPr>
        <w:t xml:space="preserve"> exhibited antifungal activity comparable to the reference chemical fungicide. Essential oils also demonstrated notable efficacy, particularly those from </w:t>
      </w:r>
      <w:proofErr w:type="spellStart"/>
      <w:r w:rsidRPr="001846DD">
        <w:rPr>
          <w:rFonts w:ascii="Arial" w:hAnsi="Arial" w:cs="Arial"/>
          <w:i/>
          <w:iCs/>
        </w:rPr>
        <w:t>Azadirachta</w:t>
      </w:r>
      <w:proofErr w:type="spellEnd"/>
      <w:r w:rsidRPr="001846DD">
        <w:rPr>
          <w:rFonts w:ascii="Arial" w:hAnsi="Arial" w:cs="Arial"/>
          <w:i/>
          <w:iCs/>
        </w:rPr>
        <w:t xml:space="preserve"> </w:t>
      </w:r>
      <w:proofErr w:type="spellStart"/>
      <w:r w:rsidRPr="001846DD">
        <w:rPr>
          <w:rFonts w:ascii="Arial" w:hAnsi="Arial" w:cs="Arial"/>
          <w:i/>
          <w:iCs/>
        </w:rPr>
        <w:t>indica</w:t>
      </w:r>
      <w:proofErr w:type="spellEnd"/>
      <w:r w:rsidRPr="001846DD">
        <w:rPr>
          <w:rFonts w:ascii="Arial" w:hAnsi="Arial" w:cs="Arial"/>
        </w:rPr>
        <w:t xml:space="preserve"> and </w:t>
      </w:r>
      <w:r w:rsidRPr="001846DD">
        <w:rPr>
          <w:rFonts w:ascii="Arial" w:hAnsi="Arial" w:cs="Arial"/>
          <w:i/>
          <w:iCs/>
        </w:rPr>
        <w:t xml:space="preserve">Jatropha </w:t>
      </w:r>
      <w:proofErr w:type="spellStart"/>
      <w:r w:rsidRPr="001846DD">
        <w:rPr>
          <w:rFonts w:ascii="Arial" w:hAnsi="Arial" w:cs="Arial"/>
          <w:i/>
          <w:iCs/>
        </w:rPr>
        <w:t>curcas</w:t>
      </w:r>
      <w:proofErr w:type="spellEnd"/>
      <w:r w:rsidRPr="001846DD">
        <w:rPr>
          <w:rFonts w:ascii="Arial" w:hAnsi="Arial" w:cs="Arial"/>
        </w:rPr>
        <w:t xml:space="preserve">. Furthermore, </w:t>
      </w:r>
      <w:r w:rsidRPr="001846DD">
        <w:rPr>
          <w:rFonts w:ascii="Arial" w:hAnsi="Arial" w:cs="Arial"/>
          <w:i/>
          <w:iCs/>
        </w:rPr>
        <w:t>Trichoderma</w:t>
      </w:r>
      <w:r w:rsidRPr="001846DD">
        <w:rPr>
          <w:rFonts w:ascii="Arial" w:hAnsi="Arial" w:cs="Arial"/>
        </w:rPr>
        <w:t xml:space="preserve"> sp. confirmed its potential as a biocontrol agent, with significant mycelial inhibition and a marked reduction in seed contamination, comparable to chemical fungicide. These results suggest that certain combinations of biological treatments, notably </w:t>
      </w:r>
      <w:r w:rsidRPr="001846DD">
        <w:rPr>
          <w:rFonts w:ascii="Arial" w:hAnsi="Arial" w:cs="Arial"/>
          <w:i/>
          <w:iCs/>
        </w:rPr>
        <w:t xml:space="preserve">O. </w:t>
      </w:r>
      <w:proofErr w:type="spellStart"/>
      <w:r w:rsidRPr="001846DD">
        <w:rPr>
          <w:rFonts w:ascii="Arial" w:hAnsi="Arial" w:cs="Arial"/>
          <w:i/>
          <w:iCs/>
        </w:rPr>
        <w:t>gratissimum</w:t>
      </w:r>
      <w:proofErr w:type="spellEnd"/>
      <w:r w:rsidRPr="001846DD">
        <w:rPr>
          <w:rFonts w:ascii="Arial" w:hAnsi="Arial" w:cs="Arial"/>
        </w:rPr>
        <w:t xml:space="preserve"> extracts and </w:t>
      </w:r>
      <w:r w:rsidRPr="001846DD">
        <w:rPr>
          <w:rFonts w:ascii="Arial" w:hAnsi="Arial" w:cs="Arial"/>
          <w:i/>
          <w:iCs/>
        </w:rPr>
        <w:t>Trichoderma</w:t>
      </w:r>
      <w:r w:rsidRPr="001846DD">
        <w:rPr>
          <w:rFonts w:ascii="Arial" w:hAnsi="Arial" w:cs="Arial"/>
        </w:rPr>
        <w:t xml:space="preserve"> sp., could serve as viable or complementary alternatives to synthetic fungicides in integrated management strategies for tomato </w:t>
      </w:r>
      <w:proofErr w:type="spellStart"/>
      <w:r w:rsidRPr="001846DD">
        <w:rPr>
          <w:rFonts w:ascii="Arial" w:hAnsi="Arial" w:cs="Arial"/>
        </w:rPr>
        <w:t>fusariose</w:t>
      </w:r>
      <w:proofErr w:type="spellEnd"/>
      <w:r w:rsidRPr="001846DD">
        <w:rPr>
          <w:rFonts w:ascii="Arial" w:hAnsi="Arial" w:cs="Arial"/>
        </w:rPr>
        <w:t xml:space="preserve"> in Burkina Faso.</w:t>
      </w:r>
      <w:r w:rsidR="00502516">
        <w:rPr>
          <w:rFonts w:ascii="Arial" w:hAnsi="Arial" w:cs="Arial"/>
        </w:rPr>
        <w:t>]</w:t>
      </w:r>
    </w:p>
    <w:p w14:paraId="4BC77132" w14:textId="77777777" w:rsidR="00790ADA" w:rsidRPr="00FB3A86" w:rsidRDefault="00790ADA" w:rsidP="00441B6F">
      <w:pPr>
        <w:pStyle w:val="Body"/>
        <w:spacing w:after="0"/>
        <w:rPr>
          <w:rFonts w:ascii="Arial" w:hAnsi="Arial" w:cs="Arial"/>
        </w:rPr>
      </w:pPr>
    </w:p>
    <w:p w14:paraId="3276CCB8" w14:textId="77777777" w:rsidR="00AF6050" w:rsidRDefault="00AF6050" w:rsidP="003C5C65">
      <w:pPr>
        <w:keepNext/>
        <w:suppressAutoHyphens/>
        <w:jc w:val="both"/>
        <w:rPr>
          <w:rFonts w:ascii="Arial" w:hAnsi="Arial" w:cs="Arial"/>
          <w:b/>
          <w:bCs/>
          <w:caps/>
          <w:sz w:val="22"/>
        </w:rPr>
      </w:pPr>
    </w:p>
    <w:p w14:paraId="4FF993E3" w14:textId="4848F89F" w:rsidR="003C5C65" w:rsidRPr="003C5C65" w:rsidRDefault="003C5C65" w:rsidP="003C5C65">
      <w:pPr>
        <w:keepNext/>
        <w:suppressAutoHyphens/>
        <w:jc w:val="both"/>
        <w:rPr>
          <w:rFonts w:ascii="Arial" w:hAnsi="Arial" w:cs="Arial"/>
          <w:b/>
          <w:bCs/>
          <w:caps/>
          <w:sz w:val="22"/>
        </w:rPr>
      </w:pPr>
      <w:r w:rsidRPr="003C5C65">
        <w:rPr>
          <w:rFonts w:ascii="Arial" w:hAnsi="Arial" w:cs="Arial"/>
          <w:b/>
          <w:bCs/>
          <w:caps/>
          <w:sz w:val="22"/>
        </w:rPr>
        <w:t xml:space="preserve">Consent </w:t>
      </w:r>
    </w:p>
    <w:p w14:paraId="34AB5830" w14:textId="77777777" w:rsidR="003C5C65" w:rsidRPr="003C5C65" w:rsidRDefault="003C5C65" w:rsidP="003C5C65">
      <w:pPr>
        <w:keepNext/>
        <w:suppressAutoHyphens/>
        <w:jc w:val="both"/>
        <w:rPr>
          <w:rFonts w:ascii="Arial" w:hAnsi="Arial" w:cs="Arial"/>
          <w:b/>
          <w:bCs/>
          <w:caps/>
          <w:sz w:val="22"/>
        </w:rPr>
      </w:pPr>
    </w:p>
    <w:p w14:paraId="2C63096C" w14:textId="77777777" w:rsidR="003C5C65" w:rsidRPr="003C5C65" w:rsidRDefault="003C5C65" w:rsidP="003C5C65">
      <w:pPr>
        <w:keepNext/>
        <w:suppressAutoHyphens/>
        <w:jc w:val="both"/>
        <w:rPr>
          <w:rFonts w:ascii="Arial" w:hAnsi="Arial" w:cs="Arial"/>
        </w:rPr>
      </w:pPr>
      <w:r w:rsidRPr="003C5C65">
        <w:rPr>
          <w:rFonts w:ascii="Arial" w:hAnsi="Arial" w:cs="Arial"/>
        </w:rPr>
        <w:t>Not applicable</w:t>
      </w:r>
    </w:p>
    <w:p w14:paraId="6E6D41DC" w14:textId="77777777" w:rsidR="003C5C65" w:rsidRPr="003C5C65" w:rsidRDefault="003C5C65" w:rsidP="003C5C65">
      <w:pPr>
        <w:keepNext/>
        <w:suppressAutoHyphens/>
        <w:jc w:val="both"/>
        <w:rPr>
          <w:rFonts w:ascii="Arial" w:hAnsi="Arial" w:cs="Arial"/>
        </w:rPr>
      </w:pPr>
    </w:p>
    <w:p w14:paraId="708475A7" w14:textId="77777777" w:rsidR="003C5C65" w:rsidRPr="003C5C65" w:rsidRDefault="003C5C65" w:rsidP="003C5C65">
      <w:pPr>
        <w:keepNext/>
        <w:suppressAutoHyphens/>
        <w:jc w:val="both"/>
        <w:rPr>
          <w:rFonts w:ascii="Arial" w:hAnsi="Arial" w:cs="Arial"/>
        </w:rPr>
      </w:pPr>
    </w:p>
    <w:p w14:paraId="24A274B1" w14:textId="77777777" w:rsidR="003C5C65" w:rsidRPr="003C5C65" w:rsidRDefault="003C5C65" w:rsidP="003C5C65">
      <w:pPr>
        <w:keepNext/>
        <w:suppressAutoHyphens/>
        <w:jc w:val="both"/>
        <w:rPr>
          <w:rFonts w:ascii="Arial" w:hAnsi="Arial" w:cs="Arial"/>
          <w:b/>
          <w:bCs/>
          <w:caps/>
          <w:sz w:val="22"/>
        </w:rPr>
      </w:pPr>
      <w:r w:rsidRPr="003C5C65">
        <w:rPr>
          <w:rFonts w:ascii="Arial" w:hAnsi="Arial" w:cs="Arial"/>
          <w:b/>
          <w:bCs/>
          <w:caps/>
          <w:sz w:val="22"/>
        </w:rPr>
        <w:t xml:space="preserve">Ethical approval </w:t>
      </w:r>
    </w:p>
    <w:p w14:paraId="076368DF" w14:textId="77777777" w:rsidR="003C5C65" w:rsidRPr="003C5C65" w:rsidRDefault="003C5C65" w:rsidP="003C5C65">
      <w:pPr>
        <w:keepNext/>
        <w:suppressAutoHyphens/>
        <w:jc w:val="both"/>
        <w:rPr>
          <w:rFonts w:ascii="Arial" w:hAnsi="Arial" w:cs="Arial"/>
          <w:b/>
          <w:bCs/>
          <w:caps/>
          <w:sz w:val="22"/>
        </w:rPr>
      </w:pPr>
    </w:p>
    <w:p w14:paraId="0BBAD9D4" w14:textId="77777777" w:rsidR="003C5C65" w:rsidRPr="003C5C65" w:rsidRDefault="003C5C65" w:rsidP="003C5C65">
      <w:pPr>
        <w:keepNext/>
        <w:suppressAutoHyphens/>
        <w:jc w:val="both"/>
        <w:rPr>
          <w:rFonts w:ascii="Arial" w:hAnsi="Arial" w:cs="Arial"/>
        </w:rPr>
      </w:pPr>
      <w:r w:rsidRPr="003C5C65">
        <w:rPr>
          <w:rFonts w:ascii="Arial" w:hAnsi="Arial" w:cs="Arial"/>
        </w:rPr>
        <w:t>Not applicable</w:t>
      </w:r>
    </w:p>
    <w:p w14:paraId="1A4350F1" w14:textId="77777777" w:rsidR="003C5C65" w:rsidRPr="003C5C65" w:rsidRDefault="003C5C65" w:rsidP="003C5C65">
      <w:pPr>
        <w:keepNext/>
        <w:suppressAutoHyphens/>
        <w:jc w:val="both"/>
        <w:rPr>
          <w:rFonts w:ascii="Arial" w:hAnsi="Arial" w:cs="Arial"/>
          <w:u w:val="single"/>
        </w:rPr>
      </w:pPr>
    </w:p>
    <w:p w14:paraId="2384E680" w14:textId="77777777" w:rsidR="003C5C65" w:rsidRPr="003C5C65" w:rsidRDefault="003C5C65" w:rsidP="003C5C65">
      <w:pPr>
        <w:suppressAutoHyphens/>
        <w:rPr>
          <w:b/>
          <w:sz w:val="28"/>
        </w:rPr>
      </w:pPr>
      <w:r w:rsidRPr="003C5C65">
        <w:rPr>
          <w:b/>
          <w:sz w:val="28"/>
        </w:rPr>
        <w:t>Disclaimer (Artificial intelligence)</w:t>
      </w:r>
    </w:p>
    <w:p w14:paraId="3C8B71C6" w14:textId="77777777" w:rsidR="003C5C65" w:rsidRPr="003C5C65" w:rsidRDefault="003C5C65" w:rsidP="003C5C65">
      <w:pPr>
        <w:suppressAutoHyphens/>
        <w:jc w:val="both"/>
        <w:rPr>
          <w:rFonts w:ascii="Arial" w:hAnsi="Arial" w:cs="Arial"/>
        </w:rPr>
      </w:pPr>
      <w:r w:rsidRPr="003C5C6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4C989863" w14:textId="77777777" w:rsidR="003C5C65" w:rsidRPr="003C5C65" w:rsidRDefault="003C5C65" w:rsidP="003C5C65">
      <w:pPr>
        <w:keepNext/>
        <w:tabs>
          <w:tab w:val="left" w:pos="2055"/>
        </w:tabs>
        <w:suppressAutoHyphens/>
        <w:jc w:val="both"/>
        <w:rPr>
          <w:rFonts w:ascii="Arial" w:hAnsi="Arial" w:cs="Arial"/>
          <w:u w:val="single"/>
        </w:rPr>
      </w:pPr>
    </w:p>
    <w:p w14:paraId="151AF78B" w14:textId="77777777" w:rsidR="003C5C65" w:rsidRPr="003C5C65" w:rsidRDefault="003C5C65" w:rsidP="003C5C65">
      <w:pPr>
        <w:keepNext/>
        <w:suppressAutoHyphens/>
        <w:jc w:val="both"/>
        <w:rPr>
          <w:rFonts w:ascii="Arial" w:hAnsi="Arial" w:cs="Arial"/>
          <w:b/>
          <w:caps/>
          <w:sz w:val="22"/>
          <w:lang w:val="fr-FR"/>
        </w:rPr>
      </w:pPr>
      <w:r w:rsidRPr="003C5C65">
        <w:rPr>
          <w:rFonts w:ascii="Arial" w:hAnsi="Arial" w:cs="Arial"/>
          <w:b/>
          <w:caps/>
          <w:sz w:val="22"/>
          <w:lang w:val="fr-FR"/>
        </w:rPr>
        <w:t>References</w:t>
      </w:r>
    </w:p>
    <w:p w14:paraId="46974059" w14:textId="77777777" w:rsidR="003C5C65" w:rsidRDefault="003C5C65" w:rsidP="003C5C65"/>
    <w:p w14:paraId="338C80A8" w14:textId="77777777" w:rsidR="000E4652" w:rsidRPr="000E4652" w:rsidRDefault="00B55651" w:rsidP="000E4652">
      <w:pPr>
        <w:pStyle w:val="Bibliography"/>
        <w:jc w:val="both"/>
        <w:rPr>
          <w:rFonts w:ascii="Arial" w:hAnsi="Arial" w:cs="Arial"/>
        </w:rPr>
      </w:pPr>
      <w:r w:rsidRPr="001C3637">
        <w:rPr>
          <w:rFonts w:ascii="Arial" w:hAnsi="Arial" w:cs="Arial"/>
        </w:rPr>
        <w:t xml:space="preserve">1. </w:t>
      </w:r>
      <w:r w:rsidR="00904181" w:rsidRPr="000E4652">
        <w:rPr>
          <w:rFonts w:ascii="Arial" w:hAnsi="Arial" w:cs="Arial"/>
        </w:rPr>
        <w:fldChar w:fldCharType="begin"/>
      </w:r>
      <w:r w:rsidR="000E4652" w:rsidRPr="001C3637">
        <w:rPr>
          <w:rFonts w:ascii="Arial" w:hAnsi="Arial" w:cs="Arial"/>
        </w:rPr>
        <w:instrText xml:space="preserve"> ADDIN ZOTERO_BIBL {"uncited":[],"omitted":[],"custom":[]} CSL_BIBLIOGRAPHY </w:instrText>
      </w:r>
      <w:r w:rsidR="00904181" w:rsidRPr="000E4652">
        <w:rPr>
          <w:rFonts w:ascii="Arial" w:hAnsi="Arial" w:cs="Arial"/>
        </w:rPr>
        <w:fldChar w:fldCharType="separate"/>
      </w:r>
      <w:r w:rsidRPr="001C3637">
        <w:rPr>
          <w:rFonts w:ascii="Arial" w:hAnsi="Arial" w:cs="Arial"/>
        </w:rPr>
        <w:t>Abawi, G.S.,</w:t>
      </w:r>
      <w:r w:rsidR="001C3637" w:rsidRPr="001C3637">
        <w:rPr>
          <w:rFonts w:ascii="Arial" w:hAnsi="Arial" w:cs="Arial"/>
        </w:rPr>
        <w:t xml:space="preserve"> Corrales, P. </w:t>
      </w:r>
      <w:r w:rsidR="001C3637">
        <w:rPr>
          <w:rFonts w:ascii="Arial" w:hAnsi="Arial" w:cs="Arial"/>
        </w:rPr>
        <w:t>(</w:t>
      </w:r>
      <w:r w:rsidR="000E4652" w:rsidRPr="001C3637">
        <w:rPr>
          <w:rFonts w:ascii="Arial" w:hAnsi="Arial" w:cs="Arial"/>
        </w:rPr>
        <w:t>1990</w:t>
      </w:r>
      <w:r w:rsidR="001C3637">
        <w:rPr>
          <w:rFonts w:ascii="Arial" w:hAnsi="Arial" w:cs="Arial"/>
        </w:rPr>
        <w:t>)</w:t>
      </w:r>
      <w:r w:rsidR="000E4652" w:rsidRPr="001C3637">
        <w:rPr>
          <w:rFonts w:ascii="Arial" w:hAnsi="Arial" w:cs="Arial"/>
        </w:rPr>
        <w:t xml:space="preserve">. </w:t>
      </w:r>
      <w:r w:rsidR="000E4652" w:rsidRPr="000E4652">
        <w:rPr>
          <w:rFonts w:ascii="Arial" w:hAnsi="Arial" w:cs="Arial"/>
        </w:rPr>
        <w:t xml:space="preserve">Seed transmission and effects of fungicide seed treatments against </w:t>
      </w:r>
      <w:r w:rsidR="000E4652" w:rsidRPr="00B55651">
        <w:rPr>
          <w:rFonts w:ascii="Arial" w:hAnsi="Arial" w:cs="Arial"/>
          <w:i/>
        </w:rPr>
        <w:t>Macrophomina phaseolina</w:t>
      </w:r>
      <w:r w:rsidR="000E4652" w:rsidRPr="000E4652">
        <w:rPr>
          <w:rFonts w:ascii="Arial" w:hAnsi="Arial" w:cs="Arial"/>
        </w:rPr>
        <w:t xml:space="preserve"> in dry edible </w:t>
      </w:r>
      <w:r>
        <w:rPr>
          <w:rFonts w:ascii="Arial" w:hAnsi="Arial" w:cs="Arial"/>
        </w:rPr>
        <w:t>beans.</w:t>
      </w:r>
      <w:r>
        <w:rPr>
          <w:rFonts w:ascii="Arial" w:hAnsi="Arial" w:cs="Arial"/>
          <w:i/>
        </w:rPr>
        <w:t xml:space="preserve"> </w:t>
      </w:r>
      <w:r w:rsidRPr="00B55651">
        <w:rPr>
          <w:rFonts w:ascii="Arial" w:hAnsi="Arial" w:cs="Arial"/>
          <w:i/>
        </w:rPr>
        <w:t>Turrialba</w:t>
      </w:r>
      <w:r>
        <w:rPr>
          <w:rFonts w:ascii="Arial" w:hAnsi="Arial" w:cs="Arial"/>
          <w:i/>
        </w:rPr>
        <w:t xml:space="preserve">, </w:t>
      </w:r>
      <w:r>
        <w:rPr>
          <w:rFonts w:ascii="Arial" w:hAnsi="Arial" w:cs="Arial"/>
        </w:rPr>
        <w:t xml:space="preserve">40, </w:t>
      </w:r>
      <w:r w:rsidR="000E4652" w:rsidRPr="000E4652">
        <w:rPr>
          <w:rFonts w:ascii="Arial" w:hAnsi="Arial" w:cs="Arial"/>
        </w:rPr>
        <w:t>3</w:t>
      </w:r>
      <w:r>
        <w:rPr>
          <w:rFonts w:ascii="Arial" w:hAnsi="Arial" w:cs="Arial"/>
        </w:rPr>
        <w:t>34-339</w:t>
      </w:r>
      <w:r w:rsidR="000E4652" w:rsidRPr="000E4652">
        <w:rPr>
          <w:rFonts w:ascii="Arial" w:hAnsi="Arial" w:cs="Arial"/>
        </w:rPr>
        <w:t>.</w:t>
      </w:r>
    </w:p>
    <w:p w14:paraId="30307D35" w14:textId="77777777" w:rsidR="000E4652" w:rsidRPr="000E4652" w:rsidRDefault="00B55651" w:rsidP="000E4652">
      <w:pPr>
        <w:pStyle w:val="Bibliography"/>
        <w:jc w:val="both"/>
        <w:rPr>
          <w:rFonts w:ascii="Arial" w:hAnsi="Arial" w:cs="Arial"/>
        </w:rPr>
      </w:pPr>
      <w:r>
        <w:rPr>
          <w:rFonts w:ascii="Arial" w:hAnsi="Arial" w:cs="Arial"/>
        </w:rPr>
        <w:lastRenderedPageBreak/>
        <w:t xml:space="preserve">2. </w:t>
      </w:r>
      <w:r w:rsidR="000E4652" w:rsidRPr="000E4652">
        <w:rPr>
          <w:rFonts w:ascii="Arial" w:hAnsi="Arial" w:cs="Arial"/>
        </w:rPr>
        <w:t>Adeniyi, D.O.</w:t>
      </w:r>
      <w:r w:rsidR="001C3637">
        <w:rPr>
          <w:rFonts w:ascii="Arial" w:hAnsi="Arial" w:cs="Arial"/>
        </w:rPr>
        <w:t>, Orisajo, S.B., Adejobi, K.B. (</w:t>
      </w:r>
      <w:r w:rsidR="000E4652" w:rsidRPr="000E4652">
        <w:rPr>
          <w:rFonts w:ascii="Arial" w:hAnsi="Arial" w:cs="Arial"/>
        </w:rPr>
        <w:t>2010</w:t>
      </w:r>
      <w:r w:rsidR="001C3637">
        <w:rPr>
          <w:rFonts w:ascii="Arial" w:hAnsi="Arial" w:cs="Arial"/>
        </w:rPr>
        <w:t>)</w:t>
      </w:r>
      <w:r w:rsidR="000E4652" w:rsidRPr="000E4652">
        <w:rPr>
          <w:rFonts w:ascii="Arial" w:hAnsi="Arial" w:cs="Arial"/>
        </w:rPr>
        <w:t>. Effect of Neem (</w:t>
      </w:r>
      <w:r w:rsidR="000E4652" w:rsidRPr="00B55651">
        <w:rPr>
          <w:rFonts w:ascii="Arial" w:hAnsi="Arial" w:cs="Arial"/>
          <w:i/>
        </w:rPr>
        <w:t>Azadirachta Indica</w:t>
      </w:r>
      <w:r w:rsidR="000E4652" w:rsidRPr="000E4652">
        <w:rPr>
          <w:rFonts w:ascii="Arial" w:hAnsi="Arial" w:cs="Arial"/>
        </w:rPr>
        <w:t>) Leaf Extracts on the Rot Fungus (</w:t>
      </w:r>
      <w:r w:rsidR="000E4652" w:rsidRPr="00B55651">
        <w:rPr>
          <w:rFonts w:ascii="Arial" w:hAnsi="Arial" w:cs="Arial"/>
          <w:i/>
        </w:rPr>
        <w:t>Fusarium</w:t>
      </w:r>
      <w:r w:rsidR="000E4652" w:rsidRPr="000E4652">
        <w:rPr>
          <w:rFonts w:ascii="Arial" w:hAnsi="Arial" w:cs="Arial"/>
        </w:rPr>
        <w:t xml:space="preserve"> Spp) Isolated from Kola Nuts. Int. J. Trop. Agric. Food Syst. 4, 83–85.</w:t>
      </w:r>
    </w:p>
    <w:p w14:paraId="4F401B5E" w14:textId="77777777" w:rsidR="00051FC3" w:rsidRDefault="00B55651" w:rsidP="000E4652">
      <w:pPr>
        <w:pStyle w:val="Bibliography"/>
        <w:jc w:val="both"/>
        <w:rPr>
          <w:rFonts w:ascii="Arial" w:hAnsi="Arial" w:cs="Arial"/>
        </w:rPr>
      </w:pPr>
      <w:r>
        <w:rPr>
          <w:rFonts w:ascii="Arial" w:hAnsi="Arial" w:cs="Arial"/>
        </w:rPr>
        <w:t xml:space="preserve">3. </w:t>
      </w:r>
      <w:r w:rsidR="000E4652" w:rsidRPr="000E4652">
        <w:rPr>
          <w:rFonts w:ascii="Arial" w:hAnsi="Arial" w:cs="Arial"/>
        </w:rPr>
        <w:t>Akpo, A.F., Silué, Y., Nindjin, C., Tano, K., Kouamé, K.A.,</w:t>
      </w:r>
      <w:r w:rsidR="001C3637">
        <w:rPr>
          <w:rFonts w:ascii="Arial" w:hAnsi="Arial" w:cs="Arial"/>
        </w:rPr>
        <w:t xml:space="preserve"> Tetchi, F.A., Lopez-Lauri, F. (</w:t>
      </w:r>
      <w:r w:rsidR="000E4652" w:rsidRPr="000E4652">
        <w:rPr>
          <w:rFonts w:ascii="Arial" w:hAnsi="Arial" w:cs="Arial"/>
        </w:rPr>
        <w:t>2023</w:t>
      </w:r>
      <w:r w:rsidR="001C3637">
        <w:rPr>
          <w:rFonts w:ascii="Arial" w:hAnsi="Arial" w:cs="Arial"/>
        </w:rPr>
        <w:t>)</w:t>
      </w:r>
      <w:r w:rsidR="000E4652" w:rsidRPr="000E4652">
        <w:rPr>
          <w:rFonts w:ascii="Arial" w:hAnsi="Arial" w:cs="Arial"/>
        </w:rPr>
        <w:t xml:space="preserve">. In vitro antifungal activity of aqueous extract and essential oil of African basil (Ocimum gratissimum L.). North Afr. J. Food Nutr. Res. 7, 136–145. </w:t>
      </w:r>
    </w:p>
    <w:p w14:paraId="6966B911" w14:textId="77777777" w:rsidR="000E4652" w:rsidRPr="000E4652" w:rsidRDefault="00B55651" w:rsidP="000E4652">
      <w:pPr>
        <w:pStyle w:val="Bibliography"/>
        <w:jc w:val="both"/>
        <w:rPr>
          <w:rFonts w:ascii="Arial" w:hAnsi="Arial" w:cs="Arial"/>
        </w:rPr>
      </w:pPr>
      <w:r>
        <w:rPr>
          <w:rFonts w:ascii="Arial" w:hAnsi="Arial" w:cs="Arial"/>
        </w:rPr>
        <w:t xml:space="preserve">4. </w:t>
      </w:r>
      <w:r w:rsidR="000E4652" w:rsidRPr="000E4652">
        <w:rPr>
          <w:rFonts w:ascii="Arial" w:hAnsi="Arial" w:cs="Arial"/>
        </w:rPr>
        <w:t>Bai, G., Shaner, G.</w:t>
      </w:r>
      <w:r w:rsidR="001C3637">
        <w:rPr>
          <w:rFonts w:ascii="Arial" w:hAnsi="Arial" w:cs="Arial"/>
        </w:rPr>
        <w:t xml:space="preserve"> (</w:t>
      </w:r>
      <w:r w:rsidR="000E4652" w:rsidRPr="000E4652">
        <w:rPr>
          <w:rFonts w:ascii="Arial" w:hAnsi="Arial" w:cs="Arial"/>
        </w:rPr>
        <w:t>2004</w:t>
      </w:r>
      <w:r w:rsidR="001C3637">
        <w:rPr>
          <w:rFonts w:ascii="Arial" w:hAnsi="Arial" w:cs="Arial"/>
        </w:rPr>
        <w:t>)</w:t>
      </w:r>
      <w:r w:rsidR="000E4652" w:rsidRPr="000E4652">
        <w:rPr>
          <w:rFonts w:ascii="Arial" w:hAnsi="Arial" w:cs="Arial"/>
        </w:rPr>
        <w:t xml:space="preserve">. </w:t>
      </w:r>
      <w:r w:rsidR="00051FC3">
        <w:rPr>
          <w:rFonts w:ascii="Arial" w:hAnsi="Arial" w:cs="Arial"/>
        </w:rPr>
        <w:t>Management and resistance in wheat and barley to Fusarium head blight</w:t>
      </w:r>
      <w:r w:rsidR="000E4652" w:rsidRPr="000E4652">
        <w:rPr>
          <w:rFonts w:ascii="Arial" w:hAnsi="Arial" w:cs="Arial"/>
        </w:rPr>
        <w:t>. Annu. Rev. Phytopathol. 42,</w:t>
      </w:r>
      <w:r w:rsidR="00051FC3">
        <w:rPr>
          <w:rFonts w:ascii="Arial" w:hAnsi="Arial" w:cs="Arial"/>
        </w:rPr>
        <w:t xml:space="preserve"> 135–161.</w:t>
      </w:r>
    </w:p>
    <w:p w14:paraId="24D6ABCD" w14:textId="77777777" w:rsidR="000E4652" w:rsidRPr="000E4652" w:rsidRDefault="00B55651" w:rsidP="000E4652">
      <w:pPr>
        <w:pStyle w:val="Bibliography"/>
        <w:jc w:val="both"/>
        <w:rPr>
          <w:rFonts w:ascii="Arial" w:hAnsi="Arial" w:cs="Arial"/>
        </w:rPr>
      </w:pPr>
      <w:r>
        <w:rPr>
          <w:rFonts w:ascii="Arial" w:hAnsi="Arial" w:cs="Arial"/>
        </w:rPr>
        <w:t xml:space="preserve">5. </w:t>
      </w:r>
      <w:r w:rsidR="001C3637">
        <w:rPr>
          <w:rFonts w:ascii="Arial" w:hAnsi="Arial" w:cs="Arial"/>
        </w:rPr>
        <w:t>Bansod, S., Rai, M. (</w:t>
      </w:r>
      <w:r w:rsidR="000E4652" w:rsidRPr="000E4652">
        <w:rPr>
          <w:rFonts w:ascii="Arial" w:hAnsi="Arial" w:cs="Arial"/>
        </w:rPr>
        <w:t>2008</w:t>
      </w:r>
      <w:r w:rsidR="001C3637">
        <w:rPr>
          <w:rFonts w:ascii="Arial" w:hAnsi="Arial" w:cs="Arial"/>
        </w:rPr>
        <w:t>)</w:t>
      </w:r>
      <w:r w:rsidR="000E4652" w:rsidRPr="000E4652">
        <w:rPr>
          <w:rFonts w:ascii="Arial" w:hAnsi="Arial" w:cs="Arial"/>
        </w:rPr>
        <w:t xml:space="preserve">. Antifungal activity of essential oils from Indian medicinal plants against human pathogenic Aspergillus fumigatus and </w:t>
      </w:r>
      <w:r w:rsidR="000E4652" w:rsidRPr="00051FC3">
        <w:rPr>
          <w:rFonts w:ascii="Arial" w:hAnsi="Arial" w:cs="Arial"/>
          <w:i/>
        </w:rPr>
        <w:t>A. niger</w:t>
      </w:r>
      <w:r w:rsidR="000E4652" w:rsidRPr="000E4652">
        <w:rPr>
          <w:rFonts w:ascii="Arial" w:hAnsi="Arial" w:cs="Arial"/>
        </w:rPr>
        <w:t>. World J. Med. Sci. 3, 81–88.</w:t>
      </w:r>
    </w:p>
    <w:p w14:paraId="5A899D28" w14:textId="77777777" w:rsidR="000E4652" w:rsidRPr="000E4652" w:rsidRDefault="00B55651" w:rsidP="000E4652">
      <w:pPr>
        <w:pStyle w:val="Bibliography"/>
        <w:jc w:val="both"/>
        <w:rPr>
          <w:rFonts w:ascii="Arial" w:hAnsi="Arial" w:cs="Arial"/>
        </w:rPr>
      </w:pPr>
      <w:r>
        <w:rPr>
          <w:rFonts w:ascii="Arial" w:hAnsi="Arial" w:cs="Arial"/>
        </w:rPr>
        <w:t xml:space="preserve">6. </w:t>
      </w:r>
      <w:r w:rsidR="001C3637">
        <w:rPr>
          <w:rFonts w:ascii="Arial" w:hAnsi="Arial" w:cs="Arial"/>
        </w:rPr>
        <w:t>Bowers, J.H., Locke, J.C. (</w:t>
      </w:r>
      <w:r w:rsidR="000E4652" w:rsidRPr="000E4652">
        <w:rPr>
          <w:rFonts w:ascii="Arial" w:hAnsi="Arial" w:cs="Arial"/>
        </w:rPr>
        <w:t>2000</w:t>
      </w:r>
      <w:r w:rsidR="001C3637">
        <w:rPr>
          <w:rFonts w:ascii="Arial" w:hAnsi="Arial" w:cs="Arial"/>
        </w:rPr>
        <w:t>)</w:t>
      </w:r>
      <w:r w:rsidR="000E4652" w:rsidRPr="000E4652">
        <w:rPr>
          <w:rFonts w:ascii="Arial" w:hAnsi="Arial" w:cs="Arial"/>
        </w:rPr>
        <w:t xml:space="preserve">. Effect of Botanical Extracts on the Population Density of </w:t>
      </w:r>
      <w:r w:rsidR="000E4652" w:rsidRPr="000E4652">
        <w:rPr>
          <w:rFonts w:ascii="Arial" w:hAnsi="Arial" w:cs="Arial"/>
          <w:i/>
          <w:iCs/>
        </w:rPr>
        <w:t>Fusarium oxysporum</w:t>
      </w:r>
      <w:r w:rsidR="000E4652" w:rsidRPr="000E4652">
        <w:rPr>
          <w:rFonts w:ascii="Arial" w:hAnsi="Arial" w:cs="Arial"/>
        </w:rPr>
        <w:t xml:space="preserve"> in Soil and Control of Fusarium Wilt in the Greenhouse. Pl</w:t>
      </w:r>
      <w:r w:rsidR="00051FC3">
        <w:rPr>
          <w:rFonts w:ascii="Arial" w:hAnsi="Arial" w:cs="Arial"/>
        </w:rPr>
        <w:t>ant Dis. 84, 300–305.</w:t>
      </w:r>
    </w:p>
    <w:p w14:paraId="6C5EDE85" w14:textId="77777777" w:rsidR="000E4652" w:rsidRPr="000E4652" w:rsidRDefault="00B55651" w:rsidP="000E4652">
      <w:pPr>
        <w:pStyle w:val="Bibliography"/>
        <w:jc w:val="both"/>
        <w:rPr>
          <w:rFonts w:ascii="Arial" w:hAnsi="Arial" w:cs="Arial"/>
        </w:rPr>
      </w:pPr>
      <w:r>
        <w:rPr>
          <w:rFonts w:ascii="Arial" w:hAnsi="Arial" w:cs="Arial"/>
        </w:rPr>
        <w:t xml:space="preserve">7. </w:t>
      </w:r>
      <w:r w:rsidR="001C3637">
        <w:rPr>
          <w:rFonts w:ascii="Arial" w:hAnsi="Arial" w:cs="Arial"/>
        </w:rPr>
        <w:t>Burt, S. (</w:t>
      </w:r>
      <w:r w:rsidR="000E4652" w:rsidRPr="000E4652">
        <w:rPr>
          <w:rFonts w:ascii="Arial" w:hAnsi="Arial" w:cs="Arial"/>
        </w:rPr>
        <w:t>2004</w:t>
      </w:r>
      <w:r w:rsidR="001C3637">
        <w:rPr>
          <w:rFonts w:ascii="Arial" w:hAnsi="Arial" w:cs="Arial"/>
        </w:rPr>
        <w:t>)</w:t>
      </w:r>
      <w:r w:rsidR="000E4652" w:rsidRPr="000E4652">
        <w:rPr>
          <w:rFonts w:ascii="Arial" w:hAnsi="Arial" w:cs="Arial"/>
        </w:rPr>
        <w:t xml:space="preserve">. Essential oils: their antibacterial properties and </w:t>
      </w:r>
      <w:r w:rsidR="00051FC3">
        <w:rPr>
          <w:rFonts w:ascii="Arial" w:hAnsi="Arial" w:cs="Arial"/>
        </w:rPr>
        <w:t>potential applications in foods</w:t>
      </w:r>
      <w:r w:rsidR="000E4652" w:rsidRPr="000E4652">
        <w:rPr>
          <w:rFonts w:ascii="Arial" w:hAnsi="Arial" w:cs="Arial"/>
        </w:rPr>
        <w:t>. Int. J. Food Microbiol. 94, 223–253.</w:t>
      </w:r>
    </w:p>
    <w:p w14:paraId="0E8B901A" w14:textId="77777777" w:rsidR="000E4652" w:rsidRPr="000E4652" w:rsidRDefault="00B55651" w:rsidP="000E4652">
      <w:pPr>
        <w:pStyle w:val="Bibliography"/>
        <w:jc w:val="both"/>
        <w:rPr>
          <w:rFonts w:ascii="Arial" w:hAnsi="Arial" w:cs="Arial"/>
        </w:rPr>
      </w:pPr>
      <w:r>
        <w:rPr>
          <w:rFonts w:ascii="Arial" w:hAnsi="Arial" w:cs="Arial"/>
        </w:rPr>
        <w:t xml:space="preserve">8. </w:t>
      </w:r>
      <w:r w:rsidR="000E4652" w:rsidRPr="000E4652">
        <w:rPr>
          <w:rFonts w:ascii="Arial" w:hAnsi="Arial" w:cs="Arial"/>
        </w:rPr>
        <w:t>Cooke, B.</w:t>
      </w:r>
      <w:r w:rsidR="00051FC3">
        <w:rPr>
          <w:rFonts w:ascii="Arial" w:hAnsi="Arial" w:cs="Arial"/>
        </w:rPr>
        <w:t>M., Jones, D.G., Kaye, B.</w:t>
      </w:r>
      <w:r w:rsidR="001C3637">
        <w:rPr>
          <w:rFonts w:ascii="Arial" w:hAnsi="Arial" w:cs="Arial"/>
        </w:rPr>
        <w:t xml:space="preserve"> (</w:t>
      </w:r>
      <w:r w:rsidR="000E4652" w:rsidRPr="000E4652">
        <w:rPr>
          <w:rFonts w:ascii="Arial" w:hAnsi="Arial" w:cs="Arial"/>
        </w:rPr>
        <w:t>2006</w:t>
      </w:r>
      <w:r w:rsidR="001C3637">
        <w:rPr>
          <w:rFonts w:ascii="Arial" w:hAnsi="Arial" w:cs="Arial"/>
        </w:rPr>
        <w:t>)</w:t>
      </w:r>
      <w:r w:rsidR="000E4652" w:rsidRPr="000E4652">
        <w:rPr>
          <w:rFonts w:ascii="Arial" w:hAnsi="Arial" w:cs="Arial"/>
        </w:rPr>
        <w:t>. The Epidemiology of Plant Diseases. Kluwer Acade</w:t>
      </w:r>
      <w:r w:rsidR="005A0C66">
        <w:rPr>
          <w:rFonts w:ascii="Arial" w:hAnsi="Arial" w:cs="Arial"/>
        </w:rPr>
        <w:t xml:space="preserve">mic Publishers, Dordrecht. </w:t>
      </w:r>
    </w:p>
    <w:p w14:paraId="1B23EB9F" w14:textId="77777777" w:rsidR="000E4652" w:rsidRPr="000E4652" w:rsidRDefault="00B55651" w:rsidP="000E4652">
      <w:pPr>
        <w:pStyle w:val="Bibliography"/>
        <w:jc w:val="both"/>
        <w:rPr>
          <w:rFonts w:ascii="Arial" w:hAnsi="Arial" w:cs="Arial"/>
        </w:rPr>
      </w:pPr>
      <w:r w:rsidRPr="001C3637">
        <w:rPr>
          <w:rFonts w:ascii="Arial" w:hAnsi="Arial" w:cs="Arial"/>
          <w:lang w:val="fr-FR"/>
        </w:rPr>
        <w:t xml:space="preserve">9. </w:t>
      </w:r>
      <w:r w:rsidR="000E4652" w:rsidRPr="001C3637">
        <w:rPr>
          <w:rFonts w:ascii="Arial" w:hAnsi="Arial" w:cs="Arial"/>
          <w:lang w:val="fr-FR"/>
        </w:rPr>
        <w:t>Dianda, O.Z., Wonni, I., Diana, F., Traor</w:t>
      </w:r>
      <w:r w:rsidR="001C3637" w:rsidRPr="001C3637">
        <w:rPr>
          <w:rFonts w:ascii="Arial" w:hAnsi="Arial" w:cs="Arial"/>
          <w:lang w:val="fr-FR"/>
        </w:rPr>
        <w:t>é, O., Zombré, C.T., Borro, F. (</w:t>
      </w:r>
      <w:r w:rsidR="000E4652" w:rsidRPr="001C3637">
        <w:rPr>
          <w:rFonts w:ascii="Arial" w:hAnsi="Arial" w:cs="Arial"/>
          <w:lang w:val="fr-FR"/>
        </w:rPr>
        <w:t>2020</w:t>
      </w:r>
      <w:r w:rsidR="001C3637">
        <w:rPr>
          <w:rFonts w:ascii="Arial" w:hAnsi="Arial" w:cs="Arial"/>
          <w:lang w:val="fr-FR"/>
        </w:rPr>
        <w:t>)</w:t>
      </w:r>
      <w:r w:rsidR="000E4652" w:rsidRPr="001C3637">
        <w:rPr>
          <w:rFonts w:ascii="Arial" w:hAnsi="Arial" w:cs="Arial"/>
          <w:lang w:val="fr-FR"/>
        </w:rPr>
        <w:t xml:space="preserve">. </w:t>
      </w:r>
      <w:r w:rsidR="000E4652" w:rsidRPr="000E4652">
        <w:rPr>
          <w:rFonts w:ascii="Arial" w:hAnsi="Arial" w:cs="Arial"/>
        </w:rPr>
        <w:t>In vitro efficacy of some plant aqueous extracts against two species of Lasiodiplodia associated to mango decline in Burkina Faso. Int. J. Biol. Chem. Sci. 14, 2699–2712.</w:t>
      </w:r>
    </w:p>
    <w:p w14:paraId="4C12F2C0" w14:textId="77777777" w:rsidR="000E4652" w:rsidRPr="000E4652" w:rsidRDefault="00B55651" w:rsidP="000E4652">
      <w:pPr>
        <w:pStyle w:val="Bibliography"/>
        <w:jc w:val="both"/>
        <w:rPr>
          <w:rFonts w:ascii="Arial" w:hAnsi="Arial" w:cs="Arial"/>
        </w:rPr>
      </w:pPr>
      <w:r>
        <w:rPr>
          <w:rFonts w:ascii="Arial" w:hAnsi="Arial" w:cs="Arial"/>
        </w:rPr>
        <w:t xml:space="preserve">10. </w:t>
      </w:r>
      <w:r w:rsidR="001C3637">
        <w:rPr>
          <w:rFonts w:ascii="Arial" w:hAnsi="Arial" w:cs="Arial"/>
        </w:rPr>
        <w:t>Edel-Hermann, V., Lecomte, C. (</w:t>
      </w:r>
      <w:r w:rsidR="000E4652" w:rsidRPr="000E4652">
        <w:rPr>
          <w:rFonts w:ascii="Arial" w:hAnsi="Arial" w:cs="Arial"/>
        </w:rPr>
        <w:t>2019</w:t>
      </w:r>
      <w:r w:rsidR="001C3637">
        <w:rPr>
          <w:rFonts w:ascii="Arial" w:hAnsi="Arial" w:cs="Arial"/>
        </w:rPr>
        <w:t>)</w:t>
      </w:r>
      <w:r w:rsidR="000E4652" w:rsidRPr="000E4652">
        <w:rPr>
          <w:rFonts w:ascii="Arial" w:hAnsi="Arial" w:cs="Arial"/>
        </w:rPr>
        <w:t xml:space="preserve">. Current Status of </w:t>
      </w:r>
      <w:r w:rsidR="000E4652" w:rsidRPr="000E4652">
        <w:rPr>
          <w:rFonts w:ascii="Arial" w:hAnsi="Arial" w:cs="Arial"/>
          <w:i/>
          <w:iCs/>
        </w:rPr>
        <w:t>Fusarium oxysporum Formae</w:t>
      </w:r>
      <w:r w:rsidR="000E4652" w:rsidRPr="000E4652">
        <w:rPr>
          <w:rFonts w:ascii="Arial" w:hAnsi="Arial" w:cs="Arial"/>
        </w:rPr>
        <w:t xml:space="preserve"> </w:t>
      </w:r>
      <w:r w:rsidR="000E4652" w:rsidRPr="000E4652">
        <w:rPr>
          <w:rFonts w:ascii="Arial" w:hAnsi="Arial" w:cs="Arial"/>
          <w:i/>
          <w:iCs/>
        </w:rPr>
        <w:t>Speciales</w:t>
      </w:r>
      <w:r w:rsidR="000E4652" w:rsidRPr="000E4652">
        <w:rPr>
          <w:rFonts w:ascii="Arial" w:hAnsi="Arial" w:cs="Arial"/>
        </w:rPr>
        <w:t xml:space="preserve"> and Races. Phytopatho</w:t>
      </w:r>
      <w:r w:rsidR="001C3637">
        <w:rPr>
          <w:rFonts w:ascii="Arial" w:hAnsi="Arial" w:cs="Arial"/>
        </w:rPr>
        <w:t>logy.</w:t>
      </w:r>
      <w:r w:rsidR="005A0C66">
        <w:rPr>
          <w:rFonts w:ascii="Arial" w:hAnsi="Arial" w:cs="Arial"/>
        </w:rPr>
        <w:t xml:space="preserve"> 109, 512–530.</w:t>
      </w:r>
    </w:p>
    <w:p w14:paraId="0DF78E3D" w14:textId="77777777" w:rsidR="000E4652" w:rsidRPr="000E4652" w:rsidRDefault="00B55651" w:rsidP="000E4652">
      <w:pPr>
        <w:pStyle w:val="Bibliography"/>
        <w:jc w:val="both"/>
        <w:rPr>
          <w:rFonts w:ascii="Arial" w:hAnsi="Arial" w:cs="Arial"/>
        </w:rPr>
      </w:pPr>
      <w:r>
        <w:rPr>
          <w:rFonts w:ascii="Arial" w:hAnsi="Arial" w:cs="Arial"/>
        </w:rPr>
        <w:t xml:space="preserve">11. </w:t>
      </w:r>
      <w:r w:rsidR="000E4652" w:rsidRPr="000E4652">
        <w:rPr>
          <w:rFonts w:ascii="Arial" w:hAnsi="Arial" w:cs="Arial"/>
        </w:rPr>
        <w:t>El-Mougy, N.S., Abd-El-Kareem, F.</w:t>
      </w:r>
      <w:r w:rsidR="001C3637">
        <w:rPr>
          <w:rFonts w:ascii="Arial" w:hAnsi="Arial" w:cs="Arial"/>
        </w:rPr>
        <w:t>, El-Gamal, N.G., Fotouh, Y.O. (</w:t>
      </w:r>
      <w:r w:rsidR="000E4652" w:rsidRPr="000E4652">
        <w:rPr>
          <w:rFonts w:ascii="Arial" w:hAnsi="Arial" w:cs="Arial"/>
        </w:rPr>
        <w:t>2004</w:t>
      </w:r>
      <w:r w:rsidR="001C3637">
        <w:rPr>
          <w:rFonts w:ascii="Arial" w:hAnsi="Arial" w:cs="Arial"/>
        </w:rPr>
        <w:t>)</w:t>
      </w:r>
      <w:r w:rsidR="000E4652" w:rsidRPr="000E4652">
        <w:rPr>
          <w:rFonts w:ascii="Arial" w:hAnsi="Arial" w:cs="Arial"/>
        </w:rPr>
        <w:t>. Application of fungicides alternatives for controlling cowpea root rot diseases under greenhouse and field conditions. Egypt J Phytopathol 32, 23–35.</w:t>
      </w:r>
    </w:p>
    <w:p w14:paraId="6D186F82" w14:textId="77777777" w:rsidR="000E4652" w:rsidRPr="000E4652" w:rsidRDefault="00B55651" w:rsidP="000E4652">
      <w:pPr>
        <w:pStyle w:val="Bibliography"/>
        <w:jc w:val="both"/>
        <w:rPr>
          <w:rFonts w:ascii="Arial" w:hAnsi="Arial" w:cs="Arial"/>
          <w:lang w:val="fr-FR"/>
        </w:rPr>
      </w:pPr>
      <w:r w:rsidRPr="005A0C66">
        <w:rPr>
          <w:rFonts w:ascii="Arial" w:hAnsi="Arial" w:cs="Arial"/>
          <w:lang w:val="fr-FR"/>
        </w:rPr>
        <w:t xml:space="preserve">12. </w:t>
      </w:r>
      <w:r w:rsidR="005A0C66" w:rsidRPr="005A0C66">
        <w:rPr>
          <w:rFonts w:ascii="Arial" w:hAnsi="Arial" w:cs="Arial"/>
          <w:lang w:val="fr-FR"/>
        </w:rPr>
        <w:t>Dabi</w:t>
      </w:r>
      <w:r w:rsidR="005A0C66">
        <w:rPr>
          <w:rFonts w:ascii="Arial" w:hAnsi="Arial" w:cs="Arial"/>
          <w:lang w:val="fr-FR"/>
        </w:rPr>
        <w:t>ré</w:t>
      </w:r>
      <w:r w:rsidR="000E4652" w:rsidRPr="005A0C66">
        <w:rPr>
          <w:rFonts w:ascii="Arial" w:hAnsi="Arial" w:cs="Arial"/>
          <w:lang w:val="fr-FR"/>
        </w:rPr>
        <w:t>, D.T., Amadou, I</w:t>
      </w:r>
      <w:r w:rsidR="001C3637">
        <w:rPr>
          <w:rFonts w:ascii="Arial" w:hAnsi="Arial" w:cs="Arial"/>
          <w:lang w:val="fr-FR"/>
        </w:rPr>
        <w:t>.S., Schémaéza, B., Irénée, S. (</w:t>
      </w:r>
      <w:r w:rsidR="000E4652" w:rsidRPr="005A0C66">
        <w:rPr>
          <w:rFonts w:ascii="Arial" w:hAnsi="Arial" w:cs="Arial"/>
          <w:lang w:val="fr-FR"/>
        </w:rPr>
        <w:t>2023</w:t>
      </w:r>
      <w:r w:rsidR="001C3637">
        <w:rPr>
          <w:rFonts w:ascii="Arial" w:hAnsi="Arial" w:cs="Arial"/>
          <w:lang w:val="fr-FR"/>
        </w:rPr>
        <w:t>)</w:t>
      </w:r>
      <w:r w:rsidR="000E4652" w:rsidRPr="005A0C66">
        <w:rPr>
          <w:rFonts w:ascii="Arial" w:hAnsi="Arial" w:cs="Arial"/>
          <w:lang w:val="fr-FR"/>
        </w:rPr>
        <w:t xml:space="preserve">. </w:t>
      </w:r>
      <w:r w:rsidR="000E4652" w:rsidRPr="000E4652">
        <w:rPr>
          <w:rFonts w:ascii="Arial" w:hAnsi="Arial" w:cs="Arial"/>
          <w:lang w:val="fr-FR"/>
        </w:rPr>
        <w:t>Effet de l’</w:t>
      </w:r>
      <w:r w:rsidR="000E4652" w:rsidRPr="000E4652">
        <w:rPr>
          <w:rFonts w:ascii="Arial" w:hAnsi="Arial" w:cs="Arial"/>
        </w:rPr>
        <w:t>Е</w:t>
      </w:r>
      <w:r w:rsidR="000E4652" w:rsidRPr="000E4652">
        <w:rPr>
          <w:rFonts w:ascii="Arial" w:hAnsi="Arial" w:cs="Arial"/>
          <w:lang w:val="fr-FR"/>
        </w:rPr>
        <w:t>nrobage des Semences de Maïs (Zea mays L.) avec Trichoderma harzianum sur la Levée et la Croissance des Plantules au Burkina Faso.</w:t>
      </w:r>
      <w:r w:rsidR="005A0C66">
        <w:rPr>
          <w:rFonts w:ascii="Arial" w:hAnsi="Arial" w:cs="Arial"/>
          <w:lang w:val="fr-FR"/>
        </w:rPr>
        <w:t xml:space="preserve"> </w:t>
      </w:r>
      <w:r w:rsidR="005A0C66" w:rsidRPr="005A0C66">
        <w:rPr>
          <w:rFonts w:ascii="Arial" w:hAnsi="Arial" w:cs="Arial"/>
          <w:i/>
          <w:lang w:val="fr-FR"/>
        </w:rPr>
        <w:t>ESJ</w:t>
      </w:r>
      <w:r w:rsidR="005A0C66">
        <w:rPr>
          <w:rFonts w:ascii="Arial" w:hAnsi="Arial" w:cs="Arial"/>
          <w:lang w:val="fr-FR"/>
        </w:rPr>
        <w:t>. 24, 90-110</w:t>
      </w:r>
    </w:p>
    <w:p w14:paraId="5D7AB4A7" w14:textId="77777777" w:rsidR="000E4652" w:rsidRPr="000E4652" w:rsidRDefault="00B55651" w:rsidP="000E4652">
      <w:pPr>
        <w:pStyle w:val="Bibliography"/>
        <w:jc w:val="both"/>
        <w:rPr>
          <w:rFonts w:ascii="Arial" w:hAnsi="Arial" w:cs="Arial"/>
          <w:lang w:val="fr-FR"/>
        </w:rPr>
      </w:pPr>
      <w:r>
        <w:rPr>
          <w:rFonts w:ascii="Arial" w:hAnsi="Arial" w:cs="Arial"/>
          <w:lang w:val="fr-FR"/>
        </w:rPr>
        <w:t xml:space="preserve">13. </w:t>
      </w:r>
      <w:r w:rsidR="000E4652" w:rsidRPr="000E4652">
        <w:rPr>
          <w:rFonts w:ascii="Arial" w:hAnsi="Arial" w:cs="Arial"/>
          <w:lang w:val="fr-FR"/>
        </w:rPr>
        <w:t>Govindachari, T.R., Suresh, G., Gopalakrishnan, G.,</w:t>
      </w:r>
      <w:r w:rsidR="001C3637">
        <w:rPr>
          <w:rFonts w:ascii="Arial" w:hAnsi="Arial" w:cs="Arial"/>
          <w:lang w:val="fr-FR"/>
        </w:rPr>
        <w:t xml:space="preserve"> Banumathy, B., Masilamani, S. (</w:t>
      </w:r>
      <w:r w:rsidR="000E4652" w:rsidRPr="000E4652">
        <w:rPr>
          <w:rFonts w:ascii="Arial" w:hAnsi="Arial" w:cs="Arial"/>
          <w:lang w:val="fr-FR"/>
        </w:rPr>
        <w:t>1998</w:t>
      </w:r>
      <w:r w:rsidR="001C3637">
        <w:rPr>
          <w:rFonts w:ascii="Arial" w:hAnsi="Arial" w:cs="Arial"/>
          <w:lang w:val="fr-FR"/>
        </w:rPr>
        <w:t>)</w:t>
      </w:r>
      <w:r w:rsidR="000E4652" w:rsidRPr="000E4652">
        <w:rPr>
          <w:rFonts w:ascii="Arial" w:hAnsi="Arial" w:cs="Arial"/>
          <w:lang w:val="fr-FR"/>
        </w:rPr>
        <w:t xml:space="preserve">. </w:t>
      </w:r>
      <w:r w:rsidR="000E4652" w:rsidRPr="000E4652">
        <w:rPr>
          <w:rFonts w:ascii="Arial" w:hAnsi="Arial" w:cs="Arial"/>
        </w:rPr>
        <w:t>Identification of antifungal compounds from the seed oil of</w:t>
      </w:r>
      <w:r w:rsidR="005A0C66">
        <w:rPr>
          <w:rFonts w:ascii="Arial" w:hAnsi="Arial" w:cs="Arial"/>
        </w:rPr>
        <w:t xml:space="preserve"> </w:t>
      </w:r>
      <w:r w:rsidR="000E4652" w:rsidRPr="000E4652">
        <w:rPr>
          <w:rFonts w:ascii="Arial" w:hAnsi="Arial" w:cs="Arial"/>
        </w:rPr>
        <w:t xml:space="preserve">Azadirachta Indica. </w:t>
      </w:r>
      <w:r w:rsidR="005A0C66">
        <w:rPr>
          <w:rFonts w:ascii="Arial" w:hAnsi="Arial" w:cs="Arial"/>
          <w:lang w:val="fr-FR"/>
        </w:rPr>
        <w:t>Phytoparasitica 26, 109–116.</w:t>
      </w:r>
    </w:p>
    <w:p w14:paraId="47715032" w14:textId="77777777" w:rsidR="000E4652" w:rsidRPr="000E4652" w:rsidRDefault="00B55651" w:rsidP="000E4652">
      <w:pPr>
        <w:pStyle w:val="Bibliography"/>
        <w:jc w:val="both"/>
        <w:rPr>
          <w:rFonts w:ascii="Arial" w:hAnsi="Arial" w:cs="Arial"/>
          <w:lang w:val="fr-FR"/>
        </w:rPr>
      </w:pPr>
      <w:r>
        <w:rPr>
          <w:rFonts w:ascii="Arial" w:hAnsi="Arial" w:cs="Arial"/>
          <w:lang w:val="fr-FR"/>
        </w:rPr>
        <w:t xml:space="preserve">14. </w:t>
      </w:r>
      <w:r w:rsidR="000E4652" w:rsidRPr="000E4652">
        <w:rPr>
          <w:rFonts w:ascii="Arial" w:hAnsi="Arial" w:cs="Arial"/>
          <w:lang w:val="fr-FR"/>
        </w:rPr>
        <w:t>Hamdache, A., Lamart</w:t>
      </w:r>
      <w:r w:rsidR="001C3637">
        <w:rPr>
          <w:rFonts w:ascii="Arial" w:hAnsi="Arial" w:cs="Arial"/>
          <w:lang w:val="fr-FR"/>
        </w:rPr>
        <w:t>i, A., Badoc, A. (</w:t>
      </w:r>
      <w:r w:rsidR="000E4652" w:rsidRPr="000E4652">
        <w:rPr>
          <w:rFonts w:ascii="Arial" w:hAnsi="Arial" w:cs="Arial"/>
          <w:lang w:val="fr-FR"/>
        </w:rPr>
        <w:t>2010</w:t>
      </w:r>
      <w:r w:rsidR="001C3637">
        <w:rPr>
          <w:rFonts w:ascii="Arial" w:hAnsi="Arial" w:cs="Arial"/>
          <w:lang w:val="fr-FR"/>
        </w:rPr>
        <w:t>)</w:t>
      </w:r>
      <w:r w:rsidR="000E4652" w:rsidRPr="000E4652">
        <w:rPr>
          <w:rFonts w:ascii="Arial" w:hAnsi="Arial" w:cs="Arial"/>
          <w:lang w:val="fr-FR"/>
        </w:rPr>
        <w:t>. Résistance in vitro de Botrytis cinerea à trois fongicides. Bull Soc Pharm Bordx. 149, 103–114.</w:t>
      </w:r>
    </w:p>
    <w:p w14:paraId="611E6CB9" w14:textId="77777777" w:rsidR="000E4652" w:rsidRPr="000E4652" w:rsidRDefault="00B55651" w:rsidP="000E4652">
      <w:pPr>
        <w:pStyle w:val="Bibliography"/>
        <w:jc w:val="both"/>
        <w:rPr>
          <w:rFonts w:ascii="Arial" w:hAnsi="Arial" w:cs="Arial"/>
        </w:rPr>
      </w:pPr>
      <w:r>
        <w:rPr>
          <w:rFonts w:ascii="Arial" w:hAnsi="Arial" w:cs="Arial"/>
          <w:lang w:val="fr-FR"/>
        </w:rPr>
        <w:t xml:space="preserve">15. </w:t>
      </w:r>
      <w:r w:rsidR="000E4652" w:rsidRPr="000E4652">
        <w:rPr>
          <w:rFonts w:ascii="Arial" w:hAnsi="Arial" w:cs="Arial"/>
          <w:lang w:val="fr-FR"/>
        </w:rPr>
        <w:t>Kintega, K.R., Zida, P.E., Tarpaga,</w:t>
      </w:r>
      <w:r w:rsidR="001C3637">
        <w:rPr>
          <w:rFonts w:ascii="Arial" w:hAnsi="Arial" w:cs="Arial"/>
          <w:lang w:val="fr-FR"/>
        </w:rPr>
        <w:t xml:space="preserve"> V.W., Sankara, P., Sereme, P. (</w:t>
      </w:r>
      <w:r w:rsidR="000E4652" w:rsidRPr="000E4652">
        <w:rPr>
          <w:rFonts w:ascii="Arial" w:hAnsi="Arial" w:cs="Arial"/>
          <w:lang w:val="fr-FR"/>
        </w:rPr>
        <w:t>2020</w:t>
      </w:r>
      <w:r w:rsidR="001C3637">
        <w:rPr>
          <w:rFonts w:ascii="Arial" w:hAnsi="Arial" w:cs="Arial"/>
          <w:lang w:val="fr-FR"/>
        </w:rPr>
        <w:t>)</w:t>
      </w:r>
      <w:r w:rsidR="000E4652" w:rsidRPr="000E4652">
        <w:rPr>
          <w:rFonts w:ascii="Arial" w:hAnsi="Arial" w:cs="Arial"/>
          <w:lang w:val="fr-FR"/>
        </w:rPr>
        <w:t xml:space="preserve">. </w:t>
      </w:r>
      <w:r w:rsidR="000E4652" w:rsidRPr="000E4652">
        <w:rPr>
          <w:rFonts w:ascii="Arial" w:hAnsi="Arial" w:cs="Arial"/>
        </w:rPr>
        <w:t>Identification of Fusarium species associated with onion (Allium cepa L.) plants in field in Burkina Faso. Adv. Biosci. Biotechnol. 11, 94–110.</w:t>
      </w:r>
    </w:p>
    <w:p w14:paraId="673DD7E3" w14:textId="77777777" w:rsidR="000E4652" w:rsidRPr="000E4652" w:rsidRDefault="00B55651" w:rsidP="000E4652">
      <w:pPr>
        <w:pStyle w:val="Bibliography"/>
        <w:jc w:val="both"/>
        <w:rPr>
          <w:rFonts w:ascii="Arial" w:hAnsi="Arial" w:cs="Arial"/>
        </w:rPr>
      </w:pPr>
      <w:r w:rsidRPr="00B55651">
        <w:rPr>
          <w:rFonts w:ascii="Arial" w:hAnsi="Arial" w:cs="Arial"/>
          <w:lang w:val="fr-FR"/>
        </w:rPr>
        <w:t>16</w:t>
      </w:r>
      <w:r>
        <w:rPr>
          <w:rFonts w:ascii="Arial" w:hAnsi="Arial" w:cs="Arial"/>
          <w:lang w:val="fr-FR"/>
        </w:rPr>
        <w:t xml:space="preserve">. </w:t>
      </w:r>
      <w:r w:rsidR="000E4652" w:rsidRPr="00B55651">
        <w:rPr>
          <w:rFonts w:ascii="Arial" w:hAnsi="Arial" w:cs="Arial"/>
          <w:lang w:val="fr-FR"/>
        </w:rPr>
        <w:t>Klotioloma, C., Jésus, F.I., Françoise, D.-G., Tchéféri, S., Lacina, N., Sahin, G.B., Pierre, N.W., Kotai</w:t>
      </w:r>
      <w:r w:rsidR="001C3637">
        <w:rPr>
          <w:rFonts w:ascii="Arial" w:hAnsi="Arial" w:cs="Arial"/>
          <w:lang w:val="fr-FR"/>
        </w:rPr>
        <w:t>x, A., Mathias, T., Maryse, A. (</w:t>
      </w:r>
      <w:r w:rsidR="000E4652" w:rsidRPr="00B55651">
        <w:rPr>
          <w:rFonts w:ascii="Arial" w:hAnsi="Arial" w:cs="Arial"/>
          <w:lang w:val="fr-FR"/>
        </w:rPr>
        <w:t>2023</w:t>
      </w:r>
      <w:r w:rsidR="001C3637">
        <w:rPr>
          <w:rFonts w:ascii="Arial" w:hAnsi="Arial" w:cs="Arial"/>
          <w:lang w:val="fr-FR"/>
        </w:rPr>
        <w:t>)</w:t>
      </w:r>
      <w:r w:rsidR="000E4652" w:rsidRPr="00B55651">
        <w:rPr>
          <w:rFonts w:ascii="Arial" w:hAnsi="Arial" w:cs="Arial"/>
          <w:lang w:val="fr-FR"/>
        </w:rPr>
        <w:t xml:space="preserve">. </w:t>
      </w:r>
      <w:r w:rsidR="000E4652" w:rsidRPr="000E4652">
        <w:rPr>
          <w:rFonts w:ascii="Arial" w:hAnsi="Arial" w:cs="Arial"/>
          <w:lang w:val="fr-FR"/>
        </w:rPr>
        <w:t xml:space="preserve">Incidence de la pourriture noire des cabosses du cacaoyer (Theobroma cacao L.) et caractérisation de Botryodiplodia theobromae, agent causal en Côte d’Ivoire. </w:t>
      </w:r>
      <w:r w:rsidR="000E4652" w:rsidRPr="000E4652">
        <w:rPr>
          <w:rFonts w:ascii="Arial" w:hAnsi="Arial" w:cs="Arial"/>
        </w:rPr>
        <w:t>J. Appl. Biosci. 184, 19349–19364.</w:t>
      </w:r>
    </w:p>
    <w:p w14:paraId="4A9001C5" w14:textId="77777777" w:rsidR="000E4652" w:rsidRPr="000E4652" w:rsidRDefault="00B55651" w:rsidP="000E4652">
      <w:pPr>
        <w:pStyle w:val="Bibliography"/>
        <w:jc w:val="both"/>
        <w:rPr>
          <w:rFonts w:ascii="Arial" w:hAnsi="Arial" w:cs="Arial"/>
        </w:rPr>
      </w:pPr>
      <w:r>
        <w:rPr>
          <w:rFonts w:ascii="Arial" w:hAnsi="Arial" w:cs="Arial"/>
        </w:rPr>
        <w:t xml:space="preserve">17. </w:t>
      </w:r>
      <w:r w:rsidR="000E4652" w:rsidRPr="000E4652">
        <w:rPr>
          <w:rFonts w:ascii="Arial" w:hAnsi="Arial" w:cs="Arial"/>
        </w:rPr>
        <w:t>Lesl</w:t>
      </w:r>
      <w:r w:rsidR="005A0C66">
        <w:rPr>
          <w:rFonts w:ascii="Arial" w:hAnsi="Arial" w:cs="Arial"/>
        </w:rPr>
        <w:t>ie, J.F., Summerell, B.A.</w:t>
      </w:r>
      <w:r w:rsidR="001C3637">
        <w:rPr>
          <w:rFonts w:ascii="Arial" w:hAnsi="Arial" w:cs="Arial"/>
        </w:rPr>
        <w:t xml:space="preserve"> (</w:t>
      </w:r>
      <w:r w:rsidR="000E4652" w:rsidRPr="000E4652">
        <w:rPr>
          <w:rFonts w:ascii="Arial" w:hAnsi="Arial" w:cs="Arial"/>
        </w:rPr>
        <w:t>2006</w:t>
      </w:r>
      <w:r w:rsidR="001C3637">
        <w:rPr>
          <w:rFonts w:ascii="Arial" w:hAnsi="Arial" w:cs="Arial"/>
        </w:rPr>
        <w:t>)</w:t>
      </w:r>
      <w:r w:rsidR="000E4652" w:rsidRPr="000E4652">
        <w:rPr>
          <w:rFonts w:ascii="Arial" w:hAnsi="Arial" w:cs="Arial"/>
        </w:rPr>
        <w:t>. The Fusarium Labor</w:t>
      </w:r>
      <w:r w:rsidR="005A0C66">
        <w:rPr>
          <w:rFonts w:ascii="Arial" w:hAnsi="Arial" w:cs="Arial"/>
        </w:rPr>
        <w:t xml:space="preserve">atory Manual, 1st ed. Wiley. </w:t>
      </w:r>
    </w:p>
    <w:p w14:paraId="11A0C866" w14:textId="77777777" w:rsidR="000E4652" w:rsidRPr="000E4652" w:rsidRDefault="00B55651" w:rsidP="000E4652">
      <w:pPr>
        <w:pStyle w:val="Bibliography"/>
        <w:jc w:val="both"/>
        <w:rPr>
          <w:rFonts w:ascii="Arial" w:hAnsi="Arial" w:cs="Arial"/>
        </w:rPr>
      </w:pPr>
      <w:r>
        <w:rPr>
          <w:rFonts w:ascii="Arial" w:hAnsi="Arial" w:cs="Arial"/>
        </w:rPr>
        <w:t xml:space="preserve">18. </w:t>
      </w:r>
      <w:r w:rsidR="001C3637">
        <w:rPr>
          <w:rFonts w:ascii="Arial" w:hAnsi="Arial" w:cs="Arial"/>
        </w:rPr>
        <w:t>Mathur, S.B., Kongsdal, O. (</w:t>
      </w:r>
      <w:r w:rsidR="000E4652" w:rsidRPr="000E4652">
        <w:rPr>
          <w:rFonts w:ascii="Arial" w:hAnsi="Arial" w:cs="Arial"/>
        </w:rPr>
        <w:t>2003a</w:t>
      </w:r>
      <w:r w:rsidR="001C3637">
        <w:rPr>
          <w:rFonts w:ascii="Arial" w:hAnsi="Arial" w:cs="Arial"/>
        </w:rPr>
        <w:t>)</w:t>
      </w:r>
      <w:r w:rsidR="000E4652" w:rsidRPr="000E4652">
        <w:rPr>
          <w:rFonts w:ascii="Arial" w:hAnsi="Arial" w:cs="Arial"/>
        </w:rPr>
        <w:t>. Common laboratory seed health testing methods for detecting fungi.</w:t>
      </w:r>
    </w:p>
    <w:p w14:paraId="60349EC2" w14:textId="77777777" w:rsidR="000E4652" w:rsidRPr="000E4652" w:rsidRDefault="00B55651" w:rsidP="000E4652">
      <w:pPr>
        <w:pStyle w:val="Bibliography"/>
        <w:jc w:val="both"/>
        <w:rPr>
          <w:rFonts w:ascii="Arial" w:hAnsi="Arial" w:cs="Arial"/>
        </w:rPr>
      </w:pPr>
      <w:r>
        <w:rPr>
          <w:rFonts w:ascii="Arial" w:hAnsi="Arial" w:cs="Arial"/>
        </w:rPr>
        <w:t xml:space="preserve">19. </w:t>
      </w:r>
      <w:r w:rsidR="001C3637">
        <w:rPr>
          <w:rFonts w:ascii="Arial" w:hAnsi="Arial" w:cs="Arial"/>
        </w:rPr>
        <w:t>Mathur, S.B., Kongsdal, O. (</w:t>
      </w:r>
      <w:r w:rsidR="000E4652" w:rsidRPr="000E4652">
        <w:rPr>
          <w:rFonts w:ascii="Arial" w:hAnsi="Arial" w:cs="Arial"/>
        </w:rPr>
        <w:t>2003b</w:t>
      </w:r>
      <w:r w:rsidR="001C3637">
        <w:rPr>
          <w:rFonts w:ascii="Arial" w:hAnsi="Arial" w:cs="Arial"/>
        </w:rPr>
        <w:t>)</w:t>
      </w:r>
      <w:r w:rsidR="000E4652" w:rsidRPr="000E4652">
        <w:rPr>
          <w:rFonts w:ascii="Arial" w:hAnsi="Arial" w:cs="Arial"/>
        </w:rPr>
        <w:t>. Common laboratory seed health testing methods for detecting fungi.</w:t>
      </w:r>
    </w:p>
    <w:p w14:paraId="5DBB7109" w14:textId="77777777" w:rsidR="000E4652" w:rsidRPr="000E4652" w:rsidRDefault="00B55651" w:rsidP="000E4652">
      <w:pPr>
        <w:pStyle w:val="Bibliography"/>
        <w:jc w:val="both"/>
        <w:rPr>
          <w:rFonts w:ascii="Arial" w:hAnsi="Arial" w:cs="Arial"/>
        </w:rPr>
      </w:pPr>
      <w:r>
        <w:rPr>
          <w:rFonts w:ascii="Arial" w:hAnsi="Arial" w:cs="Arial"/>
        </w:rPr>
        <w:t xml:space="preserve">20. </w:t>
      </w:r>
      <w:r w:rsidR="000E4652" w:rsidRPr="000E4652">
        <w:rPr>
          <w:rFonts w:ascii="Arial" w:hAnsi="Arial" w:cs="Arial"/>
        </w:rPr>
        <w:t>Meraj-Ul, H., Nan</w:t>
      </w:r>
      <w:r w:rsidR="001C3637">
        <w:rPr>
          <w:rFonts w:ascii="Arial" w:hAnsi="Arial" w:cs="Arial"/>
        </w:rPr>
        <w:t>dkar, P.B. (</w:t>
      </w:r>
      <w:r w:rsidR="000E4652" w:rsidRPr="000E4652">
        <w:rPr>
          <w:rFonts w:ascii="Arial" w:hAnsi="Arial" w:cs="Arial"/>
        </w:rPr>
        <w:t>2012</w:t>
      </w:r>
      <w:r w:rsidR="001C3637">
        <w:rPr>
          <w:rFonts w:ascii="Arial" w:hAnsi="Arial" w:cs="Arial"/>
        </w:rPr>
        <w:t>)</w:t>
      </w:r>
      <w:r w:rsidR="000E4652" w:rsidRPr="000E4652">
        <w:rPr>
          <w:rFonts w:ascii="Arial" w:hAnsi="Arial" w:cs="Arial"/>
        </w:rPr>
        <w:t>. Antagonistic effect of rhizospheric Trichoderma isolates against tomato damping-off pathogen, Fusarium oxysporum f. sp. lycopersici. Intl J Res BioSci 1, 27–3</w:t>
      </w:r>
      <w:r w:rsidR="005A0C66">
        <w:rPr>
          <w:rFonts w:ascii="Arial" w:hAnsi="Arial" w:cs="Arial"/>
        </w:rPr>
        <w:t>0</w:t>
      </w:r>
      <w:r w:rsidR="000E4652" w:rsidRPr="000E4652">
        <w:rPr>
          <w:rFonts w:ascii="Arial" w:hAnsi="Arial" w:cs="Arial"/>
        </w:rPr>
        <w:t>.</w:t>
      </w:r>
    </w:p>
    <w:p w14:paraId="7AEC4A12" w14:textId="77777777" w:rsidR="000E4652" w:rsidRPr="000E4652" w:rsidRDefault="00051FC3" w:rsidP="000E4652">
      <w:pPr>
        <w:pStyle w:val="Bibliography"/>
        <w:jc w:val="both"/>
        <w:rPr>
          <w:rFonts w:ascii="Arial" w:hAnsi="Arial" w:cs="Arial"/>
        </w:rPr>
      </w:pPr>
      <w:r>
        <w:rPr>
          <w:rFonts w:ascii="Arial" w:hAnsi="Arial" w:cs="Arial"/>
        </w:rPr>
        <w:t xml:space="preserve">21. </w:t>
      </w:r>
      <w:r w:rsidR="000E4652" w:rsidRPr="000E4652">
        <w:rPr>
          <w:rFonts w:ascii="Arial" w:hAnsi="Arial" w:cs="Arial"/>
        </w:rPr>
        <w:t>Mishra, S., Sahu</w:t>
      </w:r>
      <w:r w:rsidR="001C3637">
        <w:rPr>
          <w:rFonts w:ascii="Arial" w:hAnsi="Arial" w:cs="Arial"/>
        </w:rPr>
        <w:t>, P.K., Agarwal, V., Singh, N. (</w:t>
      </w:r>
      <w:r w:rsidR="000E4652" w:rsidRPr="000E4652">
        <w:rPr>
          <w:rFonts w:ascii="Arial" w:hAnsi="Arial" w:cs="Arial"/>
        </w:rPr>
        <w:t>2021</w:t>
      </w:r>
      <w:r w:rsidR="001C3637">
        <w:rPr>
          <w:rFonts w:ascii="Arial" w:hAnsi="Arial" w:cs="Arial"/>
        </w:rPr>
        <w:t>)</w:t>
      </w:r>
      <w:r w:rsidR="000E4652" w:rsidRPr="000E4652">
        <w:rPr>
          <w:rFonts w:ascii="Arial" w:hAnsi="Arial" w:cs="Arial"/>
        </w:rPr>
        <w:t>. Exploiting endophytic microbes as micro-factories for plant secondary metabolite production. Appl. Microbiol. Biotec</w:t>
      </w:r>
      <w:r w:rsidR="005A0C66">
        <w:rPr>
          <w:rFonts w:ascii="Arial" w:hAnsi="Arial" w:cs="Arial"/>
        </w:rPr>
        <w:t xml:space="preserve">hnol. 105, 6579–6596. </w:t>
      </w:r>
    </w:p>
    <w:p w14:paraId="55E292A4" w14:textId="77777777" w:rsidR="000E4652" w:rsidRPr="000E4652" w:rsidRDefault="00051FC3" w:rsidP="000E4652">
      <w:pPr>
        <w:pStyle w:val="Bibliography"/>
        <w:jc w:val="both"/>
        <w:rPr>
          <w:rFonts w:ascii="Arial" w:hAnsi="Arial" w:cs="Arial"/>
        </w:rPr>
      </w:pPr>
      <w:r>
        <w:rPr>
          <w:rFonts w:ascii="Arial" w:hAnsi="Arial" w:cs="Arial"/>
        </w:rPr>
        <w:lastRenderedPageBreak/>
        <w:t xml:space="preserve">22. </w:t>
      </w:r>
      <w:r w:rsidR="000E4652" w:rsidRPr="000E4652">
        <w:rPr>
          <w:rFonts w:ascii="Arial" w:hAnsi="Arial" w:cs="Arial"/>
        </w:rPr>
        <w:t>Prakash, B., Kedia,</w:t>
      </w:r>
      <w:r w:rsidR="001C3637">
        <w:rPr>
          <w:rFonts w:ascii="Arial" w:hAnsi="Arial" w:cs="Arial"/>
        </w:rPr>
        <w:t xml:space="preserve"> A., Mishra, P.K., Dubey, N.K. (</w:t>
      </w:r>
      <w:r w:rsidR="000E4652" w:rsidRPr="000E4652">
        <w:rPr>
          <w:rFonts w:ascii="Arial" w:hAnsi="Arial" w:cs="Arial"/>
        </w:rPr>
        <w:t>2015</w:t>
      </w:r>
      <w:r w:rsidR="001C3637">
        <w:rPr>
          <w:rFonts w:ascii="Arial" w:hAnsi="Arial" w:cs="Arial"/>
        </w:rPr>
        <w:t>)</w:t>
      </w:r>
      <w:r w:rsidR="000E4652" w:rsidRPr="000E4652">
        <w:rPr>
          <w:rFonts w:ascii="Arial" w:hAnsi="Arial" w:cs="Arial"/>
        </w:rPr>
        <w:t>. Plant essential oils as food preservatives to control moulds, mycotoxin contamination and oxidative deterio</w:t>
      </w:r>
      <w:r w:rsidR="005A0C66">
        <w:rPr>
          <w:rFonts w:ascii="Arial" w:hAnsi="Arial" w:cs="Arial"/>
        </w:rPr>
        <w:t xml:space="preserve">ration of agri-food commodities </w:t>
      </w:r>
      <w:r w:rsidR="000E4652" w:rsidRPr="000E4652">
        <w:rPr>
          <w:rFonts w:ascii="Arial" w:hAnsi="Arial" w:cs="Arial"/>
        </w:rPr>
        <w:t>Potentials and challenges. Food Control 47, 381–391.</w:t>
      </w:r>
    </w:p>
    <w:p w14:paraId="70209264" w14:textId="77777777" w:rsidR="000E4652" w:rsidRPr="000E4652" w:rsidRDefault="00051FC3" w:rsidP="000E4652">
      <w:pPr>
        <w:pStyle w:val="Bibliography"/>
        <w:jc w:val="both"/>
        <w:rPr>
          <w:rFonts w:ascii="Arial" w:hAnsi="Arial" w:cs="Arial"/>
        </w:rPr>
      </w:pPr>
      <w:r>
        <w:rPr>
          <w:rFonts w:ascii="Arial" w:hAnsi="Arial" w:cs="Arial"/>
        </w:rPr>
        <w:t xml:space="preserve">23. </w:t>
      </w:r>
      <w:r w:rsidR="000E4652" w:rsidRPr="000E4652">
        <w:rPr>
          <w:rFonts w:ascii="Arial" w:hAnsi="Arial" w:cs="Arial"/>
        </w:rPr>
        <w:t>Rodríguez, C.B., Visser, C.W., Schlautmann, S.,</w:t>
      </w:r>
      <w:r w:rsidR="001C3637">
        <w:rPr>
          <w:rFonts w:ascii="Arial" w:hAnsi="Arial" w:cs="Arial"/>
        </w:rPr>
        <w:t xml:space="preserve"> Rivas, D.F., Ramos-Garcia, R. (</w:t>
      </w:r>
      <w:r w:rsidR="000E4652" w:rsidRPr="000E4652">
        <w:rPr>
          <w:rFonts w:ascii="Arial" w:hAnsi="Arial" w:cs="Arial"/>
        </w:rPr>
        <w:t>2017</w:t>
      </w:r>
      <w:r w:rsidR="001C3637">
        <w:rPr>
          <w:rFonts w:ascii="Arial" w:hAnsi="Arial" w:cs="Arial"/>
        </w:rPr>
        <w:t>)</w:t>
      </w:r>
      <w:r w:rsidR="000E4652" w:rsidRPr="000E4652">
        <w:rPr>
          <w:rFonts w:ascii="Arial" w:hAnsi="Arial" w:cs="Arial"/>
        </w:rPr>
        <w:t>. Toward jet injection by continuous-wave laser cavitation. J. Biomed. Opt. 22, 105003.</w:t>
      </w:r>
    </w:p>
    <w:p w14:paraId="2C9CE6FD" w14:textId="77777777" w:rsidR="000E4652" w:rsidRPr="000E4652" w:rsidRDefault="00051FC3" w:rsidP="000E4652">
      <w:pPr>
        <w:pStyle w:val="Bibliography"/>
        <w:jc w:val="both"/>
        <w:rPr>
          <w:rFonts w:ascii="Arial" w:hAnsi="Arial" w:cs="Arial"/>
        </w:rPr>
      </w:pPr>
      <w:r>
        <w:rPr>
          <w:rFonts w:ascii="Arial" w:hAnsi="Arial" w:cs="Arial"/>
        </w:rPr>
        <w:t xml:space="preserve">24. </w:t>
      </w:r>
      <w:r w:rsidR="000E4652" w:rsidRPr="000E4652">
        <w:rPr>
          <w:rFonts w:ascii="Arial" w:hAnsi="Arial" w:cs="Arial"/>
        </w:rPr>
        <w:t>Sa</w:t>
      </w:r>
      <w:r w:rsidR="001C3637">
        <w:rPr>
          <w:rFonts w:ascii="Arial" w:hAnsi="Arial" w:cs="Arial"/>
        </w:rPr>
        <w:t>etae, Dolaporn, Suntornsuk, W. (</w:t>
      </w:r>
      <w:r w:rsidR="000E4652" w:rsidRPr="000E4652">
        <w:rPr>
          <w:rFonts w:ascii="Arial" w:hAnsi="Arial" w:cs="Arial"/>
        </w:rPr>
        <w:t>2010</w:t>
      </w:r>
      <w:r w:rsidR="001C3637">
        <w:rPr>
          <w:rFonts w:ascii="Arial" w:hAnsi="Arial" w:cs="Arial"/>
        </w:rPr>
        <w:t>)</w:t>
      </w:r>
      <w:r w:rsidR="000E4652" w:rsidRPr="000E4652">
        <w:rPr>
          <w:rFonts w:ascii="Arial" w:hAnsi="Arial" w:cs="Arial"/>
        </w:rPr>
        <w:t>. Antifungal activities of ethanolic extract from Jatropha curcas seed cake. J. Microbiol. Biotechnol. 20, 319–324.</w:t>
      </w:r>
    </w:p>
    <w:p w14:paraId="1A5637AD" w14:textId="77777777" w:rsidR="000E4652" w:rsidRPr="000E4652" w:rsidRDefault="00051FC3" w:rsidP="000E4652">
      <w:pPr>
        <w:pStyle w:val="Bibliography"/>
        <w:jc w:val="both"/>
        <w:rPr>
          <w:rFonts w:ascii="Arial" w:hAnsi="Arial" w:cs="Arial"/>
        </w:rPr>
      </w:pPr>
      <w:r>
        <w:rPr>
          <w:rFonts w:ascii="Arial" w:hAnsi="Arial" w:cs="Arial"/>
        </w:rPr>
        <w:t xml:space="preserve">25. </w:t>
      </w:r>
      <w:r w:rsidR="000E4652" w:rsidRPr="000E4652">
        <w:rPr>
          <w:rFonts w:ascii="Arial" w:hAnsi="Arial" w:cs="Arial"/>
        </w:rPr>
        <w:t>Sae</w:t>
      </w:r>
      <w:r w:rsidR="0012124D">
        <w:rPr>
          <w:rFonts w:ascii="Arial" w:hAnsi="Arial" w:cs="Arial"/>
        </w:rPr>
        <w:t>tae, Donlaporn, Suntornsuk, W. (</w:t>
      </w:r>
      <w:r w:rsidR="000E4652" w:rsidRPr="000E4652">
        <w:rPr>
          <w:rFonts w:ascii="Arial" w:hAnsi="Arial" w:cs="Arial"/>
        </w:rPr>
        <w:t>2010</w:t>
      </w:r>
      <w:r w:rsidR="0012124D">
        <w:rPr>
          <w:rFonts w:ascii="Arial" w:hAnsi="Arial" w:cs="Arial"/>
        </w:rPr>
        <w:t>)</w:t>
      </w:r>
      <w:r w:rsidR="000E4652" w:rsidRPr="000E4652">
        <w:rPr>
          <w:rFonts w:ascii="Arial" w:hAnsi="Arial" w:cs="Arial"/>
        </w:rPr>
        <w:t>. Antifungal activities of ethanolic extract from Jatropha curcas seed cake. J. Microbiol. Biotechnol. 20, 319–324.</w:t>
      </w:r>
    </w:p>
    <w:p w14:paraId="78A2B16D" w14:textId="77777777" w:rsidR="000E4652" w:rsidRPr="000E4652" w:rsidRDefault="00051FC3" w:rsidP="000E4652">
      <w:pPr>
        <w:pStyle w:val="Bibliography"/>
        <w:jc w:val="both"/>
        <w:rPr>
          <w:rFonts w:ascii="Arial" w:hAnsi="Arial" w:cs="Arial"/>
          <w:lang w:val="fr-FR"/>
        </w:rPr>
      </w:pPr>
      <w:r>
        <w:rPr>
          <w:rFonts w:ascii="Arial" w:hAnsi="Arial" w:cs="Arial"/>
        </w:rPr>
        <w:t xml:space="preserve">26. </w:t>
      </w:r>
      <w:r w:rsidR="000E4652" w:rsidRPr="000E4652">
        <w:rPr>
          <w:rFonts w:ascii="Arial" w:hAnsi="Arial" w:cs="Arial"/>
        </w:rPr>
        <w:t>Sogoba, K.H., Ouattara, A., Nan</w:t>
      </w:r>
      <w:r w:rsidR="0012124D">
        <w:rPr>
          <w:rFonts w:ascii="Arial" w:hAnsi="Arial" w:cs="Arial"/>
        </w:rPr>
        <w:t>a, T.A., Nabelo, S., Koïta, K. (</w:t>
      </w:r>
      <w:r w:rsidR="000E4652" w:rsidRPr="000E4652">
        <w:rPr>
          <w:rFonts w:ascii="Arial" w:hAnsi="Arial" w:cs="Arial"/>
        </w:rPr>
        <w:t>2023</w:t>
      </w:r>
      <w:r w:rsidR="0012124D">
        <w:rPr>
          <w:rFonts w:ascii="Arial" w:hAnsi="Arial" w:cs="Arial"/>
        </w:rPr>
        <w:t>)</w:t>
      </w:r>
      <w:r w:rsidR="000E4652" w:rsidRPr="000E4652">
        <w:rPr>
          <w:rFonts w:ascii="Arial" w:hAnsi="Arial" w:cs="Arial"/>
        </w:rPr>
        <w:t xml:space="preserve">. Effect of Sorghum bicolor mycorrhizae on development of tomato in nursery. </w:t>
      </w:r>
      <w:r w:rsidR="0012124D" w:rsidRPr="0012124D">
        <w:rPr>
          <w:rFonts w:ascii="Arial" w:hAnsi="Arial" w:cs="Arial"/>
          <w:i/>
          <w:lang w:val="fr-FR"/>
        </w:rPr>
        <w:t>Mycopath</w:t>
      </w:r>
      <w:r w:rsidR="0012124D">
        <w:rPr>
          <w:rFonts w:ascii="Arial" w:hAnsi="Arial" w:cs="Arial"/>
          <w:lang w:val="fr-FR"/>
        </w:rPr>
        <w:t xml:space="preserve"> 21, 19-24</w:t>
      </w:r>
    </w:p>
    <w:p w14:paraId="147D8AAD" w14:textId="77777777" w:rsidR="000E4652" w:rsidRPr="000E4652" w:rsidRDefault="00051FC3" w:rsidP="000E4652">
      <w:pPr>
        <w:pStyle w:val="Bibliography"/>
        <w:jc w:val="both"/>
        <w:rPr>
          <w:rFonts w:ascii="Arial" w:hAnsi="Arial" w:cs="Arial"/>
          <w:lang w:val="fr-FR"/>
        </w:rPr>
      </w:pPr>
      <w:r>
        <w:rPr>
          <w:rFonts w:ascii="Arial" w:hAnsi="Arial" w:cs="Arial"/>
          <w:lang w:val="fr-FR"/>
        </w:rPr>
        <w:t xml:space="preserve">27. </w:t>
      </w:r>
      <w:r w:rsidR="0012124D">
        <w:rPr>
          <w:rFonts w:ascii="Arial" w:hAnsi="Arial" w:cs="Arial"/>
          <w:lang w:val="fr-FR"/>
        </w:rPr>
        <w:t>Son, D. (</w:t>
      </w:r>
      <w:r w:rsidR="000E4652" w:rsidRPr="000E4652">
        <w:rPr>
          <w:rFonts w:ascii="Arial" w:hAnsi="Arial" w:cs="Arial"/>
          <w:lang w:val="fr-FR"/>
        </w:rPr>
        <w:t>2018</w:t>
      </w:r>
      <w:r w:rsidR="0012124D">
        <w:rPr>
          <w:rFonts w:ascii="Arial" w:hAnsi="Arial" w:cs="Arial"/>
          <w:lang w:val="fr-FR"/>
        </w:rPr>
        <w:t>)</w:t>
      </w:r>
      <w:r w:rsidR="000E4652" w:rsidRPr="000E4652">
        <w:rPr>
          <w:rFonts w:ascii="Arial" w:hAnsi="Arial" w:cs="Arial"/>
          <w:lang w:val="fr-FR"/>
        </w:rPr>
        <w:t>. Analyse des risques liés à l’emploi des pesticides et mesure de la performance de la lutte intégrée en culture de tomate au Burkina Faso. Universite de Liege (Belgium) ProQuest Dissertations &amp; Theses. Universite de Liege (Belgium).</w:t>
      </w:r>
    </w:p>
    <w:p w14:paraId="2F3DCDDD" w14:textId="77777777" w:rsidR="000E4652" w:rsidRPr="0012124D" w:rsidRDefault="00051FC3" w:rsidP="000E4652">
      <w:pPr>
        <w:pStyle w:val="Bibliography"/>
        <w:jc w:val="both"/>
        <w:rPr>
          <w:rFonts w:ascii="Arial" w:hAnsi="Arial" w:cs="Arial"/>
        </w:rPr>
      </w:pPr>
      <w:r>
        <w:rPr>
          <w:rFonts w:ascii="Arial" w:hAnsi="Arial" w:cs="Arial"/>
          <w:lang w:val="fr-FR"/>
        </w:rPr>
        <w:t xml:space="preserve">28. </w:t>
      </w:r>
      <w:r w:rsidR="000E4652" w:rsidRPr="000E4652">
        <w:rPr>
          <w:rFonts w:ascii="Arial" w:hAnsi="Arial" w:cs="Arial"/>
          <w:lang w:val="fr-FR"/>
        </w:rPr>
        <w:t>Tiendrebeogo, A., Bonzi, S., Tobdem Dabiré, G., Son, D., Sanou, A., Sami Kambi</w:t>
      </w:r>
      <w:r w:rsidR="0012124D">
        <w:rPr>
          <w:rFonts w:ascii="Arial" w:hAnsi="Arial" w:cs="Arial"/>
          <w:lang w:val="fr-FR"/>
        </w:rPr>
        <w:t>re, H., Somda, I., Legrève, A. (</w:t>
      </w:r>
      <w:r w:rsidR="000E4652" w:rsidRPr="000E4652">
        <w:rPr>
          <w:rFonts w:ascii="Arial" w:hAnsi="Arial" w:cs="Arial"/>
          <w:lang w:val="fr-FR"/>
        </w:rPr>
        <w:t>2023</w:t>
      </w:r>
      <w:r w:rsidR="0012124D">
        <w:rPr>
          <w:rFonts w:ascii="Arial" w:hAnsi="Arial" w:cs="Arial"/>
          <w:lang w:val="fr-FR"/>
        </w:rPr>
        <w:t>)</w:t>
      </w:r>
      <w:r w:rsidR="000E4652" w:rsidRPr="000E4652">
        <w:rPr>
          <w:rFonts w:ascii="Arial" w:hAnsi="Arial" w:cs="Arial"/>
          <w:lang w:val="fr-FR"/>
        </w:rPr>
        <w:t xml:space="preserve">. Identification de mycètes cultivables associés aux maladies de la tomate au Burkina Faso. </w:t>
      </w:r>
      <w:r w:rsidR="000E4652" w:rsidRPr="0012124D">
        <w:rPr>
          <w:rFonts w:ascii="Arial" w:hAnsi="Arial" w:cs="Arial"/>
        </w:rPr>
        <w:t>BASE 27,</w:t>
      </w:r>
      <w:r w:rsidR="0012124D" w:rsidRPr="0012124D">
        <w:rPr>
          <w:rFonts w:ascii="Arial" w:hAnsi="Arial" w:cs="Arial"/>
        </w:rPr>
        <w:t xml:space="preserve"> 255–269. </w:t>
      </w:r>
    </w:p>
    <w:p w14:paraId="710F67E8" w14:textId="77777777" w:rsidR="000E4652" w:rsidRPr="000E4652" w:rsidRDefault="00051FC3" w:rsidP="000E4652">
      <w:pPr>
        <w:pStyle w:val="Bibliography"/>
        <w:jc w:val="both"/>
        <w:rPr>
          <w:rFonts w:ascii="Arial" w:hAnsi="Arial" w:cs="Arial"/>
        </w:rPr>
      </w:pPr>
      <w:r w:rsidRPr="0012124D">
        <w:rPr>
          <w:rFonts w:ascii="Arial" w:hAnsi="Arial" w:cs="Arial"/>
          <w:lang w:val="fr-FR"/>
        </w:rPr>
        <w:t xml:space="preserve">29. </w:t>
      </w:r>
      <w:r w:rsidR="000E4652" w:rsidRPr="0012124D">
        <w:rPr>
          <w:rFonts w:ascii="Arial" w:hAnsi="Arial" w:cs="Arial"/>
          <w:lang w:val="fr-FR"/>
        </w:rPr>
        <w:t>Woo, S.L., Ruocco, M., Vinale, F., Nigro, M., Marra, R., Lombardi, N., Pascale, A., Lanzuise, S</w:t>
      </w:r>
      <w:r w:rsidR="0012124D" w:rsidRPr="0012124D">
        <w:rPr>
          <w:rFonts w:ascii="Arial" w:hAnsi="Arial" w:cs="Arial"/>
          <w:lang w:val="fr-FR"/>
        </w:rPr>
        <w:t>., Manganiello, G., Lorito, M. (</w:t>
      </w:r>
      <w:r w:rsidR="000E4652" w:rsidRPr="0012124D">
        <w:rPr>
          <w:rFonts w:ascii="Arial" w:hAnsi="Arial" w:cs="Arial"/>
          <w:lang w:val="fr-FR"/>
        </w:rPr>
        <w:t>2014</w:t>
      </w:r>
      <w:r w:rsidR="0012124D" w:rsidRPr="0012124D">
        <w:rPr>
          <w:rFonts w:ascii="Arial" w:hAnsi="Arial" w:cs="Arial"/>
          <w:lang w:val="fr-FR"/>
        </w:rPr>
        <w:t>)</w:t>
      </w:r>
      <w:r w:rsidR="000E4652" w:rsidRPr="0012124D">
        <w:rPr>
          <w:rFonts w:ascii="Arial" w:hAnsi="Arial" w:cs="Arial"/>
          <w:lang w:val="fr-FR"/>
        </w:rPr>
        <w:t xml:space="preserve">. </w:t>
      </w:r>
      <w:r w:rsidR="000E4652" w:rsidRPr="000E4652">
        <w:rPr>
          <w:rFonts w:ascii="Arial" w:hAnsi="Arial" w:cs="Arial"/>
        </w:rPr>
        <w:t>Trichoderma-based products and their widespread use in agriculture. Open Mycol J 8, 71–126.</w:t>
      </w:r>
    </w:p>
    <w:p w14:paraId="77121A33" w14:textId="77777777" w:rsidR="000E4652" w:rsidRPr="000E4652" w:rsidRDefault="00051FC3" w:rsidP="000E4652">
      <w:pPr>
        <w:pStyle w:val="Bibliography"/>
        <w:jc w:val="both"/>
        <w:rPr>
          <w:rFonts w:ascii="Arial" w:hAnsi="Arial" w:cs="Arial"/>
        </w:rPr>
      </w:pPr>
      <w:r>
        <w:rPr>
          <w:rFonts w:ascii="Arial" w:hAnsi="Arial" w:cs="Arial"/>
        </w:rPr>
        <w:t xml:space="preserve">30. </w:t>
      </w:r>
      <w:r w:rsidR="000E4652" w:rsidRPr="000E4652">
        <w:rPr>
          <w:rFonts w:ascii="Arial" w:hAnsi="Arial" w:cs="Arial"/>
        </w:rPr>
        <w:t>Zombre, T.C., Dianda, Z.O., Sondo, M., Soumaïla, M.A., Ouattara, B., Ouedrao</w:t>
      </w:r>
      <w:r w:rsidR="0012124D">
        <w:rPr>
          <w:rFonts w:ascii="Arial" w:hAnsi="Arial" w:cs="Arial"/>
        </w:rPr>
        <w:t>go, R.S., Koïta, K., Wonni, I. (</w:t>
      </w:r>
      <w:r w:rsidR="000E4652" w:rsidRPr="000E4652">
        <w:rPr>
          <w:rFonts w:ascii="Arial" w:hAnsi="Arial" w:cs="Arial"/>
        </w:rPr>
        <w:t>2025</w:t>
      </w:r>
      <w:r w:rsidR="0012124D">
        <w:rPr>
          <w:rFonts w:ascii="Arial" w:hAnsi="Arial" w:cs="Arial"/>
        </w:rPr>
        <w:t>)</w:t>
      </w:r>
      <w:r w:rsidR="000E4652" w:rsidRPr="000E4652">
        <w:rPr>
          <w:rFonts w:ascii="Arial" w:hAnsi="Arial" w:cs="Arial"/>
        </w:rPr>
        <w:t>. Morphological and Molecular Characterization of Fusarium spp Associated with Solanaceous Seeds in Burkina Faso. J. Adv. Biol. Biotechnol. 28, 69–81.</w:t>
      </w:r>
    </w:p>
    <w:p w14:paraId="0C841E87" w14:textId="77777777" w:rsidR="00904181" w:rsidRPr="00904181" w:rsidRDefault="00904181" w:rsidP="000E4652">
      <w:pPr>
        <w:jc w:val="both"/>
        <w:rPr>
          <w:rFonts w:ascii="Arial" w:hAnsi="Arial" w:cs="Arial"/>
        </w:rPr>
      </w:pPr>
      <w:r w:rsidRPr="000E4652">
        <w:rPr>
          <w:rFonts w:ascii="Arial" w:hAnsi="Arial" w:cs="Arial"/>
        </w:rPr>
        <w:fldChar w:fldCharType="end"/>
      </w:r>
    </w:p>
    <w:p w14:paraId="4393C83B" w14:textId="77777777" w:rsidR="003C5C65" w:rsidRPr="003C5C65" w:rsidRDefault="003C5C65" w:rsidP="003C5C65"/>
    <w:p w14:paraId="17755933" w14:textId="77777777" w:rsidR="003C5C65" w:rsidRPr="003C5C65" w:rsidRDefault="003C5C65" w:rsidP="003C5C65"/>
    <w:sectPr w:rsidR="003C5C65" w:rsidRPr="003C5C65" w:rsidSect="00AF60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21E6" w14:textId="77777777" w:rsidR="001B2CC9" w:rsidRDefault="001B2CC9" w:rsidP="00C37E61">
      <w:r>
        <w:separator/>
      </w:r>
    </w:p>
  </w:endnote>
  <w:endnote w:type="continuationSeparator" w:id="0">
    <w:p w14:paraId="052EF021" w14:textId="77777777" w:rsidR="001B2CC9" w:rsidRDefault="001B2C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D77F" w14:textId="77777777" w:rsidR="00AF6050" w:rsidRDefault="00AF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5CF7" w14:textId="4D6EBA30" w:rsidR="006877B4" w:rsidRPr="00502039" w:rsidRDefault="006877B4" w:rsidP="00502039">
    <w:pPr>
      <w:pStyle w:val="Footer"/>
    </w:pPr>
    <w:r w:rsidRPr="0050203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950D" w14:textId="4BB23A7C" w:rsidR="006877B4" w:rsidRPr="00AF6050" w:rsidRDefault="006877B4" w:rsidP="00AF605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5E4B" w14:textId="77777777" w:rsidR="001B2CC9" w:rsidRDefault="001B2CC9" w:rsidP="00C37E61">
      <w:r>
        <w:separator/>
      </w:r>
    </w:p>
  </w:footnote>
  <w:footnote w:type="continuationSeparator" w:id="0">
    <w:p w14:paraId="586D438F" w14:textId="77777777" w:rsidR="001B2CC9" w:rsidRDefault="001B2C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7992" w14:textId="2CD5D5AE" w:rsidR="00AF6050" w:rsidRDefault="00AF6050">
    <w:pPr>
      <w:pStyle w:val="Header"/>
    </w:pPr>
    <w:r>
      <w:rPr>
        <w:noProof/>
      </w:rPr>
      <w:pict w14:anchorId="2FD58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8523" w14:textId="7A78CC64" w:rsidR="00AF6050" w:rsidRDefault="00AF6050">
    <w:pPr>
      <w:pStyle w:val="Header"/>
    </w:pPr>
    <w:r>
      <w:rPr>
        <w:noProof/>
      </w:rPr>
      <w:pict w14:anchorId="5BF5A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C189" w14:textId="79BFE658" w:rsidR="006877B4" w:rsidRPr="00296529" w:rsidRDefault="00AF6050" w:rsidP="00296529">
    <w:pPr>
      <w:ind w:left="2160"/>
      <w:jc w:val="center"/>
      <w:rPr>
        <w:rFonts w:ascii="Times New Roman" w:eastAsia="Calibri" w:hAnsi="Times New Roman"/>
        <w:i/>
        <w:sz w:val="18"/>
        <w:szCs w:val="22"/>
      </w:rPr>
    </w:pPr>
    <w:r>
      <w:rPr>
        <w:noProof/>
      </w:rPr>
      <w:pict w14:anchorId="3427E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B1AAD0" w14:textId="77777777" w:rsidR="006877B4" w:rsidRPr="00296529" w:rsidRDefault="006877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F2EC1E" w14:textId="77777777" w:rsidR="006877B4" w:rsidRPr="00296529" w:rsidRDefault="00687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590CCC" w14:textId="77777777" w:rsidR="006877B4" w:rsidRPr="00296529" w:rsidRDefault="00687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4CB60A" w14:textId="77777777" w:rsidR="006877B4" w:rsidRDefault="00687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085DB" w14:textId="77777777" w:rsidR="006877B4" w:rsidRDefault="00687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4C15CC" w14:textId="77777777" w:rsidR="006877B4" w:rsidRDefault="006877B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78"/>
    <w:rsid w:val="00023693"/>
    <w:rsid w:val="00030174"/>
    <w:rsid w:val="0004579C"/>
    <w:rsid w:val="00051FC3"/>
    <w:rsid w:val="000A47FA"/>
    <w:rsid w:val="000A65D3"/>
    <w:rsid w:val="000B1E33"/>
    <w:rsid w:val="000B65EF"/>
    <w:rsid w:val="000D689F"/>
    <w:rsid w:val="000E4652"/>
    <w:rsid w:val="000E7B7B"/>
    <w:rsid w:val="000E7D62"/>
    <w:rsid w:val="00103357"/>
    <w:rsid w:val="00121042"/>
    <w:rsid w:val="0012124D"/>
    <w:rsid w:val="00123C9F"/>
    <w:rsid w:val="00126190"/>
    <w:rsid w:val="00130F17"/>
    <w:rsid w:val="001320BF"/>
    <w:rsid w:val="00163BC4"/>
    <w:rsid w:val="001846DD"/>
    <w:rsid w:val="00191062"/>
    <w:rsid w:val="00192B72"/>
    <w:rsid w:val="001A29D8"/>
    <w:rsid w:val="001A5CAA"/>
    <w:rsid w:val="001B0427"/>
    <w:rsid w:val="001B2CC9"/>
    <w:rsid w:val="001C3637"/>
    <w:rsid w:val="001C6C75"/>
    <w:rsid w:val="001D3A51"/>
    <w:rsid w:val="001E10D2"/>
    <w:rsid w:val="001E25B4"/>
    <w:rsid w:val="001E44FE"/>
    <w:rsid w:val="00200595"/>
    <w:rsid w:val="00204835"/>
    <w:rsid w:val="002051ED"/>
    <w:rsid w:val="00231920"/>
    <w:rsid w:val="0023195C"/>
    <w:rsid w:val="0024282C"/>
    <w:rsid w:val="002460DC"/>
    <w:rsid w:val="00250985"/>
    <w:rsid w:val="002556F6"/>
    <w:rsid w:val="00270B6D"/>
    <w:rsid w:val="00283105"/>
    <w:rsid w:val="00284C4C"/>
    <w:rsid w:val="00287E68"/>
    <w:rsid w:val="00290E9E"/>
    <w:rsid w:val="00296529"/>
    <w:rsid w:val="002B27FB"/>
    <w:rsid w:val="002B685A"/>
    <w:rsid w:val="002C57D2"/>
    <w:rsid w:val="002E0D56"/>
    <w:rsid w:val="002F5BE7"/>
    <w:rsid w:val="00315186"/>
    <w:rsid w:val="0033343E"/>
    <w:rsid w:val="003512C2"/>
    <w:rsid w:val="00371FB6"/>
    <w:rsid w:val="003763C1"/>
    <w:rsid w:val="00376BBE"/>
    <w:rsid w:val="0039224F"/>
    <w:rsid w:val="003A43A4"/>
    <w:rsid w:val="003A7E18"/>
    <w:rsid w:val="003C4C86"/>
    <w:rsid w:val="003C5C65"/>
    <w:rsid w:val="003C6258"/>
    <w:rsid w:val="003C723C"/>
    <w:rsid w:val="003E2904"/>
    <w:rsid w:val="00401927"/>
    <w:rsid w:val="0041027F"/>
    <w:rsid w:val="00412475"/>
    <w:rsid w:val="00423789"/>
    <w:rsid w:val="00440F43"/>
    <w:rsid w:val="00441B6F"/>
    <w:rsid w:val="00446221"/>
    <w:rsid w:val="00450E62"/>
    <w:rsid w:val="004539DB"/>
    <w:rsid w:val="00471A80"/>
    <w:rsid w:val="004D305E"/>
    <w:rsid w:val="004D4277"/>
    <w:rsid w:val="00502039"/>
    <w:rsid w:val="00502516"/>
    <w:rsid w:val="00505F06"/>
    <w:rsid w:val="00506828"/>
    <w:rsid w:val="0053056E"/>
    <w:rsid w:val="00554FDA"/>
    <w:rsid w:val="005A0C66"/>
    <w:rsid w:val="005C784C"/>
    <w:rsid w:val="005D17F6"/>
    <w:rsid w:val="005E5539"/>
    <w:rsid w:val="00602BF5"/>
    <w:rsid w:val="00617FDD"/>
    <w:rsid w:val="00633614"/>
    <w:rsid w:val="00633F68"/>
    <w:rsid w:val="00636EB2"/>
    <w:rsid w:val="006375B8"/>
    <w:rsid w:val="0066510A"/>
    <w:rsid w:val="00673F9F"/>
    <w:rsid w:val="00686953"/>
    <w:rsid w:val="006877B4"/>
    <w:rsid w:val="00687DEA"/>
    <w:rsid w:val="00687E67"/>
    <w:rsid w:val="006967F7"/>
    <w:rsid w:val="006A250C"/>
    <w:rsid w:val="006B21D3"/>
    <w:rsid w:val="006B57D0"/>
    <w:rsid w:val="006D0112"/>
    <w:rsid w:val="006D30FF"/>
    <w:rsid w:val="006D6940"/>
    <w:rsid w:val="006F11EC"/>
    <w:rsid w:val="0070082C"/>
    <w:rsid w:val="00713CE0"/>
    <w:rsid w:val="007369E6"/>
    <w:rsid w:val="00746E59"/>
    <w:rsid w:val="00750FEE"/>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4181"/>
    <w:rsid w:val="00915CA6"/>
    <w:rsid w:val="00917C2C"/>
    <w:rsid w:val="00927834"/>
    <w:rsid w:val="00943BF6"/>
    <w:rsid w:val="009500A6"/>
    <w:rsid w:val="00957C18"/>
    <w:rsid w:val="009659BA"/>
    <w:rsid w:val="00983040"/>
    <w:rsid w:val="009B3FB9"/>
    <w:rsid w:val="009C2465"/>
    <w:rsid w:val="009D35A0"/>
    <w:rsid w:val="009D7EB7"/>
    <w:rsid w:val="009E048A"/>
    <w:rsid w:val="009E08E9"/>
    <w:rsid w:val="009E3DB9"/>
    <w:rsid w:val="009E6E35"/>
    <w:rsid w:val="009F002F"/>
    <w:rsid w:val="009F0EDA"/>
    <w:rsid w:val="009F2D0C"/>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050"/>
    <w:rsid w:val="00B01FCD"/>
    <w:rsid w:val="00B1776C"/>
    <w:rsid w:val="00B2451F"/>
    <w:rsid w:val="00B52583"/>
    <w:rsid w:val="00B52896"/>
    <w:rsid w:val="00B5565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3F54"/>
    <w:rsid w:val="00D173F1"/>
    <w:rsid w:val="00D74CB0"/>
    <w:rsid w:val="00D8295D"/>
    <w:rsid w:val="00DC2A65"/>
    <w:rsid w:val="00DE15F0"/>
    <w:rsid w:val="00DE4FD3"/>
    <w:rsid w:val="00DE5663"/>
    <w:rsid w:val="00DE78AA"/>
    <w:rsid w:val="00DF61BF"/>
    <w:rsid w:val="00E053D0"/>
    <w:rsid w:val="00E15994"/>
    <w:rsid w:val="00E3114E"/>
    <w:rsid w:val="00E31A70"/>
    <w:rsid w:val="00E35B02"/>
    <w:rsid w:val="00E5332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5D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C6B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qFormat/>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904181"/>
    <w:pPr>
      <w:ind w:left="720" w:hanging="720"/>
    </w:pPr>
  </w:style>
  <w:style w:type="character" w:styleId="UnresolvedMention">
    <w:name w:val="Unresolved Mention"/>
    <w:basedOn w:val="DefaultParagraphFont"/>
    <w:uiPriority w:val="99"/>
    <w:semiHidden/>
    <w:unhideWhenUsed/>
    <w:rsid w:val="00502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67B5-FBF1-4E03-80B1-439AC896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12</Pages>
  <Words>11406</Words>
  <Characters>65015</Characters>
  <Application>Microsoft Office Word</Application>
  <DocSecurity>0</DocSecurity>
  <Lines>541</Lines>
  <Paragraphs>152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76269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2025-09-05T15:33:00Z</dcterms:created>
  <dcterms:modified xsi:type="dcterms:W3CDTF">2025-09-06T11:15:00Z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id="KxFRXsV8"/&gt;&lt;style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